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115" w:rsidRDefault="00F871A7">
      <w:pPr>
        <w:tabs>
          <w:tab w:val="left" w:pos="3465"/>
        </w:tabs>
        <w:spacing w:line="360" w:lineRule="auto"/>
        <w:ind w:right="-982"/>
        <w:jc w:val="both"/>
        <w:rPr>
          <w:rFonts w:ascii="Palatino Linotype" w:eastAsia="Palatino Linotype" w:hAnsi="Palatino Linotype" w:cs="Palatino Linotype"/>
          <w:b/>
          <w:bCs/>
        </w:rPr>
      </w:pPr>
      <w:bookmarkStart w:id="0" w:name="_heading=h.gjdgxs" w:colFirst="0" w:colLast="0"/>
      <w:bookmarkStart w:id="1" w:name="_GoBack"/>
      <w:bookmarkEnd w:id="0"/>
      <w:bookmarkEnd w:id="1"/>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035115" w:rsidRDefault="00035115">
      <w:pPr>
        <w:tabs>
          <w:tab w:val="left" w:pos="3465"/>
        </w:tabs>
        <w:spacing w:line="360" w:lineRule="auto"/>
        <w:ind w:right="-982"/>
        <w:jc w:val="both"/>
        <w:rPr>
          <w:rFonts w:ascii="Palatino Linotype" w:eastAsia="Palatino Linotype" w:hAnsi="Palatino Linotype" w:cs="Palatino Linotype"/>
        </w:rPr>
      </w:pPr>
    </w:p>
    <w:p w:rsidR="00035115" w:rsidRDefault="00F871A7">
      <w:pPr>
        <w:pBdr>
          <w:top w:val="nil"/>
          <w:left w:val="nil"/>
          <w:bottom w:val="nil"/>
          <w:right w:val="nil"/>
          <w:between w:val="nil"/>
        </w:pBdr>
        <w:tabs>
          <w:tab w:val="left" w:pos="426"/>
        </w:tabs>
        <w:spacing w:line="360" w:lineRule="auto"/>
        <w:ind w:right="-982"/>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VISTAS </w:t>
      </w:r>
      <w:r>
        <w:rPr>
          <w:rFonts w:ascii="Palatino Linotype" w:eastAsia="Palatino Linotype" w:hAnsi="Palatino Linotype" w:cs="Palatino Linotype"/>
          <w:color w:val="000000"/>
        </w:rPr>
        <w:t>las constancias para resolver el Recurso de Revisión</w:t>
      </w:r>
      <w:r w:rsidR="00AE5724">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presentado por </w:t>
      </w:r>
      <w:r w:rsidR="00D258C6">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en lo sucesivo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 respuesta otorgada a la Solicitud de Acceso a Datos Personales con número de folio </w:t>
      </w:r>
      <w:r>
        <w:rPr>
          <w:rFonts w:ascii="Palatino Linotype" w:eastAsia="Palatino Linotype" w:hAnsi="Palatino Linotype" w:cs="Palatino Linotype"/>
          <w:b/>
          <w:bCs/>
          <w:color w:val="000000"/>
        </w:rPr>
        <w:t>01108/PJUDICI/IP/2025</w:t>
      </w:r>
      <w:r>
        <w:rPr>
          <w:rFonts w:ascii="Palatino Linotype" w:eastAsia="Palatino Linotype" w:hAnsi="Palatino Linotype" w:cs="Palatino Linotype"/>
          <w:color w:val="000000"/>
        </w:rPr>
        <w:t xml:space="preserve">, que dio origen al Recurso de Revisión </w:t>
      </w:r>
      <w:r>
        <w:rPr>
          <w:rFonts w:ascii="Palatino Linotype" w:eastAsia="Palatino Linotype" w:hAnsi="Palatino Linotype" w:cs="Palatino Linotype"/>
          <w:b/>
          <w:bCs/>
          <w:color w:val="000000"/>
        </w:rPr>
        <w:t>00283/INFOEM/IP/RR/2026</w:t>
      </w:r>
      <w:r>
        <w:rPr>
          <w:rFonts w:ascii="Palatino Linotype" w:eastAsia="Palatino Linotype" w:hAnsi="Palatino Linotype" w:cs="Palatino Linotype"/>
          <w:color w:val="000000"/>
        </w:rPr>
        <w:t xml:space="preserve">, por parte del </w:t>
      </w:r>
      <w:r>
        <w:rPr>
          <w:rFonts w:ascii="Palatino Linotype" w:eastAsia="Palatino Linotype" w:hAnsi="Palatino Linotype" w:cs="Palatino Linotype"/>
          <w:b/>
          <w:bCs/>
          <w:color w:val="000000"/>
        </w:rPr>
        <w:t>Poder Judicial</w:t>
      </w:r>
      <w:r>
        <w:rPr>
          <w:rFonts w:ascii="Palatino Linotype" w:eastAsia="Palatino Linotype" w:hAnsi="Palatino Linotype" w:cs="Palatino Linotype"/>
          <w:color w:val="000000"/>
        </w:rPr>
        <w:t xml:space="preserve"> en adelante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se emite la presente Resolución con base en los siguientes:</w:t>
      </w:r>
    </w:p>
    <w:p w:rsidR="00D258C6" w:rsidRDefault="00D258C6">
      <w:pPr>
        <w:pBdr>
          <w:top w:val="nil"/>
          <w:left w:val="nil"/>
          <w:bottom w:val="nil"/>
          <w:right w:val="nil"/>
          <w:between w:val="nil"/>
        </w:pBdr>
        <w:tabs>
          <w:tab w:val="left" w:pos="426"/>
        </w:tabs>
        <w:spacing w:line="360" w:lineRule="auto"/>
        <w:ind w:right="-982"/>
        <w:jc w:val="both"/>
        <w:rPr>
          <w:rFonts w:ascii="Palatino Linotype" w:eastAsia="Palatino Linotype" w:hAnsi="Palatino Linotype" w:cs="Palatino Linotype"/>
          <w:color w:val="000000"/>
        </w:rPr>
      </w:pPr>
    </w:p>
    <w:p w:rsidR="00035115" w:rsidRDefault="00F871A7">
      <w:pPr>
        <w:pStyle w:val="Ttulo1"/>
        <w:spacing w:before="0" w:line="360" w:lineRule="auto"/>
        <w:ind w:right="-982"/>
        <w:jc w:val="center"/>
        <w:rPr>
          <w:rFonts w:ascii="Palatino Linotype" w:eastAsia="Palatino Linotype" w:hAnsi="Palatino Linotype" w:cs="Palatino Linotype"/>
          <w:b/>
          <w:bCs/>
          <w:color w:val="000000"/>
          <w:sz w:val="24"/>
          <w:szCs w:val="24"/>
        </w:rPr>
      </w:pPr>
      <w:bookmarkStart w:id="2" w:name="_heading=h.30j0zll" w:colFirst="0" w:colLast="0"/>
      <w:bookmarkEnd w:id="2"/>
      <w:r>
        <w:rPr>
          <w:rFonts w:ascii="Palatino Linotype" w:eastAsia="Palatino Linotype" w:hAnsi="Palatino Linotype" w:cs="Palatino Linotype"/>
          <w:b/>
          <w:bCs/>
          <w:color w:val="000000"/>
          <w:sz w:val="24"/>
          <w:szCs w:val="24"/>
        </w:rPr>
        <w:t>A N T E C E D E N T E S</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b/>
          <w:bCs/>
          <w:color w:val="000000"/>
          <w:u w:val="single"/>
        </w:rPr>
      </w:pPr>
    </w:p>
    <w:p w:rsidR="00035115" w:rsidRDefault="00F871A7">
      <w:pPr>
        <w:numPr>
          <w:ilvl w:val="0"/>
          <w:numId w:val="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veintiséis de noviembre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Pr>
          <w:rFonts w:ascii="Palatino Linotype" w:eastAsia="Palatino Linotype" w:hAnsi="Palatino Linotype" w:cs="Palatino Linotype"/>
          <w:b/>
          <w:bCs/>
        </w:rPr>
        <w:t>01108/PJUDICI/IP/2025</w:t>
      </w:r>
      <w:r>
        <w:rPr>
          <w:rFonts w:ascii="Palatino Linotype" w:eastAsia="Palatino Linotype" w:hAnsi="Palatino Linotype" w:cs="Palatino Linotype"/>
          <w:color w:val="000000"/>
        </w:rPr>
        <w:t>, cuyo contenido es el siguiente:</w:t>
      </w:r>
    </w:p>
    <w:p w:rsidR="00035115" w:rsidRDefault="00035115">
      <w:pPr>
        <w:pBdr>
          <w:top w:val="nil"/>
          <w:left w:val="nil"/>
          <w:bottom w:val="nil"/>
          <w:right w:val="nil"/>
          <w:between w:val="nil"/>
        </w:pBdr>
        <w:tabs>
          <w:tab w:val="left" w:pos="0"/>
        </w:tabs>
        <w:ind w:left="502" w:right="-982"/>
        <w:jc w:val="both"/>
        <w:rPr>
          <w:rFonts w:ascii="Palatino Linotype" w:eastAsia="Palatino Linotype" w:hAnsi="Palatino Linotype" w:cs="Palatino Linotype"/>
        </w:rPr>
      </w:pPr>
    </w:p>
    <w:p w:rsidR="00035115" w:rsidRDefault="00F871A7">
      <w:pP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El 18 de noviembre de 2025, se emitió un acuerdo general por parte del pleno del Tribunal de Disciplina Judicial del Poder Judicial del Estado, en sesión extraordinaria de 07 de noviembre de 2025, con relación a la designación de auditor visitador para la materia laboral en la persona de ROXANA NUÑEZ ALVA. Pero tengo conocimiento de que no reúne todos los requisitos exigidos por el artículo 250 de la Ley Orgánica del Poder Judicial del Estado, por no tener la edad mínima de 35 ni los años de experiencia profesional de cuando menor 5 años en materia de impartición de justicia (la cedula profesional que obtuvo en el registro nacional de profesiones es del 03 de abril de 2003) (fuimos compañeros de generación en licenciatura). Mi petición concreta es que el Tribunal de Disciplina Judicial me informe si efectivamente ROXANA NUÑEZ ALVA, cumple los requisitos legales para ocupar el cargo y de ser así, me compartan la documentación acreditativa.</w:t>
      </w:r>
      <w:r>
        <w:rPr>
          <w:rFonts w:ascii="Palatino Linotype" w:eastAsia="Palatino Linotype" w:hAnsi="Palatino Linotype" w:cs="Palatino Linotype"/>
          <w:i/>
          <w:iCs/>
          <w:color w:val="000000"/>
        </w:rPr>
        <w:t>”(Sic).</w:t>
      </w:r>
    </w:p>
    <w:p w:rsidR="00035115" w:rsidRDefault="00F871A7">
      <w:pPr>
        <w:numPr>
          <w:ilvl w:val="0"/>
          <w:numId w:val="7"/>
        </w:numPr>
        <w:pBdr>
          <w:top w:val="nil"/>
          <w:left w:val="nil"/>
          <w:bottom w:val="nil"/>
          <w:right w:val="nil"/>
          <w:between w:val="nil"/>
        </w:pBdr>
        <w:spacing w:line="360" w:lineRule="auto"/>
        <w:ind w:left="567" w:right="-982"/>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Modalidad de entrega</w:t>
      </w:r>
      <w:r>
        <w:rPr>
          <w:rFonts w:ascii="Palatino Linotype" w:eastAsia="Palatino Linotype" w:hAnsi="Palatino Linotype" w:cs="Palatino Linotype"/>
          <w:color w:val="000000"/>
        </w:rPr>
        <w:t xml:space="preserve">: a través del </w:t>
      </w:r>
      <w:r>
        <w:rPr>
          <w:rFonts w:ascii="Palatino Linotype" w:eastAsia="Palatino Linotype" w:hAnsi="Palatino Linotype" w:cs="Palatino Linotype"/>
          <w:b/>
          <w:bCs/>
          <w:color w:val="000000"/>
        </w:rPr>
        <w:t>SAIMEX.</w:t>
      </w:r>
    </w:p>
    <w:p w:rsidR="00035115" w:rsidRDefault="00035115">
      <w:pPr>
        <w:pBdr>
          <w:top w:val="nil"/>
          <w:left w:val="nil"/>
          <w:bottom w:val="nil"/>
          <w:right w:val="nil"/>
          <w:between w:val="nil"/>
        </w:pBdr>
        <w:spacing w:line="360" w:lineRule="auto"/>
        <w:ind w:left="207" w:right="-982"/>
        <w:jc w:val="both"/>
        <w:rPr>
          <w:rFonts w:ascii="Palatino Linotype" w:eastAsia="Palatino Linotype" w:hAnsi="Palatino Linotype" w:cs="Palatino Linotype"/>
          <w:color w:val="000000"/>
        </w:rPr>
      </w:pPr>
    </w:p>
    <w:p w:rsidR="00035115" w:rsidRDefault="00F871A7">
      <w:pPr>
        <w:numPr>
          <w:ilvl w:val="0"/>
          <w:numId w:val="6"/>
        </w:numPr>
        <w:pBdr>
          <w:top w:val="nil"/>
          <w:left w:val="nil"/>
          <w:bottom w:val="nil"/>
          <w:right w:val="nil"/>
          <w:between w:val="nil"/>
        </w:pBdr>
        <w:tabs>
          <w:tab w:val="left" w:pos="0"/>
        </w:tabs>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diecisiete de diciembre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a través del responsable de transparencia, entregó respuestas mediante archivo electrónico  donde medularmente se señala lo siguiente:</w:t>
      </w:r>
    </w:p>
    <w:p w:rsidR="00035115" w:rsidRDefault="00F871A7">
      <w:pPr>
        <w:pBdr>
          <w:top w:val="nil"/>
          <w:left w:val="nil"/>
          <w:bottom w:val="nil"/>
          <w:right w:val="nil"/>
          <w:between w:val="nil"/>
        </w:pBdr>
        <w:tabs>
          <w:tab w:val="left" w:pos="1134"/>
        </w:tabs>
        <w:spacing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RESPUESTA 1108-2025.pdf: </w:t>
      </w:r>
      <w:r>
        <w:rPr>
          <w:rFonts w:ascii="Palatino Linotype" w:eastAsia="Palatino Linotype" w:hAnsi="Palatino Linotype" w:cs="Palatino Linotype"/>
          <w:i/>
          <w:iCs/>
          <w:color w:val="000000"/>
        </w:rPr>
        <w:t>Donde Titular de la Unidad de Transparencia refiere que la información requerida por el particular se encontraba en sistematización, informando así mismo  al particular que deja a salvo su derecho para volver a presentar su solicitud de acceso a la información.</w:t>
      </w:r>
    </w:p>
    <w:p w:rsidR="00035115" w:rsidRDefault="00035115">
      <w:pPr>
        <w:pBdr>
          <w:top w:val="nil"/>
          <w:left w:val="nil"/>
          <w:bottom w:val="nil"/>
          <w:right w:val="nil"/>
          <w:between w:val="nil"/>
        </w:pBdr>
        <w:tabs>
          <w:tab w:val="left" w:pos="1134"/>
        </w:tabs>
        <w:spacing w:line="360" w:lineRule="auto"/>
        <w:ind w:left="1134" w:right="-982"/>
        <w:jc w:val="both"/>
        <w:rPr>
          <w:rFonts w:ascii="Palatino Linotype" w:eastAsia="Palatino Linotype" w:hAnsi="Palatino Linotype" w:cs="Palatino Linotype"/>
          <w:i/>
          <w:iCs/>
          <w:color w:val="000000"/>
        </w:rPr>
      </w:pPr>
    </w:p>
    <w:p w:rsidR="00035115" w:rsidRDefault="00F871A7">
      <w:pPr>
        <w:numPr>
          <w:ilvl w:val="0"/>
          <w:numId w:val="5"/>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Inconforme con la respuesta emitida por el Sujeto Obligado, el Recurrente interpuso el presente recurso de revisión el día</w:t>
      </w:r>
      <w:r>
        <w:rPr>
          <w:rFonts w:ascii="Palatino Linotype" w:eastAsia="Palatino Linotype" w:hAnsi="Palatino Linotype" w:cs="Palatino Linotype"/>
          <w:b/>
          <w:bCs/>
          <w:color w:val="000000"/>
        </w:rPr>
        <w:t xml:space="preserve"> doce de enero de dos mil veintiséis</w:t>
      </w:r>
      <w:r>
        <w:rPr>
          <w:rFonts w:ascii="Palatino Linotype" w:eastAsia="Palatino Linotype" w:hAnsi="Palatino Linotype" w:cs="Palatino Linotype"/>
          <w:color w:val="000000"/>
        </w:rPr>
        <w:t xml:space="preserve">, con el expediente número </w:t>
      </w:r>
      <w:r>
        <w:rPr>
          <w:rFonts w:ascii="Palatino Linotype" w:eastAsia="Palatino Linotype" w:hAnsi="Palatino Linotype" w:cs="Palatino Linotype"/>
          <w:b/>
          <w:bCs/>
          <w:color w:val="000000"/>
        </w:rPr>
        <w:t>0283/INFOEM/IP/RR/2026</w:t>
      </w:r>
      <w:r>
        <w:rPr>
          <w:rFonts w:ascii="Palatino Linotype" w:eastAsia="Palatino Linotype" w:hAnsi="Palatino Linotype" w:cs="Palatino Linotype"/>
          <w:color w:val="000000"/>
        </w:rPr>
        <w:t>, manifestando lo siguiente:</w:t>
      </w:r>
    </w:p>
    <w:p w:rsidR="00035115" w:rsidRDefault="00035115">
      <w:pPr>
        <w:pBdr>
          <w:top w:val="nil"/>
          <w:left w:val="nil"/>
          <w:bottom w:val="nil"/>
          <w:right w:val="nil"/>
          <w:between w:val="nil"/>
        </w:pBdr>
        <w:spacing w:line="360" w:lineRule="auto"/>
        <w:ind w:left="644" w:right="-982"/>
        <w:jc w:val="both"/>
        <w:rPr>
          <w:rFonts w:ascii="Palatino Linotype" w:eastAsia="Palatino Linotype" w:hAnsi="Palatino Linotype" w:cs="Palatino Linotype"/>
        </w:rPr>
      </w:pPr>
    </w:p>
    <w:p w:rsidR="00035115" w:rsidRDefault="00F871A7">
      <w:pPr>
        <w:ind w:left="567" w:right="-982"/>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035115" w:rsidRDefault="00F871A7">
      <w:pPr>
        <w:ind w:left="567"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“Respuesta emitida por el sujeto obligado Poder Judicial del Estado, a la solicitud de información que presenté el 26 de noviembre de 2025, que me fue notificada el 17 de diciembre de 2025” (Sic)</w:t>
      </w:r>
    </w:p>
    <w:p w:rsidR="00035115" w:rsidRDefault="00035115">
      <w:pPr>
        <w:ind w:left="567" w:right="-982"/>
        <w:jc w:val="both"/>
        <w:rPr>
          <w:rFonts w:ascii="Palatino Linotype" w:eastAsia="Palatino Linotype" w:hAnsi="Palatino Linotype" w:cs="Palatino Linotype"/>
          <w:b/>
          <w:bCs/>
        </w:rPr>
      </w:pPr>
    </w:p>
    <w:p w:rsidR="00035115" w:rsidRDefault="00F871A7">
      <w:pPr>
        <w:tabs>
          <w:tab w:val="left" w:pos="7371"/>
        </w:tabs>
        <w:ind w:left="567" w:right="-982"/>
        <w:jc w:val="both"/>
        <w:rPr>
          <w:rFonts w:ascii="Palatino Linotype" w:eastAsia="Palatino Linotype" w:hAnsi="Palatino Linotype" w:cs="Palatino Linotype"/>
          <w:b/>
          <w:bCs/>
        </w:rPr>
      </w:pPr>
      <w:r>
        <w:rPr>
          <w:rFonts w:ascii="Palatino Linotype" w:eastAsia="Palatino Linotype" w:hAnsi="Palatino Linotype" w:cs="Palatino Linotype"/>
          <w:b/>
          <w:bCs/>
        </w:rPr>
        <w:t>RAZONES O MOTIVOS DE INCONFORMIDAD</w:t>
      </w:r>
    </w:p>
    <w:p w:rsidR="00035115" w:rsidRDefault="00F871A7">
      <w:pPr>
        <w:ind w:left="567"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expresan en el documento que anexo” (Sic)</w:t>
      </w:r>
    </w:p>
    <w:p w:rsidR="00035115" w:rsidRDefault="00035115">
      <w:pPr>
        <w:ind w:left="567" w:right="-982"/>
        <w:jc w:val="both"/>
        <w:rPr>
          <w:rFonts w:ascii="Palatino Linotype" w:eastAsia="Palatino Linotype" w:hAnsi="Palatino Linotype" w:cs="Palatino Linotype"/>
          <w:i/>
          <w:iCs/>
          <w:color w:val="000000"/>
        </w:rPr>
      </w:pPr>
    </w:p>
    <w:p w:rsidR="00035115" w:rsidRDefault="00F871A7">
      <w:pPr>
        <w:spacing w:line="360" w:lineRule="auto"/>
        <w:ind w:right="-98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su inconformidad adjuntó el archivo </w:t>
      </w:r>
      <w:r>
        <w:rPr>
          <w:rFonts w:ascii="Palatino Linotype" w:eastAsia="Palatino Linotype" w:hAnsi="Palatino Linotype" w:cs="Palatino Linotype"/>
          <w:b/>
          <w:bCs/>
          <w:i/>
          <w:iCs/>
          <w:color w:val="000000"/>
        </w:rPr>
        <w:t xml:space="preserve">Recurso Revision 01108-PJUDICI-IP-2025.pdf </w:t>
      </w:r>
      <w:r>
        <w:rPr>
          <w:rFonts w:ascii="Palatino Linotype" w:eastAsia="Palatino Linotype" w:hAnsi="Palatino Linotype" w:cs="Palatino Linotype"/>
          <w:color w:val="000000"/>
        </w:rPr>
        <w:t>donde refiere la negativa a la entrega de la información por el Sujeto Obligado derivado de un pronunciamiento de sistematización  de la misma.</w:t>
      </w:r>
    </w:p>
    <w:p w:rsidR="00035115" w:rsidRDefault="00035115">
      <w:pPr>
        <w:spacing w:line="360" w:lineRule="auto"/>
        <w:ind w:right="-982"/>
        <w:jc w:val="both"/>
        <w:rPr>
          <w:rFonts w:ascii="Palatino Linotype" w:eastAsia="Palatino Linotype" w:hAnsi="Palatino Linotype" w:cs="Palatino Linotype"/>
          <w:color w:val="000000"/>
        </w:rPr>
      </w:pPr>
    </w:p>
    <w:p w:rsidR="00035115" w:rsidRDefault="00F871A7">
      <w:pPr>
        <w:numPr>
          <w:ilvl w:val="0"/>
          <w:numId w:val="5"/>
        </w:numP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Posteriormente, la Comisionada Ponente con fundamento en lo dispuesto por el artículo 185, fracción II, de la Ley de la materia, a través del acuerdo de admisión del </w:t>
      </w:r>
      <w:r>
        <w:rPr>
          <w:rFonts w:ascii="Palatino Linotype" w:eastAsia="Palatino Linotype" w:hAnsi="Palatino Linotype" w:cs="Palatino Linotype"/>
          <w:b/>
          <w:bCs/>
        </w:rPr>
        <w:t xml:space="preserve">doce </w:t>
      </w:r>
      <w:r>
        <w:rPr>
          <w:rFonts w:ascii="Palatino Linotype" w:eastAsia="Palatino Linotype" w:hAnsi="Palatino Linotype" w:cs="Palatino Linotype"/>
          <w:b/>
          <w:bCs/>
        </w:rPr>
        <w:lastRenderedPageBreak/>
        <w:t>de enero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presentase el informe justificado procedente. </w:t>
      </w:r>
    </w:p>
    <w:p w:rsidR="00035115" w:rsidRDefault="00035115">
      <w:pPr>
        <w:spacing w:line="360" w:lineRule="auto"/>
        <w:ind w:right="-982"/>
        <w:jc w:val="both"/>
        <w:rPr>
          <w:rFonts w:ascii="Palatino Linotype" w:eastAsia="Palatino Linotype" w:hAnsi="Palatino Linotype" w:cs="Palatino Linotype"/>
          <w:color w:val="000000"/>
        </w:rPr>
      </w:pPr>
    </w:p>
    <w:p w:rsidR="00035115" w:rsidRDefault="00F871A7">
      <w:pPr>
        <w:numPr>
          <w:ilvl w:val="0"/>
          <w:numId w:val="5"/>
        </w:numPr>
        <w:pBdr>
          <w:top w:val="nil"/>
          <w:left w:val="nil"/>
          <w:bottom w:val="nil"/>
          <w:right w:val="nil"/>
          <w:between w:val="nil"/>
        </w:pBdr>
        <w:spacing w:after="280"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Durante la etapa de manifestaciones en fecha </w:t>
      </w:r>
      <w:r>
        <w:rPr>
          <w:rFonts w:ascii="Palatino Linotype" w:eastAsia="Palatino Linotype" w:hAnsi="Palatino Linotype" w:cs="Palatino Linotype"/>
          <w:b/>
          <w:bCs/>
          <w:color w:val="000000"/>
        </w:rPr>
        <w:t xml:space="preserve">veintiuno de enero de dos mil veintiséis </w:t>
      </w:r>
      <w:r>
        <w:rPr>
          <w:rFonts w:ascii="Palatino Linotype" w:eastAsia="Palatino Linotype" w:hAnsi="Palatino Linotype" w:cs="Palatino Linotype"/>
          <w:color w:val="000000"/>
        </w:rPr>
        <w:t>el Sujeto Obligado mediante archivo electrónico rindió el Informe Justificado correspondiente a derecho, informe que fue puesto a la vista del recurrente en fecha veintiuno de abril de dos mil veintiséis y que medularmente refiere lo siguiente:</w:t>
      </w:r>
    </w:p>
    <w:p w:rsidR="00035115" w:rsidRDefault="00F871A7">
      <w:pPr>
        <w:pBdr>
          <w:top w:val="nil"/>
          <w:left w:val="nil"/>
          <w:bottom w:val="nil"/>
          <w:right w:val="nil"/>
          <w:between w:val="nil"/>
        </w:pBdr>
        <w:tabs>
          <w:tab w:val="left" w:pos="1134"/>
        </w:tabs>
        <w:spacing w:line="276" w:lineRule="auto"/>
        <w:ind w:left="1134" w:right="-98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Informe Justificado RR00283.pdf: </w:t>
      </w:r>
    </w:p>
    <w:p w:rsidR="00035115" w:rsidRDefault="00F871A7">
      <w:pPr>
        <w:pBdr>
          <w:top w:val="nil"/>
          <w:left w:val="nil"/>
          <w:bottom w:val="nil"/>
          <w:right w:val="nil"/>
          <w:between w:val="nil"/>
        </w:pBdr>
        <w:tabs>
          <w:tab w:val="left" w:pos="1134"/>
        </w:tabs>
        <w:spacing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Medularmente el Titular de la Unidad de Transparencia confirma su respuesta.</w:t>
      </w:r>
    </w:p>
    <w:p w:rsidR="00035115" w:rsidRDefault="00035115">
      <w:pPr>
        <w:pBdr>
          <w:top w:val="nil"/>
          <w:left w:val="nil"/>
          <w:bottom w:val="nil"/>
          <w:right w:val="nil"/>
          <w:between w:val="nil"/>
        </w:pBdr>
        <w:tabs>
          <w:tab w:val="left" w:pos="1134"/>
        </w:tabs>
        <w:spacing w:line="276" w:lineRule="auto"/>
        <w:ind w:left="1134" w:right="-982"/>
        <w:jc w:val="both"/>
        <w:rPr>
          <w:rFonts w:ascii="Palatino Linotype" w:eastAsia="Palatino Linotype" w:hAnsi="Palatino Linotype" w:cs="Palatino Linotype"/>
          <w:i/>
          <w:iCs/>
          <w:color w:val="000000"/>
        </w:rPr>
      </w:pPr>
    </w:p>
    <w:p w:rsidR="00035115" w:rsidRDefault="00F871A7">
      <w:pPr>
        <w:pBdr>
          <w:top w:val="nil"/>
          <w:left w:val="nil"/>
          <w:bottom w:val="nil"/>
          <w:right w:val="nil"/>
          <w:between w:val="nil"/>
        </w:pBdr>
        <w:tabs>
          <w:tab w:val="left" w:pos="426"/>
        </w:tabs>
        <w:spacing w:line="360" w:lineRule="auto"/>
        <w:ind w:right="-98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y </w:t>
      </w:r>
      <w:r>
        <w:rPr>
          <w:rFonts w:ascii="Palatino Linotype" w:eastAsia="Palatino Linotype" w:hAnsi="Palatino Linotype" w:cs="Palatino Linotype"/>
        </w:rPr>
        <w:t>asistieron</w:t>
      </w:r>
      <w:r>
        <w:rPr>
          <w:rFonts w:ascii="Palatino Linotype" w:eastAsia="Palatino Linotype" w:hAnsi="Palatino Linotype" w:cs="Palatino Linotype"/>
          <w:color w:val="000000"/>
        </w:rPr>
        <w:t>.</w:t>
      </w:r>
    </w:p>
    <w:p w:rsidR="00035115" w:rsidRDefault="00035115">
      <w:pPr>
        <w:tabs>
          <w:tab w:val="left" w:pos="0"/>
        </w:tabs>
        <w:spacing w:after="280"/>
        <w:ind w:left="1134" w:right="-982"/>
        <w:jc w:val="both"/>
        <w:rPr>
          <w:rFonts w:ascii="Palatino Linotype" w:eastAsia="Palatino Linotype" w:hAnsi="Palatino Linotype" w:cs="Palatino Linotype"/>
          <w:i/>
          <w:iCs/>
        </w:rPr>
      </w:pPr>
    </w:p>
    <w:p w:rsidR="00035115" w:rsidRDefault="00F871A7">
      <w:pPr>
        <w:numPr>
          <w:ilvl w:val="0"/>
          <w:numId w:val="8"/>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b/>
          <w:bCs/>
          <w:color w:val="000000"/>
        </w:rPr>
        <w:t>fecha veintiséis de febrero de dos mil veintiséis</w:t>
      </w:r>
      <w:r>
        <w:rPr>
          <w:rFonts w:ascii="Palatino Linotype" w:eastAsia="Palatino Linotype" w:hAnsi="Palatino Linotype" w:cs="Palatino Linotype"/>
          <w:color w:val="000000"/>
        </w:rPr>
        <w:t>, se acordó ampliar el término para resolver el presente asunto.</w:t>
      </w:r>
    </w:p>
    <w:p w:rsidR="00035115" w:rsidRDefault="00035115">
      <w:pPr>
        <w:pBdr>
          <w:top w:val="nil"/>
          <w:left w:val="nil"/>
          <w:bottom w:val="nil"/>
          <w:right w:val="nil"/>
          <w:between w:val="nil"/>
        </w:pBdr>
        <w:ind w:right="-982"/>
        <w:rPr>
          <w:rFonts w:ascii="Palatino Linotype" w:eastAsia="Palatino Linotype" w:hAnsi="Palatino Linotype" w:cs="Palatino Linotype"/>
          <w:b/>
          <w:bCs/>
          <w:color w:val="000000"/>
        </w:rPr>
      </w:pPr>
    </w:p>
    <w:p w:rsidR="00035115" w:rsidRDefault="00F871A7">
      <w:pPr>
        <w:numPr>
          <w:ilvl w:val="0"/>
          <w:numId w:val="8"/>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8"/>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La Comisionada Ponente decretó el cierre de instrucción mediante el acuerdo del </w:t>
      </w:r>
      <w:r>
        <w:rPr>
          <w:rFonts w:ascii="Palatino Linotype" w:eastAsia="Palatino Linotype" w:hAnsi="Palatino Linotype" w:cs="Palatino Linotype"/>
          <w:b/>
          <w:bCs/>
        </w:rPr>
        <w:t xml:space="preserve">veintiocho de abril de dos mil veintiséis; </w:t>
      </w:r>
      <w:r>
        <w:rPr>
          <w:rFonts w:ascii="Palatino Linotype" w:eastAsia="Palatino Linotype" w:hAnsi="Palatino Linotype" w:cs="Palatino Linotype"/>
        </w:rPr>
        <w:t xml:space="preserve">por lo que en virtud de que el expediente electrónico ha sido debidamente sustanciado y no existe diligencia pendiente de desahogo, se procede a emitir la presente resolución que conforme a Derecho corresponda y; </w:t>
      </w:r>
    </w:p>
    <w:p w:rsidR="009B1E22" w:rsidRDefault="009B1E22" w:rsidP="009B1E22">
      <w:pPr>
        <w:spacing w:line="360" w:lineRule="auto"/>
        <w:ind w:right="-982"/>
        <w:jc w:val="both"/>
        <w:rPr>
          <w:rFonts w:ascii="Palatino Linotype" w:eastAsia="Palatino Linotype" w:hAnsi="Palatino Linotype" w:cs="Palatino Linotype"/>
        </w:rPr>
      </w:pPr>
    </w:p>
    <w:p w:rsidR="00035115" w:rsidRDefault="00F871A7">
      <w:pPr>
        <w:spacing w:line="360" w:lineRule="auto"/>
        <w:ind w:right="-982"/>
        <w:jc w:val="center"/>
        <w:rPr>
          <w:rFonts w:ascii="Palatino Linotype" w:eastAsia="Palatino Linotype" w:hAnsi="Palatino Linotype" w:cs="Palatino Linotype"/>
          <w:b/>
          <w:bCs/>
          <w:color w:val="000000"/>
        </w:rPr>
      </w:pPr>
      <w:bookmarkStart w:id="3" w:name="_heading=h.3znysh7" w:colFirst="0" w:colLast="0"/>
      <w:bookmarkEnd w:id="3"/>
      <w:r>
        <w:rPr>
          <w:rFonts w:ascii="Palatino Linotype" w:eastAsia="Palatino Linotype" w:hAnsi="Palatino Linotype" w:cs="Palatino Linotype"/>
          <w:b/>
          <w:bCs/>
          <w:color w:val="000000"/>
        </w:rPr>
        <w:t>C O N S I D E R A N D O</w:t>
      </w:r>
    </w:p>
    <w:p w:rsidR="00035115" w:rsidRDefault="00035115">
      <w:pPr>
        <w:spacing w:line="360" w:lineRule="auto"/>
        <w:ind w:right="-982"/>
        <w:jc w:val="center"/>
        <w:rPr>
          <w:rFonts w:ascii="Palatino Linotype" w:eastAsia="Palatino Linotype" w:hAnsi="Palatino Linotype" w:cs="Palatino Linotype"/>
          <w:b/>
          <w:bCs/>
        </w:rPr>
      </w:pPr>
    </w:p>
    <w:p w:rsidR="00035115" w:rsidRDefault="00F871A7">
      <w:pPr>
        <w:keepNext/>
        <w:keepLines/>
        <w:spacing w:line="360" w:lineRule="auto"/>
        <w:ind w:right="-982"/>
        <w:rPr>
          <w:rFonts w:ascii="Palatino Linotype" w:eastAsia="Palatino Linotype" w:hAnsi="Palatino Linotype" w:cs="Palatino Linotype"/>
          <w:b/>
          <w:bCs/>
        </w:rPr>
      </w:pPr>
      <w:bookmarkStart w:id="4" w:name="_heading=h.2et92p0" w:colFirst="0" w:colLast="0"/>
      <w:bookmarkEnd w:id="4"/>
      <w:r>
        <w:rPr>
          <w:rFonts w:ascii="Palatino Linotype" w:eastAsia="Palatino Linotype" w:hAnsi="Palatino Linotype" w:cs="Palatino Linotype"/>
          <w:b/>
          <w:bCs/>
        </w:rPr>
        <w:t>PRIMERO. De la competencia</w:t>
      </w:r>
    </w:p>
    <w:p w:rsidR="00035115" w:rsidRDefault="00F871A7">
      <w:pPr>
        <w:numPr>
          <w:ilvl w:val="0"/>
          <w:numId w:val="23"/>
        </w:numPr>
        <w:spacing w:line="360" w:lineRule="auto"/>
        <w:ind w:left="0" w:right="-982" w:firstLine="0"/>
        <w:jc w:val="both"/>
        <w:rPr>
          <w:rFonts w:ascii="Palatino Linotype" w:eastAsia="Palatino Linotype" w:hAnsi="Palatino Linotype" w:cs="Palatino Linotype"/>
        </w:rPr>
      </w:pPr>
      <w:bookmarkStart w:id="5" w:name="_heading=h.tyjcwt" w:colFirst="0" w:colLast="0"/>
      <w:bookmarkEnd w:id="5"/>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tabs>
          <w:tab w:val="left" w:pos="426"/>
        </w:tabs>
        <w:spacing w:line="360" w:lineRule="auto"/>
        <w:ind w:right="-982"/>
        <w:jc w:val="both"/>
        <w:rPr>
          <w:rFonts w:ascii="Palatino Linotype" w:eastAsia="Palatino Linotype" w:hAnsi="Palatino Linotype" w:cs="Palatino Linotype"/>
          <w:b/>
          <w:bCs/>
          <w:color w:val="000000"/>
        </w:rPr>
      </w:pPr>
      <w:bookmarkStart w:id="6" w:name="_heading=h.3dy6vkm" w:colFirst="0" w:colLast="0"/>
      <w:bookmarkEnd w:id="6"/>
      <w:r>
        <w:rPr>
          <w:rFonts w:ascii="Palatino Linotype" w:eastAsia="Palatino Linotype" w:hAnsi="Palatino Linotype" w:cs="Palatino Linotype"/>
          <w:b/>
          <w:bCs/>
          <w:color w:val="000000"/>
        </w:rPr>
        <w:t>SEGUNDO. De la procedencia.</w:t>
      </w:r>
    </w:p>
    <w:p w:rsidR="00035115" w:rsidRDefault="00F871A7">
      <w:pPr>
        <w:numPr>
          <w:ilvl w:val="0"/>
          <w:numId w:val="23"/>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bookmarkStart w:id="7" w:name="_heading=h.1t3h5sf" w:colFirst="0" w:colLast="0"/>
      <w:bookmarkEnd w:id="7"/>
      <w:r>
        <w:rPr>
          <w:rFonts w:ascii="Palatino Linotype" w:eastAsia="Palatino Linotype" w:hAnsi="Palatino Linotype" w:cs="Palatino Linotype"/>
          <w:color w:val="000000"/>
        </w:rPr>
        <w:t xml:space="preserve">El medio de impugnación fue presentado a través del SAIMEX en el formato previamente aprobado para tal efecto y dentro del plazo legal de quince días hábiles otorgados; siendo así que el SUJETO OBLIGADO entregó respuesta el diecisiete de diciembre de dos mil veinticinco, de tal forma que el plazo para interponer el recurso de revisión transcurrió del </w:t>
      </w:r>
      <w:r>
        <w:rPr>
          <w:rFonts w:ascii="Palatino Linotype" w:eastAsia="Palatino Linotype" w:hAnsi="Palatino Linotype" w:cs="Palatino Linotype"/>
          <w:b/>
          <w:bCs/>
          <w:color w:val="000000"/>
        </w:rPr>
        <w:t xml:space="preserve">dieciocho de diciembre de dos mil veinticinco </w:t>
      </w:r>
      <w:r>
        <w:rPr>
          <w:rFonts w:ascii="Palatino Linotype" w:eastAsia="Palatino Linotype" w:hAnsi="Palatino Linotype" w:cs="Palatino Linotype"/>
          <w:b/>
          <w:bCs/>
        </w:rPr>
        <w:t>a veintiocho</w:t>
      </w:r>
      <w:r>
        <w:rPr>
          <w:rFonts w:ascii="Palatino Linotype" w:eastAsia="Palatino Linotype" w:hAnsi="Palatino Linotype" w:cs="Palatino Linotype"/>
          <w:b/>
          <w:bCs/>
          <w:color w:val="000000"/>
        </w:rPr>
        <w:t xml:space="preserve"> de enero de dos mil veintiséis,</w:t>
      </w:r>
      <w:r>
        <w:rPr>
          <w:rFonts w:ascii="Palatino Linotype" w:eastAsia="Palatino Linotype" w:hAnsi="Palatino Linotype" w:cs="Palatino Linotype"/>
          <w:color w:val="000000"/>
        </w:rPr>
        <w:t xml:space="preserve"> en consecuencia, si la parte RECURRENTE presentó su </w:t>
      </w:r>
      <w:r>
        <w:rPr>
          <w:rFonts w:ascii="Palatino Linotype" w:eastAsia="Palatino Linotype" w:hAnsi="Palatino Linotype" w:cs="Palatino Linotype"/>
          <w:color w:val="000000"/>
        </w:rPr>
        <w:lastRenderedPageBreak/>
        <w:t>inconformidad el doce de enero de dos mil veintiséis, se encuentra dentro de los márgenes temporales previstos en el artículo 178 de la Ley de Transparencia y Acceso a la Información Pública del Estado de México y Municipios.</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24"/>
        </w:numPr>
        <w:spacing w:line="360" w:lineRule="auto"/>
        <w:ind w:left="0" w:right="-982" w:firstLine="0"/>
        <w:jc w:val="both"/>
      </w:pPr>
      <w:r>
        <w:rPr>
          <w:rFonts w:ascii="Palatino Linotype" w:eastAsia="Palatino Linotype" w:hAnsi="Palatino Linotype" w:cs="Palatino Linotype"/>
        </w:rPr>
        <w:t>Por otro lado el escrito contiene las formalidades previstas en el artículo 180 último párrafo de la citada Ley de la materia, por lo que es procedente que este Instituto conozca y resuelva el presente recurso.</w:t>
      </w:r>
    </w:p>
    <w:p w:rsidR="00035115" w:rsidRDefault="00035115">
      <w:pPr>
        <w:spacing w:line="360" w:lineRule="auto"/>
        <w:ind w:right="-982"/>
        <w:rPr>
          <w:rFonts w:ascii="Palatino Linotype" w:eastAsia="Palatino Linotype" w:hAnsi="Palatino Linotype" w:cs="Palatino Linotype"/>
        </w:rPr>
      </w:pPr>
    </w:p>
    <w:p w:rsidR="00035115" w:rsidRDefault="00F871A7">
      <w:pPr>
        <w:keepNext/>
        <w:keepLines/>
        <w:spacing w:line="360" w:lineRule="auto"/>
        <w:ind w:right="-982"/>
        <w:rPr>
          <w:rFonts w:ascii="Palatino Linotype" w:eastAsia="Palatino Linotype" w:hAnsi="Palatino Linotype" w:cs="Palatino Linotype"/>
          <w:b/>
          <w:bCs/>
          <w:color w:val="000000"/>
        </w:rPr>
      </w:pPr>
      <w:bookmarkStart w:id="8" w:name="_heading=h.4d34og8" w:colFirst="0" w:colLast="0"/>
      <w:bookmarkEnd w:id="8"/>
      <w:r>
        <w:rPr>
          <w:rFonts w:ascii="Palatino Linotype" w:eastAsia="Palatino Linotype" w:hAnsi="Palatino Linotype" w:cs="Palatino Linotype"/>
          <w:b/>
          <w:bCs/>
          <w:color w:val="000000"/>
        </w:rPr>
        <w:t xml:space="preserve">TERCERO. Del planteamiento de la </w:t>
      </w:r>
      <w:r>
        <w:rPr>
          <w:rFonts w:ascii="Palatino Linotype" w:eastAsia="Palatino Linotype" w:hAnsi="Palatino Linotype" w:cs="Palatino Linotype"/>
          <w:b/>
          <w:bCs/>
          <w:i/>
          <w:iCs/>
          <w:color w:val="000000"/>
        </w:rPr>
        <w:t>Litis</w:t>
      </w:r>
      <w:r>
        <w:rPr>
          <w:rFonts w:ascii="Palatino Linotype" w:eastAsia="Palatino Linotype" w:hAnsi="Palatino Linotype" w:cs="Palatino Linotype"/>
          <w:b/>
          <w:bCs/>
          <w:color w:val="000000"/>
        </w:rPr>
        <w:t>.</w:t>
      </w:r>
    </w:p>
    <w:p w:rsidR="00035115" w:rsidRDefault="00F871A7">
      <w:pPr>
        <w:numPr>
          <w:ilvl w:val="0"/>
          <w:numId w:val="12"/>
        </w:numPr>
        <w:spacing w:line="360" w:lineRule="auto"/>
        <w:ind w:left="0" w:right="-982" w:firstLine="0"/>
        <w:jc w:val="both"/>
        <w:rPr>
          <w:rFonts w:ascii="Palatino Linotype" w:eastAsia="Palatino Linotype" w:hAnsi="Palatino Linotype" w:cs="Palatino Linotype"/>
          <w:b/>
          <w:bCs/>
        </w:rPr>
      </w:pPr>
      <w:r>
        <w:rPr>
          <w:rFonts w:ascii="Palatino Linotype" w:eastAsia="Palatino Linotype" w:hAnsi="Palatino Linotype" w:cs="Palatino Linotype"/>
        </w:rPr>
        <w:t>De las constancias en el expediente al rubro indicado, se desprende que el particular solicitó:</w:t>
      </w:r>
    </w:p>
    <w:p w:rsidR="00035115" w:rsidRDefault="00F871A7">
      <w:pPr>
        <w:spacing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ÚNICO: Expediente donde se acrediten los requisitos necesarios para ocupar el cargo de Auditor Visitador en materia laboral para el servidor público referido en la solicitud.</w:t>
      </w:r>
    </w:p>
    <w:p w:rsidR="00035115" w:rsidRDefault="00035115">
      <w:pPr>
        <w:spacing w:line="276" w:lineRule="auto"/>
        <w:ind w:left="1134" w:right="-982"/>
        <w:jc w:val="both"/>
        <w:rPr>
          <w:rFonts w:ascii="Palatino Linotype" w:eastAsia="Palatino Linotype" w:hAnsi="Palatino Linotype" w:cs="Palatino Linotype"/>
          <w:i/>
          <w:iCs/>
        </w:rPr>
      </w:pPr>
    </w:p>
    <w:p w:rsidR="00035115" w:rsidRDefault="00F871A7">
      <w:pPr>
        <w:numPr>
          <w:ilvl w:val="0"/>
          <w:numId w:val="21"/>
        </w:numPr>
        <w:pBdr>
          <w:top w:val="nil"/>
          <w:left w:val="nil"/>
          <w:bottom w:val="nil"/>
          <w:right w:val="nil"/>
          <w:between w:val="nil"/>
        </w:pBdr>
        <w:tabs>
          <w:tab w:val="left" w:pos="851"/>
        </w:tabs>
        <w:spacing w:line="360" w:lineRule="auto"/>
        <w:ind w:left="0" w:right="-98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En respuesta el Sujeto Obligado, remitió en respuesta lo descrito  en el numeral 2. , por lo que, inconforme con la respuesta, se interpuso el recurso de revisión, argumentando sustancialmente la negativa a la información solicitada.</w:t>
      </w:r>
    </w:p>
    <w:p w:rsidR="00035115" w:rsidRDefault="00035115">
      <w:pPr>
        <w:pBdr>
          <w:top w:val="nil"/>
          <w:left w:val="nil"/>
          <w:bottom w:val="nil"/>
          <w:right w:val="nil"/>
          <w:between w:val="nil"/>
        </w:pBdr>
        <w:tabs>
          <w:tab w:val="left" w:pos="851"/>
        </w:tabs>
        <w:spacing w:line="360" w:lineRule="auto"/>
        <w:ind w:right="-982"/>
        <w:jc w:val="both"/>
        <w:rPr>
          <w:rFonts w:ascii="Palatino Linotype" w:eastAsia="Palatino Linotype" w:hAnsi="Palatino Linotype" w:cs="Palatino Linotype"/>
          <w:b/>
          <w:bCs/>
          <w:i/>
          <w:iCs/>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de la</w:t>
      </w:r>
      <w:r>
        <w:rPr>
          <w:rFonts w:ascii="Palatino Linotype" w:eastAsia="Palatino Linotype" w:hAnsi="Palatino Linotype" w:cs="Palatino Linotype"/>
          <w:color w:val="000000"/>
        </w:rPr>
        <w:t xml:space="preserve"> Ley</w:t>
      </w:r>
      <w:r>
        <w:rPr>
          <w:rFonts w:ascii="Palatino Linotype" w:eastAsia="Palatino Linotype" w:hAnsi="Palatino Linotype" w:cs="Palatino Linotype"/>
          <w:b/>
          <w:bCs/>
        </w:rPr>
        <w:t xml:space="preserve">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fracciones  que </w:t>
      </w:r>
      <w:r>
        <w:rPr>
          <w:rFonts w:ascii="Palatino Linotype" w:eastAsia="Palatino Linotype" w:hAnsi="Palatino Linotype" w:cs="Palatino Linotype"/>
        </w:rPr>
        <w:t>determinan</w:t>
      </w:r>
      <w:r>
        <w:rPr>
          <w:rFonts w:ascii="Palatino Linotype" w:eastAsia="Palatino Linotype" w:hAnsi="Palatino Linotype" w:cs="Palatino Linotype"/>
          <w:color w:val="000000"/>
        </w:rPr>
        <w:t xml:space="preserve"> la hipótesis jurídica relativas a la negativa a la entrega de información;</w:t>
      </w:r>
      <w:r>
        <w:rPr>
          <w:rFonts w:ascii="Palatino Linotype" w:eastAsia="Palatino Linotype" w:hAnsi="Palatino Linotype" w:cs="Palatino Linotype"/>
        </w:rPr>
        <w:t xml:space="preserve"> de lo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De modo tal que el recurso de revisión se abocará en determinar si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con sus respuestas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keepNext/>
        <w:keepLines/>
        <w:spacing w:line="276" w:lineRule="auto"/>
        <w:ind w:right="-98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rsidR="00035115" w:rsidRDefault="00F871A7">
      <w:pPr>
        <w:keepNext/>
        <w:keepLines/>
        <w:numPr>
          <w:ilvl w:val="0"/>
          <w:numId w:val="1"/>
        </w:numPr>
        <w:spacing w:after="240" w:line="276" w:lineRule="auto"/>
        <w:ind w:left="786" w:right="-982"/>
        <w:rPr>
          <w:rFonts w:ascii="Palatino Linotype" w:eastAsia="Palatino Linotype" w:hAnsi="Palatino Linotype" w:cs="Palatino Linotype"/>
          <w:b/>
          <w:bCs/>
        </w:rPr>
      </w:pPr>
      <w:bookmarkStart w:id="9" w:name="_heading=h.2s8eyo1" w:colFirst="0" w:colLast="0"/>
      <w:bookmarkEnd w:id="9"/>
      <w:r>
        <w:rPr>
          <w:rFonts w:ascii="Palatino Linotype" w:eastAsia="Palatino Linotype" w:hAnsi="Palatino Linotype" w:cs="Palatino Linotype"/>
          <w:b/>
          <w:bCs/>
        </w:rPr>
        <w:t>Del derecho de acceso a la información.</w:t>
      </w:r>
    </w:p>
    <w:p w:rsidR="00035115" w:rsidRDefault="00F871A7">
      <w:pPr>
        <w:numPr>
          <w:ilvl w:val="0"/>
          <w:numId w:val="21"/>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w:t>
      </w:r>
      <w:r>
        <w:rPr>
          <w:rFonts w:ascii="Palatino Linotype" w:eastAsia="Palatino Linotype" w:hAnsi="Palatino Linotype" w:cs="Palatino Linotype"/>
          <w:i/>
          <w:iCs/>
          <w:color w:val="000000"/>
        </w:rPr>
        <w:lastRenderedPageBreak/>
        <w:t>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035115" w:rsidRDefault="00F871A7">
      <w:pPr>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035115" w:rsidRDefault="00F871A7">
      <w:pPr>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5115" w:rsidRDefault="00F871A7">
      <w:pPr>
        <w:spacing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035115" w:rsidRDefault="00F871A7">
      <w:pPr>
        <w:ind w:left="1134" w:right="-982"/>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035115" w:rsidRDefault="00035115">
      <w:pPr>
        <w:ind w:left="1134" w:right="-982"/>
        <w:jc w:val="both"/>
        <w:rPr>
          <w:rFonts w:ascii="Palatino Linotype" w:eastAsia="Palatino Linotype" w:hAnsi="Palatino Linotype" w:cs="Palatino Linotype"/>
          <w:b/>
          <w:bCs/>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9B1E22" w:rsidRDefault="009B1E22" w:rsidP="009B1E22">
      <w:pPr>
        <w:spacing w:line="360" w:lineRule="auto"/>
        <w:ind w:right="-982"/>
        <w:jc w:val="both"/>
        <w:rPr>
          <w:rFonts w:ascii="Palatino Linotype" w:eastAsia="Palatino Linotype" w:hAnsi="Palatino Linotype" w:cs="Palatino Linotype"/>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w:t>
      </w:r>
      <w:r>
        <w:rPr>
          <w:rFonts w:ascii="Palatino Linotype" w:eastAsia="Palatino Linotype" w:hAnsi="Palatino Linotype" w:cs="Palatino Linotype"/>
        </w:rPr>
        <w:lastRenderedPageBreak/>
        <w:t>cumplimiento de las garantías primarias, entendidas como obligaciones inmediatamente relacionadas con el Derecho de Acceso a la Información Pública, permiten que todas las autoridades, en el ámbito de sus atribuciones lo respeten, protejan y garanticen.</w:t>
      </w:r>
    </w:p>
    <w:p w:rsidR="00035115" w:rsidRDefault="00F871A7">
      <w:pPr>
        <w:tabs>
          <w:tab w:val="left" w:pos="7938"/>
        </w:tabs>
        <w:spacing w:after="240" w:line="276"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035115" w:rsidRDefault="00F871A7">
      <w:pPr>
        <w:tabs>
          <w:tab w:val="left" w:pos="7938"/>
        </w:tabs>
        <w:spacing w:before="240" w:after="240" w:line="276"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035115" w:rsidRDefault="00F871A7">
      <w:pPr>
        <w:tabs>
          <w:tab w:val="left" w:pos="7938"/>
        </w:tabs>
        <w:spacing w:before="240" w:after="240"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5115" w:rsidRDefault="00F871A7">
      <w:pPr>
        <w:tabs>
          <w:tab w:val="left" w:pos="7938"/>
        </w:tabs>
        <w:spacing w:before="240" w:after="240"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035115" w:rsidRDefault="00F871A7">
      <w:pPr>
        <w:tabs>
          <w:tab w:val="left" w:pos="7938"/>
        </w:tabs>
        <w:spacing w:before="240" w:after="240" w:line="276"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035115" w:rsidRDefault="00F871A7">
      <w:pPr>
        <w:tabs>
          <w:tab w:val="left" w:pos="7938"/>
        </w:tabs>
        <w:spacing w:before="240" w:after="240"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35115" w:rsidRDefault="00035115">
      <w:pPr>
        <w:tabs>
          <w:tab w:val="left" w:pos="567"/>
          <w:tab w:val="left" w:pos="7938"/>
        </w:tabs>
        <w:spacing w:before="240"/>
        <w:ind w:left="1134" w:right="-982"/>
        <w:jc w:val="both"/>
        <w:rPr>
          <w:rFonts w:ascii="Palatino Linotype" w:eastAsia="Palatino Linotype" w:hAnsi="Palatino Linotype" w:cs="Palatino Linotype"/>
          <w:b/>
          <w:bCs/>
          <w:i/>
          <w:iCs/>
        </w:rPr>
      </w:pPr>
    </w:p>
    <w:p w:rsidR="00035115" w:rsidRDefault="00F871A7">
      <w:pPr>
        <w:tabs>
          <w:tab w:val="left" w:pos="7938"/>
        </w:tabs>
        <w:spacing w:after="240"/>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035115" w:rsidRDefault="00F871A7">
      <w:pPr>
        <w:tabs>
          <w:tab w:val="left" w:pos="7938"/>
        </w:tabs>
        <w:spacing w:before="240" w:after="240"/>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035115" w:rsidRDefault="00F871A7">
      <w:pPr>
        <w:tabs>
          <w:tab w:val="left" w:pos="7938"/>
        </w:tabs>
        <w:spacing w:before="240" w:after="240"/>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5115" w:rsidRDefault="00F871A7">
      <w:pPr>
        <w:tabs>
          <w:tab w:val="left" w:pos="7938"/>
        </w:tabs>
        <w:spacing w:before="240" w:after="240"/>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035115" w:rsidRDefault="00F871A7">
      <w:pPr>
        <w:tabs>
          <w:tab w:val="left" w:pos="7938"/>
        </w:tabs>
        <w:spacing w:before="240" w:after="240"/>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35115" w:rsidRDefault="00035115">
      <w:pPr>
        <w:tabs>
          <w:tab w:val="left" w:pos="7938"/>
        </w:tabs>
        <w:spacing w:before="240" w:after="240"/>
        <w:ind w:left="1134" w:right="-982"/>
        <w:jc w:val="both"/>
        <w:rPr>
          <w:rFonts w:ascii="Palatino Linotype" w:eastAsia="Palatino Linotype" w:hAnsi="Palatino Linotype" w:cs="Palatino Linotype"/>
          <w:i/>
          <w:iCs/>
        </w:rPr>
      </w:pPr>
    </w:p>
    <w:p w:rsidR="00035115" w:rsidRDefault="00F871A7">
      <w:pPr>
        <w:tabs>
          <w:tab w:val="left" w:pos="7938"/>
        </w:tabs>
        <w:spacing w:before="240" w:after="240"/>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035115" w:rsidRDefault="00F871A7">
      <w:pPr>
        <w:tabs>
          <w:tab w:val="left" w:pos="7938"/>
        </w:tabs>
        <w:spacing w:before="240" w:after="240"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35115" w:rsidRDefault="00035115">
      <w:pPr>
        <w:tabs>
          <w:tab w:val="left" w:pos="567"/>
        </w:tabs>
        <w:spacing w:before="240" w:after="240"/>
        <w:ind w:right="-982"/>
        <w:jc w:val="both"/>
        <w:rPr>
          <w:rFonts w:ascii="Palatino Linotype" w:eastAsia="Palatino Linotype" w:hAnsi="Palatino Linotype" w:cs="Palatino Linotype"/>
          <w:b/>
          <w:bCs/>
          <w:i/>
          <w:iCs/>
        </w:rPr>
      </w:pPr>
    </w:p>
    <w:p w:rsidR="00035115" w:rsidRDefault="00F871A7">
      <w:pPr>
        <w:numPr>
          <w:ilvl w:val="0"/>
          <w:numId w:val="21"/>
        </w:numPr>
        <w:spacing w:before="240"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21"/>
        </w:numPr>
        <w:spacing w:line="360" w:lineRule="auto"/>
        <w:ind w:left="0" w:right="-982" w:firstLine="0"/>
        <w:jc w:val="both"/>
        <w:rPr>
          <w:rFonts w:ascii="Palatino Linotype" w:eastAsia="Palatino Linotype" w:hAnsi="Palatino Linotype" w:cs="Palatino Linotype"/>
        </w:rPr>
      </w:pPr>
      <w:bookmarkStart w:id="10" w:name="_heading=h.17dp8vu" w:colFirst="0" w:colLast="0"/>
      <w:bookmarkEnd w:id="10"/>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keepNext/>
        <w:keepLines/>
        <w:numPr>
          <w:ilvl w:val="0"/>
          <w:numId w:val="1"/>
        </w:numPr>
        <w:pBdr>
          <w:top w:val="nil"/>
          <w:left w:val="nil"/>
          <w:bottom w:val="nil"/>
          <w:right w:val="nil"/>
          <w:between w:val="nil"/>
        </w:pBdr>
        <w:spacing w:after="240"/>
        <w:ind w:left="0" w:right="-982" w:firstLine="0"/>
        <w:rPr>
          <w:rFonts w:ascii="Palatino Linotype" w:eastAsia="Palatino Linotype" w:hAnsi="Palatino Linotype" w:cs="Palatino Linotype"/>
          <w:b/>
          <w:bCs/>
          <w:color w:val="000000"/>
        </w:rPr>
      </w:pPr>
      <w:bookmarkStart w:id="11" w:name="_heading=h.3rdcrjn" w:colFirst="0" w:colLast="0"/>
      <w:bookmarkEnd w:id="11"/>
      <w:r>
        <w:rPr>
          <w:rFonts w:ascii="Palatino Linotype" w:eastAsia="Palatino Linotype" w:hAnsi="Palatino Linotype" w:cs="Palatino Linotype"/>
          <w:b/>
          <w:bCs/>
          <w:color w:val="000000"/>
        </w:rPr>
        <w:t xml:space="preserve"> De la información solicitada y la respuesta del SUJETO OBLIGADO</w:t>
      </w:r>
    </w:p>
    <w:p w:rsidR="00035115" w:rsidRDefault="00F871A7">
      <w:pPr>
        <w:numPr>
          <w:ilvl w:val="0"/>
          <w:numId w:val="19"/>
        </w:numP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Cabe recordar dentro de la solicitud que dio origen al presente Recurso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solicitó la siguiente información:</w:t>
      </w:r>
    </w:p>
    <w:p w:rsidR="00035115" w:rsidRDefault="00F871A7">
      <w:pPr>
        <w:tabs>
          <w:tab w:val="left" w:pos="7938"/>
        </w:tabs>
        <w:spacing w:line="360"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ÚNICO: Expediente donde se acrediten los requisitos necesarios para ocupar el cargo de Auditor Visitador en materia laboral para el servidor público referido en la solicitud.</w:t>
      </w:r>
    </w:p>
    <w:p w:rsidR="00035115" w:rsidRDefault="00035115">
      <w:pPr>
        <w:tabs>
          <w:tab w:val="left" w:pos="7938"/>
        </w:tabs>
        <w:spacing w:line="360" w:lineRule="auto"/>
        <w:ind w:left="1134" w:right="-982"/>
        <w:jc w:val="both"/>
        <w:rPr>
          <w:rFonts w:ascii="Palatino Linotype" w:eastAsia="Palatino Linotype" w:hAnsi="Palatino Linotype" w:cs="Palatino Linotype"/>
          <w:i/>
          <w:iCs/>
        </w:rPr>
      </w:pPr>
    </w:p>
    <w:p w:rsidR="00035115" w:rsidRDefault="00F871A7">
      <w:pPr>
        <w:numPr>
          <w:ilvl w:val="0"/>
          <w:numId w:val="9"/>
        </w:numPr>
        <w:pBdr>
          <w:top w:val="nil"/>
          <w:left w:val="nil"/>
          <w:bottom w:val="nil"/>
          <w:right w:val="nil"/>
          <w:between w:val="nil"/>
        </w:pBdr>
        <w:spacing w:before="240" w:after="240"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al respecto, es de señalar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 por lo que ,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 los servidores públicos habilitados que tengan bajo su resguardo la misma, de conformidad con los </w:t>
      </w:r>
      <w:r>
        <w:rPr>
          <w:rFonts w:ascii="Palatino Linotype" w:eastAsia="Palatino Linotype" w:hAnsi="Palatino Linotype" w:cs="Palatino Linotype"/>
          <w:color w:val="000000"/>
        </w:rPr>
        <w:lastRenderedPageBreak/>
        <w:t>artículos 53, fracciones II y IV y 162 de la Ley de Transparencia y Acceso a la Información Pública del Estado de México y Municipios.</w:t>
      </w:r>
    </w:p>
    <w:p w:rsidR="00035115" w:rsidRDefault="00035115">
      <w:pPr>
        <w:spacing w:before="240" w:after="240"/>
        <w:ind w:right="-982"/>
        <w:jc w:val="both"/>
        <w:rPr>
          <w:rFonts w:ascii="Palatino Linotype" w:eastAsia="Palatino Linotype" w:hAnsi="Palatino Linotype" w:cs="Palatino Linotype"/>
        </w:rPr>
      </w:pPr>
    </w:p>
    <w:p w:rsidR="00035115" w:rsidRDefault="00F871A7">
      <w:pPr>
        <w:numPr>
          <w:ilvl w:val="0"/>
          <w:numId w:val="9"/>
        </w:numPr>
        <w:pBdr>
          <w:top w:val="nil"/>
          <w:left w:val="nil"/>
          <w:bottom w:val="nil"/>
          <w:right w:val="nil"/>
          <w:between w:val="nil"/>
        </w:pBdr>
        <w:spacing w:before="240"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w:t>
      </w:r>
    </w:p>
    <w:p w:rsidR="00035115" w:rsidRDefault="00035115">
      <w:pPr>
        <w:pBdr>
          <w:top w:val="nil"/>
          <w:left w:val="nil"/>
          <w:bottom w:val="nil"/>
          <w:right w:val="nil"/>
          <w:between w:val="nil"/>
        </w:pBdr>
        <w:spacing w:before="240" w:line="360" w:lineRule="auto"/>
        <w:ind w:left="928" w:right="-982"/>
        <w:jc w:val="both"/>
        <w:rPr>
          <w:rFonts w:ascii="Palatino Linotype" w:eastAsia="Palatino Linotype" w:hAnsi="Palatino Linotype" w:cs="Palatino Linotype"/>
        </w:rPr>
      </w:pPr>
    </w:p>
    <w:p w:rsidR="00035115" w:rsidRDefault="00F871A7">
      <w:pPr>
        <w:numPr>
          <w:ilvl w:val="0"/>
          <w:numId w:val="9"/>
        </w:numPr>
        <w:pBdr>
          <w:top w:val="nil"/>
          <w:left w:val="nil"/>
          <w:bottom w:val="nil"/>
          <w:right w:val="nil"/>
          <w:between w:val="nil"/>
        </w:pBdr>
        <w:spacing w:after="240"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rsidR="00035115" w:rsidRDefault="00F871A7">
      <w:pPr>
        <w:numPr>
          <w:ilvl w:val="0"/>
          <w:numId w:val="9"/>
        </w:numPr>
        <w:pBdr>
          <w:top w:val="nil"/>
          <w:left w:val="nil"/>
          <w:bottom w:val="nil"/>
          <w:right w:val="nil"/>
          <w:between w:val="nil"/>
        </w:pBdr>
        <w:spacing w:before="240"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esta línea de pensamiento, derivado del análisis de las constancias que obran en el expediente electrónico en el que se actúa, se advirtió que la Unidad de Transparencia no turnó la solicitud de información para su atención al servidor público habilitado que cuenta con atribuciones para conocer de la información solicitada, como se desprende del apartado de Requerimientos del SAIMEX.</w:t>
      </w:r>
    </w:p>
    <w:p w:rsidR="00035115" w:rsidRDefault="00F871A7">
      <w:pPr>
        <w:pBdr>
          <w:top w:val="nil"/>
          <w:left w:val="nil"/>
          <w:bottom w:val="nil"/>
          <w:right w:val="nil"/>
          <w:between w:val="nil"/>
        </w:pBdr>
        <w:ind w:right="-982"/>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490845" cy="960120"/>
            <wp:effectExtent l="12700" t="12700" r="12700" b="127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90845" cy="960120"/>
                    </a:xfrm>
                    <a:prstGeom prst="rect">
                      <a:avLst/>
                    </a:prstGeom>
                    <a:ln w="12700">
                      <a:solidFill>
                        <a:srgbClr val="00B0F0"/>
                      </a:solidFill>
                      <a:prstDash val="solid"/>
                    </a:ln>
                  </pic:spPr>
                </pic:pic>
              </a:graphicData>
            </a:graphic>
          </wp:inline>
        </w:drawing>
      </w:r>
    </w:p>
    <w:p w:rsidR="00035115" w:rsidRDefault="00035115">
      <w:pPr>
        <w:pBdr>
          <w:top w:val="nil"/>
          <w:left w:val="nil"/>
          <w:bottom w:val="nil"/>
          <w:right w:val="nil"/>
          <w:between w:val="nil"/>
        </w:pBdr>
        <w:ind w:right="-982"/>
        <w:jc w:val="center"/>
        <w:rPr>
          <w:rFonts w:ascii="Palatino Linotype" w:eastAsia="Palatino Linotype" w:hAnsi="Palatino Linotype" w:cs="Palatino Linotype"/>
        </w:rPr>
      </w:pPr>
    </w:p>
    <w:p w:rsidR="00035115" w:rsidRDefault="00F871A7">
      <w:pPr>
        <w:spacing w:before="240" w:after="240" w:line="360" w:lineRule="auto"/>
        <w:ind w:right="-982"/>
        <w:jc w:val="both"/>
        <w:rPr>
          <w:rFonts w:ascii="Palatino Linotype" w:eastAsia="Palatino Linotype" w:hAnsi="Palatino Linotype" w:cs="Palatino Linotype"/>
          <w:i/>
          <w:iCs/>
        </w:rPr>
      </w:pPr>
      <w:r>
        <w:rPr>
          <w:rFonts w:ascii="Palatino Linotype" w:eastAsia="Palatino Linotype" w:hAnsi="Palatino Linotype" w:cs="Palatino Linotype"/>
        </w:rPr>
        <w:t xml:space="preserve">Por lo que NO se atendió el procedimiento de búsqueda, que se constituye como la garantía primaria del derecho humano de acceso a la información pública, mismo que se rige por los principios de simplicidad, rapidez, gratuidad del procedimiento, auxilio y orientación a los solicitantes con el fin de otorgar la protección más amplia de este derecho, al no obrar constancia en el expediente electrónico del turno a todas las áreas competentes para contar con la información materia de la solicitud, de manera enunciativa, más no limitativa, la </w:t>
      </w:r>
      <w:r>
        <w:rPr>
          <w:rFonts w:ascii="Palatino Linotype" w:eastAsia="Palatino Linotype" w:hAnsi="Palatino Linotype" w:cs="Palatino Linotype"/>
          <w:i/>
          <w:iCs/>
        </w:rPr>
        <w:t>Unidad de Evaluación y Desempeño</w:t>
      </w:r>
      <w:r>
        <w:rPr>
          <w:rFonts w:ascii="Palatino Linotype" w:eastAsia="Palatino Linotype" w:hAnsi="Palatino Linotype" w:cs="Palatino Linotype"/>
        </w:rPr>
        <w:t xml:space="preserve">, </w:t>
      </w:r>
      <w:r>
        <w:rPr>
          <w:rFonts w:ascii="Palatino Linotype" w:eastAsia="Palatino Linotype" w:hAnsi="Palatino Linotype" w:cs="Palatino Linotype"/>
          <w:i/>
          <w:iCs/>
        </w:rPr>
        <w:t>Dirección General de Administración.</w:t>
      </w:r>
    </w:p>
    <w:p w:rsidR="00035115" w:rsidRDefault="00F871A7">
      <w:pPr>
        <w:spacing w:before="240" w:after="240" w:line="360" w:lineRule="auto"/>
        <w:ind w:right="-982"/>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lastRenderedPageBreak/>
        <w:drawing>
          <wp:inline distT="0" distB="0" distL="0" distR="0">
            <wp:extent cx="4503825" cy="2621225"/>
            <wp:effectExtent l="12700" t="12700" r="12700" b="127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9689"/>
                    <a:stretch>
                      <a:fillRect/>
                    </a:stretch>
                  </pic:blipFill>
                  <pic:spPr>
                    <a:xfrm>
                      <a:off x="0" y="0"/>
                      <a:ext cx="4503825" cy="2621225"/>
                    </a:xfrm>
                    <a:prstGeom prst="rect">
                      <a:avLst/>
                    </a:prstGeom>
                    <a:ln w="12700">
                      <a:solidFill>
                        <a:srgbClr val="00B0F0"/>
                      </a:solidFill>
                      <a:prstDash val="solid"/>
                    </a:ln>
                  </pic:spPr>
                </pic:pic>
              </a:graphicData>
            </a:graphic>
          </wp:inline>
        </w:drawing>
      </w: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cuanto hace a la Dirección General de Administración, se advierte que posee por objeto organizar, dirigir y coordinar las acciones orientadas a proporcionar los servicios en materia de control  patrimonial, </w:t>
      </w:r>
      <w:r>
        <w:rPr>
          <w:rFonts w:ascii="Palatino Linotype" w:eastAsia="Palatino Linotype" w:hAnsi="Palatino Linotype" w:cs="Palatino Linotype"/>
          <w:b/>
          <w:bCs/>
          <w:color w:val="000000"/>
        </w:rPr>
        <w:t>administración de personal,</w:t>
      </w:r>
      <w:r>
        <w:rPr>
          <w:rFonts w:ascii="Palatino Linotype" w:eastAsia="Palatino Linotype" w:hAnsi="Palatino Linotype" w:cs="Palatino Linotype"/>
          <w:color w:val="000000"/>
        </w:rPr>
        <w:t xml:space="preserve"> recursos materiales y servicios</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xml:space="preserve">, por lo </w:t>
      </w:r>
      <w:r>
        <w:rPr>
          <w:rFonts w:ascii="Palatino Linotype" w:eastAsia="Palatino Linotype" w:hAnsi="Palatino Linotype" w:cs="Palatino Linotype"/>
        </w:rPr>
        <w:t>que a tal</w:t>
      </w:r>
      <w:r>
        <w:rPr>
          <w:rFonts w:ascii="Palatino Linotype" w:eastAsia="Palatino Linotype" w:hAnsi="Palatino Linotype" w:cs="Palatino Linotype"/>
          <w:color w:val="000000"/>
        </w:rPr>
        <w:t xml:space="preserve"> unidad administrativa corresponde el resguardo de los expedientes laborales, nombramientos,   movimientos promociones  de los servidores públicos.  </w:t>
      </w:r>
    </w:p>
    <w:p w:rsidR="00035115" w:rsidRDefault="00F871A7">
      <w:pPr>
        <w:spacing w:line="360" w:lineRule="auto"/>
        <w:ind w:right="-982"/>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lastRenderedPageBreak/>
        <w:drawing>
          <wp:inline distT="0" distB="0" distL="0" distR="0">
            <wp:extent cx="2793490" cy="4307955"/>
            <wp:effectExtent l="19050" t="19050" r="19050" b="190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793490" cy="4307955"/>
                    </a:xfrm>
                    <a:prstGeom prst="rect">
                      <a:avLst/>
                    </a:prstGeom>
                    <a:ln w="19050">
                      <a:solidFill>
                        <a:srgbClr val="00B0F0"/>
                      </a:solidFill>
                      <a:prstDash val="solid"/>
                    </a:ln>
                  </pic:spPr>
                </pic:pic>
              </a:graphicData>
            </a:graphic>
          </wp:inline>
        </w:drawing>
      </w:r>
    </w:p>
    <w:p w:rsidR="00035115" w:rsidRDefault="00035115">
      <w:pPr>
        <w:spacing w:line="360" w:lineRule="auto"/>
        <w:ind w:right="-982"/>
        <w:jc w:val="center"/>
        <w:rPr>
          <w:rFonts w:ascii="Palatino Linotype" w:eastAsia="Palatino Linotype" w:hAnsi="Palatino Linotype" w:cs="Palatino Linotype"/>
          <w:i/>
          <w:iCs/>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mismo, de los requisitos para ser visitadora o visitador el artículo 250 de la Ley Orgánica del Poder Judicial del estado de México refiere:</w:t>
      </w:r>
    </w:p>
    <w:p w:rsidR="00035115" w:rsidRDefault="00F871A7">
      <w:pPr>
        <w:pBdr>
          <w:top w:val="nil"/>
          <w:left w:val="nil"/>
          <w:bottom w:val="nil"/>
          <w:right w:val="nil"/>
          <w:between w:val="nil"/>
        </w:pBdr>
        <w:ind w:left="1134" w:right="-982"/>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Requisitos para ser visitadora o visitador</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250</w:t>
      </w:r>
      <w:r>
        <w:rPr>
          <w:rFonts w:ascii="Palatino Linotype" w:eastAsia="Palatino Linotype" w:hAnsi="Palatino Linotype" w:cs="Palatino Linotype"/>
          <w:i/>
          <w:iCs/>
          <w:color w:val="000000"/>
        </w:rPr>
        <w:t>. Las personas auditoras visitadoras deberán satisfacer los siguientes requisitos:</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Ser mayor de treinta y cinco años;</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Gozar de buena reputación;</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No tener condena por delito con pena privativa de libertad mayor de un año;</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IV. Título profesional en derecho legalmente expedido;</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 Experiencia profesional de cuando menos cinco años en materia de impartición de justicia, políticas públicas y/o evaluación del desempeño institucional;</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VI. No estar condenada o condenado por sentencia ejecutoriada por el delito de violencia política contra las mujeres en razón de género, o por delitos de violencia familiar, contra la libertad sexual o de violencia de género, así como en asuntos de violencia familiar en dicha materia, así como no estar inscrita o inscrito en el Registro Nacional de Personas Sancionadas en Materia de Violencia Política contra las Mujeres en Razón de Género; y</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No estar inscrita o inscrito en el Registro Nacional de Obligaciones Alimentarias.</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la designación de personas auditoras visitadoras, se hará por el pleno del tribunal de Disciplina Judicial a propuesta del titular de la Unidad de Evaluación de Desempeño</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 siendo obligación de ésta Unidad la integración de los expedientes que en apego a la legislación en cita, satisfagan los requisitos para ocupar el cargo de auditor visitador.</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resulta de suma importancia, referir que, para la atención de las solicitudes de acceso a la información, debe privilegiarse el </w:t>
      </w:r>
      <w:r>
        <w:rPr>
          <w:rFonts w:ascii="Palatino Linotype" w:eastAsia="Palatino Linotype" w:hAnsi="Palatino Linotype" w:cs="Palatino Linotype"/>
          <w:b/>
          <w:bCs/>
          <w:color w:val="000000"/>
        </w:rPr>
        <w:t>principio de máxima publicidad</w:t>
      </w:r>
      <w:r>
        <w:rPr>
          <w:rFonts w:ascii="Palatino Linotype" w:eastAsia="Palatino Linotype" w:hAnsi="Palatino Linotype" w:cs="Palatino Linotype"/>
          <w:color w:val="000000"/>
        </w:rPr>
        <w:t xml:space="preserve">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lograr esto,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1"/>
        </w:numPr>
        <w:spacing w:line="360"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rsidR="00035115" w:rsidRDefault="00F871A7">
      <w:pPr>
        <w:numPr>
          <w:ilvl w:val="0"/>
          <w:numId w:val="11"/>
        </w:numPr>
        <w:spacing w:line="360"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podrán requerirle a los Solicitantes, que complementen, corrijan o amplíen su solicitud de información, cuando resulten los datos proporcionados insuficientes, incorrectos, incompletos o erróneos; solicitar dicha sin nombre, interrumpirá el plazo para dar respuesta y comenzará a computarse el día siguiente al desahogo de esta.</w:t>
      </w:r>
    </w:p>
    <w:p w:rsidR="00035115" w:rsidRDefault="00F871A7">
      <w:pPr>
        <w:numPr>
          <w:ilvl w:val="0"/>
          <w:numId w:val="11"/>
        </w:numPr>
        <w:spacing w:line="360"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Las respuestas a los requerimientos informativos deberán notificarse al interesado en el menor tiempo posible, que no podrá </w:t>
      </w:r>
      <w:r>
        <w:rPr>
          <w:rFonts w:ascii="Palatino Linotype" w:eastAsia="Palatino Linotype" w:hAnsi="Palatino Linotype" w:cs="Palatino Linotype"/>
          <w:i/>
          <w:iCs/>
          <w:u w:val="single"/>
        </w:rPr>
        <w:t xml:space="preserve">exceder </w:t>
      </w:r>
      <w:r>
        <w:rPr>
          <w:rFonts w:ascii="Palatino Linotype" w:eastAsia="Palatino Linotype" w:hAnsi="Palatino Linotype" w:cs="Palatino Linotype"/>
          <w:b/>
          <w:bCs/>
          <w:i/>
          <w:iCs/>
          <w:u w:val="single"/>
        </w:rPr>
        <w:t>quince días, contados a partir del día siguiente a la presentación de ésta.</w:t>
      </w:r>
      <w:r>
        <w:rPr>
          <w:rFonts w:ascii="Palatino Linotype" w:eastAsia="Palatino Linotype" w:hAnsi="Palatino Linotype" w:cs="Palatino Linotype"/>
          <w:i/>
          <w:iCs/>
          <w:u w:val="single"/>
        </w:rPr>
        <w:t xml:space="preserve"> </w:t>
      </w:r>
      <w:r>
        <w:rPr>
          <w:rFonts w:ascii="Palatino Linotype" w:eastAsia="Palatino Linotype" w:hAnsi="Palatino Linotype" w:cs="Palatino Linotype"/>
          <w:b/>
          <w:bCs/>
          <w:i/>
          <w:iCs/>
          <w:u w:val="single"/>
        </w:rPr>
        <w:t>Excepcionalmente, el plazo referido podrá ampliarse por siete días hábiles más, cuando existan razones fundadas y motivadas, a través del Comité de Transparencia;</w:t>
      </w:r>
    </w:p>
    <w:p w:rsidR="00035115" w:rsidRDefault="00F871A7">
      <w:pPr>
        <w:numPr>
          <w:ilvl w:val="0"/>
          <w:numId w:val="11"/>
        </w:numPr>
        <w:spacing w:line="360"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b/>
          <w:bCs/>
          <w:i/>
          <w:iCs/>
          <w:u w:val="single"/>
        </w:rPr>
        <w:t>Las Unidades de Transparencia garantizarán que las solicitudes se turnen a todas las áreas competentes que cuenten con la información o deban tenerla de acuerdo con sus facultades, funciones y atribuciones, para que realicen una búsqueda exhaustiva y razonable de la documentación solicitada, con el fin de que proporcionen las expresiones documentales que se encuentren en sus archivos o que estén constreñidos a elaborar;</w:t>
      </w:r>
    </w:p>
    <w:p w:rsidR="00035115" w:rsidRDefault="00F871A7">
      <w:pPr>
        <w:numPr>
          <w:ilvl w:val="0"/>
          <w:numId w:val="11"/>
        </w:numPr>
        <w:spacing w:line="360"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El acceso se dará en la modalidad de entrega y en su caso, de envío elegido por el solicitante, cuando no pueda entregarse en dicha modalidad, el Sujeto Obligado deberá </w:t>
      </w:r>
      <w:r>
        <w:rPr>
          <w:rFonts w:ascii="Palatino Linotype" w:eastAsia="Palatino Linotype" w:hAnsi="Palatino Linotype" w:cs="Palatino Linotype"/>
          <w:i/>
          <w:iCs/>
        </w:rPr>
        <w:lastRenderedPageBreak/>
        <w:t>ofrecer otras; por lo cual, deberá fundamentar y motivar la necesidad de modificar el medio de entrega, y</w:t>
      </w:r>
    </w:p>
    <w:p w:rsidR="00035115" w:rsidRDefault="00F871A7">
      <w:pPr>
        <w:numPr>
          <w:ilvl w:val="0"/>
          <w:numId w:val="11"/>
        </w:numPr>
        <w:spacing w:line="360"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i/>
          <w:iCs/>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ello, se colige que la Unidad de Transparencia, debió seguir un procedimiento de búsqueda exhaustiva y razonable en las unidades administrativas competentes, que de conformidad con sus atribuciones, facultades y competencia contarán con la información solicitada, lo cual no aconteció; por lo que no se tiene por acreditada la correcta búsqueda de la información.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Correlativo a lo anterior resulta elemental mencionar que la información solicitada se relaciona con parte de las </w:t>
      </w:r>
      <w:r>
        <w:rPr>
          <w:rFonts w:ascii="Palatino Linotype" w:eastAsia="Palatino Linotype" w:hAnsi="Palatino Linotype" w:cs="Palatino Linotype"/>
          <w:b/>
          <w:bCs/>
        </w:rPr>
        <w:t>obligaciones de transparencia común</w:t>
      </w:r>
      <w:r>
        <w:rPr>
          <w:rFonts w:ascii="Palatino Linotype" w:eastAsia="Palatino Linotype" w:hAnsi="Palatino Linotype" w:cs="Palatino Linotype"/>
        </w:rPr>
        <w:t xml:space="preserve"> que los Sujetos Obligados se encuentran constreñidos a publicar y difundir de manera permanente a la ciudadanía; ello de conformidad con lo establecido por el artículo 92, fracción XXI, mismo que dice:</w:t>
      </w:r>
    </w:p>
    <w:p w:rsidR="00035115" w:rsidRDefault="00F871A7">
      <w:pPr>
        <w:pBdr>
          <w:top w:val="none" w:sz="0" w:space="0" w:color="000000"/>
          <w:left w:val="none" w:sz="0" w:space="0" w:color="000000"/>
          <w:bottom w:val="none" w:sz="0" w:space="0" w:color="000000"/>
          <w:right w:val="none" w:sz="0" w:space="0" w:color="000000"/>
          <w:between w:val="none" w:sz="0" w:space="0" w:color="000000"/>
        </w:pBdr>
        <w:spacing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035115" w:rsidRDefault="00F871A7">
      <w:pPr>
        <w:pBdr>
          <w:top w:val="none" w:sz="0" w:space="0" w:color="000000"/>
          <w:left w:val="none" w:sz="0" w:space="0" w:color="000000"/>
          <w:bottom w:val="none" w:sz="0" w:space="0" w:color="000000"/>
          <w:right w:val="none" w:sz="0" w:space="0" w:color="000000"/>
          <w:between w:val="none" w:sz="0" w:space="0" w:color="000000"/>
        </w:pBdr>
        <w:spacing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5115" w:rsidRDefault="00F871A7">
      <w:pPr>
        <w:pBdr>
          <w:top w:val="none" w:sz="0" w:space="0" w:color="000000"/>
          <w:left w:val="none" w:sz="0" w:space="0" w:color="000000"/>
          <w:bottom w:val="none" w:sz="0" w:space="0" w:color="000000"/>
          <w:right w:val="none" w:sz="0" w:space="0" w:color="000000"/>
          <w:between w:val="none" w:sz="0" w:space="0" w:color="000000"/>
        </w:pBdr>
        <w:spacing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XXI. La información curricular</w:t>
      </w:r>
      <w:r>
        <w:rPr>
          <w:rFonts w:ascii="Palatino Linotype" w:eastAsia="Palatino Linotype" w:hAnsi="Palatino Linotype" w:cs="Palatino Linotype"/>
          <w:i/>
          <w:iCs/>
        </w:rPr>
        <w:t xml:space="preserve">, desde el nivel de jefe de departamento o equivalente, hasta el </w:t>
      </w:r>
      <w:r>
        <w:rPr>
          <w:rFonts w:ascii="Palatino Linotype" w:eastAsia="Palatino Linotype" w:hAnsi="Palatino Linotype" w:cs="Palatino Linotype"/>
          <w:b/>
          <w:bCs/>
          <w:i/>
          <w:iCs/>
        </w:rPr>
        <w:t>titular del sujeto obligado</w:t>
      </w:r>
      <w:r>
        <w:rPr>
          <w:rFonts w:ascii="Palatino Linotype" w:eastAsia="Palatino Linotype" w:hAnsi="Palatino Linotype" w:cs="Palatino Linotype"/>
          <w:i/>
          <w:iCs/>
        </w:rPr>
        <w:t>, así como, en su caso, las sanciones administrativas de que haya sido objeto;</w:t>
      </w:r>
    </w:p>
    <w:p w:rsidR="00035115" w:rsidRDefault="00F871A7">
      <w:pPr>
        <w:pBdr>
          <w:top w:val="none" w:sz="0" w:space="0" w:color="000000"/>
          <w:left w:val="none" w:sz="0" w:space="0" w:color="000000"/>
          <w:bottom w:val="none" w:sz="0" w:space="0" w:color="000000"/>
          <w:right w:val="none" w:sz="0" w:space="0" w:color="000000"/>
          <w:between w:val="none" w:sz="0" w:space="0" w:color="000000"/>
        </w:pBdr>
        <w:spacing w:line="276" w:lineRule="auto"/>
        <w:ind w:left="1134" w:right="-982"/>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 xml:space="preserve"> </w:t>
      </w:r>
    </w:p>
    <w:p w:rsidR="00035115" w:rsidRDefault="00035115">
      <w:pPr>
        <w:pBdr>
          <w:top w:val="none" w:sz="0" w:space="0" w:color="000000"/>
          <w:left w:val="none" w:sz="0" w:space="0" w:color="000000"/>
          <w:bottom w:val="none" w:sz="0" w:space="0" w:color="000000"/>
          <w:right w:val="none" w:sz="0" w:space="0" w:color="000000"/>
          <w:between w:val="none" w:sz="0" w:space="0" w:color="000000"/>
        </w:pBdr>
        <w:spacing w:line="276" w:lineRule="auto"/>
        <w:ind w:left="1134" w:right="-982"/>
        <w:jc w:val="both"/>
        <w:rPr>
          <w:rFonts w:ascii="Palatino Linotype" w:eastAsia="Palatino Linotype" w:hAnsi="Palatino Linotype" w:cs="Palatino Linotype"/>
        </w:rPr>
      </w:pPr>
    </w:p>
    <w:p w:rsidR="00035115" w:rsidRDefault="00F871A7">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los </w:t>
      </w:r>
      <w:r>
        <w:rPr>
          <w:rFonts w:ascii="Palatino Linotype" w:eastAsia="Palatino Linotype" w:hAnsi="Palatino Linotype" w:cs="Palatino Linotype"/>
          <w:i/>
          <w:iC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Pr>
          <w:rFonts w:ascii="Palatino Linotype" w:eastAsia="Palatino Linotype" w:hAnsi="Palatino Linotype" w:cs="Palatino Linotype"/>
        </w:rPr>
        <w:t xml:space="preserve">, en su Lineamiento Primero, establece que éstos </w:t>
      </w:r>
      <w:r>
        <w:rPr>
          <w:rFonts w:ascii="Palatino Linotype" w:eastAsia="Palatino Linotype" w:hAnsi="Palatino Linotype" w:cs="Palatino Linotype"/>
          <w:b/>
          <w:bCs/>
        </w:rPr>
        <w:t>son de observancia obligatoria para</w:t>
      </w:r>
      <w:r>
        <w:rPr>
          <w:rFonts w:ascii="Palatino Linotype" w:eastAsia="Palatino Linotype" w:hAnsi="Palatino Linotype" w:cs="Palatino Linotype"/>
        </w:rPr>
        <w:t xml:space="preserve"> el Instituto Nacional de Transparencia, Acceso a la Información y Protección de Datos Personales, los Organismo Garantes y </w:t>
      </w:r>
      <w:r>
        <w:rPr>
          <w:rFonts w:ascii="Palatino Linotype" w:eastAsia="Palatino Linotype" w:hAnsi="Palatino Linotype" w:cs="Palatino Linotype"/>
          <w:b/>
          <w:bCs/>
        </w:rPr>
        <w:t>los Sujetos Obligados de todo el país en sus diferentes ámbitos</w:t>
      </w:r>
      <w:r>
        <w:rPr>
          <w:rFonts w:ascii="Palatino Linotype" w:eastAsia="Palatino Linotype" w:hAnsi="Palatino Linotype" w:cs="Palatino Linotype"/>
        </w:rPr>
        <w:t xml:space="preserve"> (federal, estatal y </w:t>
      </w:r>
      <w:r>
        <w:rPr>
          <w:rFonts w:ascii="Palatino Linotype" w:eastAsia="Palatino Linotype" w:hAnsi="Palatino Linotype" w:cs="Palatino Linotype"/>
          <w:b/>
          <w:bCs/>
        </w:rPr>
        <w:t>municipal</w:t>
      </w:r>
      <w:r>
        <w:rPr>
          <w:rFonts w:ascii="Palatino Linotype" w:eastAsia="Palatino Linotype" w:hAnsi="Palatino Linotype" w:cs="Palatino Linotype"/>
        </w:rPr>
        <w:t>), y tienen como propósito definir los formatos que se usarán para publicar la información prescrita en el Título Quinto de la Ley General y asegurar que sea veraz, confiable, oportuna, congruente, integral, actualizada, accesible, comprensible y verificable.</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Adicionalmente, tal como se ha expuesto, no es suficiente que el Sujeto Obligado </w:t>
      </w:r>
      <w:r>
        <w:rPr>
          <w:rFonts w:ascii="Palatino Linotype" w:eastAsia="Palatino Linotype" w:hAnsi="Palatino Linotype" w:cs="Palatino Linotype"/>
        </w:rPr>
        <w:t>refiere</w:t>
      </w:r>
      <w:r>
        <w:rPr>
          <w:rFonts w:ascii="Palatino Linotype" w:eastAsia="Palatino Linotype" w:hAnsi="Palatino Linotype" w:cs="Palatino Linotype"/>
          <w:color w:val="000000"/>
        </w:rPr>
        <w:t xml:space="preserve"> que la información solicitada se encuentra en sistematización, justificando con ello su negativa a entregar la información requerida, ya que la Ley prevé mecanismos a efecto de no vulnerar el derecho de acceso a la información de los particulares por la dilación en el proceso de la búsqueda de la misma; para tal efecto es necesario traer a contexto el artículo 163 de la Ley de Transparencia y Acceso a la Información Pública del Estado de México y Municipios que dispone lo siguiente:</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b/>
          <w:bCs/>
          <w:color w:val="000000"/>
        </w:rPr>
      </w:pPr>
    </w:p>
    <w:p w:rsidR="00035115" w:rsidRDefault="00F871A7">
      <w:pPr>
        <w:pBdr>
          <w:top w:val="nil"/>
          <w:left w:val="nil"/>
          <w:bottom w:val="nil"/>
          <w:right w:val="nil"/>
          <w:between w:val="nil"/>
        </w:pBdr>
        <w:spacing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Artículo 163. La Unidad de Transparencia deberá notificar la respuesta a la solicitud al interesado en el menor tiempo posible, que no podrá exceder de quince días hábiles, contados a partir del día siguiente a la presentación de aquélla. </w:t>
      </w:r>
    </w:p>
    <w:p w:rsidR="00035115" w:rsidRDefault="00F871A7">
      <w:pPr>
        <w:pBdr>
          <w:top w:val="nil"/>
          <w:left w:val="nil"/>
          <w:bottom w:val="nil"/>
          <w:right w:val="nil"/>
          <w:between w:val="nil"/>
        </w:pBdr>
        <w:spacing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precepto legal en cita establece que los Sujetos Obligados darán respuesta dentro de los primeros quince días hábiles contados a partir de la presentación de la solicitud y, el plazo podrá ser ampliado hasta por siete días hábiles más; es así que en el asunto en particular, se advierte que  el Sujeto Obligado fue omiso en presentar la prórroga para dar respuesta fuera del plazo legalmente establecido, por lo que los agravios del Particular resultan fundados.</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2"/>
        </w:numPr>
        <w:pBdr>
          <w:top w:val="nil"/>
          <w:left w:val="nil"/>
          <w:bottom w:val="nil"/>
          <w:right w:val="nil"/>
          <w:between w:val="nil"/>
        </w:pBdr>
        <w:spacing w:line="360" w:lineRule="auto"/>
        <w:ind w:left="0" w:right="-982" w:firstLine="0"/>
        <w:jc w:val="both"/>
        <w:rPr>
          <w:color w:val="000000"/>
        </w:rPr>
      </w:pPr>
      <w:r>
        <w:rPr>
          <w:rFonts w:ascii="Palatino Linotype" w:eastAsia="Palatino Linotype" w:hAnsi="Palatino Linotype" w:cs="Palatino Linotype"/>
          <w:color w:val="000000"/>
        </w:rPr>
        <w:t xml:space="preserve">Conforme a todo lo expuesto, es de interés público, proporcionar información solicitada, pues rinde cuentas de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está cumpliendo atribuciones y fines específicos; además, que transparenta, las acciones realizadas por este.</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rFonts w:ascii="Palatino Linotype" w:eastAsia="Palatino Linotype" w:hAnsi="Palatino Linotype" w:cs="Palatino Linotype"/>
          <w:color w:val="000000"/>
        </w:rPr>
        <w:t>Así mismo la información generada, obtenida, adquirida, transmitida, administrada o en posesión de los Sujetos Obligados, será accesible de manera permanente a cualquier persona, privilegiando el principio de máxima publicidad de la información.</w:t>
      </w:r>
    </w:p>
    <w:p w:rsidR="00035115" w:rsidRDefault="00F871A7">
      <w:pPr>
        <w:shd w:val="clear" w:color="auto" w:fill="FDFCFB"/>
        <w:spacing w:line="360" w:lineRule="auto"/>
        <w:ind w:right="-982"/>
        <w:jc w:val="both"/>
        <w:rPr>
          <w:color w:val="000000"/>
        </w:rPr>
      </w:pPr>
      <w:r>
        <w:rPr>
          <w:rFonts w:ascii="Palatino Linotype" w:eastAsia="Palatino Linotype" w:hAnsi="Palatino Linotype" w:cs="Palatino Linotype"/>
          <w:b/>
          <w:bCs/>
          <w:color w:val="000000"/>
        </w:rPr>
        <w:t> </w:t>
      </w: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color w:val="000000"/>
        </w:rPr>
        <w:t> </w:t>
      </w:r>
      <w:r>
        <w:rPr>
          <w:rFonts w:ascii="Palatino Linotype" w:eastAsia="Palatino Linotype" w:hAnsi="Palatino Linotype" w:cs="Palatino Linotype"/>
          <w:color w:val="000000"/>
        </w:rPr>
        <w:t xml:space="preserve">Por su parte, el artículo 12, de la Ley de la materia establece que los Sujetos Obligados sólo proporcionarán la información que generen, recopilen, administren, </w:t>
      </w:r>
      <w:r>
        <w:rPr>
          <w:rFonts w:ascii="Palatino Linotype" w:eastAsia="Palatino Linotype" w:hAnsi="Palatino Linotype" w:cs="Palatino Linotype"/>
          <w:color w:val="000000"/>
        </w:rPr>
        <w:lastRenderedPageBreak/>
        <w:t xml:space="preserve">manejen, procesen, archiven o conserven, y sólo facilitarán las que se les requiera y obre en sus archivos, en el estado en el que se encuentre, sin la obligación de generarla, </w:t>
      </w:r>
      <w:r>
        <w:rPr>
          <w:rFonts w:ascii="Palatino Linotype" w:eastAsia="Palatino Linotype" w:hAnsi="Palatino Linotype" w:cs="Palatino Linotype"/>
        </w:rPr>
        <w:t>resumir</w:t>
      </w:r>
      <w:r>
        <w:rPr>
          <w:rFonts w:ascii="Palatino Linotype" w:eastAsia="Palatino Linotype" w:hAnsi="Palatino Linotype" w:cs="Palatino Linotype"/>
          <w:color w:val="000000"/>
        </w:rPr>
        <w:t>, efectuar cálculos o practicar investigaciones; tal y como se señala a continuación:</w:t>
      </w:r>
    </w:p>
    <w:p w:rsidR="00035115" w:rsidRDefault="00F871A7" w:rsidP="00D258C6">
      <w:pPr>
        <w:shd w:val="clear" w:color="auto" w:fill="FDFCFB"/>
        <w:ind w:left="720" w:right="-982"/>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12.</w:t>
      </w:r>
      <w:r>
        <w:rPr>
          <w:rFonts w:ascii="Palatino Linotype" w:eastAsia="Palatino Linotype" w:hAnsi="Palatino Linotype" w:cs="Palatino Linotype"/>
          <w:i/>
          <w:iCs/>
          <w:color w:val="000000"/>
        </w:rPr>
        <w:t> Quienes generen, recopilen, administren, manejen, procesen, archiven o conserven información pública serán responsables de la misma en los términos de las disposiciones jurídicas aplicables.</w:t>
      </w:r>
    </w:p>
    <w:p w:rsidR="00035115" w:rsidRDefault="00F871A7">
      <w:pPr>
        <w:shd w:val="clear" w:color="auto" w:fill="FDFCFB"/>
        <w:ind w:left="1134" w:right="-982"/>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t> </w:t>
      </w:r>
    </w:p>
    <w:p w:rsidR="00035115" w:rsidRDefault="00F871A7" w:rsidP="00D258C6">
      <w:pPr>
        <w:shd w:val="clear" w:color="auto" w:fill="FDFCFB"/>
        <w:ind w:left="709" w:right="-982"/>
        <w:jc w:val="both"/>
        <w:rPr>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035115" w:rsidRDefault="00F871A7">
      <w:pPr>
        <w:shd w:val="clear" w:color="auto" w:fill="FDFCFB"/>
        <w:spacing w:line="360" w:lineRule="auto"/>
        <w:ind w:right="-982"/>
        <w:jc w:val="both"/>
        <w:rPr>
          <w:color w:val="000000"/>
        </w:rPr>
      </w:pPr>
      <w:r>
        <w:rPr>
          <w:rFonts w:ascii="Palatino Linotype" w:eastAsia="Palatino Linotype" w:hAnsi="Palatino Linotype" w:cs="Palatino Linotype"/>
          <w:color w:val="000000"/>
        </w:rPr>
        <w:t> </w:t>
      </w: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color w:val="000000"/>
        </w:rPr>
        <w:t> </w:t>
      </w:r>
      <w:r>
        <w:rPr>
          <w:rFonts w:ascii="Palatino Linotype" w:eastAsia="Palatino Linotype" w:hAnsi="Palatino Linotype" w:cs="Palatino Linotype"/>
          <w:color w:val="000000"/>
        </w:rPr>
        <w:t>En síntesis, 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rsidR="00035115" w:rsidRDefault="00035115">
      <w:pPr>
        <w:shd w:val="clear" w:color="auto" w:fill="FDFCFB"/>
        <w:spacing w:line="360" w:lineRule="auto"/>
        <w:ind w:right="-982"/>
        <w:jc w:val="both"/>
        <w:rPr>
          <w:color w:val="000000"/>
        </w:rPr>
      </w:pP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rFonts w:ascii="Palatino Linotype" w:eastAsia="Palatino Linotype" w:hAnsi="Palatino Linotype" w:cs="Palatino Linotype"/>
          <w:color w:val="000000"/>
        </w:rPr>
        <w:t>Como apoyo a lo anterior, es aplicable el Criterio 03-17, emitido por el Instituto Nacional de Transparencia, Acceso a la Información y Protección de Datos Personales, que dice:</w:t>
      </w:r>
    </w:p>
    <w:p w:rsidR="00035115" w:rsidRDefault="00F871A7" w:rsidP="00D258C6">
      <w:pPr>
        <w:shd w:val="clear" w:color="auto" w:fill="FDFCFB"/>
        <w:ind w:right="-982"/>
        <w:jc w:val="both"/>
        <w:rPr>
          <w:rFonts w:ascii="Century Gothic" w:eastAsia="Century Gothic" w:hAnsi="Century Gothic" w:cs="Century Gothic"/>
          <w:color w:val="000000"/>
        </w:rPr>
      </w:pPr>
      <w:r>
        <w:rPr>
          <w:rFonts w:ascii="Palatino Linotype" w:eastAsia="Palatino Linotype" w:hAnsi="Palatino Linotype" w:cs="Palatino Linotype"/>
          <w:color w:val="000000"/>
        </w:rPr>
        <w:t> </w:t>
      </w:r>
      <w:r>
        <w:rPr>
          <w:rFonts w:ascii="Palatino Linotype" w:eastAsia="Palatino Linotype" w:hAnsi="Palatino Linotype" w:cs="Palatino Linotype"/>
          <w:b/>
          <w:bCs/>
          <w:i/>
          <w:iCs/>
          <w:color w:val="000000"/>
        </w:rPr>
        <w:t>“No existe obligación de elaborar documentos ad hoc para atender las solicitudes de acceso a la información.</w:t>
      </w:r>
      <w:r>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w:t>
      </w:r>
      <w:r>
        <w:rPr>
          <w:rFonts w:ascii="Palatino Linotype" w:eastAsia="Palatino Linotype" w:hAnsi="Palatino Linotype" w:cs="Palatino Linotype"/>
          <w:i/>
          <w:iCs/>
          <w:color w:val="000000"/>
        </w:rPr>
        <w:lastRenderedPageBreak/>
        <w:t>proporcionando la información con la que cuentan en el formato en que la misma obre en sus archivos; sin necesidad de elaborar documentos ad hoc para atender las solicitudes de información.</w:t>
      </w:r>
    </w:p>
    <w:p w:rsidR="00035115" w:rsidRDefault="00F871A7">
      <w:pPr>
        <w:shd w:val="clear" w:color="auto" w:fill="FDFCFB"/>
        <w:ind w:left="1134" w:right="-982"/>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t> Resoluciones:</w:t>
      </w:r>
    </w:p>
    <w:p w:rsidR="00035115" w:rsidRDefault="00F871A7">
      <w:pPr>
        <w:shd w:val="clear" w:color="auto" w:fill="FDFCFB"/>
        <w:ind w:left="1134" w:right="-982"/>
        <w:jc w:val="both"/>
        <w:rPr>
          <w:rFonts w:ascii="Century Gothic" w:eastAsia="Century Gothic" w:hAnsi="Century Gothic" w:cs="Century Gothic"/>
          <w:color w:val="000000"/>
        </w:rPr>
      </w:pPr>
      <w:r>
        <w:rPr>
          <w:rFonts w:ascii="Noto Sans Symbols" w:eastAsia="Noto Sans Symbols" w:hAnsi="Noto Sans Symbols" w:cs="Noto Sans Symbols"/>
          <w:i/>
          <w:iCs/>
          <w:color w:val="000000"/>
        </w:rPr>
        <w:t>∙</w:t>
      </w:r>
      <w:r>
        <w:rPr>
          <w:rFonts w:ascii="Palatino Linotype" w:eastAsia="Palatino Linotype" w:hAnsi="Palatino Linotype" w:cs="Palatino Linotype"/>
          <w:i/>
          <w:iCs/>
          <w:color w:val="000000"/>
        </w:rPr>
        <w:t> RRA 0050/16. Instituto Nacional para la Evaluación de la Educación. 13 julio de 2016. Por unanimidad. Comisionado Ponente: Francisco Javier Acuña Llamas.</w:t>
      </w:r>
    </w:p>
    <w:p w:rsidR="00035115" w:rsidRDefault="00F871A7">
      <w:pPr>
        <w:shd w:val="clear" w:color="auto" w:fill="FDFCFB"/>
        <w:ind w:left="1134" w:right="-982"/>
        <w:jc w:val="both"/>
        <w:rPr>
          <w:rFonts w:ascii="Century Gothic" w:eastAsia="Century Gothic" w:hAnsi="Century Gothic" w:cs="Century Gothic"/>
        </w:rPr>
      </w:pPr>
      <w:r>
        <w:rPr>
          <w:rFonts w:ascii="Noto Sans Symbols" w:eastAsia="Noto Sans Symbols" w:hAnsi="Noto Sans Symbols" w:cs="Noto Sans Symbols"/>
          <w:i/>
          <w:iCs/>
          <w:color w:val="000000"/>
        </w:rPr>
        <w:t>∙</w:t>
      </w:r>
      <w:r>
        <w:rPr>
          <w:rFonts w:ascii="Palatino Linotype" w:eastAsia="Palatino Linotype" w:hAnsi="Palatino Linotype" w:cs="Palatino Linotype"/>
          <w:i/>
          <w:iCs/>
          <w:color w:val="000000"/>
        </w:rPr>
        <w:t> RRA 0310/16. Instituto Nacional de Transparencia, Acceso a la Información y Protección de Datos Personales. </w:t>
      </w:r>
      <w:r>
        <w:rPr>
          <w:rFonts w:ascii="Palatino Linotype" w:eastAsia="Palatino Linotype" w:hAnsi="Palatino Linotype" w:cs="Palatino Linotype"/>
          <w:i/>
          <w:iCs/>
        </w:rPr>
        <w:t>10 de agosto de 2016. Por unanimidad. Comisionada Ponente. Areli Cano Guadiana.</w:t>
      </w:r>
    </w:p>
    <w:p w:rsidR="00035115" w:rsidRDefault="00F871A7">
      <w:pPr>
        <w:shd w:val="clear" w:color="auto" w:fill="FDFCFB"/>
        <w:ind w:left="1134" w:right="-982"/>
        <w:jc w:val="both"/>
        <w:rPr>
          <w:rFonts w:ascii="Palatino Linotype" w:eastAsia="Palatino Linotype" w:hAnsi="Palatino Linotype" w:cs="Palatino Linotype"/>
          <w:i/>
          <w:iCs/>
          <w:color w:val="000000"/>
        </w:rPr>
      </w:pPr>
      <w:r>
        <w:rPr>
          <w:rFonts w:ascii="Noto Sans Symbols" w:eastAsia="Noto Sans Symbols" w:hAnsi="Noto Sans Symbols" w:cs="Noto Sans Symbols"/>
          <w:i/>
          <w:iCs/>
        </w:rPr>
        <w:t>∙</w:t>
      </w:r>
      <w:r>
        <w:rPr>
          <w:rFonts w:ascii="Palatino Linotype" w:eastAsia="Palatino Linotype" w:hAnsi="Palatino Linotype" w:cs="Palatino Linotype"/>
          <w:i/>
          <w:iCs/>
        </w:rPr>
        <w:t> RRA 1889/16. Secretaría de Hacienda y Crédito Público. 05 de octubre </w:t>
      </w:r>
      <w:r>
        <w:rPr>
          <w:rFonts w:ascii="Palatino Linotype" w:eastAsia="Palatino Linotype" w:hAnsi="Palatino Linotype" w:cs="Palatino Linotype"/>
          <w:i/>
          <w:iCs/>
          <w:color w:val="000000"/>
        </w:rPr>
        <w:t>de 2016. Por unanimidad. Comisionada Ponente. Ximena Puente de la Mora.”</w:t>
      </w:r>
    </w:p>
    <w:p w:rsidR="00035115" w:rsidRDefault="00035115">
      <w:pPr>
        <w:shd w:val="clear" w:color="auto" w:fill="FDFCFB"/>
        <w:spacing w:line="480" w:lineRule="auto"/>
        <w:ind w:left="1134" w:right="-982"/>
        <w:jc w:val="both"/>
        <w:rPr>
          <w:color w:val="000000"/>
        </w:rPr>
      </w:pP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rFonts w:ascii="Palatino Linotype" w:eastAsia="Palatino Linotype" w:hAnsi="Palatino Linotype" w:cs="Palatino Linotype"/>
          <w:color w:val="000000"/>
        </w:rPr>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035115" w:rsidRDefault="00F871A7">
      <w:pPr>
        <w:shd w:val="clear" w:color="auto" w:fill="FDFCFB"/>
        <w:spacing w:line="360" w:lineRule="auto"/>
        <w:ind w:right="-982"/>
        <w:jc w:val="both"/>
        <w:rPr>
          <w:color w:val="000000"/>
        </w:rPr>
      </w:pPr>
      <w:r>
        <w:rPr>
          <w:rFonts w:ascii="Palatino Linotype" w:eastAsia="Palatino Linotype" w:hAnsi="Palatino Linotype" w:cs="Palatino Linotype"/>
          <w:b/>
          <w:bCs/>
          <w:color w:val="000000"/>
        </w:rPr>
        <w:t> </w:t>
      </w: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rFonts w:ascii="Palatino Linotype" w:eastAsia="Palatino Linotype" w:hAnsi="Palatino Linotype" w:cs="Palatino Linotype"/>
          <w:color w:val="000000"/>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rsidR="00035115" w:rsidRDefault="00F871A7" w:rsidP="009B1E22">
      <w:pPr>
        <w:shd w:val="clear" w:color="auto" w:fill="FDFCFB"/>
        <w:spacing w:line="360" w:lineRule="auto"/>
        <w:ind w:right="-982"/>
        <w:jc w:val="both"/>
        <w:rPr>
          <w:rFonts w:ascii="Century Gothic" w:eastAsia="Century Gothic" w:hAnsi="Century Gothic" w:cs="Century Gothic"/>
          <w:color w:val="000000"/>
        </w:rPr>
      </w:pPr>
      <w:r>
        <w:rPr>
          <w:rFonts w:ascii="Palatino Linotype" w:eastAsia="Palatino Linotype" w:hAnsi="Palatino Linotype" w:cs="Palatino Linotype"/>
          <w:color w:val="000000"/>
        </w:rPr>
        <w:t> </w:t>
      </w:r>
      <w:r>
        <w:rPr>
          <w:rFonts w:ascii="Palatino Linotype" w:eastAsia="Palatino Linotype" w:hAnsi="Palatino Linotype" w:cs="Palatino Linotype"/>
          <w:b/>
          <w:bCs/>
          <w:i/>
          <w:iCs/>
          <w:color w:val="000000"/>
        </w:rPr>
        <w:t>“Artículo 3.</w:t>
      </w:r>
      <w:r>
        <w:rPr>
          <w:rFonts w:ascii="Palatino Linotype" w:eastAsia="Palatino Linotype" w:hAnsi="Palatino Linotype" w:cs="Palatino Linotype"/>
          <w:i/>
          <w:iCs/>
          <w:color w:val="000000"/>
        </w:rPr>
        <w:t> Para los efectos de la presente Ley se entenderá por:</w:t>
      </w:r>
    </w:p>
    <w:p w:rsidR="00035115" w:rsidRDefault="00F871A7">
      <w:pPr>
        <w:shd w:val="clear" w:color="auto" w:fill="FDFCFB"/>
        <w:spacing w:line="276" w:lineRule="auto"/>
        <w:ind w:left="1134" w:right="-982"/>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lastRenderedPageBreak/>
        <w:t>(…)</w:t>
      </w:r>
    </w:p>
    <w:p w:rsidR="00035115" w:rsidRDefault="00F871A7">
      <w:pPr>
        <w:shd w:val="clear" w:color="auto" w:fill="FDFCFB"/>
        <w:spacing w:line="276" w:lineRule="auto"/>
        <w:ind w:left="1134" w:right="-982"/>
        <w:jc w:val="both"/>
        <w:rPr>
          <w:rFonts w:ascii="Century Gothic" w:eastAsia="Century Gothic" w:hAnsi="Century Gothic" w:cs="Century Gothic"/>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Pr>
          <w:rFonts w:ascii="Palatino Linotype" w:eastAsia="Palatino Linotype" w:hAnsi="Palatino Linotype" w:cs="Palatino Linotype"/>
          <w:b/>
          <w:bCs/>
          <w:i/>
          <w:iCs/>
          <w:color w:val="000000"/>
        </w:rPr>
        <w:t>Los documentos podrán estar en cualquier medio, sea escrito, impreso, sonoro, visual, electrónico, informático u holográfico;</w:t>
      </w:r>
    </w:p>
    <w:p w:rsidR="00035115" w:rsidRDefault="00F871A7">
      <w:pPr>
        <w:shd w:val="clear" w:color="auto" w:fill="FDFCFB"/>
        <w:spacing w:line="276" w:lineRule="auto"/>
        <w:ind w:left="1134" w:right="-982"/>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t>(…)”</w:t>
      </w:r>
    </w:p>
    <w:p w:rsidR="00035115" w:rsidRDefault="00F871A7">
      <w:pPr>
        <w:shd w:val="clear" w:color="auto" w:fill="FDFCFB"/>
        <w:spacing w:line="360" w:lineRule="auto"/>
        <w:ind w:right="-982"/>
        <w:jc w:val="both"/>
        <w:rPr>
          <w:color w:val="000000"/>
        </w:rPr>
      </w:pPr>
      <w:r>
        <w:rPr>
          <w:rFonts w:ascii="Palatino Linotype" w:eastAsia="Palatino Linotype" w:hAnsi="Palatino Linotype" w:cs="Palatino Linotype"/>
          <w:b/>
          <w:bCs/>
          <w:color w:val="000000"/>
        </w:rPr>
        <w:t> </w:t>
      </w:r>
    </w:p>
    <w:p w:rsidR="00035115" w:rsidRDefault="00F871A7">
      <w:pPr>
        <w:numPr>
          <w:ilvl w:val="0"/>
          <w:numId w:val="3"/>
        </w:numPr>
        <w:pBdr>
          <w:top w:val="nil"/>
          <w:left w:val="nil"/>
          <w:bottom w:val="nil"/>
          <w:right w:val="nil"/>
          <w:between w:val="nil"/>
        </w:pBdr>
        <w:shd w:val="clear" w:color="auto" w:fill="FDFCFB"/>
        <w:spacing w:line="360" w:lineRule="auto"/>
        <w:ind w:left="0" w:right="-982"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035115" w:rsidRDefault="00F871A7" w:rsidP="00D258C6">
      <w:pPr>
        <w:shd w:val="clear" w:color="auto" w:fill="FDFCFB"/>
        <w:ind w:left="720" w:right="-982"/>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035115" w:rsidRDefault="00F871A7">
      <w:pPr>
        <w:spacing w:line="480" w:lineRule="auto"/>
        <w:ind w:right="-98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035115" w:rsidRDefault="00F871A7">
      <w:pPr>
        <w:numPr>
          <w:ilvl w:val="0"/>
          <w:numId w:val="13"/>
        </w:numPr>
        <w:spacing w:line="360" w:lineRule="auto"/>
        <w:ind w:left="0" w:right="-982" w:firstLine="0"/>
        <w:jc w:val="both"/>
        <w:rPr>
          <w:rFonts w:ascii="Palatino Linotype" w:eastAsia="Palatino Linotype" w:hAnsi="Palatino Linotype" w:cs="Palatino Linotype"/>
          <w:color w:val="000000"/>
        </w:rPr>
      </w:pPr>
      <w:bookmarkStart w:id="12" w:name="_heading=h.26in1rg" w:colFirst="0" w:colLast="0"/>
      <w:bookmarkEnd w:id="12"/>
      <w:r>
        <w:rPr>
          <w:rFonts w:ascii="Palatino Linotype" w:eastAsia="Palatino Linotype" w:hAnsi="Palatino Linotype" w:cs="Palatino Linotype"/>
          <w:color w:val="000000"/>
        </w:rPr>
        <w:lastRenderedPageBreak/>
        <w:t xml:space="preserve">Ahora bien, debe precisarse, además, que existen expresiones documentales, que acorde a las funciones, facultades, atribuciones y competencias de los Sujetos Obligados, que pudieran reflejar la información requerida por el particular; por lo que, deberá hacer entrega en </w:t>
      </w:r>
      <w:r>
        <w:rPr>
          <w:rFonts w:ascii="Palatino Linotype" w:eastAsia="Palatino Linotype" w:hAnsi="Palatino Linotype" w:cs="Palatino Linotype"/>
          <w:b/>
          <w:bCs/>
          <w:color w:val="000000"/>
        </w:rPr>
        <w:t xml:space="preserve">versión </w:t>
      </w:r>
      <w:r>
        <w:rPr>
          <w:rFonts w:ascii="Palatino Linotype" w:eastAsia="Palatino Linotype" w:hAnsi="Palatino Linotype" w:cs="Palatino Linotype"/>
          <w:b/>
          <w:bCs/>
        </w:rPr>
        <w:t>pública</w:t>
      </w:r>
      <w:r>
        <w:rPr>
          <w:rFonts w:ascii="Palatino Linotype" w:eastAsia="Palatino Linotype" w:hAnsi="Palatino Linotype" w:cs="Palatino Linotype"/>
          <w:color w:val="000000"/>
        </w:rPr>
        <w:t xml:space="preserve"> a éste, del documento o documentos donde consten los requisitos ya señalados por la Ley Orgánica en cita.</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13"/>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esta manera, se trata de un documento de interés público, que contiene datos que </w:t>
      </w:r>
      <w:r>
        <w:rPr>
          <w:rFonts w:ascii="Palatino Linotype" w:eastAsia="Palatino Linotype" w:hAnsi="Palatino Linotype" w:cs="Palatino Linotype"/>
          <w:color w:val="000000"/>
        </w:rPr>
        <w:t>actualizan</w:t>
      </w:r>
      <w:r>
        <w:rPr>
          <w:rFonts w:ascii="Palatino Linotype" w:eastAsia="Palatino Linotype" w:hAnsi="Palatino Linotype" w:cs="Palatino Linotype"/>
        </w:rPr>
        <w:t xml:space="preserve"> la causal de clasificación establecida en el artículo 143, fracción I, de la Ley de Transparencia y Acceso a la Información Pública del Estado de México y Municipios, por lo tanto, deben proporcionarse en versión pública.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3"/>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determina que en los archivos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 encontrarse el Curriculum Vitae o en su caso la solicitud de empleo o la ficha curricular, toda vez que son documentos que acreditan la trayectoria laboral, por lo que para colmar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se deberá de entregar la información que colme este punto. </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cuanto hace a la </w:t>
      </w:r>
      <w:r>
        <w:rPr>
          <w:rFonts w:ascii="Palatino Linotype" w:eastAsia="Palatino Linotype" w:hAnsi="Palatino Linotype" w:cs="Palatino Linotype"/>
          <w:b/>
          <w:bCs/>
          <w:color w:val="000000"/>
        </w:rPr>
        <w:t xml:space="preserve">Clave Única de Registro de Población, </w:t>
      </w:r>
      <w:r>
        <w:rPr>
          <w:rFonts w:ascii="Palatino Linotype" w:eastAsia="Palatino Linotype" w:hAnsi="Palatino Linotype" w:cs="Palatino Linotype"/>
          <w:color w:val="000000"/>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 anterior, tiene sustento en los artículos 86 y 91, de la Ley General de Población, la cual señala lo siguiente:</w:t>
      </w:r>
    </w:p>
    <w:p w:rsidR="00035115" w:rsidRDefault="00035115">
      <w:pPr>
        <w:ind w:left="709" w:right="-982"/>
        <w:jc w:val="both"/>
        <w:rPr>
          <w:rFonts w:ascii="Palatino Linotype" w:eastAsia="Palatino Linotype" w:hAnsi="Palatino Linotype" w:cs="Palatino Linotype"/>
          <w:b/>
          <w:bCs/>
          <w:i/>
          <w:iCs/>
        </w:rPr>
      </w:pPr>
    </w:p>
    <w:p w:rsidR="00035115" w:rsidRDefault="00F871A7">
      <w:pPr>
        <w:tabs>
          <w:tab w:val="left" w:pos="7938"/>
        </w:tabs>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“Artículo 86. </w:t>
      </w:r>
      <w:r>
        <w:rPr>
          <w:rFonts w:ascii="Palatino Linotype" w:eastAsia="Palatino Linotype" w:hAnsi="Palatino Linotype" w:cs="Palatino Linotype"/>
          <w:i/>
          <w:iCs/>
        </w:rPr>
        <w:t>El Registro Nacional de Población tiene como finalidad registrar a cada una de las personas que integran la población del país, con los datos que permitan certificar y acreditar fehacientemente su identidad.</w:t>
      </w:r>
    </w:p>
    <w:p w:rsidR="00035115" w:rsidRDefault="00035115">
      <w:pPr>
        <w:tabs>
          <w:tab w:val="left" w:pos="7938"/>
        </w:tabs>
        <w:ind w:left="1134" w:right="-982"/>
        <w:jc w:val="both"/>
        <w:rPr>
          <w:rFonts w:ascii="Palatino Linotype" w:eastAsia="Palatino Linotype" w:hAnsi="Palatino Linotype" w:cs="Palatino Linotype"/>
          <w:i/>
          <w:iCs/>
        </w:rPr>
      </w:pPr>
    </w:p>
    <w:p w:rsidR="00035115" w:rsidRDefault="00F871A7">
      <w:pPr>
        <w:tabs>
          <w:tab w:val="left" w:pos="7938"/>
        </w:tabs>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91. </w:t>
      </w:r>
      <w:r>
        <w:rPr>
          <w:rFonts w:ascii="Palatino Linotype" w:eastAsia="Palatino Linotype" w:hAnsi="Palatino Linotype" w:cs="Palatino Linotype"/>
          <w:i/>
          <w:iCs/>
        </w:rPr>
        <w:t>Al incorporar a una persona en el Registro Nacional de Población, se le asignará una clave que se denominará Clave Única de Registro de Población. Esta servirá para registrarla e identificarla en forma individual.”</w:t>
      </w:r>
    </w:p>
    <w:p w:rsidR="00035115" w:rsidRDefault="00035115">
      <w:pPr>
        <w:tabs>
          <w:tab w:val="left" w:pos="7938"/>
        </w:tabs>
        <w:ind w:left="709" w:right="-982"/>
        <w:jc w:val="both"/>
        <w:rPr>
          <w:rFonts w:ascii="Palatino Linotype" w:eastAsia="Palatino Linotype" w:hAnsi="Palatino Linotype" w:cs="Palatino Linotype"/>
          <w:i/>
          <w:iCs/>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el entonces Instituto Nacional de Transparencia, Acceso a la Información y Protección de Datos Personales (INAI) a través del Criterio 18/17, señala literalmente lo siguiente:</w:t>
      </w:r>
    </w:p>
    <w:p w:rsidR="00035115" w:rsidRDefault="00F871A7">
      <w:pPr>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Clave Única de Registro de Población (CURP)</w:t>
      </w:r>
      <w:r>
        <w:rPr>
          <w:rFonts w:ascii="Palatino Linotype" w:eastAsia="Palatino Linotype" w:hAnsi="Palatino Linotype" w:cs="Palatino Linotype"/>
          <w:i/>
          <w:iCs/>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035115" w:rsidRDefault="00035115">
      <w:pPr>
        <w:ind w:left="1134" w:right="-982"/>
        <w:jc w:val="both"/>
        <w:rPr>
          <w:rFonts w:ascii="Palatino Linotype" w:eastAsia="Palatino Linotype" w:hAnsi="Palatino Linotype" w:cs="Palatino Linotype"/>
          <w:i/>
          <w:iCs/>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la Clave Única de Registro de Población, se encuentra vinculada al nombre de la persona, permitiendo identificar la edad, fecha de </w:t>
      </w:r>
      <w:r>
        <w:rPr>
          <w:rFonts w:ascii="Palatino Linotype" w:eastAsia="Palatino Linotype" w:hAnsi="Palatino Linotype" w:cs="Palatino Linotype"/>
          <w:color w:val="000000"/>
        </w:rPr>
        <w:lastRenderedPageBreak/>
        <w:t>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035115" w:rsidRDefault="00F871A7">
      <w:p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datos personales refieren aquella información relativa al individuo, es información que lo identifica, le da identidad y lo describe, pero además precisan su origen, edad, lugar de residencia, trayectoria académica, laboral o profesional también describen aspectos más sensibles o delicados de la persona, como su forma de pensar, estado de salud, sus características físicas, opiniones políticas, creencias o convicciones religiosas, entre otros.</w:t>
      </w:r>
    </w:p>
    <w:p w:rsidR="00035115" w:rsidRDefault="00035115">
      <w:pPr>
        <w:pBdr>
          <w:top w:val="nil"/>
          <w:left w:val="nil"/>
          <w:bottom w:val="nil"/>
          <w:right w:val="nil"/>
          <w:between w:val="nil"/>
        </w:pBdr>
        <w:ind w:left="708" w:right="-982"/>
        <w:rPr>
          <w:rFonts w:ascii="Palatino Linotype" w:eastAsia="Palatino Linotype" w:hAnsi="Palatino Linotype" w:cs="Palatino Linotype"/>
          <w:color w:val="000000"/>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cuanto hace a la fecha de nacimiento, se refiere al día, mes y año en el que nació una persona, los mismos consisten en información concerniente a una persona física identificada o identificable,  siendo pues un dato susceptible de clasificación como confidencial</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w:t>
      </w:r>
    </w:p>
    <w:p w:rsidR="00D258C6" w:rsidRDefault="00D258C6" w:rsidP="00D258C6">
      <w:pPr>
        <w:pStyle w:val="Prrafodelista"/>
        <w:rPr>
          <w:rFonts w:ascii="Palatino Linotype" w:eastAsia="Palatino Linotype" w:hAnsi="Palatino Linotype" w:cs="Palatino Linotype"/>
          <w:color w:val="000000"/>
        </w:rPr>
      </w:pPr>
    </w:p>
    <w:p w:rsidR="00D258C6" w:rsidRDefault="00D258C6" w:rsidP="00D258C6">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D258C6" w:rsidRDefault="00D258C6" w:rsidP="00D258C6">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D258C6" w:rsidRDefault="00D258C6">
      <w:pPr>
        <w:spacing w:line="276" w:lineRule="auto"/>
        <w:ind w:right="-982"/>
        <w:jc w:val="both"/>
        <w:rPr>
          <w:rFonts w:ascii="Palatino Linotype" w:eastAsia="Palatino Linotype" w:hAnsi="Palatino Linotype" w:cs="Palatino Linotype"/>
          <w:b/>
          <w:bCs/>
        </w:rPr>
      </w:pPr>
    </w:p>
    <w:p w:rsidR="00035115" w:rsidRDefault="00F871A7">
      <w:pPr>
        <w:spacing w:line="276" w:lineRule="auto"/>
        <w:ind w:right="-982"/>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Firma de Servidor Público en Documentos Probatorios de Escolaridad</w:t>
      </w:r>
    </w:p>
    <w:p w:rsidR="00035115" w:rsidRDefault="00F871A7">
      <w:pPr>
        <w:numPr>
          <w:ilvl w:val="0"/>
          <w:numId w:val="16"/>
        </w:numPr>
        <w:pBdr>
          <w:top w:val="nil"/>
          <w:left w:val="nil"/>
          <w:bottom w:val="nil"/>
          <w:right w:val="nil"/>
          <w:between w:val="nil"/>
        </w:pBdr>
        <w:spacing w:before="80"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 respecto a la firma de los servidores públicos, por regla general cuando éstos emiten un acto de autoridad, en ejercicio de las funciones que tienen conferidas, la firma o rúbrica mediante la cual se valida dicho acto es pública; sin embargo, al caso del presente estudio, al asentar su firma en los documentos probatorios de su escolaridad, el servidor público no se encontraba ejerciendo actos de autoridad, sino asentando su conformidad e interés expresos como alumno para recibir el documento en cita en su carácter de particular, por lo que es un dato que debe ser considerado como personal y confidencial.</w:t>
      </w:r>
    </w:p>
    <w:p w:rsidR="00035115" w:rsidRDefault="00035115">
      <w:pPr>
        <w:pBdr>
          <w:top w:val="nil"/>
          <w:left w:val="nil"/>
          <w:bottom w:val="nil"/>
          <w:right w:val="nil"/>
          <w:between w:val="nil"/>
        </w:pBdr>
        <w:ind w:left="708" w:right="-982"/>
        <w:rPr>
          <w:rFonts w:ascii="Palatino Linotype" w:eastAsia="Palatino Linotype" w:hAnsi="Palatino Linotype" w:cs="Palatino Linotype"/>
          <w:color w:val="000000"/>
        </w:rPr>
      </w:pPr>
    </w:p>
    <w:p w:rsidR="00035115" w:rsidRDefault="00F871A7">
      <w:pPr>
        <w:widowControl w:val="0"/>
        <w:numPr>
          <w:ilvl w:val="0"/>
          <w:numId w:val="15"/>
        </w:numPr>
        <w:spacing w:line="360" w:lineRule="auto"/>
        <w:ind w:left="0" w:right="-982" w:firstLine="0"/>
        <w:jc w:val="both"/>
        <w:rPr>
          <w:rFonts w:ascii="Palatino Linotype" w:eastAsia="Palatino Linotype" w:hAnsi="Palatino Linotype" w:cs="Palatino Linotype"/>
          <w:b/>
          <w:bCs/>
        </w:rPr>
      </w:pPr>
      <w:r>
        <w:rPr>
          <w:rFonts w:ascii="Palatino Linotype" w:eastAsia="Palatino Linotype" w:hAnsi="Palatino Linotype" w:cs="Palatino Linotype"/>
          <w:b/>
          <w:bCs/>
        </w:rPr>
        <w:t>Acta de nacimiento</w:t>
      </w: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actas emitidas por el Registro Civil dan cuenta de un atributo de la personalidad, tal como lo establece el artículo 2.3 del Código Civil del </w:t>
      </w:r>
      <w:r>
        <w:rPr>
          <w:rFonts w:ascii="Palatino Linotype" w:eastAsia="Palatino Linotype" w:hAnsi="Palatino Linotype" w:cs="Palatino Linotype"/>
        </w:rPr>
        <w:t>Estado de México</w:t>
      </w:r>
      <w:r>
        <w:rPr>
          <w:rFonts w:ascii="Palatino Linotype" w:eastAsia="Palatino Linotype" w:hAnsi="Palatino Linotype" w:cs="Palatino Linotype"/>
          <w:color w:val="000000"/>
        </w:rPr>
        <w:t xml:space="preserve">. En ese orden de ideas, el artículo 3.5 del citado Código Civil establece que el estado civil de las personas sólo se comprueba con las constancias relativas del Registro Civil, tal como lo es el Acta de Nacimiento.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con el Formato Único del Acta de Nacimiento publicado por la Secretaría de Gobernación en el enlace </w:t>
      </w:r>
      <w:hyperlink r:id="rId11">
        <w:r>
          <w:rPr>
            <w:rFonts w:ascii="Palatino Linotype" w:eastAsia="Palatino Linotype" w:hAnsi="Palatino Linotype" w:cs="Palatino Linotype"/>
            <w:i/>
            <w:iCs/>
            <w:color w:val="0563C1"/>
            <w:u w:val="single"/>
          </w:rPr>
          <w:t>http://www.diputados.gob.mx/documentos/N_Acta_Nacimiento.pdf</w:t>
        </w:r>
      </w:hyperlink>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 se advierte que el Acta de Nacimiento se componte de quince elementos siendo los siguientes: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rPr>
        <w:t>a)</w:t>
      </w:r>
      <w:r>
        <w:rPr>
          <w:rFonts w:ascii="Palatino Linotype" w:eastAsia="Palatino Linotype" w:hAnsi="Palatino Linotype" w:cs="Palatino Linotype"/>
        </w:rPr>
        <w:tab/>
      </w:r>
      <w:r>
        <w:rPr>
          <w:rFonts w:ascii="Palatino Linotype" w:eastAsia="Palatino Linotype" w:hAnsi="Palatino Linotype" w:cs="Palatino Linotype"/>
          <w:i/>
          <w:iCs/>
        </w:rPr>
        <w:t>Folio de Impresión.</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b)</w:t>
      </w:r>
      <w:r>
        <w:rPr>
          <w:rFonts w:ascii="Palatino Linotype" w:eastAsia="Palatino Linotype" w:hAnsi="Palatino Linotype" w:cs="Palatino Linotype"/>
          <w:i/>
          <w:iCs/>
        </w:rPr>
        <w:tab/>
        <w:t>Denominación del Documento.</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c)</w:t>
      </w:r>
      <w:r>
        <w:rPr>
          <w:rFonts w:ascii="Palatino Linotype" w:eastAsia="Palatino Linotype" w:hAnsi="Palatino Linotype" w:cs="Palatino Linotype"/>
          <w:i/>
          <w:iCs/>
        </w:rPr>
        <w:tab/>
        <w:t xml:space="preserve">Identificador Electrónico.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d)</w:t>
      </w:r>
      <w:r>
        <w:rPr>
          <w:rFonts w:ascii="Palatino Linotype" w:eastAsia="Palatino Linotype" w:hAnsi="Palatino Linotype" w:cs="Palatino Linotype"/>
          <w:i/>
          <w:iCs/>
        </w:rPr>
        <w:tab/>
        <w:t xml:space="preserve">Elementos del Registro.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e)</w:t>
      </w:r>
      <w:r>
        <w:rPr>
          <w:rFonts w:ascii="Palatino Linotype" w:eastAsia="Palatino Linotype" w:hAnsi="Palatino Linotype" w:cs="Palatino Linotype"/>
          <w:i/>
          <w:iCs/>
        </w:rPr>
        <w:tab/>
        <w:t xml:space="preserve">Datos de la Persona Registrada.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f)</w:t>
      </w:r>
      <w:r>
        <w:rPr>
          <w:rFonts w:ascii="Palatino Linotype" w:eastAsia="Palatino Linotype" w:hAnsi="Palatino Linotype" w:cs="Palatino Linotype"/>
          <w:i/>
          <w:iCs/>
        </w:rPr>
        <w:tab/>
        <w:t xml:space="preserve">Datos de Filiación de la Persona Registrada.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lastRenderedPageBreak/>
        <w:t>g)</w:t>
      </w:r>
      <w:r>
        <w:rPr>
          <w:rFonts w:ascii="Palatino Linotype" w:eastAsia="Palatino Linotype" w:hAnsi="Palatino Linotype" w:cs="Palatino Linotype"/>
          <w:i/>
          <w:iCs/>
        </w:rPr>
        <w:tab/>
        <w:t xml:space="preserve">Anotaciones Marginales.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h)</w:t>
      </w:r>
      <w:r>
        <w:rPr>
          <w:rFonts w:ascii="Palatino Linotype" w:eastAsia="Palatino Linotype" w:hAnsi="Palatino Linotype" w:cs="Palatino Linotype"/>
          <w:i/>
          <w:iCs/>
        </w:rPr>
        <w:tab/>
        <w:t xml:space="preserve">Certificación.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i)</w:t>
      </w:r>
      <w:r>
        <w:rPr>
          <w:rFonts w:ascii="Palatino Linotype" w:eastAsia="Palatino Linotype" w:hAnsi="Palatino Linotype" w:cs="Palatino Linotype"/>
          <w:i/>
          <w:iCs/>
        </w:rPr>
        <w:tab/>
        <w:t xml:space="preserve">Código Bidimensional QR que contiene información encriptada del acta.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j)</w:t>
      </w:r>
      <w:r>
        <w:rPr>
          <w:rFonts w:ascii="Palatino Linotype" w:eastAsia="Palatino Linotype" w:hAnsi="Palatino Linotype" w:cs="Palatino Linotype"/>
          <w:i/>
          <w:iCs/>
        </w:rPr>
        <w:tab/>
        <w:t xml:space="preserve">Leyenda “Soy México”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k)</w:t>
      </w:r>
      <w:r>
        <w:rPr>
          <w:rFonts w:ascii="Palatino Linotype" w:eastAsia="Palatino Linotype" w:hAnsi="Palatino Linotype" w:cs="Palatino Linotype"/>
          <w:i/>
          <w:iCs/>
        </w:rPr>
        <w:tab/>
        <w:t xml:space="preserve">Firma Electrónica Avanzada.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l)</w:t>
      </w:r>
      <w:r>
        <w:rPr>
          <w:rFonts w:ascii="Palatino Linotype" w:eastAsia="Palatino Linotype" w:hAnsi="Palatino Linotype" w:cs="Palatino Linotype"/>
          <w:i/>
          <w:iCs/>
        </w:rPr>
        <w:tab/>
        <w:t xml:space="preserve">Firma y datos de la autoridad emisora.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m)</w:t>
      </w:r>
      <w:r>
        <w:rPr>
          <w:rFonts w:ascii="Palatino Linotype" w:eastAsia="Palatino Linotype" w:hAnsi="Palatino Linotype" w:cs="Palatino Linotype"/>
          <w:i/>
          <w:iCs/>
        </w:rPr>
        <w:tab/>
        <w:t xml:space="preserve">Código QR. </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n)</w:t>
      </w:r>
      <w:r>
        <w:rPr>
          <w:rFonts w:ascii="Palatino Linotype" w:eastAsia="Palatino Linotype" w:hAnsi="Palatino Linotype" w:cs="Palatino Linotype"/>
          <w:i/>
          <w:iCs/>
        </w:rPr>
        <w:tab/>
        <w:t>Código de Verificación.</w:t>
      </w:r>
    </w:p>
    <w:p w:rsidR="00035115" w:rsidRDefault="00F871A7">
      <w:pPr>
        <w:spacing w:line="276" w:lineRule="auto"/>
        <w:ind w:left="1134" w:right="-982"/>
        <w:rPr>
          <w:rFonts w:ascii="Palatino Linotype" w:eastAsia="Palatino Linotype" w:hAnsi="Palatino Linotype" w:cs="Palatino Linotype"/>
          <w:i/>
          <w:iCs/>
        </w:rPr>
      </w:pPr>
      <w:r>
        <w:rPr>
          <w:rFonts w:ascii="Palatino Linotype" w:eastAsia="Palatino Linotype" w:hAnsi="Palatino Linotype" w:cs="Palatino Linotype"/>
          <w:i/>
          <w:iCs/>
        </w:rPr>
        <w:t>o)</w:t>
      </w:r>
      <w:r>
        <w:rPr>
          <w:rFonts w:ascii="Palatino Linotype" w:eastAsia="Palatino Linotype" w:hAnsi="Palatino Linotype" w:cs="Palatino Linotype"/>
          <w:i/>
          <w:iCs/>
        </w:rPr>
        <w:tab/>
        <w:t xml:space="preserve">Leyenda de instrucciones para la verificación del documento. </w:t>
      </w:r>
    </w:p>
    <w:p w:rsidR="00035115" w:rsidRDefault="00035115">
      <w:pPr>
        <w:spacing w:line="360" w:lineRule="auto"/>
        <w:ind w:right="-982"/>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advierte del análisis de los apartados d) elementos de registro, e) datos de la persona registrada y f) datos de filiación de la persona registrada, el Acta de Nacimiento, contiene la Clave Única de Registro de Población (CURP) de la persona registrada y de las personas que detenten la filiación, número de certificado que expide la Secretaría de Salud para acreditar el nacimiento de una persona, sexo, fecha de nacimiento, lugar de nacimiento, entre otros.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Dada esta relevancia y que no guarda relación directa con el ejercicio de atribuciones de servidores públicos es que su contenido del Acta de Nacimiento debe ser analizado en su totalidad, además que parte los datos que integran hacen identificable a la persona sin tener que ver con el ejercicio de un cargo público. Pues como se señalado, el Acta de Nacimiento comprueba el estado civil de una persona por lo que es un tema que tiene que ver con la vida privada, ya que, para acceder a un cargo público, el estado civil de las personas es irrelevante, ya que tener uno u otro no influye en el mejor o menor desempeño de un cargo público.</w:t>
      </w:r>
    </w:p>
    <w:p w:rsidR="00D258C6" w:rsidRDefault="00D258C6" w:rsidP="00D258C6">
      <w:pPr>
        <w:pStyle w:val="Prrafodelista"/>
        <w:rPr>
          <w:rFonts w:ascii="Palatino Linotype" w:eastAsia="Palatino Linotype" w:hAnsi="Palatino Linotype" w:cs="Palatino Linotype"/>
          <w:color w:val="000000"/>
        </w:rPr>
      </w:pPr>
    </w:p>
    <w:p w:rsidR="00D258C6" w:rsidRDefault="00D258C6" w:rsidP="00D258C6">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esta manera, se trata de un documento de naturaleza confidencial que tiene que ver únicamente con la vida privada de las personas, motivo por el cual se considera que actualiza la causal de </w:t>
      </w:r>
      <w:r>
        <w:rPr>
          <w:rFonts w:ascii="Palatino Linotype" w:eastAsia="Palatino Linotype" w:hAnsi="Palatino Linotype" w:cs="Palatino Linotype"/>
          <w:b/>
          <w:bCs/>
          <w:color w:val="000000"/>
        </w:rPr>
        <w:t>clasificación en su totalidad</w:t>
      </w:r>
      <w:r>
        <w:rPr>
          <w:rFonts w:ascii="Palatino Linotype" w:eastAsia="Palatino Linotype" w:hAnsi="Palatino Linotype" w:cs="Palatino Linotype"/>
          <w:color w:val="000000"/>
        </w:rPr>
        <w:t xml:space="preserve"> establecida en el artículo 143, fracción I, de la Ley de Transparencia y Acceso a la Información Pública del Estado de México y Municipios.</w:t>
      </w:r>
    </w:p>
    <w:p w:rsidR="00035115" w:rsidRDefault="00035115">
      <w:pPr>
        <w:widowControl w:val="0"/>
        <w:spacing w:line="360" w:lineRule="auto"/>
        <w:ind w:right="-982"/>
        <w:jc w:val="both"/>
        <w:rPr>
          <w:rFonts w:ascii="Palatino Linotype" w:eastAsia="Palatino Linotype" w:hAnsi="Palatino Linotype" w:cs="Palatino Linotype"/>
          <w:b/>
          <w:bCs/>
        </w:rPr>
      </w:pPr>
    </w:p>
    <w:p w:rsidR="00035115" w:rsidRDefault="00F871A7">
      <w:pPr>
        <w:widowControl w:val="0"/>
        <w:numPr>
          <w:ilvl w:val="0"/>
          <w:numId w:val="15"/>
        </w:numPr>
        <w:spacing w:line="360" w:lineRule="auto"/>
        <w:ind w:left="0" w:right="-982" w:firstLine="0"/>
        <w:jc w:val="both"/>
        <w:rPr>
          <w:rFonts w:ascii="Palatino Linotype" w:eastAsia="Palatino Linotype" w:hAnsi="Palatino Linotype" w:cs="Palatino Linotype"/>
          <w:b/>
          <w:bCs/>
        </w:rPr>
      </w:pPr>
      <w:r>
        <w:rPr>
          <w:rFonts w:ascii="Palatino Linotype" w:eastAsia="Palatino Linotype" w:hAnsi="Palatino Linotype" w:cs="Palatino Linotype"/>
          <w:b/>
          <w:bCs/>
        </w:rPr>
        <w:t>Credencial para votar</w:t>
      </w: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manera particular el artículo 156, de la Ley General de Instituciones y Procedimientos Electorales dispone que la credencial para votar deberá contener, cuando menos, los siguientes datos:</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 </w:t>
      </w:r>
      <w:r>
        <w:rPr>
          <w:rFonts w:ascii="Palatino Linotype" w:eastAsia="Palatino Linotype" w:hAnsi="Palatino Linotype" w:cs="Palatino Linotype"/>
          <w:i/>
          <w:iCs/>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b) </w:t>
      </w:r>
      <w:r>
        <w:rPr>
          <w:rFonts w:ascii="Palatino Linotype" w:eastAsia="Palatino Linotype" w:hAnsi="Palatino Linotype" w:cs="Palatino Linotype"/>
          <w:i/>
          <w:iCs/>
          <w:color w:val="000000"/>
        </w:rPr>
        <w:t xml:space="preserve">Sección electoral en donde deberá votar el ciudadano. En el caso de los ciudadanos residentes en el extranjero no será necesario incluir este requisito;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 </w:t>
      </w:r>
      <w:r>
        <w:rPr>
          <w:rFonts w:ascii="Palatino Linotype" w:eastAsia="Palatino Linotype" w:hAnsi="Palatino Linotype" w:cs="Palatino Linotype"/>
          <w:i/>
          <w:iCs/>
          <w:color w:val="000000"/>
        </w:rPr>
        <w:t xml:space="preserve">Apellido paterno, apellido materno y nombre completo;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d) </w:t>
      </w:r>
      <w:r>
        <w:rPr>
          <w:rFonts w:ascii="Palatino Linotype" w:eastAsia="Palatino Linotype" w:hAnsi="Palatino Linotype" w:cs="Palatino Linotype"/>
          <w:i/>
          <w:iCs/>
          <w:color w:val="000000"/>
        </w:rPr>
        <w:t xml:space="preserve">Domicilio;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e) </w:t>
      </w:r>
      <w:r>
        <w:rPr>
          <w:rFonts w:ascii="Palatino Linotype" w:eastAsia="Palatino Linotype" w:hAnsi="Palatino Linotype" w:cs="Palatino Linotype"/>
          <w:i/>
          <w:iCs/>
          <w:color w:val="000000"/>
        </w:rPr>
        <w:t xml:space="preserve">Sexo; </w:t>
      </w:r>
    </w:p>
    <w:p w:rsidR="00035115" w:rsidRDefault="00F871A7">
      <w:pPr>
        <w:ind w:left="1134" w:right="-982"/>
        <w:rPr>
          <w:rFonts w:ascii="Palatino Linotype" w:eastAsia="Palatino Linotype" w:hAnsi="Palatino Linotype" w:cs="Palatino Linotype"/>
          <w:i/>
          <w:iCs/>
        </w:rPr>
      </w:pPr>
      <w:r>
        <w:rPr>
          <w:rFonts w:ascii="Palatino Linotype" w:eastAsia="Palatino Linotype" w:hAnsi="Palatino Linotype" w:cs="Palatino Linotype"/>
          <w:b/>
          <w:bCs/>
          <w:i/>
          <w:iCs/>
          <w:color w:val="000000"/>
        </w:rPr>
        <w:t xml:space="preserve">f) </w:t>
      </w:r>
      <w:r>
        <w:rPr>
          <w:rFonts w:ascii="Palatino Linotype" w:eastAsia="Palatino Linotype" w:hAnsi="Palatino Linotype" w:cs="Palatino Linotype"/>
          <w:i/>
          <w:iCs/>
          <w:color w:val="000000"/>
        </w:rPr>
        <w:t>Edad y año de registro;</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g) </w:t>
      </w:r>
      <w:r>
        <w:rPr>
          <w:rFonts w:ascii="Palatino Linotype" w:eastAsia="Palatino Linotype" w:hAnsi="Palatino Linotype" w:cs="Palatino Linotype"/>
          <w:i/>
          <w:iCs/>
          <w:color w:val="000000"/>
        </w:rPr>
        <w:t xml:space="preserve">Firma, huella digital y fotografía del elector;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h) </w:t>
      </w:r>
      <w:r>
        <w:rPr>
          <w:rFonts w:ascii="Palatino Linotype" w:eastAsia="Palatino Linotype" w:hAnsi="Palatino Linotype" w:cs="Palatino Linotype"/>
          <w:i/>
          <w:iCs/>
          <w:color w:val="000000"/>
        </w:rPr>
        <w:t xml:space="preserve">Clave de registro, y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 </w:t>
      </w:r>
      <w:r>
        <w:rPr>
          <w:rFonts w:ascii="Palatino Linotype" w:eastAsia="Palatino Linotype" w:hAnsi="Palatino Linotype" w:cs="Palatino Linotype"/>
          <w:i/>
          <w:iCs/>
          <w:color w:val="000000"/>
        </w:rPr>
        <w:t xml:space="preserve">Clave Única del Registro de Población.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2. </w:t>
      </w:r>
      <w:r>
        <w:rPr>
          <w:rFonts w:ascii="Palatino Linotype" w:eastAsia="Palatino Linotype" w:hAnsi="Palatino Linotype" w:cs="Palatino Linotype"/>
          <w:i/>
          <w:iCs/>
          <w:color w:val="000000"/>
        </w:rPr>
        <w:t xml:space="preserve">Además tendrá: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 </w:t>
      </w:r>
      <w:r>
        <w:rPr>
          <w:rFonts w:ascii="Palatino Linotype" w:eastAsia="Palatino Linotype" w:hAnsi="Palatino Linotype" w:cs="Palatino Linotype"/>
          <w:i/>
          <w:iCs/>
          <w:color w:val="000000"/>
        </w:rPr>
        <w:t xml:space="preserve">Espacios necesarios para marcar año y elección de que se trate;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b) </w:t>
      </w:r>
      <w:r>
        <w:rPr>
          <w:rFonts w:ascii="Palatino Linotype" w:eastAsia="Palatino Linotype" w:hAnsi="Palatino Linotype" w:cs="Palatino Linotype"/>
          <w:i/>
          <w:iCs/>
          <w:color w:val="000000"/>
        </w:rPr>
        <w:t xml:space="preserve">Firma impresa del Secretario Ejecutivo del Instituto;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 </w:t>
      </w:r>
      <w:r>
        <w:rPr>
          <w:rFonts w:ascii="Palatino Linotype" w:eastAsia="Palatino Linotype" w:hAnsi="Palatino Linotype" w:cs="Palatino Linotype"/>
          <w:i/>
          <w:iCs/>
          <w:color w:val="000000"/>
        </w:rPr>
        <w:t xml:space="preserve">Año de emisión;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d) </w:t>
      </w:r>
      <w:r>
        <w:rPr>
          <w:rFonts w:ascii="Palatino Linotype" w:eastAsia="Palatino Linotype" w:hAnsi="Palatino Linotype" w:cs="Palatino Linotype"/>
          <w:i/>
          <w:iCs/>
          <w:color w:val="000000"/>
        </w:rPr>
        <w:t xml:space="preserve">Año en el que expira su vigencia, y </w:t>
      </w:r>
    </w:p>
    <w:p w:rsidR="00035115" w:rsidRDefault="00F871A7">
      <w:pPr>
        <w:ind w:left="1134" w:right="-982"/>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e) </w:t>
      </w:r>
      <w:r>
        <w:rPr>
          <w:rFonts w:ascii="Palatino Linotype" w:eastAsia="Palatino Linotype" w:hAnsi="Palatino Linotype" w:cs="Palatino Linotype"/>
          <w:i/>
          <w:iCs/>
          <w:color w:val="000000"/>
        </w:rPr>
        <w:t>En el caso de la que se expida al ciudadano residente en el extranjero, la leyenda “Para Votar desde el Extranjero”.</w:t>
      </w:r>
    </w:p>
    <w:p w:rsidR="00035115" w:rsidRDefault="00035115">
      <w:pPr>
        <w:spacing w:line="360" w:lineRule="auto"/>
        <w:ind w:right="-982"/>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6"/>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w:t>
      </w:r>
      <w:r>
        <w:rPr>
          <w:rFonts w:ascii="Palatino Linotype" w:eastAsia="Palatino Linotype" w:hAnsi="Palatino Linotype" w:cs="Palatino Linotype"/>
          <w:color w:val="000000"/>
        </w:rPr>
        <w:lastRenderedPageBreak/>
        <w:t>función del cargo público, por lo que se entiende que se analizan en su conjunto los datos personales contenidos en la misma, con excepción del nombre; por lo que, en el presente caso, se considera que la credencial de elector, es confidencial y actualiza la</w:t>
      </w:r>
      <w:r>
        <w:rPr>
          <w:rFonts w:ascii="Palatino Linotype" w:eastAsia="Palatino Linotype" w:hAnsi="Palatino Linotype" w:cs="Palatino Linotype"/>
          <w:b/>
          <w:bCs/>
          <w:color w:val="000000"/>
        </w:rPr>
        <w:t xml:space="preserve"> causal de clasificación en su totalidad</w:t>
      </w:r>
      <w:r>
        <w:rPr>
          <w:rFonts w:ascii="Palatino Linotype" w:eastAsia="Palatino Linotype" w:hAnsi="Palatino Linotype" w:cs="Palatino Linotype"/>
          <w:color w:val="000000"/>
        </w:rPr>
        <w:t>, establecida en el artículo 143, fracción I, de la Ley de Transparencia y Acceso a la Información Pública del Estado de México y Municipios.</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ind w:right="-982"/>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Certificado de no deudor Alimentario </w:t>
      </w: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Mediante el Decreto número 325 publicado en el Periódico Oficial “Gaceta del Gobierno” el catorce de noviembre de dos mil catorce, en la exposición de motivos de ese decreto se observa que, como una medida para garantizar el interés superior de los menores, se creó el Registro de Deudores Alimentarios del Estado de México, con la finalidad de asegurar el cumplimiento de las obligaciones alimentarias de los padres para con sus hijos.</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resulta importante hacer del conocimiento del SUJETO OBLIGADO que deberá entregarse dicho documento, toda vez que la Ley General de los Derechos de las Niñas, Niños y Adolescentes https://www.diputados.gob.mx/LeyesBiblio/pdf/LGDNNA.pdf, en sus artículos 1, 13, 18 y 46, 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ahí que, se crea el Registro Nacional de Obligaciones Alimentarias cuyo objeto es concentrar la información de deudores y acreedores de obligaciones alimentarias, a fin de </w:t>
      </w:r>
      <w:r>
        <w:rPr>
          <w:rFonts w:ascii="Palatino Linotype" w:eastAsia="Palatino Linotype" w:hAnsi="Palatino Linotype" w:cs="Palatino Linotype"/>
          <w:color w:val="000000"/>
        </w:rPr>
        <w:lastRenderedPageBreak/>
        <w:t>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rsidR="00035115" w:rsidRDefault="00035115">
      <w:pPr>
        <w:pBdr>
          <w:top w:val="nil"/>
          <w:left w:val="nil"/>
          <w:bottom w:val="nil"/>
          <w:right w:val="nil"/>
          <w:between w:val="nil"/>
        </w:pBdr>
        <w:ind w:left="708" w:right="-982"/>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calidad de deudor moroso se difundirá en el Registro Nacional de Obligaciones Alimentarias, el cual, será público con base en lo dispuesto en la Ley General de Protección de Datos Personales en Posesión de Sujetos Obligados.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rsidR="00035115" w:rsidRDefault="00035115">
      <w:pPr>
        <w:pBdr>
          <w:top w:val="nil"/>
          <w:left w:val="nil"/>
          <w:bottom w:val="nil"/>
          <w:right w:val="nil"/>
          <w:between w:val="nil"/>
        </w:pBdr>
        <w:ind w:left="708" w:right="-982"/>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los artículos 4.146 Bis, 4.146 Ter, 4.146 Quáter y 4.146 Quinquies del Código Civil del Estado de México, del Registro de Deudores Alimentarios del Estado de México , establece lo siguiente: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“CAPÍTULO IV DEL REGISTRO DE DEUDORES ALIMENTARIOS MOROSOS</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 la naturaleza del Registro de Deudores Alimentarios Morosos</w:t>
      </w:r>
    </w:p>
    <w:p w:rsidR="00035115" w:rsidRDefault="00035115">
      <w:pPr>
        <w:pBdr>
          <w:top w:val="nil"/>
          <w:left w:val="nil"/>
          <w:bottom w:val="nil"/>
          <w:right w:val="nil"/>
          <w:between w:val="nil"/>
        </w:pBdr>
        <w:ind w:left="1134" w:right="-982"/>
        <w:jc w:val="both"/>
        <w:rPr>
          <w:rFonts w:ascii="Palatino Linotype" w:eastAsia="Palatino Linotype" w:hAnsi="Palatino Linotype" w:cs="Palatino Linotype"/>
          <w:i/>
          <w:iCs/>
          <w:color w:val="000000"/>
        </w:rPr>
      </w:pP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4.146 Bis.- El área del Registro de Deudores Alimentarios Morosos, es una unidad administrativa del Registro Civil.</w:t>
      </w:r>
    </w:p>
    <w:p w:rsidR="00035115" w:rsidRDefault="00035115">
      <w:pPr>
        <w:pBdr>
          <w:top w:val="nil"/>
          <w:left w:val="nil"/>
          <w:bottom w:val="nil"/>
          <w:right w:val="nil"/>
          <w:between w:val="nil"/>
        </w:pBdr>
        <w:ind w:left="1134" w:right="-982"/>
        <w:jc w:val="both"/>
        <w:rPr>
          <w:rFonts w:ascii="Palatino Linotype" w:eastAsia="Palatino Linotype" w:hAnsi="Palatino Linotype" w:cs="Palatino Linotype"/>
          <w:i/>
          <w:iCs/>
          <w:color w:val="000000"/>
        </w:rPr>
      </w:pP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Actos inscribibles en el Registro de Deudores Alimentarios Morosos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4.146 Ter.- En el Registro de Deudores Alimentarios Morosos se inscriben a las personas que el Juez de lo Familiar determina en términos del artículo 4.136 del presente Código.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Serán objeto de registro los empleadores que incumplan una orden de descuento para alimentos ordenada por el órgano jurisdiccional. </w:t>
      </w:r>
    </w:p>
    <w:p w:rsidR="00035115" w:rsidRDefault="00035115">
      <w:pPr>
        <w:pBdr>
          <w:top w:val="nil"/>
          <w:left w:val="nil"/>
          <w:bottom w:val="nil"/>
          <w:right w:val="nil"/>
          <w:between w:val="nil"/>
        </w:pBdr>
        <w:ind w:left="1134" w:right="-982"/>
        <w:jc w:val="both"/>
        <w:rPr>
          <w:rFonts w:ascii="Palatino Linotype" w:eastAsia="Palatino Linotype" w:hAnsi="Palatino Linotype" w:cs="Palatino Linotype"/>
          <w:i/>
          <w:iCs/>
          <w:color w:val="000000"/>
        </w:rPr>
      </w:pP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los datos que contendrá el Registro de Deudores Alimentarios Morosos </w:t>
      </w:r>
    </w:p>
    <w:p w:rsidR="00035115" w:rsidRDefault="00035115">
      <w:pPr>
        <w:pBdr>
          <w:top w:val="nil"/>
          <w:left w:val="nil"/>
          <w:bottom w:val="nil"/>
          <w:right w:val="nil"/>
          <w:between w:val="nil"/>
        </w:pBdr>
        <w:ind w:left="1134" w:right="-982"/>
        <w:jc w:val="both"/>
        <w:rPr>
          <w:rFonts w:ascii="Palatino Linotype" w:eastAsia="Palatino Linotype" w:hAnsi="Palatino Linotype" w:cs="Palatino Linotype"/>
          <w:i/>
          <w:iCs/>
          <w:color w:val="000000"/>
        </w:rPr>
      </w:pP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4.146 Quáter.- El Registro de Deudores Alimentarios Morosos contendrá: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Nombre y Clave Única del Registro de Población del deudor alimentario;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Nombre del acreedor o acreedores alimentarios;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Datos del acta que acredite el vínculo entre deudor y acreedor alimentario, en su caso;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Monto de la pensión decretada o convenida, en su caso, número de pagos incumplidos y monto del adeudo alimentario;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Órgano jurisdiccional que ordenó el registro; </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Datos del expediente jurisdiccional de la que deriva su inscripción. </w:t>
      </w:r>
    </w:p>
    <w:p w:rsidR="00035115" w:rsidRDefault="00035115">
      <w:pPr>
        <w:pBdr>
          <w:top w:val="nil"/>
          <w:left w:val="nil"/>
          <w:bottom w:val="nil"/>
          <w:right w:val="nil"/>
          <w:between w:val="nil"/>
        </w:pBdr>
        <w:ind w:left="1134" w:right="-982"/>
        <w:jc w:val="both"/>
        <w:rPr>
          <w:rFonts w:ascii="Palatino Linotype" w:eastAsia="Palatino Linotype" w:hAnsi="Palatino Linotype" w:cs="Palatino Linotype"/>
          <w:i/>
          <w:iCs/>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Una vez hecha la inscripción a que se refiere el párrafo anterior se girará oficio al Instituto de la Función Registral del Estado de México, a efecto de que se anote el certificado de deudor alimentario en los folios reales de que sea propietario el deudor alimentario. El Instituto de la Función Registral informará al Registro Civil si fue procedente la anotación, en cuyo caso dará aviso al Juez del conocimiento para que el acreedor alimentario haga cobrable las cantidades adeudadas en la vía judicial respectiva.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Datos del Certificado expedido por la Unidad del Registro de Deudores Alimentarios Morosos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4.146 Quinquies.- El Certificado expedido por la Unidad del Registro de Deudores Alimentarios Morosos contendrá lo siguiente: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Nombre y Clave Única de Registro de Población del solicitante;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La información sobre su inscripción o no en el registro de deudores alimentarios morosos.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ser el caso que el solicitante se encuentre inscrito en el registro, la constancia incluirá además lo siguiente: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Número de acreedores alimentarios;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Monto de la pensión alimenticia decretada o convenida;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III. Órgano jurisdiccional que ordenó el registro;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Datos del expediente jurisdiccional de la que deriva su inscripción.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Certificado a que se refiere el presente artículo será expedido el mismo día hábil de su solicitud.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Cancelación del Registro de Deudor Alimentario Moroso </w:t>
      </w:r>
    </w:p>
    <w:p w:rsidR="00035115" w:rsidRDefault="00F871A7">
      <w:pPr>
        <w:pBdr>
          <w:top w:val="nil"/>
          <w:left w:val="nil"/>
          <w:bottom w:val="nil"/>
          <w:right w:val="nil"/>
          <w:between w:val="nil"/>
        </w:pBdr>
        <w:ind w:left="1276"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4.146 Sexies.- Una vez que hayan sido liquidadas las pensiones adeudadas, el Juez de conocimiento podrá ordenar a petición de parte interesada, la cancelación del registro como deudor alimentario moroso, la cual se tramitará de manera incidental. La del registro de deudor alimentario procederá cuando haya cesado la obligación alimentaria. …” </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 bien, respecto a aquellos servidores públicos que se encuentren o no inscritos en dicho registro, procedería su entrega en versión pública, ya que al ser un requisito sine qua non para ingresar al servicio público, se convierte en información que da certeza a la ciudadanía de que el Servidor Público cumplió con los requisitos señalados.</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Derivado de lo anterior, cualquier ciudadano que desee obtener dicha información, podrá ingresar a la Ventanilla Electrónica Única, en la que </w:t>
      </w:r>
      <w:r>
        <w:rPr>
          <w:rFonts w:ascii="Palatino Linotype" w:eastAsia="Palatino Linotype" w:hAnsi="Palatino Linotype" w:cs="Palatino Linotype"/>
        </w:rPr>
        <w:t>accede</w:t>
      </w:r>
      <w:r>
        <w:rPr>
          <w:rFonts w:ascii="Palatino Linotype" w:eastAsia="Palatino Linotype" w:hAnsi="Palatino Linotype" w:cs="Palatino Linotype"/>
          <w:color w:val="000000"/>
        </w:rPr>
        <w:t xml:space="preserve"> con su CUTS y contraseña, capturando los datos como son CURP, nombre, primer y segundo apellido, y se comenzará la búsqueda de lo solicitado, en el que arrojará si se encuentra en calidad de deudor o no. </w:t>
      </w:r>
    </w:p>
    <w:p w:rsidR="00035115" w:rsidRDefault="00035115">
      <w:pPr>
        <w:pBdr>
          <w:top w:val="nil"/>
          <w:left w:val="nil"/>
          <w:bottom w:val="nil"/>
          <w:right w:val="nil"/>
          <w:between w:val="nil"/>
        </w:pBdr>
        <w:ind w:left="708" w:right="-982"/>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sentido, se advierte que al ser un requisito indispensable y preponderante, EL SUJETO OBLIGADO deberá hacer entrega de dicho documento que dé cuenta de que no es una persona que ha incumplido con las obligaciones alimentarias, 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w:t>
      </w:r>
      <w:r>
        <w:rPr>
          <w:rFonts w:ascii="Palatino Linotype" w:eastAsia="Palatino Linotype" w:hAnsi="Palatino Linotype" w:cs="Palatino Linotype"/>
          <w:color w:val="000000"/>
        </w:rPr>
        <w:lastRenderedPageBreak/>
        <w:t>haberlas cubierto, no formarán parte de ese registro, no pasa desapercibido, que el Certificado de No Deudor Alimentario, pudiere contener información confidencial, como lo es el CURP y R.F.C.</w:t>
      </w:r>
    </w:p>
    <w:p w:rsidR="00035115" w:rsidRDefault="00035115">
      <w:pPr>
        <w:pBdr>
          <w:top w:val="nil"/>
          <w:left w:val="nil"/>
          <w:bottom w:val="nil"/>
          <w:right w:val="nil"/>
          <w:between w:val="nil"/>
        </w:pBdr>
        <w:ind w:left="708" w:right="-982"/>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resulta aplicable el criterio reiterado 07/24, que es del tenor literal siguiente:</w:t>
      </w:r>
    </w:p>
    <w:p w:rsidR="00035115" w:rsidRDefault="00F871A7">
      <w:pPr>
        <w:pBdr>
          <w:top w:val="nil"/>
          <w:left w:val="nil"/>
          <w:bottom w:val="nil"/>
          <w:right w:val="nil"/>
          <w:between w:val="nil"/>
        </w:pBdr>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CERTIFICADO DE NO DEUDOR ALIMENTARIO MOROSO, PROCEDE SU ENTREGA EN VERSIÓN PÚBLICA. El certificado de no deudor alimentario moroso es información de carácter público ya que es requisito indispensable para ingresar al servicio público, lo cual genera certeza a la ciudadanía de que el Servidor Público cumplió con los requisitos señalados por el artículo 47, fracción XI de la Ley del Trabajo de los Servidores Públicos del Estado y Municipios.</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tanto, es procedente la entrega del Certificado en cuestión, por considerarse de carácter público, en versión pública.</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highlight w:val="yellow"/>
        </w:rPr>
      </w:pPr>
    </w:p>
    <w:p w:rsidR="00035115" w:rsidRDefault="00F871A7">
      <w:pPr>
        <w:numPr>
          <w:ilvl w:val="0"/>
          <w:numId w:val="18"/>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Ficha curricular o curriculum vitae.</w:t>
      </w:r>
    </w:p>
    <w:p w:rsidR="00035115" w:rsidRDefault="00F871A7">
      <w:pPr>
        <w:numPr>
          <w:ilvl w:val="0"/>
          <w:numId w:val="17"/>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Precisado lo anterior, y en atención a los requerimientos planteados por el particular, por lo que corresponde a la ficha curricular o curriculum vitae contienen entre otra información, </w:t>
      </w:r>
      <w:r>
        <w:rPr>
          <w:rFonts w:ascii="Palatino Linotype" w:eastAsia="Palatino Linotype" w:hAnsi="Palatino Linotype" w:cs="Palatino Linotype"/>
          <w:b/>
          <w:bCs/>
          <w:color w:val="000000"/>
        </w:rPr>
        <w:t>la preparación académica, laboral y méritos con los que cuentan los servidores públicos</w:t>
      </w:r>
      <w:r>
        <w:rPr>
          <w:rFonts w:ascii="Palatino Linotype" w:eastAsia="Palatino Linotype" w:hAnsi="Palatino Linotype" w:cs="Palatino Linotype"/>
          <w:color w:val="000000"/>
        </w:rPr>
        <w:t xml:space="preserve"> para ocupar un cargo público. Se cita lo que dispone la Real Academia de la Lengua Española define como currículum vitae: </w:t>
      </w:r>
    </w:p>
    <w:p w:rsidR="00035115" w:rsidRDefault="00F871A7">
      <w:pPr>
        <w:tabs>
          <w:tab w:val="left" w:pos="1134"/>
        </w:tabs>
        <w:spacing w:line="276" w:lineRule="auto"/>
        <w:ind w:left="1134" w:right="-982"/>
        <w:jc w:val="both"/>
        <w:rPr>
          <w:rFonts w:ascii="Palatino Linotype" w:eastAsia="Palatino Linotype" w:hAnsi="Palatino Linotype" w:cs="Palatino Linotype"/>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currículum vítae</w:t>
      </w:r>
      <w:r>
        <w:rPr>
          <w:rFonts w:ascii="Palatino Linotype" w:eastAsia="Palatino Linotype" w:hAnsi="Palatino Linotype" w:cs="Palatino Linotype"/>
          <w:i/>
          <w:iCs/>
        </w:rPr>
        <w:t>. </w:t>
      </w:r>
      <w:r>
        <w:rPr>
          <w:rFonts w:ascii="Palatino Linotype" w:eastAsia="Palatino Linotype" w:hAnsi="Palatino Linotype" w:cs="Palatino Linotype"/>
          <w:b/>
          <w:bCs/>
          <w:i/>
          <w:iCs/>
        </w:rPr>
        <w:t>1.</w:t>
      </w:r>
      <w:r>
        <w:rPr>
          <w:rFonts w:ascii="Palatino Linotype" w:eastAsia="Palatino Linotype" w:hAnsi="Palatino Linotype" w:cs="Palatino Linotype"/>
          <w:i/>
          <w:iCs/>
        </w:rPr>
        <w:t xml:space="preserve"> Loc. lat. que significa literalmente ‘carrera de la vida’. Se usa como locución nominal masculina para designar la relación de los datos personales, </w:t>
      </w:r>
      <w:r>
        <w:rPr>
          <w:rFonts w:ascii="Palatino Linotype" w:eastAsia="Palatino Linotype" w:hAnsi="Palatino Linotype" w:cs="Palatino Linotype"/>
          <w:b/>
          <w:bCs/>
          <w:i/>
          <w:iCs/>
        </w:rPr>
        <w:t>formación académica</w:t>
      </w:r>
      <w:r>
        <w:rPr>
          <w:rFonts w:ascii="Palatino Linotype" w:eastAsia="Palatino Linotype" w:hAnsi="Palatino Linotype" w:cs="Palatino Linotype"/>
          <w:i/>
          <w:iCs/>
        </w:rPr>
        <w:t>, actividad laboral y méritos de una persona.</w:t>
      </w:r>
      <w:r>
        <w:rPr>
          <w:rFonts w:ascii="Palatino Linotype" w:eastAsia="Palatino Linotype" w:hAnsi="Palatino Linotype" w:cs="Palatino Linotype"/>
        </w:rPr>
        <w:t>”</w:t>
      </w:r>
    </w:p>
    <w:p w:rsidR="00035115" w:rsidRDefault="00035115">
      <w:pPr>
        <w:pBdr>
          <w:top w:val="nil"/>
          <w:left w:val="nil"/>
          <w:bottom w:val="nil"/>
          <w:right w:val="nil"/>
          <w:between w:val="nil"/>
        </w:pBdr>
        <w:tabs>
          <w:tab w:val="left" w:pos="426"/>
        </w:tabs>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tabs>
          <w:tab w:val="left" w:pos="567"/>
        </w:tabs>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la interpretación a esta definición se desprende que tanto la ficha curricular como el currículum vitae están relacionados con la hoja de vida, carrera de vida o currícula de una persona, donde se podría apreciar la preparación académica y laboral que tiene, además de los méritos como bien lo podrían ser cursos o certificaciones.</w:t>
      </w:r>
    </w:p>
    <w:p w:rsidR="00035115" w:rsidRDefault="00035115">
      <w:pPr>
        <w:pBdr>
          <w:top w:val="nil"/>
          <w:left w:val="nil"/>
          <w:bottom w:val="nil"/>
          <w:right w:val="nil"/>
          <w:between w:val="nil"/>
        </w:pBdr>
        <w:tabs>
          <w:tab w:val="left" w:pos="426"/>
        </w:tabs>
        <w:spacing w:line="360" w:lineRule="auto"/>
        <w:ind w:right="-982"/>
        <w:jc w:val="both"/>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tabs>
          <w:tab w:val="left" w:pos="567"/>
        </w:tabs>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ende, la ficha curricular o currículum vítae puede existir información más detallada y relacionada con la </w:t>
      </w:r>
      <w:r>
        <w:rPr>
          <w:rFonts w:ascii="Palatino Linotype" w:eastAsia="Palatino Linotype" w:hAnsi="Palatino Linotype" w:cs="Palatino Linotype"/>
          <w:b/>
          <w:bCs/>
          <w:color w:val="000000"/>
        </w:rPr>
        <w:t xml:space="preserve">trayectoria académica o profesional, </w:t>
      </w:r>
      <w:r>
        <w:rPr>
          <w:rFonts w:ascii="Palatino Linotype" w:eastAsia="Palatino Linotype" w:hAnsi="Palatino Linotype" w:cs="Palatino Linotype"/>
          <w:color w:val="000000"/>
        </w:rPr>
        <w:t xml:space="preserve">debiendo conservar los documentos soporte como puede ser </w:t>
      </w:r>
      <w:r>
        <w:rPr>
          <w:rFonts w:ascii="Palatino Linotype" w:eastAsia="Palatino Linotype" w:hAnsi="Palatino Linotype" w:cs="Palatino Linotype"/>
          <w:b/>
          <w:bCs/>
          <w:color w:val="000000"/>
        </w:rPr>
        <w:t>el título profesional o cédula profesional</w:t>
      </w:r>
      <w:r>
        <w:rPr>
          <w:rFonts w:ascii="Palatino Linotype" w:eastAsia="Palatino Linotype" w:hAnsi="Palatino Linotype" w:cs="Palatino Linotype"/>
          <w:color w:val="000000"/>
        </w:rPr>
        <w:t xml:space="preserve"> o el documento que avale el grado académico de los servidores públicos, los cuales son susceptibles de proporcionarse en versión pública.</w:t>
      </w:r>
    </w:p>
    <w:p w:rsidR="00035115" w:rsidRDefault="00035115">
      <w:pPr>
        <w:pBdr>
          <w:top w:val="nil"/>
          <w:left w:val="nil"/>
          <w:bottom w:val="nil"/>
          <w:right w:val="nil"/>
          <w:between w:val="nil"/>
        </w:pBdr>
        <w:ind w:right="-982"/>
        <w:rPr>
          <w:rFonts w:ascii="Palatino Linotype" w:eastAsia="Palatino Linotype" w:hAnsi="Palatino Linotype" w:cs="Palatino Linotype"/>
          <w:color w:val="000000"/>
        </w:rPr>
      </w:pPr>
    </w:p>
    <w:p w:rsidR="00035115" w:rsidRDefault="00F871A7">
      <w:pPr>
        <w:numPr>
          <w:ilvl w:val="0"/>
          <w:numId w:val="17"/>
        </w:numPr>
        <w:pBdr>
          <w:top w:val="nil"/>
          <w:left w:val="nil"/>
          <w:bottom w:val="nil"/>
          <w:right w:val="nil"/>
          <w:between w:val="nil"/>
        </w:pBdr>
        <w:tabs>
          <w:tab w:val="left" w:pos="567"/>
        </w:tabs>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la información contenida en el currículum vitae permite conocer el perfil profesional del servidor público. Además, el currículum vitae o ficha curricular forman parte de las obligaciones de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rsidR="00035115" w:rsidRDefault="00F871A7">
      <w:pPr>
        <w:ind w:left="1134" w:right="-982"/>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rsidR="00035115" w:rsidRDefault="00F871A7">
      <w:pPr>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035115" w:rsidRDefault="00F871A7">
      <w:pPr>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35115" w:rsidRDefault="00F871A7">
      <w:pPr>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XXI.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La información curricular</w:t>
      </w:r>
      <w:r>
        <w:rPr>
          <w:rFonts w:ascii="Palatino Linotype" w:eastAsia="Palatino Linotype" w:hAnsi="Palatino Linotype" w:cs="Palatino Linotype"/>
          <w:i/>
          <w:iCs/>
        </w:rPr>
        <w:t>, desde el nivel de jefe de departamento o equivalente, hasta el titular del sujeto obligado, así como, en su caso, las sanciones administrativas de que haya sido objeto;</w:t>
      </w:r>
    </w:p>
    <w:p w:rsidR="00035115" w:rsidRDefault="00F871A7">
      <w:pPr>
        <w:spacing w:line="360" w:lineRule="auto"/>
        <w:ind w:left="1134" w:right="-982"/>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035115" w:rsidRDefault="00F871A7">
      <w:pPr>
        <w:numPr>
          <w:ilvl w:val="0"/>
          <w:numId w:val="17"/>
        </w:numPr>
        <w:tabs>
          <w:tab w:val="left" w:pos="426"/>
        </w:tabs>
        <w:spacing w:after="240"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lo anterior se colige que, el Sujeto Obligado cuenta con fuente obligacional para generar, administrar y poseer la información requerida por el Particular, además, los </w:t>
      </w:r>
      <w:r>
        <w:rPr>
          <w:rFonts w:ascii="Palatino Linotype" w:eastAsia="Palatino Linotype" w:hAnsi="Palatino Linotype" w:cs="Palatino Linotype"/>
          <w:i/>
          <w:iC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XVII. La información curricular desde el nivel de jefe de departamento o equivalente    hasta el titular del sujeto obligado, así como, en su caso, las sanciones administrativas de que haya sido objeto  </w:t>
      </w:r>
    </w:p>
    <w:p w:rsidR="00035115" w:rsidRDefault="00035115">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que los sujetos obligados deberán publicar en cumplimiento a la presente fracción es la curricular no confidencial relacionada con todos los(as) servidores(as) públicos(as) y/o personas que desempeñen actualmente un empleo, cargo o comisión y/o ejerzan actos de autoridad en el sujeto obligado –desde nivel de jefe de departamento o equivalente y hasta el titular del sujeto obligado–, que permita conocer su trayectoria en el ámbito laboral y escolar. Por cada servidor(a) público(a) se deberá especificar si ha sido acreedor a sanciones administrativas definitivas y que hayan sido aplicadas por autoridad u organismo competente.</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Criterios sustantivos de contenido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1 Ejercicio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2 Periodo que se informa (fecha de inicio y fecha de término con el formato día/mes/año)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3 Denominación del puesto (de acuerdo con el catálogo que en su caso regule la actividad del sujeto obligado)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4 Denominación del cargo (de conformidad con nombramiento otorgado)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Criterio 5 Nombre del servidor(a) público(a), integrante y/o, miembro del sujeto obligado, y/o persona que desempeñe un empleo, cargo o comisión y/o ejerza actos de autoridad (nombre[s], primer apellido, segundo apellido)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6 Área de adscripción (de acuerdo con el catálogo que en su caso regule la actividad del sujeto obligado) Respecto a la información curricular del (la) servidor(a) público(a) y/o persona que desempeñe un empleo, cargo o comisión en el sujeto obligado se deberá publicar: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Criterio 7 Escolaridad, nivel máximo de estudios concluido y comprobable (catálogo): Ninguno/Primaria/Secundaria/Bachillerato/Carrera técnica/Licenciatura/Maestría/Doctorado/Posdoctorado/Especialización </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8 Carrera genérica, en su caso</w:t>
      </w:r>
    </w:p>
    <w:p w:rsidR="00035115" w:rsidRDefault="00F871A7">
      <w:pPr>
        <w:pBdr>
          <w:top w:val="nil"/>
          <w:left w:val="nil"/>
          <w:bottom w:val="nil"/>
          <w:right w:val="nil"/>
          <w:between w:val="nil"/>
        </w:pBdr>
        <w:spacing w:before="240" w:after="240" w:line="276" w:lineRule="auto"/>
        <w:ind w:left="1134"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35115" w:rsidRDefault="00035115">
      <w:pPr>
        <w:pBdr>
          <w:top w:val="nil"/>
          <w:left w:val="nil"/>
          <w:bottom w:val="nil"/>
          <w:right w:val="nil"/>
          <w:between w:val="nil"/>
        </w:pBdr>
        <w:spacing w:line="360" w:lineRule="auto"/>
        <w:ind w:right="-982"/>
        <w:jc w:val="both"/>
        <w:rPr>
          <w:rFonts w:ascii="Palatino Linotype" w:eastAsia="Palatino Linotype" w:hAnsi="Palatino Linotype" w:cs="Palatino Linotype"/>
          <w:color w:val="000000"/>
        </w:rPr>
      </w:pPr>
    </w:p>
    <w:p w:rsidR="00035115" w:rsidRDefault="00F871A7">
      <w:pPr>
        <w:pBdr>
          <w:top w:val="nil"/>
          <w:left w:val="nil"/>
          <w:bottom w:val="nil"/>
          <w:right w:val="nil"/>
          <w:between w:val="nil"/>
        </w:pBdr>
        <w:ind w:right="-982"/>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Certificado de No Antecedentes Penales</w:t>
      </w:r>
    </w:p>
    <w:p w:rsidR="00035115" w:rsidRDefault="00F871A7">
      <w:pPr>
        <w:numPr>
          <w:ilvl w:val="0"/>
          <w:numId w:val="17"/>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Respecto del </w:t>
      </w:r>
      <w:r>
        <w:rPr>
          <w:rFonts w:ascii="Palatino Linotype" w:eastAsia="Palatino Linotype" w:hAnsi="Palatino Linotype" w:cs="Palatino Linotype"/>
        </w:rPr>
        <w:t>Certificados</w:t>
      </w:r>
      <w:r>
        <w:rPr>
          <w:rFonts w:ascii="Palatino Linotype" w:eastAsia="Palatino Linotype" w:hAnsi="Palatino Linotype" w:cs="Palatino Linotype"/>
          <w:color w:val="000000"/>
        </w:rPr>
        <w:t xml:space="preserve"> de no antecedentes penales, es información que se estima procedente su entrega en </w:t>
      </w:r>
      <w:r>
        <w:rPr>
          <w:rFonts w:ascii="Palatino Linotype" w:eastAsia="Palatino Linotype" w:hAnsi="Palatino Linotype" w:cs="Palatino Linotype"/>
          <w:b/>
          <w:bCs/>
          <w:color w:val="000000"/>
        </w:rPr>
        <w:t>versión pública</w:t>
      </w:r>
      <w:r>
        <w:rPr>
          <w:rFonts w:ascii="Palatino Linotype" w:eastAsia="Palatino Linotype" w:hAnsi="Palatino Linotype" w:cs="Palatino Linotype"/>
          <w:color w:val="000000"/>
        </w:rPr>
        <w:t xml:space="preserve">, ya que si bien este documento es  considerado violatorios de derechos humanos, en el caso concreto se trata de un documento </w:t>
      </w:r>
      <w:r>
        <w:rPr>
          <w:rFonts w:ascii="Palatino Linotype" w:eastAsia="Palatino Linotype" w:hAnsi="Palatino Linotype" w:cs="Palatino Linotype"/>
        </w:rPr>
        <w:t>en el cual se puede apreciar si una persona ha sido condenada o no por sentencia firme dictada por los órganos jurisdiccionales competentes, la cual se expide, cuando se requiera para trámites de carácter personal cuando:</w:t>
      </w:r>
    </w:p>
    <w:p w:rsidR="00035115" w:rsidRPr="009B1E22" w:rsidRDefault="00F871A7" w:rsidP="009B1E22">
      <w:pPr>
        <w:pStyle w:val="Prrafodelista"/>
        <w:numPr>
          <w:ilvl w:val="2"/>
          <w:numId w:val="17"/>
        </w:numPr>
        <w:spacing w:line="276" w:lineRule="auto"/>
        <w:ind w:left="1134" w:right="-982"/>
        <w:jc w:val="both"/>
        <w:rPr>
          <w:rFonts w:ascii="Palatino Linotype" w:eastAsia="Palatino Linotype" w:hAnsi="Palatino Linotype" w:cs="Palatino Linotype"/>
          <w:i/>
          <w:iCs/>
        </w:rPr>
      </w:pPr>
      <w:r w:rsidRPr="009B1E22">
        <w:rPr>
          <w:rFonts w:ascii="Palatino Linotype" w:eastAsia="Palatino Linotype" w:hAnsi="Palatino Linotype" w:cs="Palatino Linotype"/>
          <w:i/>
          <w:iCs/>
        </w:rPr>
        <w:t>Las disposiciones legales establezcan como requisito para desempeñar un empleo, cargo o comisión en el servicio público, la acreditación por parte del interesado de no haber cometido delito alguno o que no tiene antecedentes penales.</w:t>
      </w:r>
    </w:p>
    <w:p w:rsidR="009B1E22" w:rsidRPr="009B1E22" w:rsidRDefault="009B1E22" w:rsidP="009B1E22">
      <w:pPr>
        <w:spacing w:line="276" w:lineRule="auto"/>
        <w:ind w:right="-982"/>
        <w:jc w:val="both"/>
        <w:rPr>
          <w:rFonts w:ascii="Palatino Linotype" w:eastAsia="Palatino Linotype" w:hAnsi="Palatino Linotype" w:cs="Palatino Linotype"/>
          <w:i/>
          <w:iCs/>
        </w:rPr>
      </w:pPr>
    </w:p>
    <w:p w:rsidR="00035115" w:rsidRDefault="00F871A7">
      <w:pPr>
        <w:numPr>
          <w:ilvl w:val="0"/>
          <w:numId w:val="17"/>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En concordancia con lo anterior, cabe decir que en términos del numeral NOVENO de los “</w:t>
      </w:r>
      <w:r>
        <w:rPr>
          <w:rFonts w:ascii="Palatino Linotype" w:eastAsia="Palatino Linotype" w:hAnsi="Palatino Linotype" w:cs="Palatino Linotype"/>
          <w:i/>
          <w:iCs/>
        </w:rPr>
        <w:t xml:space="preserve">LINEAMIENTOS PARA LA EXPEDICIÓN DE INFORMES Y CERTIFICADOS DE </w:t>
      </w:r>
      <w:r>
        <w:rPr>
          <w:rFonts w:ascii="Palatino Linotype" w:eastAsia="Palatino Linotype" w:hAnsi="Palatino Linotype" w:cs="Palatino Linotype"/>
          <w:i/>
          <w:iCs/>
        </w:rPr>
        <w:lastRenderedPageBreak/>
        <w:t>NO ANTECEDENTES PENALES</w:t>
      </w:r>
      <w:r>
        <w:rPr>
          <w:rFonts w:ascii="Palatino Linotype" w:eastAsia="Palatino Linotype" w:hAnsi="Palatino Linotype" w:cs="Palatino Linotype"/>
        </w:rPr>
        <w:t>”, el informe de antecedentes no penales se limitará a señalar que, conforme a los datos proporcionados, la persona de que se trate, no cuenta con antecedentes penales, sin hacer mayor precisión sobre los expedientes o registros correspondientes, o bien, que podrá presentarse en las oficinas del Instituto de Servicios Periciales para realizar las aclaraciones respectivas y en su caso, solicitar las rectificaciones y cancelaciones a que haya lugar, en términos de las disposiciones legales aplicables, sirve de apoyo a lo anterior la Tesis XXXX.3º.3P(10ª.), de los Tribunales Colegiados de circuito de la Suprema Corte de Justicia de la Nación, que es del rubro y texto siguiente:</w:t>
      </w:r>
    </w:p>
    <w:p w:rsidR="00035115" w:rsidRDefault="00F871A7">
      <w:pPr>
        <w:tabs>
          <w:tab w:val="left" w:pos="1134"/>
        </w:tabs>
        <w:ind w:left="1134" w:right="-982"/>
        <w:jc w:val="both"/>
        <w:rPr>
          <w:rFonts w:ascii="Palatino Linotype" w:eastAsia="Palatino Linotype" w:hAnsi="Palatino Linotype" w:cs="Palatino Linotype"/>
          <w:i/>
          <w:iCs/>
        </w:rPr>
      </w:pPr>
      <w:r>
        <w:rPr>
          <w:rFonts w:ascii="Palatino Linotype" w:eastAsia="Palatino Linotype" w:hAnsi="Palatino Linotype" w:cs="Palatino Linotype"/>
          <w:b/>
          <w:bCs/>
          <w:i/>
          <w:iCs/>
        </w:rPr>
        <w:t>“CONSTANCIA DE ANTECEDENTES PENALES. LINEAMIENTOS QUE LA AUTORIDAD PENITENCIARIA DEBE OBSERVAR OFICIOSAMENTE PARA SU EXPEDICIÓN, A FIN DE QUE SU ACTUAR NO RESULTE DISCRIMINATORIO.</w:t>
      </w:r>
      <w:r>
        <w:rPr>
          <w:rFonts w:ascii="Palatino Linotype" w:eastAsia="Palatino Linotype" w:hAnsi="Palatino Linotype" w:cs="Palatino Linotype"/>
          <w:i/>
          <w:iCs/>
        </w:rPr>
        <w:t xml:space="preserve"> De la interpretación conforme del artículo 27, fracción V, inciso g), de la Ley Nacional de Ejecución Penal, deriva el deber de la autoridad penitenciaria, ante una solicitud de la constancia referida, de realizar un ejercicio oficioso en relación con el soporte informativo contenido en la base de datos que subyace a la emisión de la constancia de antecedentes penales. Esto es, existe el deber del Juez de Ejecución de expresar en un proceso intelectivo, que se allegó de otros elementos con los que llegó a la plena convicción de que es jurídicamente válido el registro que contienen las bases de datos relativas. Para tal efecto, la autoridad correspondiente, a fin de reconocer el pleno ejercicio de los derechos humanos, conforme al nuevo modelo penitenciario de reinserción social, deberá actuar oficiosamente acorde con los escenarios siguientes: 1. Si la persona no cuenta con algún antecedente penal, emitir una carta de no antecedentes penales; y, 2. </w:t>
      </w:r>
      <w:r>
        <w:rPr>
          <w:rFonts w:ascii="Palatino Linotype" w:eastAsia="Palatino Linotype" w:hAnsi="Palatino Linotype" w:cs="Palatino Linotype"/>
          <w:b/>
          <w:bCs/>
          <w:i/>
          <w:iCs/>
        </w:rPr>
        <w:t>En caso de que sí cuente con algún antecedente penal, deberá realizar oficiosamente lo siguiente: a) recabar las constancias correspondientes, a fin de verificar si el solicitante cumplió la pena impuesta en sentencia ejecutoriada y constate que no se trata de un delito grave; b) en caso de que haya cumplido la pena impuesta en sentencia ejecutoriada y no se trate de un delito grave, emitirá una carta de no antecedentes penales; c) en el supuesto de que no haya cumplido la pena impuesta y no se trate de un delito grave, emitirá una carta de antecedentes penales, en la que especificará tal situación; y, d) en la hipótesis de que se trate de delito grave, emitirá una carta de antecedentes penales, en la que destacará esa circunstancia.</w:t>
      </w:r>
      <w:r>
        <w:rPr>
          <w:rFonts w:ascii="Palatino Linotype" w:eastAsia="Palatino Linotype" w:hAnsi="Palatino Linotype" w:cs="Palatino Linotype"/>
          <w:i/>
          <w:iCs/>
        </w:rPr>
        <w:t xml:space="preserve"> Consecuentemente, el Juez debe llevar a cabo las acciones señaladas para constatar la situación que guarda el quejoso ante el antecedente penal que </w:t>
      </w:r>
      <w:r>
        <w:rPr>
          <w:rFonts w:ascii="Palatino Linotype" w:eastAsia="Palatino Linotype" w:hAnsi="Palatino Linotype" w:cs="Palatino Linotype"/>
          <w:i/>
          <w:iCs/>
        </w:rPr>
        <w:lastRenderedPageBreak/>
        <w:t>se le impuso en el proceso y poder decidir con mayor información al respecto, es decir, si lo procedente es eliminar o no dicho registro, con base en el artículo citado y con ello evitar la discriminación estructural del quejoso. “</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tabs>
          <w:tab w:val="left" w:pos="4320"/>
        </w:tabs>
        <w:spacing w:line="360" w:lineRule="auto"/>
        <w:ind w:right="-98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Fotografías de los servidores públicos. </w:t>
      </w:r>
      <w:r>
        <w:rPr>
          <w:rFonts w:ascii="Palatino Linotype" w:eastAsia="Palatino Linotype" w:hAnsi="Palatino Linotype" w:cs="Palatino Linotype"/>
          <w:b/>
          <w:bCs/>
          <w:color w:val="000000"/>
        </w:rPr>
        <w:tab/>
      </w: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035115" w:rsidRDefault="00035115">
      <w:pPr>
        <w:tabs>
          <w:tab w:val="left" w:pos="4962"/>
        </w:tabs>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9B1E22" w:rsidRDefault="009B1E22" w:rsidP="009B1E22">
      <w:pPr>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w:t>
      </w:r>
      <w:r>
        <w:rPr>
          <w:rFonts w:ascii="Palatino Linotype" w:eastAsia="Palatino Linotype" w:hAnsi="Palatino Linotype" w:cs="Palatino Linotype"/>
        </w:rPr>
        <w:lastRenderedPageBreak/>
        <w:t>importa el nivel o rango (</w:t>
      </w:r>
      <w:r>
        <w:rPr>
          <w:rFonts w:ascii="Palatino Linotype" w:eastAsia="Palatino Linotype" w:hAnsi="Palatino Linotype" w:cs="Palatino Linotype"/>
          <w:i/>
          <w:iCs/>
        </w:rPr>
        <w:t>con excepción del personal operativo en materia de seguridad, respecto del cual el Pleno de este Instituto ya se ha pronunciado en el sentido de que la información que los haga identificados o identificables debe clasificarse como reservada).</w:t>
      </w:r>
    </w:p>
    <w:p w:rsidR="00035115" w:rsidRDefault="00035115">
      <w:pPr>
        <w:tabs>
          <w:tab w:val="left" w:pos="4962"/>
        </w:tabs>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 </w:t>
      </w:r>
      <w:r>
        <w:rPr>
          <w:rFonts w:ascii="Palatino Linotype" w:eastAsia="Palatino Linotype" w:hAnsi="Palatino Linotype" w:cs="Palatino Linotype"/>
          <w:b/>
          <w:bCs/>
        </w:rPr>
        <w:t>criterios que se refieren de manera orientadora ya que la a fecha de la solicitud se encontraban vigentes</w:t>
      </w:r>
    </w:p>
    <w:p w:rsidR="00035115" w:rsidRDefault="00035115">
      <w:pPr>
        <w:tabs>
          <w:tab w:val="left" w:pos="4962"/>
        </w:tabs>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035115" w:rsidRDefault="00035115">
      <w:pPr>
        <w:tabs>
          <w:tab w:val="left" w:pos="4962"/>
        </w:tabs>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w:t>
      </w:r>
      <w:r>
        <w:rPr>
          <w:rFonts w:ascii="Palatino Linotype" w:eastAsia="Palatino Linotype" w:hAnsi="Palatino Linotype" w:cs="Palatino Linotype"/>
        </w:rPr>
        <w:lastRenderedPageBreak/>
        <w:t>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035115" w:rsidRDefault="00035115">
      <w:pPr>
        <w:tabs>
          <w:tab w:val="left" w:pos="4962"/>
        </w:tabs>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numPr>
          <w:ilvl w:val="0"/>
          <w:numId w:val="14"/>
        </w:numPr>
        <w:spacing w:line="360" w:lineRule="auto"/>
        <w:ind w:right="-982"/>
        <w:jc w:val="both"/>
        <w:rPr>
          <w:rFonts w:ascii="Palatino Linotype" w:eastAsia="Palatino Linotype" w:hAnsi="Palatino Linotype" w:cs="Palatino Linotype"/>
          <w:b/>
          <w:bCs/>
        </w:rPr>
      </w:pPr>
      <w:r>
        <w:rPr>
          <w:rFonts w:ascii="Palatino Linotype" w:eastAsia="Palatino Linotype" w:hAnsi="Palatino Linotype" w:cs="Palatino Linotype"/>
        </w:rPr>
        <w:t xml:space="preserve">Conforme a lo anterior, </w:t>
      </w:r>
      <w:r>
        <w:rPr>
          <w:rFonts w:ascii="Palatino Linotype" w:eastAsia="Palatino Linotype" w:hAnsi="Palatino Linotype" w:cs="Palatino Linotype"/>
          <w:b/>
          <w:bCs/>
        </w:rPr>
        <w:t>las fotografías de servidores públicos sin importar el nivel o rango guardan la naturaleza de públicas y no procede su clasificación</w:t>
      </w:r>
      <w:r>
        <w:rPr>
          <w:rFonts w:ascii="Palatino Linotype" w:eastAsia="Palatino Linotype" w:hAnsi="Palatino Linotype" w:cs="Palatino Linotype"/>
        </w:rPr>
        <w:t xml:space="preserve">, en términos del artículo 143, fracción I, de la Ley de Transparencia y Acceso a la Información Pública del Estado de México y Municipios, por lo que en las versiones públicas que se ordenen, no podrá clasificarse esa información. </w:t>
      </w:r>
    </w:p>
    <w:p w:rsidR="00035115" w:rsidRDefault="00035115">
      <w:pPr>
        <w:pBdr>
          <w:top w:val="nil"/>
          <w:left w:val="nil"/>
          <w:bottom w:val="nil"/>
          <w:right w:val="nil"/>
          <w:between w:val="nil"/>
        </w:pBdr>
        <w:ind w:left="720" w:right="-982"/>
        <w:rPr>
          <w:rFonts w:ascii="Palatino Linotype" w:eastAsia="Palatino Linotype" w:hAnsi="Palatino Linotype" w:cs="Palatino Linotype"/>
          <w:b/>
          <w:bCs/>
          <w:color w:val="000000"/>
        </w:rPr>
      </w:pPr>
    </w:p>
    <w:p w:rsidR="00035115" w:rsidRDefault="00F871A7">
      <w:pPr>
        <w:numPr>
          <w:ilvl w:val="0"/>
          <w:numId w:val="25"/>
        </w:numPr>
        <w:pBdr>
          <w:top w:val="nil"/>
          <w:left w:val="nil"/>
          <w:bottom w:val="nil"/>
          <w:right w:val="nil"/>
          <w:between w:val="nil"/>
        </w:pBdr>
        <w:shd w:val="clear" w:color="auto" w:fill="FFFFFF"/>
        <w:spacing w:line="360" w:lineRule="auto"/>
        <w:ind w:left="0" w:right="-982"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Por lo tanto, </w:t>
      </w:r>
      <w:r>
        <w:rPr>
          <w:rFonts w:ascii="Palatino Linotype" w:eastAsia="Palatino Linotype" w:hAnsi="Palatino Linotype" w:cs="Palatino Linotype"/>
        </w:rPr>
        <w:t xml:space="preserve">la entrega de documentos </w:t>
      </w:r>
      <w:r>
        <w:rPr>
          <w:rFonts w:ascii="Palatino Linotype" w:eastAsia="Palatino Linotype" w:hAnsi="Palatino Linotype" w:cs="Palatino Linotype"/>
          <w:color w:val="000000"/>
        </w:rPr>
        <w:t>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w:t>
      </w:r>
      <w:r>
        <w:rPr>
          <w:rFonts w:ascii="Palatino Linotype" w:eastAsia="Palatino Linotype" w:hAnsi="Palatino Linotype" w:cs="Palatino Linotype"/>
          <w:color w:val="000000"/>
        </w:rPr>
        <w:lastRenderedPageBreak/>
        <w:t>violentando desde un inicio el derecho de acceso a la información del solicitante, por lo que el acuerdo respectivo, deberá hacerse del conocimiento del </w:t>
      </w:r>
      <w:r>
        <w:rPr>
          <w:rFonts w:ascii="Palatino Linotype" w:eastAsia="Palatino Linotype" w:hAnsi="Palatino Linotype" w:cs="Palatino Linotype"/>
          <w:b/>
          <w:bCs/>
          <w:color w:val="000000"/>
        </w:rPr>
        <w:t>RECURRENTE.</w:t>
      </w:r>
    </w:p>
    <w:p w:rsidR="00035115" w:rsidRDefault="00035115">
      <w:pPr>
        <w:pBdr>
          <w:top w:val="nil"/>
          <w:left w:val="nil"/>
          <w:bottom w:val="nil"/>
          <w:right w:val="nil"/>
          <w:between w:val="nil"/>
        </w:pBdr>
        <w:shd w:val="clear" w:color="auto" w:fill="FFFFFF"/>
        <w:spacing w:line="360" w:lineRule="auto"/>
        <w:ind w:right="-982"/>
        <w:jc w:val="both"/>
        <w:rPr>
          <w:rFonts w:ascii="Palatino Linotype" w:eastAsia="Palatino Linotype" w:hAnsi="Palatino Linotype" w:cs="Palatino Linotype"/>
          <w:b/>
          <w:bCs/>
          <w:color w:val="000000"/>
        </w:rPr>
      </w:pPr>
    </w:p>
    <w:p w:rsidR="00035115" w:rsidRDefault="00F871A7">
      <w:pPr>
        <w:numPr>
          <w:ilvl w:val="0"/>
          <w:numId w:val="4"/>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en consecuencia y en mérito de lo expuesto en líneas anteriores, resultan fundadas las razones o motivos de inconformidad hechos valer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dentro del recurso de revisión </w:t>
      </w:r>
      <w:r>
        <w:rPr>
          <w:rFonts w:ascii="Palatino Linotype" w:eastAsia="Palatino Linotype" w:hAnsi="Palatino Linotype" w:cs="Palatino Linotype"/>
          <w:b/>
          <w:bCs/>
        </w:rPr>
        <w:t>00283/INFOEM/IP/RR/2026</w:t>
      </w:r>
      <w:r>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i/>
          <w:iCs/>
        </w:rPr>
        <w:t>revoca</w:t>
      </w:r>
      <w:r>
        <w:rPr>
          <w:rFonts w:ascii="Palatino Linotype" w:eastAsia="Palatino Linotype" w:hAnsi="Palatino Linotype" w:cs="Palatino Linotype"/>
        </w:rPr>
        <w:t xml:space="preserve"> la respuesta a la solicitud de información </w:t>
      </w:r>
      <w:r>
        <w:rPr>
          <w:rFonts w:ascii="Palatino Linotype" w:eastAsia="Palatino Linotype" w:hAnsi="Palatino Linotype" w:cs="Palatino Linotype"/>
          <w:b/>
          <w:bCs/>
        </w:rPr>
        <w:t>01108/PJUDICI/IP/2025.</w:t>
      </w:r>
    </w:p>
    <w:p w:rsidR="00035115" w:rsidRDefault="00F871A7">
      <w:pPr>
        <w:tabs>
          <w:tab w:val="left" w:pos="426"/>
        </w:tabs>
        <w:spacing w:before="240"/>
        <w:ind w:right="-98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035115" w:rsidRDefault="00F871A7">
      <w:pPr>
        <w:keepNext/>
        <w:keepLines/>
        <w:numPr>
          <w:ilvl w:val="0"/>
          <w:numId w:val="20"/>
        </w:numPr>
        <w:tabs>
          <w:tab w:val="left" w:pos="284"/>
        </w:tabs>
        <w:ind w:left="0" w:right="-982"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035115" w:rsidRDefault="00F871A7">
      <w:pPr>
        <w:numPr>
          <w:ilvl w:val="0"/>
          <w:numId w:val="22"/>
        </w:numP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que en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35115" w:rsidRDefault="00035115">
      <w:pPr>
        <w:tabs>
          <w:tab w:val="left" w:pos="0"/>
          <w:tab w:val="left" w:pos="284"/>
        </w:tabs>
        <w:spacing w:line="360" w:lineRule="auto"/>
        <w:ind w:right="-982"/>
        <w:jc w:val="both"/>
        <w:rPr>
          <w:rFonts w:ascii="Palatino Linotype" w:eastAsia="Palatino Linotype" w:hAnsi="Palatino Linotype" w:cs="Palatino Linotype"/>
          <w:highlight w:val="yellow"/>
        </w:rPr>
      </w:pPr>
    </w:p>
    <w:p w:rsidR="00035115" w:rsidRDefault="00F871A7">
      <w:pPr>
        <w:numPr>
          <w:ilvl w:val="0"/>
          <w:numId w:val="22"/>
        </w:numP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949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00"/>
        <w:gridCol w:w="6795"/>
      </w:tblGrid>
      <w:tr w:rsidR="00035115">
        <w:trPr>
          <w:trHeight w:val="3887"/>
        </w:trPr>
        <w:tc>
          <w:tcPr>
            <w:tcW w:w="2700" w:type="dxa"/>
            <w:vAlign w:val="center"/>
          </w:tcPr>
          <w:p w:rsidR="00035115" w:rsidRDefault="00F871A7" w:rsidP="009B1E22">
            <w:pPr>
              <w:tabs>
                <w:tab w:val="left" w:pos="29"/>
              </w:tabs>
              <w:spacing w:line="360" w:lineRule="auto"/>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ab/>
            </w:r>
            <w:r>
              <w:rPr>
                <w:rFonts w:ascii="Palatino Linotype" w:eastAsia="Palatino Linotype" w:hAnsi="Palatino Linotype" w:cs="Palatino Linotype"/>
                <w:b/>
                <w:bCs/>
              </w:rPr>
              <w:t>a) Requisitos previos.</w:t>
            </w:r>
          </w:p>
        </w:tc>
        <w:tc>
          <w:tcPr>
            <w:tcW w:w="6795" w:type="dxa"/>
          </w:tcPr>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rsidR="00035115" w:rsidRDefault="00F871A7" w:rsidP="009B1E22">
            <w:pPr>
              <w:tabs>
                <w:tab w:val="left" w:pos="284"/>
              </w:tabs>
              <w:spacing w:line="276" w:lineRule="auto"/>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035115">
        <w:trPr>
          <w:trHeight w:val="3877"/>
        </w:trPr>
        <w:tc>
          <w:tcPr>
            <w:tcW w:w="2700" w:type="dxa"/>
            <w:shd w:val="clear" w:color="auto" w:fill="D9D9D9"/>
            <w:vAlign w:val="center"/>
          </w:tcPr>
          <w:p w:rsidR="00035115" w:rsidRDefault="00F871A7" w:rsidP="009B1E22">
            <w:pPr>
              <w:tabs>
                <w:tab w:val="left" w:pos="29"/>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6795" w:type="dxa"/>
            <w:shd w:val="clear" w:color="auto" w:fill="D9D9D9"/>
          </w:tcPr>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35115" w:rsidRDefault="00F871A7" w:rsidP="009B1E22">
            <w:pPr>
              <w:tabs>
                <w:tab w:val="left" w:pos="284"/>
              </w:tabs>
              <w:spacing w:line="276" w:lineRule="auto"/>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35115">
        <w:trPr>
          <w:trHeight w:val="843"/>
        </w:trPr>
        <w:tc>
          <w:tcPr>
            <w:tcW w:w="2700" w:type="dxa"/>
            <w:vAlign w:val="center"/>
          </w:tcPr>
          <w:p w:rsidR="00035115" w:rsidRDefault="00F871A7" w:rsidP="009B1E22">
            <w:pPr>
              <w:tabs>
                <w:tab w:val="left" w:pos="29"/>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6795" w:type="dxa"/>
          </w:tcPr>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rsidR="00035115" w:rsidRDefault="00F871A7" w:rsidP="009B1E22">
            <w:pPr>
              <w:tabs>
                <w:tab w:val="left" w:pos="284"/>
              </w:tabs>
              <w:spacing w:line="276" w:lineRule="auto"/>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35115">
        <w:trPr>
          <w:trHeight w:val="4104"/>
        </w:trPr>
        <w:tc>
          <w:tcPr>
            <w:tcW w:w="2700" w:type="dxa"/>
            <w:shd w:val="clear" w:color="auto" w:fill="D9D9D9"/>
            <w:vAlign w:val="center"/>
          </w:tcPr>
          <w:p w:rsidR="00035115" w:rsidRDefault="00035115" w:rsidP="009B1E22">
            <w:pPr>
              <w:tabs>
                <w:tab w:val="left" w:pos="29"/>
              </w:tabs>
              <w:spacing w:line="360" w:lineRule="auto"/>
              <w:rPr>
                <w:rFonts w:ascii="Palatino Linotype" w:eastAsia="Palatino Linotype" w:hAnsi="Palatino Linotype" w:cs="Palatino Linotype"/>
                <w:b/>
                <w:bCs/>
              </w:rPr>
            </w:pPr>
          </w:p>
          <w:p w:rsidR="00035115" w:rsidRDefault="00F871A7" w:rsidP="009B1E22">
            <w:pPr>
              <w:tabs>
                <w:tab w:val="left" w:pos="29"/>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6795" w:type="dxa"/>
            <w:shd w:val="clear" w:color="auto" w:fill="D9D9D9"/>
          </w:tcPr>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w:t>
            </w:r>
            <w:r>
              <w:rPr>
                <w:rFonts w:ascii="Palatino Linotype" w:eastAsia="Palatino Linotype" w:hAnsi="Palatino Linotype" w:cs="Palatino Linotype"/>
                <w:i/>
                <w:iCs/>
                <w:color w:val="000000"/>
              </w:rPr>
              <w:lastRenderedPageBreak/>
              <w:t>fundamentos de derecho. De este modo, la persona que se sienta afectada pueda impugnar la decisión, permitiéndole una real y auténtica defensa.</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35115">
        <w:trPr>
          <w:trHeight w:val="3606"/>
        </w:trPr>
        <w:tc>
          <w:tcPr>
            <w:tcW w:w="2700" w:type="dxa"/>
            <w:vAlign w:val="center"/>
          </w:tcPr>
          <w:p w:rsidR="00035115" w:rsidRDefault="00F871A7" w:rsidP="009B1E22">
            <w:pPr>
              <w:tabs>
                <w:tab w:val="left" w:pos="29"/>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6795" w:type="dxa"/>
          </w:tcPr>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035115" w:rsidRDefault="00F871A7" w:rsidP="009B1E22">
            <w:pPr>
              <w:tabs>
                <w:tab w:val="left" w:pos="284"/>
              </w:tabs>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35115" w:rsidRDefault="00F871A7" w:rsidP="009B1E22">
            <w:pPr>
              <w:tabs>
                <w:tab w:val="left" w:pos="284"/>
              </w:tabs>
              <w:spacing w:line="276" w:lineRule="auto"/>
              <w:rPr>
                <w:rFonts w:ascii="Palatino Linotype" w:eastAsia="Palatino Linotype" w:hAnsi="Palatino Linotype" w:cs="Palatino Linotype"/>
                <w:i/>
                <w:iCs/>
              </w:rPr>
            </w:pPr>
            <w:r>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35115" w:rsidRDefault="00035115">
      <w:pPr>
        <w:tabs>
          <w:tab w:val="left" w:pos="284"/>
        </w:tabs>
        <w:spacing w:line="360" w:lineRule="auto"/>
        <w:ind w:right="-982"/>
        <w:jc w:val="both"/>
        <w:rPr>
          <w:rFonts w:ascii="Palatino Linotype" w:eastAsia="Palatino Linotype" w:hAnsi="Palatino Linotype" w:cs="Palatino Linotype"/>
          <w:color w:val="000000"/>
        </w:rPr>
      </w:pPr>
    </w:p>
    <w:p w:rsidR="00035115" w:rsidRDefault="00F871A7">
      <w:pPr>
        <w:numPr>
          <w:ilvl w:val="0"/>
          <w:numId w:val="22"/>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tal situación, el Sujeto Obligado deberá seguir el procedimiento establecido en el artículo 168 de la Ley de Transparencia y Acceso a la Información Pública del Estado de México y Municipios; esto es, que el área competente deberá elaborar la versión pública, así </w:t>
      </w:r>
      <w:r>
        <w:rPr>
          <w:rFonts w:ascii="Palatino Linotype" w:eastAsia="Palatino Linotype" w:hAnsi="Palatino Linotype" w:cs="Palatino Linotype"/>
          <w:color w:val="000000"/>
        </w:rPr>
        <w:lastRenderedPageBreak/>
        <w:t>como emitir el Acuerdo, por parte del Comité de Transparencia, donde confirme la clasificación de los datos o documentos, fundando y motivando la clasificación.</w:t>
      </w:r>
    </w:p>
    <w:p w:rsidR="00035115" w:rsidRDefault="00035115">
      <w:pPr>
        <w:pBdr>
          <w:top w:val="nil"/>
          <w:left w:val="nil"/>
          <w:bottom w:val="nil"/>
          <w:right w:val="nil"/>
          <w:between w:val="nil"/>
        </w:pBdr>
        <w:spacing w:line="360" w:lineRule="auto"/>
        <w:ind w:left="644" w:right="-982"/>
        <w:jc w:val="both"/>
        <w:rPr>
          <w:rFonts w:ascii="Palatino Linotype" w:eastAsia="Palatino Linotype" w:hAnsi="Palatino Linotype" w:cs="Palatino Linotype"/>
        </w:rPr>
      </w:pPr>
    </w:p>
    <w:p w:rsidR="00035115" w:rsidRDefault="00F871A7">
      <w:pPr>
        <w:numPr>
          <w:ilvl w:val="0"/>
          <w:numId w:val="22"/>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035115" w:rsidRDefault="00035115">
      <w:pPr>
        <w:pBdr>
          <w:top w:val="nil"/>
          <w:left w:val="nil"/>
          <w:bottom w:val="nil"/>
          <w:right w:val="nil"/>
          <w:between w:val="nil"/>
        </w:pBdr>
        <w:ind w:left="720" w:right="-982"/>
        <w:rPr>
          <w:rFonts w:ascii="Palatino Linotype" w:eastAsia="Palatino Linotype" w:hAnsi="Palatino Linotype" w:cs="Palatino Linotype"/>
          <w:color w:val="000000"/>
        </w:rPr>
      </w:pPr>
    </w:p>
    <w:p w:rsidR="00035115" w:rsidRDefault="00F871A7">
      <w:pPr>
        <w:numPr>
          <w:ilvl w:val="0"/>
          <w:numId w:val="10"/>
        </w:numPr>
        <w:spacing w:line="360" w:lineRule="auto"/>
        <w:ind w:left="0" w:right="-982" w:firstLine="0"/>
        <w:jc w:val="both"/>
        <w:rPr>
          <w:rFonts w:ascii="Palatino Linotype" w:eastAsia="Palatino Linotype" w:hAnsi="Palatino Linotype" w:cs="Palatino Linotype"/>
        </w:rPr>
      </w:pPr>
      <w:bookmarkStart w:id="13" w:name="_heading=h.ipzfjlc8twiw" w:colFirst="0" w:colLast="0"/>
      <w:bookmarkEnd w:id="13"/>
      <w:r>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dentro del recurso de revisión </w:t>
      </w:r>
      <w:r>
        <w:rPr>
          <w:rFonts w:ascii="Palatino Linotype" w:eastAsia="Palatino Linotype" w:hAnsi="Palatino Linotype" w:cs="Palatino Linotype"/>
          <w:b/>
          <w:bCs/>
        </w:rPr>
        <w:t xml:space="preserve"> 00283/INFOEM/IP/RR/2026</w:t>
      </w:r>
      <w:r>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revoca la respuesta a la solicitud de información </w:t>
      </w:r>
      <w:r>
        <w:rPr>
          <w:rFonts w:ascii="Palatino Linotype" w:eastAsia="Palatino Linotype" w:hAnsi="Palatino Linotype" w:cs="Palatino Linotype"/>
          <w:b/>
          <w:bCs/>
        </w:rPr>
        <w:t>01108/PJUDICI/IP/2025.</w:t>
      </w:r>
    </w:p>
    <w:p w:rsidR="00035115" w:rsidRDefault="00035115">
      <w:pPr>
        <w:tabs>
          <w:tab w:val="left" w:pos="284"/>
        </w:tabs>
        <w:spacing w:line="360" w:lineRule="auto"/>
        <w:ind w:right="-982"/>
        <w:jc w:val="both"/>
        <w:rPr>
          <w:rFonts w:ascii="Palatino Linotype" w:eastAsia="Palatino Linotype" w:hAnsi="Palatino Linotype" w:cs="Palatino Linotype"/>
        </w:rPr>
      </w:pPr>
    </w:p>
    <w:p w:rsidR="00035115" w:rsidRDefault="00F871A7">
      <w:pPr>
        <w:numPr>
          <w:ilvl w:val="0"/>
          <w:numId w:val="10"/>
        </w:numPr>
        <w:spacing w:line="360" w:lineRule="auto"/>
        <w:ind w:left="0" w:right="-98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anteriormente expuesto y fundado,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w:t>
      </w:r>
    </w:p>
    <w:p w:rsidR="00035115" w:rsidRDefault="00F871A7">
      <w:pPr>
        <w:keepNext/>
        <w:keepLines/>
        <w:spacing w:line="360" w:lineRule="auto"/>
        <w:ind w:right="-982"/>
        <w:jc w:val="center"/>
        <w:rPr>
          <w:rFonts w:ascii="Palatino Linotype" w:eastAsia="Palatino Linotype" w:hAnsi="Palatino Linotype" w:cs="Palatino Linotype"/>
          <w:b/>
          <w:bCs/>
          <w:color w:val="000000"/>
        </w:rPr>
      </w:pPr>
      <w:bookmarkStart w:id="14" w:name="_heading=h.35nkun2" w:colFirst="0" w:colLast="0"/>
      <w:bookmarkEnd w:id="14"/>
      <w:r>
        <w:rPr>
          <w:rFonts w:ascii="Palatino Linotype" w:eastAsia="Palatino Linotype" w:hAnsi="Palatino Linotype" w:cs="Palatino Linotype"/>
          <w:b/>
          <w:bCs/>
          <w:color w:val="000000"/>
        </w:rPr>
        <w:t xml:space="preserve">R E S O L U T I V O S </w:t>
      </w:r>
    </w:p>
    <w:p w:rsidR="00035115" w:rsidRDefault="00035115">
      <w:pPr>
        <w:spacing w:line="360" w:lineRule="auto"/>
        <w:ind w:right="-982"/>
        <w:rPr>
          <w:rFonts w:ascii="Palatino Linotype" w:eastAsia="Palatino Linotype" w:hAnsi="Palatino Linotype" w:cs="Palatino Linotype"/>
        </w:rPr>
      </w:pPr>
    </w:p>
    <w:p w:rsidR="00035115" w:rsidRDefault="00F871A7">
      <w:p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 00283/INFOEM/IP/RR/2026, </w:t>
      </w:r>
      <w:r>
        <w:rPr>
          <w:rFonts w:ascii="Palatino Linotype" w:eastAsia="Palatino Linotype" w:hAnsi="Palatino Linotype" w:cs="Palatino Linotype"/>
        </w:rPr>
        <w:t>en términos del</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035115" w:rsidRDefault="00035115">
      <w:pPr>
        <w:spacing w:line="360" w:lineRule="auto"/>
        <w:ind w:right="-982"/>
        <w:jc w:val="both"/>
        <w:rPr>
          <w:rFonts w:ascii="Palatino Linotype" w:eastAsia="Palatino Linotype" w:hAnsi="Palatino Linotype" w:cs="Palatino Linotype"/>
        </w:rPr>
      </w:pPr>
    </w:p>
    <w:p w:rsidR="00035115" w:rsidRDefault="00F871A7">
      <w:pPr>
        <w:pBdr>
          <w:top w:val="nil"/>
          <w:left w:val="nil"/>
          <w:bottom w:val="nil"/>
          <w:right w:val="nil"/>
          <w:between w:val="nil"/>
        </w:pBdr>
        <w:spacing w:line="360" w:lineRule="auto"/>
        <w:ind w:right="-982"/>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SEGUNDO.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 xml:space="preserve">REVOCA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 xml:space="preserve">Poder Judicial </w:t>
      </w:r>
      <w:r>
        <w:rPr>
          <w:rFonts w:ascii="Palatino Linotype" w:eastAsia="Palatino Linotype" w:hAnsi="Palatino Linotype" w:cs="Palatino Linotype"/>
        </w:rPr>
        <w:t>a la solicitud de información</w:t>
      </w:r>
      <w:r>
        <w:rPr>
          <w:rFonts w:ascii="Palatino Linotype" w:eastAsia="Palatino Linotype" w:hAnsi="Palatino Linotype" w:cs="Palatino Linotype"/>
          <w:b/>
          <w:bCs/>
        </w:rPr>
        <w:t xml:space="preserve"> 01108/PJUDICI/IP/2025 </w:t>
      </w:r>
      <w:r>
        <w:rPr>
          <w:rFonts w:ascii="Palatino Linotype" w:eastAsia="Palatino Linotype" w:hAnsi="Palatino Linotype" w:cs="Palatino Linotype"/>
        </w:rPr>
        <w:t>y</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entregar vía Sistema de Acceso a la Información </w:t>
      </w:r>
      <w:r>
        <w:rPr>
          <w:rFonts w:ascii="Palatino Linotype" w:eastAsia="Palatino Linotype" w:hAnsi="Palatino Linotype" w:cs="Palatino Linotype"/>
        </w:rPr>
        <w:lastRenderedPageBreak/>
        <w:t xml:space="preserve">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después de una búsqueda exhaustiva, </w:t>
      </w:r>
      <w:r>
        <w:rPr>
          <w:rFonts w:ascii="Palatino Linotype" w:eastAsia="Palatino Linotype" w:hAnsi="Palatino Linotype" w:cs="Palatino Linotype"/>
          <w:color w:val="000000"/>
        </w:rPr>
        <w:t>de ser procedente en versión pública, lo siguiente:</w:t>
      </w:r>
    </w:p>
    <w:p w:rsidR="00035115" w:rsidRDefault="00F871A7">
      <w:pPr>
        <w:spacing w:line="276" w:lineRule="auto"/>
        <w:ind w:left="1134" w:right="-982"/>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Documento o documentos donde se acrediten los requisitos necesarios para ocupar el cargo de Auditor Visitador en materia laboral del servidor público referido en la solicitud.</w:t>
      </w:r>
    </w:p>
    <w:p w:rsidR="00035115" w:rsidRDefault="00035115">
      <w:pPr>
        <w:spacing w:line="276" w:lineRule="auto"/>
        <w:ind w:left="1134" w:right="-982"/>
        <w:jc w:val="both"/>
        <w:rPr>
          <w:rFonts w:ascii="Palatino Linotype" w:eastAsia="Palatino Linotype" w:hAnsi="Palatino Linotype" w:cs="Palatino Linotype"/>
          <w:b/>
          <w:bCs/>
          <w:i/>
          <w:iCs/>
        </w:rPr>
      </w:pPr>
    </w:p>
    <w:p w:rsidR="00035115" w:rsidRDefault="00F871A7">
      <w:pPr>
        <w:spacing w:line="276" w:lineRule="auto"/>
        <w:ind w:left="1134" w:right="-982"/>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RECURRENTE.</w:t>
      </w:r>
    </w:p>
    <w:p w:rsidR="00AE5724" w:rsidRDefault="00AE5724">
      <w:pPr>
        <w:spacing w:line="276" w:lineRule="auto"/>
        <w:ind w:left="1134" w:right="-982"/>
        <w:jc w:val="both"/>
        <w:rPr>
          <w:rFonts w:ascii="Palatino Linotype" w:eastAsia="Palatino Linotype" w:hAnsi="Palatino Linotype" w:cs="Palatino Linotype"/>
          <w:i/>
          <w:iCs/>
        </w:rPr>
      </w:pPr>
    </w:p>
    <w:p w:rsidR="00035115" w:rsidRDefault="00F871A7">
      <w:pPr>
        <w:spacing w:line="360" w:lineRule="auto"/>
        <w:ind w:right="-982"/>
        <w:jc w:val="both"/>
        <w:rPr>
          <w:rFonts w:ascii="Palatino Linotype" w:eastAsia="Palatino Linotype" w:hAnsi="Palatino Linotype" w:cs="Palatino Linotype"/>
          <w:b/>
          <w:bCs/>
        </w:rPr>
      </w:pPr>
      <w:bookmarkStart w:id="15" w:name="_heading=h.cfbkch8m6hi" w:colFirst="0" w:colLast="0"/>
      <w:bookmarkEnd w:id="15"/>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dé cumplimiento a lo </w:t>
      </w:r>
      <w:r>
        <w:rPr>
          <w:rFonts w:ascii="Palatino Linotype" w:eastAsia="Palatino Linotype" w:hAnsi="Palatino Linotype" w:cs="Palatino Linotype"/>
          <w:b/>
          <w:bCs/>
        </w:rPr>
        <w:t>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035115" w:rsidRDefault="00035115">
      <w:pPr>
        <w:spacing w:line="360" w:lineRule="auto"/>
        <w:ind w:right="-982"/>
        <w:jc w:val="both"/>
        <w:rPr>
          <w:rFonts w:ascii="Palatino Linotype" w:eastAsia="Palatino Linotype" w:hAnsi="Palatino Linotype" w:cs="Palatino Linotype"/>
          <w:b/>
          <w:bCs/>
        </w:rPr>
      </w:pPr>
    </w:p>
    <w:p w:rsidR="00035115" w:rsidRDefault="00F871A7">
      <w:pPr>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035115" w:rsidRDefault="00F871A7">
      <w:pPr>
        <w:tabs>
          <w:tab w:val="left" w:pos="8080"/>
        </w:tabs>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QUINTO. </w:t>
      </w:r>
      <w:r w:rsidR="00D258C6">
        <w:rPr>
          <w:rFonts w:ascii="Palatino Linotype" w:eastAsia="Palatino Linotype" w:hAnsi="Palatino Linotype" w:cs="Palatino Linotype"/>
        </w:rPr>
        <w:t>Notifíquese</w:t>
      </w:r>
      <w:r>
        <w:rPr>
          <w:rFonts w:ascii="Palatino Linotype" w:eastAsia="Palatino Linotype" w:hAnsi="Palatino Linotype" w:cs="Palatino Linotype"/>
        </w:rPr>
        <w:t xml:space="preserv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035115" w:rsidRDefault="00035115">
      <w:pPr>
        <w:tabs>
          <w:tab w:val="left" w:pos="8080"/>
        </w:tabs>
        <w:spacing w:line="360" w:lineRule="auto"/>
        <w:ind w:right="-982"/>
        <w:jc w:val="both"/>
        <w:rPr>
          <w:rFonts w:ascii="Palatino Linotype" w:eastAsia="Palatino Linotype" w:hAnsi="Palatino Linotype" w:cs="Palatino Linotype"/>
        </w:rPr>
      </w:pPr>
    </w:p>
    <w:p w:rsidR="00035115" w:rsidRDefault="00F871A7">
      <w:pPr>
        <w:shd w:val="clear" w:color="auto" w:fill="FFFFFF"/>
        <w:spacing w:line="360" w:lineRule="auto"/>
        <w:ind w:right="-982"/>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35115" w:rsidRDefault="00035115">
      <w:pPr>
        <w:shd w:val="clear" w:color="auto" w:fill="FFFFFF"/>
        <w:spacing w:line="360" w:lineRule="auto"/>
        <w:ind w:right="-982"/>
        <w:jc w:val="both"/>
        <w:rPr>
          <w:rFonts w:ascii="Palatino Linotype" w:eastAsia="Palatino Linotype" w:hAnsi="Palatino Linotype" w:cs="Palatino Linotype"/>
        </w:rPr>
      </w:pPr>
    </w:p>
    <w:p w:rsidR="00AE5724" w:rsidRPr="003E2295" w:rsidRDefault="00AE5724" w:rsidP="00AE5724">
      <w:pPr>
        <w:spacing w:before="240" w:after="240" w:line="360" w:lineRule="auto"/>
        <w:ind w:right="-992" w:firstLine="1"/>
        <w:jc w:val="both"/>
        <w:rPr>
          <w:rFonts w:ascii="Palatino Linotype" w:hAnsi="Palatino Linotype"/>
        </w:rPr>
      </w:pPr>
      <w:bookmarkStart w:id="16"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5C4DD5">
        <w:rPr>
          <w:rFonts w:ascii="Palatino Linotype" w:hAnsi="Palatino Linotype" w:cs="Palatino Linotype"/>
        </w:rPr>
        <w:t xml:space="preserve"> EMITIENDO VOTO PARTICULAR CONCURRENTE</w:t>
      </w:r>
      <w:r w:rsidRPr="003E2295">
        <w:rPr>
          <w:rFonts w:ascii="Palatino Linotype" w:hAnsi="Palatino Linotype" w:cs="Palatino Linotype"/>
        </w:rPr>
        <w:t>, SHARON CRISTINA MORALES MARTÍNEZ, LUIS GUSTAVO PARRA NORIEGA</w:t>
      </w:r>
      <w:r w:rsidR="005C4DD5">
        <w:rPr>
          <w:rFonts w:ascii="Palatino Linotype" w:hAnsi="Palatino Linotype" w:cs="Palatino Linotype"/>
        </w:rPr>
        <w:t xml:space="preserve"> EMITIENDO VOTO PARTICULAR CONCURRENTE</w:t>
      </w:r>
      <w:r w:rsidRPr="003E2295">
        <w:rPr>
          <w:rFonts w:ascii="Palatino Linotype" w:hAnsi="Palatino Linotype" w:cs="Palatino Linotype"/>
        </w:rPr>
        <w:t xml:space="preserve"> Y GUADALUPE RAMÍREZ PEÑA</w:t>
      </w:r>
      <w:r w:rsidR="005C4DD5">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6"/>
    <w:p w:rsidR="00035115" w:rsidRDefault="00035115" w:rsidP="00AE5724">
      <w:pPr>
        <w:spacing w:line="360" w:lineRule="auto"/>
        <w:ind w:right="-992"/>
        <w:rPr>
          <w:rFonts w:ascii="Palatino Linotype" w:eastAsia="Palatino Linotype" w:hAnsi="Palatino Linotype" w:cs="Palatino Linotype"/>
        </w:rPr>
      </w:pPr>
    </w:p>
    <w:p w:rsidR="00035115" w:rsidRDefault="00035115" w:rsidP="00AE5724">
      <w:pPr>
        <w:spacing w:line="360" w:lineRule="auto"/>
        <w:ind w:right="-992"/>
        <w:rPr>
          <w:rFonts w:ascii="Palatino Linotype" w:eastAsia="Palatino Linotype" w:hAnsi="Palatino Linotype" w:cs="Palatino Linotype"/>
        </w:rPr>
      </w:pPr>
    </w:p>
    <w:p w:rsidR="00035115" w:rsidRDefault="00035115" w:rsidP="00AE5724">
      <w:pPr>
        <w:spacing w:line="360" w:lineRule="auto"/>
        <w:ind w:right="-99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spacing w:line="360" w:lineRule="auto"/>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rPr>
          <w:rFonts w:ascii="Palatino Linotype" w:eastAsia="Palatino Linotype" w:hAnsi="Palatino Linotype" w:cs="Palatino Linotype"/>
        </w:rPr>
      </w:pPr>
    </w:p>
    <w:p w:rsidR="00035115" w:rsidRDefault="00035115">
      <w:pPr>
        <w:ind w:right="-982"/>
      </w:pPr>
    </w:p>
    <w:sectPr w:rsidR="00035115">
      <w:headerReference w:type="even" r:id="rId12"/>
      <w:headerReference w:type="default" r:id="rId13"/>
      <w:footerReference w:type="default" r:id="rId14"/>
      <w:headerReference w:type="first" r:id="rId15"/>
      <w:footerReference w:type="first" r:id="rId16"/>
      <w:pgSz w:w="12240" w:h="15840"/>
      <w:pgMar w:top="2410" w:right="1892"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23D" w:rsidRDefault="0048523D">
      <w:r>
        <w:separator/>
      </w:r>
    </w:p>
  </w:endnote>
  <w:endnote w:type="continuationSeparator" w:id="0">
    <w:p w:rsidR="0048523D" w:rsidRDefault="0048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71527CEE-F7A7-48E6-B113-BA39F7F12723}"/>
    <w:embedItalic r:id="rId2" w:fontKey="{1B3B5DF7-45D9-414A-8A7A-8B753C4B3F4E}"/>
  </w:font>
  <w:font w:name="Palatino Linotype">
    <w:altName w:val="Palatino"/>
    <w:panose1 w:val="02040502050505030304"/>
    <w:charset w:val="00"/>
    <w:family w:val="roman"/>
    <w:pitch w:val="variable"/>
    <w:sig w:usb0="E0000287" w:usb1="40000013" w:usb2="00000000" w:usb3="00000000" w:csb0="0000019F" w:csb1="00000000"/>
    <w:embedRegular r:id="rId3" w:fontKey="{309EDA91-27D2-4F05-BF4A-12CDD64BEF5F}"/>
    <w:embedBold r:id="rId4" w:fontKey="{B5A479D2-64D1-4E97-86CE-C3B581114097}"/>
    <w:embedItalic r:id="rId5" w:fontKey="{D04C93AB-DAE3-4559-A282-E783B14DA514}"/>
    <w:embedBoldItalic r:id="rId6" w:fontKey="{05CB7D0A-98E3-4327-AA07-D9991FCEB29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B0C7038D-866D-443A-800E-44C8C141FC1C}"/>
    <w:embedBold r:id="rId8" w:fontKey="{812DB77F-A788-4DAC-A485-BDB370DF6C5A}"/>
  </w:font>
  <w:font w:name="Georgia">
    <w:panose1 w:val="02040502050405020303"/>
    <w:charset w:val="00"/>
    <w:family w:val="roman"/>
    <w:pitch w:val="variable"/>
    <w:sig w:usb0="00000287" w:usb1="00000000" w:usb2="00000000" w:usb3="00000000" w:csb0="0000009F" w:csb1="00000000"/>
    <w:embedItalic r:id="rId9" w:fontKey="{1C600D29-9DB7-4F1B-B93A-64149AD3CDC1}"/>
  </w:font>
  <w:font w:name="Century Gothic">
    <w:panose1 w:val="020B0502020202020204"/>
    <w:charset w:val="00"/>
    <w:family w:val="swiss"/>
    <w:pitch w:val="variable"/>
    <w:sig w:usb0="00000287" w:usb1="00000000" w:usb2="00000000" w:usb3="00000000" w:csb0="0000009F" w:csb1="00000000"/>
    <w:embedRegular r:id="rId10" w:fontKey="{7AE54633-65A2-4101-8887-51F4ECD56F27}"/>
  </w:font>
  <w:font w:name="Cambria">
    <w:panose1 w:val="02040503050406030204"/>
    <w:charset w:val="00"/>
    <w:family w:val="roman"/>
    <w:pitch w:val="variable"/>
    <w:sig w:usb0="E00006FF" w:usb1="420024FF" w:usb2="02000000" w:usb3="00000000" w:csb0="0000019F" w:csb1="00000000"/>
    <w:embedRegular r:id="rId11" w:fontKey="{557430D0-1BE1-43F4-BB5D-7FB8E1947E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115" w:rsidRDefault="00F871A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258C6">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258C6">
      <w:rPr>
        <w:rFonts w:ascii="Palatino Linotype" w:eastAsia="Palatino Linotype" w:hAnsi="Palatino Linotype" w:cs="Palatino Linotype"/>
        <w:noProof/>
        <w:color w:val="000000"/>
        <w:sz w:val="22"/>
        <w:szCs w:val="22"/>
      </w:rPr>
      <w:t>49</w:t>
    </w:r>
    <w:r>
      <w:rPr>
        <w:rFonts w:ascii="Palatino Linotype" w:eastAsia="Palatino Linotype" w:hAnsi="Palatino Linotype" w:cs="Palatino Linotype"/>
        <w:color w:val="000000"/>
        <w:sz w:val="22"/>
        <w:szCs w:val="22"/>
      </w:rPr>
      <w:fldChar w:fldCharType="end"/>
    </w:r>
  </w:p>
  <w:p w:rsidR="00035115" w:rsidRDefault="0003511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115" w:rsidRDefault="00F871A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258C6">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258C6">
      <w:rPr>
        <w:rFonts w:ascii="Palatino Linotype" w:eastAsia="Palatino Linotype" w:hAnsi="Palatino Linotype" w:cs="Palatino Linotype"/>
        <w:noProof/>
        <w:color w:val="000000"/>
        <w:sz w:val="22"/>
        <w:szCs w:val="22"/>
      </w:rPr>
      <w:t>49</w:t>
    </w:r>
    <w:r>
      <w:rPr>
        <w:rFonts w:ascii="Palatino Linotype" w:eastAsia="Palatino Linotype" w:hAnsi="Palatino Linotype" w:cs="Palatino Linotype"/>
        <w:color w:val="000000"/>
        <w:sz w:val="22"/>
        <w:szCs w:val="22"/>
      </w:rPr>
      <w:fldChar w:fldCharType="end"/>
    </w:r>
  </w:p>
  <w:p w:rsidR="00035115" w:rsidRDefault="0003511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23D" w:rsidRDefault="0048523D">
      <w:r>
        <w:separator/>
      </w:r>
    </w:p>
  </w:footnote>
  <w:footnote w:type="continuationSeparator" w:id="0">
    <w:p w:rsidR="0048523D" w:rsidRDefault="0048523D">
      <w:r>
        <w:continuationSeparator/>
      </w:r>
    </w:p>
  </w:footnote>
  <w:footnote w:id="1">
    <w:p w:rsidR="00035115" w:rsidRDefault="00F871A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Convención Americana sobre Derechos Humanos. Artículo 13.</w:t>
      </w:r>
    </w:p>
  </w:footnote>
  <w:footnote w:id="2">
    <w:p w:rsidR="00035115" w:rsidRDefault="00F871A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Constitución Política de los Estados Unidos Mexicanos. Artículo sexto, sección A, fracción I.</w:t>
      </w:r>
    </w:p>
  </w:footnote>
  <w:footnote w:id="3">
    <w:p w:rsidR="00035115" w:rsidRDefault="00F871A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035115" w:rsidRDefault="00F871A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Parr. 87.</w:t>
      </w:r>
    </w:p>
  </w:footnote>
  <w:footnote w:id="5">
    <w:p w:rsidR="00035115" w:rsidRDefault="00F871A7">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 xml:space="preserve">Ley Orgánica del Poder Judicial del </w:t>
      </w:r>
      <w:r>
        <w:rPr>
          <w:rFonts w:ascii="Palatino Linotype" w:eastAsia="Palatino Linotype" w:hAnsi="Palatino Linotype" w:cs="Palatino Linotype"/>
          <w:sz w:val="18"/>
          <w:szCs w:val="18"/>
        </w:rPr>
        <w:t>Estado</w:t>
      </w:r>
      <w:r>
        <w:rPr>
          <w:rFonts w:ascii="Palatino Linotype" w:eastAsia="Palatino Linotype" w:hAnsi="Palatino Linotype" w:cs="Palatino Linotype"/>
          <w:color w:val="000000"/>
          <w:sz w:val="18"/>
          <w:szCs w:val="18"/>
        </w:rPr>
        <w:t xml:space="preserve"> de México. Artículo 129</w:t>
      </w:r>
    </w:p>
  </w:footnote>
  <w:footnote w:id="6">
    <w:p w:rsidR="00035115" w:rsidRDefault="00F871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Ley orgánica del Poder Judicial del Estado de México. Artículo 251</w:t>
      </w:r>
    </w:p>
  </w:footnote>
  <w:footnote w:id="7">
    <w:p w:rsidR="00035115" w:rsidRDefault="00F871A7">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Artículo 143, fracción I, de la Ley de Transparencia y Acceso a la Información Pública del Estado de México y Municipios; numeral Trigésimo Octavo, fracción I, de  los Lineamientos Generales en Materia de Clasificación y Desclasificación de la Información, así como para la elaboración de versiones públicas; y, artículo 1, fracción I, de los Lineamientos Sobre Medidas de Seguridad Aplicables a los Sistemas de Datos Personales que se encuentran en Posesión de los Sujetos Obligados de la Ley de Protección de Datos Personales del Estado de México.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115" w:rsidRDefault="0048523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2049" type="#_x0000_t75" alt="" style="position:absolute;margin-left:0;margin-top:0;width:609.4pt;height:793.75pt;z-index:-251657216;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365" w:type="dxa"/>
      <w:tblInd w:w="2835" w:type="dxa"/>
      <w:tblLayout w:type="fixed"/>
      <w:tblLook w:val="0400" w:firstRow="0" w:lastRow="0" w:firstColumn="0" w:lastColumn="0" w:noHBand="0" w:noVBand="1"/>
    </w:tblPr>
    <w:tblGrid>
      <w:gridCol w:w="2970"/>
      <w:gridCol w:w="285"/>
      <w:gridCol w:w="4110"/>
    </w:tblGrid>
    <w:tr w:rsidR="00035115" w:rsidTr="009B1E22">
      <w:trPr>
        <w:trHeight w:val="485"/>
      </w:trPr>
      <w:tc>
        <w:tcPr>
          <w:tcW w:w="2970" w:type="dxa"/>
          <w:vAlign w:val="center"/>
        </w:tcPr>
        <w:p w:rsidR="00035115" w:rsidRDefault="00F871A7" w:rsidP="009B1E22">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285" w:type="dxa"/>
        </w:tcPr>
        <w:p w:rsidR="00035115" w:rsidRDefault="00035115" w:rsidP="009B1E22">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rPr>
          </w:pPr>
        </w:p>
      </w:tc>
      <w:tc>
        <w:tcPr>
          <w:tcW w:w="4110" w:type="dxa"/>
          <w:vAlign w:val="center"/>
        </w:tcPr>
        <w:p w:rsidR="00035115" w:rsidRDefault="00F871A7" w:rsidP="009B1E2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00283/INFOEM/IP/RR/2026</w:t>
          </w:r>
        </w:p>
      </w:tc>
    </w:tr>
    <w:tr w:rsidR="00035115" w:rsidTr="009B1E22">
      <w:trPr>
        <w:trHeight w:val="485"/>
      </w:trPr>
      <w:tc>
        <w:tcPr>
          <w:tcW w:w="2970" w:type="dxa"/>
          <w:vAlign w:val="center"/>
        </w:tcPr>
        <w:p w:rsidR="00035115" w:rsidRDefault="00F871A7" w:rsidP="009B1E22">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285" w:type="dxa"/>
        </w:tcPr>
        <w:p w:rsidR="00035115" w:rsidRDefault="00035115" w:rsidP="009B1E22">
          <w:pPr>
            <w:pBdr>
              <w:top w:val="nil"/>
              <w:left w:val="nil"/>
              <w:bottom w:val="nil"/>
              <w:right w:val="nil"/>
              <w:between w:val="nil"/>
            </w:pBdr>
            <w:tabs>
              <w:tab w:val="center" w:pos="4419"/>
              <w:tab w:val="right" w:pos="8838"/>
            </w:tabs>
            <w:ind w:right="354"/>
            <w:jc w:val="both"/>
            <w:rPr>
              <w:rFonts w:ascii="Palatino Linotype" w:eastAsia="Palatino Linotype" w:hAnsi="Palatino Linotype" w:cs="Palatino Linotype"/>
              <w:b/>
              <w:bCs/>
              <w:color w:val="000000"/>
            </w:rPr>
          </w:pPr>
        </w:p>
      </w:tc>
      <w:tc>
        <w:tcPr>
          <w:tcW w:w="4110" w:type="dxa"/>
          <w:vAlign w:val="center"/>
        </w:tcPr>
        <w:p w:rsidR="00035115" w:rsidRDefault="00AE5724" w:rsidP="009B1E22">
          <w:pPr>
            <w:pBdr>
              <w:top w:val="nil"/>
              <w:left w:val="nil"/>
              <w:bottom w:val="nil"/>
              <w:right w:val="nil"/>
              <w:between w:val="nil"/>
            </w:pBdr>
            <w:ind w:right="354"/>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Poder Judicial</w:t>
          </w:r>
        </w:p>
      </w:tc>
    </w:tr>
    <w:tr w:rsidR="00035115" w:rsidTr="009B1E22">
      <w:trPr>
        <w:trHeight w:val="485"/>
      </w:trPr>
      <w:tc>
        <w:tcPr>
          <w:tcW w:w="2970" w:type="dxa"/>
          <w:vAlign w:val="center"/>
        </w:tcPr>
        <w:p w:rsidR="00035115" w:rsidRDefault="00F871A7" w:rsidP="009B1E22">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285" w:type="dxa"/>
        </w:tcPr>
        <w:p w:rsidR="00035115" w:rsidRDefault="00035115" w:rsidP="009B1E22">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rPr>
          </w:pPr>
        </w:p>
      </w:tc>
      <w:tc>
        <w:tcPr>
          <w:tcW w:w="4110" w:type="dxa"/>
          <w:vAlign w:val="center"/>
        </w:tcPr>
        <w:p w:rsidR="00035115" w:rsidRDefault="00F871A7" w:rsidP="009B1E2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35115" w:rsidRDefault="0048523D">
    <w:pPr>
      <w:pBdr>
        <w:top w:val="nil"/>
        <w:left w:val="nil"/>
        <w:bottom w:val="nil"/>
        <w:right w:val="nil"/>
        <w:between w:val="nil"/>
      </w:pBdr>
      <w:tabs>
        <w:tab w:val="center" w:pos="4419"/>
        <w:tab w:val="right" w:pos="8838"/>
        <w:tab w:val="left" w:pos="6005"/>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2" type="#_x0000_t75" alt="" style="position:absolute;margin-left:-68.25pt;margin-top:-126.1pt;width:609.75pt;height:738.35pt;z-index:-251660288;mso-position-horizontal-relative:margin;mso-position-vertical-relative:margin">
          <v:imagedata r:id="rId1" o:title="image3"/>
          <w10:wrap anchorx="margin" anchory="margin"/>
        </v:shape>
      </w:pict>
    </w:r>
    <w:r>
      <w:rPr>
        <w:sz w:val="14"/>
        <w:szCs w:val="14"/>
      </w:rPr>
      <w:pict>
        <v:shape id="WordPictureWatermark1" o:spid="_x0000_s2051" type="#_x0000_t75" alt="" style="position:absolute;margin-left:-231.95pt;margin-top:623.5pt;width:609.4pt;height:793.75pt;z-index:-251659264;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75" w:type="dxa"/>
      <w:tblInd w:w="2977" w:type="dxa"/>
      <w:tblLayout w:type="fixed"/>
      <w:tblLook w:val="0400" w:firstRow="0" w:lastRow="0" w:firstColumn="0" w:lastColumn="0" w:noHBand="0" w:noVBand="1"/>
    </w:tblPr>
    <w:tblGrid>
      <w:gridCol w:w="3375"/>
      <w:gridCol w:w="4200"/>
    </w:tblGrid>
    <w:tr w:rsidR="00035115" w:rsidTr="009B1E22">
      <w:trPr>
        <w:trHeight w:val="227"/>
        <w:tblHeader/>
      </w:trPr>
      <w:tc>
        <w:tcPr>
          <w:tcW w:w="3375" w:type="dxa"/>
          <w:vAlign w:val="center"/>
        </w:tcPr>
        <w:p w:rsidR="00035115" w:rsidRDefault="00F871A7">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00" w:type="dxa"/>
          <w:vAlign w:val="center"/>
        </w:tcPr>
        <w:p w:rsidR="00035115" w:rsidRPr="009B1E22" w:rsidRDefault="00F871A7">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highlight w:val="green"/>
            </w:rPr>
          </w:pPr>
          <w:r w:rsidRPr="009B1E22">
            <w:rPr>
              <w:rFonts w:ascii="Palatino Linotype" w:eastAsia="Palatino Linotype" w:hAnsi="Palatino Linotype" w:cs="Palatino Linotype"/>
              <w:bCs/>
              <w:color w:val="000000"/>
            </w:rPr>
            <w:t>00283/INFOEM/IP/RR/2026</w:t>
          </w:r>
        </w:p>
      </w:tc>
    </w:tr>
    <w:tr w:rsidR="00035115" w:rsidTr="009B1E22">
      <w:trPr>
        <w:trHeight w:val="242"/>
      </w:trPr>
      <w:tc>
        <w:tcPr>
          <w:tcW w:w="3375" w:type="dxa"/>
          <w:vAlign w:val="center"/>
        </w:tcPr>
        <w:p w:rsidR="00035115" w:rsidRDefault="00F871A7">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00" w:type="dxa"/>
        </w:tcPr>
        <w:p w:rsidR="00035115" w:rsidRPr="009B1E22" w:rsidRDefault="00D258C6">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color w:val="000000"/>
              <w:highlight w:val="green"/>
            </w:rPr>
          </w:pPr>
          <w:r>
            <w:rPr>
              <w:rFonts w:ascii="Palatino Linotype" w:eastAsia="Palatino Linotype" w:hAnsi="Palatino Linotype" w:cs="Palatino Linotype"/>
              <w:bCs/>
              <w:color w:val="000000"/>
            </w:rPr>
            <w:t>XXXX</w:t>
          </w:r>
        </w:p>
      </w:tc>
    </w:tr>
    <w:tr w:rsidR="00035115" w:rsidTr="009B1E22">
      <w:trPr>
        <w:trHeight w:val="342"/>
      </w:trPr>
      <w:tc>
        <w:tcPr>
          <w:tcW w:w="3375" w:type="dxa"/>
          <w:vAlign w:val="center"/>
        </w:tcPr>
        <w:p w:rsidR="00035115" w:rsidRDefault="00F871A7">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00" w:type="dxa"/>
          <w:vAlign w:val="center"/>
        </w:tcPr>
        <w:p w:rsidR="00035115" w:rsidRPr="009B1E22" w:rsidRDefault="00F871A7">
          <w:pPr>
            <w:pBdr>
              <w:top w:val="nil"/>
              <w:left w:val="nil"/>
              <w:bottom w:val="nil"/>
              <w:right w:val="nil"/>
              <w:between w:val="nil"/>
            </w:pBdr>
            <w:tabs>
              <w:tab w:val="center" w:pos="4419"/>
              <w:tab w:val="right" w:pos="8838"/>
            </w:tabs>
            <w:ind w:right="778"/>
            <w:jc w:val="both"/>
            <w:rPr>
              <w:rFonts w:ascii="Palatino Linotype" w:eastAsia="Palatino Linotype" w:hAnsi="Palatino Linotype" w:cs="Palatino Linotype"/>
              <w:bCs/>
              <w:color w:val="000000"/>
              <w:highlight w:val="green"/>
            </w:rPr>
          </w:pPr>
          <w:r w:rsidRPr="009B1E22">
            <w:rPr>
              <w:rFonts w:ascii="Palatino Linotype" w:eastAsia="Palatino Linotype" w:hAnsi="Palatino Linotype" w:cs="Palatino Linotype"/>
              <w:bCs/>
              <w:color w:val="000000"/>
            </w:rPr>
            <w:t>Poder Judicial</w:t>
          </w:r>
        </w:p>
      </w:tc>
    </w:tr>
    <w:tr w:rsidR="00035115" w:rsidTr="009B1E22">
      <w:trPr>
        <w:trHeight w:val="342"/>
      </w:trPr>
      <w:tc>
        <w:tcPr>
          <w:tcW w:w="3375" w:type="dxa"/>
          <w:vAlign w:val="center"/>
        </w:tcPr>
        <w:p w:rsidR="00035115" w:rsidRDefault="00F871A7">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00" w:type="dxa"/>
          <w:vAlign w:val="center"/>
        </w:tcPr>
        <w:p w:rsidR="00035115" w:rsidRPr="009B1E22" w:rsidRDefault="00F871A7">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r w:rsidRPr="009B1E22">
            <w:rPr>
              <w:rFonts w:ascii="Palatino Linotype" w:eastAsia="Palatino Linotype" w:hAnsi="Palatino Linotype" w:cs="Palatino Linotype"/>
              <w:bCs/>
              <w:color w:val="000000"/>
            </w:rPr>
            <w:t>María del Rosario Mejía Ayala</w:t>
          </w:r>
        </w:p>
      </w:tc>
    </w:tr>
  </w:tbl>
  <w:p w:rsidR="00035115" w:rsidRDefault="0048523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240;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CF4"/>
    <w:multiLevelType w:val="multilevel"/>
    <w:tmpl w:val="9B161F90"/>
    <w:lvl w:ilvl="0">
      <w:start w:val="94"/>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83A0A"/>
    <w:multiLevelType w:val="multilevel"/>
    <w:tmpl w:val="980A645C"/>
    <w:lvl w:ilvl="0">
      <w:start w:val="95"/>
      <w:numFmt w:val="decimal"/>
      <w:lvlText w:val="%1."/>
      <w:lvlJc w:val="left"/>
      <w:pPr>
        <w:ind w:left="360" w:hanging="360"/>
      </w:pPr>
      <w:rPr>
        <w:rFonts w:ascii="Palatino Linotype" w:eastAsia="Palatino Linotype" w:hAnsi="Palatino Linotype" w:cs="Palatino Linotype"/>
        <w:b/>
        <w:bCs/>
        <w:i w:val="0"/>
        <w:iCs w:val="0"/>
        <w:color w:val="000000"/>
      </w:rPr>
    </w:lvl>
    <w:lvl w:ilvl="1">
      <w:start w:val="1"/>
      <w:numFmt w:val="decimal"/>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F30F76"/>
    <w:multiLevelType w:val="multilevel"/>
    <w:tmpl w:val="89506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63BF3"/>
    <w:multiLevelType w:val="multilevel"/>
    <w:tmpl w:val="2CAAC52C"/>
    <w:lvl w:ilvl="0">
      <w:start w:val="50"/>
      <w:numFmt w:val="decimal"/>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A27E7E"/>
    <w:multiLevelType w:val="multilevel"/>
    <w:tmpl w:val="E6528DE8"/>
    <w:lvl w:ilvl="0">
      <w:start w:val="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F364DF"/>
    <w:multiLevelType w:val="multilevel"/>
    <w:tmpl w:val="FA52D11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736BBE"/>
    <w:multiLevelType w:val="multilevel"/>
    <w:tmpl w:val="32C8A114"/>
    <w:lvl w:ilvl="0">
      <w:start w:val="100"/>
      <w:numFmt w:val="decimal"/>
      <w:lvlText w:val="%1."/>
      <w:lvlJc w:val="left"/>
      <w:pPr>
        <w:ind w:left="360" w:hanging="360"/>
      </w:pPr>
      <w:rPr>
        <w:rFonts w:ascii="Palatino Linotype" w:eastAsia="Palatino Linotype" w:hAnsi="Palatino Linotype" w:cs="Palatino Linotype"/>
        <w:b/>
        <w:bCs/>
        <w:i w:val="0"/>
        <w:iCs w:val="0"/>
        <w:color w:val="000000"/>
      </w:rPr>
    </w:lvl>
    <w:lvl w:ilvl="1">
      <w:start w:val="1"/>
      <w:numFmt w:val="decimal"/>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210436"/>
    <w:multiLevelType w:val="multilevel"/>
    <w:tmpl w:val="7C3A62F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15:restartNumberingAfterBreak="0">
    <w:nsid w:val="333F2D8D"/>
    <w:multiLevelType w:val="multilevel"/>
    <w:tmpl w:val="6C4E6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5233ED"/>
    <w:multiLevelType w:val="multilevel"/>
    <w:tmpl w:val="B7A6E514"/>
    <w:lvl w:ilvl="0">
      <w:start w:val="12"/>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F24D6D"/>
    <w:multiLevelType w:val="multilevel"/>
    <w:tmpl w:val="1142894E"/>
    <w:lvl w:ilvl="0">
      <w:start w:val="6"/>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294553"/>
    <w:multiLevelType w:val="multilevel"/>
    <w:tmpl w:val="88D4C0D6"/>
    <w:lvl w:ilvl="0">
      <w:start w:val="86"/>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0466DC"/>
    <w:multiLevelType w:val="multilevel"/>
    <w:tmpl w:val="C6CAA98E"/>
    <w:lvl w:ilvl="0">
      <w:start w:val="96"/>
      <w:numFmt w:val="decimal"/>
      <w:lvlText w:val="%1."/>
      <w:lvlJc w:val="left"/>
      <w:pPr>
        <w:ind w:left="644" w:hanging="359"/>
      </w:pPr>
      <w:rPr>
        <w:b/>
        <w:bCs/>
        <w:i w:val="0"/>
        <w:iCs w:val="0"/>
        <w:color w:val="000000"/>
        <w:sz w:val="24"/>
        <w:szCs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4F1B022A"/>
    <w:multiLevelType w:val="multilevel"/>
    <w:tmpl w:val="43A6AE9C"/>
    <w:lvl w:ilvl="0">
      <w:start w:val="1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7F58DD"/>
    <w:multiLevelType w:val="multilevel"/>
    <w:tmpl w:val="983A96B6"/>
    <w:lvl w:ilvl="0">
      <w:start w:val="3"/>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270FC6"/>
    <w:multiLevelType w:val="multilevel"/>
    <w:tmpl w:val="AED49214"/>
    <w:lvl w:ilvl="0">
      <w:start w:val="13"/>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5C5FD2"/>
    <w:multiLevelType w:val="multilevel"/>
    <w:tmpl w:val="74FED3D8"/>
    <w:lvl w:ilvl="0">
      <w:start w:val="47"/>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710E5B"/>
    <w:multiLevelType w:val="multilevel"/>
    <w:tmpl w:val="EC5AFD7A"/>
    <w:lvl w:ilvl="0">
      <w:start w:val="68"/>
      <w:numFmt w:val="decimal"/>
      <w:lvlText w:val="%1."/>
      <w:lvlJc w:val="left"/>
      <w:pPr>
        <w:ind w:left="1070" w:hanging="360"/>
      </w:pPr>
      <w:rPr>
        <w:rFonts w:ascii="Palatino Linotype" w:eastAsia="Palatino Linotype" w:hAnsi="Palatino Linotype" w:cs="Palatino Linotype"/>
        <w:b/>
        <w:bCs/>
        <w:i w:val="0"/>
        <w:iCs w:val="0"/>
        <w:color w:val="000000"/>
        <w:sz w:val="24"/>
        <w:szCs w:val="24"/>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210EED"/>
    <w:multiLevelType w:val="multilevel"/>
    <w:tmpl w:val="A0F8CB0C"/>
    <w:lvl w:ilvl="0">
      <w:start w:val="40"/>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F64701"/>
    <w:multiLevelType w:val="multilevel"/>
    <w:tmpl w:val="882221B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0" w15:restartNumberingAfterBreak="0">
    <w:nsid w:val="72A56C06"/>
    <w:multiLevelType w:val="multilevel"/>
    <w:tmpl w:val="07BCF024"/>
    <w:lvl w:ilvl="0">
      <w:start w:val="25"/>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436023C"/>
    <w:multiLevelType w:val="multilevel"/>
    <w:tmpl w:val="BE184A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6D761C6"/>
    <w:multiLevelType w:val="multilevel"/>
    <w:tmpl w:val="6C1CCA6A"/>
    <w:lvl w:ilvl="0">
      <w:start w:val="39"/>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5D7C0D"/>
    <w:multiLevelType w:val="multilevel"/>
    <w:tmpl w:val="C4BCDA28"/>
    <w:lvl w:ilvl="0">
      <w:start w:val="24"/>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1F0E25"/>
    <w:multiLevelType w:val="multilevel"/>
    <w:tmpl w:val="8D1ABB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7"/>
  </w:num>
  <w:num w:numId="2">
    <w:abstractNumId w:val="22"/>
  </w:num>
  <w:num w:numId="3">
    <w:abstractNumId w:val="18"/>
  </w:num>
  <w:num w:numId="4">
    <w:abstractNumId w:val="1"/>
  </w:num>
  <w:num w:numId="5">
    <w:abstractNumId w:val="14"/>
  </w:num>
  <w:num w:numId="6">
    <w:abstractNumId w:val="5"/>
  </w:num>
  <w:num w:numId="7">
    <w:abstractNumId w:val="24"/>
  </w:num>
  <w:num w:numId="8">
    <w:abstractNumId w:val="10"/>
  </w:num>
  <w:num w:numId="9">
    <w:abstractNumId w:val="20"/>
  </w:num>
  <w:num w:numId="10">
    <w:abstractNumId w:val="6"/>
  </w:num>
  <w:num w:numId="11">
    <w:abstractNumId w:val="2"/>
  </w:num>
  <w:num w:numId="12">
    <w:abstractNumId w:val="9"/>
  </w:num>
  <w:num w:numId="13">
    <w:abstractNumId w:val="16"/>
  </w:num>
  <w:num w:numId="14">
    <w:abstractNumId w:val="11"/>
  </w:num>
  <w:num w:numId="15">
    <w:abstractNumId w:val="8"/>
  </w:num>
  <w:num w:numId="16">
    <w:abstractNumId w:val="3"/>
  </w:num>
  <w:num w:numId="17">
    <w:abstractNumId w:val="17"/>
  </w:num>
  <w:num w:numId="18">
    <w:abstractNumId w:val="19"/>
  </w:num>
  <w:num w:numId="19">
    <w:abstractNumId w:val="23"/>
  </w:num>
  <w:num w:numId="20">
    <w:abstractNumId w:val="21"/>
  </w:num>
  <w:num w:numId="21">
    <w:abstractNumId w:val="15"/>
  </w:num>
  <w:num w:numId="22">
    <w:abstractNumId w:val="12"/>
  </w:num>
  <w:num w:numId="23">
    <w:abstractNumId w:val="4"/>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15"/>
    <w:rsid w:val="00035115"/>
    <w:rsid w:val="0048523D"/>
    <w:rsid w:val="004E5A98"/>
    <w:rsid w:val="005C4DD5"/>
    <w:rsid w:val="00996A1C"/>
    <w:rsid w:val="009B1E22"/>
    <w:rsid w:val="00AE5724"/>
    <w:rsid w:val="00D258C6"/>
    <w:rsid w:val="00D614D7"/>
    <w:rsid w:val="00E62AB8"/>
    <w:rsid w:val="00F871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93CBB6A-E6FA-4E7A-990F-70F6D325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AE5724"/>
    <w:pPr>
      <w:tabs>
        <w:tab w:val="center" w:pos="4419"/>
        <w:tab w:val="right" w:pos="8838"/>
      </w:tabs>
    </w:pPr>
  </w:style>
  <w:style w:type="character" w:customStyle="1" w:styleId="PiedepginaCar">
    <w:name w:val="Pie de página Car"/>
    <w:basedOn w:val="Fuentedeprrafopredeter"/>
    <w:link w:val="Piedepgina"/>
    <w:uiPriority w:val="99"/>
    <w:rsid w:val="00AE5724"/>
  </w:style>
  <w:style w:type="paragraph" w:styleId="Prrafodelista">
    <w:name w:val="List Paragraph"/>
    <w:basedOn w:val="Normal"/>
    <w:uiPriority w:val="34"/>
    <w:qFormat/>
    <w:rsid w:val="009B1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utados.gob.mx/documentos/N_Acta_Nacimiento.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zGWG1mJjoHbPuLy69qBuaMZErw==">CgMxLjAyCGguZ2pkZ3hzMgloLjMwajB6bGwyCWguM3pueXNoNzIJaC4yZXQ5MnAwMghoLnR5amN3dDIJaC4zZHk2dmttMgloLjF0M2g1c2YyCWguNGQzNG9nODIJaC4yczhleW8xMgloLjE3ZHA4dnUyCWguM3JkY3JqbjIJaC4yNmluMXJnMg5oLmlwemZqbGM4dHdpdzIJaC4zNW5rdW4yMg1oLmNmYmtjaDhtNmhpOAByITE0YVk5WGRqUFBPZ3N4ZG9DdzU2TW9UWndaUkk2LUpI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49</Pages>
  <Words>12410</Words>
  <Characters>68255</Characters>
  <Application>Microsoft Office Word</Application>
  <DocSecurity>0</DocSecurity>
  <Lines>568</Lines>
  <Paragraphs>161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80504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2026-05-21T23:11:00Z</cp:lastPrinted>
  <dcterms:created xsi:type="dcterms:W3CDTF">2026-05-20T18:24:00Z</dcterms:created>
  <dcterms:modified xsi:type="dcterms:W3CDTF">2026-05-28T23:12:00Z</dcterms:modified>
</cp:coreProperties>
</file>