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25E31" w14:textId="51172AE6" w:rsidR="00D86E74" w:rsidRPr="00B53D45" w:rsidRDefault="00B05C77" w:rsidP="00E1797B">
      <w:pPr>
        <w:tabs>
          <w:tab w:val="left" w:pos="0"/>
        </w:tabs>
        <w:spacing w:line="360" w:lineRule="auto"/>
        <w:jc w:val="both"/>
        <w:rPr>
          <w:rFonts w:ascii="Palatino Linotype" w:eastAsia="Palatino Linotype" w:hAnsi="Palatino Linotype" w:cs="Palatino Linotype"/>
          <w:b/>
        </w:rPr>
      </w:pPr>
      <w:bookmarkStart w:id="0" w:name="_heading=h.sre9h05q4v0b" w:colFirst="0" w:colLast="0"/>
      <w:bookmarkStart w:id="1" w:name="_GoBack"/>
      <w:bookmarkEnd w:id="0"/>
      <w:bookmarkEnd w:id="1"/>
      <w:r w:rsidRPr="00B53D4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B53D45">
        <w:rPr>
          <w:rFonts w:ascii="Palatino Linotype" w:eastAsia="Palatino Linotype" w:hAnsi="Palatino Linotype" w:cs="Palatino Linotype"/>
          <w:b/>
        </w:rPr>
        <w:t xml:space="preserve">de fecha </w:t>
      </w:r>
      <w:r w:rsidR="003E7E9C" w:rsidRPr="00B53D45">
        <w:rPr>
          <w:rFonts w:ascii="Palatino Linotype" w:eastAsia="Palatino Linotype" w:hAnsi="Palatino Linotype" w:cs="Palatino Linotype"/>
          <w:b/>
        </w:rPr>
        <w:t>diecinueve</w:t>
      </w:r>
      <w:r w:rsidR="00B53D45" w:rsidRPr="00B53D45">
        <w:rPr>
          <w:rFonts w:ascii="Palatino Linotype" w:eastAsia="Palatino Linotype" w:hAnsi="Palatino Linotype" w:cs="Palatino Linotype"/>
          <w:b/>
        </w:rPr>
        <w:t xml:space="preserve"> (19)</w:t>
      </w:r>
      <w:r w:rsidR="003E7E9C" w:rsidRPr="00B53D45">
        <w:rPr>
          <w:rFonts w:ascii="Palatino Linotype" w:eastAsia="Palatino Linotype" w:hAnsi="Palatino Linotype" w:cs="Palatino Linotype"/>
          <w:b/>
        </w:rPr>
        <w:t xml:space="preserve"> de marzo </w:t>
      </w:r>
      <w:r w:rsidRPr="00B53D45">
        <w:rPr>
          <w:rFonts w:ascii="Palatino Linotype" w:eastAsia="Palatino Linotype" w:hAnsi="Palatino Linotype" w:cs="Palatino Linotype"/>
          <w:b/>
        </w:rPr>
        <w:t xml:space="preserve">de dos mil </w:t>
      </w:r>
      <w:r w:rsidR="003E7E9C" w:rsidRPr="00B53D45">
        <w:rPr>
          <w:rFonts w:ascii="Palatino Linotype" w:eastAsia="Palatino Linotype" w:hAnsi="Palatino Linotype" w:cs="Palatino Linotype"/>
          <w:b/>
        </w:rPr>
        <w:t>veintiséis</w:t>
      </w:r>
      <w:r w:rsidRPr="00B53D45">
        <w:rPr>
          <w:rFonts w:ascii="Palatino Linotype" w:eastAsia="Palatino Linotype" w:hAnsi="Palatino Linotype" w:cs="Palatino Linotype"/>
          <w:b/>
        </w:rPr>
        <w:t>.</w:t>
      </w:r>
    </w:p>
    <w:p w14:paraId="4EC4638E" w14:textId="77777777" w:rsidR="00D86E74" w:rsidRPr="00B53D45" w:rsidRDefault="00D86E74" w:rsidP="00E1797B">
      <w:pPr>
        <w:tabs>
          <w:tab w:val="left" w:pos="567"/>
        </w:tabs>
        <w:spacing w:line="360" w:lineRule="auto"/>
        <w:jc w:val="both"/>
        <w:rPr>
          <w:rFonts w:ascii="Palatino Linotype" w:eastAsia="Palatino Linotype" w:hAnsi="Palatino Linotype" w:cs="Palatino Linotype"/>
        </w:rPr>
      </w:pPr>
    </w:p>
    <w:p w14:paraId="5F2C0BD6" w14:textId="4D4A3001" w:rsidR="00D86E74" w:rsidRPr="00B53D45" w:rsidRDefault="00B05C77" w:rsidP="00E1797B">
      <w:pPr>
        <w:spacing w:line="360" w:lineRule="auto"/>
        <w:jc w:val="both"/>
        <w:rPr>
          <w:rFonts w:ascii="Palatino Linotype" w:eastAsia="Palatino Linotype" w:hAnsi="Palatino Linotype" w:cs="Palatino Linotype"/>
        </w:rPr>
      </w:pPr>
      <w:bookmarkStart w:id="2" w:name="_heading=h.gjdgxs" w:colFirst="0" w:colLast="0"/>
      <w:bookmarkEnd w:id="2"/>
      <w:r w:rsidRPr="00B53D45">
        <w:rPr>
          <w:rFonts w:ascii="Palatino Linotype" w:eastAsia="Palatino Linotype" w:hAnsi="Palatino Linotype" w:cs="Palatino Linotype"/>
          <w:b/>
        </w:rPr>
        <w:t>VISTO</w:t>
      </w:r>
      <w:r w:rsidRPr="00B53D45">
        <w:rPr>
          <w:rFonts w:ascii="Palatino Linotype" w:eastAsia="Palatino Linotype" w:hAnsi="Palatino Linotype" w:cs="Palatino Linotype"/>
        </w:rPr>
        <w:t xml:space="preserve"> el expediente electrónico formado con motivo del recurso de revisión </w:t>
      </w:r>
      <w:r w:rsidR="003E7E9C" w:rsidRPr="00B53D45">
        <w:rPr>
          <w:rFonts w:ascii="Palatino Linotype" w:eastAsia="Palatino Linotype" w:hAnsi="Palatino Linotype" w:cs="Palatino Linotype"/>
          <w:b/>
        </w:rPr>
        <w:t>08673</w:t>
      </w:r>
      <w:r w:rsidRPr="00B53D45">
        <w:rPr>
          <w:rFonts w:ascii="Palatino Linotype" w:eastAsia="Palatino Linotype" w:hAnsi="Palatino Linotype" w:cs="Palatino Linotype"/>
          <w:b/>
        </w:rPr>
        <w:t>/INFOEM/IP/RR/2025</w:t>
      </w:r>
      <w:r w:rsidRPr="00B53D45">
        <w:rPr>
          <w:rFonts w:ascii="Palatino Linotype" w:eastAsia="Palatino Linotype" w:hAnsi="Palatino Linotype" w:cs="Palatino Linotype"/>
        </w:rPr>
        <w:t>,</w:t>
      </w:r>
      <w:r w:rsidRPr="00B53D45">
        <w:rPr>
          <w:rFonts w:ascii="Palatino Linotype" w:eastAsia="Palatino Linotype" w:hAnsi="Palatino Linotype" w:cs="Palatino Linotype"/>
          <w:b/>
        </w:rPr>
        <w:t xml:space="preserve"> </w:t>
      </w:r>
      <w:r w:rsidRPr="00B53D45">
        <w:rPr>
          <w:rFonts w:ascii="Palatino Linotype" w:eastAsia="Palatino Linotype" w:hAnsi="Palatino Linotype" w:cs="Palatino Linotype"/>
        </w:rPr>
        <w:t xml:space="preserve">promovido por </w:t>
      </w:r>
      <w:r w:rsidR="00B93ACB" w:rsidRPr="00B53D45">
        <w:rPr>
          <w:rFonts w:ascii="Palatino Linotype" w:eastAsia="Palatino Linotype" w:hAnsi="Palatino Linotype" w:cs="Palatino Linotype"/>
        </w:rPr>
        <w:t>un</w:t>
      </w:r>
      <w:r w:rsidR="00B93ACB" w:rsidRPr="00B53D45">
        <w:rPr>
          <w:rFonts w:ascii="Palatino Linotype" w:eastAsia="Palatino Linotype" w:hAnsi="Palatino Linotype" w:cs="Palatino Linotype"/>
          <w:b/>
        </w:rPr>
        <w:t xml:space="preserve"> RECURRENTE</w:t>
      </w:r>
      <w:r w:rsidRPr="00B53D45">
        <w:rPr>
          <w:rFonts w:ascii="Palatino Linotype" w:eastAsia="Palatino Linotype" w:hAnsi="Palatino Linotype" w:cs="Palatino Linotype"/>
          <w:b/>
        </w:rPr>
        <w:t>,</w:t>
      </w:r>
      <w:r w:rsidRPr="00B53D45">
        <w:rPr>
          <w:rFonts w:ascii="Palatino Linotype" w:eastAsia="Palatino Linotype" w:hAnsi="Palatino Linotype" w:cs="Palatino Linotype"/>
        </w:rPr>
        <w:t xml:space="preserve"> en contra de la respuesta del </w:t>
      </w:r>
      <w:r w:rsidR="003E7E9C" w:rsidRPr="00B53D45">
        <w:rPr>
          <w:rFonts w:ascii="Palatino Linotype" w:eastAsia="Palatino Linotype" w:hAnsi="Palatino Linotype" w:cs="Palatino Linotype"/>
          <w:b/>
        </w:rPr>
        <w:t>Ayuntamiento de Chapultepec</w:t>
      </w:r>
      <w:r w:rsidRPr="00B53D45">
        <w:rPr>
          <w:rFonts w:ascii="Palatino Linotype" w:eastAsia="Palatino Linotype" w:hAnsi="Palatino Linotype" w:cs="Palatino Linotype"/>
          <w:b/>
        </w:rPr>
        <w:t xml:space="preserve">, </w:t>
      </w:r>
      <w:r w:rsidRPr="00B53D45">
        <w:rPr>
          <w:rFonts w:ascii="Palatino Linotype" w:eastAsia="Palatino Linotype" w:hAnsi="Palatino Linotype" w:cs="Palatino Linotype"/>
        </w:rPr>
        <w:t>en adelante el</w:t>
      </w:r>
      <w:r w:rsidRPr="00B53D45">
        <w:rPr>
          <w:rFonts w:ascii="Palatino Linotype" w:eastAsia="Palatino Linotype" w:hAnsi="Palatino Linotype" w:cs="Palatino Linotype"/>
          <w:b/>
        </w:rPr>
        <w:t xml:space="preserve"> SUJETO OBLIGADO</w:t>
      </w:r>
      <w:r w:rsidRPr="00B53D45">
        <w:rPr>
          <w:rFonts w:ascii="Palatino Linotype" w:eastAsia="Palatino Linotype" w:hAnsi="Palatino Linotype" w:cs="Palatino Linotype"/>
        </w:rPr>
        <w:t>, se procede a dictar la presente resolución, con base en los siguientes:</w:t>
      </w:r>
    </w:p>
    <w:p w14:paraId="37CEF4FF" w14:textId="77777777" w:rsidR="00D86E74" w:rsidRPr="00B53D45" w:rsidRDefault="00D86E74" w:rsidP="00E1797B">
      <w:pPr>
        <w:spacing w:line="360" w:lineRule="auto"/>
        <w:jc w:val="both"/>
        <w:rPr>
          <w:rFonts w:ascii="Palatino Linotype" w:eastAsia="Palatino Linotype" w:hAnsi="Palatino Linotype" w:cs="Palatino Linotype"/>
        </w:rPr>
      </w:pPr>
    </w:p>
    <w:p w14:paraId="1999B5D4" w14:textId="77777777" w:rsidR="00D86E74" w:rsidRPr="00B53D45" w:rsidRDefault="00B05C77" w:rsidP="00E1797B">
      <w:pPr>
        <w:pStyle w:val="Ttulo1"/>
        <w:tabs>
          <w:tab w:val="left" w:pos="567"/>
        </w:tabs>
        <w:spacing w:before="0" w:line="360" w:lineRule="auto"/>
        <w:jc w:val="center"/>
        <w:rPr>
          <w:b w:val="0"/>
        </w:rPr>
      </w:pPr>
      <w:bookmarkStart w:id="3" w:name="_heading=h.30j0zll" w:colFirst="0" w:colLast="0"/>
      <w:bookmarkEnd w:id="3"/>
      <w:r w:rsidRPr="00B53D45">
        <w:t>A N T E C E D E N T E S</w:t>
      </w:r>
    </w:p>
    <w:p w14:paraId="38E13BAA" w14:textId="77777777" w:rsidR="00D86E74" w:rsidRPr="00B53D45" w:rsidRDefault="00D86E74" w:rsidP="00E1797B">
      <w:pPr>
        <w:pStyle w:val="Ttulo1"/>
        <w:tabs>
          <w:tab w:val="left" w:pos="567"/>
        </w:tabs>
        <w:spacing w:before="0" w:line="360" w:lineRule="auto"/>
      </w:pPr>
    </w:p>
    <w:p w14:paraId="33BAC4B2" w14:textId="60364C88" w:rsidR="00D86E74" w:rsidRPr="00B53D45" w:rsidRDefault="00B05C77" w:rsidP="00E179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t xml:space="preserve">El </w:t>
      </w:r>
      <w:r w:rsidR="003E7E9C" w:rsidRPr="00B53D45">
        <w:rPr>
          <w:rFonts w:ascii="Palatino Linotype" w:eastAsia="Palatino Linotype" w:hAnsi="Palatino Linotype" w:cs="Palatino Linotype"/>
          <w:b/>
          <w:color w:val="000000"/>
        </w:rPr>
        <w:t xml:space="preserve">veintidós de junio </w:t>
      </w:r>
      <w:r w:rsidRPr="00B53D45">
        <w:rPr>
          <w:rFonts w:ascii="Palatino Linotype" w:eastAsia="Palatino Linotype" w:hAnsi="Palatino Linotype" w:cs="Palatino Linotype"/>
          <w:b/>
          <w:color w:val="000000"/>
        </w:rPr>
        <w:t xml:space="preserve">de dos mil veinticinco, </w:t>
      </w:r>
      <w:r w:rsidRPr="00B53D45">
        <w:rPr>
          <w:rFonts w:ascii="Palatino Linotype" w:eastAsia="Palatino Linotype" w:hAnsi="Palatino Linotype" w:cs="Palatino Linotype"/>
          <w:color w:val="000000"/>
        </w:rPr>
        <w:t xml:space="preserve">se presentó ante el </w:t>
      </w:r>
      <w:r w:rsidRPr="00B53D45">
        <w:rPr>
          <w:rFonts w:ascii="Palatino Linotype" w:eastAsia="Palatino Linotype" w:hAnsi="Palatino Linotype" w:cs="Palatino Linotype"/>
          <w:b/>
          <w:color w:val="000000"/>
        </w:rPr>
        <w:t>SUJETO OBLIGADO</w:t>
      </w:r>
      <w:r w:rsidRPr="00B53D45">
        <w:rPr>
          <w:rFonts w:ascii="Palatino Linotype" w:eastAsia="Palatino Linotype" w:hAnsi="Palatino Linotype" w:cs="Palatino Linotype"/>
          <w:color w:val="000000"/>
        </w:rPr>
        <w:t xml:space="preserve"> vía SAIMEX, la solicitud de información pública registrada con el número</w:t>
      </w:r>
      <w:r w:rsidR="003E7E9C" w:rsidRPr="00B53D45">
        <w:rPr>
          <w:rFonts w:ascii="Palatino Linotype" w:eastAsia="Palatino Linotype" w:hAnsi="Palatino Linotype" w:cs="Palatino Linotype"/>
          <w:b/>
          <w:color w:val="000000"/>
        </w:rPr>
        <w:t xml:space="preserve"> 00069</w:t>
      </w:r>
      <w:r w:rsidRPr="00B53D45">
        <w:rPr>
          <w:rFonts w:ascii="Palatino Linotype" w:eastAsia="Palatino Linotype" w:hAnsi="Palatino Linotype" w:cs="Palatino Linotype"/>
          <w:b/>
          <w:color w:val="000000"/>
        </w:rPr>
        <w:t>/</w:t>
      </w:r>
      <w:r w:rsidR="003E7E9C" w:rsidRPr="00B53D45">
        <w:rPr>
          <w:rFonts w:ascii="Palatino Linotype" w:eastAsia="Palatino Linotype" w:hAnsi="Palatino Linotype" w:cs="Palatino Linotype"/>
          <w:b/>
          <w:color w:val="000000"/>
        </w:rPr>
        <w:t>CHAPULTE</w:t>
      </w:r>
      <w:r w:rsidRPr="00B53D45">
        <w:rPr>
          <w:rFonts w:ascii="Palatino Linotype" w:eastAsia="Palatino Linotype" w:hAnsi="Palatino Linotype" w:cs="Palatino Linotype"/>
          <w:b/>
          <w:color w:val="000000"/>
        </w:rPr>
        <w:t xml:space="preserve">/IP/2025; </w:t>
      </w:r>
      <w:r w:rsidR="00B53D45">
        <w:rPr>
          <w:rFonts w:ascii="Palatino Linotype" w:eastAsia="Palatino Linotype" w:hAnsi="Palatino Linotype" w:cs="Palatino Linotype"/>
          <w:color w:val="000000"/>
        </w:rPr>
        <w:t>en la que</w:t>
      </w:r>
      <w:r w:rsidRPr="00B53D45">
        <w:rPr>
          <w:rFonts w:ascii="Palatino Linotype" w:eastAsia="Palatino Linotype" w:hAnsi="Palatino Linotype" w:cs="Palatino Linotype"/>
          <w:color w:val="000000"/>
        </w:rPr>
        <w:t xml:space="preserve"> se solicitó la siguiente información:</w:t>
      </w:r>
    </w:p>
    <w:p w14:paraId="1F18B5A3" w14:textId="77777777" w:rsidR="00D86E74" w:rsidRPr="00B53D45" w:rsidRDefault="00D86E74" w:rsidP="00E179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11FCE0F2" w14:textId="219CBDF9" w:rsidR="00D86E74" w:rsidRPr="00B53D45" w:rsidRDefault="00B05C77" w:rsidP="007B6A50">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B53D45">
        <w:rPr>
          <w:rFonts w:ascii="Palatino Linotype" w:eastAsia="Palatino Linotype" w:hAnsi="Palatino Linotype" w:cs="Palatino Linotype"/>
          <w:i/>
          <w:color w:val="000000"/>
        </w:rPr>
        <w:t>“</w:t>
      </w:r>
      <w:r w:rsidR="003E7E9C" w:rsidRPr="00B53D45">
        <w:rPr>
          <w:rFonts w:ascii="Palatino Linotype" w:eastAsia="Palatino Linotype" w:hAnsi="Palatino Linotype" w:cs="Palatino Linotype"/>
          <w:i/>
          <w:color w:val="000000"/>
        </w:rPr>
        <w:t>Manuales o lineamientos de operación vigentes de la Dirección de Seguridad Pública. Reportes mensuales, de evaluación del desempeño de la corporación de seguridad publica.</w:t>
      </w:r>
      <w:r w:rsidR="007B3645" w:rsidRPr="00B53D45">
        <w:rPr>
          <w:rFonts w:ascii="Palatino Linotype" w:eastAsia="Palatino Linotype" w:hAnsi="Palatino Linotype" w:cs="Palatino Linotype"/>
          <w:i/>
          <w:color w:val="000000"/>
        </w:rPr>
        <w:t>"</w:t>
      </w:r>
      <w:r w:rsidRPr="00B53D45">
        <w:rPr>
          <w:rFonts w:ascii="Palatino Linotype" w:eastAsia="Palatino Linotype" w:hAnsi="Palatino Linotype" w:cs="Palatino Linotype"/>
          <w:i/>
          <w:color w:val="000000"/>
        </w:rPr>
        <w:t xml:space="preserve"> (Sic)</w:t>
      </w:r>
    </w:p>
    <w:p w14:paraId="2D4E5644" w14:textId="77777777" w:rsidR="00D86E74" w:rsidRDefault="00D86E74" w:rsidP="00E179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1E22EBEE" w14:textId="77777777" w:rsidR="00B53D45" w:rsidRPr="00B53D45" w:rsidRDefault="00B53D45" w:rsidP="00E179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31504AF1" w14:textId="4BD65588" w:rsidR="00D86E74" w:rsidRPr="00B53D45" w:rsidRDefault="00B05C77" w:rsidP="00E1797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t>Se eligió como modalidad de entrega de la información</w:t>
      </w:r>
      <w:r w:rsidR="003E7E9C" w:rsidRPr="00B53D45">
        <w:rPr>
          <w:rFonts w:ascii="Palatino Linotype" w:eastAsia="Palatino Linotype" w:hAnsi="Palatino Linotype" w:cs="Palatino Linotype"/>
          <w:color w:val="000000"/>
        </w:rPr>
        <w:t xml:space="preserve"> vía SAIMEX</w:t>
      </w:r>
    </w:p>
    <w:p w14:paraId="7057CA07" w14:textId="77777777" w:rsidR="00D86E74" w:rsidRPr="00B53D45" w:rsidRDefault="00D86E74" w:rsidP="00E1797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72EE5D82" w14:textId="362DB2B5" w:rsidR="00D86E74" w:rsidRPr="00B53D45" w:rsidRDefault="00B05C77" w:rsidP="00E1797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t xml:space="preserve">El </w:t>
      </w:r>
      <w:r w:rsidR="003E7E9C" w:rsidRPr="00B53D45">
        <w:rPr>
          <w:rFonts w:ascii="Palatino Linotype" w:eastAsia="Palatino Linotype" w:hAnsi="Palatino Linotype" w:cs="Palatino Linotype"/>
          <w:b/>
          <w:color w:val="000000"/>
        </w:rPr>
        <w:t xml:space="preserve">catorce de julio </w:t>
      </w:r>
      <w:r w:rsidRPr="00B53D45">
        <w:rPr>
          <w:rFonts w:ascii="Palatino Linotype" w:eastAsia="Palatino Linotype" w:hAnsi="Palatino Linotype" w:cs="Palatino Linotype"/>
          <w:b/>
          <w:color w:val="000000"/>
        </w:rPr>
        <w:t>de dos mil veinticinco</w:t>
      </w:r>
      <w:r w:rsidRPr="00B53D45">
        <w:rPr>
          <w:rFonts w:ascii="Palatino Linotype" w:eastAsia="Palatino Linotype" w:hAnsi="Palatino Linotype" w:cs="Palatino Linotype"/>
          <w:color w:val="000000"/>
        </w:rPr>
        <w:t xml:space="preserve">, el </w:t>
      </w:r>
      <w:r w:rsidRPr="00B53D45">
        <w:rPr>
          <w:rFonts w:ascii="Palatino Linotype" w:eastAsia="Palatino Linotype" w:hAnsi="Palatino Linotype" w:cs="Palatino Linotype"/>
          <w:b/>
          <w:color w:val="000000"/>
        </w:rPr>
        <w:t>SUJETO OBLIGADO,</w:t>
      </w:r>
      <w:r w:rsidRPr="00B53D45">
        <w:rPr>
          <w:rFonts w:ascii="Palatino Linotype" w:eastAsia="Palatino Linotype" w:hAnsi="Palatino Linotype" w:cs="Palatino Linotype"/>
          <w:color w:val="000000"/>
        </w:rPr>
        <w:t xml:space="preserve"> </w:t>
      </w:r>
      <w:r w:rsidRPr="00B53D45">
        <w:rPr>
          <w:rFonts w:ascii="Palatino Linotype" w:eastAsia="Palatino Linotype" w:hAnsi="Palatino Linotype" w:cs="Palatino Linotype"/>
        </w:rPr>
        <w:t xml:space="preserve">dio respuesta a la solicitud de información </w:t>
      </w:r>
      <w:r w:rsidRPr="00B53D45">
        <w:rPr>
          <w:rFonts w:ascii="Palatino Linotype" w:eastAsia="Palatino Linotype" w:hAnsi="Palatino Linotype" w:cs="Palatino Linotype"/>
          <w:color w:val="000000"/>
        </w:rPr>
        <w:t>en el tenor siguiente:</w:t>
      </w:r>
    </w:p>
    <w:p w14:paraId="3D8644E1" w14:textId="77777777" w:rsidR="00D86E74" w:rsidRPr="00B53D45" w:rsidRDefault="00D86E74" w:rsidP="00E1797B">
      <w:pPr>
        <w:pBdr>
          <w:top w:val="nil"/>
          <w:left w:val="nil"/>
          <w:bottom w:val="nil"/>
          <w:right w:val="nil"/>
          <w:between w:val="nil"/>
        </w:pBdr>
        <w:tabs>
          <w:tab w:val="left" w:pos="1985"/>
        </w:tabs>
        <w:spacing w:line="360" w:lineRule="auto"/>
        <w:ind w:left="567"/>
        <w:jc w:val="both"/>
        <w:rPr>
          <w:rFonts w:ascii="Palatino Linotype" w:eastAsia="Palatino Linotype" w:hAnsi="Palatino Linotype" w:cs="Palatino Linotype"/>
          <w:i/>
          <w:color w:val="000000"/>
        </w:rPr>
      </w:pPr>
    </w:p>
    <w:p w14:paraId="630D40EE" w14:textId="01D52351" w:rsidR="00D86E74" w:rsidRPr="00B53D45" w:rsidRDefault="00B05C77" w:rsidP="00E1797B">
      <w:pPr>
        <w:pBdr>
          <w:top w:val="nil"/>
          <w:left w:val="nil"/>
          <w:bottom w:val="nil"/>
          <w:right w:val="nil"/>
          <w:between w:val="nil"/>
        </w:pBdr>
        <w:tabs>
          <w:tab w:val="left" w:pos="1985"/>
        </w:tabs>
        <w:spacing w:line="360" w:lineRule="auto"/>
        <w:ind w:left="567" w:right="567"/>
        <w:jc w:val="both"/>
        <w:rPr>
          <w:rFonts w:ascii="Palatino Linotype" w:eastAsia="Palatino Linotype" w:hAnsi="Palatino Linotype" w:cs="Palatino Linotype"/>
          <w:i/>
          <w:color w:val="000000"/>
        </w:rPr>
      </w:pPr>
      <w:r w:rsidRPr="00B53D45">
        <w:rPr>
          <w:rFonts w:ascii="Palatino Linotype" w:eastAsia="Palatino Linotype" w:hAnsi="Palatino Linotype" w:cs="Palatino Linotype"/>
          <w:i/>
          <w:color w:val="000000"/>
        </w:rPr>
        <w:lastRenderedPageBreak/>
        <w:t>“</w:t>
      </w:r>
      <w:r w:rsidR="003E7E9C" w:rsidRPr="00B53D45">
        <w:rPr>
          <w:rFonts w:ascii="Palatino Linotype" w:eastAsia="Palatino Linotype" w:hAnsi="Palatino Linotype" w:cs="Palatino Linotype"/>
          <w:i/>
          <w:color w:val="000000"/>
        </w:rPr>
        <w:t>Adjunto archivos de respuesta</w:t>
      </w:r>
      <w:r w:rsidR="00DF7E6F" w:rsidRPr="00B53D45">
        <w:rPr>
          <w:rFonts w:ascii="Palatino Linotype" w:eastAsia="Palatino Linotype" w:hAnsi="Palatino Linotype" w:cs="Palatino Linotype"/>
          <w:i/>
          <w:color w:val="000000"/>
        </w:rPr>
        <w:t>.</w:t>
      </w:r>
      <w:r w:rsidRPr="00B53D45">
        <w:rPr>
          <w:rFonts w:ascii="Palatino Linotype" w:eastAsia="Palatino Linotype" w:hAnsi="Palatino Linotype" w:cs="Palatino Linotype"/>
          <w:i/>
          <w:color w:val="000000"/>
        </w:rPr>
        <w:t>” (Sic)</w:t>
      </w:r>
    </w:p>
    <w:p w14:paraId="0E80D876" w14:textId="77777777" w:rsidR="00D86E74" w:rsidRPr="00B53D45" w:rsidRDefault="00D86E74" w:rsidP="00E1797B">
      <w:pPr>
        <w:pBdr>
          <w:top w:val="nil"/>
          <w:left w:val="nil"/>
          <w:bottom w:val="nil"/>
          <w:right w:val="nil"/>
          <w:between w:val="nil"/>
        </w:pBdr>
        <w:tabs>
          <w:tab w:val="left" w:pos="0"/>
          <w:tab w:val="left" w:pos="8222"/>
        </w:tabs>
        <w:spacing w:line="360" w:lineRule="auto"/>
        <w:ind w:left="567"/>
        <w:jc w:val="both"/>
        <w:rPr>
          <w:rFonts w:ascii="Palatino Linotype" w:eastAsia="Palatino Linotype" w:hAnsi="Palatino Linotype" w:cs="Palatino Linotype"/>
          <w:i/>
        </w:rPr>
      </w:pPr>
    </w:p>
    <w:p w14:paraId="7FFCCCDA" w14:textId="77777777" w:rsidR="00D86E74" w:rsidRPr="00B53D45" w:rsidRDefault="00B05C77" w:rsidP="00E1797B">
      <w:pPr>
        <w:pBdr>
          <w:top w:val="nil"/>
          <w:left w:val="nil"/>
          <w:bottom w:val="nil"/>
          <w:right w:val="nil"/>
          <w:between w:val="nil"/>
        </w:pBdr>
        <w:tabs>
          <w:tab w:val="left" w:pos="0"/>
          <w:tab w:val="left" w:pos="8222"/>
        </w:tabs>
        <w:spacing w:line="360" w:lineRule="auto"/>
        <w:jc w:val="both"/>
        <w:rPr>
          <w:rFonts w:ascii="Palatino Linotype" w:eastAsia="Palatino Linotype" w:hAnsi="Palatino Linotype" w:cs="Palatino Linotype"/>
          <w:b/>
        </w:rPr>
      </w:pPr>
      <w:r w:rsidRPr="00B53D45">
        <w:rPr>
          <w:rFonts w:ascii="Palatino Linotype" w:eastAsia="Palatino Linotype" w:hAnsi="Palatino Linotype" w:cs="Palatino Linotype"/>
          <w:b/>
        </w:rPr>
        <w:t>Archivos electrónicos adjuntos:</w:t>
      </w:r>
    </w:p>
    <w:p w14:paraId="2AA9C13E" w14:textId="2CE7F208" w:rsidR="003E7E9C" w:rsidRPr="00B53D45" w:rsidRDefault="003E7E9C" w:rsidP="003E7E9C">
      <w:pPr>
        <w:pStyle w:val="Prrafodelista"/>
        <w:numPr>
          <w:ilvl w:val="0"/>
          <w:numId w:val="31"/>
        </w:numPr>
        <w:spacing w:line="360" w:lineRule="auto"/>
        <w:ind w:right="567"/>
        <w:jc w:val="both"/>
        <w:rPr>
          <w:rFonts w:ascii="Palatino Linotype" w:hAnsi="Palatino Linotype"/>
        </w:rPr>
      </w:pPr>
      <w:r w:rsidRPr="00B53D45">
        <w:rPr>
          <w:rFonts w:ascii="Palatino Linotype" w:hAnsi="Palatino Linotype"/>
          <w:b/>
        </w:rPr>
        <w:t>prueba de daño 69 SPM.pdf</w:t>
      </w:r>
      <w:r w:rsidR="00DF7E6F" w:rsidRPr="00B53D45">
        <w:rPr>
          <w:rFonts w:ascii="Palatino Linotype" w:hAnsi="Palatino Linotype"/>
          <w:b/>
        </w:rPr>
        <w:t xml:space="preserve">: </w:t>
      </w:r>
      <w:r w:rsidRPr="00B53D45">
        <w:rPr>
          <w:rFonts w:ascii="Palatino Linotype" w:hAnsi="Palatino Linotype"/>
        </w:rPr>
        <w:t xml:space="preserve">Oficio CHA/DSPM/179/2025 de fecha uno de julio de dos mil veinticinco, suscrito por el Director de Seguridad Pública Municipal, mediante el cual </w:t>
      </w:r>
      <w:r w:rsidR="00E24444" w:rsidRPr="00B53D45">
        <w:rPr>
          <w:rFonts w:ascii="Palatino Linotype" w:hAnsi="Palatino Linotype"/>
        </w:rPr>
        <w:t xml:space="preserve">refiere que derivado de que lo solicitado por el particular versa sobre el contenido de los procedimientos de actuación de los elementos de la Dirección de Seguridad Pública Municipal, las actividades realizadas dentro de la Dirección de Seguridad Pública Municipal, los operativos realizados en el municipio y sus alrededores, el despliegue de elementos para la implementación de operativos, conjuntos especiales, durante las jornadas laborales diurnas y nocturnas, en coordinación con las autoridades intermunicipales, estatales y federales; por lo cual somete a consideración del Comité de Transparencia la reserva de dicha información, en virtud de que </w:t>
      </w:r>
      <w:r w:rsidR="00F270C9" w:rsidRPr="00B53D45">
        <w:rPr>
          <w:rFonts w:ascii="Palatino Linotype" w:hAnsi="Palatino Linotype"/>
        </w:rPr>
        <w:t>hacerse pública dicha información podría ocasionar un perjuicio real y directo, ya que si bien la información solicitada no involucra datos personales, estos contienen un nivel de detalle que permite conocer los patrones de los operativos implementados y desplegados en esa municipalidad, dando a conocer las rutas, los horarios, el número de elementos de la Dirección de Seguridad Pública Munic</w:t>
      </w:r>
      <w:r w:rsidR="00B20A77" w:rsidRPr="00B53D45">
        <w:rPr>
          <w:rFonts w:ascii="Palatino Linotype" w:hAnsi="Palatino Linotype"/>
        </w:rPr>
        <w:t xml:space="preserve">ipal, su difusión comprometería la integridad del estado de fuerza, las estrategias de prevención, reacción y disuasión del delito, exponiendo vulnerabilidades que podrían ser aprovechadas </w:t>
      </w:r>
      <w:r w:rsidR="002D2319" w:rsidRPr="00B53D45">
        <w:rPr>
          <w:rFonts w:ascii="Palatino Linotype" w:hAnsi="Palatino Linotype"/>
        </w:rPr>
        <w:t xml:space="preserve">para afectar el orden público, por lo cual se presenta y aplica una Prueba </w:t>
      </w:r>
      <w:r w:rsidR="002D2319" w:rsidRPr="00B53D45">
        <w:rPr>
          <w:rFonts w:ascii="Palatino Linotype" w:hAnsi="Palatino Linotype"/>
        </w:rPr>
        <w:lastRenderedPageBreak/>
        <w:t xml:space="preserve">de Daño, por lo que esa Dirección  sostiene que la información debería considerarse como información reservada. </w:t>
      </w:r>
    </w:p>
    <w:p w14:paraId="0D7FBBBF" w14:textId="3965E35A" w:rsidR="003E7E9C" w:rsidRPr="00B53D45" w:rsidRDefault="003E7E9C" w:rsidP="003E7E9C">
      <w:pPr>
        <w:pStyle w:val="Prrafodelista"/>
        <w:numPr>
          <w:ilvl w:val="0"/>
          <w:numId w:val="31"/>
        </w:numPr>
        <w:spacing w:line="360" w:lineRule="auto"/>
        <w:ind w:right="567"/>
        <w:jc w:val="both"/>
        <w:rPr>
          <w:rFonts w:ascii="Palatino Linotype" w:hAnsi="Palatino Linotype"/>
          <w:b/>
        </w:rPr>
      </w:pPr>
      <w:r w:rsidRPr="00B53D45">
        <w:rPr>
          <w:rFonts w:ascii="Palatino Linotype" w:hAnsi="Palatino Linotype"/>
          <w:b/>
        </w:rPr>
        <w:t>cuadroreserva69_SPM00130620250714204836.pdf:</w:t>
      </w:r>
      <w:r w:rsidR="002D2319" w:rsidRPr="00B53D45">
        <w:rPr>
          <w:rFonts w:ascii="Palatino Linotype" w:hAnsi="Palatino Linotype"/>
          <w:b/>
        </w:rPr>
        <w:t xml:space="preserve"> </w:t>
      </w:r>
      <w:r w:rsidR="002D2319" w:rsidRPr="00B53D45">
        <w:rPr>
          <w:rFonts w:ascii="Palatino Linotype" w:hAnsi="Palatino Linotype"/>
        </w:rPr>
        <w:t>Cuadro de Clasificación de la Información de fecha tres de julio de dos mil veinticinco, mediante el cual se pretenden reservar los Manuales o Lineamientos de Operación vigentes a la fecha de la solicitud de la Dirección de Seguridad Pública, por un periodo de dos años cinco meses.</w:t>
      </w:r>
      <w:r w:rsidR="002D2319" w:rsidRPr="00B53D45">
        <w:rPr>
          <w:rFonts w:ascii="Palatino Linotype" w:hAnsi="Palatino Linotype"/>
          <w:b/>
        </w:rPr>
        <w:t xml:space="preserve"> </w:t>
      </w:r>
    </w:p>
    <w:p w14:paraId="78523798" w14:textId="30839871" w:rsidR="003E7E9C" w:rsidRPr="00B53D45" w:rsidRDefault="003E7E9C" w:rsidP="003E7E9C">
      <w:pPr>
        <w:pStyle w:val="Prrafodelista"/>
        <w:numPr>
          <w:ilvl w:val="0"/>
          <w:numId w:val="31"/>
        </w:numPr>
        <w:spacing w:line="360" w:lineRule="auto"/>
        <w:ind w:right="567"/>
        <w:jc w:val="both"/>
        <w:rPr>
          <w:rFonts w:ascii="Palatino Linotype" w:hAnsi="Palatino Linotype"/>
        </w:rPr>
      </w:pPr>
      <w:r w:rsidRPr="00B53D45">
        <w:rPr>
          <w:rFonts w:ascii="Palatino Linotype" w:hAnsi="Palatino Linotype"/>
          <w:b/>
        </w:rPr>
        <w:t xml:space="preserve">oficio69_SPM00130720250714204913.pdf: </w:t>
      </w:r>
      <w:r w:rsidR="002D2319" w:rsidRPr="00B53D45">
        <w:rPr>
          <w:rFonts w:ascii="Palatino Linotype" w:hAnsi="Palatino Linotype"/>
        </w:rPr>
        <w:t xml:space="preserve">Oficio CHA/DSPM/180/2025 de fecha uno de julio de dos mil veinticinco, suscrito por el Director de Seguridad Pública Municipal, a través del cual informa que respecto a los Reportes Mensuales de Evaluaciones del Desempeño de la Corporación de Seguridad Pública, hace del conocimiento que no existe fuente legal, ni obligacional </w:t>
      </w:r>
      <w:r w:rsidR="006D14F0" w:rsidRPr="00B53D45">
        <w:rPr>
          <w:rFonts w:ascii="Palatino Linotype" w:hAnsi="Palatino Linotype"/>
        </w:rPr>
        <w:t>de acuerdo al artículo 22 d</w:t>
      </w:r>
      <w:r w:rsidR="00842746" w:rsidRPr="00B53D45">
        <w:rPr>
          <w:rFonts w:ascii="Palatino Linotype" w:hAnsi="Palatino Linotype"/>
        </w:rPr>
        <w:t>e</w:t>
      </w:r>
      <w:r w:rsidR="006D14F0" w:rsidRPr="00B53D45">
        <w:rPr>
          <w:rFonts w:ascii="Palatino Linotype" w:hAnsi="Palatino Linotype"/>
        </w:rPr>
        <w:t xml:space="preserve"> </w:t>
      </w:r>
      <w:r w:rsidR="00842746" w:rsidRPr="00B53D45">
        <w:rPr>
          <w:rFonts w:ascii="Palatino Linotype" w:hAnsi="Palatino Linotype"/>
        </w:rPr>
        <w:t>la Ley de Seguridad del Estado de México, que imponga la obligación a esa Dirección de generar o entregar Reportes Mensuales de Evaluaciones del Desempeño de la Corporación de Seguridad Pública.</w:t>
      </w:r>
    </w:p>
    <w:p w14:paraId="40CAB206" w14:textId="081A7158" w:rsidR="003E7E9C" w:rsidRPr="00B53D45" w:rsidRDefault="003E7E9C" w:rsidP="003E7E9C">
      <w:pPr>
        <w:pStyle w:val="Prrafodelista"/>
        <w:numPr>
          <w:ilvl w:val="0"/>
          <w:numId w:val="31"/>
        </w:numPr>
        <w:spacing w:line="360" w:lineRule="auto"/>
        <w:ind w:right="567"/>
        <w:jc w:val="both"/>
        <w:rPr>
          <w:rFonts w:ascii="Palatino Linotype" w:hAnsi="Palatino Linotype"/>
        </w:rPr>
      </w:pPr>
      <w:r w:rsidRPr="00B53D45">
        <w:rPr>
          <w:rFonts w:ascii="Palatino Linotype" w:hAnsi="Palatino Linotype"/>
          <w:b/>
        </w:rPr>
        <w:t>0069_CHAPULTE_IP_2025 respuesta.pdf:</w:t>
      </w:r>
      <w:r w:rsidR="00842746" w:rsidRPr="00B53D45">
        <w:rPr>
          <w:rFonts w:ascii="Palatino Linotype" w:hAnsi="Palatino Linotype"/>
          <w:b/>
        </w:rPr>
        <w:t xml:space="preserve"> </w:t>
      </w:r>
      <w:r w:rsidR="00842746" w:rsidRPr="00B53D45">
        <w:rPr>
          <w:rFonts w:ascii="Palatino Linotype" w:hAnsi="Palatino Linotype"/>
        </w:rPr>
        <w:t xml:space="preserve">Oficio de fecha catorce de junio de dos mil veinticinco, suscrito por la Titular de la Unidad de Transparencia, a través del cual informa que del análisis realizado a la solicitud de información y con base a las disposiciones legales aplicables remite, la Prueba de Daño correspondiente, el Cuadro de Calificación de la información como reservada y el Acta de la Sesión de Comité de Transparencia donde se aprueba la Clasificación de la información de referencia. </w:t>
      </w:r>
    </w:p>
    <w:p w14:paraId="2063BC67" w14:textId="4B10C121" w:rsidR="003E7E9C" w:rsidRPr="00B53D45" w:rsidRDefault="003E7E9C" w:rsidP="003E7E9C">
      <w:pPr>
        <w:pStyle w:val="Prrafodelista"/>
        <w:numPr>
          <w:ilvl w:val="0"/>
          <w:numId w:val="31"/>
        </w:numPr>
        <w:spacing w:line="360" w:lineRule="auto"/>
        <w:ind w:right="567"/>
        <w:jc w:val="both"/>
        <w:rPr>
          <w:rFonts w:ascii="Palatino Linotype" w:hAnsi="Palatino Linotype"/>
        </w:rPr>
      </w:pPr>
      <w:r w:rsidRPr="00B53D45">
        <w:rPr>
          <w:rFonts w:ascii="Palatino Linotype" w:hAnsi="Palatino Linotype"/>
          <w:b/>
        </w:rPr>
        <w:lastRenderedPageBreak/>
        <w:t xml:space="preserve">cuartasesionextraCM_6900130520250714204740.pdf: </w:t>
      </w:r>
      <w:r w:rsidR="00842746" w:rsidRPr="00B53D45">
        <w:rPr>
          <w:rFonts w:ascii="Palatino Linotype" w:hAnsi="Palatino Linotype"/>
        </w:rPr>
        <w:t>Acta de la Cuarta Sesión Extraordinaria del Comité de Transparencia de Chapultepec 2025-2027, de fecha tres de julio de dos mil veinticinco, mediante el cual se analiza, discute y aprueba la reserva de la información en relación a la solicitud 00069/CHAPULTE/IP/2025.</w:t>
      </w:r>
    </w:p>
    <w:p w14:paraId="6ED62E47" w14:textId="77777777" w:rsidR="00B93ACB" w:rsidRPr="00B53D45" w:rsidRDefault="00B93ACB" w:rsidP="00E1797B">
      <w:pPr>
        <w:spacing w:line="360" w:lineRule="auto"/>
        <w:rPr>
          <w:rFonts w:ascii="Palatino Linotype" w:eastAsia="Palatino Linotype" w:hAnsi="Palatino Linotype" w:cs="Palatino Linotype"/>
        </w:rPr>
      </w:pPr>
    </w:p>
    <w:p w14:paraId="29BA4278" w14:textId="793E734A" w:rsidR="00D86E74" w:rsidRPr="00B53D45" w:rsidRDefault="00B05C77" w:rsidP="00E1797B">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t xml:space="preserve">El </w:t>
      </w:r>
      <w:r w:rsidR="00842746" w:rsidRPr="00B53D45">
        <w:rPr>
          <w:rFonts w:ascii="Palatino Linotype" w:eastAsia="Palatino Linotype" w:hAnsi="Palatino Linotype" w:cs="Palatino Linotype"/>
          <w:b/>
          <w:color w:val="000000"/>
        </w:rPr>
        <w:t xml:space="preserve">dieciséis de julio </w:t>
      </w:r>
      <w:r w:rsidRPr="00B53D45">
        <w:rPr>
          <w:rFonts w:ascii="Palatino Linotype" w:eastAsia="Palatino Linotype" w:hAnsi="Palatino Linotype" w:cs="Palatino Linotype"/>
          <w:b/>
          <w:color w:val="000000"/>
        </w:rPr>
        <w:t>de dos mil veinticinco</w:t>
      </w:r>
      <w:r w:rsidRPr="00B53D45">
        <w:rPr>
          <w:rFonts w:ascii="Palatino Linotype" w:eastAsia="Palatino Linotype" w:hAnsi="Palatino Linotype" w:cs="Palatino Linotype"/>
          <w:color w:val="000000"/>
        </w:rPr>
        <w:t xml:space="preserve">, la parte </w:t>
      </w:r>
      <w:r w:rsidRPr="00B53D45">
        <w:rPr>
          <w:rFonts w:ascii="Palatino Linotype" w:eastAsia="Palatino Linotype" w:hAnsi="Palatino Linotype" w:cs="Palatino Linotype"/>
          <w:b/>
          <w:color w:val="000000"/>
        </w:rPr>
        <w:t>RECURRENTE</w:t>
      </w:r>
      <w:r w:rsidRPr="00B53D45">
        <w:rPr>
          <w:rFonts w:ascii="Palatino Linotype" w:eastAsia="Palatino Linotype" w:hAnsi="Palatino Linotype" w:cs="Palatino Linotype"/>
          <w:color w:val="000000"/>
        </w:rPr>
        <w:t xml:space="preserve"> interpuso el recurso de revisión en contra de la respuesta, manifestando las siguientes razones o motivos de inconformidad:</w:t>
      </w:r>
    </w:p>
    <w:p w14:paraId="6994C5FD" w14:textId="77777777" w:rsidR="00D86E74" w:rsidRPr="00B53D45" w:rsidRDefault="00D86E74" w:rsidP="00E1797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0B7C774B" w14:textId="29DB14FE" w:rsidR="007B3645" w:rsidRPr="00B53D45" w:rsidRDefault="00B53D45" w:rsidP="00B53D45">
      <w:pPr>
        <w:pStyle w:val="Prrafodelista"/>
        <w:numPr>
          <w:ilvl w:val="0"/>
          <w:numId w:val="35"/>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bookmarkStart w:id="4" w:name="_heading=h.1fob9te" w:colFirst="0" w:colLast="0"/>
      <w:bookmarkEnd w:id="4"/>
      <w:r w:rsidRPr="00B53D45">
        <w:rPr>
          <w:rFonts w:ascii="Palatino Linotype" w:eastAsia="Palatino Linotype" w:hAnsi="Palatino Linotype" w:cs="Palatino Linotype"/>
          <w:b/>
          <w:color w:val="000000"/>
        </w:rPr>
        <w:t>ACTO IMPUGNADO</w:t>
      </w:r>
      <w:r w:rsidRPr="00B53D45">
        <w:rPr>
          <w:rFonts w:ascii="Palatino Linotype" w:eastAsia="Palatino Linotype" w:hAnsi="Palatino Linotype" w:cs="Palatino Linotype"/>
          <w:color w:val="000000"/>
        </w:rPr>
        <w:t>:</w:t>
      </w:r>
      <w:r w:rsidRPr="00B53D45">
        <w:rPr>
          <w:rFonts w:ascii="Palatino Linotype" w:eastAsia="Palatino Linotype" w:hAnsi="Palatino Linotype" w:cs="Palatino Linotype"/>
          <w:i/>
          <w:color w:val="000000"/>
        </w:rPr>
        <w:t xml:space="preserve"> </w:t>
      </w:r>
    </w:p>
    <w:p w14:paraId="35118738" w14:textId="546694CA" w:rsidR="00D86E74" w:rsidRPr="00B53D45" w:rsidRDefault="00B93ACB" w:rsidP="00B53D45">
      <w:pPr>
        <w:pBdr>
          <w:top w:val="nil"/>
          <w:left w:val="nil"/>
          <w:bottom w:val="nil"/>
          <w:right w:val="nil"/>
          <w:between w:val="nil"/>
        </w:pBdr>
        <w:ind w:right="567" w:firstLine="360"/>
        <w:jc w:val="both"/>
        <w:rPr>
          <w:rFonts w:ascii="Palatino Linotype" w:hAnsi="Palatino Linotype"/>
          <w:i/>
          <w:color w:val="000000"/>
        </w:rPr>
      </w:pPr>
      <w:r w:rsidRPr="00B53D45">
        <w:rPr>
          <w:rFonts w:ascii="Palatino Linotype" w:hAnsi="Palatino Linotype"/>
          <w:i/>
          <w:color w:val="000000"/>
        </w:rPr>
        <w:t>“</w:t>
      </w:r>
      <w:r w:rsidR="00842746" w:rsidRPr="00B53D45">
        <w:rPr>
          <w:rFonts w:ascii="Palatino Linotype" w:hAnsi="Palatino Linotype"/>
          <w:i/>
          <w:color w:val="000000"/>
        </w:rPr>
        <w:t>Solicitud 069</w:t>
      </w:r>
      <w:r w:rsidR="00B05C77" w:rsidRPr="00B53D45">
        <w:rPr>
          <w:rFonts w:ascii="Palatino Linotype" w:hAnsi="Palatino Linotype"/>
          <w:i/>
          <w:color w:val="000000"/>
        </w:rPr>
        <w:t>” (Sic.)</w:t>
      </w:r>
    </w:p>
    <w:p w14:paraId="7C7D50D2" w14:textId="77777777" w:rsidR="00D86E74" w:rsidRPr="00B53D45" w:rsidRDefault="00D86E74" w:rsidP="00B53D45">
      <w:pPr>
        <w:pBdr>
          <w:top w:val="nil"/>
          <w:left w:val="nil"/>
          <w:bottom w:val="nil"/>
          <w:right w:val="nil"/>
          <w:between w:val="nil"/>
        </w:pBdr>
        <w:ind w:right="567"/>
        <w:jc w:val="both"/>
        <w:rPr>
          <w:rFonts w:ascii="Palatino Linotype" w:eastAsia="Palatino Linotype" w:hAnsi="Palatino Linotype" w:cs="Palatino Linotype"/>
          <w:b/>
          <w:i/>
          <w:color w:val="000000"/>
        </w:rPr>
      </w:pPr>
    </w:p>
    <w:p w14:paraId="6E92948D" w14:textId="4A629314" w:rsidR="007B3645" w:rsidRPr="00B53D45" w:rsidRDefault="00B53D45" w:rsidP="00B53D45">
      <w:pPr>
        <w:pStyle w:val="Prrafodelista"/>
        <w:numPr>
          <w:ilvl w:val="0"/>
          <w:numId w:val="35"/>
        </w:numPr>
        <w:ind w:right="567"/>
        <w:jc w:val="both"/>
        <w:rPr>
          <w:rFonts w:ascii="Palatino Linotype" w:eastAsia="Palatino Linotype" w:hAnsi="Palatino Linotype" w:cs="Palatino Linotype"/>
          <w:b/>
          <w:color w:val="000000"/>
        </w:rPr>
      </w:pPr>
      <w:bookmarkStart w:id="5" w:name="_heading=h.3znysh7" w:colFirst="0" w:colLast="0"/>
      <w:bookmarkEnd w:id="5"/>
      <w:r w:rsidRPr="00B53D45">
        <w:rPr>
          <w:rFonts w:ascii="Palatino Linotype" w:eastAsia="Palatino Linotype" w:hAnsi="Palatino Linotype" w:cs="Palatino Linotype"/>
          <w:b/>
          <w:color w:val="000000"/>
        </w:rPr>
        <w:t>RAZONES O MOTIVOS DE INCONFORMIDAD:</w:t>
      </w:r>
    </w:p>
    <w:p w14:paraId="7BF15646" w14:textId="12410DE5" w:rsidR="00D86E74" w:rsidRPr="00B53D45" w:rsidRDefault="00B05C77" w:rsidP="00B53D45">
      <w:pPr>
        <w:ind w:left="360" w:right="567"/>
        <w:jc w:val="both"/>
        <w:rPr>
          <w:rFonts w:ascii="Palatino Linotype" w:hAnsi="Palatino Linotype"/>
          <w:i/>
          <w:color w:val="000000"/>
        </w:rPr>
      </w:pPr>
      <w:r w:rsidRPr="00B53D45">
        <w:rPr>
          <w:rFonts w:ascii="Palatino Linotype" w:hAnsi="Palatino Linotype"/>
          <w:i/>
          <w:color w:val="000000"/>
        </w:rPr>
        <w:t>“</w:t>
      </w:r>
      <w:r w:rsidR="00842746" w:rsidRPr="00B53D45">
        <w:rPr>
          <w:rFonts w:ascii="Palatino Linotype" w:hAnsi="Palatino Linotype"/>
          <w:i/>
          <w:color w:val="000000"/>
        </w:rPr>
        <w:t xml:space="preserve">La negativa a proporcionar la información solicitada cuando no sea procedente su clasificación como reservada. En la solicitud con folio 0069/CHAPULTE/IP/2025 se requirió: Manuales o lineamientos de operación vigentes de la Dirección de Seguridad Pública. Reportes mensuales de evaluación del desempeño de la corporación de seguridad pública. El sujeto obligado no entregó ningún documento. En su lugar, notificó que la información había sido clasificada como reservada por el Comité de Transparencia, anexando: Acta de la cuarta sesión extraordinaria, Cuadro de clasificación de información, Prueba de daño. La reserva es total y genérica, sin distinguir entre apartados o contenidos susceptibles de acceso. No se realiza una valoración sobre la posibilidad de generar una versión pública, ni se individualizan los elementos supuestamente sensibles. La prueba de daño es genérica, abstracta y carente de desarrollo fáctico, lo que incumple lo dispuesto en Ley, que exigen motivación suficiente, proporcionalidad y ponderación entre el interés público y el daño invocado. La clasificación tampoco se apega al principio de máxima publicidad, ni evalúa el interés ciudadano sobre documentos que podrían contener elementos normativos, administrativos o estadísticos de relevancia. Petición: Solicito al INFOEM que: Tenga por presentado este recurso en tiempo y forma. Declare improcedente la clasificación como reservada aplicada por el Comité de Transparencia del Ayuntamiento de Chapultepec, </w:t>
      </w:r>
      <w:r w:rsidR="00842746" w:rsidRPr="00B53D45">
        <w:rPr>
          <w:rFonts w:ascii="Palatino Linotype" w:hAnsi="Palatino Linotype"/>
          <w:i/>
          <w:color w:val="000000"/>
        </w:rPr>
        <w:lastRenderedPageBreak/>
        <w:t>por falta de fundamentación y motivación suficiente. Requiera al sujeto obligado que emita una nueva respuesta fundada y motivada, en cumplimiento a la Ley. Se prevenga al sujeto obligado de aplicar clasificaciones generalizadas sin desagregación ni análisis de contenido, a fin de no obstaculizar el ejercicio del derecho de acceso a la información. Se aplique, en su caso, el principio de suplencia de la queja, en beneficio del solicitante y frente a la reserva desproporcionada.</w:t>
      </w:r>
      <w:r w:rsidR="007B3645" w:rsidRPr="00B53D45">
        <w:rPr>
          <w:rFonts w:ascii="Palatino Linotype" w:hAnsi="Palatino Linotype"/>
          <w:i/>
          <w:color w:val="000000"/>
        </w:rPr>
        <w:t xml:space="preserve">". </w:t>
      </w:r>
      <w:r w:rsidRPr="00B53D45">
        <w:rPr>
          <w:rFonts w:ascii="Palatino Linotype" w:hAnsi="Palatino Linotype"/>
          <w:i/>
          <w:color w:val="000000"/>
        </w:rPr>
        <w:t>(Sic.)</w:t>
      </w:r>
    </w:p>
    <w:p w14:paraId="7487A693" w14:textId="77777777" w:rsidR="00D86E74" w:rsidRPr="00B53D45" w:rsidRDefault="00D86E74" w:rsidP="00E1797B">
      <w:pPr>
        <w:spacing w:line="360" w:lineRule="auto"/>
        <w:jc w:val="both"/>
        <w:rPr>
          <w:rFonts w:ascii="Palatino Linotype" w:eastAsia="Palatino Linotype" w:hAnsi="Palatino Linotype" w:cs="Palatino Linotype"/>
          <w:i/>
          <w:color w:val="000000"/>
        </w:rPr>
      </w:pPr>
    </w:p>
    <w:p w14:paraId="150FEC33" w14:textId="77777777" w:rsidR="006102C3" w:rsidRPr="00B53D45" w:rsidRDefault="00B05C77" w:rsidP="006102C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w:t>
      </w:r>
      <w:r w:rsidRPr="00B53D45">
        <w:rPr>
          <w:rFonts w:ascii="Palatino Linotype" w:eastAsia="Palatino Linotype" w:hAnsi="Palatino Linotype" w:cs="Palatino Linotype"/>
        </w:rPr>
        <w:t>del</w:t>
      </w:r>
      <w:r w:rsidRPr="00B53D45">
        <w:rPr>
          <w:rFonts w:ascii="Palatino Linotype" w:eastAsia="Palatino Linotype" w:hAnsi="Palatino Linotype" w:cs="Palatino Linotype"/>
          <w:color w:val="000000"/>
        </w:rPr>
        <w:t xml:space="preserve"> </w:t>
      </w:r>
      <w:r w:rsidR="006102C3" w:rsidRPr="00B53D45">
        <w:rPr>
          <w:rFonts w:ascii="Palatino Linotype" w:eastAsia="Palatino Linotype" w:hAnsi="Palatino Linotype" w:cs="Palatino Linotype"/>
          <w:b/>
          <w:color w:val="000000"/>
        </w:rPr>
        <w:t xml:space="preserve">dieciocho de julio </w:t>
      </w:r>
      <w:r w:rsidRPr="00B53D45">
        <w:rPr>
          <w:rFonts w:ascii="Palatino Linotype" w:eastAsia="Palatino Linotype" w:hAnsi="Palatino Linotype" w:cs="Palatino Linotype"/>
          <w:b/>
          <w:color w:val="000000"/>
        </w:rPr>
        <w:t>de dos mil veinticinco</w:t>
      </w:r>
      <w:r w:rsidRPr="00B53D45">
        <w:rPr>
          <w:rFonts w:ascii="Palatino Linotype" w:eastAsia="Palatino Linotype" w:hAnsi="Palatino Linotype" w:cs="Palatino Linotype"/>
          <w:color w:val="000000"/>
        </w:rPr>
        <w:t xml:space="preserve">, puso a disposición de las partes el expediente electrónico vía </w:t>
      </w:r>
      <w:r w:rsidRPr="00B53D45">
        <w:rPr>
          <w:rFonts w:ascii="Palatino Linotype" w:eastAsia="Palatino Linotype" w:hAnsi="Palatino Linotype" w:cs="Palatino Linotype"/>
          <w:b/>
          <w:color w:val="000000"/>
        </w:rPr>
        <w:t xml:space="preserve">SAIMEX </w:t>
      </w:r>
      <w:r w:rsidRPr="00B53D45">
        <w:rPr>
          <w:rFonts w:ascii="Palatino Linotype" w:eastAsia="Palatino Linotype" w:hAnsi="Palatino Linotype" w:cs="Palatino Linotype"/>
          <w:color w:val="000000"/>
        </w:rPr>
        <w:t xml:space="preserve">a efecto de que en un plazo máximo de siete días </w:t>
      </w:r>
      <w:r w:rsidRPr="00B53D45">
        <w:rPr>
          <w:rFonts w:ascii="Palatino Linotype" w:eastAsia="Palatino Linotype" w:hAnsi="Palatino Linotype" w:cs="Palatino Linotype"/>
        </w:rPr>
        <w:t>manifestara</w:t>
      </w:r>
      <w:r w:rsidRPr="00B53D45">
        <w:rPr>
          <w:rFonts w:ascii="Palatino Linotype" w:eastAsia="Palatino Linotype" w:hAnsi="Palatino Linotype" w:cs="Palatino Linotype"/>
          <w:color w:val="000000"/>
        </w:rPr>
        <w:t xml:space="preserve"> lo que a su derecho conviniera, </w:t>
      </w:r>
      <w:r w:rsidRPr="00B53D45">
        <w:rPr>
          <w:rFonts w:ascii="Palatino Linotype" w:eastAsia="Palatino Linotype" w:hAnsi="Palatino Linotype" w:cs="Palatino Linotype"/>
        </w:rPr>
        <w:t>ofreciera</w:t>
      </w:r>
      <w:r w:rsidRPr="00B53D45">
        <w:rPr>
          <w:rFonts w:ascii="Palatino Linotype" w:eastAsia="Palatino Linotype" w:hAnsi="Palatino Linotype" w:cs="Palatino Linotype"/>
          <w:color w:val="000000"/>
        </w:rPr>
        <w:t xml:space="preserve"> pruebas y alegatos según corresponda a los casos concretos, y el </w:t>
      </w:r>
      <w:r w:rsidRPr="00B53D45">
        <w:rPr>
          <w:rFonts w:ascii="Palatino Linotype" w:eastAsia="Palatino Linotype" w:hAnsi="Palatino Linotype" w:cs="Palatino Linotype"/>
          <w:b/>
          <w:color w:val="000000"/>
        </w:rPr>
        <w:t>SUJETO OBLIGADO</w:t>
      </w:r>
      <w:r w:rsidRPr="00B53D45">
        <w:rPr>
          <w:rFonts w:ascii="Palatino Linotype" w:eastAsia="Palatino Linotype" w:hAnsi="Palatino Linotype" w:cs="Palatino Linotype"/>
          <w:color w:val="000000"/>
        </w:rPr>
        <w:t xml:space="preserve"> presentará el Informe Justificado procedente.</w:t>
      </w:r>
      <w:bookmarkStart w:id="6" w:name="_heading=h.2et92p0" w:colFirst="0" w:colLast="0"/>
      <w:bookmarkEnd w:id="6"/>
    </w:p>
    <w:p w14:paraId="57AA201A" w14:textId="77777777" w:rsidR="006102C3" w:rsidRPr="00B53D45" w:rsidRDefault="006102C3" w:rsidP="006102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1C704A5" w14:textId="1EE52431" w:rsidR="006102C3" w:rsidRPr="00B53D45" w:rsidRDefault="006102C3" w:rsidP="006102C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hAnsi="Palatino Linotype"/>
        </w:rPr>
        <w:t xml:space="preserve">De lo anterior el </w:t>
      </w:r>
      <w:r w:rsidRPr="00B53D45">
        <w:rPr>
          <w:rFonts w:ascii="Palatino Linotype" w:hAnsi="Palatino Linotype"/>
          <w:b/>
        </w:rPr>
        <w:t xml:space="preserve">SUJETO OBLIGADO y el RECURRENTE </w:t>
      </w:r>
      <w:r w:rsidRPr="00B53D45">
        <w:rPr>
          <w:rFonts w:ascii="Palatino Linotype" w:hAnsi="Palatino Linotype"/>
        </w:rPr>
        <w:t xml:space="preserve">dejaron de realizar manifestaciones que a su derecho conviniera y asistiera, respectivamente en cada uno de los recursos de revisión. </w:t>
      </w:r>
    </w:p>
    <w:p w14:paraId="03354F91" w14:textId="77777777" w:rsidR="00164A47" w:rsidRPr="00B53D45" w:rsidRDefault="00164A47" w:rsidP="00E1797B">
      <w:pPr>
        <w:pStyle w:val="Prrafodelista"/>
        <w:spacing w:line="360" w:lineRule="auto"/>
        <w:rPr>
          <w:rFonts w:ascii="Palatino Linotype" w:eastAsia="Palatino Linotype" w:hAnsi="Palatino Linotype" w:cs="Palatino Linotype"/>
          <w:b/>
          <w:color w:val="000000"/>
        </w:rPr>
      </w:pPr>
    </w:p>
    <w:p w14:paraId="2F3A3037" w14:textId="6411E85F" w:rsidR="00164A47" w:rsidRPr="00B53D45" w:rsidRDefault="00164A47" w:rsidP="00E1797B">
      <w:pPr>
        <w:numPr>
          <w:ilvl w:val="0"/>
          <w:numId w:val="1"/>
        </w:numPr>
        <w:spacing w:line="360" w:lineRule="auto"/>
        <w:contextualSpacing/>
        <w:jc w:val="both"/>
        <w:rPr>
          <w:rFonts w:ascii="Palatino Linotype" w:eastAsia="MS Mincho" w:hAnsi="Palatino Linotype"/>
          <w:i/>
          <w:color w:val="000000"/>
        </w:rPr>
      </w:pPr>
      <w:r w:rsidRPr="00B53D45">
        <w:rPr>
          <w:rFonts w:ascii="Palatino Linotype" w:hAnsi="Palatino Linotype"/>
        </w:rPr>
        <w:t xml:space="preserve">El </w:t>
      </w:r>
      <w:r w:rsidR="006102C3" w:rsidRPr="00B53D45">
        <w:rPr>
          <w:rFonts w:ascii="Palatino Linotype" w:hAnsi="Palatino Linotype"/>
          <w:b/>
        </w:rPr>
        <w:t xml:space="preserve">cinco de marzo </w:t>
      </w:r>
      <w:r w:rsidRPr="00B53D45">
        <w:rPr>
          <w:rFonts w:ascii="Palatino Linotype" w:hAnsi="Palatino Linotype"/>
          <w:b/>
        </w:rPr>
        <w:t xml:space="preserve">de dos mil </w:t>
      </w:r>
      <w:r w:rsidR="006102C3" w:rsidRPr="00B53D45">
        <w:rPr>
          <w:rFonts w:ascii="Palatino Linotype" w:hAnsi="Palatino Linotype"/>
          <w:b/>
        </w:rPr>
        <w:t>veintiséis</w:t>
      </w:r>
      <w:r w:rsidRPr="00B53D45">
        <w:rPr>
          <w:rFonts w:ascii="Palatino Linotype" w:hAnsi="Palatino Linotype"/>
        </w:rPr>
        <w:t>, se notificó el acuerdo mediante el cual se amplió el plazo para emitir resolución por un término de 15 días adicionales.</w:t>
      </w:r>
    </w:p>
    <w:p w14:paraId="66586CD8" w14:textId="77777777" w:rsidR="0051138E" w:rsidRPr="00B53D45" w:rsidRDefault="0051138E" w:rsidP="00E1797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69549A85" w14:textId="3269BDBB" w:rsidR="00D86E74" w:rsidRPr="00B53D45" w:rsidRDefault="00B05C77" w:rsidP="00E179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B53D45">
        <w:rPr>
          <w:rFonts w:ascii="Palatino Linotype" w:eastAsia="Palatino Linotype" w:hAnsi="Palatino Linotype" w:cs="Palatino Linotype"/>
          <w:color w:val="000000"/>
        </w:rPr>
        <w:t xml:space="preserve">Finalmente, mediante acuerdo </w:t>
      </w:r>
      <w:r w:rsidR="006102C3" w:rsidRPr="00B53D45">
        <w:rPr>
          <w:rFonts w:ascii="Palatino Linotype" w:eastAsia="Palatino Linotype" w:hAnsi="Palatino Linotype" w:cs="Palatino Linotype"/>
          <w:color w:val="000000"/>
        </w:rPr>
        <w:t xml:space="preserve">del </w:t>
      </w:r>
      <w:r w:rsidR="006102C3" w:rsidRPr="00B53D45">
        <w:rPr>
          <w:rFonts w:ascii="Palatino Linotype" w:hAnsi="Palatino Linotype"/>
          <w:b/>
        </w:rPr>
        <w:t>cinco de marzo de dos mil veintiséis</w:t>
      </w:r>
      <w:r w:rsidRPr="00B53D45">
        <w:rPr>
          <w:rFonts w:ascii="Palatino Linotype" w:eastAsia="Palatino Linotype" w:hAnsi="Palatino Linotype" w:cs="Palatino Linotype"/>
          <w:color w:val="000000"/>
        </w:rPr>
        <w:t>, se decretó el cierre de instrucción, por lo que no habiendo más que hacer constar, y-------</w:t>
      </w:r>
      <w:r w:rsidR="001114DB" w:rsidRPr="00B53D45">
        <w:rPr>
          <w:rFonts w:ascii="Palatino Linotype" w:eastAsia="Palatino Linotype" w:hAnsi="Palatino Linotype" w:cs="Palatino Linotype"/>
          <w:color w:val="000000"/>
        </w:rPr>
        <w:t>---</w:t>
      </w:r>
      <w:r w:rsidR="00B53D45">
        <w:rPr>
          <w:rFonts w:ascii="Palatino Linotype" w:eastAsia="Palatino Linotype" w:hAnsi="Palatino Linotype" w:cs="Palatino Linotype"/>
          <w:color w:val="000000"/>
        </w:rPr>
        <w:t>---------------</w:t>
      </w:r>
    </w:p>
    <w:p w14:paraId="31DA0F0B" w14:textId="77777777" w:rsidR="00B53D45" w:rsidRDefault="00B53D45" w:rsidP="00B53D45">
      <w:pPr>
        <w:pStyle w:val="Prrafodelista"/>
        <w:rPr>
          <w:rFonts w:ascii="Palatino Linotype" w:eastAsia="Palatino Linotype" w:hAnsi="Palatino Linotype" w:cs="Palatino Linotype"/>
          <w:b/>
          <w:color w:val="000000"/>
        </w:rPr>
      </w:pPr>
    </w:p>
    <w:p w14:paraId="1DA0834E" w14:textId="77777777" w:rsidR="00B53D45" w:rsidRPr="00B53D45" w:rsidRDefault="00B53D45" w:rsidP="00B53D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6DB8CA6A" w14:textId="77777777" w:rsidR="00D86E74" w:rsidRPr="00B53D45" w:rsidRDefault="00D86E74" w:rsidP="00E1797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653A2623" w14:textId="77777777" w:rsidR="00D86E74" w:rsidRPr="00B53D45" w:rsidRDefault="00B05C77" w:rsidP="00E1797B">
      <w:pPr>
        <w:pStyle w:val="Ttulo1"/>
        <w:tabs>
          <w:tab w:val="left" w:pos="567"/>
        </w:tabs>
        <w:spacing w:before="0" w:line="360" w:lineRule="auto"/>
        <w:jc w:val="center"/>
      </w:pPr>
      <w:bookmarkStart w:id="7" w:name="_heading=h.tyjcwt" w:colFirst="0" w:colLast="0"/>
      <w:bookmarkEnd w:id="7"/>
      <w:r w:rsidRPr="00B53D45">
        <w:lastRenderedPageBreak/>
        <w:t>C O N S I D E R A N D O</w:t>
      </w:r>
    </w:p>
    <w:p w14:paraId="02D600A2" w14:textId="77777777" w:rsidR="00D86E74" w:rsidRPr="00B53D45" w:rsidRDefault="00D86E74" w:rsidP="00E1797B">
      <w:pPr>
        <w:spacing w:line="360" w:lineRule="auto"/>
        <w:rPr>
          <w:rFonts w:ascii="Palatino Linotype" w:eastAsia="Palatino Linotype" w:hAnsi="Palatino Linotype" w:cs="Palatino Linotype"/>
        </w:rPr>
      </w:pPr>
    </w:p>
    <w:p w14:paraId="66E2FA40" w14:textId="77777777" w:rsidR="00D86E74" w:rsidRPr="00B53D45" w:rsidRDefault="00B05C77" w:rsidP="00E1797B">
      <w:pPr>
        <w:pStyle w:val="Ttulo1"/>
        <w:tabs>
          <w:tab w:val="left" w:pos="567"/>
        </w:tabs>
        <w:spacing w:before="0" w:line="360" w:lineRule="auto"/>
      </w:pPr>
      <w:bookmarkStart w:id="8" w:name="_heading=h.3dy6vkm" w:colFirst="0" w:colLast="0"/>
      <w:bookmarkEnd w:id="8"/>
      <w:r w:rsidRPr="00B53D45">
        <w:t>PRIMERO. De la competencia</w:t>
      </w:r>
    </w:p>
    <w:p w14:paraId="2B40C9F1" w14:textId="77777777" w:rsidR="00D86E74" w:rsidRPr="00B53D45" w:rsidRDefault="00164A47" w:rsidP="00E1797B">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r w:rsidRPr="00B53D45">
        <w:rPr>
          <w:rFonts w:ascii="Palatino Linotype" w:hAnsi="Palatino Linotype"/>
          <w:color w:val="000000"/>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B53D45">
        <w:rPr>
          <w:rFonts w:ascii="Palatino Linotype" w:hAnsi="Palatino Linotype"/>
          <w:b/>
          <w:bCs/>
          <w:color w:val="000000"/>
          <w:shd w:val="clear" w:color="auto" w:fill="FFFFFF"/>
        </w:rPr>
        <w:t>Constitución Política de los Estados Unidos Mexicanos</w:t>
      </w:r>
      <w:r w:rsidRPr="00B53D45">
        <w:rPr>
          <w:rFonts w:ascii="Palatino Linotype" w:hAnsi="Palatino Linotype"/>
          <w:color w:val="000000"/>
          <w:shd w:val="clear" w:color="auto" w:fill="FFFFFF"/>
        </w:rPr>
        <w:t>; 5, párrafos trigésimo segundo, trigésimo tercero y trigésimo cuarto fracciones IV y V de la </w:t>
      </w:r>
      <w:r w:rsidRPr="00B53D45">
        <w:rPr>
          <w:rFonts w:ascii="Palatino Linotype" w:hAnsi="Palatino Linotype"/>
          <w:b/>
          <w:bCs/>
          <w:color w:val="000000"/>
          <w:shd w:val="clear" w:color="auto" w:fill="FFFFFF"/>
        </w:rPr>
        <w:t>Constitución Política del Estado Libre y Soberano de México</w:t>
      </w:r>
      <w:r w:rsidRPr="00B53D45">
        <w:rPr>
          <w:rFonts w:ascii="Palatino Linotype" w:hAnsi="Palatino Linotype"/>
          <w:color w:val="000000"/>
          <w:shd w:val="clear" w:color="auto" w:fill="FFFFFF"/>
        </w:rPr>
        <w:t>; artículos 1, 2 fracción II, 13, 29, 36 fracciones I y II, 176, 178, 179, 181 párrafo tercero y 185 de la </w:t>
      </w:r>
      <w:r w:rsidRPr="00B53D45">
        <w:rPr>
          <w:rFonts w:ascii="Palatino Linotype" w:hAnsi="Palatino Linotype"/>
          <w:b/>
          <w:bCs/>
          <w:color w:val="000000"/>
          <w:shd w:val="clear" w:color="auto" w:fill="FFFFFF"/>
        </w:rPr>
        <w:t>Ley de Transparencia y Acceso a la Información Pública del Estado de México y Municipios</w:t>
      </w:r>
      <w:r w:rsidRPr="00B53D45">
        <w:rPr>
          <w:rFonts w:ascii="Palatino Linotype" w:hAnsi="Palatino Linotype"/>
          <w:color w:val="000000"/>
          <w:shd w:val="clear" w:color="auto" w:fill="FFFFFF"/>
        </w:rPr>
        <w:t>; y 7, 9 fracciones I y XXIII, y 11 del </w:t>
      </w:r>
      <w:r w:rsidRPr="00B53D45">
        <w:rPr>
          <w:rFonts w:ascii="Palatino Linotype" w:hAnsi="Palatino Linotype"/>
          <w:b/>
          <w:bCs/>
          <w:color w:val="000000"/>
          <w:shd w:val="clear" w:color="auto" w:fill="FFFFFF"/>
        </w:rPr>
        <w:t>Reglamento Interior del Instituto de Transparencia, Acceso a la Información Pública y Protección de Datos Personales del Estado de México y Municipios</w:t>
      </w:r>
      <w:r w:rsidRPr="00B53D45">
        <w:rPr>
          <w:rFonts w:ascii="Palatino Linotype" w:hAnsi="Palatino Linotype"/>
          <w:color w:val="000000"/>
          <w:shd w:val="clear" w:color="auto" w:fill="FFFFFF"/>
        </w:rPr>
        <w:t>.</w:t>
      </w:r>
    </w:p>
    <w:p w14:paraId="6F8FE755" w14:textId="77777777" w:rsidR="00D86E74" w:rsidRPr="00B53D45" w:rsidRDefault="00D86E74" w:rsidP="00E179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7EAA9E56" w14:textId="77777777" w:rsidR="00D86E74" w:rsidRPr="00B53D45" w:rsidRDefault="00B05C77" w:rsidP="00E1797B">
      <w:pPr>
        <w:pStyle w:val="Ttulo2"/>
        <w:spacing w:before="0" w:line="360" w:lineRule="auto"/>
      </w:pPr>
      <w:bookmarkStart w:id="9" w:name="_heading=h.1t3h5sf" w:colFirst="0" w:colLast="0"/>
      <w:bookmarkEnd w:id="9"/>
      <w:r w:rsidRPr="00B53D45">
        <w:t>SEGUNDO. De la oportunidad y procedencia.</w:t>
      </w:r>
    </w:p>
    <w:p w14:paraId="18D62086" w14:textId="79E57EF8" w:rsidR="00D86E74" w:rsidRPr="00B53D45" w:rsidRDefault="00B05C77" w:rsidP="00E179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t xml:space="preserve"> El medio de impugnación fue presentado a través del </w:t>
      </w:r>
      <w:r w:rsidRPr="00B53D45">
        <w:rPr>
          <w:rFonts w:ascii="Palatino Linotype" w:eastAsia="Palatino Linotype" w:hAnsi="Palatino Linotype" w:cs="Palatino Linotype"/>
          <w:b/>
          <w:color w:val="000000"/>
        </w:rPr>
        <w:t>SAIMEX,</w:t>
      </w:r>
      <w:r w:rsidRPr="00B53D45">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B53D45">
        <w:rPr>
          <w:rFonts w:ascii="Palatino Linotype" w:eastAsia="Palatino Linotype" w:hAnsi="Palatino Linotype" w:cs="Palatino Linotype"/>
          <w:b/>
          <w:color w:val="000000"/>
        </w:rPr>
        <w:t>SUJETO OBLIGADO</w:t>
      </w:r>
      <w:r w:rsidRPr="00B53D45">
        <w:rPr>
          <w:rFonts w:ascii="Palatino Linotype" w:eastAsia="Palatino Linotype" w:hAnsi="Palatino Linotype" w:cs="Palatino Linotype"/>
          <w:color w:val="000000"/>
        </w:rPr>
        <w:t xml:space="preserve"> entregó su respuesta el </w:t>
      </w:r>
      <w:r w:rsidR="006102C3" w:rsidRPr="00B53D45">
        <w:rPr>
          <w:rFonts w:ascii="Palatino Linotype" w:eastAsia="Palatino Linotype" w:hAnsi="Palatino Linotype" w:cs="Palatino Linotype"/>
          <w:b/>
          <w:color w:val="000000"/>
        </w:rPr>
        <w:t xml:space="preserve">catorce de julio </w:t>
      </w:r>
      <w:r w:rsidRPr="00B53D45">
        <w:rPr>
          <w:rFonts w:ascii="Palatino Linotype" w:eastAsia="Palatino Linotype" w:hAnsi="Palatino Linotype" w:cs="Palatino Linotype"/>
          <w:b/>
          <w:color w:val="000000"/>
        </w:rPr>
        <w:t>de dos mil veinticinco</w:t>
      </w:r>
      <w:r w:rsidRPr="00B53D45">
        <w:rPr>
          <w:rFonts w:ascii="Palatino Linotype" w:eastAsia="Palatino Linotype" w:hAnsi="Palatino Linotype" w:cs="Palatino Linotype"/>
          <w:color w:val="000000"/>
        </w:rPr>
        <w:t xml:space="preserve">, de tal forma que el plazo para interponer el recurso de revisión transcurrió del </w:t>
      </w:r>
      <w:r w:rsidR="006102C3" w:rsidRPr="00B53D45">
        <w:rPr>
          <w:rFonts w:ascii="Palatino Linotype" w:eastAsia="Palatino Linotype" w:hAnsi="Palatino Linotype" w:cs="Palatino Linotype"/>
          <w:b/>
          <w:color w:val="000000"/>
        </w:rPr>
        <w:t xml:space="preserve">quince de julio </w:t>
      </w:r>
      <w:r w:rsidRPr="00B53D45">
        <w:rPr>
          <w:rFonts w:ascii="Palatino Linotype" w:eastAsia="Palatino Linotype" w:hAnsi="Palatino Linotype" w:cs="Palatino Linotype"/>
          <w:b/>
          <w:color w:val="000000"/>
        </w:rPr>
        <w:t xml:space="preserve">al </w:t>
      </w:r>
      <w:r w:rsidR="006102C3" w:rsidRPr="00B53D45">
        <w:rPr>
          <w:rFonts w:ascii="Palatino Linotype" w:eastAsia="Palatino Linotype" w:hAnsi="Palatino Linotype" w:cs="Palatino Linotype"/>
          <w:b/>
          <w:color w:val="000000"/>
        </w:rPr>
        <w:t xml:space="preserve">dieciocho de agosto </w:t>
      </w:r>
      <w:r w:rsidRPr="00B53D45">
        <w:rPr>
          <w:rFonts w:ascii="Palatino Linotype" w:eastAsia="Palatino Linotype" w:hAnsi="Palatino Linotype" w:cs="Palatino Linotype"/>
          <w:b/>
          <w:color w:val="000000"/>
        </w:rPr>
        <w:t>de dos mil veinticinco</w:t>
      </w:r>
      <w:r w:rsidRPr="00B53D45">
        <w:rPr>
          <w:rFonts w:ascii="Palatino Linotype" w:eastAsia="Palatino Linotype" w:hAnsi="Palatino Linotype" w:cs="Palatino Linotype"/>
          <w:color w:val="000000"/>
        </w:rPr>
        <w:t xml:space="preserve">; en consecuencia, la parte </w:t>
      </w:r>
      <w:r w:rsidRPr="00B53D45">
        <w:rPr>
          <w:rFonts w:ascii="Palatino Linotype" w:eastAsia="Palatino Linotype" w:hAnsi="Palatino Linotype" w:cs="Palatino Linotype"/>
          <w:b/>
          <w:color w:val="000000"/>
        </w:rPr>
        <w:t>RECURRENTE</w:t>
      </w:r>
      <w:r w:rsidRPr="00B53D45">
        <w:rPr>
          <w:rFonts w:ascii="Palatino Linotype" w:eastAsia="Palatino Linotype" w:hAnsi="Palatino Linotype" w:cs="Palatino Linotype"/>
          <w:color w:val="000000"/>
        </w:rPr>
        <w:t xml:space="preserve"> presentó su inconformidad el </w:t>
      </w:r>
      <w:r w:rsidR="006102C3" w:rsidRPr="00B53D45">
        <w:rPr>
          <w:rFonts w:ascii="Palatino Linotype" w:eastAsia="Palatino Linotype" w:hAnsi="Palatino Linotype" w:cs="Palatino Linotype"/>
          <w:b/>
          <w:color w:val="000000"/>
        </w:rPr>
        <w:t xml:space="preserve">dieciséis de julio </w:t>
      </w:r>
      <w:r w:rsidRPr="00B53D45">
        <w:rPr>
          <w:rFonts w:ascii="Palatino Linotype" w:eastAsia="Palatino Linotype" w:hAnsi="Palatino Linotype" w:cs="Palatino Linotype"/>
          <w:b/>
          <w:color w:val="000000"/>
        </w:rPr>
        <w:t>de dos mil veinticinco</w:t>
      </w:r>
      <w:r w:rsidRPr="00B53D45">
        <w:rPr>
          <w:rFonts w:ascii="Palatino Linotype" w:eastAsia="Palatino Linotype" w:hAnsi="Palatino Linotype" w:cs="Palatino Linotype"/>
          <w:color w:val="000000"/>
        </w:rPr>
        <w:t>; por lo que se estima que la inconformidad se presentó dentro del lapso legalmente establecido para tal efecto.</w:t>
      </w:r>
    </w:p>
    <w:p w14:paraId="69AA7B7C" w14:textId="77777777" w:rsidR="00D86E74" w:rsidRPr="00B53D45" w:rsidRDefault="00D86E74" w:rsidP="00E1797B">
      <w:pPr>
        <w:pBdr>
          <w:top w:val="nil"/>
          <w:left w:val="nil"/>
          <w:bottom w:val="nil"/>
          <w:right w:val="nil"/>
          <w:between w:val="nil"/>
        </w:pBdr>
        <w:spacing w:line="360" w:lineRule="auto"/>
        <w:rPr>
          <w:rFonts w:ascii="Palatino Linotype" w:eastAsia="Palatino Linotype" w:hAnsi="Palatino Linotype" w:cs="Palatino Linotype"/>
          <w:color w:val="000000"/>
        </w:rPr>
      </w:pPr>
    </w:p>
    <w:p w14:paraId="7DDCFB9A" w14:textId="1203596A" w:rsidR="006102C3" w:rsidRPr="00B53D45" w:rsidRDefault="006102C3" w:rsidP="006102C3">
      <w:pPr>
        <w:pStyle w:val="Prrafodelista"/>
        <w:numPr>
          <w:ilvl w:val="0"/>
          <w:numId w:val="1"/>
        </w:numPr>
        <w:spacing w:line="360" w:lineRule="auto"/>
        <w:jc w:val="both"/>
        <w:rPr>
          <w:rFonts w:ascii="Palatino Linotype" w:eastAsiaTheme="minorEastAsia" w:hAnsi="Palatino Linotype"/>
          <w:lang w:eastAsia="es-ES"/>
        </w:rPr>
      </w:pPr>
      <w:r w:rsidRPr="00B53D45">
        <w:rPr>
          <w:rFonts w:ascii="Palatino Linotype" w:eastAsia="Calibri" w:hAnsi="Palatino Linotype" w:cs="Arial"/>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FB0B213" w14:textId="77777777" w:rsidR="006102C3" w:rsidRPr="00B53D45" w:rsidRDefault="006102C3" w:rsidP="007B6A50">
      <w:pPr>
        <w:pStyle w:val="Prrafodelista"/>
        <w:tabs>
          <w:tab w:val="left" w:pos="7655"/>
        </w:tabs>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w:t>
      </w:r>
      <w:r w:rsidRPr="00B53D45">
        <w:rPr>
          <w:rFonts w:ascii="Palatino Linotype" w:eastAsia="Palatino Linotype" w:hAnsi="Palatino Linotype" w:cs="Palatino Linotype"/>
          <w:b/>
          <w:i/>
        </w:rPr>
        <w:t>Las solicitudes anónimas</w:t>
      </w:r>
      <w:r w:rsidRPr="00B53D45">
        <w:rPr>
          <w:rFonts w:ascii="Palatino Linotype" w:eastAsia="Palatino Linotype" w:hAnsi="Palatino Linotype" w:cs="Palatino Linotype"/>
          <w:i/>
        </w:rPr>
        <w:t xml:space="preserve">, con nombre incompleto o seudónimo </w:t>
      </w:r>
      <w:r w:rsidRPr="00B53D45">
        <w:rPr>
          <w:rFonts w:ascii="Palatino Linotype" w:eastAsia="Palatino Linotype" w:hAnsi="Palatino Linotype" w:cs="Palatino Linotype"/>
          <w:b/>
          <w:i/>
        </w:rPr>
        <w:t>serán procedentes para su trámite por parte del sujeto obligado ante quien se presente</w:t>
      </w:r>
      <w:r w:rsidRPr="00B53D45">
        <w:rPr>
          <w:rFonts w:ascii="Palatino Linotype" w:eastAsia="Palatino Linotype" w:hAnsi="Palatino Linotype" w:cs="Palatino Linotype"/>
          <w:i/>
        </w:rPr>
        <w:t>. No podrá requerirse información adicional con motivo del nombre proporcionado por el solicitante."</w:t>
      </w:r>
    </w:p>
    <w:p w14:paraId="08AC369B" w14:textId="77777777" w:rsidR="006102C3" w:rsidRDefault="006102C3" w:rsidP="006102C3">
      <w:pPr>
        <w:pStyle w:val="Prrafodelista"/>
        <w:rPr>
          <w:rFonts w:ascii="Palatino Linotype" w:eastAsiaTheme="minorEastAsia" w:hAnsi="Palatino Linotype"/>
          <w:lang w:eastAsia="es-ES"/>
        </w:rPr>
      </w:pPr>
    </w:p>
    <w:p w14:paraId="157FEC52" w14:textId="77777777" w:rsidR="00B53D45" w:rsidRPr="00B53D45" w:rsidRDefault="00B53D45" w:rsidP="006102C3">
      <w:pPr>
        <w:pStyle w:val="Prrafodelista"/>
        <w:rPr>
          <w:rFonts w:ascii="Palatino Linotype" w:eastAsiaTheme="minorEastAsia" w:hAnsi="Palatino Linotype"/>
          <w:lang w:eastAsia="es-ES"/>
        </w:rPr>
      </w:pPr>
    </w:p>
    <w:p w14:paraId="51B79885" w14:textId="77777777" w:rsidR="006102C3" w:rsidRPr="00B53D45" w:rsidRDefault="006102C3" w:rsidP="006102C3">
      <w:pPr>
        <w:pStyle w:val="Prrafodelista"/>
        <w:numPr>
          <w:ilvl w:val="0"/>
          <w:numId w:val="1"/>
        </w:numPr>
        <w:spacing w:line="360" w:lineRule="auto"/>
        <w:jc w:val="both"/>
        <w:rPr>
          <w:rFonts w:ascii="Palatino Linotype" w:eastAsia="Calibri" w:hAnsi="Palatino Linotype" w:cs="Arial"/>
        </w:rPr>
      </w:pPr>
      <w:r w:rsidRPr="00B53D45">
        <w:rPr>
          <w:rFonts w:ascii="Palatino Linotype" w:eastAsia="Calibri" w:hAnsi="Palatino Linotype" w:cs="Arial"/>
        </w:rPr>
        <w:t>Robusteciendo lo anterior se encuentra lo dispuesto en el artículo 6, Apartado A, fracciones III de la Constitución Política de los Estados Unidos Mexicanos que establece:</w:t>
      </w:r>
    </w:p>
    <w:p w14:paraId="0B6319B6"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w:t>
      </w:r>
      <w:r w:rsidRPr="00B53D45">
        <w:rPr>
          <w:rFonts w:ascii="Palatino Linotype" w:eastAsia="Palatino Linotype" w:hAnsi="Palatino Linotype" w:cs="Palatino Linotype"/>
          <w:b/>
          <w:i/>
        </w:rPr>
        <w:t>Artículo 6.-</w:t>
      </w:r>
      <w:r w:rsidRPr="00B53D45">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3DE041A" w14:textId="77777777" w:rsidR="006102C3" w:rsidRPr="00B53D45" w:rsidRDefault="006102C3" w:rsidP="007B6A50">
      <w:pPr>
        <w:pStyle w:val="Prrafodelista"/>
        <w:ind w:left="567" w:right="539"/>
        <w:jc w:val="both"/>
        <w:rPr>
          <w:rFonts w:ascii="Palatino Linotype" w:eastAsia="Palatino Linotype" w:hAnsi="Palatino Linotype" w:cs="Palatino Linotype"/>
          <w:i/>
        </w:rPr>
      </w:pPr>
    </w:p>
    <w:p w14:paraId="27504100"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Para efectos de lo dispuesto en el presente artículo se observará lo siguiente:</w:t>
      </w:r>
    </w:p>
    <w:p w14:paraId="4CDA51AD" w14:textId="77777777" w:rsidR="006102C3" w:rsidRPr="00B53D45" w:rsidRDefault="006102C3" w:rsidP="007B6A50">
      <w:pPr>
        <w:pStyle w:val="Prrafodelista"/>
        <w:ind w:left="567" w:right="539"/>
        <w:jc w:val="both"/>
        <w:rPr>
          <w:rFonts w:ascii="Palatino Linotype" w:eastAsia="Palatino Linotype" w:hAnsi="Palatino Linotype" w:cs="Palatino Linotype"/>
          <w:i/>
        </w:rPr>
      </w:pPr>
    </w:p>
    <w:p w14:paraId="6E7C27EC"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2C146CEA" w14:textId="77777777" w:rsidR="006102C3" w:rsidRPr="00B53D45" w:rsidRDefault="006102C3" w:rsidP="007B6A50">
      <w:pPr>
        <w:pStyle w:val="Prrafodelista"/>
        <w:ind w:left="567" w:right="539"/>
        <w:jc w:val="both"/>
        <w:rPr>
          <w:rFonts w:ascii="Palatino Linotype" w:eastAsia="Palatino Linotype" w:hAnsi="Palatino Linotype" w:cs="Palatino Linotype"/>
          <w:i/>
        </w:rPr>
      </w:pPr>
    </w:p>
    <w:p w14:paraId="26A3214E"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B53D45">
        <w:rPr>
          <w:rFonts w:ascii="Palatino Linotype" w:eastAsia="Palatino Linotype" w:hAnsi="Palatino Linotype" w:cs="Palatino Linotype"/>
        </w:rPr>
        <w:t>(Sic)</w:t>
      </w:r>
    </w:p>
    <w:p w14:paraId="5B416E13" w14:textId="77777777" w:rsidR="006102C3" w:rsidRPr="00B53D45" w:rsidRDefault="006102C3" w:rsidP="006102C3">
      <w:pPr>
        <w:pStyle w:val="Prrafodelista"/>
        <w:spacing w:line="360" w:lineRule="auto"/>
        <w:ind w:left="0"/>
        <w:jc w:val="both"/>
        <w:rPr>
          <w:rFonts w:ascii="Palatino Linotype" w:eastAsia="Calibri" w:hAnsi="Palatino Linotype" w:cs="Arial"/>
        </w:rPr>
      </w:pPr>
    </w:p>
    <w:p w14:paraId="7828A657" w14:textId="77777777" w:rsidR="006102C3" w:rsidRPr="00B53D45" w:rsidRDefault="006102C3" w:rsidP="006102C3">
      <w:pPr>
        <w:pStyle w:val="Prrafodelista"/>
        <w:numPr>
          <w:ilvl w:val="0"/>
          <w:numId w:val="1"/>
        </w:numPr>
        <w:spacing w:line="360" w:lineRule="auto"/>
        <w:jc w:val="both"/>
        <w:rPr>
          <w:rFonts w:ascii="Palatino Linotype" w:eastAsia="Calibri" w:hAnsi="Palatino Linotype" w:cs="Arial"/>
        </w:rPr>
      </w:pPr>
      <w:r w:rsidRPr="00B53D45">
        <w:rPr>
          <w:rFonts w:ascii="Palatino Linotype" w:eastAsia="Calibri" w:hAnsi="Palatino Linotype" w:cs="Arial"/>
        </w:rPr>
        <w:lastRenderedPageBreak/>
        <w:t>Así como el artículo 5 fracción III, párrafo vigésimo noveno, trigésimo y trigésimo primero, de la Constitución Política del Estado Libre y Soberano de México, que determina lo siguiente:</w:t>
      </w:r>
    </w:p>
    <w:p w14:paraId="054A13B5"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w:t>
      </w:r>
      <w:r w:rsidRPr="00B53D45">
        <w:rPr>
          <w:rFonts w:ascii="Palatino Linotype" w:eastAsia="Palatino Linotype" w:hAnsi="Palatino Linotype" w:cs="Palatino Linotype"/>
          <w:b/>
          <w:i/>
        </w:rPr>
        <w:t>Artículo 5.-</w:t>
      </w:r>
      <w:r w:rsidRPr="00B53D45">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05E2B091"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w:t>
      </w:r>
    </w:p>
    <w:p w14:paraId="649C6BC9"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5FDFF84D"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w:t>
      </w:r>
    </w:p>
    <w:p w14:paraId="2E458C99"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3D2F8F44"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497FAB1"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35795415"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w:t>
      </w:r>
    </w:p>
    <w:p w14:paraId="0A9B862B"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B53D45">
        <w:rPr>
          <w:rFonts w:ascii="Palatino Linotype" w:eastAsia="Palatino Linotype" w:hAnsi="Palatino Linotype" w:cs="Palatino Linotype"/>
        </w:rPr>
        <w:t>(Sic)</w:t>
      </w:r>
    </w:p>
    <w:p w14:paraId="0B76DF9D" w14:textId="77777777" w:rsidR="006102C3" w:rsidRDefault="006102C3" w:rsidP="006102C3">
      <w:pPr>
        <w:tabs>
          <w:tab w:val="left" w:pos="7655"/>
        </w:tabs>
        <w:ind w:left="567"/>
        <w:jc w:val="both"/>
        <w:rPr>
          <w:rFonts w:ascii="Palatino Linotype" w:eastAsia="Palatino Linotype" w:hAnsi="Palatino Linotype" w:cs="Palatino Linotype"/>
          <w:i/>
        </w:rPr>
      </w:pPr>
    </w:p>
    <w:p w14:paraId="6799B8AA" w14:textId="77777777" w:rsidR="00B53D45" w:rsidRPr="00B53D45" w:rsidRDefault="00B53D45" w:rsidP="006102C3">
      <w:pPr>
        <w:tabs>
          <w:tab w:val="left" w:pos="7655"/>
        </w:tabs>
        <w:ind w:left="567"/>
        <w:jc w:val="both"/>
        <w:rPr>
          <w:rFonts w:ascii="Palatino Linotype" w:eastAsia="Palatino Linotype" w:hAnsi="Palatino Linotype" w:cs="Palatino Linotype"/>
          <w:i/>
        </w:rPr>
      </w:pPr>
    </w:p>
    <w:p w14:paraId="6A6D4227" w14:textId="77777777" w:rsidR="006102C3" w:rsidRPr="00B53D45" w:rsidRDefault="006102C3" w:rsidP="006102C3">
      <w:pPr>
        <w:pStyle w:val="Prrafodelista"/>
        <w:numPr>
          <w:ilvl w:val="0"/>
          <w:numId w:val="1"/>
        </w:numPr>
        <w:spacing w:line="360" w:lineRule="auto"/>
        <w:jc w:val="both"/>
        <w:rPr>
          <w:rFonts w:ascii="Palatino Linotype" w:eastAsia="Calibri" w:hAnsi="Palatino Linotype" w:cs="Arial"/>
        </w:rPr>
      </w:pPr>
      <w:r w:rsidRPr="00B53D45">
        <w:rPr>
          <w:rFonts w:ascii="Palatino Linotype" w:eastAsia="Calibri" w:hAnsi="Palatino Linotype" w:cs="Arial"/>
        </w:rPr>
        <w:lastRenderedPageBreak/>
        <w:t>Por otra parte, del contenido del artículo 1 de la Constitución Política de los Estados Unidos mexicanos, se destaca lo siguiente:</w:t>
      </w:r>
    </w:p>
    <w:p w14:paraId="34CE34F4"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w:t>
      </w:r>
      <w:r w:rsidRPr="00B53D45">
        <w:rPr>
          <w:rFonts w:ascii="Palatino Linotype" w:eastAsia="Palatino Linotype" w:hAnsi="Palatino Linotype" w:cs="Palatino Linotype"/>
          <w:b/>
          <w:i/>
        </w:rPr>
        <w:t>Artículo 1</w:t>
      </w:r>
      <w:r w:rsidRPr="00B53D45">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5D233CE"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C1A4465" w14:textId="77777777" w:rsidR="006102C3" w:rsidRPr="00B53D45" w:rsidRDefault="006102C3" w:rsidP="007B6A50">
      <w:pPr>
        <w:pStyle w:val="Prrafodelista"/>
        <w:ind w:left="567" w:right="539"/>
        <w:jc w:val="both"/>
        <w:rPr>
          <w:rFonts w:ascii="Palatino Linotype" w:eastAsia="Palatino Linotype" w:hAnsi="Palatino Linotype" w:cs="Palatino Linotype"/>
          <w:i/>
        </w:rPr>
      </w:pPr>
      <w:r w:rsidRPr="00B53D45">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6BEB960" w14:textId="77777777" w:rsidR="006102C3" w:rsidRPr="00B53D45" w:rsidRDefault="006102C3" w:rsidP="006102C3">
      <w:pPr>
        <w:spacing w:line="360" w:lineRule="auto"/>
        <w:jc w:val="both"/>
        <w:rPr>
          <w:rFonts w:ascii="Palatino Linotype" w:eastAsia="Calibri" w:hAnsi="Palatino Linotype" w:cs="Arial"/>
        </w:rPr>
      </w:pPr>
    </w:p>
    <w:p w14:paraId="7DDA53D0" w14:textId="77777777" w:rsidR="006102C3" w:rsidRPr="00B53D45" w:rsidRDefault="006102C3" w:rsidP="006102C3">
      <w:pPr>
        <w:numPr>
          <w:ilvl w:val="0"/>
          <w:numId w:val="1"/>
        </w:numPr>
        <w:spacing w:line="360" w:lineRule="auto"/>
        <w:jc w:val="both"/>
        <w:rPr>
          <w:rFonts w:ascii="Palatino Linotype" w:eastAsia="Calibri" w:hAnsi="Palatino Linotype" w:cs="Arial"/>
        </w:rPr>
      </w:pPr>
      <w:r w:rsidRPr="00B53D45">
        <w:rPr>
          <w:rFonts w:ascii="Palatino Linotype" w:eastAsia="Calibri" w:hAnsi="Palatino Linotype" w:cs="Arial"/>
        </w:rPr>
        <w:t>Esto es, que el derecho humano de acceso a la información pública, se aprecia que toda persona, sin necesidad de acreditar interés alguno o justificar su interposición, deberá tener acceso a la información pública, es decir, dicho</w:t>
      </w:r>
      <w:r w:rsidRPr="00B53D45">
        <w:rPr>
          <w:rFonts w:ascii="Palatino Linotype" w:eastAsia="Palatino Linotype" w:hAnsi="Palatino Linotype" w:cs="Palatino Linotype"/>
          <w:lang w:val="es-ES" w:eastAsia="en-US"/>
        </w:rPr>
        <w:t xml:space="preserve"> </w:t>
      </w:r>
      <w:r w:rsidRPr="00B53D45">
        <w:rPr>
          <w:rFonts w:ascii="Palatino Linotype" w:eastAsia="Palatino Linotype" w:hAnsi="Palatino Linotype" w:cs="Palatino Linotype"/>
          <w:i/>
          <w:lang w:val="es-ES" w:eastAsia="en-US"/>
        </w:rPr>
        <w:t>derecho fundamental exime a quien lo ejerce</w:t>
      </w:r>
      <w:r w:rsidRPr="00B53D45">
        <w:rPr>
          <w:rFonts w:ascii="Palatino Linotype" w:eastAsia="Palatino Linotype" w:hAnsi="Palatino Linotype" w:cs="Palatino Linotype"/>
          <w:lang w:val="es-ES" w:eastAsia="en-US"/>
        </w:rPr>
        <w:t xml:space="preserve">, </w:t>
      </w:r>
      <w:r w:rsidRPr="00B53D45">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BCE5EC1" w14:textId="77777777" w:rsidR="006102C3" w:rsidRPr="00B53D45" w:rsidRDefault="006102C3" w:rsidP="006102C3">
      <w:pPr>
        <w:spacing w:line="360" w:lineRule="auto"/>
        <w:contextualSpacing/>
        <w:jc w:val="both"/>
        <w:rPr>
          <w:rFonts w:ascii="Palatino Linotype" w:eastAsia="Calibri" w:hAnsi="Palatino Linotype" w:cs="Arial"/>
          <w:b/>
        </w:rPr>
      </w:pPr>
    </w:p>
    <w:p w14:paraId="7715E641" w14:textId="77777777" w:rsidR="006102C3" w:rsidRPr="00B53D45" w:rsidRDefault="006102C3" w:rsidP="006102C3">
      <w:pPr>
        <w:numPr>
          <w:ilvl w:val="0"/>
          <w:numId w:val="1"/>
        </w:numPr>
        <w:spacing w:line="360" w:lineRule="auto"/>
        <w:jc w:val="both"/>
        <w:rPr>
          <w:rFonts w:ascii="Palatino Linotype" w:eastAsia="Calibri" w:hAnsi="Palatino Linotype" w:cs="Arial"/>
        </w:rPr>
      </w:pPr>
      <w:r w:rsidRPr="00B53D45">
        <w:rPr>
          <w:rFonts w:ascii="Palatino Linotype" w:eastAsia="Calibri" w:hAnsi="Palatino Linotype" w:cs="Arial"/>
        </w:rPr>
        <w:t xml:space="preserve">En consecuencia, dado lo expuesto y fundado con anterioridad, se estima que el requisito relativo al nombre del </w:t>
      </w:r>
      <w:r w:rsidRPr="00B53D45">
        <w:rPr>
          <w:rFonts w:ascii="Palatino Linotype" w:eastAsia="Calibri" w:hAnsi="Palatino Linotype" w:cs="Arial"/>
          <w:b/>
        </w:rPr>
        <w:t>RECURRENTE</w:t>
      </w:r>
      <w:r w:rsidRPr="00B53D45">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w:t>
      </w:r>
      <w:r w:rsidRPr="00B53D45">
        <w:rPr>
          <w:rFonts w:ascii="Palatino Linotype" w:eastAsia="Calibri" w:hAnsi="Palatino Linotype" w:cs="Arial"/>
        </w:rPr>
        <w:lastRenderedPageBreak/>
        <w:t>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333ABD3" w14:textId="77777777" w:rsidR="006102C3" w:rsidRPr="00B53D45" w:rsidRDefault="006102C3" w:rsidP="006102C3">
      <w:pPr>
        <w:pStyle w:val="Prrafodelista"/>
        <w:rPr>
          <w:rFonts w:ascii="Palatino Linotype" w:eastAsia="Palatino Linotype" w:hAnsi="Palatino Linotype" w:cs="Palatino Linotype"/>
        </w:rPr>
      </w:pPr>
    </w:p>
    <w:p w14:paraId="4C5036D6" w14:textId="77777777" w:rsidR="00D86E74" w:rsidRPr="00B53D45" w:rsidRDefault="00B05C77" w:rsidP="00E1797B">
      <w:pPr>
        <w:numPr>
          <w:ilvl w:val="0"/>
          <w:numId w:val="1"/>
        </w:numPr>
        <w:spacing w:line="360" w:lineRule="auto"/>
        <w:jc w:val="both"/>
        <w:rPr>
          <w:rFonts w:ascii="Palatino Linotype" w:eastAsia="Palatino Linotype" w:hAnsi="Palatino Linotype" w:cs="Palatino Linotype"/>
          <w:b/>
        </w:rPr>
      </w:pPr>
      <w:r w:rsidRPr="00B53D45">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C549412" w14:textId="77777777" w:rsidR="00D86E74" w:rsidRPr="00B53D45" w:rsidRDefault="00D86E74" w:rsidP="00E1797B">
      <w:pPr>
        <w:spacing w:line="360" w:lineRule="auto"/>
        <w:rPr>
          <w:rFonts w:ascii="Palatino Linotype" w:eastAsia="Palatino Linotype" w:hAnsi="Palatino Linotype" w:cs="Palatino Linotype"/>
        </w:rPr>
      </w:pPr>
    </w:p>
    <w:p w14:paraId="13C158B3" w14:textId="77777777" w:rsidR="00D86E74" w:rsidRPr="00B53D45" w:rsidRDefault="00B05C77" w:rsidP="00E1797B">
      <w:pPr>
        <w:pStyle w:val="Ttulo1"/>
        <w:spacing w:before="0" w:line="360" w:lineRule="auto"/>
      </w:pPr>
      <w:r w:rsidRPr="00B53D45">
        <w:t xml:space="preserve">TERCERO. Del planteamiento de la </w:t>
      </w:r>
      <w:r w:rsidRPr="00B53D45">
        <w:rPr>
          <w:i/>
        </w:rPr>
        <w:t>Litis</w:t>
      </w:r>
      <w:r w:rsidRPr="00B53D45">
        <w:t>.</w:t>
      </w:r>
    </w:p>
    <w:p w14:paraId="79C95C00" w14:textId="401F3B1B" w:rsidR="00D86E74" w:rsidRPr="00B53D45" w:rsidRDefault="00B05C77" w:rsidP="002D09B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B53D45">
        <w:rPr>
          <w:rFonts w:ascii="Palatino Linotype" w:eastAsia="Palatino Linotype" w:hAnsi="Palatino Linotype" w:cs="Palatino Linotype"/>
        </w:rPr>
        <w:t xml:space="preserve">La parte </w:t>
      </w:r>
      <w:r w:rsidRPr="00B53D45">
        <w:rPr>
          <w:rFonts w:ascii="Palatino Linotype" w:eastAsia="Palatino Linotype" w:hAnsi="Palatino Linotype" w:cs="Palatino Linotype"/>
          <w:b/>
        </w:rPr>
        <w:t>RECURRENTE</w:t>
      </w:r>
      <w:r w:rsidR="00327D9C" w:rsidRPr="00B53D45">
        <w:rPr>
          <w:rFonts w:ascii="Palatino Linotype" w:eastAsia="Palatino Linotype" w:hAnsi="Palatino Linotype" w:cs="Palatino Linotype"/>
        </w:rPr>
        <w:t xml:space="preserve"> solicitó </w:t>
      </w:r>
      <w:r w:rsidR="006102C3" w:rsidRPr="00B53D45">
        <w:rPr>
          <w:rFonts w:ascii="Palatino Linotype" w:eastAsia="Palatino Linotype" w:hAnsi="Palatino Linotype" w:cs="Palatino Linotype"/>
        </w:rPr>
        <w:t>conocer:</w:t>
      </w:r>
    </w:p>
    <w:p w14:paraId="5C55CD41" w14:textId="3469E3C2" w:rsidR="006102C3" w:rsidRPr="00B53D45" w:rsidRDefault="00C34B19" w:rsidP="006102C3">
      <w:pPr>
        <w:pStyle w:val="Prrafodelista"/>
        <w:numPr>
          <w:ilvl w:val="0"/>
          <w:numId w:val="32"/>
        </w:numPr>
        <w:pBdr>
          <w:top w:val="nil"/>
          <w:left w:val="nil"/>
          <w:bottom w:val="nil"/>
          <w:right w:val="nil"/>
          <w:between w:val="nil"/>
        </w:pBdr>
        <w:spacing w:line="360" w:lineRule="auto"/>
        <w:jc w:val="both"/>
        <w:rPr>
          <w:rFonts w:ascii="Palatino Linotype" w:eastAsia="Palatino Linotype" w:hAnsi="Palatino Linotype" w:cs="Palatino Linotype"/>
        </w:rPr>
      </w:pPr>
      <w:r w:rsidRPr="00B53D45">
        <w:rPr>
          <w:rFonts w:ascii="Palatino Linotype" w:eastAsia="Palatino Linotype" w:hAnsi="Palatino Linotype" w:cs="Palatino Linotype"/>
          <w:b/>
        </w:rPr>
        <w:t>Manuales o lineamientos de operación vigentes de la Dirección de Seguridad Pública.</w:t>
      </w:r>
    </w:p>
    <w:p w14:paraId="5D53608B" w14:textId="34B59FEC" w:rsidR="00C34B19" w:rsidRPr="00B53D45" w:rsidRDefault="00C34B19" w:rsidP="006102C3">
      <w:pPr>
        <w:pStyle w:val="Prrafodelista"/>
        <w:numPr>
          <w:ilvl w:val="0"/>
          <w:numId w:val="32"/>
        </w:numPr>
        <w:pBdr>
          <w:top w:val="nil"/>
          <w:left w:val="nil"/>
          <w:bottom w:val="nil"/>
          <w:right w:val="nil"/>
          <w:between w:val="nil"/>
        </w:pBdr>
        <w:spacing w:line="360" w:lineRule="auto"/>
        <w:jc w:val="both"/>
        <w:rPr>
          <w:rFonts w:ascii="Palatino Linotype" w:eastAsia="Palatino Linotype" w:hAnsi="Palatino Linotype" w:cs="Palatino Linotype"/>
        </w:rPr>
      </w:pPr>
      <w:r w:rsidRPr="00B53D45">
        <w:rPr>
          <w:rFonts w:ascii="Palatino Linotype" w:eastAsia="Palatino Linotype" w:hAnsi="Palatino Linotype" w:cs="Palatino Linotype"/>
          <w:b/>
        </w:rPr>
        <w:t>Reportes Mensuales de Evaluación de Desempeño de la corporación de Seguridad Pública.</w:t>
      </w:r>
    </w:p>
    <w:p w14:paraId="36C4EFEF" w14:textId="77777777" w:rsidR="00C34B19" w:rsidRPr="00B53D45" w:rsidRDefault="00C34B19" w:rsidP="00C34B19">
      <w:pPr>
        <w:pStyle w:val="Prrafodelista"/>
        <w:pBdr>
          <w:top w:val="nil"/>
          <w:left w:val="nil"/>
          <w:bottom w:val="nil"/>
          <w:right w:val="nil"/>
          <w:between w:val="nil"/>
        </w:pBdr>
        <w:spacing w:line="360" w:lineRule="auto"/>
        <w:jc w:val="both"/>
        <w:rPr>
          <w:rFonts w:ascii="Palatino Linotype" w:eastAsia="Palatino Linotype" w:hAnsi="Palatino Linotype" w:cs="Palatino Linotype"/>
        </w:rPr>
      </w:pPr>
    </w:p>
    <w:p w14:paraId="3CDB56D9" w14:textId="77777777" w:rsidR="00D86E74" w:rsidRPr="00B53D45" w:rsidRDefault="00B05C77" w:rsidP="00E179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rPr>
      </w:pPr>
      <w:r w:rsidRPr="00B53D45">
        <w:rPr>
          <w:rFonts w:ascii="Palatino Linotype" w:eastAsia="Palatino Linotype" w:hAnsi="Palatino Linotype" w:cs="Palatino Linotype"/>
          <w:color w:val="000000"/>
        </w:rPr>
        <w:t xml:space="preserve">El </w:t>
      </w:r>
      <w:r w:rsidRPr="00B53D45">
        <w:rPr>
          <w:rFonts w:ascii="Palatino Linotype" w:eastAsia="Palatino Linotype" w:hAnsi="Palatino Linotype" w:cs="Palatino Linotype"/>
          <w:b/>
          <w:color w:val="000000"/>
        </w:rPr>
        <w:t xml:space="preserve">SUJETO OBLIGADO </w:t>
      </w:r>
      <w:r w:rsidRPr="00B53D45">
        <w:rPr>
          <w:rFonts w:ascii="Palatino Linotype" w:eastAsia="Palatino Linotype" w:hAnsi="Palatino Linotype" w:cs="Palatino Linotype"/>
          <w:color w:val="000000"/>
        </w:rPr>
        <w:t xml:space="preserve">emitió respuesta, en términos del </w:t>
      </w:r>
      <w:r w:rsidRPr="00B53D45">
        <w:rPr>
          <w:rFonts w:ascii="Palatino Linotype" w:eastAsia="Palatino Linotype" w:hAnsi="Palatino Linotype" w:cs="Palatino Linotype"/>
          <w:b/>
          <w:color w:val="000000"/>
        </w:rPr>
        <w:t>párrafo 3</w:t>
      </w:r>
      <w:r w:rsidRPr="00B53D45">
        <w:rPr>
          <w:rFonts w:ascii="Palatino Linotype" w:eastAsia="Palatino Linotype" w:hAnsi="Palatino Linotype" w:cs="Palatino Linotype"/>
          <w:color w:val="000000"/>
        </w:rPr>
        <w:t xml:space="preserve"> de la presente resolución.</w:t>
      </w:r>
    </w:p>
    <w:p w14:paraId="459F9D92" w14:textId="77777777" w:rsidR="00D86E74" w:rsidRPr="00B53D45" w:rsidRDefault="00D86E74" w:rsidP="00E1797B">
      <w:pPr>
        <w:pBdr>
          <w:top w:val="nil"/>
          <w:left w:val="nil"/>
          <w:bottom w:val="nil"/>
          <w:right w:val="nil"/>
          <w:between w:val="nil"/>
        </w:pBdr>
        <w:spacing w:line="360" w:lineRule="auto"/>
        <w:jc w:val="both"/>
        <w:rPr>
          <w:rFonts w:ascii="Palatino Linotype" w:eastAsia="Palatino Linotype" w:hAnsi="Palatino Linotype" w:cs="Palatino Linotype"/>
          <w:i/>
        </w:rPr>
      </w:pPr>
    </w:p>
    <w:p w14:paraId="176CC29B" w14:textId="77777777" w:rsidR="00D86E74" w:rsidRPr="00B53D45" w:rsidRDefault="00B05C77" w:rsidP="00E179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rPr>
      </w:pPr>
      <w:r w:rsidRPr="00B53D45">
        <w:rPr>
          <w:rFonts w:ascii="Palatino Linotype" w:eastAsia="Palatino Linotype" w:hAnsi="Palatino Linotype" w:cs="Palatino Linotype"/>
          <w:color w:val="000000"/>
        </w:rPr>
        <w:t xml:space="preserve">Posteriormente, la parte </w:t>
      </w:r>
      <w:r w:rsidRPr="00B53D45">
        <w:rPr>
          <w:rFonts w:ascii="Palatino Linotype" w:eastAsia="Palatino Linotype" w:hAnsi="Palatino Linotype" w:cs="Palatino Linotype"/>
          <w:b/>
          <w:color w:val="000000"/>
        </w:rPr>
        <w:t xml:space="preserve">RECURRENTE </w:t>
      </w:r>
      <w:r w:rsidRPr="00B53D45">
        <w:rPr>
          <w:rFonts w:ascii="Palatino Linotype" w:eastAsia="Palatino Linotype" w:hAnsi="Palatino Linotype" w:cs="Palatino Linotype"/>
          <w:color w:val="000000"/>
        </w:rPr>
        <w:t>interpuso recurso de revisión en el que se inconformó por</w:t>
      </w:r>
      <w:r w:rsidR="00966A65" w:rsidRPr="00B53D45">
        <w:rPr>
          <w:rFonts w:ascii="Palatino Linotype" w:eastAsia="Palatino Linotype" w:hAnsi="Palatino Linotype" w:cs="Palatino Linotype"/>
          <w:color w:val="000000"/>
        </w:rPr>
        <w:t xml:space="preserve"> </w:t>
      </w:r>
      <w:r w:rsidR="00211124" w:rsidRPr="00B53D45">
        <w:rPr>
          <w:rFonts w:ascii="Palatino Linotype" w:eastAsia="Palatino Linotype" w:hAnsi="Palatino Linotype" w:cs="Palatino Linotype"/>
          <w:b/>
          <w:color w:val="000000"/>
        </w:rPr>
        <w:t xml:space="preserve">la negativa </w:t>
      </w:r>
      <w:r w:rsidR="00966A65" w:rsidRPr="00B53D45">
        <w:rPr>
          <w:rFonts w:ascii="Palatino Linotype" w:eastAsia="Palatino Linotype" w:hAnsi="Palatino Linotype" w:cs="Palatino Linotype"/>
          <w:b/>
          <w:color w:val="000000"/>
        </w:rPr>
        <w:t>de la información solicitada</w:t>
      </w:r>
      <w:r w:rsidR="00211124" w:rsidRPr="00B53D45">
        <w:rPr>
          <w:rFonts w:ascii="Palatino Linotype" w:eastAsia="Palatino Linotype" w:hAnsi="Palatino Linotype" w:cs="Palatino Linotype"/>
          <w:b/>
          <w:color w:val="000000"/>
        </w:rPr>
        <w:t>.</w:t>
      </w:r>
    </w:p>
    <w:p w14:paraId="3E096D65" w14:textId="77777777" w:rsidR="00D86E74" w:rsidRPr="00B53D45" w:rsidRDefault="00B05C77" w:rsidP="00E179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rPr>
      </w:pPr>
      <w:r w:rsidRPr="00B53D45">
        <w:rPr>
          <w:rFonts w:ascii="Palatino Linotype" w:eastAsia="Palatino Linotype" w:hAnsi="Palatino Linotype" w:cs="Palatino Linotype"/>
          <w:color w:val="000000"/>
        </w:rPr>
        <w:lastRenderedPageBreak/>
        <w:t xml:space="preserve">En dichas condiciones, la </w:t>
      </w:r>
      <w:r w:rsidRPr="00B53D45">
        <w:rPr>
          <w:rFonts w:ascii="Palatino Linotype" w:eastAsia="Palatino Linotype" w:hAnsi="Palatino Linotype" w:cs="Palatino Linotype"/>
          <w:i/>
          <w:color w:val="000000"/>
        </w:rPr>
        <w:t>Litis</w:t>
      </w:r>
      <w:r w:rsidRPr="00B53D45">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00966A65" w:rsidRPr="00B53D45">
        <w:rPr>
          <w:rFonts w:ascii="Palatino Linotype" w:eastAsia="Palatino Linotype" w:hAnsi="Palatino Linotype" w:cs="Palatino Linotype"/>
          <w:b/>
          <w:color w:val="000000"/>
        </w:rPr>
        <w:t>fracción I</w:t>
      </w:r>
      <w:r w:rsidR="00211124" w:rsidRPr="00B53D45">
        <w:rPr>
          <w:rFonts w:ascii="Palatino Linotype" w:eastAsia="Palatino Linotype" w:hAnsi="Palatino Linotype" w:cs="Palatino Linotype"/>
          <w:b/>
          <w:color w:val="000000"/>
        </w:rPr>
        <w:t xml:space="preserve"> </w:t>
      </w:r>
      <w:r w:rsidRPr="00B53D45">
        <w:rPr>
          <w:rFonts w:ascii="Palatino Linotype" w:eastAsia="Palatino Linotype" w:hAnsi="Palatino Linotype" w:cs="Palatino Linotype"/>
          <w:color w:val="000000"/>
        </w:rPr>
        <w:t>de la Ley</w:t>
      </w:r>
      <w:r w:rsidRPr="00B53D45">
        <w:rPr>
          <w:rFonts w:ascii="Palatino Linotype" w:eastAsia="Palatino Linotype" w:hAnsi="Palatino Linotype" w:cs="Palatino Linotype"/>
          <w:b/>
          <w:color w:val="000000"/>
        </w:rPr>
        <w:t xml:space="preserve"> de Transparencia y Acceso a la Información Pública del Estado de </w:t>
      </w:r>
      <w:r w:rsidRPr="00B53D45">
        <w:rPr>
          <w:rFonts w:ascii="Palatino Linotype" w:eastAsia="Palatino Linotype" w:hAnsi="Palatino Linotype" w:cs="Palatino Linotype"/>
          <w:color w:val="000000"/>
        </w:rPr>
        <w:t>México</w:t>
      </w:r>
      <w:r w:rsidRPr="00B53D45">
        <w:rPr>
          <w:rFonts w:ascii="Palatino Linotype" w:eastAsia="Palatino Linotype" w:hAnsi="Palatino Linotype" w:cs="Palatino Linotype"/>
          <w:b/>
          <w:color w:val="000000"/>
        </w:rPr>
        <w:t xml:space="preserve"> y Municipios</w:t>
      </w:r>
      <w:r w:rsidR="00211124" w:rsidRPr="00B53D45">
        <w:rPr>
          <w:rFonts w:ascii="Palatino Linotype" w:eastAsia="Palatino Linotype" w:hAnsi="Palatino Linotype" w:cs="Palatino Linotype"/>
          <w:color w:val="000000"/>
        </w:rPr>
        <w:t>.</w:t>
      </w:r>
    </w:p>
    <w:p w14:paraId="0AB6838D" w14:textId="77777777" w:rsidR="00D86E74" w:rsidRPr="00B53D45" w:rsidRDefault="00D86E74" w:rsidP="00E1797B">
      <w:pPr>
        <w:pBdr>
          <w:top w:val="nil"/>
          <w:left w:val="nil"/>
          <w:bottom w:val="nil"/>
          <w:right w:val="nil"/>
          <w:between w:val="nil"/>
        </w:pBdr>
        <w:spacing w:line="360" w:lineRule="auto"/>
        <w:jc w:val="both"/>
        <w:rPr>
          <w:rFonts w:ascii="Palatino Linotype" w:eastAsia="Palatino Linotype" w:hAnsi="Palatino Linotype" w:cs="Palatino Linotype"/>
          <w:i/>
        </w:rPr>
      </w:pPr>
    </w:p>
    <w:p w14:paraId="16E1731E" w14:textId="77777777" w:rsidR="00D86E74" w:rsidRPr="00B53D45" w:rsidRDefault="00B05C77" w:rsidP="00E1797B">
      <w:pPr>
        <w:pStyle w:val="Ttulo1"/>
        <w:spacing w:before="0" w:line="360" w:lineRule="auto"/>
      </w:pPr>
      <w:r w:rsidRPr="00B53D45">
        <w:t>CUARTO. Del estudio y resolución del asunto.</w:t>
      </w:r>
    </w:p>
    <w:p w14:paraId="381D3698" w14:textId="77777777" w:rsidR="00D86E74" w:rsidRPr="00B53D45" w:rsidRDefault="00B05C77" w:rsidP="00E179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t xml:space="preserve">Acotada la </w:t>
      </w:r>
      <w:r w:rsidRPr="00B53D45">
        <w:rPr>
          <w:rFonts w:ascii="Palatino Linotype" w:eastAsia="Palatino Linotype" w:hAnsi="Palatino Linotype" w:cs="Palatino Linotype"/>
          <w:i/>
          <w:color w:val="000000"/>
        </w:rPr>
        <w:t>Litis</w:t>
      </w:r>
      <w:r w:rsidRPr="00B53D45">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53C4322B" w14:textId="77777777" w:rsidR="00D86E74" w:rsidRPr="00B53D45" w:rsidRDefault="00D86E74" w:rsidP="00E1797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28C58A5E" w14:textId="77777777" w:rsidR="00D86E74" w:rsidRPr="00B53D45" w:rsidRDefault="00B05C77" w:rsidP="00E179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59FD75" w14:textId="77777777" w:rsidR="00D86E74" w:rsidRPr="00B53D45" w:rsidRDefault="00D86E74" w:rsidP="00E1797B">
      <w:pPr>
        <w:spacing w:line="360" w:lineRule="auto"/>
        <w:jc w:val="both"/>
        <w:rPr>
          <w:rFonts w:ascii="Palatino Linotype" w:eastAsia="Palatino Linotype" w:hAnsi="Palatino Linotype" w:cs="Palatino Linotype"/>
        </w:rPr>
      </w:pPr>
    </w:p>
    <w:p w14:paraId="405D4C05" w14:textId="77777777" w:rsidR="00D86E74" w:rsidRPr="00B53D45" w:rsidRDefault="00B05C77" w:rsidP="00E179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t xml:space="preserve">En el mismo sentido, la Ley de Transparencia y Acceso a la Información Pública del Estado de México y Municipios (Reglamentaria del artículo 5° de la Constitución Local), </w:t>
      </w:r>
      <w:r w:rsidRPr="00B53D45">
        <w:rPr>
          <w:rFonts w:ascii="Palatino Linotype" w:eastAsia="Palatino Linotype" w:hAnsi="Palatino Linotype" w:cs="Palatino Linotype"/>
          <w:color w:val="000000"/>
        </w:rPr>
        <w:lastRenderedPageBreak/>
        <w:t>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63A1F7A" w14:textId="77777777" w:rsidR="00D86E74" w:rsidRPr="00B53D45" w:rsidRDefault="00D86E74" w:rsidP="00E179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D665FD" w14:textId="77777777" w:rsidR="00D86E74" w:rsidRPr="00B53D45" w:rsidRDefault="00B05C77" w:rsidP="00E179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2134625" w14:textId="77777777" w:rsidR="00D86E74" w:rsidRPr="00B53D45" w:rsidRDefault="00D86E74" w:rsidP="00E1797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876CBDD" w14:textId="77777777" w:rsidR="00D86E74" w:rsidRPr="00B53D45" w:rsidRDefault="00B05C77" w:rsidP="00E179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t xml:space="preserve">Acotada la Litis del presente asunto, se reiterar la información solicitada por la parte </w:t>
      </w:r>
      <w:r w:rsidRPr="00B53D45">
        <w:rPr>
          <w:rFonts w:ascii="Palatino Linotype" w:eastAsia="Palatino Linotype" w:hAnsi="Palatino Linotype" w:cs="Palatino Linotype"/>
          <w:b/>
          <w:color w:val="000000"/>
        </w:rPr>
        <w:t>RECURRENTE</w:t>
      </w:r>
      <w:r w:rsidRPr="00B53D45">
        <w:rPr>
          <w:rFonts w:ascii="Palatino Linotype" w:eastAsia="Palatino Linotype" w:hAnsi="Palatino Linotype" w:cs="Palatino Linotype"/>
          <w:color w:val="000000"/>
        </w:rPr>
        <w:t xml:space="preserve">, así como la respuesta emitida por el </w:t>
      </w:r>
      <w:r w:rsidRPr="00B53D45">
        <w:rPr>
          <w:rFonts w:ascii="Palatino Linotype" w:eastAsia="Palatino Linotype" w:hAnsi="Palatino Linotype" w:cs="Palatino Linotype"/>
          <w:b/>
          <w:color w:val="000000"/>
        </w:rPr>
        <w:t>SUJETO OBLIGADO</w:t>
      </w:r>
      <w:r w:rsidRPr="00B53D45">
        <w:rPr>
          <w:rFonts w:ascii="Palatino Linotype" w:eastAsia="Palatino Linotype" w:hAnsi="Palatino Linotype" w:cs="Palatino Linotype"/>
          <w:color w:val="000000"/>
        </w:rPr>
        <w:t>, mediante el siguiente cuadro descriptivo:</w:t>
      </w:r>
    </w:p>
    <w:p w14:paraId="1077AFA2" w14:textId="77777777" w:rsidR="00D86E74" w:rsidRPr="00B53D45" w:rsidRDefault="00D86E74" w:rsidP="00E179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Style w:val="ac"/>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402"/>
        <w:gridCol w:w="3260"/>
      </w:tblGrid>
      <w:tr w:rsidR="00D86E74" w:rsidRPr="00B53D45" w14:paraId="19EA8EED" w14:textId="77777777" w:rsidTr="00B53D45">
        <w:tc>
          <w:tcPr>
            <w:tcW w:w="2972" w:type="dxa"/>
            <w:shd w:val="clear" w:color="auto" w:fill="D9D9D9"/>
          </w:tcPr>
          <w:p w14:paraId="5A99A53A" w14:textId="77777777" w:rsidR="00D86E74" w:rsidRPr="00B53D45" w:rsidRDefault="00B05C77" w:rsidP="00E1797B">
            <w:pPr>
              <w:spacing w:line="360" w:lineRule="auto"/>
              <w:jc w:val="center"/>
              <w:rPr>
                <w:rFonts w:ascii="Palatino Linotype" w:eastAsia="Palatino Linotype" w:hAnsi="Palatino Linotype" w:cs="Palatino Linotype"/>
                <w:b/>
                <w:color w:val="000000"/>
              </w:rPr>
            </w:pPr>
            <w:r w:rsidRPr="00B53D45">
              <w:rPr>
                <w:rFonts w:ascii="Palatino Linotype" w:eastAsia="Palatino Linotype" w:hAnsi="Palatino Linotype" w:cs="Palatino Linotype"/>
                <w:b/>
                <w:color w:val="000000"/>
              </w:rPr>
              <w:t>Información solicitada</w:t>
            </w:r>
          </w:p>
        </w:tc>
        <w:tc>
          <w:tcPr>
            <w:tcW w:w="3402" w:type="dxa"/>
            <w:shd w:val="clear" w:color="auto" w:fill="D9D9D9"/>
          </w:tcPr>
          <w:p w14:paraId="536497EF" w14:textId="77777777" w:rsidR="00D86E74" w:rsidRPr="00B53D45" w:rsidRDefault="00B05C77" w:rsidP="00E1797B">
            <w:pPr>
              <w:spacing w:line="360" w:lineRule="auto"/>
              <w:jc w:val="center"/>
              <w:rPr>
                <w:rFonts w:ascii="Palatino Linotype" w:eastAsia="Palatino Linotype" w:hAnsi="Palatino Linotype" w:cs="Palatino Linotype"/>
                <w:b/>
                <w:color w:val="000000"/>
              </w:rPr>
            </w:pPr>
            <w:r w:rsidRPr="00B53D45">
              <w:rPr>
                <w:rFonts w:ascii="Palatino Linotype" w:eastAsia="Palatino Linotype" w:hAnsi="Palatino Linotype" w:cs="Palatino Linotype"/>
                <w:b/>
                <w:color w:val="000000"/>
              </w:rPr>
              <w:t>Respuesta</w:t>
            </w:r>
          </w:p>
        </w:tc>
        <w:tc>
          <w:tcPr>
            <w:tcW w:w="3260" w:type="dxa"/>
            <w:shd w:val="clear" w:color="auto" w:fill="D9D9D9"/>
          </w:tcPr>
          <w:p w14:paraId="55257AF3" w14:textId="77777777" w:rsidR="00D86E74" w:rsidRPr="00B53D45" w:rsidRDefault="00B05C77" w:rsidP="00E1797B">
            <w:pPr>
              <w:spacing w:line="360" w:lineRule="auto"/>
              <w:jc w:val="center"/>
              <w:rPr>
                <w:rFonts w:ascii="Palatino Linotype" w:eastAsia="Palatino Linotype" w:hAnsi="Palatino Linotype" w:cs="Palatino Linotype"/>
                <w:b/>
                <w:color w:val="000000"/>
              </w:rPr>
            </w:pPr>
            <w:r w:rsidRPr="00B53D45">
              <w:rPr>
                <w:rFonts w:ascii="Palatino Linotype" w:eastAsia="Palatino Linotype" w:hAnsi="Palatino Linotype" w:cs="Palatino Linotype"/>
                <w:b/>
                <w:color w:val="000000"/>
              </w:rPr>
              <w:t>Comentario</w:t>
            </w:r>
          </w:p>
        </w:tc>
      </w:tr>
      <w:tr w:rsidR="00D86E74" w:rsidRPr="00B53D45" w14:paraId="51AE2BC4" w14:textId="77777777" w:rsidTr="00B53D45">
        <w:tc>
          <w:tcPr>
            <w:tcW w:w="2972" w:type="dxa"/>
          </w:tcPr>
          <w:p w14:paraId="5679DAFC" w14:textId="1CD9AEB5" w:rsidR="00D86E74" w:rsidRPr="00B53D45" w:rsidRDefault="007E2F87" w:rsidP="002D09B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rPr>
              <w:t>1. Manuales o Lineamentos de operación vigentes de la Dirección de Seguridad Pública</w:t>
            </w:r>
          </w:p>
        </w:tc>
        <w:tc>
          <w:tcPr>
            <w:tcW w:w="3402" w:type="dxa"/>
          </w:tcPr>
          <w:p w14:paraId="1BD2DAED" w14:textId="74D5005E" w:rsidR="00211124" w:rsidRPr="00B53D45" w:rsidRDefault="000B3CC9" w:rsidP="002D09BB">
            <w:pPr>
              <w:spacing w:line="360" w:lineRule="auto"/>
              <w:jc w:val="both"/>
              <w:rPr>
                <w:rFonts w:ascii="Palatino Linotype" w:hAnsi="Palatino Linotype"/>
              </w:rPr>
            </w:pPr>
            <w:r w:rsidRPr="00B53D45">
              <w:rPr>
                <w:rFonts w:ascii="Palatino Linotype" w:hAnsi="Palatino Linotype"/>
              </w:rPr>
              <w:t xml:space="preserve">El </w:t>
            </w:r>
            <w:r w:rsidR="007E2F87" w:rsidRPr="00B53D45">
              <w:rPr>
                <w:rFonts w:ascii="Palatino Linotype" w:hAnsi="Palatino Linotype"/>
                <w:b/>
              </w:rPr>
              <w:t xml:space="preserve">SUJETO OBLIGADO, </w:t>
            </w:r>
            <w:r w:rsidR="007E2F87" w:rsidRPr="00B53D45">
              <w:rPr>
                <w:rFonts w:ascii="Palatino Linotype" w:hAnsi="Palatino Linotype"/>
              </w:rPr>
              <w:t xml:space="preserve">reservo la información en virtud de que de hacerse pública podría ocasionar un perjuicio real y directo, ya que si bien la información no involucra datos personales, </w:t>
            </w:r>
            <w:r w:rsidR="007E2F87" w:rsidRPr="00B53D45">
              <w:rPr>
                <w:rFonts w:ascii="Palatino Linotype" w:hAnsi="Palatino Linotype"/>
              </w:rPr>
              <w:lastRenderedPageBreak/>
              <w:t>estos contienen un nivel de detalle que permite conocer los patrones de los operativos implementados y desplegados, dando a conocer las rutas, horarios y  número de elementos de seguridad</w:t>
            </w:r>
            <w:r w:rsidR="002D09BB" w:rsidRPr="00B53D45">
              <w:rPr>
                <w:rFonts w:ascii="Palatino Linotype" w:hAnsi="Palatino Linotype"/>
              </w:rPr>
              <w:t>, por lo que la difusión comprometería la integridad del estado de fuerza, estrategias de prevención, reacción y disuasión del delito.</w:t>
            </w:r>
          </w:p>
        </w:tc>
        <w:tc>
          <w:tcPr>
            <w:tcW w:w="3260" w:type="dxa"/>
          </w:tcPr>
          <w:p w14:paraId="032586B9" w14:textId="27B5F0B7" w:rsidR="00D86E74" w:rsidRPr="00B53D45" w:rsidRDefault="00A300BB" w:rsidP="002D09BB">
            <w:pP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rPr>
              <w:lastRenderedPageBreak/>
              <w:t>El requerimiento fue atendido por el Servidor Público Habilitado</w:t>
            </w:r>
            <w:r w:rsidR="002D09BB" w:rsidRPr="00B53D45">
              <w:rPr>
                <w:rFonts w:ascii="Palatino Linotype" w:eastAsia="Palatino Linotype" w:hAnsi="Palatino Linotype" w:cs="Palatino Linotype"/>
              </w:rPr>
              <w:t xml:space="preserve">, sin embargo </w:t>
            </w:r>
            <w:r w:rsidR="002D09BB" w:rsidRPr="00B53D45">
              <w:rPr>
                <w:rFonts w:ascii="Palatino Linotype" w:eastAsia="Palatino Linotype" w:hAnsi="Palatino Linotype" w:cs="Palatino Linotype"/>
                <w:b/>
              </w:rPr>
              <w:t xml:space="preserve">NO COLMA </w:t>
            </w:r>
            <w:r w:rsidR="002D09BB" w:rsidRPr="00B53D45">
              <w:rPr>
                <w:rFonts w:ascii="Palatino Linotype" w:eastAsia="Palatino Linotype" w:hAnsi="Palatino Linotype" w:cs="Palatino Linotype"/>
              </w:rPr>
              <w:t>el requerimiento</w:t>
            </w:r>
          </w:p>
        </w:tc>
      </w:tr>
      <w:tr w:rsidR="002C027F" w:rsidRPr="00B53D45" w14:paraId="17454D23" w14:textId="77777777" w:rsidTr="00B53D45">
        <w:tc>
          <w:tcPr>
            <w:tcW w:w="2972" w:type="dxa"/>
          </w:tcPr>
          <w:p w14:paraId="21D1DFC4" w14:textId="455C68B7" w:rsidR="002C027F" w:rsidRPr="00B53D45" w:rsidRDefault="007E2F87" w:rsidP="002D09BB">
            <w:pPr>
              <w:pBdr>
                <w:top w:val="nil"/>
                <w:left w:val="nil"/>
                <w:bottom w:val="nil"/>
                <w:right w:val="nil"/>
                <w:between w:val="nil"/>
              </w:pBdr>
              <w:spacing w:line="360" w:lineRule="auto"/>
              <w:jc w:val="both"/>
              <w:rPr>
                <w:rFonts w:ascii="Palatino Linotype" w:eastAsia="Palatino Linotype" w:hAnsi="Palatino Linotype" w:cs="Palatino Linotype"/>
              </w:rPr>
            </w:pPr>
            <w:r w:rsidRPr="00B53D45">
              <w:rPr>
                <w:rFonts w:ascii="Palatino Linotype" w:eastAsia="Palatino Linotype" w:hAnsi="Palatino Linotype" w:cs="Palatino Linotype"/>
              </w:rPr>
              <w:t>2. Reportes Mensuales de Avaluación del desempeño de la corporación de Seguridad Pública</w:t>
            </w:r>
          </w:p>
        </w:tc>
        <w:tc>
          <w:tcPr>
            <w:tcW w:w="3402" w:type="dxa"/>
          </w:tcPr>
          <w:p w14:paraId="0B82195B" w14:textId="1A683904" w:rsidR="002C027F" w:rsidRPr="00B53D45" w:rsidRDefault="007753F1" w:rsidP="002D09BB">
            <w:pPr>
              <w:spacing w:line="360" w:lineRule="auto"/>
              <w:jc w:val="both"/>
              <w:rPr>
                <w:rFonts w:ascii="Palatino Linotype" w:hAnsi="Palatino Linotype"/>
              </w:rPr>
            </w:pPr>
            <w:r w:rsidRPr="00B53D45">
              <w:rPr>
                <w:rFonts w:ascii="Palatino Linotype" w:hAnsi="Palatino Linotype"/>
              </w:rPr>
              <w:t xml:space="preserve">El </w:t>
            </w:r>
            <w:r w:rsidRPr="00B53D45">
              <w:rPr>
                <w:rFonts w:ascii="Palatino Linotype" w:hAnsi="Palatino Linotype"/>
                <w:b/>
              </w:rPr>
              <w:t xml:space="preserve">SUJETO OBLIGADO, </w:t>
            </w:r>
            <w:r w:rsidRPr="00B53D45">
              <w:rPr>
                <w:rFonts w:ascii="Palatino Linotype" w:hAnsi="Palatino Linotype"/>
              </w:rPr>
              <w:t xml:space="preserve">refirió que </w:t>
            </w:r>
            <w:r w:rsidR="002D09BB" w:rsidRPr="00B53D45">
              <w:rPr>
                <w:rFonts w:ascii="Palatino Linotype" w:hAnsi="Palatino Linotype"/>
              </w:rPr>
              <w:t>no existe fuente legal, ni mucho menos fuente obligacional que imponga a esa Dirección generar o entregar Reportes Mensuales de Evaluación de Desempeño de la corporación de Seguridad Pública</w:t>
            </w:r>
          </w:p>
        </w:tc>
        <w:tc>
          <w:tcPr>
            <w:tcW w:w="3260" w:type="dxa"/>
          </w:tcPr>
          <w:p w14:paraId="19135F8C" w14:textId="79B16E80" w:rsidR="002C027F" w:rsidRPr="00B53D45" w:rsidRDefault="002D09BB" w:rsidP="002D09BB">
            <w:pP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rPr>
              <w:t xml:space="preserve">El requerimiento fue atendido por el Servidor Público Habilitado, </w:t>
            </w:r>
            <w:r w:rsidRPr="00B53D45">
              <w:rPr>
                <w:rFonts w:ascii="Palatino Linotype" w:eastAsia="Palatino Linotype" w:hAnsi="Palatino Linotype" w:cs="Palatino Linotype"/>
                <w:b/>
              </w:rPr>
              <w:t xml:space="preserve">COLMANDO </w:t>
            </w:r>
            <w:r w:rsidRPr="00B53D45">
              <w:rPr>
                <w:rFonts w:ascii="Palatino Linotype" w:eastAsia="Palatino Linotype" w:hAnsi="Palatino Linotype" w:cs="Palatino Linotype"/>
              </w:rPr>
              <w:t>el requerimiento.</w:t>
            </w:r>
          </w:p>
        </w:tc>
      </w:tr>
    </w:tbl>
    <w:p w14:paraId="58ACF1EF" w14:textId="77777777" w:rsidR="00D86E74" w:rsidRPr="00B53D45" w:rsidRDefault="00D86E74" w:rsidP="00E179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BC1DAE4" w14:textId="77777777" w:rsidR="00A67EA5" w:rsidRPr="00B53D45" w:rsidRDefault="00A67EA5" w:rsidP="00A67EA5">
      <w:pPr>
        <w:numPr>
          <w:ilvl w:val="0"/>
          <w:numId w:val="1"/>
        </w:numPr>
        <w:pBdr>
          <w:top w:val="nil"/>
          <w:left w:val="nil"/>
          <w:bottom w:val="nil"/>
          <w:right w:val="nil"/>
          <w:between w:val="nil"/>
        </w:pBdr>
        <w:tabs>
          <w:tab w:val="left" w:pos="426"/>
          <w:tab w:val="left" w:pos="567"/>
        </w:tabs>
        <w:spacing w:line="360" w:lineRule="auto"/>
        <w:jc w:val="both"/>
        <w:rPr>
          <w:rStyle w:val="normaltextrun"/>
          <w:rFonts w:ascii="Palatino Linotype" w:eastAsia="Palatino Linotype" w:hAnsi="Palatino Linotype" w:cs="Palatino Linotype"/>
        </w:rPr>
      </w:pPr>
      <w:r w:rsidRPr="00B53D45">
        <w:rPr>
          <w:rStyle w:val="normaltextrun"/>
          <w:rFonts w:ascii="Palatino Linotype" w:eastAsiaTheme="majorEastAsia" w:hAnsi="Palatino Linotype"/>
          <w:color w:val="000000"/>
          <w:shd w:val="clear" w:color="auto" w:fill="FFFFFF"/>
        </w:rPr>
        <w:lastRenderedPageBreak/>
        <w:t xml:space="preserve">En este sentido, resulta necesario señalar que, el </w:t>
      </w:r>
      <w:r w:rsidRPr="00B53D45">
        <w:rPr>
          <w:rStyle w:val="normaltextrun"/>
          <w:rFonts w:ascii="Palatino Linotype" w:eastAsiaTheme="majorEastAsia" w:hAnsi="Palatino Linotype"/>
          <w:b/>
          <w:bCs/>
          <w:color w:val="000000"/>
          <w:shd w:val="clear" w:color="auto" w:fill="FFFFFF"/>
        </w:rPr>
        <w:t xml:space="preserve">RECURRENTE </w:t>
      </w:r>
      <w:r w:rsidRPr="00B53D45">
        <w:rPr>
          <w:rStyle w:val="normaltextrun"/>
          <w:rFonts w:ascii="Palatino Linotype" w:eastAsiaTheme="majorEastAsia" w:hAnsi="Palatino Linotype"/>
          <w:color w:val="000000"/>
          <w:shd w:val="clear" w:color="auto" w:fill="FFFFFF"/>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B53D45">
        <w:rPr>
          <w:rStyle w:val="normaltextrun"/>
          <w:rFonts w:ascii="Palatino Linotype" w:eastAsiaTheme="majorEastAsia" w:hAnsi="Palatino Linotype"/>
          <w:b/>
          <w:bCs/>
          <w:color w:val="000000"/>
          <w:shd w:val="clear" w:color="auto" w:fill="FFFFFF"/>
        </w:rPr>
        <w:t>SUJETO OBLIGADO</w:t>
      </w:r>
      <w:r w:rsidRPr="00B53D45">
        <w:rPr>
          <w:rStyle w:val="normaltextrun"/>
          <w:rFonts w:ascii="Palatino Linotype" w:eastAsiaTheme="majorEastAsia" w:hAnsi="Palatino Linotype"/>
          <w:color w:val="000000"/>
          <w:shd w:val="clear" w:color="auto" w:fill="FFFFFF"/>
        </w:rPr>
        <w:t xml:space="preserve"> satisface este punto de la solicitud presentada.</w:t>
      </w:r>
    </w:p>
    <w:p w14:paraId="0382CC12" w14:textId="77777777" w:rsidR="00A67EA5" w:rsidRPr="00B53D45" w:rsidRDefault="00A67EA5" w:rsidP="00A67EA5">
      <w:pPr>
        <w:pStyle w:val="Prrafodelista"/>
        <w:rPr>
          <w:rStyle w:val="normaltextrun"/>
          <w:rFonts w:ascii="Palatino Linotype" w:eastAsia="Palatino Linotype" w:hAnsi="Palatino Linotype" w:cs="Palatino Linotype"/>
        </w:rPr>
      </w:pPr>
    </w:p>
    <w:p w14:paraId="16F72908" w14:textId="77777777" w:rsidR="00A67EA5" w:rsidRPr="00B53D45" w:rsidRDefault="00A67EA5" w:rsidP="00A67EA5">
      <w:pPr>
        <w:numPr>
          <w:ilvl w:val="0"/>
          <w:numId w:val="1"/>
        </w:numPr>
        <w:pBdr>
          <w:top w:val="nil"/>
          <w:left w:val="nil"/>
          <w:bottom w:val="nil"/>
          <w:right w:val="nil"/>
          <w:between w:val="nil"/>
        </w:pBdr>
        <w:tabs>
          <w:tab w:val="left" w:pos="426"/>
          <w:tab w:val="left" w:pos="567"/>
        </w:tabs>
        <w:spacing w:line="360" w:lineRule="auto"/>
        <w:jc w:val="both"/>
        <w:rPr>
          <w:rStyle w:val="eop"/>
          <w:rFonts w:ascii="Palatino Linotype" w:eastAsia="Palatino Linotype" w:hAnsi="Palatino Linotype" w:cs="Palatino Linotype"/>
        </w:rPr>
      </w:pPr>
      <w:r w:rsidRPr="00B53D45">
        <w:rPr>
          <w:rStyle w:val="normaltextrun"/>
          <w:rFonts w:ascii="Palatino Linotype" w:eastAsiaTheme="majorEastAsia" w:hAnsi="Palatino Linotype"/>
          <w:color w:val="000000"/>
          <w:shd w:val="clear" w:color="auto" w:fill="FFFFFF"/>
          <w:lang w:val="es-ES"/>
        </w:rPr>
        <w:t xml:space="preserve">Lo </w:t>
      </w:r>
      <w:r w:rsidRPr="00B53D45">
        <w:rPr>
          <w:rStyle w:val="normaltextrun"/>
          <w:rFonts w:ascii="Palatino Linotype" w:eastAsiaTheme="majorEastAsia" w:hAnsi="Palatino Linotype"/>
          <w:color w:val="000000"/>
          <w:shd w:val="clear" w:color="auto" w:fill="FFFFFF"/>
        </w:rPr>
        <w:t xml:space="preserve">anterior es así, debido a que cuando un Recurrente impugna la respuesta del </w:t>
      </w:r>
      <w:r w:rsidRPr="00B53D45">
        <w:rPr>
          <w:rStyle w:val="normaltextrun"/>
          <w:rFonts w:ascii="Palatino Linotype" w:eastAsiaTheme="majorEastAsia" w:hAnsi="Palatino Linotype"/>
          <w:b/>
          <w:bCs/>
          <w:color w:val="000000"/>
          <w:shd w:val="clear" w:color="auto" w:fill="FFFFFF"/>
        </w:rPr>
        <w:t>SUJETO OBLIGADO</w:t>
      </w:r>
      <w:r w:rsidRPr="00B53D45">
        <w:rPr>
          <w:rStyle w:val="normaltextrun"/>
          <w:rFonts w:ascii="Palatino Linotype" w:eastAsiaTheme="majorEastAsia" w:hAnsi="Palatino Linotype"/>
          <w:color w:val="000000"/>
          <w:shd w:val="clear" w:color="auto" w:fill="FFFFFF"/>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r w:rsidRPr="00B53D45">
        <w:rPr>
          <w:rStyle w:val="eop"/>
          <w:rFonts w:ascii="Palatino Linotype" w:hAnsi="Palatino Linotype"/>
          <w:color w:val="000000"/>
          <w:shd w:val="clear" w:color="auto" w:fill="FFFFFF"/>
        </w:rPr>
        <w:t> </w:t>
      </w:r>
    </w:p>
    <w:p w14:paraId="1BD0700A" w14:textId="77777777" w:rsidR="00A67EA5" w:rsidRPr="00B53D45" w:rsidRDefault="00A67EA5" w:rsidP="007B6A50">
      <w:pPr>
        <w:pStyle w:val="Prrafodelista"/>
        <w:ind w:left="567" w:right="567"/>
        <w:jc w:val="both"/>
        <w:rPr>
          <w:rStyle w:val="eop"/>
          <w:rFonts w:ascii="Palatino Linotype" w:hAnsi="Palatino Linotype"/>
          <w:color w:val="000000"/>
          <w:shd w:val="clear" w:color="auto" w:fill="FFFFFF"/>
        </w:rPr>
      </w:pPr>
      <w:r w:rsidRPr="00B53D45">
        <w:rPr>
          <w:rStyle w:val="normaltextrun"/>
          <w:rFonts w:ascii="Palatino Linotype" w:eastAsiaTheme="majorEastAsia" w:hAnsi="Palatino Linotype"/>
          <w:b/>
          <w:bCs/>
          <w:i/>
          <w:iCs/>
          <w:color w:val="000000"/>
          <w:shd w:val="clear" w:color="auto" w:fill="FFFFFF"/>
        </w:rPr>
        <w:t xml:space="preserve">“REVISIÓN EN AMPARO. LOS RESOLUTIVOS NO COMBATIDOS DEBEN DECLARARSE FIRMES. </w:t>
      </w:r>
      <w:r w:rsidRPr="00B53D45">
        <w:rPr>
          <w:rStyle w:val="normaltextrun"/>
          <w:rFonts w:ascii="Palatino Linotype" w:eastAsiaTheme="majorEastAsia" w:hAnsi="Palatino Linotype"/>
          <w:i/>
          <w:iCs/>
          <w:color w:val="000000"/>
          <w:shd w:val="clear" w:color="auto" w:fill="FFFFFF"/>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B53D45">
        <w:rPr>
          <w:rStyle w:val="eop"/>
          <w:rFonts w:ascii="Palatino Linotype" w:hAnsi="Palatino Linotype"/>
          <w:color w:val="000000"/>
          <w:shd w:val="clear" w:color="auto" w:fill="FFFFFF"/>
        </w:rPr>
        <w:t> </w:t>
      </w:r>
    </w:p>
    <w:p w14:paraId="2666E00A" w14:textId="77777777" w:rsidR="00A67EA5" w:rsidRDefault="00A67EA5" w:rsidP="00A67EA5">
      <w:pPr>
        <w:pStyle w:val="Prrafodelista"/>
        <w:rPr>
          <w:rFonts w:ascii="Palatino Linotype" w:eastAsia="Palatino Linotype" w:hAnsi="Palatino Linotype" w:cs="Palatino Linotype"/>
        </w:rPr>
      </w:pPr>
    </w:p>
    <w:p w14:paraId="400ACD72" w14:textId="77777777" w:rsidR="00B53D45" w:rsidRPr="00B53D45" w:rsidRDefault="00B53D45" w:rsidP="00A67EA5">
      <w:pPr>
        <w:pStyle w:val="Prrafodelista"/>
        <w:rPr>
          <w:rFonts w:ascii="Palatino Linotype" w:eastAsia="Palatino Linotype" w:hAnsi="Palatino Linotype" w:cs="Palatino Linotype"/>
        </w:rPr>
      </w:pPr>
    </w:p>
    <w:p w14:paraId="53ADA025" w14:textId="77777777" w:rsidR="00A67EA5" w:rsidRPr="00B53D45" w:rsidRDefault="00A67EA5" w:rsidP="00A67EA5">
      <w:pPr>
        <w:numPr>
          <w:ilvl w:val="0"/>
          <w:numId w:val="1"/>
        </w:numPr>
        <w:pBdr>
          <w:top w:val="nil"/>
          <w:left w:val="nil"/>
          <w:bottom w:val="nil"/>
          <w:right w:val="nil"/>
          <w:between w:val="nil"/>
        </w:pBdr>
        <w:tabs>
          <w:tab w:val="left" w:pos="426"/>
          <w:tab w:val="left" w:pos="567"/>
        </w:tabs>
        <w:spacing w:line="360" w:lineRule="auto"/>
        <w:jc w:val="both"/>
        <w:rPr>
          <w:rStyle w:val="eop"/>
          <w:rFonts w:ascii="Palatino Linotype" w:eastAsia="Palatino Linotype" w:hAnsi="Palatino Linotype" w:cs="Palatino Linotype"/>
        </w:rPr>
      </w:pPr>
      <w:r w:rsidRPr="00B53D45">
        <w:rPr>
          <w:rFonts w:ascii="Palatino Linotype" w:eastAsia="Palatino Linotype" w:hAnsi="Palatino Linotype" w:cs="Palatino Linotype"/>
        </w:rPr>
        <w:t xml:space="preserve"> </w:t>
      </w:r>
      <w:r w:rsidRPr="00B53D45">
        <w:rPr>
          <w:rStyle w:val="normaltextrun"/>
          <w:rFonts w:ascii="Palatino Linotype" w:eastAsiaTheme="majorEastAsia" w:hAnsi="Palatino Linotype"/>
          <w:color w:val="000000"/>
          <w:shd w:val="clear" w:color="auto" w:fill="FFFFFF"/>
          <w:lang w:val="es-ES"/>
        </w:rPr>
        <w:t xml:space="preserve">Consecuentemente, </w:t>
      </w:r>
      <w:r w:rsidRPr="00B53D45">
        <w:rPr>
          <w:rStyle w:val="normaltextrun"/>
          <w:rFonts w:ascii="Palatino Linotype" w:eastAsiaTheme="majorEastAsia" w:hAnsi="Palatino Linotype"/>
          <w:color w:val="000000"/>
          <w:shd w:val="clear" w:color="auto" w:fill="FFFFFF"/>
        </w:rPr>
        <w:t xml:space="preserve">se reitera que la parte de la solicitud que no fue impugnada debe declararse consentida por el </w:t>
      </w:r>
      <w:r w:rsidRPr="00B53D45">
        <w:rPr>
          <w:rStyle w:val="normaltextrun"/>
          <w:rFonts w:ascii="Palatino Linotype" w:eastAsiaTheme="majorEastAsia" w:hAnsi="Palatino Linotype"/>
          <w:b/>
          <w:bCs/>
          <w:color w:val="000000"/>
          <w:shd w:val="clear" w:color="auto" w:fill="FFFFFF"/>
        </w:rPr>
        <w:t>RECURRENTE</w:t>
      </w:r>
      <w:r w:rsidRPr="00B53D45">
        <w:rPr>
          <w:rStyle w:val="normaltextrun"/>
          <w:rFonts w:ascii="Palatino Linotype" w:eastAsiaTheme="majorEastAsia" w:hAnsi="Palatino Linotype"/>
          <w:color w:val="000000"/>
          <w:shd w:val="clear" w:color="auto" w:fill="FFFFFF"/>
        </w:rPr>
        <w:t>, debido a que no se realizaron manifestaciones de inconformidad, por lo que no pueden producirse efectos jurídicos tendentes a revocar, confirmar o modificar el acto reclamado ya que se infiere un consentimiento del Recurrente</w:t>
      </w:r>
      <w:r w:rsidRPr="00B53D45">
        <w:rPr>
          <w:rStyle w:val="normaltextrun"/>
          <w:rFonts w:ascii="Palatino Linotype" w:eastAsiaTheme="majorEastAsia" w:hAnsi="Palatino Linotype"/>
          <w:b/>
          <w:bCs/>
          <w:color w:val="000000"/>
          <w:shd w:val="clear" w:color="auto" w:fill="FFFFFF"/>
        </w:rPr>
        <w:t xml:space="preserve"> </w:t>
      </w:r>
      <w:r w:rsidRPr="00B53D45">
        <w:rPr>
          <w:rStyle w:val="normaltextrun"/>
          <w:rFonts w:ascii="Palatino Linotype" w:eastAsiaTheme="majorEastAsia" w:hAnsi="Palatino Linotype"/>
          <w:color w:val="000000"/>
          <w:shd w:val="clear" w:color="auto" w:fill="FFFFFF"/>
        </w:rPr>
        <w:t>ante la falta de impugnación eficaz.</w:t>
      </w:r>
    </w:p>
    <w:p w14:paraId="7078B2D5" w14:textId="77777777" w:rsidR="00A67EA5" w:rsidRPr="00B53D45" w:rsidRDefault="00A67EA5" w:rsidP="00A67EA5">
      <w:pPr>
        <w:numPr>
          <w:ilvl w:val="0"/>
          <w:numId w:val="1"/>
        </w:numPr>
        <w:pBdr>
          <w:top w:val="nil"/>
          <w:left w:val="nil"/>
          <w:bottom w:val="nil"/>
          <w:right w:val="nil"/>
          <w:between w:val="nil"/>
        </w:pBdr>
        <w:tabs>
          <w:tab w:val="left" w:pos="426"/>
          <w:tab w:val="left" w:pos="567"/>
        </w:tabs>
        <w:spacing w:line="360" w:lineRule="auto"/>
        <w:jc w:val="both"/>
        <w:rPr>
          <w:rStyle w:val="eop"/>
          <w:rFonts w:ascii="Palatino Linotype" w:eastAsia="Palatino Linotype" w:hAnsi="Palatino Linotype" w:cs="Palatino Linotype"/>
        </w:rPr>
      </w:pPr>
      <w:r w:rsidRPr="00B53D45">
        <w:rPr>
          <w:rStyle w:val="normaltextrun"/>
          <w:rFonts w:ascii="Palatino Linotype" w:eastAsiaTheme="majorEastAsia" w:hAnsi="Palatino Linotype"/>
          <w:color w:val="000000"/>
          <w:shd w:val="clear" w:color="auto" w:fill="FFFFFF"/>
          <w:lang w:val="es-ES"/>
        </w:rPr>
        <w:lastRenderedPageBreak/>
        <w:t xml:space="preserve">Sirve </w:t>
      </w:r>
      <w:r w:rsidRPr="00B53D45">
        <w:rPr>
          <w:rStyle w:val="normaltextrun"/>
          <w:rFonts w:ascii="Palatino Linotype" w:eastAsiaTheme="majorEastAsia" w:hAnsi="Palatino Linotype"/>
          <w:color w:val="000000"/>
          <w:shd w:val="clear" w:color="auto" w:fill="FFFFFF"/>
        </w:rPr>
        <w:t>de sustento a lo anterior por analogía la tesis jurisprudencial número VI.3o.C. J/60, publicada en el Semanario Judicial de la Federación y su Gaceta bajo el número de registro 176,608 que a la letra dice:</w:t>
      </w:r>
    </w:p>
    <w:p w14:paraId="5A0C0EE9" w14:textId="77777777" w:rsidR="00A67EA5" w:rsidRPr="00B53D45" w:rsidRDefault="00A67EA5" w:rsidP="007B6A50">
      <w:pPr>
        <w:pStyle w:val="Prrafodelista"/>
        <w:ind w:left="567" w:right="851"/>
        <w:jc w:val="both"/>
        <w:rPr>
          <w:rFonts w:ascii="Palatino Linotype" w:eastAsia="Palatino Linotype" w:hAnsi="Palatino Linotype" w:cs="Palatino Linotype"/>
        </w:rPr>
      </w:pPr>
      <w:r w:rsidRPr="00B53D45">
        <w:rPr>
          <w:rStyle w:val="normaltextrun"/>
          <w:rFonts w:ascii="Palatino Linotype" w:eastAsiaTheme="majorEastAsia" w:hAnsi="Palatino Linotype"/>
          <w:b/>
          <w:bCs/>
          <w:i/>
          <w:iCs/>
          <w:smallCaps/>
          <w:color w:val="000000"/>
          <w:shd w:val="clear" w:color="auto" w:fill="FFFFFF"/>
        </w:rPr>
        <w:t xml:space="preserve">ACTOS CONSENTIDOS. SON LOS QUE NO SE IMPUGNAN MEDIANTE EL RECURSO IDÓNEO. </w:t>
      </w:r>
      <w:r w:rsidRPr="00B53D45">
        <w:rPr>
          <w:rStyle w:val="normaltextrun"/>
          <w:rFonts w:ascii="Palatino Linotype" w:eastAsiaTheme="majorEastAsia" w:hAnsi="Palatino Linotype"/>
          <w:i/>
          <w:iCs/>
          <w:color w:val="000000"/>
          <w:shd w:val="clear" w:color="auto" w:fill="FFFFFF"/>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B53D45">
        <w:rPr>
          <w:rStyle w:val="eop"/>
          <w:rFonts w:ascii="Palatino Linotype" w:hAnsi="Palatino Linotype"/>
          <w:color w:val="000000"/>
          <w:shd w:val="clear" w:color="auto" w:fill="FFFFFF"/>
        </w:rPr>
        <w:t> </w:t>
      </w:r>
    </w:p>
    <w:p w14:paraId="1BA4EF64" w14:textId="77777777" w:rsidR="00A67EA5" w:rsidRPr="00B53D45" w:rsidRDefault="00A67EA5" w:rsidP="00A67EA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218094A4" w14:textId="77777777" w:rsidR="00A67EA5" w:rsidRPr="00B53D45" w:rsidRDefault="00A67EA5" w:rsidP="00A67EA5">
      <w:pPr>
        <w:numPr>
          <w:ilvl w:val="0"/>
          <w:numId w:val="1"/>
        </w:numPr>
        <w:pBdr>
          <w:top w:val="nil"/>
          <w:left w:val="nil"/>
          <w:bottom w:val="nil"/>
          <w:right w:val="nil"/>
          <w:between w:val="nil"/>
        </w:pBdr>
        <w:tabs>
          <w:tab w:val="left" w:pos="426"/>
          <w:tab w:val="left" w:pos="567"/>
        </w:tabs>
        <w:spacing w:line="360" w:lineRule="auto"/>
        <w:jc w:val="both"/>
        <w:rPr>
          <w:rStyle w:val="eop"/>
          <w:rFonts w:ascii="Palatino Linotype" w:eastAsia="Palatino Linotype" w:hAnsi="Palatino Linotype" w:cs="Palatino Linotype"/>
        </w:rPr>
      </w:pPr>
      <w:r w:rsidRPr="00B53D45">
        <w:rPr>
          <w:rStyle w:val="normaltextrun"/>
          <w:rFonts w:ascii="Palatino Linotype" w:eastAsiaTheme="majorEastAsia" w:hAnsi="Palatino Linotype"/>
          <w:color w:val="000000"/>
          <w:shd w:val="clear" w:color="auto" w:fill="FFFFFF"/>
          <w:lang w:val="es-ES"/>
        </w:rPr>
        <w:t xml:space="preserve">Para </w:t>
      </w:r>
      <w:r w:rsidRPr="00B53D45">
        <w:rPr>
          <w:rStyle w:val="normaltextrun"/>
          <w:rFonts w:ascii="Palatino Linotype" w:eastAsiaTheme="majorEastAsia" w:hAnsi="Palatino Linotype"/>
          <w:color w:val="000000"/>
          <w:shd w:val="clear" w:color="auto" w:fill="FFFFFF"/>
        </w:rPr>
        <w:t>mayor abundamiento, también resulta aplicable el criterio 01/20 emitido por el Instituto Nacional de Transparencia, Acceso a la Información Pública y Protección de Datos Personales, que a la letra estipula lo siguiente:</w:t>
      </w:r>
      <w:r w:rsidRPr="00B53D45">
        <w:rPr>
          <w:rStyle w:val="eop"/>
          <w:rFonts w:ascii="Palatino Linotype" w:hAnsi="Palatino Linotype"/>
          <w:color w:val="000000"/>
          <w:shd w:val="clear" w:color="auto" w:fill="FFFFFF"/>
        </w:rPr>
        <w:t> </w:t>
      </w:r>
    </w:p>
    <w:p w14:paraId="2775C898" w14:textId="77777777" w:rsidR="00A67EA5" w:rsidRPr="00B53D45" w:rsidRDefault="00A67EA5" w:rsidP="007B6A50">
      <w:pPr>
        <w:pBdr>
          <w:top w:val="nil"/>
          <w:left w:val="nil"/>
          <w:bottom w:val="nil"/>
          <w:right w:val="nil"/>
          <w:between w:val="nil"/>
        </w:pBdr>
        <w:tabs>
          <w:tab w:val="left" w:pos="142"/>
          <w:tab w:val="left" w:pos="426"/>
          <w:tab w:val="left" w:pos="567"/>
        </w:tabs>
        <w:ind w:left="567" w:right="567"/>
        <w:jc w:val="both"/>
        <w:rPr>
          <w:rFonts w:ascii="Palatino Linotype" w:eastAsia="Palatino Linotype" w:hAnsi="Palatino Linotype" w:cs="Palatino Linotype"/>
        </w:rPr>
      </w:pPr>
      <w:r w:rsidRPr="00B53D45">
        <w:rPr>
          <w:rStyle w:val="normaltextrun"/>
          <w:rFonts w:ascii="Palatino Linotype" w:eastAsiaTheme="majorEastAsia" w:hAnsi="Palatino Linotype"/>
          <w:b/>
          <w:bCs/>
          <w:i/>
          <w:iCs/>
          <w:color w:val="000000"/>
          <w:shd w:val="clear" w:color="auto" w:fill="FFFFFF"/>
        </w:rPr>
        <w:t>Actos consentidos tácitamente. Improcedencia de su análisis.</w:t>
      </w:r>
      <w:r w:rsidRPr="00B53D45">
        <w:rPr>
          <w:rStyle w:val="normaltextrun"/>
          <w:rFonts w:ascii="Palatino Linotype" w:eastAsiaTheme="majorEastAsia" w:hAnsi="Palatino Linotype"/>
          <w:i/>
          <w:iCs/>
          <w:color w:val="000000"/>
          <w:shd w:val="clear" w:color="auto" w:fill="FFFFFF"/>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B53D45">
        <w:rPr>
          <w:rStyle w:val="eop"/>
          <w:rFonts w:ascii="Palatino Linotype" w:hAnsi="Palatino Linotype"/>
          <w:color w:val="000000"/>
          <w:shd w:val="clear" w:color="auto" w:fill="FFFFFF"/>
        </w:rPr>
        <w:t> </w:t>
      </w:r>
    </w:p>
    <w:p w14:paraId="6C9D49E1" w14:textId="77777777" w:rsidR="00A67EA5" w:rsidRPr="00B53D45" w:rsidRDefault="00A67EA5" w:rsidP="007B6A5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692834B2" w14:textId="3BF410EA" w:rsidR="00A67EA5" w:rsidRPr="00B53D45" w:rsidRDefault="00A67EA5" w:rsidP="00A67EA5">
      <w:pPr>
        <w:pStyle w:val="Prrafodelista"/>
        <w:numPr>
          <w:ilvl w:val="0"/>
          <w:numId w:val="1"/>
        </w:numPr>
        <w:spacing w:line="360" w:lineRule="auto"/>
        <w:jc w:val="both"/>
        <w:rPr>
          <w:rStyle w:val="normaltextrun"/>
          <w:rFonts w:ascii="Palatino Linotype" w:hAnsi="Palatino Linotype" w:cs="Arial"/>
        </w:rPr>
      </w:pPr>
      <w:r w:rsidRPr="00B53D45">
        <w:rPr>
          <w:rStyle w:val="normaltextrun"/>
          <w:rFonts w:ascii="Palatino Linotype" w:eastAsiaTheme="majorEastAsia" w:hAnsi="Palatino Linotype"/>
          <w:color w:val="000000"/>
          <w:shd w:val="clear" w:color="auto" w:fill="FFFFFF"/>
        </w:rPr>
        <w:t xml:space="preserve">De lo referido, y a efecto de garantizar el efectivo ejercicio del derecho de acceso a la información pública que asiste al </w:t>
      </w:r>
      <w:r w:rsidRPr="00B53D45">
        <w:rPr>
          <w:rStyle w:val="normaltextrun"/>
          <w:rFonts w:ascii="Palatino Linotype" w:eastAsiaTheme="majorEastAsia" w:hAnsi="Palatino Linotype"/>
          <w:b/>
          <w:bCs/>
          <w:color w:val="000000"/>
          <w:shd w:val="clear" w:color="auto" w:fill="FFFFFF"/>
        </w:rPr>
        <w:t>RECURRENTE</w:t>
      </w:r>
      <w:r w:rsidRPr="00B53D45">
        <w:rPr>
          <w:rStyle w:val="normaltextrun"/>
          <w:rFonts w:ascii="Palatino Linotype" w:eastAsiaTheme="majorEastAsia" w:hAnsi="Palatino Linotype"/>
          <w:color w:val="000000"/>
          <w:shd w:val="clear" w:color="auto" w:fill="FFFFFF"/>
        </w:rPr>
        <w:t xml:space="preserve">, resulta conveniente precisar que el presente análisis versará únicamente sobre lo relativo a la clasificación de los </w:t>
      </w:r>
      <w:r w:rsidRPr="00B53D45">
        <w:rPr>
          <w:rStyle w:val="normaltextrun"/>
          <w:rFonts w:ascii="Palatino Linotype" w:eastAsiaTheme="majorEastAsia" w:hAnsi="Palatino Linotype"/>
          <w:b/>
          <w:color w:val="000000"/>
          <w:shd w:val="clear" w:color="auto" w:fill="FFFFFF"/>
        </w:rPr>
        <w:t>Manuales o lineamientos de operación vigentes de la Dirección de Seguridad Pública</w:t>
      </w:r>
      <w:r w:rsidRPr="00B53D45">
        <w:rPr>
          <w:rStyle w:val="normaltextrun"/>
          <w:rFonts w:ascii="Palatino Linotype" w:eastAsiaTheme="majorEastAsia" w:hAnsi="Palatino Linotype"/>
          <w:b/>
          <w:bCs/>
          <w:color w:val="000000"/>
          <w:shd w:val="clear" w:color="auto" w:fill="FFFFFF"/>
        </w:rPr>
        <w:t>.</w:t>
      </w:r>
    </w:p>
    <w:p w14:paraId="467A8986" w14:textId="77777777" w:rsidR="00A67EA5" w:rsidRPr="00B53D45" w:rsidRDefault="00A67EA5" w:rsidP="00A67EA5">
      <w:pPr>
        <w:pStyle w:val="Prrafodelista"/>
        <w:spacing w:line="360" w:lineRule="auto"/>
        <w:ind w:left="0"/>
        <w:jc w:val="both"/>
        <w:rPr>
          <w:rStyle w:val="eop"/>
          <w:rFonts w:ascii="Palatino Linotype" w:hAnsi="Palatino Linotype" w:cs="Arial"/>
        </w:rPr>
      </w:pPr>
    </w:p>
    <w:p w14:paraId="14A75E66" w14:textId="00B60D5C" w:rsidR="00A67EA5" w:rsidRPr="00B53D45" w:rsidRDefault="00A67EA5" w:rsidP="00A67EA5">
      <w:pPr>
        <w:pStyle w:val="Prrafodelista"/>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r w:rsidRPr="00B53D45">
        <w:rPr>
          <w:rFonts w:ascii="Palatino Linotype" w:eastAsia="Palatino Linotype" w:hAnsi="Palatino Linotype" w:cs="Palatino Linotype"/>
        </w:rPr>
        <w:t xml:space="preserve">Precisado lo anterior, se procede al análisis del requerimiento planteado por la persona solicitante y la respuesta proporcionada por el </w:t>
      </w:r>
      <w:r w:rsidRPr="00B53D45">
        <w:rPr>
          <w:rFonts w:ascii="Palatino Linotype" w:eastAsia="Palatino Linotype" w:hAnsi="Palatino Linotype" w:cs="Palatino Linotype"/>
          <w:b/>
        </w:rPr>
        <w:t>SUJETO OBLIGADO</w:t>
      </w:r>
      <w:r w:rsidRPr="00B53D45">
        <w:rPr>
          <w:rFonts w:ascii="Palatino Linotype" w:eastAsia="Palatino Linotype" w:hAnsi="Palatino Linotype" w:cs="Palatino Linotype"/>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14:paraId="0474593D" w14:textId="6ABE838E" w:rsidR="00A67EA5" w:rsidRPr="00B53D45" w:rsidRDefault="00A67EA5" w:rsidP="00A67EA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lastRenderedPageBreak/>
        <w:t xml:space="preserve">Resulta necesario referir que, el </w:t>
      </w:r>
      <w:r w:rsidRPr="00B53D45">
        <w:rPr>
          <w:rFonts w:ascii="Palatino Linotype" w:eastAsia="Palatino Linotype" w:hAnsi="Palatino Linotype" w:cs="Palatino Linotype"/>
          <w:b/>
          <w:color w:val="000000"/>
        </w:rPr>
        <w:t xml:space="preserve">SUJETO OBLIGADO </w:t>
      </w:r>
      <w:r w:rsidRPr="00B53D45">
        <w:rPr>
          <w:rFonts w:ascii="Palatino Linotype" w:eastAsia="Palatino Linotype" w:hAnsi="Palatino Linotype" w:cs="Palatino Linotype"/>
          <w:color w:val="000000"/>
        </w:rPr>
        <w:t xml:space="preserve">asume de manera expresa que genera, posee y administra lo solicitado, </w:t>
      </w:r>
      <w:r w:rsidRPr="00B53D45">
        <w:rPr>
          <w:rFonts w:ascii="Palatino Linotype" w:eastAsia="Palatino Linotype" w:hAnsi="Palatino Linotype" w:cs="Palatino Linotype"/>
          <w:b/>
          <w:color w:val="000000"/>
        </w:rPr>
        <w:t>tan es así que clasifica la información como reservada por un periodo de dos años cinco meses</w:t>
      </w:r>
      <w:r w:rsidRPr="00B53D45">
        <w:rPr>
          <w:rFonts w:ascii="Palatino Linotype" w:eastAsia="Palatino Linotype" w:hAnsi="Palatino Linotype" w:cs="Palatino Linotype"/>
          <w:color w:val="000000"/>
        </w:rPr>
        <w:t xml:space="preserve">. </w:t>
      </w:r>
    </w:p>
    <w:p w14:paraId="7E902FEE" w14:textId="77777777" w:rsidR="00A67EA5" w:rsidRPr="00B53D45" w:rsidRDefault="00A67EA5" w:rsidP="00A67EA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8BB531" w14:textId="77777777" w:rsidR="00A67EA5" w:rsidRPr="00B53D45" w:rsidRDefault="00A67EA5" w:rsidP="00A67EA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t xml:space="preserve">Aclarado lo anterior, un segundo aspecto que resulta importante establecer, es que debido a que el mismo </w:t>
      </w:r>
      <w:r w:rsidRPr="00B53D45">
        <w:rPr>
          <w:rFonts w:ascii="Palatino Linotype" w:eastAsia="Palatino Linotype" w:hAnsi="Palatino Linotype" w:cs="Palatino Linotype"/>
          <w:b/>
          <w:color w:val="000000"/>
        </w:rPr>
        <w:t>SUJETO OBLIGADO</w:t>
      </w:r>
      <w:r w:rsidRPr="00B53D45">
        <w:rPr>
          <w:rFonts w:ascii="Palatino Linotype" w:eastAsia="Palatino Linotype" w:hAnsi="Palatino Linotype" w:cs="Palatino Linotype"/>
          <w:color w:val="000000"/>
        </w:rPr>
        <w:t xml:space="preserve"> admite ser poseedor de la información, no es necesario estudiar si este es competente para conocer y en su caso dar respuesta a las solicitudes, pues al remitir diversos oficios, este reconoce contar con la misma.</w:t>
      </w:r>
    </w:p>
    <w:p w14:paraId="4B20C43C" w14:textId="77777777" w:rsidR="00A67EA5" w:rsidRPr="00B53D45" w:rsidRDefault="00A67EA5" w:rsidP="00A67EA5">
      <w:pPr>
        <w:pStyle w:val="Prrafodelista"/>
        <w:rPr>
          <w:rFonts w:ascii="Palatino Linotype" w:eastAsia="Palatino Linotype" w:hAnsi="Palatino Linotype" w:cs="Palatino Linotype"/>
          <w:color w:val="000000"/>
        </w:rPr>
      </w:pPr>
    </w:p>
    <w:p w14:paraId="0C1A83D2" w14:textId="77777777" w:rsidR="00211124" w:rsidRPr="00B53D45" w:rsidRDefault="00211124" w:rsidP="00E1797B">
      <w:pPr>
        <w:pStyle w:val="Prrafodelista"/>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t xml:space="preserve">En </w:t>
      </w:r>
      <w:r w:rsidRPr="00B53D45">
        <w:rPr>
          <w:rFonts w:ascii="Palatino Linotype" w:hAnsi="Palatino Linotype" w:cs="Arial"/>
        </w:rPr>
        <w:t xml:space="preserve">este sentido, </w:t>
      </w:r>
      <w:r w:rsidRPr="00B53D45">
        <w:rPr>
          <w:rFonts w:ascii="Palatino Linotype" w:hAnsi="Palatino Linotype"/>
          <w:color w:val="222222"/>
        </w:rPr>
        <w:t>el hecho de que el</w:t>
      </w:r>
      <w:r w:rsidRPr="00B53D45">
        <w:rPr>
          <w:rFonts w:ascii="Palatino Linotype" w:hAnsi="Palatino Linotype"/>
          <w:b/>
          <w:bCs/>
          <w:color w:val="222222"/>
        </w:rPr>
        <w:t xml:space="preserve"> SUJETO OBLIGADO</w:t>
      </w:r>
      <w:r w:rsidRPr="00B53D45">
        <w:rPr>
          <w:rFonts w:ascii="Palatino Linotype" w:hAnsi="Palatino Linotype"/>
          <w:color w:val="222222"/>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9284A7C" w14:textId="77777777" w:rsidR="00211124" w:rsidRPr="00B53D45" w:rsidRDefault="00211124" w:rsidP="007B6A50">
      <w:pPr>
        <w:shd w:val="clear" w:color="auto" w:fill="FFFFFF"/>
        <w:ind w:left="567" w:right="567"/>
        <w:jc w:val="both"/>
        <w:rPr>
          <w:rFonts w:ascii="Palatino Linotype" w:hAnsi="Palatino Linotype"/>
          <w:i/>
          <w:iCs/>
          <w:color w:val="222222"/>
        </w:rPr>
      </w:pPr>
      <w:r w:rsidRPr="00B53D45">
        <w:rPr>
          <w:rFonts w:ascii="Palatino Linotype" w:hAnsi="Palatino Linotype"/>
          <w:i/>
          <w:iCs/>
          <w:color w:val="222222"/>
        </w:rPr>
        <w:t>“</w:t>
      </w:r>
      <w:r w:rsidRPr="00B53D45">
        <w:rPr>
          <w:rFonts w:ascii="Palatino Linotype" w:hAnsi="Palatino Linotype"/>
          <w:b/>
          <w:bCs/>
          <w:i/>
          <w:iCs/>
          <w:color w:val="222222"/>
        </w:rPr>
        <w:t>Artículo 12.</w:t>
      </w:r>
      <w:r w:rsidRPr="00B53D45">
        <w:rPr>
          <w:rFonts w:ascii="Palatino Linotype" w:hAnsi="Palatino Linotype"/>
          <w:i/>
          <w:iCs/>
          <w:color w:val="222222"/>
        </w:rPr>
        <w:t> Quienes generen, recopilen, administren, manejen, procesen, archiven o conserven información pública serán responsables de la misma en los términos de las disposiciones jurídicas aplicables.</w:t>
      </w:r>
    </w:p>
    <w:p w14:paraId="79BE6A82" w14:textId="77777777" w:rsidR="00211124" w:rsidRPr="00B53D45" w:rsidRDefault="00211124" w:rsidP="007B6A50">
      <w:pPr>
        <w:shd w:val="clear" w:color="auto" w:fill="FFFFFF"/>
        <w:ind w:left="567"/>
        <w:jc w:val="both"/>
        <w:rPr>
          <w:rFonts w:ascii="Palatino Linotype" w:hAnsi="Palatino Linotype"/>
          <w:color w:val="222222"/>
        </w:rPr>
      </w:pPr>
    </w:p>
    <w:p w14:paraId="1908F9E9" w14:textId="77777777" w:rsidR="00211124" w:rsidRPr="00B53D45" w:rsidRDefault="00211124" w:rsidP="007B6A50">
      <w:pPr>
        <w:shd w:val="clear" w:color="auto" w:fill="FFFFFF"/>
        <w:ind w:left="567" w:right="567"/>
        <w:jc w:val="both"/>
        <w:rPr>
          <w:rFonts w:ascii="Palatino Linotype" w:hAnsi="Palatino Linotype"/>
          <w:i/>
          <w:iCs/>
          <w:color w:val="222222"/>
        </w:rPr>
      </w:pPr>
      <w:r w:rsidRPr="00B53D45">
        <w:rPr>
          <w:rFonts w:ascii="Palatino Linotype" w:hAnsi="Palatino Linotype"/>
          <w:i/>
          <w:iCs/>
          <w:color w:val="2222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8681CB7" w14:textId="77777777" w:rsidR="00211124" w:rsidRPr="00B53D45" w:rsidRDefault="00211124" w:rsidP="00E179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A8BB9B1" w14:textId="127D8D14" w:rsidR="005B1270" w:rsidRPr="00B53D45" w:rsidRDefault="00F55CDD" w:rsidP="00BB71E9">
      <w:pPr>
        <w:pStyle w:val="Prrafodelista"/>
        <w:numPr>
          <w:ilvl w:val="0"/>
          <w:numId w:val="1"/>
        </w:numPr>
        <w:spacing w:line="360" w:lineRule="auto"/>
        <w:jc w:val="both"/>
        <w:rPr>
          <w:rFonts w:ascii="Palatino Linotype" w:eastAsia="Calibri" w:hAnsi="Palatino Linotype" w:cs="Tahoma"/>
          <w:iCs/>
          <w:lang w:eastAsia="es-ES_tradnl"/>
        </w:rPr>
      </w:pPr>
      <w:r w:rsidRPr="00B53D45">
        <w:rPr>
          <w:rFonts w:ascii="Palatino Linotype" w:eastAsia="Calibri" w:hAnsi="Palatino Linotype" w:cs="Tahoma"/>
          <w:iCs/>
          <w:lang w:eastAsia="es-ES_tradnl"/>
        </w:rPr>
        <w:t xml:space="preserve">Ahora bien, es de recordar que el particular se duele por la presunta </w:t>
      </w:r>
      <w:r w:rsidR="0014449D" w:rsidRPr="00B53D45">
        <w:rPr>
          <w:rFonts w:ascii="Palatino Linotype" w:eastAsia="Calibri" w:hAnsi="Palatino Linotype" w:cs="Tahoma"/>
          <w:iCs/>
          <w:lang w:eastAsia="es-ES_tradnl"/>
        </w:rPr>
        <w:t>negativa</w:t>
      </w:r>
      <w:r w:rsidRPr="00B53D45">
        <w:rPr>
          <w:rFonts w:ascii="Palatino Linotype" w:eastAsia="Calibri" w:hAnsi="Palatino Linotype" w:cs="Tahoma"/>
          <w:iCs/>
          <w:lang w:eastAsia="es-ES_tradnl"/>
        </w:rPr>
        <w:t xml:space="preserve"> del </w:t>
      </w:r>
      <w:r w:rsidRPr="00B53D45">
        <w:rPr>
          <w:rFonts w:ascii="Palatino Linotype" w:eastAsia="Calibri" w:hAnsi="Palatino Linotype" w:cs="Tahoma"/>
          <w:b/>
          <w:iCs/>
          <w:lang w:eastAsia="es-ES_tradnl"/>
        </w:rPr>
        <w:t xml:space="preserve">SUJETO OBLIGADO, </w:t>
      </w:r>
      <w:r w:rsidR="0014449D" w:rsidRPr="00B53D45">
        <w:rPr>
          <w:rFonts w:ascii="Palatino Linotype" w:eastAsia="Calibri" w:hAnsi="Palatino Linotype" w:cs="Tahoma"/>
          <w:iCs/>
          <w:lang w:eastAsia="es-ES_tradnl"/>
        </w:rPr>
        <w:t xml:space="preserve">toda vez que clasificó la información como reservada, </w:t>
      </w:r>
      <w:r w:rsidRPr="00B53D45">
        <w:rPr>
          <w:rFonts w:ascii="Palatino Linotype" w:eastAsia="Calibri" w:hAnsi="Palatino Linotype" w:cs="Tahoma"/>
          <w:iCs/>
          <w:lang w:eastAsia="es-ES_tradnl"/>
        </w:rPr>
        <w:t xml:space="preserve">por lo que en primer término, conviene señalar lo que se entiende por </w:t>
      </w:r>
      <w:r w:rsidR="0014449D" w:rsidRPr="00B53D45">
        <w:rPr>
          <w:rFonts w:ascii="Palatino Linotype" w:eastAsia="Calibri" w:hAnsi="Palatino Linotype" w:cs="Tahoma"/>
          <w:iCs/>
          <w:lang w:eastAsia="es-ES_tradnl"/>
        </w:rPr>
        <w:t>Manual</w:t>
      </w:r>
      <w:r w:rsidRPr="00B53D45">
        <w:rPr>
          <w:rFonts w:ascii="Palatino Linotype" w:eastAsia="Calibri" w:hAnsi="Palatino Linotype" w:cs="Tahoma"/>
          <w:iCs/>
          <w:lang w:eastAsia="es-ES_tradnl"/>
        </w:rPr>
        <w:t xml:space="preserve">, por lo que </w:t>
      </w:r>
      <w:r w:rsidR="005B1270" w:rsidRPr="00B53D45">
        <w:rPr>
          <w:rFonts w:ascii="Palatino Linotype" w:eastAsia="Calibri" w:hAnsi="Palatino Linotype" w:cs="Tahoma"/>
          <w:iCs/>
          <w:lang w:eastAsia="es-ES_tradnl"/>
        </w:rPr>
        <w:t xml:space="preserve">según la Guía Técnica </w:t>
      </w:r>
      <w:r w:rsidR="006C4C9E" w:rsidRPr="00B53D45">
        <w:rPr>
          <w:rFonts w:ascii="Palatino Linotype" w:eastAsia="Calibri" w:hAnsi="Palatino Linotype" w:cs="Tahoma"/>
          <w:iCs/>
          <w:lang w:eastAsia="es-ES_tradnl"/>
        </w:rPr>
        <w:t xml:space="preserve">para la elaboración de Manuales del Gobierno del Estado de México, </w:t>
      </w:r>
      <w:r w:rsidRPr="00B53D45">
        <w:rPr>
          <w:rFonts w:ascii="Palatino Linotype" w:eastAsia="Calibri" w:hAnsi="Palatino Linotype" w:cs="Tahoma"/>
          <w:iCs/>
          <w:lang w:eastAsia="es-ES_tradnl"/>
        </w:rPr>
        <w:t xml:space="preserve">lo </w:t>
      </w:r>
      <w:r w:rsidR="006C4C9E" w:rsidRPr="00B53D45">
        <w:rPr>
          <w:rFonts w:ascii="Palatino Linotype" w:eastAsia="Calibri" w:hAnsi="Palatino Linotype" w:cs="Tahoma"/>
          <w:iCs/>
          <w:lang w:eastAsia="es-ES_tradnl"/>
        </w:rPr>
        <w:t xml:space="preserve">define como </w:t>
      </w:r>
      <w:r w:rsidR="006C4C9E" w:rsidRPr="00B53D45">
        <w:rPr>
          <w:rFonts w:ascii="Palatino Linotype" w:eastAsia="Calibri" w:hAnsi="Palatino Linotype" w:cs="Tahoma"/>
          <w:iCs/>
          <w:lang w:eastAsia="es-ES_tradnl"/>
        </w:rPr>
        <w:lastRenderedPageBreak/>
        <w:t xml:space="preserve">el documento administrativo que contiene información relacionada con el conjunto de operaciones o actividades que deben realizarse para la generación de bienes y servicios, teniendo como propósito detallar las operaciones o actividades que deben realizarse de manera secuencial y cronológica para dar cumplimiento a una función que coadyuve a la generación de bienes o servicios; así mismo la Guía </w:t>
      </w:r>
      <w:r w:rsidR="007554A6" w:rsidRPr="00B53D45">
        <w:rPr>
          <w:rFonts w:ascii="Palatino Linotype" w:eastAsia="Calibri" w:hAnsi="Palatino Linotype" w:cs="Tahoma"/>
          <w:iCs/>
          <w:lang w:eastAsia="es-ES_tradnl"/>
        </w:rPr>
        <w:t>para la elaboración de Lineamientos nos refiere que son directrices que establecen los limites dentro de los cuales deben realizarse determinadas actividades, particularizando o detallando acciones que derivan de un ordenamiento de mayor jerarquía.</w:t>
      </w:r>
    </w:p>
    <w:p w14:paraId="7DB40504" w14:textId="77777777" w:rsidR="0014449D" w:rsidRPr="00B53D45" w:rsidRDefault="0014449D" w:rsidP="0014449D">
      <w:pPr>
        <w:pStyle w:val="Prrafodelista"/>
        <w:spacing w:line="360" w:lineRule="auto"/>
        <w:ind w:left="0"/>
        <w:jc w:val="both"/>
        <w:rPr>
          <w:rFonts w:ascii="Palatino Linotype" w:eastAsia="Calibri" w:hAnsi="Palatino Linotype" w:cs="Tahoma"/>
          <w:b/>
          <w:iCs/>
          <w:u w:val="single"/>
          <w:lang w:eastAsia="es-ES_tradnl"/>
        </w:rPr>
      </w:pPr>
    </w:p>
    <w:p w14:paraId="542053DC" w14:textId="3868A879" w:rsidR="007554A6" w:rsidRPr="00B53D45" w:rsidRDefault="00AE7F85" w:rsidP="00E1797B">
      <w:pPr>
        <w:pStyle w:val="Prrafodelista"/>
        <w:numPr>
          <w:ilvl w:val="0"/>
          <w:numId w:val="1"/>
        </w:numPr>
        <w:spacing w:line="360" w:lineRule="auto"/>
        <w:jc w:val="both"/>
        <w:rPr>
          <w:rFonts w:ascii="Palatino Linotype" w:eastAsia="Calibri" w:hAnsi="Palatino Linotype" w:cs="Tahoma"/>
          <w:b/>
          <w:iCs/>
          <w:u w:val="single"/>
          <w:lang w:eastAsia="es-ES_tradnl"/>
        </w:rPr>
      </w:pPr>
      <w:r w:rsidRPr="00B53D45">
        <w:rPr>
          <w:rFonts w:ascii="Palatino Linotype" w:eastAsia="Calibri" w:hAnsi="Palatino Linotype" w:cs="Tahoma"/>
          <w:iCs/>
          <w:lang w:eastAsia="es-ES_tradnl"/>
        </w:rPr>
        <w:t>E</w:t>
      </w:r>
      <w:r w:rsidR="00F55CDD" w:rsidRPr="00B53D45">
        <w:rPr>
          <w:rFonts w:ascii="Palatino Linotype" w:eastAsia="Calibri" w:hAnsi="Palatino Linotype" w:cs="Tahoma"/>
          <w:iCs/>
          <w:lang w:eastAsia="es-ES_tradnl"/>
        </w:rPr>
        <w:t xml:space="preserve">n </w:t>
      </w:r>
      <w:r w:rsidR="00F55CDD" w:rsidRPr="00B53D45">
        <w:rPr>
          <w:rFonts w:ascii="Palatino Linotype" w:hAnsi="Palatino Linotype" w:cs="Tahoma"/>
        </w:rPr>
        <w:t xml:space="preserve">ese sentido sobre la </w:t>
      </w:r>
      <w:r w:rsidR="000B3CC9" w:rsidRPr="00B53D45">
        <w:rPr>
          <w:rFonts w:ascii="Palatino Linotype" w:hAnsi="Palatino Linotype" w:cs="Tahoma"/>
        </w:rPr>
        <w:t>inconformidad</w:t>
      </w:r>
      <w:r w:rsidR="00F55CDD" w:rsidRPr="00B53D45">
        <w:rPr>
          <w:rFonts w:ascii="Palatino Linotype" w:hAnsi="Palatino Linotype" w:cs="Tahoma"/>
        </w:rPr>
        <w:t xml:space="preserve"> </w:t>
      </w:r>
      <w:r w:rsidR="000B3CC9" w:rsidRPr="00B53D45">
        <w:rPr>
          <w:rFonts w:ascii="Palatino Linotype" w:hAnsi="Palatino Linotype" w:cs="Tahoma"/>
        </w:rPr>
        <w:t xml:space="preserve">del particular conviene señalar que en respuesta el </w:t>
      </w:r>
      <w:r w:rsidR="000B3CC9" w:rsidRPr="00B53D45">
        <w:rPr>
          <w:rFonts w:ascii="Palatino Linotype" w:hAnsi="Palatino Linotype" w:cs="Tahoma"/>
          <w:b/>
        </w:rPr>
        <w:t>SUJETO OBLIGADO</w:t>
      </w:r>
      <w:r w:rsidR="00A300BB" w:rsidRPr="00B53D45">
        <w:rPr>
          <w:rFonts w:ascii="Palatino Linotype" w:hAnsi="Palatino Linotype" w:cs="Tahoma"/>
        </w:rPr>
        <w:t xml:space="preserve">, refirió que clasificó como información reservada por un término de </w:t>
      </w:r>
      <w:r w:rsidR="007554A6" w:rsidRPr="00B53D45">
        <w:rPr>
          <w:rFonts w:ascii="Palatino Linotype" w:hAnsi="Palatino Linotype" w:cs="Tahoma"/>
        </w:rPr>
        <w:t xml:space="preserve">dos años cinco meses, lo referente a los Manuales de Operación, Manuales de Procedimientos y Manuales de Organización de la Dirección de Seguridad Pública o cualquier otra información reservada o confidencial que contengan los Manuales o lineamientos de operación. </w:t>
      </w:r>
    </w:p>
    <w:p w14:paraId="230699C7" w14:textId="77777777" w:rsidR="007554A6" w:rsidRPr="00B53D45" w:rsidRDefault="007554A6" w:rsidP="007554A6">
      <w:pPr>
        <w:pStyle w:val="Prrafodelista"/>
        <w:rPr>
          <w:rFonts w:ascii="Palatino Linotype" w:hAnsi="Palatino Linotype" w:cs="Tahoma"/>
        </w:rPr>
      </w:pPr>
    </w:p>
    <w:p w14:paraId="08C9133E" w14:textId="1BA05B15" w:rsidR="00F55CDD" w:rsidRPr="00B53D45" w:rsidRDefault="00F55CDD" w:rsidP="00E1797B">
      <w:pPr>
        <w:pStyle w:val="Prrafodelista"/>
        <w:numPr>
          <w:ilvl w:val="0"/>
          <w:numId w:val="1"/>
        </w:numPr>
        <w:spacing w:line="360" w:lineRule="auto"/>
        <w:jc w:val="both"/>
        <w:rPr>
          <w:rFonts w:ascii="Palatino Linotype" w:hAnsi="Palatino Linotype" w:cs="Arial"/>
          <w:bCs/>
          <w:color w:val="0D0D0D" w:themeColor="text1" w:themeTint="F2"/>
        </w:rPr>
      </w:pPr>
      <w:r w:rsidRPr="00B53D45">
        <w:rPr>
          <w:rFonts w:ascii="Palatino Linotype" w:hAnsi="Palatino Linotype" w:cs="Tahoma"/>
          <w:color w:val="0D0D0D" w:themeColor="text1" w:themeTint="F2"/>
        </w:rPr>
        <w:t xml:space="preserve">Ahora bien, </w:t>
      </w:r>
      <w:r w:rsidR="00F85CD5" w:rsidRPr="00B53D45">
        <w:rPr>
          <w:rFonts w:ascii="Palatino Linotype" w:hAnsi="Palatino Linotype" w:cs="Tahoma"/>
          <w:color w:val="0D0D0D" w:themeColor="text1" w:themeTint="F2"/>
        </w:rPr>
        <w:t>tomando en consideración que</w:t>
      </w:r>
      <w:r w:rsidRPr="00B53D45">
        <w:rPr>
          <w:rFonts w:ascii="Palatino Linotype" w:hAnsi="Palatino Linotype" w:cs="Tahoma"/>
          <w:color w:val="0D0D0D" w:themeColor="text1" w:themeTint="F2"/>
        </w:rPr>
        <w:t xml:space="preserve"> reservada </w:t>
      </w:r>
      <w:r w:rsidR="00F85CD5" w:rsidRPr="00B53D45">
        <w:rPr>
          <w:rFonts w:ascii="Palatino Linotype" w:hAnsi="Palatino Linotype" w:cs="Tahoma"/>
          <w:color w:val="0D0D0D" w:themeColor="text1" w:themeTint="F2"/>
        </w:rPr>
        <w:t xml:space="preserve">la información </w:t>
      </w:r>
      <w:r w:rsidRPr="00B53D45">
        <w:rPr>
          <w:rFonts w:ascii="Palatino Linotype" w:hAnsi="Palatino Linotype" w:cs="Tahoma"/>
          <w:color w:val="0D0D0D" w:themeColor="text1" w:themeTint="F2"/>
        </w:rPr>
        <w:t xml:space="preserve">por </w:t>
      </w:r>
      <w:r w:rsidR="007554A6" w:rsidRPr="00B53D45">
        <w:rPr>
          <w:rFonts w:ascii="Palatino Linotype" w:hAnsi="Palatino Linotype" w:cs="Tahoma"/>
          <w:color w:val="0D0D0D" w:themeColor="text1" w:themeTint="F2"/>
        </w:rPr>
        <w:t>dos años cinco meses</w:t>
      </w:r>
      <w:r w:rsidRPr="00B53D45">
        <w:rPr>
          <w:rFonts w:ascii="Palatino Linotype" w:hAnsi="Palatino Linotype" w:cs="Tahoma"/>
          <w:color w:val="0D0D0D" w:themeColor="text1" w:themeTint="F2"/>
        </w:rPr>
        <w:t>,</w:t>
      </w:r>
      <w:r w:rsidR="00F85CD5" w:rsidRPr="00B53D45">
        <w:rPr>
          <w:rFonts w:ascii="Palatino Linotype" w:hAnsi="Palatino Linotype" w:cs="Tahoma"/>
          <w:color w:val="0D0D0D" w:themeColor="text1" w:themeTint="F2"/>
        </w:rPr>
        <w:t xml:space="preserve"> se tienen que</w:t>
      </w:r>
      <w:r w:rsidRPr="00B53D45">
        <w:rPr>
          <w:rFonts w:ascii="Palatino Linotype" w:hAnsi="Palatino Linotype" w:cs="Tahoma"/>
          <w:color w:val="0D0D0D" w:themeColor="text1" w:themeTint="F2"/>
        </w:rPr>
        <w:t xml:space="preserve"> ante la negativa de acceso a la información o su inexistencia, el sujeto obligado deberá demostrar que encuentra en alguna de las excepciones establecidas en la normatividad aplicable. </w:t>
      </w:r>
      <w:r w:rsidRPr="00B53D45">
        <w:rPr>
          <w:rFonts w:ascii="Palatino Linotype" w:hAnsi="Palatino Linotype" w:cs="Arial"/>
          <w:bCs/>
          <w:color w:val="0D0D0D" w:themeColor="text1" w:themeTint="F2"/>
        </w:rPr>
        <w:t>En ese sentido, según Trujillo, Humberto (2019), en el “Diccionario de Transparencia y Acceso a la Información Pública” (p. 201), la negativa de acceso a la información</w:t>
      </w:r>
      <w:r w:rsidRPr="00B53D45">
        <w:rPr>
          <w:rFonts w:ascii="Palatino Linotype" w:hAnsi="Palatino Linotype" w:cs="Arial"/>
          <w:b/>
          <w:bCs/>
          <w:color w:val="0D0D0D" w:themeColor="text1" w:themeTint="F2"/>
        </w:rPr>
        <w:t xml:space="preserve"> </w:t>
      </w:r>
      <w:r w:rsidRPr="00B53D45">
        <w:rPr>
          <w:rFonts w:ascii="Palatino Linotype" w:hAnsi="Palatino Linotype" w:cs="Arial"/>
          <w:bCs/>
          <w:color w:val="0D0D0D" w:themeColor="text1" w:themeTint="F2"/>
        </w:rPr>
        <w:t xml:space="preserve">ocurre cuanto de manera fundada y motivada, una autoridad la niega o la limita, por alguna de las siguientes razones: </w:t>
      </w:r>
    </w:p>
    <w:p w14:paraId="24F3E0BB" w14:textId="77777777" w:rsidR="00F55CDD" w:rsidRPr="00B53D45" w:rsidRDefault="00F55CDD" w:rsidP="00E1797B">
      <w:pPr>
        <w:spacing w:line="360" w:lineRule="auto"/>
        <w:contextualSpacing/>
        <w:jc w:val="both"/>
        <w:rPr>
          <w:rFonts w:ascii="Palatino Linotype" w:hAnsi="Palatino Linotype" w:cs="Arial"/>
          <w:bCs/>
          <w:color w:val="0D0D0D" w:themeColor="text1" w:themeTint="F2"/>
        </w:rPr>
      </w:pPr>
    </w:p>
    <w:p w14:paraId="3B012A0B" w14:textId="77777777" w:rsidR="00F55CDD" w:rsidRPr="00B53D45" w:rsidRDefault="00F55CDD" w:rsidP="007B6A50">
      <w:pPr>
        <w:numPr>
          <w:ilvl w:val="0"/>
          <w:numId w:val="22"/>
        </w:numPr>
        <w:ind w:left="709" w:right="567" w:hanging="142"/>
        <w:contextualSpacing/>
        <w:jc w:val="both"/>
        <w:rPr>
          <w:rFonts w:ascii="Palatino Linotype" w:hAnsi="Palatino Linotype" w:cs="Arial"/>
          <w:b/>
          <w:bCs/>
          <w:i/>
          <w:color w:val="0D0D0D" w:themeColor="text1" w:themeTint="F2"/>
        </w:rPr>
      </w:pPr>
      <w:r w:rsidRPr="00B53D45">
        <w:rPr>
          <w:rFonts w:ascii="Palatino Linotype" w:hAnsi="Palatino Linotype" w:cs="Arial"/>
          <w:b/>
          <w:bCs/>
          <w:i/>
          <w:color w:val="0D0D0D" w:themeColor="text1" w:themeTint="F2"/>
        </w:rPr>
        <w:lastRenderedPageBreak/>
        <w:t xml:space="preserve">La inexistencia de la información (p. 171): </w:t>
      </w:r>
      <w:r w:rsidRPr="00B53D45">
        <w:rPr>
          <w:rFonts w:ascii="Palatino Linotype" w:hAnsi="Palatino Linotype" w:cs="Arial"/>
          <w:bCs/>
          <w:i/>
          <w:color w:val="0D0D0D" w:themeColor="text1" w:themeTint="F2"/>
        </w:rPr>
        <w:t>Sucede cuando la información solicitada no se encuentra en los archivos públicos o clasificados de los entes sujetos a las Leyes de Transparencia.</w:t>
      </w:r>
    </w:p>
    <w:p w14:paraId="36B6C61B" w14:textId="77777777" w:rsidR="00F55CDD" w:rsidRPr="00B53D45" w:rsidRDefault="00F55CDD" w:rsidP="007B6A50">
      <w:pPr>
        <w:ind w:left="709" w:hanging="142"/>
        <w:contextualSpacing/>
        <w:jc w:val="both"/>
        <w:rPr>
          <w:rFonts w:ascii="Palatino Linotype" w:hAnsi="Palatino Linotype" w:cs="Arial"/>
          <w:b/>
          <w:bCs/>
          <w:i/>
          <w:color w:val="0D0D0D" w:themeColor="text1" w:themeTint="F2"/>
        </w:rPr>
      </w:pPr>
    </w:p>
    <w:p w14:paraId="1CDAD90C" w14:textId="77777777" w:rsidR="00F55CDD" w:rsidRPr="00B53D45" w:rsidRDefault="00F55CDD" w:rsidP="007B6A50">
      <w:pPr>
        <w:numPr>
          <w:ilvl w:val="0"/>
          <w:numId w:val="22"/>
        </w:numPr>
        <w:ind w:left="709" w:right="567" w:hanging="142"/>
        <w:contextualSpacing/>
        <w:jc w:val="both"/>
        <w:rPr>
          <w:rFonts w:ascii="Palatino Linotype" w:hAnsi="Palatino Linotype" w:cs="Arial"/>
          <w:b/>
          <w:bCs/>
          <w:i/>
          <w:color w:val="0D0D0D" w:themeColor="text1" w:themeTint="F2"/>
        </w:rPr>
      </w:pPr>
      <w:r w:rsidRPr="00B53D45">
        <w:rPr>
          <w:rFonts w:ascii="Palatino Linotype" w:hAnsi="Palatino Linotype" w:cs="Arial"/>
          <w:b/>
          <w:bCs/>
          <w:i/>
          <w:color w:val="0D0D0D" w:themeColor="text1" w:themeTint="F2"/>
        </w:rPr>
        <w:t xml:space="preserve">La incompetencia del Sujeto Obligado (p. 171): </w:t>
      </w:r>
      <w:r w:rsidRPr="00B53D45">
        <w:rPr>
          <w:rFonts w:ascii="Palatino Linotype" w:hAnsi="Palatino Linotype" w:cs="Arial"/>
          <w:bCs/>
          <w:i/>
          <w:color w:val="0D0D0D" w:themeColor="text1" w:themeTint="F2"/>
        </w:rPr>
        <w:t>Ocurre cuando el Sujeto Obligado carece de atribuciones para poseer la información peticionada.</w:t>
      </w:r>
    </w:p>
    <w:p w14:paraId="12C54FAB" w14:textId="77777777" w:rsidR="00F55CDD" w:rsidRPr="00B53D45" w:rsidRDefault="00F55CDD" w:rsidP="007B6A50">
      <w:pPr>
        <w:ind w:left="709" w:hanging="142"/>
        <w:contextualSpacing/>
        <w:jc w:val="both"/>
        <w:rPr>
          <w:rFonts w:ascii="Palatino Linotype" w:hAnsi="Palatino Linotype" w:cs="Arial"/>
          <w:b/>
          <w:bCs/>
          <w:i/>
          <w:color w:val="0D0D0D" w:themeColor="text1" w:themeTint="F2"/>
        </w:rPr>
      </w:pPr>
    </w:p>
    <w:p w14:paraId="368E1057" w14:textId="77777777" w:rsidR="00F55CDD" w:rsidRPr="00B53D45" w:rsidRDefault="00F55CDD" w:rsidP="007B6A50">
      <w:pPr>
        <w:numPr>
          <w:ilvl w:val="0"/>
          <w:numId w:val="22"/>
        </w:numPr>
        <w:ind w:left="709" w:right="567" w:hanging="142"/>
        <w:contextualSpacing/>
        <w:jc w:val="both"/>
        <w:rPr>
          <w:rFonts w:ascii="Palatino Linotype" w:hAnsi="Palatino Linotype" w:cs="Arial"/>
          <w:b/>
          <w:bCs/>
          <w:i/>
          <w:color w:val="0D0D0D" w:themeColor="text1" w:themeTint="F2"/>
        </w:rPr>
      </w:pPr>
      <w:r w:rsidRPr="00B53D45">
        <w:rPr>
          <w:rFonts w:ascii="Palatino Linotype" w:hAnsi="Palatino Linotype" w:cs="Arial"/>
          <w:b/>
          <w:bCs/>
          <w:i/>
          <w:color w:val="0D0D0D" w:themeColor="text1" w:themeTint="F2"/>
        </w:rPr>
        <w:t xml:space="preserve">La clasificación de la información (p. 70): </w:t>
      </w:r>
      <w:r w:rsidRPr="00B53D45">
        <w:rPr>
          <w:rFonts w:ascii="Palatino Linotype" w:hAnsi="Palatino Linotype" w:cs="Arial"/>
          <w:bCs/>
          <w:i/>
          <w:color w:val="0D0D0D" w:themeColor="text1" w:themeTint="F2"/>
        </w:rPr>
        <w:t>Es el proceso o conjunto de acciones que realizan los sujetos obligados para establecer que determinada información se encuentra en alguno de los supuestos de reserva o confidencialidad establecidos en la legislación en materia de transparencia.</w:t>
      </w:r>
    </w:p>
    <w:p w14:paraId="03159C72" w14:textId="77777777" w:rsidR="00F55CDD" w:rsidRPr="00B53D45" w:rsidRDefault="00F55CDD" w:rsidP="00E1797B">
      <w:pPr>
        <w:spacing w:line="360" w:lineRule="auto"/>
        <w:contextualSpacing/>
        <w:jc w:val="both"/>
        <w:rPr>
          <w:rFonts w:ascii="Palatino Linotype" w:hAnsi="Palatino Linotype" w:cs="Tahoma"/>
          <w:color w:val="0D0D0D" w:themeColor="text1" w:themeTint="F2"/>
        </w:rPr>
      </w:pPr>
    </w:p>
    <w:p w14:paraId="6F1F75C9" w14:textId="77777777" w:rsidR="00F55CDD" w:rsidRPr="00B53D45" w:rsidRDefault="00F55CDD" w:rsidP="00E1797B">
      <w:pPr>
        <w:pStyle w:val="Prrafodelista"/>
        <w:numPr>
          <w:ilvl w:val="0"/>
          <w:numId w:val="1"/>
        </w:numPr>
        <w:spacing w:line="360" w:lineRule="auto"/>
        <w:jc w:val="both"/>
        <w:rPr>
          <w:rFonts w:ascii="Palatino Linotype" w:hAnsi="Palatino Linotype" w:cs="Tahoma"/>
          <w:b/>
          <w:bCs/>
          <w:iCs/>
          <w:color w:val="0D0D0D" w:themeColor="text1" w:themeTint="F2"/>
          <w:lang w:val="es-ES"/>
        </w:rPr>
      </w:pPr>
      <w:r w:rsidRPr="00B53D45">
        <w:rPr>
          <w:rFonts w:ascii="Palatino Linotype" w:hAnsi="Palatino Linotype" w:cs="Tahoma"/>
          <w:color w:val="0D0D0D" w:themeColor="text1" w:themeTint="F2"/>
        </w:rPr>
        <w:t>En ese orden de ideas y en atención a lo anterior, es de señalar que l</w:t>
      </w:r>
      <w:r w:rsidRPr="00B53D45">
        <w:rPr>
          <w:rFonts w:ascii="Palatino Linotype" w:hAnsi="Palatino Linotype" w:cs="Tahoma"/>
          <w:color w:val="0D0D0D" w:themeColor="text1" w:themeTint="F2"/>
          <w:lang w:val="es-ES"/>
        </w:rPr>
        <w:t xml:space="preserve">as </w:t>
      </w:r>
      <w:r w:rsidRPr="00B53D45">
        <w:rPr>
          <w:rFonts w:ascii="Palatino Linotype" w:hAnsi="Palatino Linotype" w:cs="Tahoma"/>
          <w:bCs/>
          <w:iCs/>
          <w:color w:val="0D0D0D" w:themeColor="text1" w:themeTint="F2"/>
          <w:lang w:val="es-ES"/>
        </w:rPr>
        <w:t xml:space="preserve">excepciones al derecho de acceso a la información, consisten en que la documentación sea inexistente, </w:t>
      </w:r>
      <w:r w:rsidRPr="00B53D45">
        <w:rPr>
          <w:rFonts w:ascii="Palatino Linotype" w:hAnsi="Palatino Linotype" w:cs="Tahoma"/>
          <w:b/>
          <w:bCs/>
          <w:iCs/>
          <w:color w:val="0D0D0D" w:themeColor="text1" w:themeTint="F2"/>
          <w:lang w:val="es-ES"/>
        </w:rPr>
        <w:t>se encuentre clasificada</w:t>
      </w:r>
      <w:r w:rsidRPr="00B53D45">
        <w:rPr>
          <w:rFonts w:ascii="Palatino Linotype" w:hAnsi="Palatino Linotype" w:cs="Tahoma"/>
          <w:bCs/>
          <w:iCs/>
          <w:color w:val="0D0D0D" w:themeColor="text1" w:themeTint="F2"/>
          <w:lang w:val="es-ES"/>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B53D45">
        <w:rPr>
          <w:rFonts w:ascii="Palatino Linotype" w:hAnsi="Palatino Linotype" w:cs="Tahoma"/>
          <w:b/>
          <w:bCs/>
          <w:iCs/>
          <w:color w:val="0D0D0D" w:themeColor="text1" w:themeTint="F2"/>
          <w:lang w:val="es-ES"/>
        </w:rPr>
        <w:t>confidenciales o reservados.</w:t>
      </w:r>
    </w:p>
    <w:p w14:paraId="24F69EF4" w14:textId="77777777" w:rsidR="00F55CDD" w:rsidRPr="00B53D45" w:rsidRDefault="00F55CDD" w:rsidP="00E1797B">
      <w:pPr>
        <w:spacing w:line="360" w:lineRule="auto"/>
        <w:contextualSpacing/>
        <w:jc w:val="both"/>
        <w:rPr>
          <w:rFonts w:ascii="Palatino Linotype" w:hAnsi="Palatino Linotype" w:cs="Tahoma"/>
          <w:bCs/>
          <w:iCs/>
          <w:color w:val="0D0D0D" w:themeColor="text1" w:themeTint="F2"/>
          <w:lang w:val="es-ES"/>
        </w:rPr>
      </w:pPr>
    </w:p>
    <w:p w14:paraId="243CB5A8" w14:textId="77777777" w:rsidR="00F55CDD" w:rsidRPr="00B53D45" w:rsidRDefault="00F55CDD" w:rsidP="00E1797B">
      <w:pPr>
        <w:pStyle w:val="Prrafodelista"/>
        <w:numPr>
          <w:ilvl w:val="0"/>
          <w:numId w:val="1"/>
        </w:numPr>
        <w:spacing w:line="360" w:lineRule="auto"/>
        <w:jc w:val="both"/>
        <w:rPr>
          <w:rFonts w:ascii="Palatino Linotype" w:hAnsi="Palatino Linotype" w:cs="Tahoma"/>
          <w:color w:val="0D0D0D" w:themeColor="text1" w:themeTint="F2"/>
          <w:lang w:val="es-ES"/>
        </w:rPr>
      </w:pPr>
      <w:r w:rsidRPr="00B53D45">
        <w:rPr>
          <w:rFonts w:ascii="Palatino Linotype" w:hAnsi="Palatino Linotype" w:cs="Tahoma"/>
          <w:color w:val="0D0D0D" w:themeColor="text1" w:themeTint="F2"/>
        </w:rPr>
        <w:t xml:space="preserve">Así, en los artículos 122, 128 y 130 de la Ley Transparencia y Acceso a la Información Pública del Estado de México y Municipios, se prevé que </w:t>
      </w:r>
      <w:r w:rsidRPr="00B53D45">
        <w:rPr>
          <w:rFonts w:ascii="Palatino Linotype" w:hAnsi="Palatino Linotype" w:cs="Tahoma"/>
          <w:b/>
          <w:color w:val="0D0D0D" w:themeColor="text1" w:themeTint="F2"/>
        </w:rPr>
        <w:t xml:space="preserve">la clasificación </w:t>
      </w:r>
      <w:r w:rsidRPr="00B53D45">
        <w:rPr>
          <w:rFonts w:ascii="Palatino Linotype" w:hAnsi="Palatino Linotype" w:cs="Tahoma"/>
          <w:color w:val="0D0D0D" w:themeColor="text1" w:themeTint="F2"/>
        </w:rPr>
        <w:t xml:space="preserve">es el proceso mediante el cual los sujetos obligados determinan que la información en su poder, actualiza alguno de los supuestos de reserva o confidencialidad. </w:t>
      </w:r>
      <w:r w:rsidRPr="00B53D45">
        <w:rPr>
          <w:rFonts w:ascii="Palatino Linotype" w:hAnsi="Palatino Linotype" w:cs="Tahoma"/>
          <w:color w:val="0D0D0D" w:themeColor="text1" w:themeTint="F2"/>
          <w:lang w:val="es-ES"/>
        </w:rPr>
        <w:t>Además, que dichos entes deberán aplicar de manera restrictiva y limitada, las excepciones al derecho de acceso a la información, por lo que, tendrán que acreditar la procedencia.</w:t>
      </w:r>
    </w:p>
    <w:p w14:paraId="4811BEA7" w14:textId="77777777" w:rsidR="00F55CDD" w:rsidRPr="00B53D45" w:rsidRDefault="00F55CDD" w:rsidP="00E1797B">
      <w:pPr>
        <w:spacing w:line="360" w:lineRule="auto"/>
        <w:contextualSpacing/>
        <w:jc w:val="both"/>
        <w:rPr>
          <w:rFonts w:ascii="Palatino Linotype" w:hAnsi="Palatino Linotype" w:cs="Tahoma"/>
          <w:color w:val="0D0D0D" w:themeColor="text1" w:themeTint="F2"/>
        </w:rPr>
      </w:pPr>
    </w:p>
    <w:p w14:paraId="6BCBF797" w14:textId="77777777" w:rsidR="00F55CDD" w:rsidRPr="00B53D45" w:rsidRDefault="00F55CDD" w:rsidP="00E1797B">
      <w:pPr>
        <w:pStyle w:val="Prrafodelista"/>
        <w:numPr>
          <w:ilvl w:val="0"/>
          <w:numId w:val="1"/>
        </w:numPr>
        <w:spacing w:line="360" w:lineRule="auto"/>
        <w:jc w:val="both"/>
        <w:rPr>
          <w:rFonts w:ascii="Palatino Linotype" w:hAnsi="Palatino Linotype" w:cs="Tahoma"/>
          <w:color w:val="0D0D0D" w:themeColor="text1" w:themeTint="F2"/>
          <w:lang w:val="es-ES"/>
        </w:rPr>
      </w:pPr>
      <w:r w:rsidRPr="00B53D45">
        <w:rPr>
          <w:rFonts w:ascii="Palatino Linotype" w:hAnsi="Palatino Linotype" w:cs="Tahoma"/>
          <w:color w:val="0D0D0D" w:themeColor="text1" w:themeTint="F2"/>
          <w:lang w:val="es-ES"/>
        </w:rPr>
        <w:t xml:space="preserve">Por lo cual, en los casos en que se niegue el acceso a la información, por actualizarse alguno de los supuestos de clasificación, </w:t>
      </w:r>
      <w:r w:rsidRPr="00B53D45">
        <w:rPr>
          <w:rFonts w:ascii="Palatino Linotype" w:hAnsi="Palatino Linotype" w:cs="Tahoma"/>
          <w:b/>
          <w:color w:val="0D0D0D" w:themeColor="text1" w:themeTint="F2"/>
          <w:lang w:val="es-ES"/>
        </w:rPr>
        <w:t xml:space="preserve">el Comité de Transparencia deberá confirmar, </w:t>
      </w:r>
      <w:r w:rsidRPr="00B53D45">
        <w:rPr>
          <w:rFonts w:ascii="Palatino Linotype" w:hAnsi="Palatino Linotype" w:cs="Tahoma"/>
          <w:b/>
          <w:color w:val="0D0D0D" w:themeColor="text1" w:themeTint="F2"/>
          <w:lang w:val="es-ES"/>
        </w:rPr>
        <w:lastRenderedPageBreak/>
        <w:t xml:space="preserve">modificar o revocar la decisión; </w:t>
      </w:r>
      <w:r w:rsidRPr="00B53D45">
        <w:rPr>
          <w:rFonts w:ascii="Palatino Linotype" w:hAnsi="Palatino Linotype" w:cs="Tahoma"/>
          <w:color w:val="0D0D0D" w:themeColor="text1" w:themeTint="F2"/>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0AE63D6A" w14:textId="77777777" w:rsidR="00F55CDD" w:rsidRPr="00B53D45" w:rsidRDefault="00F55CDD" w:rsidP="00E1797B">
      <w:pPr>
        <w:spacing w:line="360" w:lineRule="auto"/>
        <w:contextualSpacing/>
        <w:jc w:val="both"/>
        <w:rPr>
          <w:rFonts w:ascii="Palatino Linotype" w:hAnsi="Palatino Linotype" w:cs="Tahoma"/>
          <w:color w:val="0D0D0D" w:themeColor="text1" w:themeTint="F2"/>
          <w:lang w:val="es-ES"/>
        </w:rPr>
      </w:pPr>
    </w:p>
    <w:p w14:paraId="3DCED22A" w14:textId="77777777" w:rsidR="00F55CDD" w:rsidRPr="00B53D45" w:rsidRDefault="00F55CDD" w:rsidP="00E1797B">
      <w:pPr>
        <w:pStyle w:val="Prrafodelista"/>
        <w:numPr>
          <w:ilvl w:val="0"/>
          <w:numId w:val="1"/>
        </w:numPr>
        <w:spacing w:line="360" w:lineRule="auto"/>
        <w:jc w:val="both"/>
        <w:rPr>
          <w:rFonts w:ascii="Palatino Linotype" w:hAnsi="Palatino Linotype" w:cs="Arial"/>
          <w:b/>
          <w:bCs/>
          <w:color w:val="0D0D0D" w:themeColor="text1" w:themeTint="F2"/>
        </w:rPr>
      </w:pPr>
      <w:r w:rsidRPr="00B53D45">
        <w:rPr>
          <w:rFonts w:ascii="Palatino Linotype" w:hAnsi="Palatino Linotype" w:cs="Tahoma"/>
          <w:color w:val="0D0D0D" w:themeColor="text1" w:themeTint="F2"/>
          <w:lang w:val="es-ES"/>
        </w:rPr>
        <w:t xml:space="preserve">Por su parte, </w:t>
      </w:r>
      <w:r w:rsidRPr="00B53D45">
        <w:rPr>
          <w:rFonts w:ascii="Palatino Linotype" w:hAnsi="Palatino Linotype" w:cs="Arial"/>
          <w:bCs/>
          <w:color w:val="0D0D0D" w:themeColor="text1" w:themeTint="F2"/>
        </w:rPr>
        <w:t xml:space="preserve">según Bonifaz, Leticia (2016), en la “Ley General de Transparencia y Acceso a la Información Pública Comentada” (p. 342), la </w:t>
      </w:r>
      <w:r w:rsidRPr="00B53D45">
        <w:rPr>
          <w:rFonts w:ascii="Palatino Linotype" w:hAnsi="Palatino Linotype" w:cs="Arial"/>
          <w:b/>
          <w:bCs/>
          <w:color w:val="0D0D0D" w:themeColor="text1" w:themeTint="F2"/>
        </w:rPr>
        <w:t>clasificación de la información</w:t>
      </w:r>
      <w:r w:rsidRPr="00B53D45">
        <w:rPr>
          <w:rFonts w:ascii="Palatino Linotype" w:hAnsi="Palatino Linotype" w:cs="Arial"/>
          <w:bCs/>
          <w:color w:val="0D0D0D" w:themeColor="text1" w:themeTint="F2"/>
        </w:rPr>
        <w:t xml:space="preserve">, ocurre cuando la autoridad niega el acceso a esta, </w:t>
      </w:r>
      <w:r w:rsidRPr="00B53D45">
        <w:rPr>
          <w:rFonts w:ascii="Palatino Linotype" w:hAnsi="Palatino Linotype" w:cs="Arial"/>
          <w:b/>
          <w:bCs/>
          <w:color w:val="0D0D0D" w:themeColor="text1" w:themeTint="F2"/>
        </w:rPr>
        <w:t>por ser confidencial o reservada</w:t>
      </w:r>
      <w:r w:rsidRPr="00B53D45">
        <w:rPr>
          <w:rFonts w:ascii="Palatino Linotype" w:hAnsi="Palatino Linotype" w:cs="Arial"/>
          <w:bCs/>
          <w:color w:val="0D0D0D" w:themeColor="text1" w:themeTint="F2"/>
        </w:rPr>
        <w:t xml:space="preserve">, para lo cual, los sujetos obligados, deberán realizar el proceso de clasificación, a la luz de los principios y disposiciones establecidas en las Leyes de Transparencia, fundando y motivando, </w:t>
      </w:r>
      <w:r w:rsidRPr="00B53D45">
        <w:rPr>
          <w:rFonts w:ascii="Palatino Linotype" w:hAnsi="Palatino Linotype" w:cs="Arial"/>
          <w:b/>
          <w:bCs/>
          <w:color w:val="0D0D0D" w:themeColor="text1" w:themeTint="F2"/>
        </w:rPr>
        <w:t>de manera adecuada la negativa de información.</w:t>
      </w:r>
    </w:p>
    <w:p w14:paraId="42617A1D" w14:textId="77777777" w:rsidR="00F55CDD" w:rsidRPr="00B53D45" w:rsidRDefault="00F55CDD" w:rsidP="00E1797B">
      <w:pPr>
        <w:pStyle w:val="Prrafodelista"/>
        <w:spacing w:line="360" w:lineRule="auto"/>
        <w:rPr>
          <w:rFonts w:ascii="Palatino Linotype" w:hAnsi="Palatino Linotype" w:cs="Arial"/>
          <w:b/>
          <w:bCs/>
          <w:color w:val="0D0D0D" w:themeColor="text1" w:themeTint="F2"/>
        </w:rPr>
      </w:pPr>
    </w:p>
    <w:p w14:paraId="309670BF" w14:textId="198A047F" w:rsidR="00F55CDD" w:rsidRPr="00B53D45" w:rsidRDefault="00F55CDD" w:rsidP="00E1797B">
      <w:pPr>
        <w:pStyle w:val="Prrafodelista"/>
        <w:numPr>
          <w:ilvl w:val="0"/>
          <w:numId w:val="1"/>
        </w:numPr>
        <w:spacing w:line="360" w:lineRule="auto"/>
        <w:jc w:val="both"/>
        <w:rPr>
          <w:rFonts w:ascii="Palatino Linotype" w:hAnsi="Palatino Linotype" w:cs="Tahoma"/>
          <w:b/>
          <w:color w:val="0D0D0D" w:themeColor="text1" w:themeTint="F2"/>
        </w:rPr>
      </w:pPr>
      <w:r w:rsidRPr="00B53D45">
        <w:rPr>
          <w:rFonts w:ascii="Palatino Linotype" w:hAnsi="Palatino Linotype"/>
        </w:rPr>
        <w:t>En el presente caso, el Sujeto Obligado no señaló inexistente la información sino que precisó que no podía proporcionarla al ser reservada</w:t>
      </w:r>
      <w:r w:rsidRPr="00B53D45">
        <w:rPr>
          <w:rFonts w:ascii="Palatino Linotype" w:hAnsi="Palatino Linotype" w:cs="Tahoma"/>
          <w:color w:val="0D0D0D" w:themeColor="text1" w:themeTint="F2"/>
        </w:rPr>
        <w:t xml:space="preserve">; es decir, aludió a una clasificación. </w:t>
      </w:r>
      <w:r w:rsidRPr="00B53D45">
        <w:rPr>
          <w:rFonts w:ascii="Palatino Linotype" w:eastAsia="Calibri" w:hAnsi="Palatino Linotype" w:cs="Tahoma"/>
          <w:bCs/>
          <w:color w:val="0D0D0D" w:themeColor="text1" w:themeTint="F2"/>
        </w:rPr>
        <w:t>Conforme a lo anterior, se negó el acceso a la información peticionada por la parte Recurrente, al co</w:t>
      </w:r>
      <w:r w:rsidR="00BB71E9" w:rsidRPr="00B53D45">
        <w:rPr>
          <w:rFonts w:ascii="Palatino Linotype" w:eastAsia="Calibri" w:hAnsi="Palatino Linotype" w:cs="Tahoma"/>
          <w:bCs/>
          <w:color w:val="0D0D0D" w:themeColor="text1" w:themeTint="F2"/>
        </w:rPr>
        <w:t>nsiderar que estaba clasificada</w:t>
      </w:r>
      <w:r w:rsidRPr="00B53D45">
        <w:rPr>
          <w:rFonts w:ascii="Palatino Linotype" w:hAnsi="Palatino Linotype" w:cs="Tahoma"/>
          <w:b/>
          <w:color w:val="0D0D0D" w:themeColor="text1" w:themeTint="F2"/>
          <w:u w:val="single"/>
        </w:rPr>
        <w:t>.</w:t>
      </w:r>
    </w:p>
    <w:p w14:paraId="16700A6F" w14:textId="77777777" w:rsidR="00F55CDD" w:rsidRPr="00B53D45" w:rsidRDefault="00F55CDD" w:rsidP="00E1797B">
      <w:pPr>
        <w:spacing w:line="360" w:lineRule="auto"/>
        <w:jc w:val="both"/>
        <w:rPr>
          <w:rFonts w:ascii="Palatino Linotype" w:hAnsi="Palatino Linotype" w:cs="Tahoma"/>
          <w:b/>
          <w:color w:val="0D0D0D" w:themeColor="text1" w:themeTint="F2"/>
        </w:rPr>
      </w:pPr>
    </w:p>
    <w:p w14:paraId="4DDC9665" w14:textId="36A93190" w:rsidR="00F55CDD" w:rsidRPr="00B53D45" w:rsidRDefault="006208AD" w:rsidP="00E1797B">
      <w:pPr>
        <w:pStyle w:val="Prrafodelista"/>
        <w:numPr>
          <w:ilvl w:val="0"/>
          <w:numId w:val="1"/>
        </w:numPr>
        <w:spacing w:line="360" w:lineRule="auto"/>
        <w:jc w:val="both"/>
        <w:rPr>
          <w:rFonts w:ascii="Palatino Linotype" w:hAnsi="Palatino Linotype" w:cs="Tahoma"/>
          <w:lang w:val="es-ES"/>
        </w:rPr>
      </w:pPr>
      <w:r w:rsidRPr="00B53D45">
        <w:rPr>
          <w:rFonts w:ascii="Palatino Linotype" w:hAnsi="Palatino Linotype" w:cs="Tahoma"/>
          <w:lang w:val="es-ES"/>
        </w:rPr>
        <w:t>En ese sentido, e</w:t>
      </w:r>
      <w:r w:rsidR="00F55CDD" w:rsidRPr="00B53D45">
        <w:rPr>
          <w:rFonts w:ascii="Palatino Linotype" w:hAnsi="Palatino Linotype" w:cs="Tahoma"/>
          <w:lang w:val="es-ES"/>
        </w:rPr>
        <w:t xml:space="preserve">ste Instituto advierte que proporcionar </w:t>
      </w:r>
      <w:r w:rsidRPr="00B53D45">
        <w:rPr>
          <w:rFonts w:ascii="Palatino Linotype" w:hAnsi="Palatino Linotype" w:cs="Tahoma"/>
          <w:lang w:val="es-ES"/>
        </w:rPr>
        <w:t>los Manuales o lineamientos de operación vigentes de la Dirección de Seguridad</w:t>
      </w:r>
      <w:r w:rsidR="00F55CDD" w:rsidRPr="00B53D45">
        <w:rPr>
          <w:rFonts w:ascii="Palatino Linotype" w:hAnsi="Palatino Linotype" w:cs="Tahoma"/>
          <w:lang w:val="es-ES"/>
        </w:rPr>
        <w:t xml:space="preserve">, </w:t>
      </w:r>
      <w:r w:rsidRPr="00B53D45">
        <w:rPr>
          <w:rFonts w:ascii="Palatino Linotype" w:hAnsi="Palatino Linotype" w:cs="Tahoma"/>
          <w:lang w:val="es-ES"/>
        </w:rPr>
        <w:t xml:space="preserve">no </w:t>
      </w:r>
      <w:r w:rsidR="00F55CDD" w:rsidRPr="00B53D45">
        <w:rPr>
          <w:rFonts w:ascii="Palatino Linotype" w:hAnsi="Palatino Linotype" w:cs="Tahoma"/>
          <w:lang w:val="es-ES"/>
        </w:rPr>
        <w:t>puede</w:t>
      </w:r>
      <w:r w:rsidRPr="00B53D45">
        <w:rPr>
          <w:rFonts w:ascii="Palatino Linotype" w:hAnsi="Palatino Linotype" w:cs="Tahoma"/>
          <w:lang w:val="es-ES"/>
        </w:rPr>
        <w:t>n</w:t>
      </w:r>
      <w:r w:rsidR="00F55CDD" w:rsidRPr="00B53D45">
        <w:rPr>
          <w:rFonts w:ascii="Palatino Linotype" w:hAnsi="Palatino Linotype" w:cs="Tahoma"/>
          <w:lang w:val="es-ES"/>
        </w:rPr>
        <w:t xml:space="preserve"> causar daño</w:t>
      </w:r>
      <w:r w:rsidRPr="00B53D45">
        <w:rPr>
          <w:rFonts w:ascii="Palatino Linotype" w:hAnsi="Palatino Linotype" w:cs="Tahoma"/>
          <w:lang w:val="es-ES"/>
        </w:rPr>
        <w:t>, toda vez que se trata de un documento en el que se establece la forma en que se llevaran a cabo las actividades de manera secuencial y cronológica y no así de especificaciones (como tiempo, modo, lugar y/o nombre del personal que participa) concretas de</w:t>
      </w:r>
      <w:r w:rsidR="005036E7" w:rsidRPr="00B53D45">
        <w:rPr>
          <w:rFonts w:ascii="Palatino Linotype" w:hAnsi="Palatino Linotype" w:cs="Tahoma"/>
          <w:lang w:val="es-ES"/>
        </w:rPr>
        <w:t xml:space="preserve"> las actividades realizadas o a realizar dentro del municipio por elementos operativos</w:t>
      </w:r>
      <w:r w:rsidR="00F55CDD" w:rsidRPr="00B53D45">
        <w:rPr>
          <w:rFonts w:ascii="Palatino Linotype" w:hAnsi="Palatino Linotype" w:cs="Tahoma"/>
          <w:lang w:val="es-ES"/>
        </w:rPr>
        <w:t>.</w:t>
      </w:r>
    </w:p>
    <w:p w14:paraId="22828865" w14:textId="77777777" w:rsidR="00F55CDD" w:rsidRPr="00B53D45" w:rsidRDefault="00F55CDD" w:rsidP="00E1797B">
      <w:pPr>
        <w:spacing w:line="360" w:lineRule="auto"/>
        <w:jc w:val="both"/>
        <w:rPr>
          <w:rFonts w:ascii="Palatino Linotype" w:hAnsi="Palatino Linotype" w:cs="Tahoma"/>
          <w:lang w:val="es-ES"/>
        </w:rPr>
      </w:pPr>
    </w:p>
    <w:p w14:paraId="04B74D28" w14:textId="21C72630" w:rsidR="006D74D6" w:rsidRPr="00B53D45" w:rsidRDefault="00F55CDD" w:rsidP="006D74D6">
      <w:pPr>
        <w:pStyle w:val="Prrafodelista"/>
        <w:numPr>
          <w:ilvl w:val="0"/>
          <w:numId w:val="1"/>
        </w:numPr>
        <w:spacing w:line="360" w:lineRule="auto"/>
        <w:jc w:val="both"/>
        <w:rPr>
          <w:rFonts w:ascii="Palatino Linotype" w:eastAsia="Calibri" w:hAnsi="Palatino Linotype" w:cs="Tahoma"/>
          <w:b/>
          <w:bCs/>
          <w:lang w:eastAsia="en-US"/>
        </w:rPr>
      </w:pPr>
      <w:r w:rsidRPr="00B53D45">
        <w:rPr>
          <w:rFonts w:ascii="Palatino Linotype" w:eastAsia="Calibri" w:hAnsi="Palatino Linotype" w:cs="Tahoma"/>
          <w:bCs/>
          <w:lang w:eastAsia="en-US"/>
        </w:rPr>
        <w:lastRenderedPageBreak/>
        <w:t xml:space="preserve">Conforme a lo anterior, se puede colegir que proporcionar la información </w:t>
      </w:r>
      <w:r w:rsidR="005036E7" w:rsidRPr="00B53D45">
        <w:rPr>
          <w:rFonts w:ascii="Palatino Linotype" w:eastAsia="Calibri" w:hAnsi="Palatino Linotype" w:cs="Tahoma"/>
          <w:bCs/>
          <w:lang w:eastAsia="en-US"/>
        </w:rPr>
        <w:t xml:space="preserve">requerida por el particular no compromete </w:t>
      </w:r>
      <w:r w:rsidRPr="00B53D45">
        <w:rPr>
          <w:rFonts w:ascii="Palatino Linotype" w:eastAsia="Calibri" w:hAnsi="Palatino Linotype" w:cs="Tahoma"/>
          <w:bCs/>
          <w:lang w:eastAsia="en-US"/>
        </w:rPr>
        <w:t xml:space="preserve">la seguridad pública, </w:t>
      </w:r>
      <w:r w:rsidR="005036E7" w:rsidRPr="00B53D45">
        <w:rPr>
          <w:rFonts w:ascii="Palatino Linotype" w:eastAsia="Calibri" w:hAnsi="Palatino Linotype" w:cs="Tahoma"/>
          <w:bCs/>
          <w:lang w:eastAsia="en-US"/>
        </w:rPr>
        <w:t xml:space="preserve">ni mucho menos pone en peligro </w:t>
      </w:r>
      <w:r w:rsidRPr="00B53D45">
        <w:rPr>
          <w:rFonts w:ascii="Palatino Linotype" w:eastAsia="Calibri" w:hAnsi="Palatino Linotype" w:cs="Tahoma"/>
          <w:bCs/>
          <w:lang w:eastAsia="en-US"/>
        </w:rPr>
        <w:t>las funciones a cargo del Sujeto Obligado,</w:t>
      </w:r>
      <w:r w:rsidRPr="00B53D45">
        <w:rPr>
          <w:rFonts w:ascii="Palatino Linotype" w:hAnsi="Palatino Linotype"/>
        </w:rPr>
        <w:t xml:space="preserve"> </w:t>
      </w:r>
      <w:r w:rsidRPr="00B53D45">
        <w:rPr>
          <w:rFonts w:ascii="Palatino Linotype" w:eastAsia="Calibri" w:hAnsi="Palatino Linotype" w:cs="Tahoma"/>
          <w:bCs/>
          <w:lang w:eastAsia="en-US"/>
        </w:rPr>
        <w:t xml:space="preserve">por lo tanto, </w:t>
      </w:r>
      <w:r w:rsidR="005036E7" w:rsidRPr="00B53D45">
        <w:rPr>
          <w:rFonts w:ascii="Palatino Linotype" w:eastAsia="Calibri" w:hAnsi="Palatino Linotype" w:cs="Tahoma"/>
          <w:bCs/>
          <w:lang w:eastAsia="en-US"/>
        </w:rPr>
        <w:t xml:space="preserve">no </w:t>
      </w:r>
      <w:r w:rsidRPr="00B53D45">
        <w:rPr>
          <w:rFonts w:ascii="Palatino Linotype" w:eastAsia="Calibri" w:hAnsi="Palatino Linotype" w:cs="Tahoma"/>
          <w:bCs/>
          <w:lang w:eastAsia="en-US"/>
        </w:rPr>
        <w:t>acredita la causal de clasificación prevista en el artículo 140, fracción I de la Ley de Transparencia y Acceso a la Información Pública del Estado de México</w:t>
      </w:r>
      <w:r w:rsidRPr="00B53D45">
        <w:rPr>
          <w:rFonts w:ascii="Palatino Linotype" w:eastAsia="Calibri" w:hAnsi="Palatino Linotype" w:cs="Tahoma"/>
          <w:b/>
          <w:bCs/>
          <w:lang w:eastAsia="en-US"/>
        </w:rPr>
        <w:t>.</w:t>
      </w:r>
    </w:p>
    <w:p w14:paraId="0717AF6E" w14:textId="77777777" w:rsidR="006D74D6" w:rsidRPr="00B53D45" w:rsidRDefault="006D74D6" w:rsidP="006D74D6">
      <w:pPr>
        <w:pStyle w:val="Prrafodelista"/>
        <w:rPr>
          <w:rFonts w:ascii="Palatino Linotype" w:hAnsi="Palatino Linotype"/>
          <w:lang w:val="es-ES"/>
        </w:rPr>
      </w:pPr>
    </w:p>
    <w:p w14:paraId="32B1D5C5" w14:textId="25FA0EA9" w:rsidR="006D74D6" w:rsidRPr="00B53D45" w:rsidRDefault="006D74D6" w:rsidP="006D74D6">
      <w:pPr>
        <w:pStyle w:val="Prrafodelista"/>
        <w:numPr>
          <w:ilvl w:val="0"/>
          <w:numId w:val="1"/>
        </w:numPr>
        <w:spacing w:line="360" w:lineRule="auto"/>
        <w:jc w:val="both"/>
        <w:rPr>
          <w:rFonts w:ascii="Palatino Linotype" w:eastAsia="Calibri" w:hAnsi="Palatino Linotype" w:cs="Tahoma"/>
          <w:b/>
          <w:bCs/>
          <w:lang w:eastAsia="en-US"/>
        </w:rPr>
      </w:pPr>
      <w:r w:rsidRPr="00B53D45">
        <w:rPr>
          <w:rFonts w:ascii="Palatino Linotype" w:hAnsi="Palatino Linotype"/>
          <w:lang w:val="es-ES"/>
        </w:rPr>
        <w:t xml:space="preserve">Asimismo, resulta preciso señalar que las leyes en la materia, en términos generales, disponen que para proceder a realizar la reserva de la información, no basta que la información se refiera a alguno de los supuestos que enmarque, en el caso concreto, el artículo 140 </w:t>
      </w:r>
      <w:r w:rsidR="005036E7" w:rsidRPr="00B53D45">
        <w:rPr>
          <w:rFonts w:ascii="Palatino Linotype" w:hAnsi="Palatino Linotype"/>
          <w:lang w:val="es-ES"/>
        </w:rPr>
        <w:t>de nuestra Ley de Transparencia</w:t>
      </w:r>
      <w:r w:rsidRPr="00B53D45">
        <w:rPr>
          <w:rFonts w:ascii="Palatino Linotype" w:hAnsi="Palatino Linotype"/>
          <w:lang w:val="es-ES"/>
        </w:rPr>
        <w:t>; sino que es necesario, que la autoridad demuestre que la divulga</w:t>
      </w:r>
      <w:r w:rsidR="005036E7" w:rsidRPr="00B53D45">
        <w:rPr>
          <w:rFonts w:ascii="Palatino Linotype" w:hAnsi="Palatino Linotype"/>
          <w:lang w:val="es-ES"/>
        </w:rPr>
        <w:t>ción de la información</w:t>
      </w:r>
      <w:r w:rsidRPr="00B53D45">
        <w:rPr>
          <w:rFonts w:ascii="Palatino Linotype" w:hAnsi="Palatino Linotype"/>
          <w:lang w:val="es-ES"/>
        </w:rPr>
        <w:t>, puede causar un daño al interés público protegido</w:t>
      </w:r>
      <w:r w:rsidR="005036E7" w:rsidRPr="00B53D45">
        <w:rPr>
          <w:rFonts w:ascii="Palatino Linotype" w:hAnsi="Palatino Linotype"/>
          <w:lang w:val="es-ES"/>
        </w:rPr>
        <w:t>, lo cual no se advierte en el caso que nos ocupa</w:t>
      </w:r>
      <w:r w:rsidRPr="00B53D45">
        <w:rPr>
          <w:rFonts w:ascii="Palatino Linotype" w:hAnsi="Palatino Linotype"/>
          <w:lang w:val="es-ES"/>
        </w:rPr>
        <w:t>.</w:t>
      </w:r>
    </w:p>
    <w:p w14:paraId="6B62B2FE" w14:textId="77777777" w:rsidR="006D74D6" w:rsidRPr="00B53D45" w:rsidRDefault="006D74D6" w:rsidP="006D74D6">
      <w:pPr>
        <w:pStyle w:val="Prrafodelista"/>
        <w:rPr>
          <w:rFonts w:ascii="Palatino Linotype" w:hAnsi="Palatino Linotype"/>
          <w:lang w:val="es-ES"/>
        </w:rPr>
      </w:pPr>
    </w:p>
    <w:p w14:paraId="44799E9A" w14:textId="14BB1CB9" w:rsidR="006D74D6" w:rsidRPr="00B53D45" w:rsidRDefault="005036E7" w:rsidP="006D74D6">
      <w:pPr>
        <w:pStyle w:val="Prrafodelista"/>
        <w:numPr>
          <w:ilvl w:val="0"/>
          <w:numId w:val="1"/>
        </w:numPr>
        <w:spacing w:line="360" w:lineRule="auto"/>
        <w:jc w:val="both"/>
        <w:rPr>
          <w:rFonts w:ascii="Palatino Linotype" w:eastAsia="Calibri" w:hAnsi="Palatino Linotype" w:cs="Tahoma"/>
          <w:b/>
          <w:bCs/>
          <w:lang w:eastAsia="en-US"/>
        </w:rPr>
      </w:pPr>
      <w:r w:rsidRPr="00B53D45">
        <w:rPr>
          <w:rFonts w:ascii="Palatino Linotype" w:hAnsi="Palatino Linotype"/>
          <w:lang w:val="es-ES"/>
        </w:rPr>
        <w:t>En continuidad, d</w:t>
      </w:r>
      <w:r w:rsidR="006D74D6" w:rsidRPr="00B53D45">
        <w:rPr>
          <w:rFonts w:ascii="Palatino Linotype" w:hAnsi="Palatino Linotype"/>
          <w:lang w:val="es-ES"/>
        </w:rPr>
        <w:t xml:space="preserve">icha valoración, debe realizarse a través de lo que se conoce como la llamada </w:t>
      </w:r>
      <w:r w:rsidR="006D74D6" w:rsidRPr="00B53D45">
        <w:rPr>
          <w:rFonts w:ascii="Palatino Linotype" w:hAnsi="Palatino Linotype"/>
          <w:b/>
          <w:i/>
          <w:lang w:val="es-ES"/>
        </w:rPr>
        <w:t>“prueba de daño”</w:t>
      </w:r>
      <w:r w:rsidR="006D74D6" w:rsidRPr="00B53D45">
        <w:rPr>
          <w:rFonts w:ascii="Palatino Linotype" w:hAnsi="Palatino Linotype"/>
          <w:b/>
          <w:lang w:val="es-ES"/>
        </w:rPr>
        <w:t>,</w:t>
      </w:r>
      <w:r w:rsidR="006D74D6" w:rsidRPr="00B53D45">
        <w:rPr>
          <w:rFonts w:ascii="Palatino Linotype" w:hAnsi="Palatino Linotype"/>
          <w:lang w:val="es-ES"/>
        </w:rPr>
        <w:t xml:space="preserve"> que consiste en exponer los argumentos y razones, </w:t>
      </w:r>
      <w:r w:rsidR="006D74D6" w:rsidRPr="00B53D45">
        <w:rPr>
          <w:rFonts w:ascii="Palatino Linotype" w:hAnsi="Palatino Linotype"/>
          <w:b/>
          <w:lang w:val="es-ES"/>
        </w:rPr>
        <w:t>basados en elementos objetivos o verificables</w:t>
      </w:r>
      <w:r w:rsidR="006D74D6" w:rsidRPr="00B53D45">
        <w:rPr>
          <w:rFonts w:ascii="Palatino Linotype" w:hAnsi="Palatino Linotype"/>
          <w:lang w:val="es-ES"/>
        </w:rPr>
        <w:t>, a partir de los cuales se derive que la divulgación de información, en particular, puede afectar, poner en riesgo o dañar el interés protegido</w:t>
      </w:r>
      <w:r w:rsidR="006D74D6" w:rsidRPr="00B53D45">
        <w:rPr>
          <w:rFonts w:ascii="Palatino Linotype" w:hAnsi="Palatino Linotype"/>
          <w:vertAlign w:val="superscript"/>
          <w:lang w:val="es-ES"/>
        </w:rPr>
        <w:footnoteReference w:id="1"/>
      </w:r>
      <w:r w:rsidR="006D74D6" w:rsidRPr="00B53D45">
        <w:rPr>
          <w:rFonts w:ascii="Palatino Linotype" w:hAnsi="Palatino Linotype"/>
          <w:lang w:val="es-ES"/>
        </w:rPr>
        <w:t>. Asimismo, ésta no debe basarse en meras especulaciones o suposiciones, sino en elementos objetivos que deban evaluar que existe un riego actual e inminente</w:t>
      </w:r>
      <w:r w:rsidR="006D74D6" w:rsidRPr="00B53D45">
        <w:rPr>
          <w:rFonts w:ascii="Palatino Linotype" w:hAnsi="Palatino Linotype"/>
          <w:vertAlign w:val="superscript"/>
          <w:lang w:val="es-ES"/>
        </w:rPr>
        <w:footnoteReference w:id="2"/>
      </w:r>
      <w:r w:rsidR="006D74D6" w:rsidRPr="00B53D45">
        <w:rPr>
          <w:rFonts w:ascii="Palatino Linotype" w:hAnsi="Palatino Linotype"/>
          <w:lang w:val="es-ES"/>
        </w:rPr>
        <w:t>.</w:t>
      </w:r>
    </w:p>
    <w:p w14:paraId="08C65C2E" w14:textId="77777777" w:rsidR="006D74D6" w:rsidRPr="00B53D45" w:rsidRDefault="006D74D6" w:rsidP="006D74D6">
      <w:pPr>
        <w:pStyle w:val="Prrafodelista"/>
        <w:rPr>
          <w:rFonts w:ascii="Palatino Linotype" w:hAnsi="Palatino Linotype"/>
          <w:lang w:val="es-ES"/>
        </w:rPr>
      </w:pPr>
    </w:p>
    <w:p w14:paraId="3CCB0935" w14:textId="77777777" w:rsidR="006D74D6" w:rsidRPr="00B53D45" w:rsidRDefault="006D74D6" w:rsidP="006D74D6">
      <w:pPr>
        <w:pStyle w:val="Prrafodelista"/>
        <w:numPr>
          <w:ilvl w:val="0"/>
          <w:numId w:val="1"/>
        </w:numPr>
        <w:spacing w:line="360" w:lineRule="auto"/>
        <w:jc w:val="both"/>
        <w:rPr>
          <w:rFonts w:ascii="Palatino Linotype" w:eastAsia="Calibri" w:hAnsi="Palatino Linotype" w:cs="Tahoma"/>
          <w:b/>
          <w:bCs/>
          <w:lang w:eastAsia="en-US"/>
        </w:rPr>
      </w:pPr>
      <w:r w:rsidRPr="00B53D45">
        <w:rPr>
          <w:rFonts w:ascii="Palatino Linotype" w:hAnsi="Palatino Linotype"/>
          <w:lang w:val="es-ES"/>
        </w:rPr>
        <w:t xml:space="preserve">En tal virtud, conforme al artículo 49, fracción VIII, nuestra Ley de Transparencia, los Comités de Transparencia, tienen la atribución de aprobar, modificar o revocar la clasificación de la información, mientras que, el artículo 128 de la misma Ley, indica que, en </w:t>
      </w:r>
      <w:r w:rsidRPr="00B53D45">
        <w:rPr>
          <w:rFonts w:ascii="Palatino Linotype" w:hAnsi="Palatino Linotype"/>
          <w:lang w:val="es-ES"/>
        </w:rPr>
        <w:lastRenderedPageBreak/>
        <w:t xml:space="preserve">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B53D45">
        <w:rPr>
          <w:rFonts w:ascii="Palatino Linotype" w:hAnsi="Palatino Linotype"/>
          <w:b/>
          <w:lang w:val="es-ES"/>
        </w:rPr>
        <w:t>Sujeto Obligado</w:t>
      </w:r>
      <w:r w:rsidRPr="00B53D45">
        <w:rPr>
          <w:rFonts w:ascii="Palatino Linotype" w:hAnsi="Palatino Linotype"/>
          <w:lang w:val="es-ES"/>
        </w:rPr>
        <w:t xml:space="preserve"> a concluir que el caso particular se ajusta al supuesto previsto por la norma legal invocada como fundamento; siendo que, además, </w:t>
      </w:r>
      <w:r w:rsidRPr="00B53D45">
        <w:rPr>
          <w:rFonts w:ascii="Palatino Linotype" w:hAnsi="Palatino Linotype"/>
          <w:b/>
          <w:lang w:val="es-ES"/>
        </w:rPr>
        <w:t>El Sujeto Obligado</w:t>
      </w:r>
      <w:r w:rsidRPr="00B53D45">
        <w:rPr>
          <w:rFonts w:ascii="Palatino Linotype" w:hAnsi="Palatino Linotype"/>
          <w:lang w:val="es-ES"/>
        </w:rPr>
        <w:t xml:space="preserve"> debe, en todo momento, aplicar una prueba de daño.</w:t>
      </w:r>
    </w:p>
    <w:p w14:paraId="542D0E72" w14:textId="77777777" w:rsidR="006D74D6" w:rsidRPr="00B53D45" w:rsidRDefault="006D74D6" w:rsidP="006D74D6">
      <w:pPr>
        <w:pStyle w:val="Prrafodelista"/>
        <w:rPr>
          <w:rFonts w:ascii="Palatino Linotype" w:hAnsi="Palatino Linotype"/>
          <w:lang w:val="es-ES"/>
        </w:rPr>
      </w:pPr>
    </w:p>
    <w:p w14:paraId="5F8FFD3C" w14:textId="77777777" w:rsidR="006D74D6" w:rsidRPr="00B53D45" w:rsidRDefault="006D74D6" w:rsidP="006D74D6">
      <w:pPr>
        <w:pStyle w:val="Prrafodelista"/>
        <w:numPr>
          <w:ilvl w:val="0"/>
          <w:numId w:val="1"/>
        </w:numPr>
        <w:spacing w:line="360" w:lineRule="auto"/>
        <w:jc w:val="both"/>
        <w:rPr>
          <w:rFonts w:ascii="Palatino Linotype" w:eastAsia="Calibri" w:hAnsi="Palatino Linotype" w:cs="Tahoma"/>
          <w:b/>
          <w:bCs/>
          <w:lang w:eastAsia="en-US"/>
        </w:rPr>
      </w:pPr>
      <w:r w:rsidRPr="00B53D45">
        <w:rPr>
          <w:rFonts w:ascii="Palatino Linotype" w:hAnsi="Palatino Linotype"/>
          <w:lang w:val="es-ES"/>
        </w:rPr>
        <w:t>Dicho lo anterior, es necesario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es mayor, que el interés de conocerla, por lo que debe clasificarse como reservada.</w:t>
      </w:r>
      <w:r w:rsidRPr="00B53D45">
        <w:rPr>
          <w:rFonts w:ascii="Palatino Linotype" w:hAnsi="Palatino Linotype"/>
          <w:vertAlign w:val="superscript"/>
          <w:lang w:val="es-ES"/>
        </w:rPr>
        <w:footnoteReference w:id="3"/>
      </w:r>
    </w:p>
    <w:p w14:paraId="31F2CE20" w14:textId="77777777" w:rsidR="006D74D6" w:rsidRPr="00B53D45" w:rsidRDefault="006D74D6" w:rsidP="006D74D6">
      <w:pPr>
        <w:pStyle w:val="Prrafodelista"/>
        <w:rPr>
          <w:rFonts w:ascii="Palatino Linotype" w:hAnsi="Palatino Linotype"/>
          <w:lang w:val="es-ES"/>
        </w:rPr>
      </w:pPr>
    </w:p>
    <w:p w14:paraId="4ADA679C" w14:textId="77777777" w:rsidR="006D74D6" w:rsidRPr="00B53D45" w:rsidRDefault="006D74D6" w:rsidP="006D74D6">
      <w:pPr>
        <w:pStyle w:val="Prrafodelista"/>
        <w:numPr>
          <w:ilvl w:val="0"/>
          <w:numId w:val="1"/>
        </w:numPr>
        <w:spacing w:line="360" w:lineRule="auto"/>
        <w:jc w:val="both"/>
        <w:rPr>
          <w:rFonts w:ascii="Palatino Linotype" w:eastAsia="Calibri" w:hAnsi="Palatino Linotype" w:cs="Tahoma"/>
          <w:b/>
          <w:bCs/>
          <w:lang w:eastAsia="en-US"/>
        </w:rPr>
      </w:pPr>
      <w:r w:rsidRPr="00B53D45">
        <w:rPr>
          <w:rFonts w:ascii="Palatino Linotype" w:hAnsi="Palatino Linotype"/>
          <w:lang w:val="es-E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B53D45">
        <w:rPr>
          <w:rFonts w:ascii="Palatino Linotype" w:hAnsi="Palatino Linotype"/>
          <w:vertAlign w:val="superscript"/>
          <w:lang w:val="es-ES"/>
        </w:rPr>
        <w:footnoteReference w:id="4"/>
      </w:r>
    </w:p>
    <w:p w14:paraId="326BBB48" w14:textId="77777777" w:rsidR="006D74D6" w:rsidRPr="00B53D45" w:rsidRDefault="006D74D6" w:rsidP="006D74D6">
      <w:pPr>
        <w:numPr>
          <w:ilvl w:val="0"/>
          <w:numId w:val="25"/>
        </w:numPr>
        <w:spacing w:line="360" w:lineRule="auto"/>
        <w:jc w:val="both"/>
        <w:rPr>
          <w:rFonts w:ascii="Palatino Linotype" w:hAnsi="Palatino Linotype"/>
          <w:lang w:val="es-ES"/>
        </w:rPr>
      </w:pPr>
      <w:r w:rsidRPr="00B53D45">
        <w:rPr>
          <w:rFonts w:ascii="Palatino Linotype" w:hAnsi="Palatino Linotype"/>
          <w:lang w:val="es-ES"/>
        </w:rPr>
        <w:t>Se reciba una solicitud de acceso a la información.</w:t>
      </w:r>
    </w:p>
    <w:p w14:paraId="69FC9730" w14:textId="77777777" w:rsidR="006D74D6" w:rsidRPr="00B53D45" w:rsidRDefault="006D74D6" w:rsidP="006D74D6">
      <w:pPr>
        <w:numPr>
          <w:ilvl w:val="0"/>
          <w:numId w:val="25"/>
        </w:numPr>
        <w:spacing w:line="360" w:lineRule="auto"/>
        <w:jc w:val="both"/>
        <w:rPr>
          <w:rFonts w:ascii="Palatino Linotype" w:hAnsi="Palatino Linotype"/>
          <w:b/>
          <w:u w:val="single"/>
          <w:lang w:val="es-ES"/>
        </w:rPr>
      </w:pPr>
      <w:r w:rsidRPr="00B53D45">
        <w:rPr>
          <w:rFonts w:ascii="Palatino Linotype" w:hAnsi="Palatino Linotype"/>
          <w:b/>
          <w:u w:val="single"/>
          <w:lang w:val="es-ES"/>
        </w:rPr>
        <w:t>Se determine mediante resolución de autoridad competente.</w:t>
      </w:r>
    </w:p>
    <w:p w14:paraId="1A410B12" w14:textId="77777777" w:rsidR="006D74D6" w:rsidRPr="00B53D45" w:rsidRDefault="006D74D6" w:rsidP="006D74D6">
      <w:pPr>
        <w:numPr>
          <w:ilvl w:val="0"/>
          <w:numId w:val="25"/>
        </w:numPr>
        <w:spacing w:line="360" w:lineRule="auto"/>
        <w:jc w:val="both"/>
        <w:rPr>
          <w:rFonts w:ascii="Palatino Linotype" w:hAnsi="Palatino Linotype"/>
          <w:lang w:val="es-ES"/>
        </w:rPr>
      </w:pPr>
      <w:r w:rsidRPr="00B53D45">
        <w:rPr>
          <w:rFonts w:ascii="Palatino Linotype" w:hAnsi="Palatino Linotype"/>
          <w:lang w:val="es-ES"/>
        </w:rPr>
        <w:lastRenderedPageBreak/>
        <w:t>Se generen versiones públicas para dar cumplimiento a las obligaciones de transparencia previstas en la Ley.</w:t>
      </w:r>
    </w:p>
    <w:p w14:paraId="4C5263F7" w14:textId="77777777" w:rsidR="006D74D6" w:rsidRPr="00B53D45" w:rsidRDefault="006D74D6" w:rsidP="006D74D6">
      <w:pPr>
        <w:spacing w:line="360" w:lineRule="auto"/>
        <w:jc w:val="both"/>
        <w:rPr>
          <w:rFonts w:ascii="Palatino Linotype" w:hAnsi="Palatino Linotype"/>
          <w:lang w:val="es-ES"/>
        </w:rPr>
      </w:pPr>
    </w:p>
    <w:p w14:paraId="0FD1DDF0" w14:textId="77777777" w:rsidR="006D74D6" w:rsidRPr="00B53D45" w:rsidRDefault="006D74D6" w:rsidP="006D74D6">
      <w:pPr>
        <w:pStyle w:val="Prrafodelista"/>
        <w:numPr>
          <w:ilvl w:val="0"/>
          <w:numId w:val="1"/>
        </w:numPr>
        <w:spacing w:line="360" w:lineRule="auto"/>
        <w:jc w:val="both"/>
        <w:rPr>
          <w:rFonts w:ascii="Palatino Linotype" w:hAnsi="Palatino Linotype"/>
          <w:lang w:val="es-ES"/>
        </w:rPr>
      </w:pPr>
      <w:r w:rsidRPr="00B53D45">
        <w:rPr>
          <w:rFonts w:ascii="Palatino Linotype" w:hAnsi="Palatino Linotype"/>
          <w:lang w:val="es-ES"/>
        </w:rPr>
        <w:t>Situación que se robustece con el artículo 141 de la misma Ley, que señala que las causales de reserva previstas, se deberán fundar y motivar, a través de la aplicación de la prueba de daño.</w:t>
      </w:r>
    </w:p>
    <w:p w14:paraId="013C068D" w14:textId="77777777" w:rsidR="006D74D6" w:rsidRPr="00B53D45" w:rsidRDefault="006D74D6" w:rsidP="006D74D6">
      <w:pPr>
        <w:pStyle w:val="Prrafodelista"/>
        <w:spacing w:line="360" w:lineRule="auto"/>
        <w:ind w:left="0"/>
        <w:jc w:val="both"/>
        <w:rPr>
          <w:rFonts w:ascii="Palatino Linotype" w:hAnsi="Palatino Linotype"/>
          <w:lang w:val="es-ES"/>
        </w:rPr>
      </w:pPr>
    </w:p>
    <w:p w14:paraId="76D3F1D6" w14:textId="77777777" w:rsidR="006D74D6" w:rsidRPr="00B53D45" w:rsidRDefault="006D74D6" w:rsidP="006D74D6">
      <w:pPr>
        <w:pStyle w:val="Prrafodelista"/>
        <w:numPr>
          <w:ilvl w:val="0"/>
          <w:numId w:val="1"/>
        </w:numPr>
        <w:spacing w:line="360" w:lineRule="auto"/>
        <w:jc w:val="both"/>
        <w:rPr>
          <w:rFonts w:ascii="Palatino Linotype" w:hAnsi="Palatino Linotype"/>
          <w:lang w:val="es-ES"/>
        </w:rPr>
      </w:pPr>
      <w:r w:rsidRPr="00B53D45">
        <w:rPr>
          <w:rFonts w:ascii="Palatino Linotype" w:hAnsi="Palatino Linotype"/>
          <w:lang w:val="es-ES"/>
        </w:rPr>
        <w:t xml:space="preserve">Igualmente, la clasificación de la información debe estar sustentada en el Acuerdo de Clasificación correspondiente, en el que, </w:t>
      </w:r>
      <w:r w:rsidRPr="00B53D45">
        <w:rPr>
          <w:rFonts w:ascii="Palatino Linotype" w:hAnsi="Palatino Linotype"/>
          <w:b/>
          <w:lang w:val="es-ES"/>
        </w:rPr>
        <w:t>de manera fundada y motivada,</w:t>
      </w:r>
      <w:r w:rsidRPr="00B53D45">
        <w:rPr>
          <w:rFonts w:ascii="Palatino Linotype" w:hAnsi="Palatino Linotype"/>
          <w:lang w:val="es-ES"/>
        </w:rPr>
        <w:t xml:space="preserve"> se establezcan las hipótesis normativas aplicables al caso concreto y se analice la prueba del daño que prevé el artículo 129 de la Ley de Transparencia de mérito, para lo cual, los sujetos obligados deberán considerar lo siguiente: </w:t>
      </w:r>
    </w:p>
    <w:p w14:paraId="3EF2CCA2" w14:textId="77777777" w:rsidR="006D74D6" w:rsidRPr="00B53D45" w:rsidRDefault="006D74D6" w:rsidP="006D74D6">
      <w:pPr>
        <w:pStyle w:val="Prrafodelista"/>
        <w:numPr>
          <w:ilvl w:val="0"/>
          <w:numId w:val="26"/>
        </w:numPr>
        <w:spacing w:line="360" w:lineRule="auto"/>
        <w:contextualSpacing w:val="0"/>
        <w:jc w:val="both"/>
        <w:rPr>
          <w:rFonts w:ascii="Palatino Linotype" w:hAnsi="Palatino Linotype"/>
        </w:rPr>
      </w:pPr>
      <w:r w:rsidRPr="00B53D45">
        <w:rPr>
          <w:rFonts w:ascii="Palatino Linotype" w:hAnsi="Palatino Linotype"/>
        </w:rPr>
        <w:t>La divulgación de la información representa un riesgo real, demostrable e identificable del perjuicio significativo al interés público o a la seguridad pública;</w:t>
      </w:r>
    </w:p>
    <w:p w14:paraId="03A12F6F" w14:textId="77777777" w:rsidR="006D74D6" w:rsidRPr="00B53D45" w:rsidRDefault="006D74D6" w:rsidP="006D74D6">
      <w:pPr>
        <w:pStyle w:val="Prrafodelista"/>
        <w:numPr>
          <w:ilvl w:val="0"/>
          <w:numId w:val="26"/>
        </w:numPr>
        <w:spacing w:line="360" w:lineRule="auto"/>
        <w:contextualSpacing w:val="0"/>
        <w:jc w:val="both"/>
        <w:rPr>
          <w:rFonts w:ascii="Palatino Linotype" w:hAnsi="Palatino Linotype"/>
        </w:rPr>
      </w:pPr>
      <w:r w:rsidRPr="00B53D45">
        <w:rPr>
          <w:rFonts w:ascii="Palatino Linotype" w:hAnsi="Palatino Linotype"/>
        </w:rPr>
        <w:t>El riesgo de perjuicio que supondría la divulgación supera el interés público general de que se difunda; y</w:t>
      </w:r>
    </w:p>
    <w:p w14:paraId="59A55ADD" w14:textId="77777777" w:rsidR="006D74D6" w:rsidRPr="00B53D45" w:rsidRDefault="006D74D6" w:rsidP="006D74D6">
      <w:pPr>
        <w:pStyle w:val="Prrafodelista"/>
        <w:numPr>
          <w:ilvl w:val="0"/>
          <w:numId w:val="26"/>
        </w:numPr>
        <w:spacing w:line="360" w:lineRule="auto"/>
        <w:contextualSpacing w:val="0"/>
        <w:jc w:val="both"/>
        <w:rPr>
          <w:rFonts w:ascii="Palatino Linotype" w:hAnsi="Palatino Linotype"/>
        </w:rPr>
      </w:pPr>
      <w:r w:rsidRPr="00B53D45">
        <w:rPr>
          <w:rFonts w:ascii="Palatino Linotype" w:hAnsi="Palatino Linotype"/>
        </w:rPr>
        <w:t xml:space="preserve">La limitación se adecua al principio de proporcionalidad y representa el medio menos restrictivo disponible para evitar el perjuicio. </w:t>
      </w:r>
    </w:p>
    <w:p w14:paraId="379BAA33" w14:textId="77777777" w:rsidR="006D74D6" w:rsidRPr="00B53D45" w:rsidRDefault="006D74D6" w:rsidP="006D74D6">
      <w:pPr>
        <w:spacing w:line="360" w:lineRule="auto"/>
        <w:jc w:val="both"/>
        <w:rPr>
          <w:rFonts w:ascii="Palatino Linotype" w:hAnsi="Palatino Linotype"/>
          <w:lang w:val="es-ES"/>
        </w:rPr>
      </w:pPr>
    </w:p>
    <w:p w14:paraId="69DD3F2A" w14:textId="77777777" w:rsidR="006D74D6" w:rsidRPr="00B53D45" w:rsidRDefault="006D74D6" w:rsidP="006D74D6">
      <w:pPr>
        <w:pStyle w:val="Prrafodelista"/>
        <w:numPr>
          <w:ilvl w:val="0"/>
          <w:numId w:val="1"/>
        </w:numPr>
        <w:spacing w:line="360" w:lineRule="auto"/>
        <w:jc w:val="both"/>
        <w:rPr>
          <w:rFonts w:ascii="Palatino Linotype" w:eastAsia="Calibri" w:hAnsi="Palatino Linotype" w:cs="Arial"/>
          <w:vertAlign w:val="superscript"/>
          <w:lang w:val="es-ES" w:eastAsia="es-ES"/>
        </w:rPr>
      </w:pPr>
      <w:r w:rsidRPr="00B53D45">
        <w:rPr>
          <w:rFonts w:ascii="Palatino Linotype" w:eastAsia="Calibri" w:hAnsi="Palatino Linotype" w:cs="Arial"/>
          <w:lang w:val="es-ES" w:eastAsia="es-ES"/>
        </w:rPr>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B53D45">
        <w:rPr>
          <w:rFonts w:ascii="Palatino Linotype" w:eastAsia="Calibri" w:hAnsi="Palatino Linotype" w:cs="Arial"/>
          <w:vertAlign w:val="superscript"/>
          <w:lang w:val="es-ES" w:eastAsia="es-ES"/>
        </w:rPr>
        <w:t>:</w:t>
      </w:r>
    </w:p>
    <w:p w14:paraId="67CD29E3"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t>“Época: Décima</w:t>
      </w:r>
    </w:p>
    <w:p w14:paraId="44CCDE6E"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t>Registro: 2006299</w:t>
      </w:r>
    </w:p>
    <w:p w14:paraId="027DEA32"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lastRenderedPageBreak/>
        <w:t xml:space="preserve">Tipo de tesis: Aislada </w:t>
      </w:r>
    </w:p>
    <w:p w14:paraId="338E378A"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t>Fuente: Semanario Judicial de la Federación y su Gaceta</w:t>
      </w:r>
    </w:p>
    <w:p w14:paraId="71F56586"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t>Abril de 2014, Tomo II</w:t>
      </w:r>
    </w:p>
    <w:p w14:paraId="6E44C5F4"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t>Materia (s): Constitucional, Común</w:t>
      </w:r>
    </w:p>
    <w:p w14:paraId="5F6B20A4"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t>Tesis: l. 1o.A.E.3. K (10a)</w:t>
      </w:r>
    </w:p>
    <w:p w14:paraId="2BD02F49"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t>Página: 1523</w:t>
      </w:r>
    </w:p>
    <w:p w14:paraId="6CB2D916" w14:textId="77777777" w:rsidR="006D74D6" w:rsidRPr="00B53D45" w:rsidRDefault="006D74D6" w:rsidP="007B6A50">
      <w:pPr>
        <w:spacing w:before="240"/>
        <w:ind w:left="567" w:right="851"/>
        <w:jc w:val="both"/>
        <w:rPr>
          <w:rFonts w:ascii="Palatino Linotype" w:eastAsia="Calibri" w:hAnsi="Palatino Linotype" w:cs="Times New Roman"/>
          <w:i/>
          <w:lang w:val="es-ES" w:eastAsia="es-ES"/>
        </w:rPr>
      </w:pPr>
      <w:r w:rsidRPr="00B53D45">
        <w:rPr>
          <w:rFonts w:ascii="Palatino Linotype" w:eastAsia="Calibri" w:hAnsi="Palatino Linotype" w:cs="Times New Roman"/>
          <w:b/>
          <w:i/>
          <w:lang w:val="es-ES"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B53D45">
        <w:rPr>
          <w:rFonts w:ascii="Palatino Linotype" w:eastAsia="Calibri" w:hAnsi="Palatino Linotype" w:cs="Times New Roman"/>
          <w:i/>
          <w:lang w:val="es-ES" w:eastAsia="es-ES"/>
        </w:rPr>
        <w:t xml:space="preserve"> </w:t>
      </w:r>
    </w:p>
    <w:p w14:paraId="243F0B78" w14:textId="77777777" w:rsidR="006D74D6" w:rsidRPr="00B53D45" w:rsidRDefault="006D74D6" w:rsidP="007B6A50">
      <w:pPr>
        <w:spacing w:before="240"/>
        <w:ind w:left="567" w:right="851"/>
        <w:jc w:val="both"/>
        <w:rPr>
          <w:rFonts w:ascii="Palatino Linotype" w:eastAsia="Calibri" w:hAnsi="Palatino Linotype" w:cs="Times New Roman"/>
          <w:i/>
          <w:lang w:val="es-ES" w:eastAsia="es-ES"/>
        </w:rPr>
      </w:pPr>
      <w:r w:rsidRPr="00B53D45">
        <w:rPr>
          <w:rFonts w:ascii="Palatino Linotype" w:eastAsia="Calibri" w:hAnsi="Palatino Linotype" w:cs="Times New Roman"/>
          <w:i/>
          <w:lang w:val="es-ES" w:eastAsia="es-ES"/>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21A7B26B" w14:textId="77777777" w:rsidR="006D74D6" w:rsidRPr="00B53D45" w:rsidRDefault="006D74D6" w:rsidP="007B6A50">
      <w:pPr>
        <w:spacing w:before="240"/>
        <w:ind w:left="567" w:right="851"/>
        <w:jc w:val="both"/>
        <w:rPr>
          <w:rFonts w:ascii="Palatino Linotype" w:eastAsia="Times New Roman" w:hAnsi="Palatino Linotype" w:cs="Calibri"/>
          <w:i/>
          <w:color w:val="000000"/>
        </w:rPr>
      </w:pPr>
      <w:r w:rsidRPr="00B53D45">
        <w:rPr>
          <w:rFonts w:ascii="Palatino Linotype" w:eastAsia="Times New Roman" w:hAnsi="Palatino Linotype" w:cs="Calibri"/>
          <w:i/>
          <w:color w:val="000000"/>
        </w:rPr>
        <w:t>PRIMER TRIBUNAL COLEGIADO DE CIRCUITO EN MATERIA ADMINISTRATIVA ESPECIALIZADO EN COMPETENCIA ECONÓMICA, RADIODIFUSIÓN Y TELECOMUNICACIONES, CON RESIDENCIA EN EL DISTRITO FEDERAL Y JURISDICCIÓN EN TODA LA REPÚBLICA.</w:t>
      </w:r>
    </w:p>
    <w:p w14:paraId="397472B6" w14:textId="77777777" w:rsidR="006D74D6" w:rsidRPr="00B53D45" w:rsidRDefault="006D74D6" w:rsidP="007B6A50">
      <w:pPr>
        <w:spacing w:before="240"/>
        <w:ind w:left="567" w:right="851"/>
        <w:rPr>
          <w:rFonts w:ascii="Palatino Linotype" w:eastAsia="Times New Roman" w:hAnsi="Palatino Linotype" w:cs="Calibri"/>
          <w:b/>
          <w:i/>
          <w:color w:val="444444"/>
        </w:rPr>
      </w:pPr>
      <w:r w:rsidRPr="00B53D45">
        <w:rPr>
          <w:rFonts w:ascii="Palatino Linotype" w:eastAsia="Times New Roman" w:hAnsi="Palatino Linotype" w:cs="Calibri"/>
          <w:i/>
          <w:color w:val="444444"/>
        </w:rPr>
        <w:t xml:space="preserve">Queja 16/2013. Comunicaciones Celulares de Occidente, S.A. de C.V. y otro. 13 de febrero de 2014. Unanimidad de votos. Ponente: Óscar Germán Cendejas Gleason. Secretario: Agustín Ballesteros Sánchez.” </w:t>
      </w:r>
      <w:r w:rsidRPr="00B53D45">
        <w:rPr>
          <w:rFonts w:ascii="Palatino Linotype" w:eastAsia="Times New Roman" w:hAnsi="Palatino Linotype" w:cs="Calibri"/>
          <w:b/>
          <w:i/>
          <w:color w:val="444444"/>
        </w:rPr>
        <w:t>[Sic]</w:t>
      </w:r>
    </w:p>
    <w:p w14:paraId="436180AA" w14:textId="77777777" w:rsidR="006D74D6" w:rsidRPr="00B53D45" w:rsidRDefault="006D74D6" w:rsidP="006D74D6">
      <w:pPr>
        <w:spacing w:before="240" w:line="360" w:lineRule="auto"/>
        <w:ind w:left="851" w:right="851"/>
        <w:jc w:val="both"/>
        <w:rPr>
          <w:rFonts w:ascii="Palatino Linotype" w:eastAsia="Calibri" w:hAnsi="Palatino Linotype" w:cs="Arial"/>
          <w:b/>
          <w:i/>
          <w:lang w:val="es-ES" w:eastAsia="es-ES"/>
        </w:rPr>
      </w:pPr>
    </w:p>
    <w:p w14:paraId="0E91DDB7" w14:textId="77777777" w:rsidR="006D74D6" w:rsidRPr="00B53D45" w:rsidRDefault="006D74D6" w:rsidP="006D74D6">
      <w:pPr>
        <w:pStyle w:val="Prrafodelista"/>
        <w:numPr>
          <w:ilvl w:val="0"/>
          <w:numId w:val="1"/>
        </w:numPr>
        <w:spacing w:line="360" w:lineRule="auto"/>
        <w:jc w:val="both"/>
        <w:rPr>
          <w:rFonts w:ascii="Palatino Linotype" w:hAnsi="Palatino Linotype"/>
          <w:lang w:val="es-ES"/>
        </w:rPr>
      </w:pPr>
      <w:r w:rsidRPr="00B53D45">
        <w:rPr>
          <w:rFonts w:ascii="Palatino Linotype" w:hAnsi="Palatino Linotype"/>
          <w:lang w:val="es-ES"/>
        </w:rPr>
        <w:lastRenderedPageBreak/>
        <w:t>Prueba de daño, que cobra relevancia puesto que sí ésta no arroja resultados contundentes sobre un posible peligro, deberá de publicarse la información</w:t>
      </w:r>
      <w:r w:rsidRPr="00B53D45">
        <w:rPr>
          <w:rFonts w:ascii="Palatino Linotype" w:hAnsi="Palatino Linotype"/>
          <w:vertAlign w:val="superscript"/>
          <w:lang w:val="es-ES"/>
        </w:rPr>
        <w:footnoteReference w:id="5"/>
      </w:r>
      <w:r w:rsidRPr="00B53D45">
        <w:rPr>
          <w:rFonts w:ascii="Palatino Linotype" w:hAnsi="Palatino Linotype"/>
          <w:lang w:val="es-ES"/>
        </w:rPr>
        <w:t xml:space="preserve">. Siendo que, los </w:t>
      </w:r>
      <w:r w:rsidRPr="00B53D45">
        <w:rPr>
          <w:rFonts w:ascii="Palatino Linotype" w:hAnsi="Palatino Linotype"/>
          <w:b/>
          <w:lang w:val="es-ES"/>
        </w:rPr>
        <w:t>Sujetos Obligados</w:t>
      </w:r>
      <w:r w:rsidRPr="00B53D45">
        <w:rPr>
          <w:rFonts w:ascii="Palatino Linotype" w:hAnsi="Palatino Linotype"/>
          <w:lang w:val="es-ES"/>
        </w:rPr>
        <w:t xml:space="preserve">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0CF374CC" w14:textId="77777777" w:rsidR="006D74D6" w:rsidRPr="00B53D45" w:rsidRDefault="006D74D6" w:rsidP="006D74D6">
      <w:pPr>
        <w:pStyle w:val="Prrafodelista"/>
        <w:spacing w:line="360" w:lineRule="auto"/>
        <w:ind w:left="0"/>
        <w:jc w:val="both"/>
        <w:rPr>
          <w:rFonts w:ascii="Palatino Linotype" w:hAnsi="Palatino Linotype"/>
          <w:lang w:val="es-ES"/>
        </w:rPr>
      </w:pPr>
    </w:p>
    <w:p w14:paraId="47F6307F" w14:textId="77777777" w:rsidR="006D74D6" w:rsidRPr="00B53D45" w:rsidRDefault="006D74D6" w:rsidP="006D74D6">
      <w:pPr>
        <w:pStyle w:val="Prrafodelista"/>
        <w:numPr>
          <w:ilvl w:val="0"/>
          <w:numId w:val="1"/>
        </w:numPr>
        <w:spacing w:line="360" w:lineRule="auto"/>
        <w:jc w:val="both"/>
        <w:rPr>
          <w:rFonts w:ascii="Palatino Linotype" w:hAnsi="Palatino Linotype"/>
          <w:lang w:val="es-ES"/>
        </w:rPr>
      </w:pPr>
      <w:r w:rsidRPr="00B53D45">
        <w:rPr>
          <w:rFonts w:ascii="Palatino Linotype" w:hAnsi="Palatino Linotype"/>
          <w:lang w:val="es-ES"/>
        </w:rPr>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w:t>
      </w:r>
    </w:p>
    <w:p w14:paraId="4AAF5DE4" w14:textId="77777777" w:rsidR="006D74D6" w:rsidRPr="00B53D45" w:rsidRDefault="006D74D6" w:rsidP="006D74D6">
      <w:pPr>
        <w:pStyle w:val="Prrafodelista"/>
        <w:rPr>
          <w:rFonts w:ascii="Palatino Linotype" w:hAnsi="Palatino Linotype"/>
          <w:lang w:val="es-ES"/>
        </w:rPr>
      </w:pPr>
    </w:p>
    <w:p w14:paraId="44B1C0EE" w14:textId="77777777" w:rsidR="006D74D6" w:rsidRPr="00B53D45" w:rsidRDefault="006D74D6" w:rsidP="006D74D6">
      <w:pPr>
        <w:pStyle w:val="Prrafodelista"/>
        <w:numPr>
          <w:ilvl w:val="0"/>
          <w:numId w:val="1"/>
        </w:numPr>
        <w:spacing w:line="360" w:lineRule="auto"/>
        <w:jc w:val="both"/>
        <w:rPr>
          <w:rFonts w:ascii="Palatino Linotype" w:hAnsi="Palatino Linotype"/>
          <w:lang w:val="es-ES"/>
        </w:rPr>
      </w:pPr>
      <w:r w:rsidRPr="00B53D45">
        <w:rPr>
          <w:rFonts w:ascii="Palatino Linotype" w:hAnsi="Palatino Linotype"/>
          <w:lang w:val="es-ES"/>
        </w:rPr>
        <w:t>Aunado a lo anterior, se tiene que, para realizar la clasificación de la información se debe</w:t>
      </w:r>
      <w:r w:rsidRPr="00B53D45">
        <w:rPr>
          <w:rFonts w:ascii="Palatino Linotype" w:hAnsi="Palatino Linotype"/>
          <w:vertAlign w:val="superscript"/>
          <w:lang w:val="es-ES"/>
        </w:rPr>
        <w:footnoteReference w:id="6"/>
      </w:r>
      <w:r w:rsidRPr="00B53D45">
        <w:rPr>
          <w:rFonts w:ascii="Palatino Linotype" w:hAnsi="Palatino Linotype"/>
          <w:lang w:val="es-ES"/>
        </w:rPr>
        <w:t>:</w:t>
      </w:r>
    </w:p>
    <w:p w14:paraId="724340C7" w14:textId="77777777" w:rsidR="006D74D6" w:rsidRPr="00B53D45" w:rsidRDefault="006D74D6" w:rsidP="006D74D6">
      <w:pPr>
        <w:numPr>
          <w:ilvl w:val="0"/>
          <w:numId w:val="27"/>
        </w:numPr>
        <w:spacing w:before="240" w:after="240" w:line="360" w:lineRule="auto"/>
        <w:ind w:left="714" w:hanging="357"/>
        <w:jc w:val="both"/>
        <w:rPr>
          <w:rFonts w:ascii="Palatino Linotype" w:hAnsi="Palatino Linotype"/>
          <w:lang w:val="es-ES"/>
        </w:rPr>
      </w:pPr>
      <w:r w:rsidRPr="00B53D45">
        <w:rPr>
          <w:rFonts w:ascii="Palatino Linotype" w:hAnsi="Palatino Linotype"/>
          <w:b/>
          <w:lang w:val="es-ES"/>
        </w:rPr>
        <w:t>Fundar:</w:t>
      </w:r>
      <w:r w:rsidRPr="00B53D45">
        <w:rPr>
          <w:rFonts w:ascii="Palatino Linotype" w:hAnsi="Palatino Linotype"/>
          <w:lang w:val="es-ES"/>
        </w:rPr>
        <w:t xml:space="preserve"> señalando el artículo, fracción, inciso, párrafo o numeral de la Ley o tratado internacional suscrito por el Estado mexicano que expresamente le otorgue el carácter de reservada.</w:t>
      </w:r>
    </w:p>
    <w:p w14:paraId="1918F5BA" w14:textId="77777777" w:rsidR="006D74D6" w:rsidRPr="00B53D45" w:rsidRDefault="006D74D6" w:rsidP="006D74D6">
      <w:pPr>
        <w:numPr>
          <w:ilvl w:val="0"/>
          <w:numId w:val="27"/>
        </w:numPr>
        <w:spacing w:before="240" w:line="360" w:lineRule="auto"/>
        <w:ind w:left="714" w:hanging="357"/>
        <w:jc w:val="both"/>
        <w:rPr>
          <w:rFonts w:ascii="Palatino Linotype" w:hAnsi="Palatino Linotype"/>
          <w:b/>
          <w:u w:val="single"/>
          <w:lang w:val="es-ES"/>
        </w:rPr>
      </w:pPr>
      <w:r w:rsidRPr="00B53D45">
        <w:rPr>
          <w:rFonts w:ascii="Palatino Linotype" w:hAnsi="Palatino Linotype"/>
          <w:b/>
          <w:lang w:val="es-ES"/>
        </w:rPr>
        <w:lastRenderedPageBreak/>
        <w:t>Motivar:</w:t>
      </w:r>
      <w:r w:rsidRPr="00B53D45">
        <w:rPr>
          <w:rFonts w:ascii="Palatino Linotype" w:hAnsi="Palatino Linotype"/>
          <w:lang w:val="es-ES"/>
        </w:rPr>
        <w:t xml:space="preserve"> señalando las razones o circunstancias especiales que lo llevaron a concluir que el caso particular se ajusta al supuesto previsto por la norma legal invocada como fundamento.</w:t>
      </w:r>
    </w:p>
    <w:p w14:paraId="6D97958B" w14:textId="77777777" w:rsidR="006D74D6" w:rsidRPr="00B53D45" w:rsidRDefault="006D74D6" w:rsidP="006D74D6">
      <w:pPr>
        <w:numPr>
          <w:ilvl w:val="0"/>
          <w:numId w:val="27"/>
        </w:numPr>
        <w:spacing w:before="240" w:line="360" w:lineRule="auto"/>
        <w:ind w:left="714" w:hanging="357"/>
        <w:jc w:val="both"/>
        <w:rPr>
          <w:rFonts w:ascii="Palatino Linotype" w:hAnsi="Palatino Linotype"/>
          <w:b/>
          <w:u w:val="single"/>
          <w:lang w:val="es-ES"/>
        </w:rPr>
      </w:pPr>
      <w:r w:rsidRPr="00B53D45">
        <w:rPr>
          <w:rFonts w:ascii="Palatino Linotype" w:hAnsi="Palatino Linotype"/>
          <w:b/>
          <w:u w:val="single"/>
          <w:lang w:val="es-ES"/>
        </w:rPr>
        <w:t>Siendo que, en el caso específico de la reserva, la motivación de la clasificación, también deberá comprender las circunstancias que justifican el establecimiento de determinado plazo de reserva.</w:t>
      </w:r>
    </w:p>
    <w:p w14:paraId="6B50DF71" w14:textId="77777777" w:rsidR="006D74D6" w:rsidRPr="00B53D45" w:rsidRDefault="006D74D6" w:rsidP="006D74D6">
      <w:pPr>
        <w:spacing w:line="360" w:lineRule="auto"/>
        <w:jc w:val="both"/>
        <w:rPr>
          <w:rFonts w:ascii="Palatino Linotype" w:hAnsi="Palatino Linotype"/>
          <w:lang w:val="es-ES"/>
        </w:rPr>
      </w:pPr>
    </w:p>
    <w:p w14:paraId="1898EC43" w14:textId="69D9006E" w:rsidR="006D74D6" w:rsidRPr="00B53D45" w:rsidRDefault="006D74D6" w:rsidP="006D74D6">
      <w:pPr>
        <w:pStyle w:val="Prrafodelista"/>
        <w:numPr>
          <w:ilvl w:val="0"/>
          <w:numId w:val="1"/>
        </w:numPr>
        <w:spacing w:line="360" w:lineRule="auto"/>
        <w:jc w:val="both"/>
        <w:rPr>
          <w:rFonts w:ascii="Palatino Linotype" w:hAnsi="Palatino Linotype"/>
          <w:bCs/>
          <w:lang w:val="es-ES"/>
        </w:rPr>
      </w:pPr>
      <w:r w:rsidRPr="00B53D45">
        <w:rPr>
          <w:rFonts w:ascii="Palatino Linotype" w:hAnsi="Palatino Linotype"/>
          <w:lang w:val="es-ES"/>
        </w:rPr>
        <w:t xml:space="preserve">En otras palabras, para clasificar la información como reservada, los acuerdos deben estar debidamente fundados y motivados, </w:t>
      </w:r>
      <w:r w:rsidRPr="00B53D45">
        <w:rPr>
          <w:rFonts w:ascii="Palatino Linotype" w:hAnsi="Palatino Linotype"/>
          <w:bCs/>
          <w:lang w:val="es-ES"/>
        </w:rPr>
        <w:t>exponiendo los hechos relevantes para decidir, citando la norma habilitante y un argumento mínimo pero suficiente para acre</w:t>
      </w:r>
      <w:r w:rsidR="00185D3C" w:rsidRPr="00B53D45">
        <w:rPr>
          <w:rFonts w:ascii="Palatino Linotype" w:hAnsi="Palatino Linotype"/>
          <w:bCs/>
          <w:lang w:val="es-ES"/>
        </w:rPr>
        <w:t xml:space="preserve">ditar el razonamiento realizado, situación que no </w:t>
      </w:r>
      <w:r w:rsidR="00F85CD5" w:rsidRPr="00B53D45">
        <w:rPr>
          <w:rFonts w:ascii="Palatino Linotype" w:hAnsi="Palatino Linotype"/>
          <w:bCs/>
          <w:lang w:val="es-ES"/>
        </w:rPr>
        <w:t>acontece</w:t>
      </w:r>
      <w:r w:rsidR="00185D3C" w:rsidRPr="00B53D45">
        <w:rPr>
          <w:rFonts w:ascii="Palatino Linotype" w:hAnsi="Palatino Linotype"/>
          <w:bCs/>
          <w:lang w:val="es-ES"/>
        </w:rPr>
        <w:t xml:space="preserve"> en el caso que nos ocupa. </w:t>
      </w:r>
      <w:r w:rsidRPr="00B53D45">
        <w:rPr>
          <w:rFonts w:ascii="Palatino Linotype" w:hAnsi="Palatino Linotype"/>
          <w:bCs/>
          <w:lang w:val="es-ES"/>
        </w:rPr>
        <w:t xml:space="preserve">Sirve de sustento a lo anterior el siguiente criterio jurisprudencial: </w:t>
      </w:r>
    </w:p>
    <w:p w14:paraId="3DAC83B5"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t>“Época: Novena</w:t>
      </w:r>
    </w:p>
    <w:p w14:paraId="1E458787"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t>Registro: 175082</w:t>
      </w:r>
    </w:p>
    <w:p w14:paraId="6C6D1889"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t>Tipo de tesis: Jurisprudencia</w:t>
      </w:r>
    </w:p>
    <w:p w14:paraId="30533F73"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t>Fuente: Semanario Judicial de la Federación y su Gaceta</w:t>
      </w:r>
    </w:p>
    <w:p w14:paraId="04B5E60A"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t>Mayo de 2006, Tomo XXIII</w:t>
      </w:r>
    </w:p>
    <w:p w14:paraId="5146B724"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t>Materia (s): Común</w:t>
      </w:r>
    </w:p>
    <w:p w14:paraId="20ECD20C"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t>Tesis: l.4o.A J/43</w:t>
      </w:r>
    </w:p>
    <w:p w14:paraId="3842D467" w14:textId="77777777" w:rsidR="006D74D6" w:rsidRPr="00B53D45" w:rsidRDefault="006D74D6" w:rsidP="007B6A50">
      <w:pPr>
        <w:pStyle w:val="Prrafodelista"/>
        <w:spacing w:before="240" w:after="160"/>
        <w:ind w:left="567" w:right="851"/>
        <w:jc w:val="both"/>
        <w:rPr>
          <w:rFonts w:ascii="Palatino Linotype" w:hAnsi="Palatino Linotype"/>
          <w:i/>
        </w:rPr>
      </w:pPr>
      <w:r w:rsidRPr="00B53D45">
        <w:rPr>
          <w:rFonts w:ascii="Palatino Linotype" w:hAnsi="Palatino Linotype"/>
          <w:i/>
        </w:rPr>
        <w:t>Página: 1531</w:t>
      </w:r>
    </w:p>
    <w:p w14:paraId="76DB362D" w14:textId="77777777" w:rsidR="006D74D6" w:rsidRPr="00B53D45" w:rsidRDefault="006D74D6" w:rsidP="007B6A50">
      <w:pPr>
        <w:spacing w:before="240"/>
        <w:ind w:left="567" w:right="851"/>
        <w:jc w:val="both"/>
        <w:rPr>
          <w:rFonts w:ascii="Palatino Linotype" w:hAnsi="Palatino Linotype"/>
          <w:b/>
          <w:i/>
          <w:lang w:val="es-ES" w:eastAsia="es-ES"/>
        </w:rPr>
      </w:pPr>
      <w:r w:rsidRPr="00B53D45">
        <w:rPr>
          <w:rFonts w:ascii="Palatino Linotype" w:hAnsi="Palatino Linotype"/>
          <w:b/>
          <w:i/>
          <w:lang w:val="es-ES" w:eastAsia="es-ES"/>
        </w:rPr>
        <w:t>FUNDAMENTACIÓN Y MOTIVACIÓN. EL ASPECTO FORMAL DE LA GARANTÍA Y SU FINALIDAD SE TRADUCEN EN EXPLICAR, JUSTIFICAR, POSIBILITAR LA DEFENSA Y COMUNICAR LA DECISIÓN. </w:t>
      </w:r>
    </w:p>
    <w:p w14:paraId="52BA567B" w14:textId="77777777" w:rsidR="006D74D6" w:rsidRPr="00B53D45" w:rsidRDefault="006D74D6" w:rsidP="007B6A50">
      <w:pPr>
        <w:spacing w:before="240"/>
        <w:ind w:left="567" w:right="851"/>
        <w:jc w:val="both"/>
        <w:rPr>
          <w:rFonts w:ascii="Palatino Linotype" w:hAnsi="Palatino Linotype"/>
          <w:i/>
          <w:lang w:val="es-ES" w:eastAsia="es-ES"/>
        </w:rPr>
      </w:pPr>
      <w:r w:rsidRPr="00B53D45">
        <w:rPr>
          <w:rFonts w:ascii="Palatino Linotype" w:hAnsi="Palatino Linotype"/>
          <w:i/>
          <w:lang w:val="es-ES" w:eastAsia="es-ES"/>
        </w:rPr>
        <w:t>El contenido formal de la garantía de legalidad prevista en el artículo 16 constitucional relativa a la fundamentación y motivación tiene como propósito primordial y ratio que el justiciable </w:t>
      </w:r>
      <w:r w:rsidRPr="00B53D45">
        <w:rPr>
          <w:rFonts w:ascii="Palatino Linotype" w:hAnsi="Palatino Linotype"/>
          <w:b/>
          <w:i/>
          <w:u w:val="single"/>
          <w:lang w:val="es-ES" w:eastAsia="es-ES"/>
        </w:rPr>
        <w:t xml:space="preserve">conozca el "para qué" de la conducta de la autoridad, lo que se traduce en darle a conocer en detalle y de manera completa la esencia de todas las circunstancias y condiciones que determinaron el acto de voluntad, de </w:t>
      </w:r>
      <w:r w:rsidRPr="00B53D45">
        <w:rPr>
          <w:rFonts w:ascii="Palatino Linotype" w:hAnsi="Palatino Linotype"/>
          <w:b/>
          <w:i/>
          <w:u w:val="single"/>
          <w:lang w:val="es-ES" w:eastAsia="es-ES"/>
        </w:rPr>
        <w:lastRenderedPageBreak/>
        <w:t>manera que sea evidente y muy claro para el afectado poder cuestionar y controvertir el mérito de la decisión, permitiéndole una real y auténtica defensa</w:t>
      </w:r>
      <w:r w:rsidRPr="00B53D45">
        <w:rPr>
          <w:rFonts w:ascii="Palatino Linotype" w:hAnsi="Palatino Linotype"/>
          <w:i/>
          <w:u w:val="single"/>
          <w:lang w:val="es-ES" w:eastAsia="es-ES"/>
        </w:rPr>
        <w:t>.</w:t>
      </w:r>
      <w:r w:rsidRPr="00B53D45">
        <w:rPr>
          <w:rFonts w:ascii="Palatino Linotype" w:hAnsi="Palatino Linotype"/>
          <w:i/>
          <w:lang w:val="es-ES" w:eastAsia="es-E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B53D45">
        <w:rPr>
          <w:rFonts w:ascii="Palatino Linotype" w:hAnsi="Palatino Linotype"/>
          <w:b/>
          <w:i/>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B53D45">
        <w:rPr>
          <w:rFonts w:ascii="Palatino Linotype" w:hAnsi="Palatino Linotype"/>
          <w:i/>
          <w:lang w:val="es-ES" w:eastAsia="es-ES"/>
        </w:rPr>
        <w:t> del que se deduzca la relación de pertenencia lógica de los hechos al derecho invocado, que es la subsunción.</w:t>
      </w:r>
    </w:p>
    <w:p w14:paraId="51948985" w14:textId="77777777" w:rsidR="006D74D6" w:rsidRPr="00B53D45" w:rsidRDefault="006D74D6" w:rsidP="007B6A50">
      <w:pPr>
        <w:spacing w:before="240"/>
        <w:ind w:left="567" w:right="851"/>
        <w:jc w:val="both"/>
        <w:rPr>
          <w:rFonts w:ascii="Palatino Linotype" w:eastAsia="Times New Roman" w:hAnsi="Palatino Linotype" w:cs="Calibri"/>
          <w:i/>
          <w:color w:val="000000"/>
        </w:rPr>
      </w:pPr>
      <w:r w:rsidRPr="00B53D45">
        <w:rPr>
          <w:rFonts w:ascii="Palatino Linotype" w:eastAsia="Times New Roman" w:hAnsi="Palatino Linotype" w:cs="Calibri"/>
          <w:i/>
          <w:color w:val="000000"/>
        </w:rPr>
        <w:t>CUARTO TRIBUNAL COLEGIADO EN MATERIA ADMINISTRATIVA DEL PRIMER CIRCUITO.</w:t>
      </w:r>
    </w:p>
    <w:p w14:paraId="4A6C8F2E" w14:textId="77777777" w:rsidR="006D74D6" w:rsidRPr="00B53D45" w:rsidRDefault="006D74D6" w:rsidP="007B6A50">
      <w:pPr>
        <w:spacing w:before="240"/>
        <w:ind w:left="567" w:right="851"/>
        <w:jc w:val="both"/>
        <w:rPr>
          <w:rFonts w:ascii="Palatino Linotype" w:eastAsia="Times New Roman" w:hAnsi="Palatino Linotype" w:cs="Calibri"/>
          <w:i/>
          <w:color w:val="444444"/>
        </w:rPr>
      </w:pPr>
      <w:r w:rsidRPr="00B53D45">
        <w:rPr>
          <w:rFonts w:ascii="Palatino Linotype" w:eastAsia="Times New Roman" w:hAnsi="Palatino Linotype" w:cs="Calibri"/>
          <w:i/>
          <w:color w:val="444444"/>
        </w:rPr>
        <w:t>Amparo directo 447/2005. Bruno López Castro. 1o. de febrero de 2006. Unanimidad de votos. Ponente: Jean Claude Tron Petit. Secretaria: Claudia Patricia Peraza Espinoza.</w:t>
      </w:r>
    </w:p>
    <w:p w14:paraId="41BDA5B6" w14:textId="77777777" w:rsidR="006D74D6" w:rsidRPr="00B53D45" w:rsidRDefault="006D74D6" w:rsidP="007B6A50">
      <w:pPr>
        <w:spacing w:before="240"/>
        <w:ind w:left="567" w:right="851"/>
        <w:jc w:val="both"/>
        <w:rPr>
          <w:rFonts w:ascii="Palatino Linotype" w:eastAsia="Times New Roman" w:hAnsi="Palatino Linotype" w:cs="Calibri"/>
          <w:i/>
          <w:color w:val="444444"/>
        </w:rPr>
      </w:pPr>
      <w:r w:rsidRPr="00B53D45">
        <w:rPr>
          <w:rFonts w:ascii="Palatino Linotype" w:eastAsia="Times New Roman" w:hAnsi="Palatino Linotype" w:cs="Calibri"/>
          <w:i/>
          <w:color w:val="444444"/>
        </w:rPr>
        <w:t>Amparo en revisión 631/2005. Jesús Guillermo Mosqueda Martínez. 1o. de febrero de 2006. Unanimidad de votos. Ponente: Jean Claude Tron Petit. Secretaria: Alma Margarita Flores Rodríguez.</w:t>
      </w:r>
    </w:p>
    <w:p w14:paraId="238B1454" w14:textId="77777777" w:rsidR="006D74D6" w:rsidRPr="00B53D45" w:rsidRDefault="006D74D6" w:rsidP="007B6A50">
      <w:pPr>
        <w:spacing w:before="240"/>
        <w:ind w:left="567" w:right="851"/>
        <w:jc w:val="both"/>
        <w:rPr>
          <w:rFonts w:ascii="Palatino Linotype" w:eastAsia="Times New Roman" w:hAnsi="Palatino Linotype" w:cs="Calibri"/>
          <w:i/>
          <w:color w:val="444444"/>
        </w:rPr>
      </w:pPr>
      <w:r w:rsidRPr="00B53D45">
        <w:rPr>
          <w:rFonts w:ascii="Palatino Linotype" w:eastAsia="Times New Roman" w:hAnsi="Palatino Linotype" w:cs="Calibri"/>
          <w:i/>
          <w:color w:val="444444"/>
        </w:rPr>
        <w:t>Amparo directo 400/2005. Pemex Exploración y Producción. 9 de febrero de 2006. Unanimidad de votos. Ponente: Jesús Antonio Nazar Sevilla. Secretaria: Ángela Alvarado Morales.</w:t>
      </w:r>
    </w:p>
    <w:p w14:paraId="2997B2DC" w14:textId="77777777" w:rsidR="006D74D6" w:rsidRPr="00B53D45" w:rsidRDefault="006D74D6" w:rsidP="007B6A50">
      <w:pPr>
        <w:spacing w:before="240"/>
        <w:ind w:left="567" w:right="851"/>
        <w:jc w:val="both"/>
        <w:rPr>
          <w:rFonts w:ascii="Palatino Linotype" w:eastAsia="Times New Roman" w:hAnsi="Palatino Linotype" w:cs="Calibri"/>
          <w:i/>
          <w:color w:val="444444"/>
        </w:rPr>
      </w:pPr>
      <w:r w:rsidRPr="00B53D45">
        <w:rPr>
          <w:rFonts w:ascii="Palatino Linotype" w:eastAsia="Times New Roman" w:hAnsi="Palatino Linotype" w:cs="Calibri"/>
          <w:i/>
          <w:color w:val="444444"/>
        </w:rPr>
        <w:t>Amparo directo 27/2006. Arturo Alarcón Carrillo. 15 de febrero de 2006. Unanimidad de votos. Ponente: Hilario Bárcenas Chávez. Secretaria: Karla Mariana Márquez Velasco.</w:t>
      </w:r>
    </w:p>
    <w:p w14:paraId="3BB55B51" w14:textId="77777777" w:rsidR="006D74D6" w:rsidRPr="00B53D45" w:rsidRDefault="006D74D6" w:rsidP="007B6A50">
      <w:pPr>
        <w:spacing w:before="240"/>
        <w:ind w:left="567" w:right="851"/>
        <w:jc w:val="both"/>
        <w:rPr>
          <w:rFonts w:ascii="Palatino Linotype" w:eastAsia="Times New Roman" w:hAnsi="Palatino Linotype" w:cs="Calibri"/>
          <w:b/>
          <w:i/>
          <w:color w:val="444444"/>
        </w:rPr>
      </w:pPr>
      <w:r w:rsidRPr="00B53D45">
        <w:rPr>
          <w:rFonts w:ascii="Palatino Linotype" w:eastAsia="Times New Roman" w:hAnsi="Palatino Linotype" w:cs="Calibri"/>
          <w:i/>
          <w:color w:val="444444"/>
        </w:rPr>
        <w:t xml:space="preserve">Amparo en revisión 78/2006. Juan Alcántara Gutiérrez. 1o. de marzo de 2006. Unanimidad de votos. Ponente: Hilario Bárcenas Chávez. Secretaria: Mariza Arellano Pompa.” </w:t>
      </w:r>
      <w:r w:rsidRPr="00B53D45">
        <w:rPr>
          <w:rFonts w:ascii="Palatino Linotype" w:eastAsia="Times New Roman" w:hAnsi="Palatino Linotype" w:cs="Calibri"/>
          <w:b/>
          <w:i/>
          <w:color w:val="444444"/>
        </w:rPr>
        <w:t>[Sic]</w:t>
      </w:r>
    </w:p>
    <w:p w14:paraId="377D1183" w14:textId="77777777" w:rsidR="00FF3A93" w:rsidRPr="00B53D45" w:rsidRDefault="00FF3A93" w:rsidP="007B6A50">
      <w:pPr>
        <w:tabs>
          <w:tab w:val="left" w:pos="709"/>
        </w:tabs>
        <w:ind w:left="567"/>
        <w:jc w:val="both"/>
        <w:rPr>
          <w:rFonts w:ascii="Palatino Linotype" w:hAnsi="Palatino Linotype"/>
          <w:b/>
          <w:i/>
          <w:lang w:val="es-ES" w:eastAsia="es-ES"/>
        </w:rPr>
      </w:pPr>
    </w:p>
    <w:p w14:paraId="575914B1" w14:textId="450547C2" w:rsidR="00D405B2" w:rsidRPr="00B53D45" w:rsidRDefault="00F85CD5" w:rsidP="00F85CD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lastRenderedPageBreak/>
        <w:t>Así mismo, es preciso señalar</w:t>
      </w:r>
      <w:r w:rsidR="00D405B2" w:rsidRPr="00B53D45">
        <w:rPr>
          <w:rFonts w:ascii="Palatino Linotype" w:eastAsia="Palatino Linotype" w:hAnsi="Palatino Linotype" w:cs="Palatino Linotype"/>
          <w:color w:val="000000"/>
        </w:rPr>
        <w:t xml:space="preserve"> que los </w:t>
      </w:r>
      <w:r w:rsidR="00D405B2" w:rsidRPr="00B53D45">
        <w:rPr>
          <w:rFonts w:ascii="Palatino Linotype" w:eastAsia="Palatino Linotype" w:hAnsi="Palatino Linotype" w:cs="Palatino Linotype"/>
          <w:b/>
          <w:color w:val="000000"/>
        </w:rPr>
        <w:t>Manuales y Lineamientos</w:t>
      </w:r>
      <w:r w:rsidR="00D405B2" w:rsidRPr="00B53D45">
        <w:rPr>
          <w:rFonts w:ascii="Palatino Linotype" w:eastAsia="Palatino Linotype" w:hAnsi="Palatino Linotype" w:cs="Palatino Linotype"/>
          <w:color w:val="000000"/>
        </w:rPr>
        <w:t>,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3088B482" w14:textId="77777777" w:rsidR="00D405B2" w:rsidRPr="00B53D45" w:rsidRDefault="00D405B2" w:rsidP="007B6A50">
      <w:pPr>
        <w:ind w:left="567" w:right="567"/>
        <w:jc w:val="both"/>
        <w:rPr>
          <w:rFonts w:ascii="Palatino Linotype" w:eastAsia="Palatino Linotype" w:hAnsi="Palatino Linotype" w:cs="Palatino Linotype"/>
          <w:i/>
        </w:rPr>
      </w:pPr>
      <w:r w:rsidRPr="00B53D45">
        <w:rPr>
          <w:rFonts w:ascii="Palatino Linotype" w:eastAsia="Palatino Linotype" w:hAnsi="Palatino Linotype" w:cs="Palatino Linotype"/>
          <w:b/>
          <w:i/>
        </w:rPr>
        <w:t>“Artículo 92. </w:t>
      </w:r>
      <w:r w:rsidRPr="00B53D45">
        <w:rPr>
          <w:rFonts w:ascii="Palatino Linotype" w:eastAsia="Palatino Linotype" w:hAnsi="Palatino Linotype" w:cs="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781B5B3" w14:textId="77777777" w:rsidR="00D405B2" w:rsidRPr="00B53D45" w:rsidRDefault="00D405B2" w:rsidP="007B6A50">
      <w:pPr>
        <w:ind w:left="567" w:right="567"/>
        <w:jc w:val="both"/>
        <w:rPr>
          <w:rFonts w:ascii="Palatino Linotype" w:eastAsia="Palatino Linotype" w:hAnsi="Palatino Linotype" w:cs="Palatino Linotype"/>
        </w:rPr>
      </w:pPr>
    </w:p>
    <w:p w14:paraId="069ECB25" w14:textId="09AC21F2" w:rsidR="00D405B2" w:rsidRPr="00B53D45" w:rsidRDefault="00D405B2" w:rsidP="007B6A50">
      <w:pPr>
        <w:pStyle w:val="Prrafodelista"/>
        <w:numPr>
          <w:ilvl w:val="0"/>
          <w:numId w:val="34"/>
        </w:numPr>
        <w:ind w:right="567"/>
        <w:jc w:val="both"/>
        <w:rPr>
          <w:rFonts w:ascii="Palatino Linotype" w:eastAsia="Palatino Linotype" w:hAnsi="Palatino Linotype" w:cs="Palatino Linotype"/>
          <w:b/>
          <w:i/>
        </w:rPr>
      </w:pPr>
      <w:r w:rsidRPr="00B53D45">
        <w:rPr>
          <w:rFonts w:ascii="Palatino Linotype" w:eastAsia="Palatino Linotype" w:hAnsi="Palatino Linotype" w:cs="Palatino Linotype"/>
          <w:b/>
          <w:i/>
        </w:rPr>
        <w:t xml:space="preserve">El marco normativo </w:t>
      </w:r>
      <w:r w:rsidR="00707D7B" w:rsidRPr="00B53D45">
        <w:rPr>
          <w:rFonts w:ascii="Palatino Linotype" w:eastAsia="Palatino Linotype" w:hAnsi="Palatino Linotype" w:cs="Palatino Linotype"/>
          <w:b/>
          <w:i/>
        </w:rPr>
        <w:t>aplicado</w:t>
      </w:r>
      <w:r w:rsidRPr="00B53D45">
        <w:rPr>
          <w:rFonts w:ascii="Palatino Linotype" w:eastAsia="Palatino Linotype" w:hAnsi="Palatino Linotype" w:cs="Palatino Linotype"/>
          <w:b/>
          <w:i/>
        </w:rPr>
        <w:t xml:space="preserve"> al sujeto obligado, e</w:t>
      </w:r>
      <w:r w:rsidR="00707D7B" w:rsidRPr="00B53D45">
        <w:rPr>
          <w:rFonts w:ascii="Palatino Linotype" w:eastAsia="Palatino Linotype" w:hAnsi="Palatino Linotype" w:cs="Palatino Linotype"/>
          <w:b/>
          <w:i/>
        </w:rPr>
        <w:t xml:space="preserve">n </w:t>
      </w:r>
      <w:r w:rsidRPr="00B53D45">
        <w:rPr>
          <w:rFonts w:ascii="Palatino Linotype" w:eastAsia="Palatino Linotype" w:hAnsi="Palatino Linotype" w:cs="Palatino Linotype"/>
          <w:b/>
          <w:i/>
        </w:rPr>
        <w:t xml:space="preserve">el que deberá incluirse leyes, códigos, reglamentos, decretos de creación, acuerdos, convenios, manuales de organización y procedimientos, reglas de operación, criterios, políticas, entre otros </w:t>
      </w:r>
    </w:p>
    <w:p w14:paraId="655F7E03" w14:textId="1475C780" w:rsidR="007B6A50" w:rsidRPr="00B53D45" w:rsidRDefault="007B6A50" w:rsidP="007B6A50">
      <w:pPr>
        <w:pStyle w:val="Prrafodelista"/>
        <w:ind w:left="1287" w:right="567"/>
        <w:jc w:val="both"/>
        <w:rPr>
          <w:rFonts w:ascii="Palatino Linotype" w:eastAsia="Palatino Linotype" w:hAnsi="Palatino Linotype" w:cs="Palatino Linotype"/>
          <w:b/>
          <w:i/>
        </w:rPr>
      </w:pPr>
      <w:r w:rsidRPr="00B53D45">
        <w:rPr>
          <w:rFonts w:ascii="Palatino Linotype" w:eastAsia="Palatino Linotype" w:hAnsi="Palatino Linotype" w:cs="Palatino Linotype"/>
          <w:b/>
          <w:i/>
        </w:rPr>
        <w:t>(…)</w:t>
      </w:r>
    </w:p>
    <w:p w14:paraId="769EAE19" w14:textId="77777777" w:rsidR="00F85CD5" w:rsidRPr="00B53D45" w:rsidRDefault="00F85CD5" w:rsidP="00F85CD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4159552" w14:textId="661AC5A2" w:rsidR="00A142AA" w:rsidRPr="00B53D45" w:rsidRDefault="00707D7B" w:rsidP="00707D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t>En consecuencia, se determina que existe la obligación de hacer pública la información relacionada con los Manuales y lineamientos, de acuerdo al artículo 92 de la Ley de Transparencia Local,</w:t>
      </w:r>
      <w:r w:rsidR="00185D3C" w:rsidRPr="00B53D45">
        <w:rPr>
          <w:rFonts w:ascii="Palatino Linotype" w:eastAsia="Palatino Linotype" w:hAnsi="Palatino Linotype" w:cs="Palatino Linotype"/>
          <w:color w:val="000000"/>
        </w:rPr>
        <w:t xml:space="preserve"> toda vez que se trata de un documento en el cual se establecen las actividades que deben realizarse de manera secuencial y cronológica para dar cumplimiento a una función; lo cual no advierte que vulnere o exponga detalles de los operativos </w:t>
      </w:r>
      <w:r w:rsidR="007B6A50" w:rsidRPr="00B53D45">
        <w:rPr>
          <w:rFonts w:ascii="Palatino Linotype" w:eastAsia="Palatino Linotype" w:hAnsi="Palatino Linotype" w:cs="Palatino Linotype"/>
          <w:color w:val="000000"/>
        </w:rPr>
        <w:t>implementados</w:t>
      </w:r>
      <w:r w:rsidR="00185D3C" w:rsidRPr="00B53D45">
        <w:rPr>
          <w:rFonts w:ascii="Palatino Linotype" w:eastAsia="Palatino Linotype" w:hAnsi="Palatino Linotype" w:cs="Palatino Linotype"/>
          <w:color w:val="000000"/>
        </w:rPr>
        <w:t xml:space="preserve"> dentro del territorio del </w:t>
      </w:r>
      <w:r w:rsidR="00185D3C" w:rsidRPr="00B53D45">
        <w:rPr>
          <w:rFonts w:ascii="Palatino Linotype" w:eastAsia="Palatino Linotype" w:hAnsi="Palatino Linotype" w:cs="Palatino Linotype"/>
          <w:b/>
          <w:color w:val="000000"/>
        </w:rPr>
        <w:t xml:space="preserve">SUJETO OBLIGADO, </w:t>
      </w:r>
      <w:r w:rsidR="007B6A50" w:rsidRPr="00B53D45">
        <w:rPr>
          <w:rFonts w:ascii="Palatino Linotype" w:eastAsia="Palatino Linotype" w:hAnsi="Palatino Linotype" w:cs="Palatino Linotype"/>
          <w:color w:val="000000"/>
        </w:rPr>
        <w:t xml:space="preserve">como los son rutas, horarios, número de elementos, ello aunado a que no compromete la integridad del estado de fuerza, estrategias de prevención, reacción y disuasión del delito, tal como lo </w:t>
      </w:r>
      <w:r w:rsidR="007B6A50" w:rsidRPr="00B53D45">
        <w:rPr>
          <w:rFonts w:ascii="Palatino Linotype" w:eastAsia="Palatino Linotype" w:hAnsi="Palatino Linotype" w:cs="Palatino Linotype"/>
          <w:color w:val="000000"/>
        </w:rPr>
        <w:lastRenderedPageBreak/>
        <w:t xml:space="preserve">señala en respuesta; en ese </w:t>
      </w:r>
      <w:r w:rsidR="006D74D6" w:rsidRPr="00B53D45">
        <w:rPr>
          <w:rFonts w:ascii="Palatino Linotype" w:hAnsi="Palatino Linotype" w:cs="Arial"/>
        </w:rPr>
        <w:t>tenor, resulta procedente ordenar la entrega de</w:t>
      </w:r>
      <w:r w:rsidRPr="00B53D45">
        <w:rPr>
          <w:rFonts w:ascii="Palatino Linotype" w:hAnsi="Palatino Linotype" w:cs="Arial"/>
        </w:rPr>
        <w:t xml:space="preserve"> </w:t>
      </w:r>
      <w:r w:rsidR="006D74D6" w:rsidRPr="00B53D45">
        <w:rPr>
          <w:rFonts w:ascii="Palatino Linotype" w:hAnsi="Palatino Linotype" w:cs="Arial"/>
        </w:rPr>
        <w:t>l</w:t>
      </w:r>
      <w:r w:rsidRPr="00B53D45">
        <w:rPr>
          <w:rFonts w:ascii="Palatino Linotype" w:hAnsi="Palatino Linotype" w:cs="Arial"/>
        </w:rPr>
        <w:t xml:space="preserve">os Manuales y/o lineamientos de Operación vigentes al </w:t>
      </w:r>
      <w:r w:rsidR="00185D3C" w:rsidRPr="00B53D45">
        <w:rPr>
          <w:rFonts w:ascii="Palatino Linotype" w:hAnsi="Palatino Linotype" w:cs="Arial"/>
        </w:rPr>
        <w:t>veintidós</w:t>
      </w:r>
      <w:r w:rsidRPr="00B53D45">
        <w:rPr>
          <w:rFonts w:ascii="Palatino Linotype" w:hAnsi="Palatino Linotype" w:cs="Arial"/>
        </w:rPr>
        <w:t xml:space="preserve"> de junio de </w:t>
      </w:r>
      <w:r w:rsidR="00185D3C" w:rsidRPr="00B53D45">
        <w:rPr>
          <w:rFonts w:ascii="Palatino Linotype" w:hAnsi="Palatino Linotype" w:cs="Arial"/>
        </w:rPr>
        <w:t>dos</w:t>
      </w:r>
      <w:r w:rsidRPr="00B53D45">
        <w:rPr>
          <w:rFonts w:ascii="Palatino Linotype" w:hAnsi="Palatino Linotype" w:cs="Arial"/>
        </w:rPr>
        <w:t xml:space="preserve"> mil veinticinco de la Dirección de Seguridad Pública.</w:t>
      </w:r>
    </w:p>
    <w:p w14:paraId="5B0E569C" w14:textId="77777777" w:rsidR="00C663B7" w:rsidRPr="00B53D45" w:rsidRDefault="00C663B7" w:rsidP="00C663B7">
      <w:pPr>
        <w:pStyle w:val="Prrafodelista"/>
        <w:tabs>
          <w:tab w:val="left" w:pos="709"/>
        </w:tabs>
        <w:spacing w:line="360" w:lineRule="auto"/>
        <w:ind w:left="0"/>
        <w:jc w:val="both"/>
        <w:rPr>
          <w:rFonts w:ascii="Palatino Linotype" w:hAnsi="Palatino Linotype" w:cs="Arial"/>
        </w:rPr>
      </w:pPr>
    </w:p>
    <w:p w14:paraId="17D5920C" w14:textId="77777777" w:rsidR="009B68E4" w:rsidRPr="00B53D45" w:rsidRDefault="009B68E4" w:rsidP="00E1797B">
      <w:pPr>
        <w:numPr>
          <w:ilvl w:val="0"/>
          <w:numId w:val="1"/>
        </w:numPr>
        <w:pBdr>
          <w:top w:val="nil"/>
          <w:left w:val="nil"/>
          <w:bottom w:val="nil"/>
          <w:right w:val="nil"/>
          <w:between w:val="nil"/>
        </w:pBdr>
        <w:spacing w:line="360" w:lineRule="auto"/>
        <w:contextualSpacing/>
        <w:jc w:val="both"/>
        <w:rPr>
          <w:rFonts w:ascii="Palatino Linotype" w:hAnsi="Palatino Linotype" w:cs="Arial"/>
          <w:b/>
        </w:rPr>
      </w:pPr>
      <w:r w:rsidRPr="00B53D45">
        <w:rPr>
          <w:rFonts w:ascii="Palatino Linotype" w:eastAsia="Palatino Linotype" w:hAnsi="Palatino Linotype" w:cs="Palatino Linotype"/>
        </w:rPr>
        <w:t xml:space="preserve">Es por lo anterior que resulta dable </w:t>
      </w:r>
      <w:r w:rsidRPr="00B53D45">
        <w:rPr>
          <w:rFonts w:ascii="Palatino Linotype" w:eastAsia="Palatino Linotype" w:hAnsi="Palatino Linotype" w:cs="Palatino Linotype"/>
          <w:b/>
        </w:rPr>
        <w:t xml:space="preserve">MODIFICAR </w:t>
      </w:r>
      <w:r w:rsidRPr="00B53D45">
        <w:rPr>
          <w:rFonts w:ascii="Palatino Linotype" w:eastAsia="Palatino Linotype" w:hAnsi="Palatino Linotype" w:cs="Palatino Linotype"/>
        </w:rPr>
        <w:t xml:space="preserve">la respuesta del </w:t>
      </w:r>
      <w:r w:rsidRPr="00B53D45">
        <w:rPr>
          <w:rFonts w:ascii="Palatino Linotype" w:eastAsia="Palatino Linotype" w:hAnsi="Palatino Linotype" w:cs="Palatino Linotype"/>
          <w:b/>
        </w:rPr>
        <w:t>SUJETO OBLIGADO</w:t>
      </w:r>
      <w:r w:rsidRPr="00B53D45">
        <w:rPr>
          <w:rFonts w:ascii="Palatino Linotype" w:eastAsia="Palatino Linotype" w:hAnsi="Palatino Linotype" w:cs="Palatino Linotype"/>
        </w:rPr>
        <w:t xml:space="preserve"> y entregar la información mencionada en el párrafo con antelación. </w:t>
      </w:r>
    </w:p>
    <w:p w14:paraId="0783D4E0" w14:textId="77777777" w:rsidR="00707D7B" w:rsidRPr="00B53D45" w:rsidRDefault="00707D7B" w:rsidP="00707D7B">
      <w:pPr>
        <w:pStyle w:val="Prrafodelista"/>
        <w:rPr>
          <w:rFonts w:ascii="Palatino Linotype" w:hAnsi="Palatino Linotype" w:cs="Arial"/>
          <w:b/>
        </w:rPr>
      </w:pPr>
    </w:p>
    <w:p w14:paraId="77508B68" w14:textId="77777777" w:rsidR="00D86E74" w:rsidRPr="00B53D45" w:rsidRDefault="00B05C77" w:rsidP="00E179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53D45">
        <w:rPr>
          <w:rFonts w:ascii="Palatino Linotype" w:eastAsia="Palatino Linotype" w:hAnsi="Palatino Linotype" w:cs="Palatino Linotype"/>
          <w:color w:val="000000"/>
        </w:rPr>
        <w:t xml:space="preserve">Por lo anteriormente expuesto y fundado, este </w:t>
      </w:r>
      <w:r w:rsidRPr="00B53D45">
        <w:rPr>
          <w:rFonts w:ascii="Palatino Linotype" w:eastAsia="Palatino Linotype" w:hAnsi="Palatino Linotype" w:cs="Palatino Linotype"/>
          <w:b/>
          <w:color w:val="000000"/>
        </w:rPr>
        <w:t>ÓRGANO GARANTE</w:t>
      </w:r>
      <w:r w:rsidRPr="00B53D45">
        <w:rPr>
          <w:rFonts w:ascii="Palatino Linotype" w:eastAsia="Palatino Linotype" w:hAnsi="Palatino Linotype" w:cs="Palatino Linotype"/>
          <w:color w:val="000000"/>
        </w:rPr>
        <w:t xml:space="preserve"> emite los siguientes:</w:t>
      </w:r>
    </w:p>
    <w:p w14:paraId="680105B2" w14:textId="77777777" w:rsidR="00D86E74" w:rsidRPr="00B53D45" w:rsidRDefault="00D86E74" w:rsidP="00E179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A4473AE" w14:textId="77777777" w:rsidR="00D86E74" w:rsidRPr="00B53D45" w:rsidRDefault="00B05C77" w:rsidP="00E1797B">
      <w:pPr>
        <w:pStyle w:val="Ttulo1"/>
        <w:spacing w:before="0" w:line="360" w:lineRule="auto"/>
        <w:jc w:val="center"/>
        <w:rPr>
          <w:b w:val="0"/>
        </w:rPr>
      </w:pPr>
      <w:r w:rsidRPr="00B53D45">
        <w:t>R E S O L U T I V O S</w:t>
      </w:r>
    </w:p>
    <w:p w14:paraId="7F1690E8" w14:textId="77777777" w:rsidR="00D86E74" w:rsidRPr="00B53D45" w:rsidRDefault="00D86E74" w:rsidP="00E1797B">
      <w:pPr>
        <w:spacing w:line="360" w:lineRule="auto"/>
        <w:rPr>
          <w:rFonts w:ascii="Palatino Linotype" w:eastAsia="Palatino Linotype" w:hAnsi="Palatino Linotype" w:cs="Palatino Linotype"/>
        </w:rPr>
      </w:pPr>
    </w:p>
    <w:p w14:paraId="1FC2050D" w14:textId="730A7843" w:rsidR="00D86E74" w:rsidRPr="00B53D45" w:rsidRDefault="00B05C77" w:rsidP="00E1797B">
      <w:pPr>
        <w:spacing w:line="360" w:lineRule="auto"/>
        <w:jc w:val="both"/>
        <w:rPr>
          <w:rFonts w:ascii="Palatino Linotype" w:eastAsia="Palatino Linotype" w:hAnsi="Palatino Linotype" w:cs="Palatino Linotype"/>
        </w:rPr>
      </w:pPr>
      <w:r w:rsidRPr="00B53D45">
        <w:rPr>
          <w:rFonts w:ascii="Palatino Linotype" w:eastAsia="Palatino Linotype" w:hAnsi="Palatino Linotype" w:cs="Palatino Linotype"/>
          <w:b/>
        </w:rPr>
        <w:t>PRIMERO</w:t>
      </w:r>
      <w:r w:rsidRPr="00B53D45">
        <w:rPr>
          <w:rFonts w:ascii="Palatino Linotype" w:eastAsia="Palatino Linotype" w:hAnsi="Palatino Linotype" w:cs="Palatino Linotype"/>
        </w:rPr>
        <w:t>. Resultan</w:t>
      </w:r>
      <w:r w:rsidR="000261F9" w:rsidRPr="00B53D45">
        <w:rPr>
          <w:rFonts w:ascii="Palatino Linotype" w:eastAsia="Palatino Linotype" w:hAnsi="Palatino Linotype" w:cs="Palatino Linotype"/>
        </w:rPr>
        <w:t xml:space="preserve"> </w:t>
      </w:r>
      <w:r w:rsidR="000261F9" w:rsidRPr="00B53D45">
        <w:rPr>
          <w:rFonts w:ascii="Palatino Linotype" w:eastAsia="Palatino Linotype" w:hAnsi="Palatino Linotype" w:cs="Palatino Linotype"/>
          <w:b/>
        </w:rPr>
        <w:t>parcialmente</w:t>
      </w:r>
      <w:r w:rsidRPr="00B53D45">
        <w:rPr>
          <w:rFonts w:ascii="Palatino Linotype" w:eastAsia="Palatino Linotype" w:hAnsi="Palatino Linotype" w:cs="Palatino Linotype"/>
          <w:b/>
        </w:rPr>
        <w:t xml:space="preserve"> fundadas</w:t>
      </w:r>
      <w:r w:rsidRPr="00B53D45">
        <w:rPr>
          <w:rFonts w:ascii="Palatino Linotype" w:eastAsia="Palatino Linotype" w:hAnsi="Palatino Linotype" w:cs="Palatino Linotype"/>
        </w:rPr>
        <w:t xml:space="preserve"> las razones o motivos de inconformidad hechos valer en el Recursos de Revisión </w:t>
      </w:r>
      <w:r w:rsidR="00707D7B" w:rsidRPr="00B53D45">
        <w:rPr>
          <w:rFonts w:ascii="Palatino Linotype" w:eastAsia="Palatino Linotype" w:hAnsi="Palatino Linotype" w:cs="Palatino Linotype"/>
          <w:b/>
        </w:rPr>
        <w:t>08673</w:t>
      </w:r>
      <w:r w:rsidRPr="00B53D45">
        <w:rPr>
          <w:rFonts w:ascii="Palatino Linotype" w:eastAsia="Palatino Linotype" w:hAnsi="Palatino Linotype" w:cs="Palatino Linotype"/>
          <w:b/>
        </w:rPr>
        <w:t xml:space="preserve">/INFOEM/IP/RR/2025 </w:t>
      </w:r>
      <w:r w:rsidRPr="00B53D45">
        <w:rPr>
          <w:rFonts w:ascii="Palatino Linotype" w:eastAsia="Palatino Linotype" w:hAnsi="Palatino Linotype" w:cs="Palatino Linotype"/>
        </w:rPr>
        <w:t xml:space="preserve">en términos del </w:t>
      </w:r>
      <w:r w:rsidRPr="00B53D45">
        <w:rPr>
          <w:rFonts w:ascii="Palatino Linotype" w:eastAsia="Palatino Linotype" w:hAnsi="Palatino Linotype" w:cs="Palatino Linotype"/>
          <w:b/>
        </w:rPr>
        <w:t xml:space="preserve">Considerando CUARTO y QUINTO </w:t>
      </w:r>
      <w:r w:rsidRPr="00B53D45">
        <w:rPr>
          <w:rFonts w:ascii="Palatino Linotype" w:eastAsia="Palatino Linotype" w:hAnsi="Palatino Linotype" w:cs="Palatino Linotype"/>
        </w:rPr>
        <w:t>de la presente resolución.</w:t>
      </w:r>
    </w:p>
    <w:p w14:paraId="7148856F" w14:textId="77777777" w:rsidR="00D86E74" w:rsidRPr="00B53D45" w:rsidRDefault="00D86E74" w:rsidP="00E1797B">
      <w:pPr>
        <w:spacing w:line="360" w:lineRule="auto"/>
        <w:jc w:val="both"/>
        <w:rPr>
          <w:rFonts w:ascii="Palatino Linotype" w:eastAsia="Palatino Linotype" w:hAnsi="Palatino Linotype" w:cs="Palatino Linotype"/>
        </w:rPr>
      </w:pPr>
    </w:p>
    <w:p w14:paraId="0633D8A2" w14:textId="4614A799" w:rsidR="00A30285" w:rsidRPr="00B53D45" w:rsidRDefault="00B05C77" w:rsidP="00E1797B">
      <w:pPr>
        <w:spacing w:line="360" w:lineRule="auto"/>
        <w:jc w:val="both"/>
        <w:rPr>
          <w:rFonts w:ascii="Palatino Linotype" w:eastAsia="Palatino Linotype" w:hAnsi="Palatino Linotype" w:cs="Palatino Linotype"/>
          <w:color w:val="000000"/>
        </w:rPr>
      </w:pPr>
      <w:bookmarkStart w:id="10" w:name="_heading=h.26in1rg" w:colFirst="0" w:colLast="0"/>
      <w:bookmarkEnd w:id="10"/>
      <w:r w:rsidRPr="00B53D45">
        <w:rPr>
          <w:rFonts w:ascii="Palatino Linotype" w:eastAsia="Palatino Linotype" w:hAnsi="Palatino Linotype" w:cs="Palatino Linotype"/>
          <w:b/>
        </w:rPr>
        <w:t xml:space="preserve">SEGUNDO. </w:t>
      </w:r>
      <w:r w:rsidRPr="00B53D45">
        <w:rPr>
          <w:rFonts w:ascii="Palatino Linotype" w:eastAsia="Palatino Linotype" w:hAnsi="Palatino Linotype" w:cs="Palatino Linotype"/>
          <w:color w:val="000000"/>
        </w:rPr>
        <w:t xml:space="preserve">Se </w:t>
      </w:r>
      <w:r w:rsidRPr="00B53D45">
        <w:rPr>
          <w:rFonts w:ascii="Palatino Linotype" w:eastAsia="Palatino Linotype" w:hAnsi="Palatino Linotype" w:cs="Palatino Linotype"/>
          <w:b/>
          <w:color w:val="000000"/>
        </w:rPr>
        <w:t xml:space="preserve">MODIFICA </w:t>
      </w:r>
      <w:r w:rsidR="001A0B73" w:rsidRPr="00B53D45">
        <w:rPr>
          <w:rFonts w:ascii="Palatino Linotype" w:eastAsia="Palatino Linotype" w:hAnsi="Palatino Linotype" w:cs="Palatino Linotype"/>
          <w:color w:val="000000"/>
        </w:rPr>
        <w:t xml:space="preserve">la respuesta emitida </w:t>
      </w:r>
      <w:r w:rsidR="00707D7B" w:rsidRPr="00B53D45">
        <w:rPr>
          <w:rFonts w:ascii="Palatino Linotype" w:eastAsia="Palatino Linotype" w:hAnsi="Palatino Linotype" w:cs="Palatino Linotype"/>
          <w:color w:val="000000"/>
        </w:rPr>
        <w:t xml:space="preserve">por el </w:t>
      </w:r>
      <w:r w:rsidR="00707D7B" w:rsidRPr="00B53D45">
        <w:rPr>
          <w:rFonts w:ascii="Palatino Linotype" w:eastAsia="Palatino Linotype" w:hAnsi="Palatino Linotype" w:cs="Palatino Linotype"/>
          <w:b/>
          <w:color w:val="000000"/>
        </w:rPr>
        <w:t>Ayuntamiento de Chapultepec</w:t>
      </w:r>
      <w:r w:rsidRPr="00B53D45">
        <w:rPr>
          <w:rFonts w:ascii="Palatino Linotype" w:eastAsia="Palatino Linotype" w:hAnsi="Palatino Linotype" w:cs="Palatino Linotype"/>
          <w:b/>
          <w:color w:val="000000"/>
        </w:rPr>
        <w:t>,</w:t>
      </w:r>
      <w:r w:rsidRPr="00B53D45">
        <w:rPr>
          <w:rFonts w:ascii="Palatino Linotype" w:eastAsia="Palatino Linotype" w:hAnsi="Palatino Linotype" w:cs="Palatino Linotype"/>
          <w:color w:val="000000"/>
        </w:rPr>
        <w:t xml:space="preserve"> a la </w:t>
      </w:r>
      <w:r w:rsidRPr="00B53D45">
        <w:rPr>
          <w:rFonts w:ascii="Palatino Linotype" w:eastAsia="Palatino Linotype" w:hAnsi="Palatino Linotype" w:cs="Palatino Linotype"/>
        </w:rPr>
        <w:t>solicitud de información pública registrada con el número</w:t>
      </w:r>
      <w:r w:rsidRPr="00B53D45">
        <w:rPr>
          <w:rFonts w:ascii="Palatino Linotype" w:eastAsia="Palatino Linotype" w:hAnsi="Palatino Linotype" w:cs="Palatino Linotype"/>
          <w:b/>
        </w:rPr>
        <w:t xml:space="preserve"> </w:t>
      </w:r>
      <w:r w:rsidR="00707D7B" w:rsidRPr="00B53D45">
        <w:rPr>
          <w:rFonts w:ascii="Palatino Linotype" w:eastAsia="Palatino Linotype" w:hAnsi="Palatino Linotype" w:cs="Palatino Linotype"/>
          <w:b/>
          <w:color w:val="000000"/>
        </w:rPr>
        <w:t>00069</w:t>
      </w:r>
      <w:r w:rsidR="005F2DF6" w:rsidRPr="00B53D45">
        <w:rPr>
          <w:rFonts w:ascii="Palatino Linotype" w:eastAsia="Palatino Linotype" w:hAnsi="Palatino Linotype" w:cs="Palatino Linotype"/>
          <w:b/>
          <w:color w:val="000000"/>
        </w:rPr>
        <w:t>/</w:t>
      </w:r>
      <w:r w:rsidR="00707D7B" w:rsidRPr="00B53D45">
        <w:rPr>
          <w:rFonts w:ascii="Palatino Linotype" w:eastAsia="Palatino Linotype" w:hAnsi="Palatino Linotype" w:cs="Palatino Linotype"/>
          <w:b/>
          <w:color w:val="000000"/>
        </w:rPr>
        <w:t>CHAPULTE</w:t>
      </w:r>
      <w:r w:rsidRPr="00B53D45">
        <w:rPr>
          <w:rFonts w:ascii="Palatino Linotype" w:eastAsia="Palatino Linotype" w:hAnsi="Palatino Linotype" w:cs="Palatino Linotype"/>
          <w:b/>
          <w:color w:val="000000"/>
        </w:rPr>
        <w:t xml:space="preserve">/IP/2025 </w:t>
      </w:r>
      <w:r w:rsidRPr="00B53D45">
        <w:rPr>
          <w:rFonts w:ascii="Palatino Linotype" w:eastAsia="Palatino Linotype" w:hAnsi="Palatino Linotype" w:cs="Palatino Linotype"/>
          <w:color w:val="000000"/>
        </w:rPr>
        <w:t xml:space="preserve">y se </w:t>
      </w:r>
      <w:r w:rsidRPr="00B53D45">
        <w:rPr>
          <w:rFonts w:ascii="Palatino Linotype" w:eastAsia="Palatino Linotype" w:hAnsi="Palatino Linotype" w:cs="Palatino Linotype"/>
          <w:b/>
          <w:color w:val="000000"/>
        </w:rPr>
        <w:t>ORDENA</w:t>
      </w:r>
      <w:r w:rsidRPr="00B53D45">
        <w:rPr>
          <w:rFonts w:ascii="Palatino Linotype" w:eastAsia="Palatino Linotype" w:hAnsi="Palatino Linotype" w:cs="Palatino Linotype"/>
          <w:color w:val="000000"/>
        </w:rPr>
        <w:t xml:space="preserve"> entregar</w:t>
      </w:r>
      <w:r w:rsidR="00C663B7" w:rsidRPr="00B53D45">
        <w:rPr>
          <w:rFonts w:ascii="Palatino Linotype" w:eastAsia="Palatino Linotype" w:hAnsi="Palatino Linotype" w:cs="Palatino Linotype"/>
          <w:color w:val="000000"/>
        </w:rPr>
        <w:t xml:space="preserve"> </w:t>
      </w:r>
      <w:r w:rsidR="00D9170E" w:rsidRPr="00B53D45">
        <w:rPr>
          <w:rFonts w:ascii="Palatino Linotype" w:eastAsia="Palatino Linotype" w:hAnsi="Palatino Linotype" w:cs="Palatino Linotype"/>
          <w:color w:val="000000"/>
        </w:rPr>
        <w:t>vía Sistema de Acceso a la Información Mexiquense (</w:t>
      </w:r>
      <w:r w:rsidR="00D9170E" w:rsidRPr="00B53D45">
        <w:rPr>
          <w:rFonts w:ascii="Palatino Linotype" w:eastAsia="Palatino Linotype" w:hAnsi="Palatino Linotype" w:cs="Palatino Linotype"/>
          <w:b/>
          <w:color w:val="000000"/>
        </w:rPr>
        <w:t>SAIMEX</w:t>
      </w:r>
      <w:r w:rsidR="00D9170E" w:rsidRPr="00B53D45">
        <w:rPr>
          <w:rFonts w:ascii="Palatino Linotype" w:eastAsia="Palatino Linotype" w:hAnsi="Palatino Linotype" w:cs="Palatino Linotype"/>
          <w:color w:val="000000"/>
        </w:rPr>
        <w:t xml:space="preserve">), </w:t>
      </w:r>
      <w:r w:rsidR="00A30285" w:rsidRPr="00B53D45">
        <w:rPr>
          <w:rFonts w:ascii="Palatino Linotype" w:eastAsia="Palatino Linotype" w:hAnsi="Palatino Linotype" w:cs="Palatino Linotype"/>
          <w:color w:val="000000"/>
        </w:rPr>
        <w:t>lo siguiente:</w:t>
      </w:r>
    </w:p>
    <w:p w14:paraId="0E0A6225" w14:textId="77777777" w:rsidR="00A30285" w:rsidRPr="00B53D45" w:rsidRDefault="00A30285" w:rsidP="00E1797B">
      <w:pPr>
        <w:spacing w:line="360" w:lineRule="auto"/>
        <w:jc w:val="both"/>
        <w:rPr>
          <w:rFonts w:ascii="Palatino Linotype" w:eastAsia="Palatino Linotype" w:hAnsi="Palatino Linotype" w:cs="Palatino Linotype"/>
          <w:color w:val="000000"/>
        </w:rPr>
      </w:pPr>
    </w:p>
    <w:p w14:paraId="3F63EE1F" w14:textId="005E91A6" w:rsidR="00A142AA" w:rsidRPr="00B53D45" w:rsidRDefault="00707D7B" w:rsidP="00A142AA">
      <w:pPr>
        <w:pStyle w:val="Prrafodelista"/>
        <w:numPr>
          <w:ilvl w:val="0"/>
          <w:numId w:val="29"/>
        </w:numPr>
        <w:spacing w:line="360" w:lineRule="auto"/>
        <w:jc w:val="both"/>
        <w:rPr>
          <w:rFonts w:ascii="Palatino Linotype" w:eastAsia="Palatino Linotype" w:hAnsi="Palatino Linotype" w:cs="Palatino Linotype"/>
          <w:b/>
          <w:color w:val="000000"/>
        </w:rPr>
      </w:pPr>
      <w:r w:rsidRPr="00B53D45">
        <w:rPr>
          <w:rFonts w:ascii="Palatino Linotype" w:eastAsia="Palatino Linotype" w:hAnsi="Palatino Linotype" w:cs="Palatino Linotype"/>
          <w:b/>
          <w:color w:val="000000"/>
        </w:rPr>
        <w:t>Manual y/o lineamientos de Operación vigentes al veintidós de junio de dos mil veinticinco de la Dirección de Seguridad Pública</w:t>
      </w:r>
    </w:p>
    <w:p w14:paraId="77B2FC71" w14:textId="77777777" w:rsidR="00EC13DD" w:rsidRPr="00B53D45" w:rsidRDefault="00EC13DD" w:rsidP="00E1797B">
      <w:pPr>
        <w:spacing w:line="360" w:lineRule="auto"/>
        <w:jc w:val="both"/>
        <w:rPr>
          <w:rFonts w:ascii="Palatino Linotype" w:eastAsia="Palatino Linotype" w:hAnsi="Palatino Linotype" w:cs="Palatino Linotype"/>
          <w:b/>
        </w:rPr>
      </w:pPr>
      <w:bookmarkStart w:id="11" w:name="_heading=h.4d34og8" w:colFirst="0" w:colLast="0"/>
      <w:bookmarkEnd w:id="11"/>
    </w:p>
    <w:p w14:paraId="288B6B72" w14:textId="77777777" w:rsidR="00D86E74" w:rsidRPr="00B53D45" w:rsidRDefault="00B05C77" w:rsidP="00E1797B">
      <w:pPr>
        <w:tabs>
          <w:tab w:val="left" w:pos="8080"/>
        </w:tabs>
        <w:spacing w:line="360" w:lineRule="auto"/>
        <w:jc w:val="both"/>
        <w:rPr>
          <w:rFonts w:ascii="Palatino Linotype" w:eastAsia="Palatino Linotype" w:hAnsi="Palatino Linotype" w:cs="Palatino Linotype"/>
          <w:b/>
        </w:rPr>
      </w:pPr>
      <w:bookmarkStart w:id="12" w:name="_heading=h.lnxbz9" w:colFirst="0" w:colLast="0"/>
      <w:bookmarkEnd w:id="12"/>
      <w:r w:rsidRPr="00B53D45">
        <w:rPr>
          <w:rFonts w:ascii="Palatino Linotype" w:eastAsia="Palatino Linotype" w:hAnsi="Palatino Linotype" w:cs="Palatino Linotype"/>
          <w:b/>
        </w:rPr>
        <w:lastRenderedPageBreak/>
        <w:t xml:space="preserve">TERCERO. NOTIFÍQUESE </w:t>
      </w:r>
      <w:r w:rsidRPr="00B53D45">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53D45">
        <w:rPr>
          <w:rFonts w:ascii="Palatino Linotype" w:eastAsia="Palatino Linotype" w:hAnsi="Palatino Linotype" w:cs="Palatino Linotype"/>
          <w:b/>
        </w:rPr>
        <w:t>dé cumplimiento a lo ordenado dentro del plazo de diez días hábiles,</w:t>
      </w:r>
      <w:r w:rsidRPr="00B53D45">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A5B994" w14:textId="77777777" w:rsidR="00D86E74" w:rsidRPr="00B53D45" w:rsidRDefault="00D86E74" w:rsidP="00E1797B">
      <w:pPr>
        <w:tabs>
          <w:tab w:val="left" w:pos="8080"/>
        </w:tabs>
        <w:spacing w:line="360" w:lineRule="auto"/>
        <w:jc w:val="both"/>
        <w:rPr>
          <w:rFonts w:ascii="Palatino Linotype" w:eastAsia="Palatino Linotype" w:hAnsi="Palatino Linotype" w:cs="Palatino Linotype"/>
        </w:rPr>
      </w:pPr>
    </w:p>
    <w:p w14:paraId="7BCD08FA" w14:textId="77777777" w:rsidR="00D86E74" w:rsidRPr="00B53D45" w:rsidRDefault="00B05C77" w:rsidP="00E1797B">
      <w:pPr>
        <w:spacing w:line="360" w:lineRule="auto"/>
        <w:jc w:val="both"/>
        <w:rPr>
          <w:rFonts w:ascii="Palatino Linotype" w:eastAsia="Palatino Linotype" w:hAnsi="Palatino Linotype" w:cs="Palatino Linotype"/>
        </w:rPr>
      </w:pPr>
      <w:r w:rsidRPr="00B53D45">
        <w:rPr>
          <w:rFonts w:ascii="Palatino Linotype" w:eastAsia="Palatino Linotype" w:hAnsi="Palatino Linotype" w:cs="Palatino Linotype"/>
          <w:b/>
        </w:rPr>
        <w:t xml:space="preserve">CUARTO. </w:t>
      </w:r>
      <w:r w:rsidRPr="00B53D4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B53D45">
        <w:rPr>
          <w:rFonts w:ascii="Palatino Linotype" w:eastAsia="Palatino Linotype" w:hAnsi="Palatino Linotype" w:cs="Palatino Linotype"/>
          <w:b/>
        </w:rPr>
        <w:t>SUJETO OBLIGADO</w:t>
      </w:r>
      <w:r w:rsidRPr="00B53D45">
        <w:rPr>
          <w:rFonts w:ascii="Palatino Linotype" w:eastAsia="Palatino Linotype" w:hAnsi="Palatino Linotype" w:cs="Palatino Linotype"/>
        </w:rPr>
        <w:t xml:space="preserve"> de manera fundada y motivada, podrá solicitar una ampliación de plazo para el cumplimiento de la presente resolución.</w:t>
      </w:r>
    </w:p>
    <w:p w14:paraId="03DE5117" w14:textId="77777777" w:rsidR="00D86E74" w:rsidRPr="00B53D45" w:rsidRDefault="00D86E74" w:rsidP="00E1797B">
      <w:pPr>
        <w:spacing w:line="360" w:lineRule="auto"/>
        <w:jc w:val="both"/>
        <w:rPr>
          <w:rFonts w:ascii="Palatino Linotype" w:eastAsia="Palatino Linotype" w:hAnsi="Palatino Linotype" w:cs="Palatino Linotype"/>
        </w:rPr>
      </w:pPr>
    </w:p>
    <w:p w14:paraId="02D992FC" w14:textId="77777777" w:rsidR="00D86E74" w:rsidRPr="00B53D45" w:rsidRDefault="00B05C77" w:rsidP="00E1797B">
      <w:pPr>
        <w:tabs>
          <w:tab w:val="left" w:pos="8080"/>
        </w:tabs>
        <w:spacing w:line="360" w:lineRule="auto"/>
        <w:jc w:val="both"/>
        <w:rPr>
          <w:rFonts w:ascii="Palatino Linotype" w:eastAsia="Palatino Linotype" w:hAnsi="Palatino Linotype" w:cs="Palatino Linotype"/>
        </w:rPr>
      </w:pPr>
      <w:bookmarkStart w:id="13" w:name="_heading=h.35nkun2" w:colFirst="0" w:colLast="0"/>
      <w:bookmarkEnd w:id="13"/>
      <w:r w:rsidRPr="00B53D45">
        <w:rPr>
          <w:rFonts w:ascii="Palatino Linotype" w:eastAsia="Palatino Linotype" w:hAnsi="Palatino Linotype" w:cs="Palatino Linotype"/>
          <w:b/>
        </w:rPr>
        <w:t xml:space="preserve">QUINTO. </w:t>
      </w:r>
      <w:r w:rsidRPr="00B53D45">
        <w:rPr>
          <w:rFonts w:ascii="Palatino Linotype" w:eastAsia="Palatino Linotype" w:hAnsi="Palatino Linotype" w:cs="Palatino Linotype"/>
        </w:rPr>
        <w:t>Notifíquese a la parte</w:t>
      </w:r>
      <w:r w:rsidRPr="00B53D45">
        <w:rPr>
          <w:rFonts w:ascii="Palatino Linotype" w:eastAsia="Palatino Linotype" w:hAnsi="Palatino Linotype" w:cs="Palatino Linotype"/>
          <w:b/>
        </w:rPr>
        <w:t xml:space="preserve"> RECURRENTE</w:t>
      </w:r>
      <w:r w:rsidRPr="00B53D45">
        <w:rPr>
          <w:rFonts w:ascii="Palatino Linotype" w:eastAsia="Palatino Linotype" w:hAnsi="Palatino Linotype" w:cs="Palatino Linotype"/>
        </w:rPr>
        <w:t xml:space="preserve"> la presente resolución, vía </w:t>
      </w:r>
      <w:r w:rsidRPr="00B53D45">
        <w:rPr>
          <w:rFonts w:ascii="Palatino Linotype" w:eastAsia="Palatino Linotype" w:hAnsi="Palatino Linotype" w:cs="Palatino Linotype"/>
          <w:b/>
        </w:rPr>
        <w:t>SAIMEX.</w:t>
      </w:r>
    </w:p>
    <w:p w14:paraId="6FE886CA" w14:textId="77777777" w:rsidR="00D86E74" w:rsidRPr="00B53D45" w:rsidRDefault="00D86E74" w:rsidP="00E1797B">
      <w:pPr>
        <w:tabs>
          <w:tab w:val="left" w:pos="8080"/>
        </w:tabs>
        <w:spacing w:line="360" w:lineRule="auto"/>
        <w:jc w:val="both"/>
        <w:rPr>
          <w:rFonts w:ascii="Palatino Linotype" w:eastAsia="Palatino Linotype" w:hAnsi="Palatino Linotype" w:cs="Palatino Linotype"/>
        </w:rPr>
      </w:pPr>
    </w:p>
    <w:p w14:paraId="4687EAE5" w14:textId="77777777" w:rsidR="00D86E74" w:rsidRPr="00B53D45" w:rsidRDefault="00B05C77" w:rsidP="00E1797B">
      <w:pPr>
        <w:shd w:val="clear" w:color="auto" w:fill="FFFFFF"/>
        <w:spacing w:line="360" w:lineRule="auto"/>
        <w:jc w:val="both"/>
        <w:rPr>
          <w:rFonts w:ascii="Palatino Linotype" w:eastAsia="Palatino Linotype" w:hAnsi="Palatino Linotype" w:cs="Palatino Linotype"/>
        </w:rPr>
      </w:pPr>
      <w:r w:rsidRPr="00B53D45">
        <w:rPr>
          <w:rFonts w:ascii="Palatino Linotype" w:eastAsia="Palatino Linotype" w:hAnsi="Palatino Linotype" w:cs="Palatino Linotype"/>
          <w:b/>
        </w:rPr>
        <w:t>SEXTO.</w:t>
      </w:r>
      <w:r w:rsidRPr="00B53D45">
        <w:rPr>
          <w:rFonts w:ascii="Palatino Linotype" w:eastAsia="Palatino Linotype" w:hAnsi="Palatino Linotype" w:cs="Palatino Linotype"/>
        </w:rPr>
        <w:t xml:space="preserve"> Se hace del conocimiento de la parte</w:t>
      </w:r>
      <w:r w:rsidRPr="00B53D45">
        <w:rPr>
          <w:rFonts w:ascii="Palatino Linotype" w:eastAsia="Palatino Linotype" w:hAnsi="Palatino Linotype" w:cs="Palatino Linotype"/>
          <w:b/>
        </w:rPr>
        <w:t xml:space="preserve"> RECURRENTE</w:t>
      </w:r>
      <w:r w:rsidRPr="00B53D45">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674B392B" w14:textId="77777777" w:rsidR="001A0B73" w:rsidRPr="00B53D45" w:rsidRDefault="001A0B73" w:rsidP="00E1797B">
      <w:pPr>
        <w:shd w:val="clear" w:color="auto" w:fill="FFFFFF"/>
        <w:spacing w:line="360" w:lineRule="auto"/>
        <w:jc w:val="both"/>
        <w:rPr>
          <w:rFonts w:ascii="Palatino Linotype" w:eastAsia="Palatino Linotype" w:hAnsi="Palatino Linotype" w:cs="Palatino Linotype"/>
        </w:rPr>
      </w:pPr>
    </w:p>
    <w:p w14:paraId="2AA27187" w14:textId="77777777" w:rsidR="006D14F0" w:rsidRPr="00B53D45" w:rsidRDefault="006D14F0" w:rsidP="006D14F0">
      <w:pPr>
        <w:spacing w:before="240" w:after="240" w:line="360" w:lineRule="auto"/>
        <w:ind w:firstLine="1"/>
        <w:jc w:val="both"/>
        <w:rPr>
          <w:rFonts w:ascii="Palatino Linotype" w:hAnsi="Palatino Linotype"/>
        </w:rPr>
      </w:pPr>
      <w:bookmarkStart w:id="14" w:name="_heading=h.dipqbfvvq8qp" w:colFirst="0" w:colLast="0"/>
      <w:bookmarkStart w:id="15" w:name="_Hlk99014733"/>
      <w:bookmarkEnd w:id="14"/>
      <w:r w:rsidRPr="00B53D45">
        <w:rPr>
          <w:rFonts w:ascii="Palatino Linotype" w:hAnsi="Palatino Linotype" w:cs="Palatino Linotype"/>
        </w:rPr>
        <w:t xml:space="preserve">ASÍ LO RESUELVE, POR UNANIMIDAD DE VOTOS, EL PLENO DEL INSTITUTO DE TRANSPARENCIA, ACCESO A LA INFORMACIÓN PÚBLICA Y PROTECCIÓN DE </w:t>
      </w:r>
      <w:r w:rsidRPr="00B53D45">
        <w:rPr>
          <w:rFonts w:ascii="Palatino Linotype" w:hAnsi="Palatino Linotype" w:cs="Palatino Linotype"/>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(19) DE MARZO DE DOS MIL VEINTISÉIS, ANTE EL SECRETARIO TÉCNICO DEL PLENO </w:t>
      </w:r>
      <w:r w:rsidRPr="00B53D45">
        <w:rPr>
          <w:rFonts w:ascii="Palatino Linotype" w:hAnsi="Palatino Linotype" w:cs="Palatino Linotype"/>
          <w:color w:val="000000" w:themeColor="text1"/>
        </w:rPr>
        <w:t>ALEXIS TAPIA RAMÍREZ.</w:t>
      </w:r>
    </w:p>
    <w:bookmarkEnd w:id="15"/>
    <w:p w14:paraId="6A23F071" w14:textId="77777777" w:rsidR="00D86E74" w:rsidRPr="00B53D45" w:rsidRDefault="00D86E74" w:rsidP="00E1797B">
      <w:pPr>
        <w:spacing w:before="240" w:after="240" w:line="360" w:lineRule="auto"/>
        <w:ind w:firstLine="1"/>
        <w:jc w:val="both"/>
        <w:rPr>
          <w:rFonts w:ascii="Palatino Linotype" w:eastAsia="Palatino Linotype" w:hAnsi="Palatino Linotype" w:cs="Palatino Linotype"/>
        </w:rPr>
      </w:pPr>
    </w:p>
    <w:p w14:paraId="7FCBFC68" w14:textId="77777777" w:rsidR="00D86E74" w:rsidRPr="00B53D45" w:rsidRDefault="00D86E74" w:rsidP="00E1797B">
      <w:pPr>
        <w:spacing w:before="240" w:after="240" w:line="360" w:lineRule="auto"/>
        <w:ind w:firstLine="1"/>
        <w:jc w:val="both"/>
        <w:rPr>
          <w:rFonts w:ascii="Palatino Linotype" w:eastAsia="Palatino Linotype" w:hAnsi="Palatino Linotype" w:cs="Palatino Linotype"/>
        </w:rPr>
      </w:pPr>
    </w:p>
    <w:p w14:paraId="4F9F2E6C" w14:textId="77777777" w:rsidR="00D86E74" w:rsidRPr="00B53D45" w:rsidRDefault="00D86E74" w:rsidP="00E1797B">
      <w:pPr>
        <w:spacing w:line="360" w:lineRule="auto"/>
        <w:jc w:val="both"/>
        <w:rPr>
          <w:rFonts w:ascii="Palatino Linotype" w:eastAsia="Palatino Linotype" w:hAnsi="Palatino Linotype" w:cs="Palatino Linotype"/>
        </w:rPr>
      </w:pPr>
    </w:p>
    <w:p w14:paraId="28C4BCD4" w14:textId="77777777" w:rsidR="00D86E74" w:rsidRPr="00B53D45" w:rsidRDefault="00D86E74" w:rsidP="00E1797B">
      <w:pPr>
        <w:pStyle w:val="Ttulo2"/>
        <w:spacing w:before="0" w:line="360" w:lineRule="auto"/>
      </w:pPr>
    </w:p>
    <w:p w14:paraId="271A2FFE" w14:textId="77777777" w:rsidR="00B52F44" w:rsidRPr="00B53D45" w:rsidRDefault="00B52F44" w:rsidP="00B52F44"/>
    <w:p w14:paraId="32AFE045" w14:textId="77777777" w:rsidR="00B52F44" w:rsidRPr="00B53D45" w:rsidRDefault="00B52F44" w:rsidP="00B52F44"/>
    <w:p w14:paraId="203B7363" w14:textId="77777777" w:rsidR="00B52F44" w:rsidRPr="00B53D45" w:rsidRDefault="00B52F44" w:rsidP="00B52F44"/>
    <w:p w14:paraId="23C658E9" w14:textId="77777777" w:rsidR="00B52F44" w:rsidRPr="00B53D45" w:rsidRDefault="00B52F44" w:rsidP="00B52F44"/>
    <w:p w14:paraId="0B4DA21D" w14:textId="77777777" w:rsidR="00B52F44" w:rsidRPr="00B53D45" w:rsidRDefault="00B52F44" w:rsidP="00B52F44"/>
    <w:p w14:paraId="3C50E03E" w14:textId="77777777" w:rsidR="00B52F44" w:rsidRPr="00B53D45" w:rsidRDefault="00B52F44" w:rsidP="00B52F44"/>
    <w:p w14:paraId="05B77CB9" w14:textId="77777777" w:rsidR="00B52F44" w:rsidRPr="00B53D45" w:rsidRDefault="00B52F44" w:rsidP="00B52F44"/>
    <w:p w14:paraId="6B3882A5" w14:textId="77777777" w:rsidR="00B52F44" w:rsidRPr="00B53D45" w:rsidRDefault="00B52F44" w:rsidP="00B52F44"/>
    <w:p w14:paraId="71F8F20B" w14:textId="77777777" w:rsidR="00B52F44" w:rsidRPr="00B53D45" w:rsidRDefault="00B52F44" w:rsidP="00B52F44"/>
    <w:p w14:paraId="766A84CE" w14:textId="77777777" w:rsidR="00B52F44" w:rsidRPr="00B53D45" w:rsidRDefault="00B52F44" w:rsidP="00B52F44"/>
    <w:p w14:paraId="6F75D9EE" w14:textId="77777777" w:rsidR="00B52F44" w:rsidRPr="00B53D45" w:rsidRDefault="00B52F44" w:rsidP="00B52F44"/>
    <w:p w14:paraId="17366C7C" w14:textId="77777777" w:rsidR="00B52F44" w:rsidRPr="00B53D45" w:rsidRDefault="00B52F44" w:rsidP="00B52F44"/>
    <w:p w14:paraId="1DEC8F9D" w14:textId="77777777" w:rsidR="00B52F44" w:rsidRPr="00B53D45" w:rsidRDefault="00B52F44" w:rsidP="00B52F44"/>
    <w:p w14:paraId="174E4737" w14:textId="77777777" w:rsidR="00B52F44" w:rsidRPr="00B53D45" w:rsidRDefault="00B52F44" w:rsidP="00B52F44"/>
    <w:p w14:paraId="310EBFE7" w14:textId="77777777" w:rsidR="00B52F44" w:rsidRPr="00B53D45" w:rsidRDefault="00B52F44" w:rsidP="00B52F44"/>
    <w:p w14:paraId="1DE4E03B" w14:textId="77777777" w:rsidR="00B52F44" w:rsidRPr="00B53D45" w:rsidRDefault="00B52F44" w:rsidP="00B52F44"/>
    <w:p w14:paraId="707AECB4" w14:textId="77777777" w:rsidR="00B52F44" w:rsidRPr="00B53D45" w:rsidRDefault="00B52F44" w:rsidP="00B52F44"/>
    <w:p w14:paraId="36D7BB37" w14:textId="77777777" w:rsidR="00B52F44" w:rsidRPr="00B53D45" w:rsidRDefault="00B52F44" w:rsidP="00B52F44"/>
    <w:p w14:paraId="0D35F058" w14:textId="77777777" w:rsidR="00B52F44" w:rsidRPr="00B53D45" w:rsidRDefault="00B52F44" w:rsidP="00B52F44"/>
    <w:p w14:paraId="69521EC2" w14:textId="77777777" w:rsidR="00B52F44" w:rsidRPr="00B53D45" w:rsidRDefault="00B52F44" w:rsidP="00B52F44"/>
    <w:p w14:paraId="0E72DA90" w14:textId="77777777" w:rsidR="00B52F44" w:rsidRPr="00B53D45" w:rsidRDefault="00B52F44" w:rsidP="00B52F44"/>
    <w:p w14:paraId="673770DF" w14:textId="77777777" w:rsidR="00B52F44" w:rsidRPr="00B53D45" w:rsidRDefault="00B52F44" w:rsidP="00B52F44"/>
    <w:p w14:paraId="54F1FB72" w14:textId="77777777" w:rsidR="00B52F44" w:rsidRPr="00B53D45" w:rsidRDefault="00B52F44" w:rsidP="00B52F44"/>
    <w:p w14:paraId="6248157C" w14:textId="77777777" w:rsidR="00B52F44" w:rsidRPr="00B53D45" w:rsidRDefault="00B52F44" w:rsidP="00B52F44"/>
    <w:p w14:paraId="026D246C" w14:textId="77777777" w:rsidR="00B52F44" w:rsidRPr="00B53D45" w:rsidRDefault="00B52F44" w:rsidP="00B52F44"/>
    <w:p w14:paraId="301AE5B4" w14:textId="77777777" w:rsidR="00B52F44" w:rsidRPr="00B53D45" w:rsidRDefault="00B52F44" w:rsidP="00B52F44"/>
    <w:p w14:paraId="12EAF327" w14:textId="77777777" w:rsidR="00B52F44" w:rsidRPr="00B53D45" w:rsidRDefault="00B52F44" w:rsidP="00B52F44"/>
    <w:p w14:paraId="5A7ED198" w14:textId="77777777" w:rsidR="00B52F44" w:rsidRPr="00B53D45" w:rsidRDefault="00B52F44" w:rsidP="00B52F44"/>
    <w:p w14:paraId="4E3B976C" w14:textId="77777777" w:rsidR="00B52F44" w:rsidRPr="00B53D45" w:rsidRDefault="00B52F44" w:rsidP="00B52F44"/>
    <w:p w14:paraId="5F2CF6F4" w14:textId="77777777" w:rsidR="00B52F44" w:rsidRPr="00B53D45" w:rsidRDefault="00B52F44" w:rsidP="00B52F44"/>
    <w:p w14:paraId="5B0ADDFC" w14:textId="77777777" w:rsidR="00B52F44" w:rsidRPr="00B53D45" w:rsidRDefault="00B52F44" w:rsidP="00B52F44"/>
    <w:sectPr w:rsidR="00B52F44" w:rsidRPr="00B53D45" w:rsidSect="00B53D45">
      <w:headerReference w:type="default" r:id="rId8"/>
      <w:footerReference w:type="default" r:id="rId9"/>
      <w:headerReference w:type="first" r:id="rId10"/>
      <w:footerReference w:type="first" r:id="rId11"/>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125C3" w14:textId="77777777" w:rsidR="003E6C41" w:rsidRDefault="003E6C41">
      <w:r>
        <w:separator/>
      </w:r>
    </w:p>
  </w:endnote>
  <w:endnote w:type="continuationSeparator" w:id="0">
    <w:p w14:paraId="4596A561" w14:textId="77777777" w:rsidR="003E6C41" w:rsidRDefault="003E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E5259" w14:textId="77777777" w:rsidR="00185D3C" w:rsidRPr="00B53D45" w:rsidRDefault="00185D3C">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sidRPr="00B53D45">
      <w:rPr>
        <w:rFonts w:ascii="Palatino Linotype" w:eastAsia="Palatino Linotype" w:hAnsi="Palatino Linotype" w:cs="Palatino Linotype"/>
        <w:b/>
        <w:color w:val="000000"/>
        <w:sz w:val="22"/>
        <w:szCs w:val="22"/>
      </w:rPr>
      <w:t xml:space="preserve">Página </w:t>
    </w:r>
    <w:r w:rsidRPr="00B53D45">
      <w:rPr>
        <w:rFonts w:ascii="Palatino Linotype" w:eastAsia="Palatino Linotype" w:hAnsi="Palatino Linotype" w:cs="Palatino Linotype"/>
        <w:b/>
        <w:color w:val="000000"/>
        <w:sz w:val="22"/>
        <w:szCs w:val="22"/>
      </w:rPr>
      <w:fldChar w:fldCharType="begin"/>
    </w:r>
    <w:r w:rsidRPr="00B53D45">
      <w:rPr>
        <w:rFonts w:ascii="Palatino Linotype" w:eastAsia="Palatino Linotype" w:hAnsi="Palatino Linotype" w:cs="Palatino Linotype"/>
        <w:b/>
        <w:color w:val="000000"/>
        <w:sz w:val="22"/>
        <w:szCs w:val="22"/>
      </w:rPr>
      <w:instrText>PAGE</w:instrText>
    </w:r>
    <w:r w:rsidRPr="00B53D45">
      <w:rPr>
        <w:rFonts w:ascii="Palatino Linotype" w:eastAsia="Palatino Linotype" w:hAnsi="Palatino Linotype" w:cs="Palatino Linotype"/>
        <w:b/>
        <w:color w:val="000000"/>
        <w:sz w:val="22"/>
        <w:szCs w:val="22"/>
      </w:rPr>
      <w:fldChar w:fldCharType="separate"/>
    </w:r>
    <w:r w:rsidR="00B53D45">
      <w:rPr>
        <w:rFonts w:ascii="Palatino Linotype" w:eastAsia="Palatino Linotype" w:hAnsi="Palatino Linotype" w:cs="Palatino Linotype"/>
        <w:b/>
        <w:noProof/>
        <w:color w:val="000000"/>
        <w:sz w:val="22"/>
        <w:szCs w:val="22"/>
      </w:rPr>
      <w:t>21</w:t>
    </w:r>
    <w:r w:rsidRPr="00B53D45">
      <w:rPr>
        <w:rFonts w:ascii="Palatino Linotype" w:eastAsia="Palatino Linotype" w:hAnsi="Palatino Linotype" w:cs="Palatino Linotype"/>
        <w:b/>
        <w:color w:val="000000"/>
        <w:sz w:val="22"/>
        <w:szCs w:val="22"/>
      </w:rPr>
      <w:fldChar w:fldCharType="end"/>
    </w:r>
    <w:r w:rsidRPr="00B53D45">
      <w:rPr>
        <w:rFonts w:ascii="Palatino Linotype" w:eastAsia="Palatino Linotype" w:hAnsi="Palatino Linotype" w:cs="Palatino Linotype"/>
        <w:b/>
        <w:color w:val="000000"/>
        <w:sz w:val="22"/>
        <w:szCs w:val="22"/>
      </w:rPr>
      <w:t xml:space="preserve"> de </w:t>
    </w:r>
    <w:r w:rsidRPr="00B53D45">
      <w:rPr>
        <w:rFonts w:ascii="Palatino Linotype" w:eastAsia="Palatino Linotype" w:hAnsi="Palatino Linotype" w:cs="Palatino Linotype"/>
        <w:b/>
        <w:color w:val="000000"/>
        <w:sz w:val="22"/>
        <w:szCs w:val="22"/>
      </w:rPr>
      <w:fldChar w:fldCharType="begin"/>
    </w:r>
    <w:r w:rsidRPr="00B53D45">
      <w:rPr>
        <w:rFonts w:ascii="Palatino Linotype" w:eastAsia="Palatino Linotype" w:hAnsi="Palatino Linotype" w:cs="Palatino Linotype"/>
        <w:b/>
        <w:color w:val="000000"/>
        <w:sz w:val="22"/>
        <w:szCs w:val="22"/>
      </w:rPr>
      <w:instrText>NUMPAGES</w:instrText>
    </w:r>
    <w:r w:rsidRPr="00B53D45">
      <w:rPr>
        <w:rFonts w:ascii="Palatino Linotype" w:eastAsia="Palatino Linotype" w:hAnsi="Palatino Linotype" w:cs="Palatino Linotype"/>
        <w:b/>
        <w:color w:val="000000"/>
        <w:sz w:val="22"/>
        <w:szCs w:val="22"/>
      </w:rPr>
      <w:fldChar w:fldCharType="separate"/>
    </w:r>
    <w:r w:rsidR="00B53D45">
      <w:rPr>
        <w:rFonts w:ascii="Palatino Linotype" w:eastAsia="Palatino Linotype" w:hAnsi="Palatino Linotype" w:cs="Palatino Linotype"/>
        <w:b/>
        <w:noProof/>
        <w:color w:val="000000"/>
        <w:sz w:val="22"/>
        <w:szCs w:val="22"/>
      </w:rPr>
      <w:t>31</w:t>
    </w:r>
    <w:r w:rsidRPr="00B53D45">
      <w:rPr>
        <w:rFonts w:ascii="Palatino Linotype" w:eastAsia="Palatino Linotype" w:hAnsi="Palatino Linotype" w:cs="Palatino Linotype"/>
        <w:b/>
        <w:color w:val="000000"/>
        <w:sz w:val="22"/>
        <w:szCs w:val="22"/>
      </w:rPr>
      <w:fldChar w:fldCharType="end"/>
    </w:r>
  </w:p>
  <w:p w14:paraId="335A0EDA" w14:textId="77777777" w:rsidR="00185D3C" w:rsidRDefault="00185D3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0F897F7" w14:textId="77777777" w:rsidR="00185D3C" w:rsidRDefault="00185D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79293" w14:textId="77777777" w:rsidR="00185D3C" w:rsidRPr="00B53D45" w:rsidRDefault="00185D3C">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sidRPr="00B53D45">
      <w:rPr>
        <w:rFonts w:ascii="Palatino Linotype" w:eastAsia="Palatino Linotype" w:hAnsi="Palatino Linotype" w:cs="Palatino Linotype"/>
        <w:b/>
        <w:color w:val="000000"/>
        <w:sz w:val="22"/>
        <w:szCs w:val="22"/>
      </w:rPr>
      <w:t xml:space="preserve">Página </w:t>
    </w:r>
    <w:r w:rsidRPr="00B53D45">
      <w:rPr>
        <w:rFonts w:ascii="Palatino Linotype" w:eastAsia="Palatino Linotype" w:hAnsi="Palatino Linotype" w:cs="Palatino Linotype"/>
        <w:b/>
        <w:color w:val="000000"/>
        <w:sz w:val="22"/>
        <w:szCs w:val="22"/>
      </w:rPr>
      <w:fldChar w:fldCharType="begin"/>
    </w:r>
    <w:r w:rsidRPr="00B53D45">
      <w:rPr>
        <w:rFonts w:ascii="Palatino Linotype" w:eastAsia="Palatino Linotype" w:hAnsi="Palatino Linotype" w:cs="Palatino Linotype"/>
        <w:b/>
        <w:color w:val="000000"/>
        <w:sz w:val="22"/>
        <w:szCs w:val="22"/>
      </w:rPr>
      <w:instrText>PAGE</w:instrText>
    </w:r>
    <w:r w:rsidRPr="00B53D45">
      <w:rPr>
        <w:rFonts w:ascii="Palatino Linotype" w:eastAsia="Palatino Linotype" w:hAnsi="Palatino Linotype" w:cs="Palatino Linotype"/>
        <w:b/>
        <w:color w:val="000000"/>
        <w:sz w:val="22"/>
        <w:szCs w:val="22"/>
      </w:rPr>
      <w:fldChar w:fldCharType="separate"/>
    </w:r>
    <w:r w:rsidR="00B53D45">
      <w:rPr>
        <w:rFonts w:ascii="Palatino Linotype" w:eastAsia="Palatino Linotype" w:hAnsi="Palatino Linotype" w:cs="Palatino Linotype"/>
        <w:b/>
        <w:noProof/>
        <w:color w:val="000000"/>
        <w:sz w:val="22"/>
        <w:szCs w:val="22"/>
      </w:rPr>
      <w:t>1</w:t>
    </w:r>
    <w:r w:rsidRPr="00B53D45">
      <w:rPr>
        <w:rFonts w:ascii="Palatino Linotype" w:eastAsia="Palatino Linotype" w:hAnsi="Palatino Linotype" w:cs="Palatino Linotype"/>
        <w:b/>
        <w:color w:val="000000"/>
        <w:sz w:val="22"/>
        <w:szCs w:val="22"/>
      </w:rPr>
      <w:fldChar w:fldCharType="end"/>
    </w:r>
    <w:r w:rsidRPr="00B53D45">
      <w:rPr>
        <w:rFonts w:ascii="Palatino Linotype" w:eastAsia="Palatino Linotype" w:hAnsi="Palatino Linotype" w:cs="Palatino Linotype"/>
        <w:b/>
        <w:color w:val="000000"/>
        <w:sz w:val="22"/>
        <w:szCs w:val="22"/>
      </w:rPr>
      <w:t xml:space="preserve"> de </w:t>
    </w:r>
    <w:r w:rsidRPr="00B53D45">
      <w:rPr>
        <w:rFonts w:ascii="Palatino Linotype" w:eastAsia="Palatino Linotype" w:hAnsi="Palatino Linotype" w:cs="Palatino Linotype"/>
        <w:b/>
        <w:color w:val="000000"/>
        <w:sz w:val="22"/>
        <w:szCs w:val="22"/>
      </w:rPr>
      <w:fldChar w:fldCharType="begin"/>
    </w:r>
    <w:r w:rsidRPr="00B53D45">
      <w:rPr>
        <w:rFonts w:ascii="Palatino Linotype" w:eastAsia="Palatino Linotype" w:hAnsi="Palatino Linotype" w:cs="Palatino Linotype"/>
        <w:b/>
        <w:color w:val="000000"/>
        <w:sz w:val="22"/>
        <w:szCs w:val="22"/>
      </w:rPr>
      <w:instrText>NUMPAGES</w:instrText>
    </w:r>
    <w:r w:rsidRPr="00B53D45">
      <w:rPr>
        <w:rFonts w:ascii="Palatino Linotype" w:eastAsia="Palatino Linotype" w:hAnsi="Palatino Linotype" w:cs="Palatino Linotype"/>
        <w:b/>
        <w:color w:val="000000"/>
        <w:sz w:val="22"/>
        <w:szCs w:val="22"/>
      </w:rPr>
      <w:fldChar w:fldCharType="separate"/>
    </w:r>
    <w:r w:rsidR="00B53D45">
      <w:rPr>
        <w:rFonts w:ascii="Palatino Linotype" w:eastAsia="Palatino Linotype" w:hAnsi="Palatino Linotype" w:cs="Palatino Linotype"/>
        <w:b/>
        <w:noProof/>
        <w:color w:val="000000"/>
        <w:sz w:val="22"/>
        <w:szCs w:val="22"/>
      </w:rPr>
      <w:t>31</w:t>
    </w:r>
    <w:r w:rsidRPr="00B53D45">
      <w:rPr>
        <w:rFonts w:ascii="Palatino Linotype" w:eastAsia="Palatino Linotype" w:hAnsi="Palatino Linotype" w:cs="Palatino Linotype"/>
        <w:b/>
        <w:color w:val="000000"/>
        <w:sz w:val="22"/>
        <w:szCs w:val="22"/>
      </w:rPr>
      <w:fldChar w:fldCharType="end"/>
    </w:r>
  </w:p>
  <w:p w14:paraId="790EF6C7" w14:textId="77777777" w:rsidR="00185D3C" w:rsidRDefault="00185D3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4E1E275A" w14:textId="77777777" w:rsidR="00185D3C" w:rsidRDefault="00185D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70D7E" w14:textId="77777777" w:rsidR="003E6C41" w:rsidRDefault="003E6C41">
      <w:r>
        <w:separator/>
      </w:r>
    </w:p>
  </w:footnote>
  <w:footnote w:type="continuationSeparator" w:id="0">
    <w:p w14:paraId="2654543F" w14:textId="77777777" w:rsidR="003E6C41" w:rsidRDefault="003E6C41">
      <w:r>
        <w:continuationSeparator/>
      </w:r>
    </w:p>
  </w:footnote>
  <w:footnote w:id="1">
    <w:p w14:paraId="5F7DB05C" w14:textId="77777777" w:rsidR="00185D3C" w:rsidRDefault="00185D3C" w:rsidP="006D74D6">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3E395E1" w14:textId="77777777" w:rsidR="00185D3C" w:rsidRDefault="00185D3C" w:rsidP="006D74D6">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F9DE7B" w14:textId="77777777" w:rsidR="00185D3C" w:rsidRPr="00AA5EA2" w:rsidRDefault="00185D3C" w:rsidP="006D74D6">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4">
    <w:p w14:paraId="18D91DBB" w14:textId="77777777" w:rsidR="00185D3C" w:rsidRPr="00AA5EA2" w:rsidRDefault="00185D3C" w:rsidP="006D74D6">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5">
    <w:p w14:paraId="5C564AF3" w14:textId="77777777" w:rsidR="00185D3C" w:rsidRDefault="00185D3C" w:rsidP="006D74D6">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1"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6">
    <w:p w14:paraId="39485DDA" w14:textId="77777777" w:rsidR="00185D3C" w:rsidRDefault="00185D3C" w:rsidP="006D74D6">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6791"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876"/>
      <w:gridCol w:w="3915"/>
    </w:tblGrid>
    <w:tr w:rsidR="00185D3C" w14:paraId="09A28F01" w14:textId="77777777" w:rsidTr="00B53D45">
      <w:trPr>
        <w:trHeight w:val="138"/>
      </w:trPr>
      <w:tc>
        <w:tcPr>
          <w:tcW w:w="2876" w:type="dxa"/>
          <w:vAlign w:val="center"/>
        </w:tcPr>
        <w:p w14:paraId="440502CD" w14:textId="6040BD3F" w:rsidR="00185D3C" w:rsidRPr="00B53D45" w:rsidRDefault="00185D3C">
          <w:pPr>
            <w:rPr>
              <w:rFonts w:ascii="Palatino Linotype" w:eastAsia="Palatino Linotype" w:hAnsi="Palatino Linotype" w:cs="Palatino Linotype"/>
              <w:b/>
              <w:sz w:val="24"/>
            </w:rPr>
          </w:pPr>
          <w:r w:rsidRPr="00B53D45">
            <w:rPr>
              <w:rFonts w:ascii="Palatino Linotype" w:eastAsia="Palatino Linotype" w:hAnsi="Palatino Linotype" w:cs="Palatino Linotype"/>
              <w:b/>
              <w:sz w:val="24"/>
            </w:rPr>
            <w:t>Recurso de Revisión:</w:t>
          </w:r>
        </w:p>
      </w:tc>
      <w:tc>
        <w:tcPr>
          <w:tcW w:w="3915" w:type="dxa"/>
          <w:vAlign w:val="center"/>
        </w:tcPr>
        <w:p w14:paraId="0F4949D8" w14:textId="796E725C" w:rsidR="00185D3C" w:rsidRPr="00B53D45" w:rsidRDefault="00185D3C" w:rsidP="00164A47">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highlight w:val="yellow"/>
            </w:rPr>
          </w:pPr>
          <w:r w:rsidRPr="00B53D45">
            <w:rPr>
              <w:rFonts w:ascii="Palatino Linotype" w:eastAsia="Palatino Linotype" w:hAnsi="Palatino Linotype" w:cs="Palatino Linotype"/>
              <w:color w:val="000000"/>
              <w:sz w:val="24"/>
            </w:rPr>
            <w:t>08673/INFOEM/IP/RR/2025</w:t>
          </w:r>
        </w:p>
      </w:tc>
    </w:tr>
    <w:tr w:rsidR="00185D3C" w14:paraId="702408D5" w14:textId="77777777" w:rsidTr="00B53D45">
      <w:trPr>
        <w:trHeight w:val="321"/>
      </w:trPr>
      <w:tc>
        <w:tcPr>
          <w:tcW w:w="2876" w:type="dxa"/>
          <w:vAlign w:val="center"/>
        </w:tcPr>
        <w:p w14:paraId="3C54E14C" w14:textId="77777777" w:rsidR="00185D3C" w:rsidRPr="00B53D45" w:rsidRDefault="00185D3C">
          <w:pPr>
            <w:rPr>
              <w:rFonts w:ascii="Palatino Linotype" w:eastAsia="Palatino Linotype" w:hAnsi="Palatino Linotype" w:cs="Palatino Linotype"/>
              <w:b/>
              <w:sz w:val="24"/>
            </w:rPr>
          </w:pPr>
          <w:r w:rsidRPr="00B53D45">
            <w:rPr>
              <w:rFonts w:ascii="Palatino Linotype" w:eastAsia="Palatino Linotype" w:hAnsi="Palatino Linotype" w:cs="Palatino Linotype"/>
              <w:b/>
              <w:sz w:val="24"/>
            </w:rPr>
            <w:t>Sujeto Obligado:</w:t>
          </w:r>
        </w:p>
      </w:tc>
      <w:tc>
        <w:tcPr>
          <w:tcW w:w="3915" w:type="dxa"/>
          <w:vAlign w:val="center"/>
        </w:tcPr>
        <w:p w14:paraId="1F53E279" w14:textId="4FF8C3F5" w:rsidR="00185D3C" w:rsidRPr="00B53D45" w:rsidRDefault="00185D3C" w:rsidP="00B93ACB">
          <w:pPr>
            <w:rPr>
              <w:rFonts w:ascii="Palatino Linotype" w:eastAsia="Palatino Linotype" w:hAnsi="Palatino Linotype" w:cs="Palatino Linotype"/>
              <w:sz w:val="24"/>
            </w:rPr>
          </w:pPr>
          <w:r w:rsidRPr="00B53D45">
            <w:rPr>
              <w:rFonts w:ascii="Palatino Linotype" w:eastAsia="Palatino Linotype" w:hAnsi="Palatino Linotype" w:cs="Palatino Linotype"/>
              <w:sz w:val="24"/>
            </w:rPr>
            <w:t>Ayuntamiento de Chapultepec</w:t>
          </w:r>
        </w:p>
      </w:tc>
    </w:tr>
    <w:tr w:rsidR="00185D3C" w14:paraId="047DB561" w14:textId="77777777" w:rsidTr="00B53D45">
      <w:trPr>
        <w:trHeight w:val="321"/>
      </w:trPr>
      <w:tc>
        <w:tcPr>
          <w:tcW w:w="2876" w:type="dxa"/>
          <w:vAlign w:val="center"/>
        </w:tcPr>
        <w:p w14:paraId="3173BB28" w14:textId="77777777" w:rsidR="00185D3C" w:rsidRPr="00B53D45" w:rsidRDefault="00185D3C">
          <w:pPr>
            <w:rPr>
              <w:rFonts w:ascii="Palatino Linotype" w:eastAsia="Palatino Linotype" w:hAnsi="Palatino Linotype" w:cs="Palatino Linotype"/>
              <w:b/>
              <w:sz w:val="24"/>
            </w:rPr>
          </w:pPr>
          <w:r w:rsidRPr="00B53D45">
            <w:rPr>
              <w:rFonts w:ascii="Palatino Linotype" w:eastAsia="Palatino Linotype" w:hAnsi="Palatino Linotype" w:cs="Palatino Linotype"/>
              <w:b/>
              <w:sz w:val="24"/>
            </w:rPr>
            <w:t>Comisionada Ponente:</w:t>
          </w:r>
        </w:p>
      </w:tc>
      <w:tc>
        <w:tcPr>
          <w:tcW w:w="3915" w:type="dxa"/>
          <w:vAlign w:val="center"/>
        </w:tcPr>
        <w:p w14:paraId="3FDFB709" w14:textId="77777777" w:rsidR="00185D3C" w:rsidRPr="00B53D45" w:rsidRDefault="00185D3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rPr>
          </w:pPr>
          <w:r w:rsidRPr="00B53D45">
            <w:rPr>
              <w:rFonts w:ascii="Palatino Linotype" w:eastAsia="Palatino Linotype" w:hAnsi="Palatino Linotype" w:cs="Palatino Linotype"/>
              <w:color w:val="000000"/>
              <w:sz w:val="24"/>
            </w:rPr>
            <w:t>María del Rosario Mejía Ayala</w:t>
          </w:r>
        </w:p>
      </w:tc>
    </w:tr>
  </w:tbl>
  <w:p w14:paraId="65A40D4C" w14:textId="2EA8FAD8" w:rsidR="00185D3C" w:rsidRDefault="00B53D45">
    <w:pPr>
      <w:pBdr>
        <w:top w:val="nil"/>
        <w:left w:val="nil"/>
        <w:bottom w:val="nil"/>
        <w:right w:val="nil"/>
        <w:between w:val="nil"/>
      </w:pBdr>
      <w:tabs>
        <w:tab w:val="center" w:pos="4252"/>
        <w:tab w:val="right" w:pos="8504"/>
      </w:tabs>
      <w:rPr>
        <w:color w:val="000000"/>
      </w:rPr>
    </w:pPr>
    <w:r w:rsidRPr="00B53D45">
      <w:rPr>
        <w:noProof/>
        <w:lang w:val="es-MX"/>
      </w:rPr>
      <w:drawing>
        <wp:anchor distT="0" distB="0" distL="0" distR="0" simplePos="0" relativeHeight="251658240" behindDoc="1" locked="0" layoutInCell="1" hidden="0" allowOverlap="1" wp14:anchorId="3B3C973C" wp14:editId="4930E665">
          <wp:simplePos x="0" y="0"/>
          <wp:positionH relativeFrom="column">
            <wp:posOffset>-1044299</wp:posOffset>
          </wp:positionH>
          <wp:positionV relativeFrom="paragraph">
            <wp:posOffset>-1062835</wp:posOffset>
          </wp:positionV>
          <wp:extent cx="7809876" cy="10165823"/>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619F0C40" w14:textId="77777777" w:rsidR="00185D3C" w:rsidRDefault="00185D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6998" w:type="dxa"/>
      <w:tblInd w:w="32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693"/>
      <w:gridCol w:w="255"/>
      <w:gridCol w:w="4050"/>
    </w:tblGrid>
    <w:tr w:rsidR="00185D3C" w14:paraId="51B21FAE" w14:textId="77777777" w:rsidTr="00B53D45">
      <w:trPr>
        <w:trHeight w:val="138"/>
      </w:trPr>
      <w:tc>
        <w:tcPr>
          <w:tcW w:w="2693" w:type="dxa"/>
          <w:vAlign w:val="center"/>
        </w:tcPr>
        <w:p w14:paraId="61597276" w14:textId="495E707C" w:rsidR="00185D3C" w:rsidRPr="00B53D45" w:rsidRDefault="00185D3C">
          <w:pPr>
            <w:rPr>
              <w:rFonts w:ascii="Palatino Linotype" w:eastAsia="Palatino Linotype" w:hAnsi="Palatino Linotype" w:cs="Palatino Linotype"/>
              <w:b/>
              <w:sz w:val="24"/>
              <w:szCs w:val="24"/>
            </w:rPr>
          </w:pPr>
          <w:r w:rsidRPr="00B53D45">
            <w:rPr>
              <w:rFonts w:ascii="Palatino Linotype" w:eastAsia="Palatino Linotype" w:hAnsi="Palatino Linotype" w:cs="Palatino Linotype"/>
              <w:b/>
              <w:sz w:val="24"/>
              <w:szCs w:val="24"/>
            </w:rPr>
            <w:t>Recurso de Revisión:</w:t>
          </w:r>
        </w:p>
      </w:tc>
      <w:tc>
        <w:tcPr>
          <w:tcW w:w="255" w:type="dxa"/>
          <w:vAlign w:val="center"/>
        </w:tcPr>
        <w:p w14:paraId="3F8901FE" w14:textId="77777777" w:rsidR="00185D3C" w:rsidRPr="00B53D45" w:rsidRDefault="00185D3C">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szCs w:val="24"/>
            </w:rPr>
          </w:pPr>
        </w:p>
      </w:tc>
      <w:tc>
        <w:tcPr>
          <w:tcW w:w="4050" w:type="dxa"/>
          <w:vAlign w:val="center"/>
        </w:tcPr>
        <w:p w14:paraId="061E410C" w14:textId="2CF9934F" w:rsidR="00185D3C" w:rsidRPr="00B53D45" w:rsidRDefault="00185D3C" w:rsidP="003E7E9C">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B53D45">
            <w:rPr>
              <w:rFonts w:ascii="Palatino Linotype" w:eastAsia="Palatino Linotype" w:hAnsi="Palatino Linotype" w:cs="Palatino Linotype"/>
              <w:color w:val="000000"/>
              <w:sz w:val="24"/>
              <w:szCs w:val="24"/>
            </w:rPr>
            <w:t>8673/INFOEM/IP/RR/2025</w:t>
          </w:r>
        </w:p>
      </w:tc>
    </w:tr>
    <w:tr w:rsidR="00185D3C" w14:paraId="0DF7EB6F" w14:textId="77777777" w:rsidTr="00B53D45">
      <w:trPr>
        <w:trHeight w:val="227"/>
      </w:trPr>
      <w:tc>
        <w:tcPr>
          <w:tcW w:w="2693" w:type="dxa"/>
          <w:vAlign w:val="center"/>
        </w:tcPr>
        <w:p w14:paraId="39764A80" w14:textId="77777777" w:rsidR="00185D3C" w:rsidRPr="00B53D45" w:rsidRDefault="00185D3C">
          <w:pPr>
            <w:rPr>
              <w:rFonts w:ascii="Palatino Linotype" w:eastAsia="Palatino Linotype" w:hAnsi="Palatino Linotype" w:cs="Palatino Linotype"/>
              <w:b/>
              <w:sz w:val="24"/>
              <w:szCs w:val="24"/>
            </w:rPr>
          </w:pPr>
          <w:r w:rsidRPr="00B53D45">
            <w:rPr>
              <w:rFonts w:ascii="Palatino Linotype" w:eastAsia="Palatino Linotype" w:hAnsi="Palatino Linotype" w:cs="Palatino Linotype"/>
              <w:b/>
              <w:sz w:val="24"/>
              <w:szCs w:val="24"/>
            </w:rPr>
            <w:t>Recurrente:</w:t>
          </w:r>
        </w:p>
      </w:tc>
      <w:tc>
        <w:tcPr>
          <w:tcW w:w="255" w:type="dxa"/>
          <w:vAlign w:val="center"/>
        </w:tcPr>
        <w:p w14:paraId="0A14E6BF" w14:textId="77777777" w:rsidR="00185D3C" w:rsidRPr="00B53D45" w:rsidRDefault="00185D3C">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szCs w:val="24"/>
            </w:rPr>
          </w:pPr>
        </w:p>
      </w:tc>
      <w:tc>
        <w:tcPr>
          <w:tcW w:w="4050" w:type="dxa"/>
          <w:vAlign w:val="center"/>
        </w:tcPr>
        <w:p w14:paraId="5EE4E37C" w14:textId="77777777" w:rsidR="00185D3C" w:rsidRPr="00B53D45" w:rsidRDefault="00185D3C">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p>
      </w:tc>
    </w:tr>
    <w:tr w:rsidR="00185D3C" w14:paraId="25967333" w14:textId="77777777" w:rsidTr="00B53D45">
      <w:trPr>
        <w:trHeight w:val="232"/>
      </w:trPr>
      <w:tc>
        <w:tcPr>
          <w:tcW w:w="2693" w:type="dxa"/>
          <w:vAlign w:val="center"/>
        </w:tcPr>
        <w:p w14:paraId="7B0FBD90" w14:textId="77777777" w:rsidR="00185D3C" w:rsidRPr="00B53D45" w:rsidRDefault="00185D3C">
          <w:pPr>
            <w:rPr>
              <w:rFonts w:ascii="Palatino Linotype" w:eastAsia="Palatino Linotype" w:hAnsi="Palatino Linotype" w:cs="Palatino Linotype"/>
              <w:b/>
              <w:sz w:val="24"/>
              <w:szCs w:val="24"/>
            </w:rPr>
          </w:pPr>
          <w:r w:rsidRPr="00B53D45">
            <w:rPr>
              <w:rFonts w:ascii="Palatino Linotype" w:eastAsia="Palatino Linotype" w:hAnsi="Palatino Linotype" w:cs="Palatino Linotype"/>
              <w:b/>
              <w:sz w:val="24"/>
              <w:szCs w:val="24"/>
            </w:rPr>
            <w:t>Sujeto Obligado:</w:t>
          </w:r>
        </w:p>
      </w:tc>
      <w:tc>
        <w:tcPr>
          <w:tcW w:w="255" w:type="dxa"/>
          <w:vAlign w:val="center"/>
        </w:tcPr>
        <w:p w14:paraId="25E83F04" w14:textId="77777777" w:rsidR="00185D3C" w:rsidRPr="00B53D45" w:rsidRDefault="00185D3C">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szCs w:val="24"/>
            </w:rPr>
          </w:pPr>
        </w:p>
      </w:tc>
      <w:tc>
        <w:tcPr>
          <w:tcW w:w="4050" w:type="dxa"/>
          <w:vAlign w:val="center"/>
        </w:tcPr>
        <w:p w14:paraId="59C6401D" w14:textId="07CFF750" w:rsidR="00185D3C" w:rsidRPr="00B53D45" w:rsidRDefault="00185D3C" w:rsidP="00B93ACB">
          <w:pPr>
            <w:ind w:right="-73"/>
            <w:rPr>
              <w:sz w:val="24"/>
              <w:szCs w:val="24"/>
            </w:rPr>
          </w:pPr>
          <w:r w:rsidRPr="00B53D45">
            <w:rPr>
              <w:rFonts w:ascii="Palatino Linotype" w:eastAsia="Palatino Linotype" w:hAnsi="Palatino Linotype" w:cs="Palatino Linotype"/>
              <w:sz w:val="24"/>
              <w:szCs w:val="24"/>
            </w:rPr>
            <w:t>Ayuntamiento de Chapultepec</w:t>
          </w:r>
        </w:p>
      </w:tc>
    </w:tr>
    <w:tr w:rsidR="00185D3C" w14:paraId="1D159022" w14:textId="77777777" w:rsidTr="00B53D45">
      <w:trPr>
        <w:trHeight w:val="320"/>
      </w:trPr>
      <w:tc>
        <w:tcPr>
          <w:tcW w:w="2693" w:type="dxa"/>
          <w:vAlign w:val="center"/>
        </w:tcPr>
        <w:p w14:paraId="17CE3D21" w14:textId="77777777" w:rsidR="00185D3C" w:rsidRPr="00B53D45" w:rsidRDefault="00185D3C">
          <w:pPr>
            <w:rPr>
              <w:rFonts w:ascii="Palatino Linotype" w:eastAsia="Palatino Linotype" w:hAnsi="Palatino Linotype" w:cs="Palatino Linotype"/>
              <w:b/>
              <w:sz w:val="24"/>
              <w:szCs w:val="24"/>
            </w:rPr>
          </w:pPr>
          <w:r w:rsidRPr="00B53D45">
            <w:rPr>
              <w:rFonts w:ascii="Palatino Linotype" w:eastAsia="Palatino Linotype" w:hAnsi="Palatino Linotype" w:cs="Palatino Linotype"/>
              <w:b/>
              <w:sz w:val="24"/>
              <w:szCs w:val="24"/>
            </w:rPr>
            <w:t>Comisionada Ponente:</w:t>
          </w:r>
        </w:p>
      </w:tc>
      <w:tc>
        <w:tcPr>
          <w:tcW w:w="255" w:type="dxa"/>
          <w:vAlign w:val="center"/>
        </w:tcPr>
        <w:p w14:paraId="5E0BC70B" w14:textId="77777777" w:rsidR="00185D3C" w:rsidRPr="00B53D45" w:rsidRDefault="00185D3C">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szCs w:val="24"/>
            </w:rPr>
          </w:pPr>
        </w:p>
      </w:tc>
      <w:tc>
        <w:tcPr>
          <w:tcW w:w="4050" w:type="dxa"/>
          <w:vAlign w:val="center"/>
        </w:tcPr>
        <w:p w14:paraId="04DFE9B6" w14:textId="77777777" w:rsidR="00185D3C" w:rsidRPr="00B53D45" w:rsidRDefault="00185D3C">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B53D45">
            <w:rPr>
              <w:rFonts w:ascii="Palatino Linotype" w:eastAsia="Palatino Linotype" w:hAnsi="Palatino Linotype" w:cs="Palatino Linotype"/>
              <w:color w:val="000000"/>
              <w:sz w:val="24"/>
              <w:szCs w:val="24"/>
            </w:rPr>
            <w:t>María del Rosario Mejía Ayala</w:t>
          </w:r>
        </w:p>
      </w:tc>
    </w:tr>
  </w:tbl>
  <w:p w14:paraId="5F4737D9" w14:textId="470E2840" w:rsidR="00185D3C" w:rsidRDefault="002A218F">
    <w:pPr>
      <w:pBdr>
        <w:top w:val="nil"/>
        <w:left w:val="nil"/>
        <w:bottom w:val="nil"/>
        <w:right w:val="nil"/>
        <w:between w:val="nil"/>
      </w:pBdr>
      <w:tabs>
        <w:tab w:val="center" w:pos="4252"/>
        <w:tab w:val="right" w:pos="8504"/>
      </w:tabs>
      <w:rPr>
        <w:color w:val="000000"/>
      </w:rPr>
    </w:pPr>
    <w:r w:rsidRPr="002A218F">
      <w:rPr>
        <w:noProof/>
        <w:lang w:val="es-MX"/>
      </w:rPr>
      <w:drawing>
        <wp:anchor distT="0" distB="0" distL="0" distR="0" simplePos="0" relativeHeight="251659264" behindDoc="1" locked="0" layoutInCell="1" hidden="0" allowOverlap="1" wp14:anchorId="1623135D" wp14:editId="7E0AB5C1">
          <wp:simplePos x="0" y="0"/>
          <wp:positionH relativeFrom="page">
            <wp:align>left</wp:align>
          </wp:positionH>
          <wp:positionV relativeFrom="paragraph">
            <wp:posOffset>-1263817</wp:posOffset>
          </wp:positionV>
          <wp:extent cx="7809876" cy="10165823"/>
          <wp:effectExtent l="0" t="0" r="635" b="6985"/>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4A367552" w14:textId="77777777" w:rsidR="00185D3C" w:rsidRDefault="00185D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C30771"/>
    <w:multiLevelType w:val="hybridMultilevel"/>
    <w:tmpl w:val="52503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6F385A"/>
    <w:multiLevelType w:val="hybridMultilevel"/>
    <w:tmpl w:val="9E5A8418"/>
    <w:lvl w:ilvl="0" w:tplc="7688D3C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0246524"/>
    <w:multiLevelType w:val="multilevel"/>
    <w:tmpl w:val="D290843C"/>
    <w:lvl w:ilvl="0">
      <w:start w:val="1"/>
      <w:numFmt w:val="decimal"/>
      <w:lvlText w:val="%1."/>
      <w:lvlJc w:val="left"/>
      <w:pPr>
        <w:ind w:left="248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6F7797"/>
    <w:multiLevelType w:val="hybridMultilevel"/>
    <w:tmpl w:val="7F4A9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8A0D39"/>
    <w:multiLevelType w:val="multilevel"/>
    <w:tmpl w:val="7CF4244E"/>
    <w:lvl w:ilvl="0">
      <w:start w:val="1"/>
      <w:numFmt w:val="decimal"/>
      <w:lvlText w:val="%1."/>
      <w:lvlJc w:val="left"/>
      <w:pPr>
        <w:ind w:left="0" w:firstLine="0"/>
      </w:pPr>
      <w:rPr>
        <w:rFonts w:ascii="Palatino Linotype" w:eastAsia="Palatino Linotype" w:hAnsi="Palatino Linotype" w:cs="Palatino Linotype"/>
        <w:b/>
        <w:i w:val="0"/>
        <w:sz w:val="24"/>
        <w:szCs w:val="24"/>
        <w:vertAlign w:val="baseline"/>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29424B1A"/>
    <w:lvl w:ilvl="0" w:tplc="AE0ECB3A">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51160513"/>
    <w:multiLevelType w:val="multilevel"/>
    <w:tmpl w:val="969698CA"/>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C0125A"/>
    <w:multiLevelType w:val="hybridMultilevel"/>
    <w:tmpl w:val="4DB0C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0839D1"/>
    <w:multiLevelType w:val="hybridMultilevel"/>
    <w:tmpl w:val="669A8A00"/>
    <w:lvl w:ilvl="0" w:tplc="C302A056">
      <w:start w:val="1"/>
      <w:numFmt w:val="decimal"/>
      <w:lvlText w:val="%1."/>
      <w:lvlJc w:val="left"/>
      <w:pPr>
        <w:ind w:left="1211"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CA2B9F"/>
    <w:multiLevelType w:val="hybridMultilevel"/>
    <w:tmpl w:val="006C8C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AF1950"/>
    <w:multiLevelType w:val="hybridMultilevel"/>
    <w:tmpl w:val="B4D6E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A446FD"/>
    <w:multiLevelType w:val="hybridMultilevel"/>
    <w:tmpl w:val="451A6A3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4327D98"/>
    <w:multiLevelType w:val="hybridMultilevel"/>
    <w:tmpl w:val="F1443C2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3E5BB4"/>
    <w:multiLevelType w:val="hybridMultilevel"/>
    <w:tmpl w:val="124C6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23"/>
  </w:num>
  <w:num w:numId="4">
    <w:abstractNumId w:val="29"/>
  </w:num>
  <w:num w:numId="5">
    <w:abstractNumId w:val="3"/>
  </w:num>
  <w:num w:numId="6">
    <w:abstractNumId w:val="11"/>
  </w:num>
  <w:num w:numId="7">
    <w:abstractNumId w:val="12"/>
  </w:num>
  <w:num w:numId="8">
    <w:abstractNumId w:val="7"/>
  </w:num>
  <w:num w:numId="9">
    <w:abstractNumId w:val="0"/>
  </w:num>
  <w:num w:numId="10">
    <w:abstractNumId w:val="26"/>
  </w:num>
  <w:num w:numId="11">
    <w:abstractNumId w:val="15"/>
  </w:num>
  <w:num w:numId="12">
    <w:abstractNumId w:val="16"/>
  </w:num>
  <w:num w:numId="13">
    <w:abstractNumId w:val="32"/>
  </w:num>
  <w:num w:numId="14">
    <w:abstractNumId w:val="8"/>
  </w:num>
  <w:num w:numId="15">
    <w:abstractNumId w:val="24"/>
  </w:num>
  <w:num w:numId="16">
    <w:abstractNumId w:val="28"/>
  </w:num>
  <w:num w:numId="17">
    <w:abstractNumId w:val="9"/>
  </w:num>
  <w:num w:numId="18">
    <w:abstractNumId w:val="34"/>
  </w:num>
  <w:num w:numId="19">
    <w:abstractNumId w:val="25"/>
  </w:num>
  <w:num w:numId="20">
    <w:abstractNumId w:val="22"/>
  </w:num>
  <w:num w:numId="21">
    <w:abstractNumId w:val="14"/>
  </w:num>
  <w:num w:numId="22">
    <w:abstractNumId w:val="6"/>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7"/>
  </w:num>
  <w:num w:numId="26">
    <w:abstractNumId w:val="1"/>
  </w:num>
  <w:num w:numId="27">
    <w:abstractNumId w:val="18"/>
  </w:num>
  <w:num w:numId="28">
    <w:abstractNumId w:val="2"/>
  </w:num>
  <w:num w:numId="29">
    <w:abstractNumId w:val="33"/>
  </w:num>
  <w:num w:numId="30">
    <w:abstractNumId w:val="5"/>
  </w:num>
  <w:num w:numId="31">
    <w:abstractNumId w:val="31"/>
  </w:num>
  <w:num w:numId="32">
    <w:abstractNumId w:val="30"/>
  </w:num>
  <w:num w:numId="33">
    <w:abstractNumId w:val="20"/>
  </w:num>
  <w:num w:numId="34">
    <w:abstractNumId w:val="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261F9"/>
    <w:rsid w:val="0005385B"/>
    <w:rsid w:val="000B3CC9"/>
    <w:rsid w:val="000C3184"/>
    <w:rsid w:val="000E6B21"/>
    <w:rsid w:val="00105F93"/>
    <w:rsid w:val="001114DB"/>
    <w:rsid w:val="0014449D"/>
    <w:rsid w:val="00164A47"/>
    <w:rsid w:val="00185D3C"/>
    <w:rsid w:val="001A0B73"/>
    <w:rsid w:val="001B509F"/>
    <w:rsid w:val="001D4288"/>
    <w:rsid w:val="001E06D6"/>
    <w:rsid w:val="00211124"/>
    <w:rsid w:val="0028198C"/>
    <w:rsid w:val="002A1395"/>
    <w:rsid w:val="002A218F"/>
    <w:rsid w:val="002A6AF6"/>
    <w:rsid w:val="002C027F"/>
    <w:rsid w:val="002D09BB"/>
    <w:rsid w:val="002D2319"/>
    <w:rsid w:val="00327D9C"/>
    <w:rsid w:val="00367F59"/>
    <w:rsid w:val="003839B5"/>
    <w:rsid w:val="003A6EDC"/>
    <w:rsid w:val="003C4761"/>
    <w:rsid w:val="003E6C41"/>
    <w:rsid w:val="003E7E9C"/>
    <w:rsid w:val="00417C68"/>
    <w:rsid w:val="004D2425"/>
    <w:rsid w:val="005036E7"/>
    <w:rsid w:val="0051138E"/>
    <w:rsid w:val="005235B9"/>
    <w:rsid w:val="005A1FCA"/>
    <w:rsid w:val="005B0CB7"/>
    <w:rsid w:val="005B1270"/>
    <w:rsid w:val="005F2DF6"/>
    <w:rsid w:val="006102C3"/>
    <w:rsid w:val="006208AD"/>
    <w:rsid w:val="00636840"/>
    <w:rsid w:val="00663745"/>
    <w:rsid w:val="00663AA1"/>
    <w:rsid w:val="00686355"/>
    <w:rsid w:val="006C4C9E"/>
    <w:rsid w:val="006D14F0"/>
    <w:rsid w:val="006D74D6"/>
    <w:rsid w:val="00707D7B"/>
    <w:rsid w:val="00712727"/>
    <w:rsid w:val="007554A6"/>
    <w:rsid w:val="007753F1"/>
    <w:rsid w:val="00791BEE"/>
    <w:rsid w:val="007928E2"/>
    <w:rsid w:val="007B3645"/>
    <w:rsid w:val="007B6A50"/>
    <w:rsid w:val="007E2F87"/>
    <w:rsid w:val="007E6BEA"/>
    <w:rsid w:val="00812C87"/>
    <w:rsid w:val="00830A99"/>
    <w:rsid w:val="00842746"/>
    <w:rsid w:val="00882DDD"/>
    <w:rsid w:val="008B50F4"/>
    <w:rsid w:val="008E2AE5"/>
    <w:rsid w:val="00966A65"/>
    <w:rsid w:val="009A4808"/>
    <w:rsid w:val="009B68E4"/>
    <w:rsid w:val="009F75E9"/>
    <w:rsid w:val="00A142AA"/>
    <w:rsid w:val="00A279F3"/>
    <w:rsid w:val="00A300BB"/>
    <w:rsid w:val="00A30285"/>
    <w:rsid w:val="00A6221A"/>
    <w:rsid w:val="00A65077"/>
    <w:rsid w:val="00A67EA5"/>
    <w:rsid w:val="00A80813"/>
    <w:rsid w:val="00A861A4"/>
    <w:rsid w:val="00AB3754"/>
    <w:rsid w:val="00AD240C"/>
    <w:rsid w:val="00AE7F85"/>
    <w:rsid w:val="00B05C77"/>
    <w:rsid w:val="00B20A77"/>
    <w:rsid w:val="00B52F44"/>
    <w:rsid w:val="00B53D45"/>
    <w:rsid w:val="00B61CD9"/>
    <w:rsid w:val="00B93ACB"/>
    <w:rsid w:val="00BB71E9"/>
    <w:rsid w:val="00BE7666"/>
    <w:rsid w:val="00C061D5"/>
    <w:rsid w:val="00C34B19"/>
    <w:rsid w:val="00C663B7"/>
    <w:rsid w:val="00C71449"/>
    <w:rsid w:val="00CE7CA6"/>
    <w:rsid w:val="00D07AEE"/>
    <w:rsid w:val="00D405B2"/>
    <w:rsid w:val="00D86E74"/>
    <w:rsid w:val="00D9170E"/>
    <w:rsid w:val="00DA03B4"/>
    <w:rsid w:val="00DF7E6F"/>
    <w:rsid w:val="00E1797B"/>
    <w:rsid w:val="00E24444"/>
    <w:rsid w:val="00E570C0"/>
    <w:rsid w:val="00E6515B"/>
    <w:rsid w:val="00EC13DD"/>
    <w:rsid w:val="00F042F4"/>
    <w:rsid w:val="00F270C9"/>
    <w:rsid w:val="00F55CDD"/>
    <w:rsid w:val="00F85CD5"/>
    <w:rsid w:val="00FB3F36"/>
    <w:rsid w:val="00FD1555"/>
    <w:rsid w:val="00FE3779"/>
    <w:rsid w:val="00FF3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AC170"/>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 w:type="paragraph" w:customStyle="1" w:styleId="xgmail-msolistparagraph">
    <w:name w:val="x_gmail-msolistparagraph"/>
    <w:basedOn w:val="Normal"/>
    <w:rsid w:val="009F75E9"/>
    <w:pPr>
      <w:spacing w:before="100" w:beforeAutospacing="1" w:after="100" w:afterAutospacing="1"/>
    </w:pPr>
    <w:rPr>
      <w:rFonts w:ascii="Times New Roman" w:eastAsia="Times New Roman" w:hAnsi="Times New Roman" w:cs="Times New Roman"/>
      <w:lang w:val="es-MX"/>
    </w:rPr>
  </w:style>
  <w:style w:type="paragraph" w:customStyle="1" w:styleId="xmsonormal">
    <w:name w:val="x_msonormal"/>
    <w:basedOn w:val="Normal"/>
    <w:rsid w:val="009F75E9"/>
    <w:pPr>
      <w:spacing w:before="100" w:beforeAutospacing="1" w:after="100" w:afterAutospacing="1"/>
    </w:pPr>
    <w:rPr>
      <w:rFonts w:ascii="Times New Roman" w:eastAsia="Times New Roman" w:hAnsi="Times New Roman" w:cs="Times New Roman"/>
      <w:lang w:val="es-MX"/>
    </w:rPr>
  </w:style>
  <w:style w:type="paragraph" w:customStyle="1" w:styleId="xgmail-msonormal">
    <w:name w:val="x_gmail-msonormal"/>
    <w:basedOn w:val="Normal"/>
    <w:rsid w:val="009F75E9"/>
    <w:pPr>
      <w:spacing w:before="100" w:beforeAutospacing="1" w:after="100" w:afterAutospacing="1"/>
    </w:pPr>
    <w:rPr>
      <w:rFonts w:ascii="Times New Roman" w:eastAsia="Times New Roman" w:hAnsi="Times New Roman" w:cs="Times New Roman"/>
      <w:lang w:val="es-MX"/>
    </w:rPr>
  </w:style>
  <w:style w:type="character" w:customStyle="1" w:styleId="xgmail-msocommentreference">
    <w:name w:val="x_gmail-msocommentreference"/>
    <w:basedOn w:val="Fuentedeprrafopredeter"/>
    <w:rsid w:val="009F75E9"/>
  </w:style>
  <w:style w:type="character" w:customStyle="1" w:styleId="normaltextrun">
    <w:name w:val="normaltextrun"/>
    <w:basedOn w:val="Fuentedeprrafopredeter"/>
    <w:rsid w:val="007753F1"/>
  </w:style>
  <w:style w:type="character" w:customStyle="1" w:styleId="eop">
    <w:name w:val="eop"/>
    <w:basedOn w:val="Fuentedeprrafopredeter"/>
    <w:rsid w:val="00775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2163">
      <w:bodyDiv w:val="1"/>
      <w:marLeft w:val="0"/>
      <w:marRight w:val="0"/>
      <w:marTop w:val="0"/>
      <w:marBottom w:val="0"/>
      <w:divBdr>
        <w:top w:val="none" w:sz="0" w:space="0" w:color="auto"/>
        <w:left w:val="none" w:sz="0" w:space="0" w:color="auto"/>
        <w:bottom w:val="none" w:sz="0" w:space="0" w:color="auto"/>
        <w:right w:val="none" w:sz="0" w:space="0" w:color="auto"/>
      </w:divBdr>
    </w:div>
    <w:div w:id="1772168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enado.gob.mx/comisiones/anticorrupcion/docs/transparencia/Iniciativa_LGTAI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7369</Words>
  <Characters>40535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10</cp:revision>
  <cp:lastPrinted>2026-03-23T16:17:00Z</cp:lastPrinted>
  <dcterms:created xsi:type="dcterms:W3CDTF">2026-03-11T23:18:00Z</dcterms:created>
  <dcterms:modified xsi:type="dcterms:W3CDTF">2026-04-06T23:04:00Z</dcterms:modified>
</cp:coreProperties>
</file>