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78F298" w14:textId="7BB2EC89" w:rsidR="00144EDA" w:rsidRPr="00292618" w:rsidRDefault="00C81811">
      <w:pPr>
        <w:tabs>
          <w:tab w:val="left" w:pos="3465"/>
        </w:tabs>
        <w:spacing w:line="360" w:lineRule="auto"/>
        <w:ind w:right="49"/>
        <w:jc w:val="both"/>
        <w:rPr>
          <w:rFonts w:ascii="Palatino Linotype" w:eastAsia="Palatino Linotype" w:hAnsi="Palatino Linotype" w:cs="Palatino Linotype"/>
          <w:b/>
        </w:rPr>
      </w:pPr>
      <w:bookmarkStart w:id="0" w:name="_GoBack"/>
      <w:bookmarkEnd w:id="0"/>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292618">
        <w:rPr>
          <w:rFonts w:ascii="Palatino Linotype" w:eastAsia="Palatino Linotype" w:hAnsi="Palatino Linotype" w:cs="Palatino Linotype"/>
          <w:b/>
        </w:rPr>
        <w:t>de fecha once</w:t>
      </w:r>
      <w:r w:rsidR="00292618" w:rsidRPr="00292618">
        <w:rPr>
          <w:rFonts w:ascii="Palatino Linotype" w:eastAsia="Palatino Linotype" w:hAnsi="Palatino Linotype" w:cs="Palatino Linotype"/>
          <w:b/>
        </w:rPr>
        <w:t xml:space="preserve"> (11)</w:t>
      </w:r>
      <w:r w:rsidRPr="00292618">
        <w:rPr>
          <w:rFonts w:ascii="Palatino Linotype" w:eastAsia="Palatino Linotype" w:hAnsi="Palatino Linotype" w:cs="Palatino Linotype"/>
          <w:b/>
        </w:rPr>
        <w:t xml:space="preserve"> de febrero de dos mil veintiséis.</w:t>
      </w:r>
    </w:p>
    <w:p w14:paraId="0EFF96FA" w14:textId="77777777" w:rsidR="00144EDA" w:rsidRDefault="00144EDA">
      <w:pPr>
        <w:tabs>
          <w:tab w:val="left" w:pos="3465"/>
        </w:tabs>
        <w:spacing w:line="360" w:lineRule="auto"/>
        <w:ind w:right="49"/>
        <w:jc w:val="both"/>
        <w:rPr>
          <w:rFonts w:ascii="Palatino Linotype" w:eastAsia="Palatino Linotype" w:hAnsi="Palatino Linotype" w:cs="Palatino Linotype"/>
        </w:rPr>
      </w:pPr>
    </w:p>
    <w:p w14:paraId="7E4F9B8E" w14:textId="76923965" w:rsidR="00144EDA" w:rsidRDefault="00C81811">
      <w:pPr>
        <w:spacing w:line="360" w:lineRule="auto"/>
        <w:ind w:right="49"/>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el Recurso de Revisión </w:t>
      </w:r>
      <w:r>
        <w:rPr>
          <w:rFonts w:ascii="Palatino Linotype" w:eastAsia="Palatino Linotype" w:hAnsi="Palatino Linotype" w:cs="Palatino Linotype"/>
          <w:b/>
          <w:bCs/>
        </w:rPr>
        <w:t>06593/INFOEM/IP/RR/2025,</w:t>
      </w:r>
      <w:r>
        <w:rPr>
          <w:rFonts w:ascii="Palatino Linotype" w:eastAsia="Palatino Linotype" w:hAnsi="Palatino Linotype" w:cs="Palatino Linotype"/>
        </w:rPr>
        <w:t xml:space="preserve"> presentado por </w:t>
      </w:r>
      <w:r w:rsidR="006D0C24">
        <w:rPr>
          <w:rFonts w:ascii="Palatino Linotype" w:eastAsia="Palatino Linotype" w:hAnsi="Palatino Linotype" w:cs="Palatino Linotype"/>
          <w:b/>
          <w:bCs/>
        </w:rPr>
        <w:t>XXXX</w:t>
      </w:r>
      <w:r>
        <w:rPr>
          <w:rFonts w:ascii="Palatino Linotype" w:eastAsia="Palatino Linotype" w:hAnsi="Palatino Linotype" w:cs="Palatino Linotype"/>
          <w:b/>
          <w:bCs/>
        </w:rPr>
        <w:t>,</w:t>
      </w:r>
      <w:r>
        <w:rPr>
          <w:rFonts w:ascii="Palatino Linotype" w:eastAsia="Palatino Linotype" w:hAnsi="Palatino Linotype" w:cs="Palatino Linotype"/>
        </w:rPr>
        <w:t xml:space="preserve"> a quie</w:t>
      </w:r>
      <w:r w:rsidR="00292618">
        <w:rPr>
          <w:rFonts w:ascii="Palatino Linotype" w:eastAsia="Palatino Linotype" w:hAnsi="Palatino Linotype" w:cs="Palatino Linotype"/>
        </w:rPr>
        <w:t xml:space="preserve">n en lo sucesivo se denominará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otorgada a la Solicitud de Información </w:t>
      </w:r>
      <w:r>
        <w:rPr>
          <w:rFonts w:ascii="Palatino Linotype" w:eastAsia="Palatino Linotype" w:hAnsi="Palatino Linotype" w:cs="Palatino Linotype"/>
          <w:b/>
          <w:bCs/>
        </w:rPr>
        <w:t>00134/NICOROM/IP/2025</w:t>
      </w:r>
      <w:r>
        <w:rPr>
          <w:rFonts w:ascii="Palatino Linotype" w:eastAsia="Palatino Linotype" w:hAnsi="Palatino Linotype" w:cs="Palatino Linotype"/>
        </w:rPr>
        <w:t xml:space="preserve">, por parte del </w:t>
      </w:r>
      <w:r>
        <w:rPr>
          <w:rFonts w:ascii="Palatino Linotype" w:eastAsia="Palatino Linotype" w:hAnsi="Palatino Linotype" w:cs="Palatino Linotype"/>
          <w:b/>
          <w:bCs/>
        </w:rPr>
        <w:t xml:space="preserve">Ayuntamiento de Nicolás Romero, </w:t>
      </w:r>
      <w:r>
        <w:rPr>
          <w:rFonts w:ascii="Palatino Linotype" w:eastAsia="Palatino Linotype" w:hAnsi="Palatino Linotype" w:cs="Palatino Linotype"/>
        </w:rPr>
        <w:t xml:space="preserve">en adelante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se emite la presente Resolución con base en los siguientes:</w:t>
      </w:r>
    </w:p>
    <w:p w14:paraId="4F0F9344" w14:textId="77777777" w:rsidR="00144EDA" w:rsidRDefault="00144EDA">
      <w:pPr>
        <w:spacing w:line="360" w:lineRule="auto"/>
        <w:ind w:right="49"/>
        <w:jc w:val="both"/>
        <w:rPr>
          <w:rFonts w:ascii="Palatino Linotype" w:eastAsia="Palatino Linotype" w:hAnsi="Palatino Linotype" w:cs="Palatino Linotype"/>
        </w:rPr>
      </w:pPr>
    </w:p>
    <w:p w14:paraId="23917B23" w14:textId="77777777" w:rsidR="00144EDA" w:rsidRDefault="00C81811">
      <w:pPr>
        <w:pStyle w:val="Ttulo1"/>
        <w:spacing w:before="0" w:line="360" w:lineRule="auto"/>
        <w:ind w:right="49"/>
        <w:jc w:val="center"/>
        <w:rPr>
          <w:rFonts w:ascii="Palatino Linotype" w:eastAsia="Palatino Linotype" w:hAnsi="Palatino Linotype" w:cs="Palatino Linotype"/>
          <w:b/>
          <w:bCs/>
          <w:color w:val="000000"/>
          <w:sz w:val="24"/>
          <w:szCs w:val="24"/>
        </w:rPr>
      </w:pPr>
      <w:bookmarkStart w:id="1" w:name="_heading=h.gjdgxs" w:colFirst="0" w:colLast="0"/>
      <w:bookmarkEnd w:id="1"/>
      <w:r>
        <w:rPr>
          <w:rFonts w:ascii="Palatino Linotype" w:eastAsia="Palatino Linotype" w:hAnsi="Palatino Linotype" w:cs="Palatino Linotype"/>
          <w:b/>
          <w:bCs/>
          <w:color w:val="000000"/>
          <w:sz w:val="24"/>
          <w:szCs w:val="24"/>
        </w:rPr>
        <w:t>A N T E C E D E N T E S</w:t>
      </w:r>
    </w:p>
    <w:p w14:paraId="1F2DA29E" w14:textId="77777777" w:rsidR="00144EDA" w:rsidRDefault="00144EDA">
      <w:pPr>
        <w:pBdr>
          <w:top w:val="nil"/>
          <w:left w:val="nil"/>
          <w:bottom w:val="nil"/>
          <w:right w:val="nil"/>
          <w:between w:val="nil"/>
        </w:pBdr>
        <w:spacing w:line="360" w:lineRule="auto"/>
        <w:ind w:right="49"/>
        <w:jc w:val="both"/>
        <w:rPr>
          <w:rFonts w:ascii="Palatino Linotype" w:eastAsia="Palatino Linotype" w:hAnsi="Palatino Linotype" w:cs="Palatino Linotype"/>
          <w:b/>
          <w:bCs/>
          <w:color w:val="000000"/>
          <w:u w:val="single"/>
        </w:rPr>
      </w:pPr>
    </w:p>
    <w:p w14:paraId="34C44404" w14:textId="77777777" w:rsidR="00144EDA" w:rsidRDefault="00C81811">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día</w:t>
      </w:r>
      <w:r>
        <w:rPr>
          <w:rFonts w:ascii="Palatino Linotype" w:eastAsia="Palatino Linotype" w:hAnsi="Palatino Linotype" w:cs="Palatino Linotype"/>
          <w:b/>
          <w:bCs/>
          <w:color w:val="000000"/>
        </w:rPr>
        <w:t xml:space="preserve"> quince mayo dos mil veinticinco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14:paraId="68722544" w14:textId="77777777" w:rsidR="00144EDA" w:rsidRDefault="00144EDA">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7E0C9D68" w14:textId="77777777" w:rsidR="00144EDA" w:rsidRDefault="00C81811">
      <w:pPr>
        <w:pBdr>
          <w:top w:val="nil"/>
          <w:left w:val="nil"/>
          <w:bottom w:val="nil"/>
          <w:right w:val="nil"/>
          <w:between w:val="nil"/>
        </w:pBdr>
        <w:spacing w:line="360" w:lineRule="auto"/>
        <w:ind w:left="425" w:right="33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“SOLICITO EL EXPEDIENTE, ASI COMO LA RAZON SOCIAL Y EXPEDIENTES DE LA EMPRESA A LA QUE SE LE OTORGO EL PERMISO PARA REALIZAR MODIFICACIONES EN EL PREDIO DE PROGRESO INDUSTRIAL QUE ANTERIORMENTE ERA LA FABRICA DE PAPEL DE PROGRESO INDUSTRIAL, TAMBIEN SE SOLICITA EL ACTA DE CABILDO QUE APROBO LO ANTERIORMENTE DESCRITO, TODA ESTA INFORMACIÒN EXISTE POR LO QUE SE SOLICITA DE ACUERDO AL ARTICULO 8 CONSTITUCIONAL Y EN CUMPLIMIENTO A LA SECCION SEGUNDA ARTICULO 12, CAPITULO III, </w:t>
      </w:r>
      <w:r>
        <w:rPr>
          <w:rFonts w:ascii="Palatino Linotype" w:eastAsia="Palatino Linotype" w:hAnsi="Palatino Linotype" w:cs="Palatino Linotype"/>
          <w:i/>
          <w:iCs/>
          <w:color w:val="000000"/>
        </w:rPr>
        <w:lastRenderedPageBreak/>
        <w:t>ARTICULO 19 DE LA LEY GENERAL DE TRANSPARENCIA Y ACCESO A LA INFORMACION PUBLICA.”</w:t>
      </w:r>
    </w:p>
    <w:p w14:paraId="44FF9AB6" w14:textId="77777777" w:rsidR="00144EDA" w:rsidRDefault="00144EDA">
      <w:pPr>
        <w:pBdr>
          <w:top w:val="nil"/>
          <w:left w:val="nil"/>
          <w:bottom w:val="nil"/>
          <w:right w:val="nil"/>
          <w:between w:val="nil"/>
        </w:pBdr>
        <w:spacing w:line="360" w:lineRule="auto"/>
        <w:ind w:left="425" w:right="333"/>
        <w:jc w:val="both"/>
        <w:rPr>
          <w:rFonts w:ascii="Palatino Linotype" w:eastAsia="Palatino Linotype" w:hAnsi="Palatino Linotype" w:cs="Palatino Linotype"/>
          <w:i/>
          <w:iCs/>
          <w:color w:val="000000"/>
        </w:rPr>
      </w:pPr>
    </w:p>
    <w:p w14:paraId="1CDF22BE" w14:textId="77777777" w:rsidR="00144EDA" w:rsidRDefault="00C81811" w:rsidP="00292618">
      <w:pPr>
        <w:numPr>
          <w:ilvl w:val="0"/>
          <w:numId w:val="2"/>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14:paraId="374498B5" w14:textId="77777777" w:rsidR="00144EDA" w:rsidRDefault="00144EDA">
      <w:p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p>
    <w:p w14:paraId="5DA32EBF" w14:textId="77777777" w:rsidR="00144EDA" w:rsidRDefault="00C81811">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cuatro de junio de dos mil veinticinco</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dio respuesta a través del a través del archivo denominado </w:t>
      </w:r>
      <w:r>
        <w:rPr>
          <w:rFonts w:ascii="Palatino Linotype" w:eastAsia="Palatino Linotype" w:hAnsi="Palatino Linotype" w:cs="Palatino Linotype"/>
          <w:b/>
          <w:bCs/>
          <w:i/>
          <w:iCs/>
          <w:color w:val="000000"/>
        </w:rPr>
        <w:t>Respuesta Solicitud 134.pdf</w:t>
      </w:r>
      <w:r>
        <w:rPr>
          <w:rFonts w:ascii="Palatino Linotype" w:eastAsia="Palatino Linotype" w:hAnsi="Palatino Linotype" w:cs="Palatino Linotype"/>
          <w:color w:val="000000"/>
        </w:rPr>
        <w:t>, oficio suscrito por la Titular de la Unidad de Transparencia, a través del cual hace del conocimiento del Solicitante la respuesta emitida, adjuntado para tal efecto los oficios de respuesta de los servidores públicos habilitados Consejero Jurídico y Consultivo, Secretario del Ayuntamiento y Director de Desarrollo Urbano, a través de los cuales manifiestan que luego de una búsqueda de lo solicitado, no se localizó información al respecto de lo solicitado.</w:t>
      </w:r>
    </w:p>
    <w:p w14:paraId="58452ACE" w14:textId="77777777" w:rsidR="00144EDA" w:rsidRDefault="00144EDA">
      <w:pPr>
        <w:pBdr>
          <w:top w:val="nil"/>
          <w:left w:val="nil"/>
          <w:bottom w:val="nil"/>
          <w:right w:val="nil"/>
          <w:between w:val="nil"/>
        </w:pBdr>
        <w:tabs>
          <w:tab w:val="left" w:pos="0"/>
        </w:tabs>
        <w:spacing w:line="360" w:lineRule="auto"/>
        <w:ind w:left="502" w:right="49"/>
        <w:jc w:val="both"/>
        <w:rPr>
          <w:rFonts w:ascii="Palatino Linotype" w:eastAsia="Palatino Linotype" w:hAnsi="Palatino Linotype" w:cs="Palatino Linotype"/>
          <w:color w:val="000000"/>
        </w:rPr>
      </w:pPr>
    </w:p>
    <w:p w14:paraId="7087FD5F" w14:textId="77777777" w:rsidR="00144EDA" w:rsidRDefault="00C81811">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cinco de junio dos mil veinticinco</w:t>
      </w:r>
      <w:r>
        <w:rPr>
          <w:rFonts w:ascii="Palatino Linotype" w:eastAsia="Palatino Linotype" w:hAnsi="Palatino Linotype" w:cs="Palatino Linotype"/>
          <w:color w:val="000000"/>
        </w:rPr>
        <w:t>, el particular interpuso el recurso de revisión en contra de la respuesta, realizando las siguientes manifestaciones:</w:t>
      </w:r>
    </w:p>
    <w:p w14:paraId="2C100BDE" w14:textId="77777777" w:rsidR="00144EDA" w:rsidRDefault="00144ED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7EA3FBEB" w14:textId="77777777" w:rsidR="00144EDA" w:rsidRDefault="00C81811">
      <w:pPr>
        <w:numPr>
          <w:ilvl w:val="0"/>
          <w:numId w:val="6"/>
        </w:numPr>
        <w:pBdr>
          <w:top w:val="nil"/>
          <w:left w:val="nil"/>
          <w:bottom w:val="nil"/>
          <w:right w:val="nil"/>
          <w:between w:val="nil"/>
        </w:pBdr>
        <w:spacing w:line="360" w:lineRule="auto"/>
        <w:ind w:right="474" w:hanging="358"/>
        <w:jc w:val="both"/>
        <w:rPr>
          <w:rFonts w:ascii="Palatino Linotype" w:eastAsia="Palatino Linotype" w:hAnsi="Palatino Linotype" w:cs="Palatino Linotype"/>
          <w:i/>
          <w:iCs/>
          <w:color w:val="000000"/>
        </w:rPr>
      </w:pPr>
      <w:bookmarkStart w:id="2" w:name="_heading=h.30j0zll" w:colFirst="0" w:colLast="0"/>
      <w:bookmarkEnd w:id="2"/>
      <w:r>
        <w:rPr>
          <w:rFonts w:ascii="Palatino Linotype" w:eastAsia="Palatino Linotype" w:hAnsi="Palatino Linotype" w:cs="Palatino Linotype"/>
          <w:b/>
          <w:bCs/>
          <w:color w:val="000000"/>
        </w:rPr>
        <w:t xml:space="preserve">ACTO IMPUGNADO: </w:t>
      </w:r>
      <w:r>
        <w:rPr>
          <w:rFonts w:ascii="Palatino Linotype" w:eastAsia="Palatino Linotype" w:hAnsi="Palatino Linotype" w:cs="Palatino Linotype"/>
          <w:i/>
          <w:iCs/>
          <w:color w:val="000000"/>
        </w:rPr>
        <w:t xml:space="preserve">“La información que se solicita que a la letra dice "Solicito la información que integra el Paquete Presupuestal Municipal 2025, es decir, los documentos en los formatos que se especifican en los Lineamientos que regulan su entrega. Lo anterior porque la información es de interés público porque contribuye a la transparencia y rendición de cuentas, fortalece la correcta aplicación y manejo de los recursos. Esta información deberá entregarse completa, íntegra y legible. Anexo al </w:t>
      </w:r>
      <w:r>
        <w:rPr>
          <w:rFonts w:ascii="Palatino Linotype" w:eastAsia="Palatino Linotype" w:hAnsi="Palatino Linotype" w:cs="Palatino Linotype"/>
          <w:i/>
          <w:iCs/>
          <w:color w:val="000000"/>
        </w:rPr>
        <w:lastRenderedPageBreak/>
        <w:t>presente los Lineamientos que menciono porque allí se especifican los documentos, formatos, calidad y características de los archivos, mismos que por su extensión se pueden entregar perfectamente mediante la plataforma SAIMEX. Por su rápida atención, gracias. (SIC) a la que se le asigno número de folio y fue turnada que a la letra dice "Misma que fue registrada bajo el folio 00134/NICOROM/IP/2025 y turnada a la Consejería Jurídica y Consultiva, a Secretaría del Ayuntamiento y a la Dirección de Desarrollo Urbano. (sic) Por lo que la solictud no corresponde con las areas a la que fue turnada, y ademas negada la informacion.”</w:t>
      </w:r>
    </w:p>
    <w:p w14:paraId="74045004" w14:textId="77777777" w:rsidR="00144EDA" w:rsidRDefault="00144EDA">
      <w:pPr>
        <w:pBdr>
          <w:top w:val="nil"/>
          <w:left w:val="nil"/>
          <w:bottom w:val="nil"/>
          <w:right w:val="nil"/>
          <w:between w:val="nil"/>
        </w:pBdr>
        <w:spacing w:line="360" w:lineRule="auto"/>
        <w:ind w:right="474"/>
        <w:jc w:val="both"/>
        <w:rPr>
          <w:rFonts w:ascii="Palatino Linotype" w:eastAsia="Palatino Linotype" w:hAnsi="Palatino Linotype" w:cs="Palatino Linotype"/>
          <w:i/>
          <w:iCs/>
          <w:color w:val="000000"/>
        </w:rPr>
      </w:pPr>
    </w:p>
    <w:p w14:paraId="647EAE26" w14:textId="77777777" w:rsidR="00144EDA" w:rsidRDefault="00C81811">
      <w:pPr>
        <w:numPr>
          <w:ilvl w:val="0"/>
          <w:numId w:val="6"/>
        </w:numPr>
        <w:pBdr>
          <w:top w:val="nil"/>
          <w:left w:val="nil"/>
          <w:bottom w:val="nil"/>
          <w:right w:val="nil"/>
          <w:between w:val="nil"/>
        </w:pBdr>
        <w:spacing w:line="360" w:lineRule="auto"/>
        <w:ind w:right="474" w:hanging="358"/>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 xml:space="preserve">RAZONES O MOTIVOS DE LA INCONFORMIDAD: </w:t>
      </w:r>
      <w:r>
        <w:rPr>
          <w:rFonts w:ascii="Palatino Linotype" w:eastAsia="Palatino Linotype" w:hAnsi="Palatino Linotype" w:cs="Palatino Linotype"/>
          <w:i/>
          <w:iCs/>
          <w:color w:val="000000"/>
        </w:rPr>
        <w:t>“La información solicitada no corresponde con la respuesta, remito el archivo en versión PDF para su análisis, y se dicte resolución, además de que la información fue negada argumentando no obran en sus archiv”</w:t>
      </w:r>
    </w:p>
    <w:p w14:paraId="6AEBDC04" w14:textId="77777777" w:rsidR="00144EDA" w:rsidRDefault="00144EDA">
      <w:pPr>
        <w:pBdr>
          <w:top w:val="nil"/>
          <w:left w:val="nil"/>
          <w:bottom w:val="nil"/>
          <w:right w:val="nil"/>
          <w:between w:val="nil"/>
        </w:pBdr>
        <w:ind w:left="720"/>
        <w:rPr>
          <w:rFonts w:ascii="Palatino Linotype" w:eastAsia="Palatino Linotype" w:hAnsi="Palatino Linotype" w:cs="Palatino Linotype"/>
          <w:i/>
          <w:iCs/>
          <w:color w:val="000000"/>
        </w:rPr>
      </w:pPr>
    </w:p>
    <w:p w14:paraId="75647B16" w14:textId="77777777" w:rsidR="00144EDA" w:rsidRDefault="00C81811" w:rsidP="00292618">
      <w:pPr>
        <w:numPr>
          <w:ilvl w:val="0"/>
          <w:numId w:val="6"/>
        </w:numPr>
        <w:pBdr>
          <w:top w:val="nil"/>
          <w:left w:val="nil"/>
          <w:bottom w:val="nil"/>
          <w:right w:val="nil"/>
          <w:between w:val="nil"/>
        </w:pBdr>
        <w:spacing w:line="360" w:lineRule="auto"/>
        <w:ind w:left="0" w:right="474"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 xml:space="preserve">Se adjunta el archivo denominado </w:t>
      </w:r>
      <w:r>
        <w:rPr>
          <w:rFonts w:ascii="Palatino Linotype" w:eastAsia="Palatino Linotype" w:hAnsi="Palatino Linotype" w:cs="Palatino Linotype"/>
          <w:b/>
          <w:bCs/>
          <w:i/>
          <w:iCs/>
          <w:color w:val="000000"/>
        </w:rPr>
        <w:t>Respuesta Solicitud 134.pdf</w:t>
      </w:r>
      <w:r>
        <w:rPr>
          <w:rFonts w:ascii="Palatino Linotype" w:eastAsia="Palatino Linotype" w:hAnsi="Palatino Linotype" w:cs="Palatino Linotype"/>
          <w:color w:val="000000"/>
        </w:rPr>
        <w:t xml:space="preserve">, cuyo contenido corresponde a la respuesta emitida 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anteriormente descrita.</w:t>
      </w:r>
    </w:p>
    <w:p w14:paraId="2AD30217" w14:textId="77777777" w:rsidR="00144EDA" w:rsidRDefault="00144EDA">
      <w:pPr>
        <w:pBdr>
          <w:top w:val="nil"/>
          <w:left w:val="nil"/>
          <w:bottom w:val="nil"/>
          <w:right w:val="nil"/>
          <w:between w:val="nil"/>
        </w:pBdr>
        <w:spacing w:line="360" w:lineRule="auto"/>
        <w:ind w:left="720"/>
        <w:jc w:val="both"/>
        <w:rPr>
          <w:rFonts w:ascii="Palatino Linotype" w:eastAsia="Palatino Linotype" w:hAnsi="Palatino Linotype" w:cs="Palatino Linotype"/>
          <w:i/>
          <w:iCs/>
          <w:color w:val="000000"/>
        </w:rPr>
      </w:pPr>
    </w:p>
    <w:p w14:paraId="7C03F302" w14:textId="77777777" w:rsidR="00144EDA" w:rsidRDefault="00C8181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 fundamento en lo dispuesto por el artículo 185 fracción II de la ley de la materia, se acordó a las partes a efecto de que en un plazo máximo de siete días, el Recurrente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y el Sujeto Obligado presentará el Informe Justificado. </w:t>
      </w:r>
    </w:p>
    <w:p w14:paraId="3E8E9EF2" w14:textId="77777777" w:rsidR="00144EDA" w:rsidRDefault="00144EDA">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00747047" w14:textId="77777777" w:rsidR="00144EDA" w:rsidRDefault="00C8181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 fecha </w:t>
      </w:r>
      <w:r>
        <w:rPr>
          <w:rFonts w:ascii="Palatino Linotype" w:eastAsia="Palatino Linotype" w:hAnsi="Palatino Linotype" w:cs="Palatino Linotype"/>
          <w:b/>
          <w:bCs/>
          <w:color w:val="000000"/>
        </w:rPr>
        <w:t>dieciocho de junio de dos mil veinticinco</w:t>
      </w:r>
      <w:r>
        <w:rPr>
          <w:rFonts w:ascii="Palatino Linotype" w:eastAsia="Palatino Linotype" w:hAnsi="Palatino Linotype" w:cs="Palatino Linotype"/>
          <w:color w:val="000000"/>
        </w:rPr>
        <w:t xml:space="preserve">, rindió informe justificado mediante el archivo denominada Informe Justificado </w:t>
      </w:r>
      <w:r>
        <w:rPr>
          <w:rFonts w:ascii="Palatino Linotype" w:eastAsia="Palatino Linotype" w:hAnsi="Palatino Linotype" w:cs="Palatino Linotype"/>
          <w:b/>
          <w:bCs/>
          <w:i/>
          <w:iCs/>
          <w:color w:val="000000"/>
        </w:rPr>
        <w:t>Solicitud 134.pdf</w:t>
      </w:r>
      <w:r>
        <w:rPr>
          <w:rFonts w:ascii="Palatino Linotype" w:eastAsia="Palatino Linotype" w:hAnsi="Palatino Linotype" w:cs="Palatino Linotype"/>
          <w:color w:val="000000"/>
        </w:rPr>
        <w:t xml:space="preserve">, a través del cual se confirma la respuesta inicial, agregando como elemento novedoso que en el oficio de respuesta que emitió la Titular de la Unidad de Transparencia, ciertamente hubo un error en la transcripción del texto de la solicitud de información. Por su parte el hoy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fue omiso en realizar manifestaciones que a su derecho conviniera y asistiera.</w:t>
      </w:r>
    </w:p>
    <w:p w14:paraId="0E03F66A" w14:textId="77777777" w:rsidR="00144EDA" w:rsidRDefault="00144EDA">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4910F0D6" w14:textId="77777777" w:rsidR="00144EDA" w:rsidRDefault="00C8181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cuatro de febrero del año en curso</w:t>
      </w:r>
      <w:r>
        <w:rPr>
          <w:rFonts w:ascii="Palatino Linotype" w:eastAsia="Palatino Linotype" w:hAnsi="Palatino Linotype" w:cs="Palatino Linotype"/>
          <w:color w:val="000000"/>
        </w:rPr>
        <w:t xml:space="preserve">, se amplió el término para resolver el Recurso de Revisión por un periodo de quince días hábiles adicionales al lapso ordinario. Al respecto 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 </w:t>
      </w:r>
    </w:p>
    <w:p w14:paraId="29F42D27" w14:textId="77777777" w:rsidR="00144EDA" w:rsidRDefault="00144EDA">
      <w:pPr>
        <w:pBdr>
          <w:top w:val="nil"/>
          <w:left w:val="nil"/>
          <w:bottom w:val="nil"/>
          <w:right w:val="nil"/>
          <w:between w:val="nil"/>
        </w:pBdr>
        <w:spacing w:line="360" w:lineRule="auto"/>
        <w:ind w:left="360"/>
        <w:jc w:val="both"/>
        <w:rPr>
          <w:rFonts w:ascii="Palatino Linotype" w:eastAsia="Palatino Linotype" w:hAnsi="Palatino Linotype" w:cs="Palatino Linotype"/>
        </w:rPr>
      </w:pPr>
      <w:bookmarkStart w:id="3" w:name="_heading=h.c4a064s8p7s9" w:colFirst="0" w:colLast="0"/>
      <w:bookmarkEnd w:id="3"/>
    </w:p>
    <w:p w14:paraId="17750670" w14:textId="5D8D5F0D" w:rsidR="00144EDA" w:rsidRDefault="00C8181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En fecha </w:t>
      </w:r>
      <w:r>
        <w:rPr>
          <w:rFonts w:ascii="Palatino Linotype" w:eastAsia="Palatino Linotype" w:hAnsi="Palatino Linotype" w:cs="Palatino Linotype"/>
          <w:b/>
          <w:bCs/>
          <w:color w:val="000000"/>
        </w:rPr>
        <w:t>cuatro de febrero de dos mil veintiséis</w:t>
      </w:r>
      <w:r>
        <w:rPr>
          <w:rFonts w:ascii="Palatino Linotype" w:eastAsia="Palatino Linotype" w:hAnsi="Palatino Linotype" w:cs="Palatino Linotype"/>
          <w:color w:val="000000"/>
        </w:rPr>
        <w:t xml:space="preserve"> se amplió el </w:t>
      </w:r>
      <w:r>
        <w:rPr>
          <w:rFonts w:ascii="Palatino Linotype" w:eastAsia="Palatino Linotype" w:hAnsi="Palatino Linotype" w:cs="Palatino Linotype"/>
        </w:rPr>
        <w:t>término</w:t>
      </w:r>
      <w:r>
        <w:rPr>
          <w:rFonts w:ascii="Palatino Linotype" w:eastAsia="Palatino Linotype" w:hAnsi="Palatino Linotype" w:cs="Palatino Linotype"/>
          <w:color w:val="000000"/>
        </w:rPr>
        <w:t xml:space="preserve"> para resolver, 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 Seguidamente, mediante Acuerdo de misma fecha, </w:t>
      </w:r>
      <w:r>
        <w:rPr>
          <w:rFonts w:ascii="Palatino Linotype" w:eastAsia="Palatino Linotype" w:hAnsi="Palatino Linotype" w:cs="Palatino Linotype"/>
        </w:rPr>
        <w:t xml:space="preserve">la Comisionada Ponente dictó el cierre del periodo de </w:t>
      </w:r>
      <w:r>
        <w:rPr>
          <w:rFonts w:ascii="Palatino Linotype" w:eastAsia="Palatino Linotype" w:hAnsi="Palatino Linotype" w:cs="Palatino Linotype"/>
          <w:color w:val="000000"/>
        </w:rPr>
        <w:lastRenderedPageBreak/>
        <w:t>instrucción</w:t>
      </w:r>
      <w:r>
        <w:rPr>
          <w:rFonts w:ascii="Palatino Linotype" w:eastAsia="Palatino Linotype" w:hAnsi="Palatino Linotype" w:cs="Palatino Linotype"/>
        </w:rPr>
        <w:t xml:space="preserve"> y, ordenó la resolución que conforme a Derecho proceda, de acuerdo a las siguientes: </w:t>
      </w:r>
    </w:p>
    <w:p w14:paraId="7F84C549" w14:textId="77777777" w:rsidR="00144EDA" w:rsidRDefault="00144EDA">
      <w:pPr>
        <w:pBdr>
          <w:top w:val="nil"/>
          <w:left w:val="nil"/>
          <w:bottom w:val="nil"/>
          <w:right w:val="nil"/>
          <w:between w:val="nil"/>
        </w:pBdr>
        <w:spacing w:line="360" w:lineRule="auto"/>
        <w:ind w:left="720"/>
        <w:jc w:val="both"/>
        <w:rPr>
          <w:rFonts w:ascii="Palatino Linotype" w:eastAsia="Palatino Linotype" w:hAnsi="Palatino Linotype" w:cs="Palatino Linotype"/>
          <w:b/>
          <w:bCs/>
          <w:color w:val="000000"/>
        </w:rPr>
      </w:pPr>
    </w:p>
    <w:p w14:paraId="2391701E" w14:textId="77777777" w:rsidR="00144EDA" w:rsidRDefault="00C81811">
      <w:pPr>
        <w:pBdr>
          <w:top w:val="nil"/>
          <w:left w:val="nil"/>
          <w:bottom w:val="nil"/>
          <w:right w:val="nil"/>
          <w:between w:val="nil"/>
        </w:pBdr>
        <w:spacing w:line="360" w:lineRule="auto"/>
        <w:ind w:right="4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 O N S I D E R A C I O N E S</w:t>
      </w:r>
    </w:p>
    <w:p w14:paraId="1D86E646" w14:textId="77777777" w:rsidR="00144EDA" w:rsidRDefault="00144EDA">
      <w:pPr>
        <w:pBdr>
          <w:top w:val="nil"/>
          <w:left w:val="nil"/>
          <w:bottom w:val="nil"/>
          <w:right w:val="nil"/>
          <w:between w:val="nil"/>
        </w:pBdr>
        <w:spacing w:line="360" w:lineRule="auto"/>
        <w:ind w:right="49"/>
        <w:jc w:val="both"/>
        <w:rPr>
          <w:rFonts w:ascii="Palatino Linotype" w:eastAsia="Palatino Linotype" w:hAnsi="Palatino Linotype" w:cs="Palatino Linotype"/>
          <w:b/>
          <w:bCs/>
          <w:color w:val="000000"/>
        </w:rPr>
      </w:pPr>
    </w:p>
    <w:p w14:paraId="5B3CC7D2" w14:textId="77777777" w:rsidR="00144EDA" w:rsidRDefault="00C81811">
      <w:pPr>
        <w:pStyle w:val="Ttulo2"/>
        <w:spacing w:before="0" w:line="360" w:lineRule="auto"/>
        <w:ind w:right="49"/>
        <w:jc w:val="both"/>
        <w:rPr>
          <w:rFonts w:ascii="Palatino Linotype" w:eastAsia="Palatino Linotype" w:hAnsi="Palatino Linotype" w:cs="Palatino Linotype"/>
          <w:b/>
          <w:bCs/>
          <w:color w:val="000000"/>
          <w:sz w:val="24"/>
          <w:szCs w:val="24"/>
        </w:rPr>
      </w:pPr>
      <w:bookmarkStart w:id="4" w:name="_heading=h.3znysh7" w:colFirst="0" w:colLast="0"/>
      <w:bookmarkEnd w:id="4"/>
      <w:r>
        <w:rPr>
          <w:rFonts w:ascii="Palatino Linotype" w:eastAsia="Palatino Linotype" w:hAnsi="Palatino Linotype" w:cs="Palatino Linotype"/>
          <w:b/>
          <w:bCs/>
          <w:color w:val="000000"/>
          <w:sz w:val="24"/>
          <w:szCs w:val="24"/>
        </w:rPr>
        <w:t>PRIMERA. Competencia</w:t>
      </w:r>
    </w:p>
    <w:p w14:paraId="0B4AF206" w14:textId="77777777" w:rsidR="00144EDA" w:rsidRDefault="00C8181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5337E42" w14:textId="77777777" w:rsidR="00144EDA" w:rsidRDefault="00144EDA">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337F9F04" w14:textId="77777777" w:rsidR="00144EDA" w:rsidRDefault="00C81811">
      <w:pPr>
        <w:pStyle w:val="Ttulo2"/>
        <w:spacing w:before="0" w:line="360" w:lineRule="auto"/>
        <w:ind w:right="49"/>
        <w:jc w:val="both"/>
        <w:rPr>
          <w:rFonts w:ascii="Palatino Linotype" w:eastAsia="Palatino Linotype" w:hAnsi="Palatino Linotype" w:cs="Palatino Linotype"/>
          <w:b/>
          <w:bCs/>
          <w:color w:val="000000"/>
          <w:sz w:val="24"/>
          <w:szCs w:val="24"/>
        </w:rPr>
      </w:pPr>
      <w:bookmarkStart w:id="5" w:name="_heading=h.2et92p0" w:colFirst="0" w:colLast="0"/>
      <w:bookmarkEnd w:id="5"/>
      <w:r>
        <w:rPr>
          <w:rFonts w:ascii="Palatino Linotype" w:eastAsia="Palatino Linotype" w:hAnsi="Palatino Linotype" w:cs="Palatino Linotype"/>
          <w:b/>
          <w:bCs/>
          <w:color w:val="000000"/>
          <w:sz w:val="24"/>
          <w:szCs w:val="24"/>
        </w:rPr>
        <w:t>SEGUNDA. Procedencia.</w:t>
      </w:r>
    </w:p>
    <w:p w14:paraId="350B7F48" w14:textId="77777777" w:rsidR="00144EDA" w:rsidRDefault="00C8181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Este Órgano Garante considera que el medio de impugnación reúne los requisitos de </w:t>
      </w:r>
      <w:r>
        <w:rPr>
          <w:rFonts w:ascii="Palatino Linotype" w:eastAsia="Palatino Linotype" w:hAnsi="Palatino Linotype" w:cs="Palatino Linotype"/>
          <w:color w:val="000000"/>
        </w:rPr>
        <w:t>procedencia</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14:paraId="151ED04A" w14:textId="77777777" w:rsidR="00144EDA" w:rsidRDefault="00144EDA">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5A296645" w14:textId="77777777" w:rsidR="00144EDA" w:rsidRDefault="00C8181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Finalmente, el escrito contiene las formalidades previstas por el artículo 180 último párrafo de la citada Ley de la materia, por lo que es procedente que este Instituto conozca y resuelva el presente Recurso de Revisión.</w:t>
      </w:r>
    </w:p>
    <w:p w14:paraId="01455889" w14:textId="77777777" w:rsidR="00144EDA" w:rsidRDefault="00144EDA">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5C622FB9" w14:textId="77777777" w:rsidR="00144EDA" w:rsidRDefault="00C81811">
      <w:pPr>
        <w:pStyle w:val="Ttulo1"/>
        <w:spacing w:before="0" w:line="360" w:lineRule="auto"/>
        <w:ind w:right="49"/>
        <w:jc w:val="both"/>
        <w:rPr>
          <w:rFonts w:ascii="Palatino Linotype" w:eastAsia="Palatino Linotype" w:hAnsi="Palatino Linotype" w:cs="Palatino Linotype"/>
          <w:b/>
          <w:bCs/>
          <w:color w:val="000000"/>
          <w:sz w:val="24"/>
          <w:szCs w:val="24"/>
        </w:rPr>
      </w:pPr>
      <w:bookmarkStart w:id="6" w:name="_heading=h.tyjcwt" w:colFirst="0" w:colLast="0"/>
      <w:bookmarkEnd w:id="6"/>
      <w:r>
        <w:rPr>
          <w:rFonts w:ascii="Palatino Linotype" w:eastAsia="Palatino Linotype" w:hAnsi="Palatino Linotype" w:cs="Palatino Linotype"/>
          <w:b/>
          <w:bCs/>
          <w:color w:val="000000"/>
          <w:sz w:val="24"/>
          <w:szCs w:val="24"/>
        </w:rPr>
        <w:t xml:space="preserve">TERCERA. Del planteamiento de la </w:t>
      </w:r>
      <w:r>
        <w:rPr>
          <w:rFonts w:ascii="Palatino Linotype" w:eastAsia="Palatino Linotype" w:hAnsi="Palatino Linotype" w:cs="Palatino Linotype"/>
          <w:b/>
          <w:bCs/>
          <w:i/>
          <w:iCs/>
          <w:color w:val="000000"/>
          <w:sz w:val="24"/>
          <w:szCs w:val="24"/>
        </w:rPr>
        <w:t>Litis</w:t>
      </w:r>
    </w:p>
    <w:p w14:paraId="16D7E6F2" w14:textId="77777777" w:rsidR="00144EDA" w:rsidRDefault="00C8181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 solicitó tener acceso, a la información siguiente:</w:t>
      </w:r>
    </w:p>
    <w:p w14:paraId="2F0C3D10" w14:textId="77777777" w:rsidR="00144EDA" w:rsidRDefault="00C81811">
      <w:pPr>
        <w:numPr>
          <w:ilvl w:val="0"/>
          <w:numId w:val="3"/>
        </w:numPr>
        <w:pBdr>
          <w:top w:val="nil"/>
          <w:left w:val="nil"/>
          <w:bottom w:val="nil"/>
          <w:right w:val="nil"/>
          <w:between w:val="nil"/>
        </w:pBdr>
        <w:spacing w:line="360" w:lineRule="auto"/>
        <w:ind w:right="616"/>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La razón social de la empresa y el expediente generado con motivo del permiso otorgado a la empresa encargada de realizar modificaciones en el predio de progreso industrial, anteriormente la fábrica de papel de progreso industrial; y</w:t>
      </w:r>
    </w:p>
    <w:p w14:paraId="2C1C8978" w14:textId="77777777" w:rsidR="00144EDA" w:rsidRDefault="00C81811">
      <w:pPr>
        <w:numPr>
          <w:ilvl w:val="0"/>
          <w:numId w:val="3"/>
        </w:numPr>
        <w:pBdr>
          <w:top w:val="nil"/>
          <w:left w:val="nil"/>
          <w:bottom w:val="nil"/>
          <w:right w:val="nil"/>
          <w:between w:val="nil"/>
        </w:pBdr>
        <w:spacing w:line="360" w:lineRule="auto"/>
        <w:ind w:right="49"/>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El acta de cabildo que aprobó la obra anteriormente referida.</w:t>
      </w:r>
    </w:p>
    <w:p w14:paraId="5DD279C3" w14:textId="77777777" w:rsidR="00144EDA" w:rsidRDefault="00144EDA">
      <w:pPr>
        <w:pBdr>
          <w:top w:val="nil"/>
          <w:left w:val="nil"/>
          <w:bottom w:val="nil"/>
          <w:right w:val="nil"/>
          <w:between w:val="nil"/>
        </w:pBdr>
        <w:ind w:left="720"/>
        <w:rPr>
          <w:rFonts w:ascii="Palatino Linotype" w:eastAsia="Palatino Linotype" w:hAnsi="Palatino Linotype" w:cs="Palatino Linotype"/>
          <w:b/>
          <w:bCs/>
          <w:color w:val="000000"/>
        </w:rPr>
      </w:pPr>
    </w:p>
    <w:p w14:paraId="6E961E61" w14:textId="77777777" w:rsidR="00144EDA" w:rsidRDefault="00144EDA">
      <w:pPr>
        <w:pBdr>
          <w:top w:val="nil"/>
          <w:left w:val="nil"/>
          <w:bottom w:val="nil"/>
          <w:right w:val="nil"/>
          <w:between w:val="nil"/>
        </w:pBdr>
        <w:spacing w:line="360" w:lineRule="auto"/>
        <w:ind w:left="1068" w:right="49"/>
        <w:jc w:val="both"/>
        <w:rPr>
          <w:rFonts w:ascii="Palatino Linotype" w:eastAsia="Palatino Linotype" w:hAnsi="Palatino Linotype" w:cs="Palatino Linotype"/>
          <w:b/>
          <w:bCs/>
          <w:color w:val="000000"/>
        </w:rPr>
      </w:pPr>
    </w:p>
    <w:p w14:paraId="101868B3"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En respuesta,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contestó mediante los archivos descritos en el Párrafo 2. Inconforme con la respuesta, se interpuso recurso de revisión argumentando de manera general, la entrega de información que no corresponde con la solicitada.</w:t>
      </w:r>
    </w:p>
    <w:p w14:paraId="13755F71" w14:textId="77777777" w:rsidR="00144EDA" w:rsidRDefault="00144EDA">
      <w:pPr>
        <w:spacing w:line="360" w:lineRule="auto"/>
        <w:ind w:right="49"/>
        <w:jc w:val="both"/>
        <w:rPr>
          <w:rFonts w:ascii="Palatino Linotype" w:eastAsia="Palatino Linotype" w:hAnsi="Palatino Linotype" w:cs="Palatino Linotype"/>
          <w:color w:val="000000"/>
        </w:rPr>
      </w:pPr>
    </w:p>
    <w:p w14:paraId="18DB1F4F"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En dichas condiciones, la controversia a resolver en el presente proveído, corresponde a determinar si se actualizan las causales de procedencia previstas en los artículos 179, fracción I</w:t>
      </w:r>
      <w:r>
        <w:rPr>
          <w:rFonts w:ascii="Palatino Linotype" w:eastAsia="Palatino Linotype" w:hAnsi="Palatino Linotype" w:cs="Palatino Linotype"/>
          <w:b/>
          <w:bCs/>
        </w:rPr>
        <w:t xml:space="preserve"> </w:t>
      </w:r>
      <w:r>
        <w:rPr>
          <w:rFonts w:ascii="Palatino Linotype" w:eastAsia="Palatino Linotype" w:hAnsi="Palatino Linotype" w:cs="Palatino Linotype"/>
        </w:rPr>
        <w:t>de la Ley de Transparencia y Acceso a la Información Pública del Estado de</w:t>
      </w:r>
      <w:r>
        <w:rPr>
          <w:rFonts w:ascii="Palatino Linotype" w:eastAsia="Palatino Linotype" w:hAnsi="Palatino Linotype" w:cs="Palatino Linotype"/>
          <w:b/>
          <w:bCs/>
        </w:rPr>
        <w:t xml:space="preserve"> </w:t>
      </w:r>
      <w:r>
        <w:rPr>
          <w:rFonts w:ascii="Palatino Linotype" w:eastAsia="Palatino Linotype" w:hAnsi="Palatino Linotype" w:cs="Palatino Linotype"/>
        </w:rPr>
        <w:t>México</w:t>
      </w:r>
      <w:r>
        <w:rPr>
          <w:rFonts w:ascii="Palatino Linotype" w:eastAsia="Palatino Linotype" w:hAnsi="Palatino Linotype" w:cs="Palatino Linotype"/>
          <w:b/>
          <w:bCs/>
        </w:rPr>
        <w:t xml:space="preserve"> </w:t>
      </w:r>
      <w:r>
        <w:rPr>
          <w:rFonts w:ascii="Palatino Linotype" w:eastAsia="Palatino Linotype" w:hAnsi="Palatino Linotype" w:cs="Palatino Linotype"/>
        </w:rPr>
        <w:t>y</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Municipios; </w:t>
      </w:r>
      <w:r>
        <w:rPr>
          <w:rFonts w:ascii="Palatino Linotype" w:eastAsia="Palatino Linotype" w:hAnsi="Palatino Linotype" w:cs="Palatino Linotype"/>
          <w:color w:val="000000"/>
        </w:rPr>
        <w:t>fracciones que determinan la negativa a la entrega de la información solicitada</w:t>
      </w:r>
      <w:r>
        <w:rPr>
          <w:rFonts w:ascii="Palatino Linotype" w:eastAsia="Palatino Linotype" w:hAnsi="Palatino Linotype" w:cs="Palatino Linotype"/>
        </w:rPr>
        <w:t>.</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Sujeto Obligado con su respuesta ciertamente actualizan las causales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señaladas.</w:t>
      </w:r>
    </w:p>
    <w:p w14:paraId="067E59F3" w14:textId="77777777" w:rsidR="00144EDA" w:rsidRDefault="00C81811">
      <w:pPr>
        <w:pStyle w:val="Ttulo1"/>
        <w:spacing w:before="0" w:line="360" w:lineRule="auto"/>
        <w:ind w:right="49"/>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lastRenderedPageBreak/>
        <w:t>CUARTO. Estudio y resolución</w:t>
      </w:r>
    </w:p>
    <w:p w14:paraId="0D916F4A"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bookmarkStart w:id="7" w:name="_heading=h.3dy6vkm" w:colFirst="0" w:colLast="0"/>
      <w:bookmarkEnd w:id="7"/>
      <w:r>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13846272" w14:textId="77777777" w:rsidR="00292618" w:rsidRDefault="00292618" w:rsidP="00292618">
      <w:pPr>
        <w:spacing w:line="360" w:lineRule="auto"/>
        <w:ind w:right="49"/>
        <w:jc w:val="both"/>
        <w:rPr>
          <w:rFonts w:ascii="Palatino Linotype" w:eastAsia="Palatino Linotype" w:hAnsi="Palatino Linotype" w:cs="Palatino Linotype"/>
        </w:rPr>
      </w:pPr>
    </w:p>
    <w:p w14:paraId="1F6725C1"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5320159C" w14:textId="77777777" w:rsidR="00144EDA" w:rsidRDefault="00144EDA">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p>
    <w:p w14:paraId="10E9D9DE"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w:t>
      </w:r>
      <w:r>
        <w:rPr>
          <w:rFonts w:ascii="Palatino Linotype" w:eastAsia="Palatino Linotype" w:hAnsi="Palatino Linotype" w:cs="Palatino Linotype"/>
        </w:rPr>
        <w:lastRenderedPageBreak/>
        <w:t>cualquier medio de difusión o porque la requieren a través de una solicitud de acceso a la información, siempre y cuando no encuadre en una de las excepciones contempladas por la ley.</w:t>
      </w:r>
    </w:p>
    <w:p w14:paraId="7657C51B" w14:textId="77777777" w:rsidR="00144EDA" w:rsidRDefault="00144EDA">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p>
    <w:p w14:paraId="20318423"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Luego entonces, es dable traer a contexto primeramente el motivo de inconformidad que versó en la no entrega de información, por hacerse alusión a una solicitud diversa sin atender la solicitud de mérito.</w:t>
      </w:r>
    </w:p>
    <w:p w14:paraId="26A6F8C6" w14:textId="77777777" w:rsidR="00144EDA" w:rsidRDefault="00144EDA">
      <w:pPr>
        <w:pBdr>
          <w:top w:val="nil"/>
          <w:left w:val="nil"/>
          <w:bottom w:val="nil"/>
          <w:right w:val="nil"/>
          <w:between w:val="nil"/>
        </w:pBdr>
        <w:ind w:left="720"/>
        <w:rPr>
          <w:rFonts w:ascii="Palatino Linotype" w:eastAsia="Palatino Linotype" w:hAnsi="Palatino Linotype" w:cs="Palatino Linotype"/>
          <w:color w:val="000000"/>
        </w:rPr>
      </w:pPr>
    </w:p>
    <w:p w14:paraId="6EA29766"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Contexto que resulta parcialmente procedente; toda vez que si bien es cierto en el oficio signado por la Titular de la Unidad de Transparencia, se observa la transcripción del contenido de una solicitud de información diversa, también lo es que el oficio si es alusivo a la Solicitud de Información 00134/NICOROM/IP/2025. Por otro lado no pasa desapercibido que dicho oficio no contiene la respuesta emitida por el </w:t>
      </w:r>
      <w:r>
        <w:rPr>
          <w:rFonts w:ascii="Palatino Linotype" w:eastAsia="Palatino Linotype" w:hAnsi="Palatino Linotype" w:cs="Palatino Linotype"/>
          <w:b/>
          <w:bCs/>
        </w:rPr>
        <w:t>SUJETO OBLIGADO</w:t>
      </w:r>
      <w:r>
        <w:rPr>
          <w:rFonts w:ascii="Palatino Linotype" w:eastAsia="Palatino Linotype" w:hAnsi="Palatino Linotype" w:cs="Palatino Linotype"/>
        </w:rPr>
        <w:t>, sino que corresponde al documento que se generó a efecto de que la Unidad de Transparencia le comunicara al solicitante las respuestas emitidas por los servidores públicos habilitados competentes.</w:t>
      </w:r>
    </w:p>
    <w:p w14:paraId="6E970B3A" w14:textId="77777777" w:rsidR="00144EDA" w:rsidRDefault="00144EDA">
      <w:pPr>
        <w:pBdr>
          <w:top w:val="nil"/>
          <w:left w:val="nil"/>
          <w:bottom w:val="nil"/>
          <w:right w:val="nil"/>
          <w:between w:val="nil"/>
        </w:pBdr>
        <w:ind w:left="720"/>
        <w:rPr>
          <w:rFonts w:ascii="Palatino Linotype" w:eastAsia="Palatino Linotype" w:hAnsi="Palatino Linotype" w:cs="Palatino Linotype"/>
          <w:color w:val="000000"/>
        </w:rPr>
      </w:pPr>
    </w:p>
    <w:p w14:paraId="3396B4EB"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Al respecto es de recordar que los titulares de las unidades de transparencia fungen como enlaces entre los sujetos obligados y la ciudadanía, siendo estos quienes ponen a disposición de los solicitantes las respuestas que emitan los servidores públicos habilitados competentes a las solicitudes de información, por tanto el hecho que exista una equivocación en dicho documento no impacta el fondo de la respuesta.</w:t>
      </w:r>
    </w:p>
    <w:p w14:paraId="37A77729" w14:textId="77777777" w:rsidR="00144EDA" w:rsidRDefault="00144EDA">
      <w:pPr>
        <w:pBdr>
          <w:top w:val="nil"/>
          <w:left w:val="nil"/>
          <w:bottom w:val="nil"/>
          <w:right w:val="nil"/>
          <w:between w:val="nil"/>
        </w:pBdr>
        <w:ind w:left="720"/>
        <w:rPr>
          <w:rFonts w:ascii="Palatino Linotype" w:eastAsia="Palatino Linotype" w:hAnsi="Palatino Linotype" w:cs="Palatino Linotype"/>
          <w:color w:val="000000"/>
        </w:rPr>
      </w:pPr>
    </w:p>
    <w:p w14:paraId="2E9326EE"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esa tesitura es dable traer a contexto el resto de documentos adjuntos; toda vez que contrario a lo que aduce el ahora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si se emitió una respuesta en atención </w:t>
      </w:r>
      <w:r>
        <w:rPr>
          <w:rFonts w:ascii="Palatino Linotype" w:eastAsia="Palatino Linotype" w:hAnsi="Palatino Linotype" w:cs="Palatino Linotype"/>
        </w:rPr>
        <w:lastRenderedPageBreak/>
        <w:t>a la solicitud de información interpuesta. Contexto que se colige eventualmente pudiera deberse a que por error involuntario no visualizó el resto de documentos adjuntos; sin embargo estos obran en la respuesta.</w:t>
      </w:r>
    </w:p>
    <w:p w14:paraId="5E49336E" w14:textId="77777777" w:rsidR="00144EDA" w:rsidRDefault="00144EDA">
      <w:pPr>
        <w:spacing w:line="360" w:lineRule="auto"/>
        <w:ind w:right="49"/>
        <w:jc w:val="both"/>
        <w:rPr>
          <w:rFonts w:ascii="Palatino Linotype" w:eastAsia="Palatino Linotype" w:hAnsi="Palatino Linotype" w:cs="Palatino Linotype"/>
        </w:rPr>
      </w:pPr>
    </w:p>
    <w:p w14:paraId="3946DAED"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Del análisis a la respuesta se desprende que se pronunciaron tres servidores públicos habilitados, siendo los servidores públicos </w:t>
      </w:r>
      <w:r>
        <w:rPr>
          <w:rFonts w:ascii="Palatino Linotype" w:eastAsia="Palatino Linotype" w:hAnsi="Palatino Linotype" w:cs="Palatino Linotype"/>
          <w:color w:val="000000"/>
        </w:rPr>
        <w:t>habilitados: Consejero Jurídico y Consultivo, Secretario del Ayuntamiento y Director de Desarrollo Urbano, ello derivado de sus facultades y competencias al caso concreto, cuya respuesta verso en la no localización de soporte documental al respecto luego de haber realizado una búsqueda exhaustiva y razonable.</w:t>
      </w:r>
    </w:p>
    <w:p w14:paraId="6E499960" w14:textId="77777777" w:rsidR="00144EDA" w:rsidRDefault="00144EDA">
      <w:pPr>
        <w:spacing w:line="360" w:lineRule="auto"/>
        <w:ind w:right="49"/>
        <w:jc w:val="both"/>
        <w:rPr>
          <w:rFonts w:ascii="Palatino Linotype" w:eastAsia="Palatino Linotype" w:hAnsi="Palatino Linotype" w:cs="Palatino Linotype"/>
        </w:rPr>
      </w:pPr>
    </w:p>
    <w:p w14:paraId="188DEB91"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Si </w:t>
      </w:r>
      <w:r>
        <w:rPr>
          <w:rFonts w:ascii="Palatino Linotype" w:eastAsia="Palatino Linotype" w:hAnsi="Palatino Linotype" w:cs="Palatino Linotype"/>
          <w:color w:val="000000"/>
        </w:rPr>
        <w:t>bien</w:t>
      </w:r>
      <w:r>
        <w:rPr>
          <w:rFonts w:ascii="Palatino Linotype" w:eastAsia="Palatino Linotype" w:hAnsi="Palatino Linotype" w:cs="Palatino Linotype"/>
        </w:rPr>
        <w:t xml:space="preserve"> dicha aseveración resulta contraria a lo aducido por la parte solicitante en su solicitud de información al manifestar “…</w:t>
      </w:r>
      <w:r>
        <w:rPr>
          <w:rFonts w:ascii="Palatino Linotype" w:eastAsia="Palatino Linotype" w:hAnsi="Palatino Linotype" w:cs="Palatino Linotype"/>
          <w:i/>
          <w:iCs/>
        </w:rPr>
        <w:t>TODA ESTA INFORMACIÒN EXISTE</w:t>
      </w:r>
      <w:r>
        <w:rPr>
          <w:rFonts w:ascii="Palatino Linotype" w:eastAsia="Palatino Linotype" w:hAnsi="Palatino Linotype" w:cs="Palatino Linotype"/>
        </w:rPr>
        <w:t>…”, también lo es que corresponde a una manifestación de la cual no se aportaron elementos de convicción al escrito de solicitud o de manera posterior en la etapa de manifestaciones.</w:t>
      </w:r>
    </w:p>
    <w:p w14:paraId="1792DE8A" w14:textId="77777777" w:rsidR="00144EDA" w:rsidRDefault="00144EDA">
      <w:pPr>
        <w:pBdr>
          <w:top w:val="nil"/>
          <w:left w:val="nil"/>
          <w:bottom w:val="nil"/>
          <w:right w:val="nil"/>
          <w:between w:val="nil"/>
        </w:pBdr>
        <w:ind w:left="720"/>
        <w:rPr>
          <w:rFonts w:ascii="Palatino Linotype" w:eastAsia="Palatino Linotype" w:hAnsi="Palatino Linotype" w:cs="Palatino Linotype"/>
          <w:color w:val="000000"/>
        </w:rPr>
      </w:pPr>
    </w:p>
    <w:p w14:paraId="787004D5"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Por otro lado, en relación al pronunciamiento de los tres servidores públicos habilitados, es dable establecer que si bien este Instituto  no se encuentra facultado para dudar de su veracidad de la </w:t>
      </w:r>
      <w:r>
        <w:rPr>
          <w:rFonts w:ascii="Palatino Linotype" w:eastAsia="Palatino Linotype" w:hAnsi="Palatino Linotype" w:cs="Palatino Linotype"/>
        </w:rPr>
        <w:t>información</w:t>
      </w:r>
      <w:r>
        <w:rPr>
          <w:rFonts w:ascii="Palatino Linotype" w:eastAsia="Palatino Linotype" w:hAnsi="Palatino Linotype" w:cs="Palatino Linotype"/>
          <w:color w:val="000000"/>
        </w:rPr>
        <w:t xml:space="preserve"> que le fue entregada al hoy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en el presente asunto, ni de las respuestas, ni de las documentales que ponen a disposición de los solicitantes los sujetos obligados, </w:t>
      </w:r>
      <w:r>
        <w:rPr>
          <w:rFonts w:ascii="Palatino Linotype" w:eastAsia="Palatino Linotype" w:hAnsi="Palatino Linotype" w:cs="Palatino Linotype"/>
        </w:rPr>
        <w:t xml:space="preserve">situación que se aleja de las atribuciones de este Instituto </w:t>
      </w:r>
      <w:r>
        <w:rPr>
          <w:rFonts w:ascii="Palatino Linotype" w:eastAsia="Palatino Linotype" w:hAnsi="Palatino Linotype" w:cs="Palatino Linotype"/>
          <w:i/>
          <w:iCs/>
          <w:color w:val="000000"/>
        </w:rPr>
        <w:t>máxime</w:t>
      </w:r>
      <w:r>
        <w:rPr>
          <w:rFonts w:ascii="Palatino Linotype" w:eastAsia="Palatino Linotype" w:hAnsi="Palatino Linotype" w:cs="Palatino Linotype"/>
          <w:color w:val="000000"/>
        </w:rPr>
        <w:t xml:space="preserve"> que al momento que ponen a disposición ésta, la misma tiene el carácter oficial y se presume veraz, tan es así que la misma queda registrada en el Sistema de Acceso a la Información Mexiquense (SAIMEX).</w:t>
      </w:r>
    </w:p>
    <w:p w14:paraId="649F647A"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Sirviendo de apoyo a lo anterior por analogía, el criterio 31-10 emitido por el ahora </w:t>
      </w:r>
      <w:r>
        <w:rPr>
          <w:rFonts w:ascii="Palatino Linotype" w:eastAsia="Palatino Linotype" w:hAnsi="Palatino Linotype" w:cs="Palatino Linotype"/>
          <w:color w:val="000000"/>
        </w:rPr>
        <w:t>Instituto</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Nacional</w:t>
      </w:r>
      <w:r>
        <w:rPr>
          <w:rFonts w:ascii="Palatino Linotype" w:eastAsia="Palatino Linotype" w:hAnsi="Palatino Linotype" w:cs="Palatino Linotype"/>
        </w:rPr>
        <w:t xml:space="preserve"> de Transparencia, Acceso a la Información y Protección de Datos Personales, que a la letra dice:</w:t>
      </w:r>
    </w:p>
    <w:p w14:paraId="6164722A" w14:textId="77777777" w:rsidR="00144EDA" w:rsidRDefault="00C81811">
      <w:pPr>
        <w:pBdr>
          <w:top w:val="nil"/>
          <w:left w:val="nil"/>
          <w:bottom w:val="nil"/>
          <w:right w:val="nil"/>
          <w:between w:val="nil"/>
        </w:pBdr>
        <w:spacing w:line="360" w:lineRule="auto"/>
        <w:ind w:left="567" w:right="6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Instituto Federal de Acceso a la Información y Protección de Datos </w:t>
      </w:r>
      <w:r>
        <w:rPr>
          <w:rFonts w:ascii="Palatino Linotype" w:eastAsia="Palatino Linotype" w:hAnsi="Palatino Linotype" w:cs="Palatino Linotype"/>
          <w:b/>
          <w:bCs/>
          <w:i/>
          <w:iCs/>
          <w:color w:val="000000"/>
        </w:rPr>
        <w:t>no cuenta con facultades para pronunciarse respecto de la veracidad de los documentos proporcionados por los sujetos obligados.</w:t>
      </w:r>
      <w:r>
        <w:rPr>
          <w:rFonts w:ascii="Palatino Linotype" w:eastAsia="Palatino Linotype" w:hAnsi="Palatino Linotype" w:cs="Palatino Linotype"/>
          <w:i/>
          <w:iCs/>
          <w:color w:val="000000"/>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14:paraId="657C9EFB" w14:textId="77777777" w:rsidR="00144EDA" w:rsidRDefault="00144EDA">
      <w:pPr>
        <w:pBdr>
          <w:top w:val="nil"/>
          <w:left w:val="nil"/>
          <w:bottom w:val="nil"/>
          <w:right w:val="nil"/>
          <w:between w:val="nil"/>
        </w:pBdr>
        <w:spacing w:line="360" w:lineRule="auto"/>
        <w:ind w:left="851" w:right="850"/>
        <w:jc w:val="both"/>
        <w:rPr>
          <w:rFonts w:ascii="Palatino Linotype" w:eastAsia="Palatino Linotype" w:hAnsi="Palatino Linotype" w:cs="Palatino Linotype"/>
          <w:i/>
          <w:iCs/>
          <w:color w:val="000000"/>
        </w:rPr>
      </w:pPr>
    </w:p>
    <w:p w14:paraId="78EBE855"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i/>
          <w:iCs/>
        </w:rPr>
      </w:pPr>
      <w:r>
        <w:rPr>
          <w:rFonts w:ascii="Palatino Linotype" w:eastAsia="Palatino Linotype" w:hAnsi="Palatino Linotype" w:cs="Palatino Linotype"/>
        </w:rPr>
        <w:t xml:space="preserve">Así como lo dispuesto por la </w:t>
      </w:r>
      <w:r>
        <w:rPr>
          <w:rFonts w:ascii="Palatino Linotype" w:eastAsia="Palatino Linotype" w:hAnsi="Palatino Linotype" w:cs="Palatino Linotype"/>
          <w:b/>
          <w:bCs/>
        </w:rPr>
        <w:t xml:space="preserve">Ley de Transparencia y Acceso a la Información Pública del </w:t>
      </w:r>
      <w:r>
        <w:rPr>
          <w:rFonts w:ascii="Palatino Linotype" w:eastAsia="Palatino Linotype" w:hAnsi="Palatino Linotype" w:cs="Palatino Linotype"/>
          <w:color w:val="000000"/>
        </w:rPr>
        <w:t>Estado</w:t>
      </w:r>
      <w:r>
        <w:rPr>
          <w:rFonts w:ascii="Palatino Linotype" w:eastAsia="Palatino Linotype" w:hAnsi="Palatino Linotype" w:cs="Palatino Linotype"/>
          <w:b/>
          <w:bCs/>
        </w:rPr>
        <w:t xml:space="preserve"> de México y Municipios</w:t>
      </w:r>
      <w:r>
        <w:rPr>
          <w:rFonts w:ascii="Palatino Linotype" w:eastAsia="Palatino Linotype" w:hAnsi="Palatino Linotype" w:cs="Palatino Linotype"/>
        </w:rPr>
        <w:t xml:space="preserve"> en su artículo 3, el cual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14:paraId="0D3D0D54" w14:textId="77777777" w:rsidR="00144EDA" w:rsidRDefault="00C81811">
      <w:pPr>
        <w:pBdr>
          <w:top w:val="nil"/>
          <w:left w:val="nil"/>
          <w:bottom w:val="nil"/>
          <w:right w:val="nil"/>
          <w:between w:val="nil"/>
        </w:pBdr>
        <w:spacing w:line="360" w:lineRule="auto"/>
        <w:ind w:left="567" w:right="68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lastRenderedPageBreak/>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14:paraId="7A34FA26" w14:textId="77777777" w:rsidR="00144EDA" w:rsidRDefault="00144EDA">
      <w:pPr>
        <w:pBdr>
          <w:top w:val="nil"/>
          <w:left w:val="nil"/>
          <w:bottom w:val="nil"/>
          <w:right w:val="nil"/>
          <w:between w:val="nil"/>
        </w:pBdr>
        <w:spacing w:line="360" w:lineRule="auto"/>
        <w:ind w:left="567" w:right="680"/>
        <w:jc w:val="both"/>
        <w:rPr>
          <w:rFonts w:ascii="Palatino Linotype" w:eastAsia="Palatino Linotype" w:hAnsi="Palatino Linotype" w:cs="Palatino Linotype"/>
          <w:b/>
          <w:bCs/>
          <w:i/>
          <w:iCs/>
          <w:color w:val="000000"/>
        </w:rPr>
      </w:pPr>
    </w:p>
    <w:p w14:paraId="5D6D6B34"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Numerales que compelen al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apegarse en todo momento a los criterios ya expuestos, impidiendo a este Órgano Colegiado cuestionar la veracidad de la información; empero, también lo es que de la obra de referencia se localizaron diversos indicios, como lo son notas periodísticas y publicaciones del propio Ayuntamiento de Nicolás Romero, a saber:</w:t>
      </w:r>
    </w:p>
    <w:p w14:paraId="49B69D34" w14:textId="77777777" w:rsidR="00144EDA" w:rsidRDefault="00144EDA">
      <w:pPr>
        <w:spacing w:line="360" w:lineRule="auto"/>
        <w:ind w:right="49"/>
        <w:jc w:val="both"/>
        <w:rPr>
          <w:rFonts w:ascii="Palatino Linotype" w:eastAsia="Palatino Linotype" w:hAnsi="Palatino Linotype" w:cs="Palatino Linotype"/>
          <w:color w:val="000000"/>
        </w:rPr>
      </w:pPr>
    </w:p>
    <w:p w14:paraId="7DB9C2A2" w14:textId="77777777" w:rsidR="00144EDA" w:rsidRDefault="00C81811" w:rsidP="00292618">
      <w:pPr>
        <w:spacing w:line="360" w:lineRule="auto"/>
        <w:ind w:right="49"/>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drawing>
          <wp:inline distT="0" distB="0" distL="0" distR="0" wp14:anchorId="07FFE963" wp14:editId="7FA9260C">
            <wp:extent cx="5612130" cy="1856105"/>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612130" cy="1856105"/>
                    </a:xfrm>
                    <a:prstGeom prst="rect">
                      <a:avLst/>
                    </a:prstGeom>
                    <a:ln/>
                  </pic:spPr>
                </pic:pic>
              </a:graphicData>
            </a:graphic>
          </wp:inline>
        </w:drawing>
      </w:r>
    </w:p>
    <w:p w14:paraId="5A6CAC86" w14:textId="77777777" w:rsidR="00144EDA" w:rsidRDefault="00C81811" w:rsidP="00292618">
      <w:pPr>
        <w:spacing w:line="360" w:lineRule="auto"/>
        <w:ind w:right="49"/>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lastRenderedPageBreak/>
        <w:drawing>
          <wp:inline distT="0" distB="0" distL="0" distR="0" wp14:anchorId="17258536" wp14:editId="15741CFF">
            <wp:extent cx="5612130" cy="5959475"/>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612130" cy="5959475"/>
                    </a:xfrm>
                    <a:prstGeom prst="rect">
                      <a:avLst/>
                    </a:prstGeom>
                    <a:ln/>
                  </pic:spPr>
                </pic:pic>
              </a:graphicData>
            </a:graphic>
          </wp:inline>
        </w:drawing>
      </w:r>
    </w:p>
    <w:p w14:paraId="16236B45" w14:textId="77777777" w:rsidR="00144EDA" w:rsidRDefault="00C81811" w:rsidP="00292618">
      <w:pPr>
        <w:spacing w:line="360" w:lineRule="auto"/>
        <w:ind w:right="49"/>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lastRenderedPageBreak/>
        <w:drawing>
          <wp:inline distT="0" distB="0" distL="0" distR="0" wp14:anchorId="228914D7" wp14:editId="7FF14A67">
            <wp:extent cx="5612130" cy="229362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612130" cy="2293620"/>
                    </a:xfrm>
                    <a:prstGeom prst="rect">
                      <a:avLst/>
                    </a:prstGeom>
                    <a:ln/>
                  </pic:spPr>
                </pic:pic>
              </a:graphicData>
            </a:graphic>
          </wp:inline>
        </w:drawing>
      </w:r>
    </w:p>
    <w:p w14:paraId="67D700B1" w14:textId="77777777" w:rsidR="00144EDA" w:rsidRDefault="00144EDA">
      <w:pPr>
        <w:spacing w:line="360" w:lineRule="auto"/>
        <w:ind w:right="49"/>
        <w:jc w:val="both"/>
        <w:rPr>
          <w:rFonts w:ascii="Palatino Linotype" w:eastAsia="Palatino Linotype" w:hAnsi="Palatino Linotype" w:cs="Palatino Linotype"/>
          <w:color w:val="000000"/>
        </w:rPr>
      </w:pPr>
    </w:p>
    <w:p w14:paraId="3E428335"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Luego entonces, si bien este Órgano Garante no se encuentra facultado para dudar de la veracidad de la respuesta también lo es que existen indicios de que la obra ciertamente existe y que además debe contar con los permisos correspondientes toda vez que se trata de un proyecto del conocimiento municipal que corresponde a un desarrollo industrial y de desarrollo económico, del cual se pretende además generar empleos.</w:t>
      </w:r>
    </w:p>
    <w:p w14:paraId="18B05A3A" w14:textId="77777777" w:rsidR="00144EDA" w:rsidRDefault="00144EDA">
      <w:pPr>
        <w:spacing w:line="360" w:lineRule="auto"/>
        <w:ind w:right="49"/>
        <w:jc w:val="both"/>
        <w:rPr>
          <w:rFonts w:ascii="Palatino Linotype" w:eastAsia="Palatino Linotype" w:hAnsi="Palatino Linotype" w:cs="Palatino Linotype"/>
          <w:color w:val="000000"/>
        </w:rPr>
      </w:pPr>
    </w:p>
    <w:p w14:paraId="408231F8"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tanto, se concluye que existen hechos notorios que permiten presumir que lo solicitado se generó, posee y administra. Sirven de </w:t>
      </w:r>
      <w:r>
        <w:rPr>
          <w:rFonts w:ascii="Palatino Linotype" w:eastAsia="Palatino Linotype" w:hAnsi="Palatino Linotype" w:cs="Palatino Linotype"/>
          <w:color w:val="000000"/>
        </w:rPr>
        <w:t>criterios</w:t>
      </w:r>
      <w:r>
        <w:rPr>
          <w:rFonts w:ascii="Palatino Linotype" w:eastAsia="Palatino Linotype" w:hAnsi="Palatino Linotype" w:cs="Palatino Linotype"/>
        </w:rPr>
        <w:t xml:space="preserve"> orientadores las Tesis P./J. 74/2006 y I.3o.C.102 K, emitidas por el más alto tribunal de este país, y que son del tenor literal siguiente:</w:t>
      </w:r>
    </w:p>
    <w:p w14:paraId="3DBD00C7" w14:textId="77777777" w:rsidR="00144EDA" w:rsidRDefault="00C81811">
      <w:pPr>
        <w:spacing w:line="360" w:lineRule="auto"/>
        <w:ind w:left="426" w:right="47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HECHOS NOTORIOS. CONCEPTOS GENERAL Y JURÍDICO.</w:t>
      </w:r>
    </w:p>
    <w:p w14:paraId="16D3B68D" w14:textId="77777777" w:rsidR="00144EDA" w:rsidRDefault="00C81811">
      <w:pPr>
        <w:spacing w:line="360" w:lineRule="auto"/>
        <w:ind w:left="426" w:right="47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Conforme al artículo </w:t>
      </w:r>
      <w:r>
        <w:rPr>
          <w:rFonts w:ascii="Palatino Linotype" w:eastAsia="Palatino Linotype" w:hAnsi="Palatino Linotype" w:cs="Palatino Linotype"/>
          <w:i/>
          <w:iCs/>
          <w:color w:val="000000"/>
          <w:u w:val="single"/>
        </w:rPr>
        <w:t>88 del Código Federal de Procedimientos Civiles</w:t>
      </w:r>
      <w:r>
        <w:rPr>
          <w:rFonts w:ascii="Palatino Linotype" w:eastAsia="Palatino Linotype" w:hAnsi="Palatino Linotype" w:cs="Palatino Linotype"/>
          <w:i/>
          <w:iCs/>
          <w:color w:val="000000"/>
        </w:rPr>
        <w:t xml:space="preserve"> los tribunales pueden invocar hechos notorios aunque no hayan sido alegados ni probados por las partes. Por hechos notorios deben entenderse, en general, aquellos que por el conocimiento humano se consideran ciertos e indiscutibles, ya sea que pertenezcan a la historia, a la ciencia, a la </w:t>
      </w:r>
      <w:r>
        <w:rPr>
          <w:rFonts w:ascii="Palatino Linotype" w:eastAsia="Palatino Linotype" w:hAnsi="Palatino Linotype" w:cs="Palatino Linotype"/>
          <w:i/>
          <w:iCs/>
          <w:color w:val="000000"/>
        </w:rPr>
        <w:lastRenderedPageBreak/>
        <w:t>naturaleza, a las vicisitudes de la vida pública actual o a circunstancias comúnmente conocidas en un determinado lugar, de modo que toda persona de ese medio esté en condiciones de saberlo; y 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14:paraId="530EF40C" w14:textId="77777777" w:rsidR="00144EDA" w:rsidRDefault="00144EDA">
      <w:pPr>
        <w:spacing w:line="360" w:lineRule="auto"/>
        <w:ind w:left="426" w:right="474"/>
        <w:jc w:val="both"/>
        <w:rPr>
          <w:rFonts w:ascii="Palatino Linotype" w:eastAsia="Palatino Linotype" w:hAnsi="Palatino Linotype" w:cs="Palatino Linotype"/>
          <w:i/>
          <w:iCs/>
          <w:color w:val="000000"/>
        </w:rPr>
      </w:pPr>
    </w:p>
    <w:p w14:paraId="7FB54C5E" w14:textId="77777777" w:rsidR="00144EDA" w:rsidRDefault="00C81811">
      <w:pPr>
        <w:spacing w:line="360" w:lineRule="auto"/>
        <w:ind w:left="426" w:right="47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HECHO NOTORIO. SU INVOCACIÓN NO ES UN DERECHO DE LAS PARTES EN EL PROCEDIMIENTO DEL JUICIO DE AMPARO SINO UNA FACULTAD JURISDICCIONAL CONFERIDA AL JUEZ DE DISTRITO QUE NO DEBE APLICAR FRENTE A LA CARGA PROBATORIA QUE DERIVA DEL ARTÍCULO 78 DE LA LEY DE AMPARO.</w:t>
      </w:r>
    </w:p>
    <w:p w14:paraId="693FB472" w14:textId="77777777" w:rsidR="00144EDA" w:rsidRDefault="00C81811">
      <w:pPr>
        <w:spacing w:line="360" w:lineRule="auto"/>
        <w:ind w:left="426" w:right="33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Conforme a lo establecido por la Suprema Corte de Justicia de la Nación, en relación a lo dispuesto en el artículo </w:t>
      </w:r>
      <w:hyperlink r:id="rId11">
        <w:r>
          <w:rPr>
            <w:rFonts w:ascii="Palatino Linotype" w:eastAsia="Palatino Linotype" w:hAnsi="Palatino Linotype" w:cs="Palatino Linotype"/>
            <w:i/>
            <w:iCs/>
            <w:color w:val="000000"/>
          </w:rPr>
          <w:t>88 del Código Federal de Procedimientos Civiles</w:t>
        </w:r>
      </w:hyperlink>
      <w:r>
        <w:rPr>
          <w:rFonts w:ascii="Palatino Linotype" w:eastAsia="Palatino Linotype" w:hAnsi="Palatino Linotype" w:cs="Palatino Linotype"/>
          <w:i/>
          <w:iCs/>
          <w:color w:val="000000"/>
        </w:rPr>
        <w:t xml:space="preserve">, de aplicación supletoria a la Ley de Amparo, los tribunales pueden invocar hechos notorios aunque no hayan sido alegados o probados por las partes. Tal es el caso de las sentencias que emite la autoridad judicial federal en los juicios de amparo que se tramitan ante ella, de las que tiene conocimiento por razón de su actividad y, por ello, al ser notorio, la ley exime de su prueba; sin embargo, su invocación no constituye un derecho de las partes, sino una facultad del órgano jurisdiccional federal que no debe aplicar cuando se actualiza la obligación establecida en el artículo 78 de la Ley de Amparo, que consiste en analizar el acto reclamado tal como aparezca probado ante la autoridad responsable, cuando la quejosa intervino como parte y estuvo en aptitud legal de ofrecer todos aquellos medios de prueba que a su interés conviniera </w:t>
      </w:r>
      <w:r>
        <w:rPr>
          <w:rFonts w:ascii="Palatino Linotype" w:eastAsia="Palatino Linotype" w:hAnsi="Palatino Linotype" w:cs="Palatino Linotype"/>
          <w:i/>
          <w:iCs/>
          <w:color w:val="000000"/>
        </w:rPr>
        <w:lastRenderedPageBreak/>
        <w:t>en el juicio de origen y el hecho notorio respecto del cual se alegue, ya sea en el juicio de amparo biinstancial o en la revisión de la sentencia ahí dictada que en su caso se recurra, que debió ser invocado por el Juez de Distrito, tiene por objeto probar la legalidad de la referida sentencia o aspectos que debieron formar parte de la litis del juicio natural y probarse en esa oportunidad con las actuaciones y sentencias que se hayan dictado en los diversos juicios de amparo relacionados con el juicio principal en el que se emitió la resolución reclamada. La controversia de origen quedaría alterada si bajo el supuesto del hecho notorio, el Juez de amparo tuviera que analizar la legalidad del acto con el contenido de diversas ejecutorias dictadas en los juicios de garantías que se afirma, se tramitaron ante el mismo juzgador. Además, no debe pasar por alto que el hecho notorio del que dicha autoridad tiene conocimiento por razón de su actividad jurisdiccional, no constituye un derecho de las partes dentro del procedimiento del juicio de amparo, porque es claro lo que señala el citado numeral 78 de la ley de la materia, concerniente a que el acto reclamado debe apreciarse tal como fue probado ante la autoridad responsable y, por ende, no pueden admitirse ni tomarse en consideración en el juicio de garantías o en la revisión pruebas que no se hubieren rendido ante dicha autoridad para comprobar los hechos que motivaron o fueron objeto de la resolución reclamada, ni aquellas que no sean de las consideradas necesarias para la resolución del juicio de amparo, menos aún cuando las pruebas de que se trate el recurrente las exhiba hasta la revisión sin haberlas ofrecido en la audiencia constitucional.</w:t>
      </w:r>
    </w:p>
    <w:p w14:paraId="4BFA74D2" w14:textId="77777777" w:rsidR="00144EDA" w:rsidRDefault="00144EDA">
      <w:pPr>
        <w:spacing w:line="360" w:lineRule="auto"/>
        <w:ind w:left="426" w:right="333"/>
        <w:jc w:val="both"/>
        <w:rPr>
          <w:rFonts w:ascii="Palatino Linotype" w:eastAsia="Palatino Linotype" w:hAnsi="Palatino Linotype" w:cs="Palatino Linotype"/>
          <w:color w:val="000000"/>
        </w:rPr>
      </w:pPr>
    </w:p>
    <w:p w14:paraId="62607C58"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Asimismo, cabe traer a colación por analogía la tesis aislada número I.4o.T.4 K, emitida por el Cuatro Tribunal Colegiado en Materia de Trabajo del Primer Circuito, publicada en el Semanario Judicial de la Federación y su Gaceta, en el Tomo II, página 541, en Diciembre de mil novecientos noventa y cinco, de la Novena Época, titulada </w:t>
      </w:r>
      <w:r>
        <w:rPr>
          <w:rFonts w:ascii="Palatino Linotype" w:eastAsia="Palatino Linotype" w:hAnsi="Palatino Linotype" w:cs="Palatino Linotype"/>
          <w:b/>
          <w:bCs/>
          <w:i/>
          <w:iCs/>
        </w:rPr>
        <w:t xml:space="preserve">“NOTAS </w:t>
      </w:r>
      <w:r>
        <w:rPr>
          <w:rFonts w:ascii="Palatino Linotype" w:eastAsia="Palatino Linotype" w:hAnsi="Palatino Linotype" w:cs="Palatino Linotype"/>
          <w:b/>
          <w:bCs/>
          <w:i/>
          <w:iCs/>
        </w:rPr>
        <w:lastRenderedPageBreak/>
        <w:t>PERIODISTICAS, EL CONOCIMIENTO QUE DE ELLAS SE OBTIENE NO CONSTITUYE ‘UN HECHO PUBLICO Y NOTORIO’”</w:t>
      </w:r>
      <w:r>
        <w:rPr>
          <w:rFonts w:ascii="Palatino Linotype" w:eastAsia="Palatino Linotype" w:hAnsi="Palatino Linotype" w:cs="Palatino Linotype"/>
        </w:rPr>
        <w:t xml:space="preserve"> en la que se señala que el hecho de que el público lector adquiera conocimiento de algún hecho consignado en periódicos o revistas, no implica por esa sola circunstancia que la noticia se convierta en un hecho “público y notorio”, toda vez que se entiende por “notorio” lo que es público y sabido de todos, o un hecho cuyo conocimiento forma parte de la cultura propia de un círculo social determinado, en el tiempo de su realización.</w:t>
      </w:r>
    </w:p>
    <w:p w14:paraId="2A8F36ED" w14:textId="77777777" w:rsidR="00144EDA" w:rsidRDefault="00144EDA">
      <w:pPr>
        <w:pBdr>
          <w:top w:val="nil"/>
          <w:left w:val="nil"/>
          <w:bottom w:val="nil"/>
          <w:right w:val="nil"/>
          <w:between w:val="nil"/>
        </w:pBdr>
        <w:ind w:left="720"/>
        <w:rPr>
          <w:rFonts w:ascii="Palatino Linotype" w:eastAsia="Palatino Linotype" w:hAnsi="Palatino Linotype" w:cs="Palatino Linotype"/>
          <w:color w:val="000000"/>
        </w:rPr>
      </w:pPr>
    </w:p>
    <w:p w14:paraId="533AFEB5"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no pasa desapercibido que un eventual motivo del por qué no se localizó soporte documental, pudiera obedecer a que el particular refirió </w:t>
      </w:r>
      <w:r>
        <w:rPr>
          <w:rFonts w:ascii="Palatino Linotype" w:eastAsia="Palatino Linotype" w:hAnsi="Palatino Linotype" w:cs="Palatino Linotype"/>
          <w:i/>
          <w:iCs/>
        </w:rPr>
        <w:t>modificaciones</w:t>
      </w:r>
      <w:r>
        <w:rPr>
          <w:rFonts w:ascii="Palatino Linotype" w:eastAsia="Palatino Linotype" w:hAnsi="Palatino Linotype" w:cs="Palatino Linotype"/>
        </w:rPr>
        <w:t>; sin embargo lo que pretende corresponde a la obra que sustituirá al inmueble anterior es decir a la fábrica de papel. Al respecto recordar que los solicitantes pueden o no ser expertos en las materias relacionadas de lo que solicitan, al no ser una obligación para el ejercicio del derecho de acceso a la información pública.</w:t>
      </w:r>
    </w:p>
    <w:p w14:paraId="194A5314" w14:textId="77777777" w:rsidR="00144EDA" w:rsidRDefault="00144EDA">
      <w:pPr>
        <w:pBdr>
          <w:top w:val="nil"/>
          <w:left w:val="nil"/>
          <w:bottom w:val="nil"/>
          <w:right w:val="nil"/>
          <w:between w:val="nil"/>
        </w:pBdr>
        <w:ind w:left="720"/>
        <w:rPr>
          <w:rFonts w:ascii="Palatino Linotype" w:eastAsia="Palatino Linotype" w:hAnsi="Palatino Linotype" w:cs="Palatino Linotype"/>
          <w:color w:val="000000"/>
        </w:rPr>
      </w:pPr>
    </w:p>
    <w:p w14:paraId="5361DA44"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Al respecto es de recordar que los solicitantes no están obligados a ser expertos en materia de acceso a la información pública; tampoco a conocer con exactitud el nombre legal, técnico o administrativo del soporte documental al que desean acceder y, tampoco a conocer con escrupulosidad el nombre de los proyectos u obras públicas. Bastando en todo caso con otorgar una expresión documental. </w:t>
      </w:r>
      <w:r>
        <w:rPr>
          <w:rFonts w:ascii="Palatino Linotype" w:eastAsia="Palatino Linotype" w:hAnsi="Palatino Linotype" w:cs="Palatino Linotype"/>
          <w:color w:val="000000"/>
        </w:rPr>
        <w:t xml:space="preserve">En repetidas ocasiones este Órgano Garante ha dejado en claro que cuando en una solicitud de información no se identifique un </w:t>
      </w:r>
      <w:r>
        <w:rPr>
          <w:rFonts w:ascii="Palatino Linotype" w:eastAsia="Palatino Linotype" w:hAnsi="Palatino Linotype" w:cs="Palatino Linotype"/>
        </w:rPr>
        <w:t>documento</w:t>
      </w:r>
      <w:r>
        <w:rPr>
          <w:rFonts w:ascii="Palatino Linotype" w:eastAsia="Palatino Linotype" w:hAnsi="Palatino Linotype" w:cs="Palatino Linotype"/>
          <w:color w:val="000000"/>
        </w:rPr>
        <w:t xml:space="preserve"> en específico o como resulta del caso concreto el nombre del área con puntualidad, si ésta tiene una expresión documental, los sujetos obligados deberán entregar a los solicitantes el o los documentos mediante el cual se pueda colmar sus requerimientos. </w:t>
      </w:r>
    </w:p>
    <w:p w14:paraId="3A18AE4A"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En ese sentido el Criterio 028-10 emitido por el Pleno del entonces llamado Instituto Federal de Acceso a la Información y Protección de Datos, ahora Instituto Nacional de Transparencia, Acceso a la Información y Protección de Datos Personales: establece que se deberá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aunque el particular lleve a cabo una solicitud de información sin identificar de forma precisa la documentación, el sujeto obligado deberá entregar del mismo al solicitante mismo que a continuación se cita:</w:t>
      </w:r>
    </w:p>
    <w:p w14:paraId="26F86866" w14:textId="77777777" w:rsidR="00144EDA" w:rsidRDefault="00C81811">
      <w:pPr>
        <w:pBdr>
          <w:top w:val="nil"/>
          <w:left w:val="nil"/>
          <w:bottom w:val="nil"/>
          <w:right w:val="nil"/>
          <w:between w:val="nil"/>
        </w:pBdr>
        <w:shd w:val="clear" w:color="auto" w:fill="FFFFFF"/>
        <w:spacing w:line="360" w:lineRule="auto"/>
        <w:ind w:left="567" w:right="616"/>
        <w:jc w:val="both"/>
        <w:rPr>
          <w:rFonts w:ascii="Palatino Linotype" w:eastAsia="Palatino Linotype" w:hAnsi="Palatino Linotype" w:cs="Palatino Linotype"/>
          <w:i/>
          <w:iCs/>
          <w:color w:val="222222"/>
        </w:rPr>
      </w:pPr>
      <w:r>
        <w:rPr>
          <w:rFonts w:ascii="Palatino Linotype" w:eastAsia="Palatino Linotype" w:hAnsi="Palatino Linotype" w:cs="Palatino Linotype"/>
          <w:b/>
          <w:bCs/>
          <w:i/>
          <w:iCs/>
          <w:color w:val="222222"/>
        </w:rPr>
        <w:t>“Cuando en una solicitud de información no se identifique un documento en específico, si ésta tiene una expresión documental, el sujeto obligado deberá entregar al particular el documento en específico.</w:t>
      </w:r>
      <w:r>
        <w:rPr>
          <w:rFonts w:ascii="Palatino Linotype" w:eastAsia="Palatino Linotype" w:hAnsi="Palatino Linotype" w:cs="Palatino Linotype"/>
          <w:i/>
          <w:iCs/>
          <w:color w:val="222222"/>
        </w:rPr>
        <w:t xml:space="preserve"> 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w:t>
      </w:r>
      <w:r>
        <w:rPr>
          <w:rFonts w:ascii="Palatino Linotype" w:eastAsia="Palatino Linotype" w:hAnsi="Palatino Linotype" w:cs="Palatino Linotype"/>
          <w:i/>
          <w:iCs/>
          <w:color w:val="222222"/>
        </w:rPr>
        <w:lastRenderedPageBreak/>
        <w:t>si la respuesta a la solicitud obra en algún documento en poder de la autoridad, pero el particular no hace referencia específica a tal documento, se deberá hacer entrega del mismo al solicitante.”</w:t>
      </w:r>
    </w:p>
    <w:p w14:paraId="22C9E640" w14:textId="77777777" w:rsidR="00144EDA" w:rsidRDefault="00144EDA">
      <w:pPr>
        <w:pBdr>
          <w:top w:val="nil"/>
          <w:left w:val="nil"/>
          <w:bottom w:val="nil"/>
          <w:right w:val="nil"/>
          <w:between w:val="nil"/>
        </w:pBdr>
        <w:shd w:val="clear" w:color="auto" w:fill="FFFFFF"/>
        <w:spacing w:line="360" w:lineRule="auto"/>
        <w:ind w:left="567" w:right="616"/>
        <w:jc w:val="both"/>
        <w:rPr>
          <w:rFonts w:ascii="Palatino Linotype" w:eastAsia="Palatino Linotype" w:hAnsi="Palatino Linotype" w:cs="Palatino Linotype"/>
          <w:color w:val="222222"/>
        </w:rPr>
      </w:pPr>
    </w:p>
    <w:p w14:paraId="3692ECE2"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Robustece lo anterior el Criterio orientador 16/17 emitido de igual forma por el entonces Instituto Nacional de Transparencia, Acceso a la Información y Protección de Datos Personales que a la literalidad prevé:</w:t>
      </w:r>
    </w:p>
    <w:p w14:paraId="4DE54D80" w14:textId="77777777" w:rsidR="00144EDA" w:rsidRDefault="00C81811">
      <w:pPr>
        <w:spacing w:line="360" w:lineRule="auto"/>
        <w:ind w:left="567" w:right="616"/>
        <w:jc w:val="both"/>
        <w:rPr>
          <w:rFonts w:ascii="Palatino Linotype" w:eastAsia="Palatino Linotype" w:hAnsi="Palatino Linotype" w:cs="Palatino Linotype"/>
          <w:i/>
          <w:iCs/>
        </w:rPr>
      </w:pPr>
      <w:r>
        <w:rPr>
          <w:rFonts w:ascii="Palatino Linotype" w:eastAsia="Palatino Linotype" w:hAnsi="Palatino Linotype" w:cs="Palatino Linotype"/>
          <w:b/>
          <w:bCs/>
          <w:i/>
          <w:iCs/>
        </w:rPr>
        <w:t>“Expresión documental</w:t>
      </w:r>
      <w:r>
        <w:rPr>
          <w:rFonts w:ascii="Palatino Linotype" w:eastAsia="Palatino Linotype" w:hAnsi="Palatino Linotype" w:cs="Palatino Linotype"/>
          <w:i/>
          <w:iCs/>
        </w:rPr>
        <w:t>. 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p>
    <w:p w14:paraId="70DB0DC6" w14:textId="77777777" w:rsidR="00144EDA" w:rsidRDefault="00144EDA">
      <w:pPr>
        <w:spacing w:line="360" w:lineRule="auto"/>
        <w:ind w:right="49"/>
        <w:jc w:val="both"/>
        <w:rPr>
          <w:rFonts w:ascii="Palatino Linotype" w:eastAsia="Palatino Linotype" w:hAnsi="Palatino Linotype" w:cs="Palatino Linotype"/>
        </w:rPr>
      </w:pPr>
    </w:p>
    <w:p w14:paraId="1EAC62D0"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que en relatadas circunstancias lo procedente es la aplicación de la suplencia de la queja en favor del solicitante; que corresponde a la </w:t>
      </w:r>
      <w:r>
        <w:rPr>
          <w:rFonts w:ascii="Palatino Linotype" w:eastAsia="Palatino Linotype" w:hAnsi="Palatino Linotype" w:cs="Palatino Linotype"/>
          <w:b/>
          <w:bCs/>
        </w:rPr>
        <w:t xml:space="preserve">figura que prevé la ley de la materia para subsanar </w:t>
      </w:r>
      <w:r>
        <w:rPr>
          <w:rFonts w:ascii="Palatino Linotype" w:eastAsia="Palatino Linotype" w:hAnsi="Palatino Linotype" w:cs="Palatino Linotype"/>
        </w:rPr>
        <w:t xml:space="preserve">errores técnicos o la eventual falta de conocimientos del ciudadano, </w:t>
      </w:r>
      <w:r>
        <w:rPr>
          <w:rFonts w:ascii="Palatino Linotype" w:eastAsia="Palatino Linotype" w:hAnsi="Palatino Linotype" w:cs="Palatino Linotype"/>
          <w:b/>
          <w:bCs/>
        </w:rPr>
        <w:t>garantizando así que el acceso a la información sea efectivo y no meramente formal</w:t>
      </w:r>
      <w:r>
        <w:rPr>
          <w:rFonts w:ascii="Palatino Linotype" w:eastAsia="Palatino Linotype" w:hAnsi="Palatino Linotype" w:cs="Palatino Linotype"/>
        </w:rPr>
        <w:t>.</w:t>
      </w:r>
    </w:p>
    <w:p w14:paraId="56577F08" w14:textId="77777777" w:rsidR="00144EDA" w:rsidRDefault="00144EDA">
      <w:pPr>
        <w:spacing w:line="360" w:lineRule="auto"/>
        <w:ind w:right="49"/>
        <w:jc w:val="both"/>
        <w:rPr>
          <w:rFonts w:ascii="Palatino Linotype" w:eastAsia="Palatino Linotype" w:hAnsi="Palatino Linotype" w:cs="Palatino Linotype"/>
        </w:rPr>
      </w:pPr>
    </w:p>
    <w:p w14:paraId="75B13BF5"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 xml:space="preserve">En ese contexto, la Ley de Transparencia y Acceso a la información Pública del </w:t>
      </w:r>
      <w:r>
        <w:rPr>
          <w:rFonts w:ascii="Palatino Linotype" w:eastAsia="Palatino Linotype" w:hAnsi="Palatino Linotype" w:cs="Palatino Linotype"/>
        </w:rPr>
        <w:t>Estado</w:t>
      </w:r>
      <w:r>
        <w:rPr>
          <w:rFonts w:ascii="Palatino Linotype" w:eastAsia="Palatino Linotype" w:hAnsi="Palatino Linotype" w:cs="Palatino Linotype"/>
          <w:color w:val="222222"/>
        </w:rPr>
        <w:t xml:space="preserve"> de </w:t>
      </w:r>
      <w:r>
        <w:rPr>
          <w:rFonts w:ascii="Palatino Linotype" w:eastAsia="Palatino Linotype" w:hAnsi="Palatino Linotype" w:cs="Palatino Linotype"/>
        </w:rPr>
        <w:t>México</w:t>
      </w:r>
      <w:r>
        <w:rPr>
          <w:rFonts w:ascii="Palatino Linotype" w:eastAsia="Palatino Linotype" w:hAnsi="Palatino Linotype" w:cs="Palatino Linotype"/>
          <w:color w:val="222222"/>
        </w:rPr>
        <w:t xml:space="preserve"> y Municipios contempla la suplencia de la deficiencia para garantizar </w:t>
      </w:r>
      <w:r>
        <w:rPr>
          <w:rFonts w:ascii="Palatino Linotype" w:eastAsia="Palatino Linotype" w:hAnsi="Palatino Linotype" w:cs="Palatino Linotype"/>
        </w:rPr>
        <w:t>e</w:t>
      </w:r>
      <w:r>
        <w:rPr>
          <w:rFonts w:ascii="Palatino Linotype" w:eastAsia="Palatino Linotype" w:hAnsi="Palatino Linotype" w:cs="Palatino Linotype"/>
          <w:color w:val="222222"/>
        </w:rPr>
        <w:t xml:space="preserve">l derecho de acceso de acceso a la información pública a favor del </w:t>
      </w:r>
      <w:r>
        <w:rPr>
          <w:rFonts w:ascii="Palatino Linotype" w:eastAsia="Palatino Linotype" w:hAnsi="Palatino Linotype" w:cs="Palatino Linotype"/>
          <w:b/>
          <w:bCs/>
          <w:color w:val="222222"/>
        </w:rPr>
        <w:t>RECURRENTE</w:t>
      </w:r>
      <w:r>
        <w:rPr>
          <w:rFonts w:ascii="Palatino Linotype" w:eastAsia="Palatino Linotype" w:hAnsi="Palatino Linotype" w:cs="Palatino Linotype"/>
          <w:color w:val="222222"/>
        </w:rPr>
        <w:t>, sin que se cambien los hechos expuestos por éste; lo cual, encuentra sustento en la jurisprudencia emitida por la Suprema Corte de Justicia de la Nación que a continuación se inserta:</w:t>
      </w:r>
    </w:p>
    <w:p w14:paraId="2B560EFB" w14:textId="77777777" w:rsidR="00144EDA" w:rsidRDefault="00C81811">
      <w:pPr>
        <w:spacing w:line="360" w:lineRule="auto"/>
        <w:ind w:left="851" w:right="902"/>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 xml:space="preserve">“SUPLENCIA DE LA QUEJA DEFICIENTE. DEBE HACERSE A PARTIR DE LOS CONCEPTOS DE VIOLACIÓN O, EN SU CASO, DE LOS AGRAVIOS EXPRESADOS, POR LO TANTO NO ES ILIMITADA. </w:t>
      </w:r>
      <w:r>
        <w:rPr>
          <w:rFonts w:ascii="Palatino Linotype" w:eastAsia="Palatino Linotype" w:hAnsi="Palatino Linotype" w:cs="Palatino Linotype"/>
          <w:i/>
          <w:iCs/>
        </w:rPr>
        <w:t>El artículo 76 bis de la Ley de Amparo señala que la suplencia de la queja deficiente se entiende referida a los conceptos de violación y, en su caso, a los agravios, es decir, a la materia misma del juicio de garantías, por lo que debe considerarse que dicho precepto limita el ámbito de aplicación de tal figura a las cuestiones relacionadas con el fondo del asunto, de ahí que dicha suplencia no sea aplicable a la procedencia del juicio de amparo. En ese tenor, a excepción de la materia penal, el órgano de control constitucional no puede libremente realizar el examen del precepto legal reclamado o de la resolución recurrida, sino que debe hacerlo a partir de lo expresado en los conceptos de violación o, en su caso, en los agravios, de manera que sin la existencia de un mínimo razonamiento expresado en la demanda, esto es, sin la elemental causa de pedir, el juzgador no se encuentra en aptitud de resolver si el acto reclamado es o no violatorio de garantías, porque la suplencia de la queja deficiente es una institución procesal que si bien fue establecida con la finalidad de hacer prevalecer las garantías que otorga la Constitución Federal, no deja de estar sujeta a los requisitos previstos al efecto, tanto en la Ley Fundamental como en la Ley de Amparo.”</w:t>
      </w:r>
    </w:p>
    <w:p w14:paraId="1F897918" w14:textId="77777777" w:rsidR="00144EDA" w:rsidRDefault="00144EDA">
      <w:pPr>
        <w:spacing w:line="360" w:lineRule="auto"/>
        <w:ind w:left="851" w:right="902"/>
        <w:jc w:val="both"/>
        <w:rPr>
          <w:rFonts w:ascii="Palatino Linotype" w:eastAsia="Palatino Linotype" w:hAnsi="Palatino Linotype" w:cs="Palatino Linotype"/>
          <w:i/>
          <w:iCs/>
        </w:rPr>
      </w:pPr>
    </w:p>
    <w:p w14:paraId="77F75340"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lastRenderedPageBreak/>
        <w:t>De modo tal que debe interpretarse la solicitud de información atendiendo el principio de interpretación más favorable a la persona</w:t>
      </w:r>
      <w:r>
        <w:rPr>
          <w:rFonts w:ascii="Palatino Linotype" w:eastAsia="Palatino Linotype" w:hAnsi="Palatino Linotype" w:cs="Palatino Linotype"/>
          <w:color w:val="222222"/>
          <w:vertAlign w:val="superscript"/>
        </w:rPr>
        <w:footnoteReference w:id="1"/>
      </w:r>
      <w:r>
        <w:rPr>
          <w:rFonts w:ascii="Palatino Linotype" w:eastAsia="Palatino Linotype" w:hAnsi="Palatino Linotype" w:cs="Palatino Linotype"/>
          <w:color w:val="222222"/>
        </w:rPr>
        <w:t>, con fundamento en los artículos 13 y 181 cuarto párrafo de la Ley de la Materia, que rezan así:</w:t>
      </w:r>
    </w:p>
    <w:p w14:paraId="6641ADAB" w14:textId="77777777" w:rsidR="00144EDA" w:rsidRDefault="00C81811">
      <w:pPr>
        <w:spacing w:line="360" w:lineRule="auto"/>
        <w:ind w:left="851" w:right="1043"/>
        <w:jc w:val="both"/>
        <w:rPr>
          <w:rFonts w:ascii="Palatino Linotype" w:eastAsia="Palatino Linotype" w:hAnsi="Palatino Linotype" w:cs="Palatino Linotype"/>
          <w:i/>
          <w:iCs/>
          <w:color w:val="222222"/>
        </w:rPr>
      </w:pPr>
      <w:r>
        <w:rPr>
          <w:rFonts w:ascii="Palatino Linotype" w:eastAsia="Palatino Linotype" w:hAnsi="Palatino Linotype" w:cs="Palatino Linotype"/>
          <w:b/>
          <w:bCs/>
          <w:i/>
          <w:iCs/>
          <w:color w:val="222222"/>
        </w:rPr>
        <w:t>“Artículo 13.</w:t>
      </w:r>
      <w:r>
        <w:rPr>
          <w:rFonts w:ascii="Palatino Linotype" w:eastAsia="Palatino Linotype" w:hAnsi="Palatino Linotype" w:cs="Palatino Linotype"/>
          <w:i/>
          <w:iCs/>
          <w:color w:val="222222"/>
        </w:rPr>
        <w:t xml:space="preserve"> El Instituto, en el ámbito de sus atribuciones, deberá suplir cualquier deficiencia para garantizar el ejercicio del derecho de acceso a la información.</w:t>
      </w:r>
    </w:p>
    <w:p w14:paraId="00B056DC" w14:textId="77777777" w:rsidR="00144EDA" w:rsidRDefault="00144EDA">
      <w:pPr>
        <w:spacing w:line="360" w:lineRule="auto"/>
        <w:ind w:left="851" w:right="1043"/>
        <w:jc w:val="both"/>
        <w:rPr>
          <w:rFonts w:ascii="Palatino Linotype" w:eastAsia="Palatino Linotype" w:hAnsi="Palatino Linotype" w:cs="Palatino Linotype"/>
          <w:i/>
          <w:iCs/>
          <w:color w:val="222222"/>
        </w:rPr>
      </w:pPr>
    </w:p>
    <w:p w14:paraId="0800F251" w14:textId="77777777" w:rsidR="00144EDA" w:rsidRDefault="00C81811">
      <w:pPr>
        <w:spacing w:line="360" w:lineRule="auto"/>
        <w:ind w:left="851" w:right="1041"/>
        <w:jc w:val="both"/>
        <w:rPr>
          <w:rFonts w:ascii="Palatino Linotype" w:eastAsia="Palatino Linotype" w:hAnsi="Palatino Linotype" w:cs="Palatino Linotype"/>
          <w:i/>
          <w:iCs/>
          <w:color w:val="222222"/>
        </w:rPr>
      </w:pPr>
      <w:r>
        <w:rPr>
          <w:rFonts w:ascii="Palatino Linotype" w:eastAsia="Palatino Linotype" w:hAnsi="Palatino Linotype" w:cs="Palatino Linotype"/>
          <w:b/>
          <w:bCs/>
          <w:i/>
          <w:iCs/>
          <w:color w:val="222222"/>
        </w:rPr>
        <w:t>Artículo 181.</w:t>
      </w:r>
      <w:r>
        <w:rPr>
          <w:rFonts w:ascii="Palatino Linotype" w:eastAsia="Palatino Linotype" w:hAnsi="Palatino Linotype" w:cs="Palatino Linotype"/>
          <w:i/>
          <w:iCs/>
          <w:color w:val="222222"/>
        </w:rPr>
        <w:t xml:space="preserve"> …</w:t>
      </w:r>
      <w:r>
        <w:rPr>
          <w:rFonts w:ascii="Palatino Linotype" w:eastAsia="Palatino Linotype" w:hAnsi="Palatino Linotype" w:cs="Palatino Linotype"/>
          <w:i/>
          <w:iCs/>
        </w:rPr>
        <w:t xml:space="preserve"> </w:t>
      </w:r>
      <w:r>
        <w:rPr>
          <w:rFonts w:ascii="Palatino Linotype" w:eastAsia="Palatino Linotype" w:hAnsi="Palatino Linotype" w:cs="Palatino Linotype"/>
          <w:i/>
          <w:iCs/>
          <w:color w:val="222222"/>
        </w:rPr>
        <w:t>Durante el procedimiento deberá aplicarse la suplencia de la queja a favor dla RECURRENTE, sin cambiar los hechos expuestos, asegurándose de que las partes puedan presentar, de manera oral o escrita, los argumentos que funden y motiven sus pretensiones.”</w:t>
      </w:r>
    </w:p>
    <w:p w14:paraId="275CD057" w14:textId="77777777" w:rsidR="00144EDA" w:rsidRDefault="00144EDA">
      <w:pPr>
        <w:spacing w:line="360" w:lineRule="auto"/>
        <w:ind w:left="851" w:right="1041"/>
        <w:jc w:val="both"/>
        <w:rPr>
          <w:rFonts w:ascii="Palatino Linotype" w:eastAsia="Palatino Linotype" w:hAnsi="Palatino Linotype" w:cs="Palatino Linotype"/>
          <w:i/>
          <w:iCs/>
          <w:color w:val="222222"/>
        </w:rPr>
      </w:pPr>
    </w:p>
    <w:p w14:paraId="2EB16074"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color w:val="222222"/>
        </w:rPr>
        <w:t xml:space="preserve">En ese contexto, si bien este </w:t>
      </w:r>
      <w:r>
        <w:rPr>
          <w:rFonts w:ascii="Palatino Linotype" w:eastAsia="Palatino Linotype" w:hAnsi="Palatino Linotype" w:cs="Palatino Linotype"/>
        </w:rPr>
        <w:t xml:space="preserve">Instituto de Transparencia como Órgano Garante de la </w:t>
      </w:r>
      <w:r>
        <w:rPr>
          <w:rFonts w:ascii="Palatino Linotype" w:eastAsia="Palatino Linotype" w:hAnsi="Palatino Linotype" w:cs="Palatino Linotype"/>
          <w:color w:val="222222"/>
        </w:rPr>
        <w:t>difusión</w:t>
      </w:r>
      <w:r>
        <w:rPr>
          <w:rFonts w:ascii="Palatino Linotype" w:eastAsia="Palatino Linotype" w:hAnsi="Palatino Linotype" w:cs="Palatino Linotype"/>
        </w:rPr>
        <w:t xml:space="preserve">, </w:t>
      </w:r>
      <w:r>
        <w:rPr>
          <w:rFonts w:ascii="Palatino Linotype" w:eastAsia="Palatino Linotype" w:hAnsi="Palatino Linotype" w:cs="Palatino Linotype"/>
          <w:color w:val="222222"/>
        </w:rPr>
        <w:t>protección</w:t>
      </w:r>
      <w:r>
        <w:rPr>
          <w:rFonts w:ascii="Palatino Linotype" w:eastAsia="Palatino Linotype" w:hAnsi="Palatino Linotype" w:cs="Palatino Linotype"/>
        </w:rPr>
        <w:t xml:space="preserve"> y respeto al derecho de acceso a la información pública y a la protección de </w:t>
      </w:r>
      <w:r>
        <w:rPr>
          <w:rFonts w:ascii="Palatino Linotype" w:eastAsia="Palatino Linotype" w:hAnsi="Palatino Linotype" w:cs="Palatino Linotype"/>
          <w:color w:val="222222"/>
        </w:rPr>
        <w:t>datos</w:t>
      </w:r>
      <w:r>
        <w:rPr>
          <w:rFonts w:ascii="Palatino Linotype" w:eastAsia="Palatino Linotype" w:hAnsi="Palatino Linotype" w:cs="Palatino Linotype"/>
        </w:rPr>
        <w:t xml:space="preserve"> personales, conforme a su naturaleza jurídica y a las atribuciones previstas en los artículos 29 y 36 de la Ley de Transparencia y Acceso a la Información Pública del Estado de México y Municipios, es competente para resolver los recursos de revisión, cuando se </w:t>
      </w:r>
      <w:r>
        <w:rPr>
          <w:rFonts w:ascii="Palatino Linotype" w:eastAsia="Palatino Linotype" w:hAnsi="Palatino Linotype" w:cs="Palatino Linotype"/>
        </w:rPr>
        <w:lastRenderedPageBreak/>
        <w:t xml:space="preserve">niegue la información solicitada, se les entregue la información incompleta, no corresponda a la solicitada y/o el particular considere que la respuesta es desfavorable a su solicitud. Luego entonces es que se insiste en la necesidad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emprenda una nueva búsqueda exhaustiva y razonable de lo solicitado y entregue lo solicitado.</w:t>
      </w:r>
    </w:p>
    <w:p w14:paraId="65CDFEDE" w14:textId="77777777" w:rsidR="00144EDA" w:rsidRDefault="00144EDA">
      <w:pPr>
        <w:spacing w:line="360" w:lineRule="auto"/>
        <w:ind w:right="49"/>
        <w:jc w:val="both"/>
        <w:rPr>
          <w:rFonts w:ascii="Palatino Linotype" w:eastAsia="Palatino Linotype" w:hAnsi="Palatino Linotype" w:cs="Palatino Linotype"/>
        </w:rPr>
      </w:pPr>
    </w:p>
    <w:p w14:paraId="2AB7801A"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En ese contexto recordar que los pronunciamientos iniciales fueron por parte de tres servidores públicos habilitados, cuyas funciones y atribuciones aplicables al caso concreto son las siguientes:</w:t>
      </w:r>
    </w:p>
    <w:p w14:paraId="6B9FB8CA" w14:textId="77777777" w:rsidR="00144EDA" w:rsidRDefault="00C81811">
      <w:pPr>
        <w:pBdr>
          <w:top w:val="nil"/>
          <w:left w:val="nil"/>
          <w:bottom w:val="nil"/>
          <w:right w:val="nil"/>
          <w:between w:val="nil"/>
        </w:pBdr>
        <w:ind w:left="720" w:right="75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62. La </w:t>
      </w:r>
      <w:r>
        <w:rPr>
          <w:rFonts w:ascii="Palatino Linotype" w:eastAsia="Palatino Linotype" w:hAnsi="Palatino Linotype" w:cs="Palatino Linotype"/>
          <w:b/>
          <w:bCs/>
          <w:i/>
          <w:iCs/>
          <w:color w:val="000000"/>
        </w:rPr>
        <w:t>Consejería Jurídica y Consultiva</w:t>
      </w:r>
      <w:r>
        <w:rPr>
          <w:rFonts w:ascii="Palatino Linotype" w:eastAsia="Palatino Linotype" w:hAnsi="Palatino Linotype" w:cs="Palatino Linotype"/>
          <w:i/>
          <w:iCs/>
          <w:color w:val="000000"/>
        </w:rPr>
        <w:t xml:space="preserve"> es la encargada de la consulta, defensa de los derechos e intereses y de la representación legal del Ayuntamiento, de la Presidenta Municipal y de las diferentes dependencias de la administración pública municipal, </w:t>
      </w:r>
      <w:r>
        <w:rPr>
          <w:rFonts w:ascii="Palatino Linotype" w:eastAsia="Palatino Linotype" w:hAnsi="Palatino Linotype" w:cs="Palatino Linotype"/>
          <w:b/>
          <w:bCs/>
          <w:i/>
          <w:iCs/>
          <w:color w:val="000000"/>
        </w:rPr>
        <w:t>cuyas actividades están encaminadas a proteger los bienes e intereses municipales</w:t>
      </w:r>
      <w:r>
        <w:rPr>
          <w:rFonts w:ascii="Palatino Linotype" w:eastAsia="Palatino Linotype" w:hAnsi="Palatino Linotype" w:cs="Palatino Linotype"/>
          <w:i/>
          <w:iCs/>
          <w:color w:val="000000"/>
        </w:rPr>
        <w:t>, en estricta observancia de la Constitución Política de los Estados Unidos Mexicanos, la Constitución Política del Estado Libre y Soberano de México y demás ordenamientos legales aplicables. La Consejería Jurídica y Consultiva será la dependencia autorizada para la recepción de las demandas, acuerdos, notificaciones y demás requerimientos que realicen los Tribunales del Poder Judicial de la Federación, del Poder Judicial del Estado de México, del Poder Judicial de otras Entidades y de la Ciudad de México, Tribunales Agrarios, Administrativos, Laborales, Agencias del Ministerio Público y/o Fiscalías, así como la Comisión Nacional y Estatal de Derechos Humanos y demás autoridades que, por la naturaleza de la representación que ostenta, deba conocer de conformidad al proceso o procedimiento que corresponda al Ayuntamiento, a sus miembros y a las diversas dependencias municipales; salvo aquellas a las que se refiere el artículo 52 apartado B fracciones I, II y III, apartado C y apartado D fracción I, del presente Bando Municipal, ya que la recepción de dichos documentos dependerá de los reglamentos que, para tal efecto, expidan dichos organismos autónomos descentralizados o desconcentrados que para tal efecto sean creados; así como las que se dirijan a las servidoras o servidores públicos municipales y que no deriven del ejercicio de su empleo, cargo o comisión encomendado dentro de la administración pública municipal.”</w:t>
      </w:r>
    </w:p>
    <w:p w14:paraId="187B7F46" w14:textId="77777777" w:rsidR="00144EDA" w:rsidRDefault="00C81811">
      <w:pPr>
        <w:pBdr>
          <w:top w:val="nil"/>
          <w:left w:val="nil"/>
          <w:bottom w:val="nil"/>
          <w:right w:val="nil"/>
          <w:between w:val="nil"/>
        </w:pBdr>
        <w:ind w:left="720" w:right="75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Artículo 69. La </w:t>
      </w:r>
      <w:r>
        <w:rPr>
          <w:rFonts w:ascii="Palatino Linotype" w:eastAsia="Palatino Linotype" w:hAnsi="Palatino Linotype" w:cs="Palatino Linotype"/>
          <w:b/>
          <w:bCs/>
          <w:i/>
          <w:iCs/>
          <w:color w:val="000000"/>
        </w:rPr>
        <w:t>Secretaría del Ayuntamiento</w:t>
      </w:r>
      <w:r>
        <w:rPr>
          <w:rFonts w:ascii="Palatino Linotype" w:eastAsia="Palatino Linotype" w:hAnsi="Palatino Linotype" w:cs="Palatino Linotype"/>
          <w:i/>
          <w:iCs/>
          <w:color w:val="000000"/>
        </w:rPr>
        <w:t xml:space="preserve"> tendrá entre sus atribuciones que las dependencias y los órganos de la administración pública municipal, coordinen entre sí sus actividades y el intercambio de información necesaria para el adecuado funcionamiento del gobierno.</w:t>
      </w:r>
    </w:p>
    <w:p w14:paraId="54CE6BCE" w14:textId="77777777" w:rsidR="00144EDA" w:rsidRDefault="00C81811">
      <w:pPr>
        <w:pBdr>
          <w:top w:val="nil"/>
          <w:left w:val="nil"/>
          <w:bottom w:val="nil"/>
          <w:right w:val="nil"/>
          <w:between w:val="nil"/>
        </w:pBdr>
        <w:ind w:left="720" w:right="75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0E0AB3B4" w14:textId="77777777" w:rsidR="00144EDA" w:rsidRDefault="00C81811">
      <w:pPr>
        <w:pBdr>
          <w:top w:val="nil"/>
          <w:left w:val="nil"/>
          <w:bottom w:val="nil"/>
          <w:right w:val="nil"/>
          <w:between w:val="nil"/>
        </w:pBdr>
        <w:ind w:left="720" w:right="75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También tiene bajo su responsabilidad la Coordinación de Gobierno, encargada de promover, impulsar y regular el desarrollo de la participación ciudadana, será responsable de hacer prevalecer la gobernabilidad, la armonía y el trabajo en conjunto, por parte de las áreas que integran la administración pública municipal, dando cuenta al Ejecutivo Municipal, como ente de ejecución de las determinaciones jurídico gubernamentales, siendo su responsabilidad conducir los asuntos relacionados con la política interior del municipio; </w:t>
      </w:r>
      <w:r>
        <w:rPr>
          <w:rFonts w:ascii="Palatino Linotype" w:eastAsia="Palatino Linotype" w:hAnsi="Palatino Linotype" w:cs="Palatino Linotype"/>
          <w:b/>
          <w:bCs/>
          <w:i/>
          <w:iCs/>
          <w:color w:val="000000"/>
        </w:rPr>
        <w:t>asimismo, deberá intervenir en coordinación con las autoridades federales y estatales, en los términos de las leyes relativas en materia de</w:t>
      </w:r>
      <w:r>
        <w:rPr>
          <w:rFonts w:ascii="Palatino Linotype" w:eastAsia="Palatino Linotype" w:hAnsi="Palatino Linotype" w:cs="Palatino Linotype"/>
          <w:i/>
          <w:iCs/>
          <w:color w:val="000000"/>
        </w:rPr>
        <w:t xml:space="preserve"> cultos religiosos, migración, población, </w:t>
      </w:r>
      <w:r>
        <w:rPr>
          <w:rFonts w:ascii="Palatino Linotype" w:eastAsia="Palatino Linotype" w:hAnsi="Palatino Linotype" w:cs="Palatino Linotype"/>
          <w:b/>
          <w:bCs/>
          <w:i/>
          <w:iCs/>
          <w:color w:val="000000"/>
        </w:rPr>
        <w:t>tenencia de la tierra urbana</w:t>
      </w:r>
      <w:r>
        <w:rPr>
          <w:rFonts w:ascii="Palatino Linotype" w:eastAsia="Palatino Linotype" w:hAnsi="Palatino Linotype" w:cs="Palatino Linotype"/>
          <w:i/>
          <w:iCs/>
          <w:color w:val="000000"/>
        </w:rPr>
        <w:t>, prevención, combate y extinción de catástrofes públicas, pirotecnia, espectáculos y sorteos y tendrá las facultades que le señalen expresamente el Ayuntamiento, el Ejecutivo Municipal, las leyes, reglamentos y demás disposiciones jurídicas aplicables.</w:t>
      </w:r>
    </w:p>
    <w:p w14:paraId="4B9CA927" w14:textId="77777777" w:rsidR="00144EDA" w:rsidRDefault="00C81811">
      <w:pPr>
        <w:pBdr>
          <w:top w:val="nil"/>
          <w:left w:val="nil"/>
          <w:bottom w:val="nil"/>
          <w:right w:val="nil"/>
          <w:between w:val="nil"/>
        </w:pBdr>
        <w:ind w:left="720" w:right="75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54120FD0" w14:textId="77777777" w:rsidR="00144EDA" w:rsidRDefault="00144EDA">
      <w:pPr>
        <w:spacing w:line="360" w:lineRule="auto"/>
        <w:ind w:right="49"/>
        <w:jc w:val="both"/>
        <w:rPr>
          <w:rFonts w:ascii="Palatino Linotype" w:eastAsia="Palatino Linotype" w:hAnsi="Palatino Linotype" w:cs="Palatino Linotype"/>
          <w:i/>
          <w:iCs/>
        </w:rPr>
      </w:pPr>
    </w:p>
    <w:p w14:paraId="53F585D0" w14:textId="77777777" w:rsidR="00144EDA" w:rsidRDefault="00C81811">
      <w:pPr>
        <w:pBdr>
          <w:top w:val="nil"/>
          <w:left w:val="nil"/>
          <w:bottom w:val="nil"/>
          <w:right w:val="nil"/>
          <w:between w:val="nil"/>
        </w:pBdr>
        <w:ind w:left="720" w:right="6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77. </w:t>
      </w:r>
      <w:r>
        <w:rPr>
          <w:rFonts w:ascii="Palatino Linotype" w:eastAsia="Palatino Linotype" w:hAnsi="Palatino Linotype" w:cs="Palatino Linotype"/>
          <w:b/>
          <w:bCs/>
          <w:i/>
          <w:iCs/>
          <w:color w:val="000000"/>
        </w:rPr>
        <w:t>La Dirección de Desarrollo Urbano</w:t>
      </w:r>
      <w:r>
        <w:rPr>
          <w:rFonts w:ascii="Palatino Linotype" w:eastAsia="Palatino Linotype" w:hAnsi="Palatino Linotype" w:cs="Palatino Linotype"/>
          <w:i/>
          <w:iCs/>
          <w:color w:val="000000"/>
        </w:rPr>
        <w:t xml:space="preserve">, será la encargada de planear, regular, supervisar, </w:t>
      </w:r>
      <w:r>
        <w:rPr>
          <w:rFonts w:ascii="Palatino Linotype" w:eastAsia="Palatino Linotype" w:hAnsi="Palatino Linotype" w:cs="Palatino Linotype"/>
          <w:b/>
          <w:bCs/>
          <w:i/>
          <w:iCs/>
          <w:color w:val="000000"/>
        </w:rPr>
        <w:t>autorizar</w:t>
      </w:r>
      <w:r>
        <w:rPr>
          <w:rFonts w:ascii="Palatino Linotype" w:eastAsia="Palatino Linotype" w:hAnsi="Palatino Linotype" w:cs="Palatino Linotype"/>
          <w:i/>
          <w:iCs/>
          <w:color w:val="000000"/>
        </w:rPr>
        <w:t xml:space="preserve"> y/o en su caso, aplicar las sanciones en materia de ordenamiento territorial de los asentamientos humanos y del desarrollo urbano; asimismo, se coordinará y colaborará con autoridades de los diferentes niveles de gobierno para atender los asuntos que inciden en la zona metropolitana, conforme a la normatividad vigente, vigilando el cumplimiento de la utilización del suelo, promoviendo y normando el desarrollo urbano del territorio municipal, aplicando medidas y ejecutando acciones para evitar asentamientos humanos irregulares e interviniendo en la regularización de la tenencia de la tierra para su incorporación al casco urbano; así mismo, será la responsable de vigilar y hacer cumplir las estrategias y políticas, la zonificación del territorio municipal, la programación de acciones y los demás aspectos que regulen y promuevan el desarrollo urbano sostenible del municipio, fomentando la participación de los sectores público, social y privado, para atender las necesidades urbanas del municipio en coordinación con las autoridades estatales y federales, de conformidad con lo dispuesto por el Libro Quinto y el Libro Décimo </w:t>
      </w:r>
      <w:r>
        <w:rPr>
          <w:rFonts w:ascii="Palatino Linotype" w:eastAsia="Palatino Linotype" w:hAnsi="Palatino Linotype" w:cs="Palatino Linotype"/>
          <w:i/>
          <w:iCs/>
          <w:color w:val="000000"/>
        </w:rPr>
        <w:lastRenderedPageBreak/>
        <w:t xml:space="preserve">Octavo, ambos del Código Administrativo del Estado de México; y sus reglamentos en congruencia con el Plan Municipal de Desarrollo Urbano vigentes, teniendo la facultad de actualizarlo y regularlo con el fin de generar las condiciones para mejorar el nivel de calidad de vida de la población y lograr un municipio ordenado bajo el cumplimiento de las disposiciones establecidas en los ordenamientos técnicos y legales referentes a la planeación, regulación, control y fomento del ordenamiento territorial de los asentamientos humanos y del desarrollo urbano del municipio. Asimismo, promoverá, fomentará, difundirá y realizará todas acciones encaminadas a cumplir con los, objetivos, procedimientos, criterios, métricas y mecanismos del Programa de Ventanilla de Construcción Simplificada (VECS), de conformidad con los lineamientos, bases y metodología establecida en su manual y reglamento propios. Vigilará y supervisará todas las instalaciones subterráneas y aéreas que se encuentren en la vía pública; así mismo será la encargada de la asignación, cambio de nomenclatura en las vías públicas, parques, plazas, callejones, jardines y otros; también de hacer cumplir que, aun cuando no se exprese en la licencia de construcción, el titular de la misma, tendrá la obligación de remover y/o restituir las instalaciones que ocupen las vías públicas o bienes de uso público; y </w:t>
      </w:r>
      <w:r>
        <w:rPr>
          <w:rFonts w:ascii="Palatino Linotype" w:eastAsia="Palatino Linotype" w:hAnsi="Palatino Linotype" w:cs="Palatino Linotype"/>
          <w:b/>
          <w:bCs/>
          <w:i/>
          <w:iCs/>
          <w:color w:val="000000"/>
        </w:rPr>
        <w:t>será la encargada de autorizar la ocupación de la vía pública para el uso temporal de las empresas y/o comercios para maniobras de carga y descarga, lo anterior en caso de no contar con espacios propios para realizar los movimientos.</w:t>
      </w:r>
      <w:r>
        <w:rPr>
          <w:rFonts w:ascii="Palatino Linotype" w:eastAsia="Palatino Linotype" w:hAnsi="Palatino Linotype" w:cs="Palatino Linotype"/>
          <w:i/>
          <w:iCs/>
          <w:color w:val="000000"/>
        </w:rPr>
        <w:t xml:space="preserve"> Implementará y coordinará a través del Departamento de la Tenencia de la Tierra, los programas de asesorías para la regularización de la tenencia de la tierra, realizando para ello, sesiones de prevención y control del crecimiento urbano, gestión para la expedición de testamento público abierto y lo concerniente a la no propiedad municipal, lo anterior de conformidad con la legislación administrativa y registral del Estado de México.”</w:t>
      </w:r>
    </w:p>
    <w:p w14:paraId="0D1B61F2" w14:textId="77777777" w:rsidR="00144EDA" w:rsidRDefault="00144EDA">
      <w:pPr>
        <w:spacing w:line="360" w:lineRule="auto"/>
        <w:ind w:right="49"/>
        <w:jc w:val="both"/>
        <w:rPr>
          <w:rFonts w:ascii="Palatino Linotype" w:eastAsia="Palatino Linotype" w:hAnsi="Palatino Linotype" w:cs="Palatino Linotype"/>
        </w:rPr>
      </w:pPr>
    </w:p>
    <w:p w14:paraId="6E892B2C"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De los preceptos anteriores se destacan las facultades de la Dirección de Desarrollo Urbano del Ayuntamiento de Nicolás Romero pues sus atribuciones se enfocan en planificar y regular el crecimiento ordenado del Municipio, en ese sentido es que cuenta con la facultad de para realizar trámites específicos como licencias de construcción, usos de suelo o regularizaciones.</w:t>
      </w:r>
    </w:p>
    <w:p w14:paraId="1F4A21E9" w14:textId="77777777" w:rsidR="00144EDA" w:rsidRDefault="00144EDA">
      <w:pPr>
        <w:spacing w:line="360" w:lineRule="auto"/>
        <w:ind w:left="502" w:right="49"/>
        <w:jc w:val="both"/>
        <w:rPr>
          <w:rFonts w:ascii="Palatino Linotype" w:eastAsia="Palatino Linotype" w:hAnsi="Palatino Linotype" w:cs="Palatino Linotype"/>
        </w:rPr>
      </w:pPr>
    </w:p>
    <w:p w14:paraId="7A03A2E9"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b/>
          <w:bCs/>
        </w:rPr>
      </w:pPr>
      <w:r>
        <w:rPr>
          <w:rFonts w:ascii="Palatino Linotype" w:eastAsia="Palatino Linotype" w:hAnsi="Palatino Linotype" w:cs="Palatino Linotype"/>
        </w:rPr>
        <w:lastRenderedPageBreak/>
        <w:t>Por tanto para la nueva búsqueda de lo solicitado se deberá dar observancia al procedimiento de acceso a la información pública, descrito en el Título Séptimo de la Ley de Transparencia describe los pasos que debe seguir la autoridad para atender las solicitudes que presenten las personas en ejercicio de su derecho, entre los cuales se encuentra el deber de las Unidades de Transparencia de turnar a todas las áreas competentes que cuenten con la información o deban tenerla de acuerdo a sus facultades, competencias y funciones, con el objeto de que realicen una búsqueda exhaustiva y razonable de la información solicitada, según se asienta en el artículo 162 de la ley citada.</w:t>
      </w:r>
    </w:p>
    <w:p w14:paraId="6FEB3FFD" w14:textId="77777777" w:rsidR="00144EDA" w:rsidRDefault="00C81811">
      <w:pPr>
        <w:spacing w:line="360" w:lineRule="auto"/>
        <w:ind w:left="567" w:right="616"/>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162.</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2F02D01C" w14:textId="77777777" w:rsidR="00144EDA" w:rsidRDefault="00144EDA">
      <w:pPr>
        <w:spacing w:line="360" w:lineRule="auto"/>
        <w:ind w:left="567" w:right="616"/>
        <w:jc w:val="both"/>
        <w:rPr>
          <w:rFonts w:ascii="Palatino Linotype" w:eastAsia="Palatino Linotype" w:hAnsi="Palatino Linotype" w:cs="Palatino Linotype"/>
          <w:i/>
          <w:iCs/>
        </w:rPr>
      </w:pPr>
    </w:p>
    <w:p w14:paraId="19F69E1D"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t>El buscar exhaustivamente en sus archivos, es identificar la unidad(s) administrativa(s) que resguarda el documento al que una persona pretende acceder, es practicar una adecuada gestión documental que nos permite localizar el documento, como bien señala el artículo 159 de la Ley de Transparencia y no así que sean los propios titulares de las unidades de transparencia quienes emitan la respuesta, en todo caso su deber es poner a disposición de los particulares las respuesta emitidas, fungiendo como enlaces entre la ciudadanía y los sujetos obligados.</w:t>
      </w:r>
    </w:p>
    <w:p w14:paraId="251C6D24" w14:textId="77777777" w:rsidR="00144EDA" w:rsidRDefault="00144EDA">
      <w:pPr>
        <w:spacing w:line="360" w:lineRule="auto"/>
        <w:ind w:left="502" w:right="49"/>
        <w:jc w:val="both"/>
        <w:rPr>
          <w:rFonts w:ascii="Palatino Linotype" w:eastAsia="Palatino Linotype" w:hAnsi="Palatino Linotype" w:cs="Palatino Linotype"/>
        </w:rPr>
      </w:pPr>
    </w:p>
    <w:p w14:paraId="4E93D72B" w14:textId="77777777" w:rsidR="00144EDA" w:rsidRPr="00C81811" w:rsidRDefault="00C81811">
      <w:pPr>
        <w:numPr>
          <w:ilvl w:val="0"/>
          <w:numId w:val="1"/>
        </w:numPr>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Información de permisos a entregar, que deberá versar en la última generada, poseída o administrada a la fecha de la solicitud, pues como se desprende de la notas de referencia, el inicio del proyecto data desde el año 2019. Por cuanto hace al expediente se </w:t>
      </w:r>
      <w:r>
        <w:rPr>
          <w:rFonts w:ascii="Palatino Linotype" w:eastAsia="Palatino Linotype" w:hAnsi="Palatino Linotype" w:cs="Palatino Linotype"/>
          <w:color w:val="000000"/>
        </w:rPr>
        <w:lastRenderedPageBreak/>
        <w:t xml:space="preserve">advierte de los indicios que corresponde a una inversión de empresarios en conjunto, no así del Ayuntamiento, de lo que se concluye que eventualmente no pudiera existir un expediente de la empresa, o bien de licitaciones, por lo que al no existir un marco de atribuciones para que el Ayuntamiento genere un expediente de la empresa: si luego de la búsqueda no se localizara, bastará que lo haga del conocimiento de la parte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al momento de dar cumplimiento a la presente Resolución en términos del artículo 19 párrafo segundo de la </w:t>
      </w:r>
      <w:r>
        <w:rPr>
          <w:rFonts w:ascii="Palatino Linotype" w:eastAsia="Palatino Linotype" w:hAnsi="Palatino Linotype" w:cs="Palatino Linotype"/>
        </w:rPr>
        <w:t>Ley de Transparencia y Acceso a la Información Pública del Estado de México y Municipios.</w:t>
      </w:r>
    </w:p>
    <w:p w14:paraId="18B26557" w14:textId="77777777" w:rsidR="00C81811" w:rsidRDefault="00C81811" w:rsidP="00C81811">
      <w:pPr>
        <w:pStyle w:val="Prrafodelista"/>
        <w:rPr>
          <w:rFonts w:ascii="Palatino Linotype" w:eastAsia="Palatino Linotype" w:hAnsi="Palatino Linotype" w:cs="Palatino Linotype"/>
          <w:color w:val="000000"/>
        </w:rPr>
      </w:pPr>
    </w:p>
    <w:p w14:paraId="0EE6707B" w14:textId="77777777" w:rsidR="00C81811" w:rsidRPr="00230AAF" w:rsidRDefault="00C81811">
      <w:pPr>
        <w:numPr>
          <w:ilvl w:val="0"/>
          <w:numId w:val="1"/>
        </w:numPr>
        <w:spacing w:line="360" w:lineRule="auto"/>
        <w:ind w:left="0" w:right="49" w:firstLine="0"/>
        <w:jc w:val="both"/>
        <w:rPr>
          <w:rFonts w:ascii="Palatino Linotype" w:eastAsia="Palatino Linotype" w:hAnsi="Palatino Linotype" w:cs="Palatino Linotype"/>
          <w:color w:val="000000"/>
        </w:rPr>
      </w:pPr>
      <w:r w:rsidRPr="00230AAF">
        <w:rPr>
          <w:rFonts w:ascii="Palatino Linotype" w:eastAsia="Palatino Linotype" w:hAnsi="Palatino Linotype" w:cs="Palatino Linotype"/>
          <w:color w:val="000000"/>
        </w:rPr>
        <w:t>En ese sentido, respecto del expediente de obra que se colige, se solicita de manera inicial en la solicitud de información, existe una posibilidad de que eventualmente no se cuente derivado del tipo de inversión particular en el proyecto; no obstante es un contexto del que no se tiene certeza y del cual también existe la posibilidad de existir inversión municipal.</w:t>
      </w:r>
    </w:p>
    <w:p w14:paraId="3975E92A" w14:textId="77777777" w:rsidR="00144EDA" w:rsidRPr="00230AAF" w:rsidRDefault="00144EDA">
      <w:pPr>
        <w:pBdr>
          <w:top w:val="nil"/>
          <w:left w:val="nil"/>
          <w:bottom w:val="nil"/>
          <w:right w:val="nil"/>
          <w:between w:val="nil"/>
        </w:pBdr>
        <w:ind w:left="720"/>
        <w:rPr>
          <w:rFonts w:ascii="Palatino Linotype" w:eastAsia="Palatino Linotype" w:hAnsi="Palatino Linotype" w:cs="Palatino Linotype"/>
          <w:color w:val="000000"/>
        </w:rPr>
      </w:pPr>
    </w:p>
    <w:p w14:paraId="7B7EB8DC" w14:textId="77777777" w:rsidR="00C81811" w:rsidRPr="00230AAF" w:rsidRDefault="00C81811">
      <w:pPr>
        <w:numPr>
          <w:ilvl w:val="0"/>
          <w:numId w:val="1"/>
        </w:numPr>
        <w:spacing w:line="360" w:lineRule="auto"/>
        <w:ind w:left="0" w:right="49" w:firstLine="0"/>
        <w:jc w:val="both"/>
        <w:rPr>
          <w:rFonts w:ascii="Palatino Linotype" w:eastAsia="Palatino Linotype" w:hAnsi="Palatino Linotype" w:cs="Palatino Linotype"/>
        </w:rPr>
      </w:pPr>
      <w:r w:rsidRPr="00230AAF">
        <w:rPr>
          <w:rFonts w:ascii="Palatino Linotype" w:eastAsia="Palatino Linotype" w:hAnsi="Palatino Linotype" w:cs="Palatino Linotype"/>
        </w:rPr>
        <w:t xml:space="preserve">En ese sentido, de existir participación municipal, ciertamente se genera un expediente denominado expediente único de obra, </w:t>
      </w:r>
      <w:r w:rsidRPr="00230AAF">
        <w:rPr>
          <w:rFonts w:ascii="Palatino Linotype" w:eastAsia="Palatino Linotype" w:hAnsi="Palatino Linotype" w:cs="Palatino Linotype"/>
          <w:u w:val="single"/>
        </w:rPr>
        <w:t>en donde constan los documentos que consignan los volúmenes de obra ejecutados por la empresa contratista, los que deberán generarse con la periodicidad establecida en el contrato y soportados con los datos documentados de la o las actividades realizadas y validadas por la residencia de construcción</w:t>
      </w:r>
      <w:r w:rsidRPr="00230AAF">
        <w:rPr>
          <w:rFonts w:ascii="Palatino Linotype" w:eastAsia="Palatino Linotype" w:hAnsi="Palatino Linotype" w:cs="Palatino Linotype"/>
        </w:rPr>
        <w:t>.</w:t>
      </w:r>
    </w:p>
    <w:p w14:paraId="4786D080" w14:textId="77777777" w:rsidR="00C81811" w:rsidRPr="00230AAF" w:rsidRDefault="00C81811" w:rsidP="00C81811">
      <w:pPr>
        <w:pStyle w:val="Prrafodelista"/>
        <w:rPr>
          <w:rFonts w:ascii="Palatino Linotype" w:eastAsia="Palatino Linotype" w:hAnsi="Palatino Linotype" w:cs="Palatino Linotype"/>
        </w:rPr>
      </w:pPr>
    </w:p>
    <w:p w14:paraId="19F98CA7" w14:textId="77777777" w:rsidR="00C81811" w:rsidRPr="00230AAF" w:rsidRDefault="00C81811" w:rsidP="00C81811">
      <w:pPr>
        <w:numPr>
          <w:ilvl w:val="0"/>
          <w:numId w:val="1"/>
        </w:numPr>
        <w:spacing w:line="360" w:lineRule="auto"/>
        <w:ind w:left="0" w:right="49" w:firstLine="0"/>
        <w:jc w:val="both"/>
        <w:rPr>
          <w:rFonts w:ascii="Palatino Linotype" w:eastAsiaTheme="minorHAnsi" w:hAnsi="Palatino Linotype" w:cs="Tahoma"/>
          <w:b/>
          <w:szCs w:val="22"/>
          <w:lang w:eastAsia="en-US"/>
        </w:rPr>
      </w:pPr>
      <w:r w:rsidRPr="00230AAF">
        <w:rPr>
          <w:rFonts w:ascii="Palatino Linotype" w:eastAsiaTheme="minorHAnsi" w:hAnsi="Palatino Linotype" w:cs="Tahoma"/>
          <w:szCs w:val="22"/>
          <w:lang w:eastAsia="en-US"/>
        </w:rPr>
        <w:t xml:space="preserve">En ese orden de ideas, el artículo 70 fracción XXVIII, de la Ley General de Transparencia y Acceso a la Información Pública y 92 fracción XXIX, de la Ley de Transparencia y Acceso a la Información Pública del Estado de México y Municipios, </w:t>
      </w:r>
      <w:r w:rsidRPr="00230AAF">
        <w:rPr>
          <w:rFonts w:ascii="Palatino Linotype" w:eastAsiaTheme="minorHAnsi" w:hAnsi="Palatino Linotype" w:cs="Tahoma"/>
          <w:szCs w:val="22"/>
          <w:lang w:eastAsia="en-US"/>
        </w:rPr>
        <w:lastRenderedPageBreak/>
        <w:t xml:space="preserve">precisa que es información que es pública de oficio, la información sobre los procesos y resultados sobre procedimientos de adjudicación directa, invitación restringida y licitación de cualquier naturaleza, que incluye la versión pública </w:t>
      </w:r>
      <w:r w:rsidRPr="00230AAF">
        <w:rPr>
          <w:rFonts w:ascii="Palatino Linotype" w:eastAsiaTheme="minorHAnsi" w:hAnsi="Palatino Linotype" w:cs="Tahoma"/>
          <w:b/>
          <w:szCs w:val="22"/>
          <w:lang w:eastAsia="en-US"/>
        </w:rPr>
        <w:t xml:space="preserve">del expediente respectivo </w:t>
      </w:r>
      <w:r w:rsidRPr="00230AAF">
        <w:rPr>
          <w:rFonts w:ascii="Palatino Linotype" w:eastAsiaTheme="minorHAnsi" w:hAnsi="Palatino Linotype" w:cs="Tahoma"/>
          <w:szCs w:val="22"/>
          <w:lang w:eastAsia="en-US"/>
        </w:rPr>
        <w:t>y de los contratos celebrados.</w:t>
      </w:r>
    </w:p>
    <w:p w14:paraId="1595A774" w14:textId="77777777" w:rsidR="00C81811" w:rsidRPr="00230AAF" w:rsidRDefault="00C81811" w:rsidP="00C81811">
      <w:pPr>
        <w:spacing w:line="360" w:lineRule="auto"/>
        <w:ind w:right="-28"/>
        <w:contextualSpacing/>
        <w:jc w:val="both"/>
        <w:rPr>
          <w:rFonts w:ascii="Palatino Linotype" w:eastAsiaTheme="minorHAnsi" w:hAnsi="Palatino Linotype" w:cs="Tahoma"/>
          <w:b/>
          <w:szCs w:val="22"/>
          <w:lang w:eastAsia="en-US"/>
        </w:rPr>
      </w:pPr>
    </w:p>
    <w:p w14:paraId="2945DD3E" w14:textId="77777777" w:rsidR="00C81811" w:rsidRPr="00230AAF" w:rsidRDefault="00C81811" w:rsidP="00C81811">
      <w:pPr>
        <w:numPr>
          <w:ilvl w:val="0"/>
          <w:numId w:val="1"/>
        </w:numPr>
        <w:spacing w:line="360" w:lineRule="auto"/>
        <w:ind w:left="0" w:right="49" w:firstLine="0"/>
        <w:jc w:val="both"/>
        <w:rPr>
          <w:rFonts w:ascii="Palatino Linotype" w:eastAsiaTheme="minorHAnsi" w:hAnsi="Palatino Linotype" w:cs="Tahoma"/>
          <w:szCs w:val="22"/>
          <w:lang w:eastAsia="en-US"/>
        </w:rPr>
      </w:pPr>
      <w:r w:rsidRPr="00230AAF">
        <w:rPr>
          <w:rFonts w:ascii="Palatino Linotype" w:eastAsiaTheme="minorHAnsi" w:hAnsi="Palatino Linotype" w:cs="Tahoma"/>
          <w:szCs w:val="22"/>
          <w:lang w:eastAsia="en-US"/>
        </w:rPr>
        <w:t>Respecto a las estimaciones, se localizó el Acuerdo del Secretario de Infraestructura por el que se establece el Índice de Expediente Único de Obra Pública e Instructivos de llenado en las modalidades de adjudicación directa, invitación restringida y licitación pública el cual establece los Índices de Expedientes Únicos de Obra e instructivos de llenado para la integración de dichos legajos, que deberán integrar entre otros, los Ayuntamientos.</w:t>
      </w:r>
    </w:p>
    <w:p w14:paraId="78454DAA" w14:textId="77777777" w:rsidR="00C81811" w:rsidRPr="00230AAF" w:rsidRDefault="00C81811" w:rsidP="00C81811">
      <w:pPr>
        <w:spacing w:line="360" w:lineRule="auto"/>
        <w:ind w:right="-28"/>
        <w:contextualSpacing/>
        <w:jc w:val="both"/>
        <w:rPr>
          <w:rFonts w:ascii="Palatino Linotype" w:hAnsi="Palatino Linotype" w:cs="Tahoma"/>
        </w:rPr>
      </w:pPr>
      <w:r w:rsidRPr="00230AAF">
        <w:rPr>
          <w:rFonts w:ascii="Palatino Linotype" w:hAnsi="Palatino Linotype" w:cs="Tahoma"/>
        </w:rPr>
        <w:t>Asimismo, del Acuerdo antes mencionado, en la página 10, establece la documentación que debe de contener el Expediente Único de Obra en la modalidad de Invitación Restringida, los cuales son los siguientes:</w:t>
      </w:r>
    </w:p>
    <w:p w14:paraId="391F1C38"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t>Expediente técnico</w:t>
      </w:r>
    </w:p>
    <w:p w14:paraId="798A6084"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t>Proyecto ejecutivo</w:t>
      </w:r>
    </w:p>
    <w:p w14:paraId="4CA58F6E"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t>Presupuesto base</w:t>
      </w:r>
    </w:p>
    <w:p w14:paraId="067C42F6"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t>Oficio de asignación, autorización de recursos y dictamen de procedencia</w:t>
      </w:r>
    </w:p>
    <w:p w14:paraId="68217C3B"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t>Bases de concurso y en su caso términos de referencia</w:t>
      </w:r>
    </w:p>
    <w:p w14:paraId="67A7CB5B"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t xml:space="preserve">Invitación a la persona física o moral para participar en la licitación </w:t>
      </w:r>
    </w:p>
    <w:p w14:paraId="2B315FCA"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t>Escrito de aceptación de las personas físicas o morales para participar en la licitación</w:t>
      </w:r>
    </w:p>
    <w:p w14:paraId="20349A48"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t>Recibo de pago de bases de concurso</w:t>
      </w:r>
    </w:p>
    <w:p w14:paraId="1D0F8417"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t>Invitación a instancias internas y externas a los actos de concurso</w:t>
      </w:r>
    </w:p>
    <w:p w14:paraId="774B2837"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t>Acta de recepción y apertura de propuestas</w:t>
      </w:r>
    </w:p>
    <w:p w14:paraId="1952B939"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t>Evaluación de propuestas, dictamen y acta de fallo</w:t>
      </w:r>
    </w:p>
    <w:p w14:paraId="15988146"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lastRenderedPageBreak/>
        <w:t>Propuesta Ganadora (con todos los documentos solicitados en las bases y en su caso términos de referencia)</w:t>
      </w:r>
    </w:p>
    <w:p w14:paraId="16A40B70"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b/>
          <w:bCs/>
        </w:rPr>
        <w:t>Contrato</w:t>
      </w:r>
      <w:r w:rsidRPr="00230AAF">
        <w:rPr>
          <w:rFonts w:ascii="Palatino Linotype" w:hAnsi="Palatino Linotype"/>
        </w:rPr>
        <w:t>, diferimiento, convenios de reprogramación, y/o convenios de ampliación al importe del contrato, incluyendo solicitud de la empresa, opinión de la residencia y de la supervisión externa</w:t>
      </w:r>
    </w:p>
    <w:p w14:paraId="2E577339"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t>Comunicados de modificación al contrato</w:t>
      </w:r>
    </w:p>
    <w:p w14:paraId="6BEC19A3"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t>Garantías de cumplimiento de contrato, anticipos y/o convenios</w:t>
      </w:r>
    </w:p>
    <w:p w14:paraId="5BA06A70"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t xml:space="preserve">Aviso de </w:t>
      </w:r>
      <w:r w:rsidRPr="00230AAF">
        <w:rPr>
          <w:rFonts w:ascii="Palatino Linotype" w:hAnsi="Palatino Linotype"/>
          <w:b/>
          <w:bCs/>
        </w:rPr>
        <w:t>inicio de obra</w:t>
      </w:r>
    </w:p>
    <w:p w14:paraId="34203E01"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t>Programa de obra o servicio (incluyendo modificaciones), aprobado por la residencia de obra y la supervisión externa</w:t>
      </w:r>
    </w:p>
    <w:p w14:paraId="53F774BE"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t xml:space="preserve">Números generadores, estimaciones y </w:t>
      </w:r>
      <w:r w:rsidRPr="00230AAF">
        <w:rPr>
          <w:rFonts w:ascii="Palatino Linotype" w:hAnsi="Palatino Linotype"/>
          <w:b/>
          <w:bCs/>
        </w:rPr>
        <w:t>facturas</w:t>
      </w:r>
      <w:r w:rsidRPr="00230AAF">
        <w:rPr>
          <w:rFonts w:ascii="Palatino Linotype" w:hAnsi="Palatino Linotype"/>
        </w:rPr>
        <w:t>, incluyendo estimación de finiquito</w:t>
      </w:r>
    </w:p>
    <w:p w14:paraId="574688B2"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t>Resolución de ajuste o escalatoria de precios unitarios, incluyendo la solicitud de la empresa con sus matrices, y el visto bueno de la residencia de obra y supervisión externa</w:t>
      </w:r>
    </w:p>
    <w:p w14:paraId="47F6EF2D"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t xml:space="preserve">Autorización de precios unitarios extraordinarios, incluyendo la solicitud y análisis de la empresa, y la validación de la residencia de obra y en su caso de la supervisión externa </w:t>
      </w:r>
    </w:p>
    <w:p w14:paraId="67427B5E"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t>Bitácora de obra o servicios (original) y minutas de trabajo</w:t>
      </w:r>
    </w:p>
    <w:p w14:paraId="7C83C62C"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t>Reportes de control de calidad</w:t>
      </w:r>
    </w:p>
    <w:p w14:paraId="66567DF1"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t xml:space="preserve">Álbum fotográfico </w:t>
      </w:r>
    </w:p>
    <w:p w14:paraId="1F2A7F6A"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rPr>
        <w:t>Planos actualizados definitivos</w:t>
      </w:r>
    </w:p>
    <w:p w14:paraId="3C66B876"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rPr>
      </w:pPr>
      <w:r w:rsidRPr="00230AAF">
        <w:rPr>
          <w:rFonts w:ascii="Palatino Linotype" w:hAnsi="Palatino Linotype"/>
          <w:b/>
          <w:bCs/>
        </w:rPr>
        <w:t>Acta de entrega recepción de los trabajos y garantía de vicios ocultos</w:t>
      </w:r>
      <w:r w:rsidRPr="00230AAF">
        <w:rPr>
          <w:rFonts w:ascii="Palatino Linotype" w:hAnsi="Palatino Linotype"/>
        </w:rPr>
        <w:t xml:space="preserve"> (incluyendo Invitaciones Internas y externas a dicho acto)</w:t>
      </w:r>
    </w:p>
    <w:p w14:paraId="4BBF4E20" w14:textId="77777777" w:rsidR="00C81811" w:rsidRPr="00230AAF" w:rsidRDefault="00C81811" w:rsidP="00C81811">
      <w:pPr>
        <w:numPr>
          <w:ilvl w:val="0"/>
          <w:numId w:val="7"/>
        </w:numPr>
        <w:spacing w:line="360" w:lineRule="auto"/>
        <w:ind w:right="-28"/>
        <w:contextualSpacing/>
        <w:jc w:val="both"/>
        <w:rPr>
          <w:rFonts w:ascii="Palatino Linotype" w:hAnsi="Palatino Linotype" w:cs="Tahoma"/>
          <w:b/>
          <w:bCs/>
        </w:rPr>
      </w:pPr>
      <w:r w:rsidRPr="00230AAF">
        <w:rPr>
          <w:rFonts w:ascii="Palatino Linotype" w:hAnsi="Palatino Linotype"/>
          <w:b/>
          <w:bCs/>
        </w:rPr>
        <w:t>Acta de entrega a la instancia encargada de su operación</w:t>
      </w:r>
    </w:p>
    <w:p w14:paraId="7551871A" w14:textId="77777777" w:rsidR="00C81811" w:rsidRPr="00230AAF" w:rsidRDefault="00C81811" w:rsidP="00C81811">
      <w:pPr>
        <w:numPr>
          <w:ilvl w:val="0"/>
          <w:numId w:val="1"/>
        </w:numPr>
        <w:spacing w:line="360" w:lineRule="auto"/>
        <w:ind w:left="0" w:right="49" w:firstLine="0"/>
        <w:jc w:val="both"/>
        <w:rPr>
          <w:rFonts w:ascii="Palatino Linotype" w:eastAsiaTheme="minorHAnsi" w:hAnsi="Palatino Linotype" w:cs="Tahoma"/>
          <w:szCs w:val="22"/>
          <w:lang w:eastAsia="en-US"/>
        </w:rPr>
      </w:pPr>
      <w:r w:rsidRPr="00230AAF">
        <w:rPr>
          <w:rFonts w:ascii="Palatino Linotype" w:eastAsiaTheme="minorHAnsi" w:hAnsi="Palatino Linotype" w:cs="Tahoma"/>
          <w:szCs w:val="22"/>
          <w:lang w:eastAsia="en-US"/>
        </w:rPr>
        <w:lastRenderedPageBreak/>
        <w:t>Asimismo, el Acuerdo, establece la documentación que debe de contener el Expediente Único de Obra en la modalidad de Invitación Restringida, adjudicación directa y licitación pública, el cual debe contener, entre otras cosas, las Estimaciones, incluyendo la respectiva del Finiquito.</w:t>
      </w:r>
    </w:p>
    <w:p w14:paraId="53B8D4D9" w14:textId="77777777" w:rsidR="00C81811" w:rsidRPr="00230AAF" w:rsidRDefault="00C81811" w:rsidP="00C81811">
      <w:pPr>
        <w:spacing w:line="360" w:lineRule="auto"/>
        <w:ind w:right="-28"/>
        <w:contextualSpacing/>
        <w:jc w:val="both"/>
        <w:rPr>
          <w:rFonts w:ascii="Palatino Linotype" w:eastAsiaTheme="minorHAnsi" w:hAnsi="Palatino Linotype" w:cs="Tahoma"/>
          <w:szCs w:val="22"/>
          <w:lang w:eastAsia="en-US"/>
        </w:rPr>
      </w:pPr>
    </w:p>
    <w:p w14:paraId="74CA71F4" w14:textId="77777777" w:rsidR="00C81811" w:rsidRDefault="00C81811" w:rsidP="00C81811">
      <w:pPr>
        <w:numPr>
          <w:ilvl w:val="0"/>
          <w:numId w:val="1"/>
        </w:numPr>
        <w:spacing w:line="360" w:lineRule="auto"/>
        <w:ind w:left="0" w:right="49" w:firstLine="0"/>
        <w:jc w:val="both"/>
        <w:rPr>
          <w:rFonts w:ascii="Palatino Linotype" w:eastAsiaTheme="minorHAnsi" w:hAnsi="Palatino Linotype" w:cs="Tahoma"/>
          <w:szCs w:val="22"/>
          <w:lang w:eastAsia="en-US"/>
        </w:rPr>
      </w:pPr>
      <w:r w:rsidRPr="00230AAF">
        <w:rPr>
          <w:rFonts w:ascii="Palatino Linotype" w:eastAsiaTheme="minorHAnsi" w:hAnsi="Palatino Linotype" w:cs="Tahoma"/>
          <w:szCs w:val="22"/>
          <w:lang w:eastAsia="en-US"/>
        </w:rPr>
        <w:t>Situación que guarda relevancia, pues conforme el artículo 219 del Reglamento del Libro Décimo Segundo del Código Administrativo del Estado de México, que la supervisión de la obra deberá integrar y mantener en orden y actualizado el archivo y documentación derivada de la realización de los trabajos, el cual contendrá las estimaciones; mismas que deberá revisar y firmar.</w:t>
      </w:r>
    </w:p>
    <w:p w14:paraId="58C17865" w14:textId="77777777" w:rsidR="00292618" w:rsidRPr="00230AAF" w:rsidRDefault="00292618" w:rsidP="00292618">
      <w:pPr>
        <w:spacing w:line="360" w:lineRule="auto"/>
        <w:ind w:right="49"/>
        <w:jc w:val="both"/>
        <w:rPr>
          <w:rFonts w:ascii="Palatino Linotype" w:eastAsiaTheme="minorHAnsi" w:hAnsi="Palatino Linotype" w:cs="Tahoma"/>
          <w:szCs w:val="22"/>
          <w:lang w:eastAsia="en-US"/>
        </w:rPr>
      </w:pPr>
    </w:p>
    <w:p w14:paraId="158297C7" w14:textId="77777777" w:rsidR="00C81811" w:rsidRPr="00230AAF" w:rsidRDefault="00C81811" w:rsidP="00C81811">
      <w:pPr>
        <w:numPr>
          <w:ilvl w:val="0"/>
          <w:numId w:val="1"/>
        </w:numPr>
        <w:spacing w:line="360" w:lineRule="auto"/>
        <w:ind w:left="0" w:right="49" w:firstLine="0"/>
        <w:jc w:val="both"/>
        <w:rPr>
          <w:rFonts w:ascii="Palatino Linotype" w:eastAsia="Palatino Linotype" w:hAnsi="Palatino Linotype" w:cs="Palatino Linotype"/>
        </w:rPr>
      </w:pPr>
      <w:r w:rsidRPr="00230AAF">
        <w:rPr>
          <w:rFonts w:ascii="Palatino Linotype" w:eastAsia="Palatino Linotype" w:hAnsi="Palatino Linotype" w:cs="Palatino Linotype"/>
        </w:rPr>
        <w:t xml:space="preserve">Aunado a lo anterior, la Ley de Contratación Pública del Estado de México y Municipios, la cual tiene por objeto regular los actos relativos a la </w:t>
      </w:r>
      <w:r w:rsidRPr="00230AAF">
        <w:rPr>
          <w:rFonts w:ascii="Palatino Linotype" w:eastAsia="Palatino Linotype" w:hAnsi="Palatino Linotype" w:cs="Palatino Linotype"/>
          <w:b/>
          <w:u w:val="single"/>
        </w:rPr>
        <w:t xml:space="preserve">planeación, programación, </w:t>
      </w:r>
      <w:r w:rsidRPr="00230AAF">
        <w:rPr>
          <w:rFonts w:ascii="Palatino Linotype" w:eastAsiaTheme="minorHAnsi" w:hAnsi="Palatino Linotype" w:cs="Tahoma"/>
          <w:szCs w:val="22"/>
          <w:lang w:eastAsia="en-US"/>
        </w:rPr>
        <w:t>presupuestación</w:t>
      </w:r>
      <w:r w:rsidRPr="00230AAF">
        <w:rPr>
          <w:rFonts w:ascii="Palatino Linotype" w:eastAsia="Palatino Linotype" w:hAnsi="Palatino Linotype" w:cs="Palatino Linotype"/>
        </w:rPr>
        <w:t xml:space="preserve">, ejecución y control de la </w:t>
      </w:r>
      <w:r w:rsidRPr="00230AAF">
        <w:rPr>
          <w:rFonts w:ascii="Palatino Linotype" w:eastAsia="Palatino Linotype" w:hAnsi="Palatino Linotype" w:cs="Palatino Linotype"/>
          <w:b/>
          <w:u w:val="single"/>
        </w:rPr>
        <w:t>adquisición</w:t>
      </w:r>
      <w:r w:rsidRPr="00230AAF">
        <w:rPr>
          <w:rFonts w:ascii="Palatino Linotype" w:eastAsia="Palatino Linotype" w:hAnsi="Palatino Linotype" w:cs="Palatino Linotype"/>
        </w:rPr>
        <w:t xml:space="preserve">, enajenación y arrendamiento </w:t>
      </w:r>
      <w:r w:rsidRPr="00230AAF">
        <w:rPr>
          <w:rFonts w:ascii="Palatino Linotype" w:eastAsia="Palatino Linotype" w:hAnsi="Palatino Linotype" w:cs="Palatino Linotype"/>
          <w:b/>
          <w:u w:val="single"/>
        </w:rPr>
        <w:t>de bienes</w:t>
      </w:r>
      <w:r w:rsidRPr="00230AAF">
        <w:rPr>
          <w:rFonts w:ascii="Palatino Linotype" w:eastAsia="Palatino Linotype" w:hAnsi="Palatino Linotype" w:cs="Palatino Linotype"/>
        </w:rPr>
        <w:t xml:space="preserve">, y la </w:t>
      </w:r>
      <w:r w:rsidRPr="00230AAF">
        <w:rPr>
          <w:rFonts w:ascii="Palatino Linotype" w:eastAsia="Palatino Linotype" w:hAnsi="Palatino Linotype" w:cs="Palatino Linotype"/>
          <w:b/>
          <w:u w:val="single"/>
        </w:rPr>
        <w:t>contratación de servicios de cualquier naturaleza, que realicen los Ayuntamientos del Estado</w:t>
      </w:r>
      <w:r w:rsidRPr="00230AAF">
        <w:rPr>
          <w:rFonts w:ascii="Palatino Linotype" w:eastAsia="Palatino Linotype" w:hAnsi="Palatino Linotype" w:cs="Palatino Linotype"/>
        </w:rPr>
        <w:t xml:space="preserve">; entre ellos el </w:t>
      </w:r>
      <w:r w:rsidRPr="00230AAF">
        <w:rPr>
          <w:rFonts w:ascii="Palatino Linotype" w:eastAsia="Palatino Linotype" w:hAnsi="Palatino Linotype" w:cs="Palatino Linotype"/>
          <w:b/>
        </w:rPr>
        <w:t>SUJETO OBLIGADO</w:t>
      </w:r>
      <w:r w:rsidRPr="00230AAF">
        <w:rPr>
          <w:rFonts w:ascii="Palatino Linotype" w:eastAsia="Palatino Linotype" w:hAnsi="Palatino Linotype" w:cs="Palatino Linotype"/>
        </w:rPr>
        <w:t>, los cuales se adjudicarán a través de licitación pública, invitación restringida o adjudicación directa, tal y como lo establecen los artículos 4, 26 y 27 de dicha Ley, los cuales son del tenor siguiente:</w:t>
      </w:r>
    </w:p>
    <w:p w14:paraId="3FD13211" w14:textId="77777777" w:rsidR="00C81811" w:rsidRPr="00230AAF" w:rsidRDefault="00C81811" w:rsidP="00C81811">
      <w:pPr>
        <w:spacing w:line="360" w:lineRule="auto"/>
        <w:ind w:left="851"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“Artículo 4.-</w:t>
      </w:r>
      <w:r w:rsidRPr="00230AAF">
        <w:rPr>
          <w:rFonts w:ascii="Palatino Linotype" w:eastAsia="Palatino Linotype" w:hAnsi="Palatino Linotype" w:cs="Palatino Linotype"/>
          <w:i/>
        </w:rPr>
        <w:t xml:space="preserve"> Para los efectos de esta Ley, </w:t>
      </w:r>
      <w:r w:rsidRPr="00230AAF">
        <w:rPr>
          <w:rFonts w:ascii="Palatino Linotype" w:eastAsia="Palatino Linotype" w:hAnsi="Palatino Linotype" w:cs="Palatino Linotype"/>
          <w:b/>
          <w:i/>
        </w:rPr>
        <w:t>en las adquisiciones, enajenaciones, arrendamientos y servicios, quedan comprendidos</w:t>
      </w:r>
      <w:r w:rsidRPr="00230AAF">
        <w:rPr>
          <w:rFonts w:ascii="Palatino Linotype" w:eastAsia="Palatino Linotype" w:hAnsi="Palatino Linotype" w:cs="Palatino Linotype"/>
          <w:i/>
        </w:rPr>
        <w:t>:</w:t>
      </w:r>
    </w:p>
    <w:p w14:paraId="577A842D" w14:textId="77777777" w:rsidR="00C81811" w:rsidRPr="00230AAF" w:rsidRDefault="00C81811" w:rsidP="00C81811">
      <w:pPr>
        <w:spacing w:line="360" w:lineRule="auto"/>
        <w:ind w:left="1134"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I.</w:t>
      </w:r>
      <w:r w:rsidRPr="00230AAF">
        <w:rPr>
          <w:rFonts w:ascii="Palatino Linotype" w:eastAsia="Palatino Linotype" w:hAnsi="Palatino Linotype" w:cs="Palatino Linotype"/>
          <w:i/>
        </w:rPr>
        <w:t xml:space="preserve"> La adquisición de bienes muebles.</w:t>
      </w:r>
    </w:p>
    <w:p w14:paraId="122D8F90" w14:textId="77777777" w:rsidR="00C81811" w:rsidRPr="00230AAF" w:rsidRDefault="00C81811" w:rsidP="00C81811">
      <w:pPr>
        <w:spacing w:line="360" w:lineRule="auto"/>
        <w:ind w:left="1134"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II</w:t>
      </w:r>
      <w:r w:rsidRPr="00230AAF">
        <w:rPr>
          <w:rFonts w:ascii="Palatino Linotype" w:eastAsia="Palatino Linotype" w:hAnsi="Palatino Linotype" w:cs="Palatino Linotype"/>
          <w:i/>
        </w:rPr>
        <w:t>. La adquisición de bienes inmuebles, a través de compraventa.</w:t>
      </w:r>
    </w:p>
    <w:p w14:paraId="78E93949" w14:textId="77777777" w:rsidR="00C81811" w:rsidRPr="00230AAF" w:rsidRDefault="00C81811" w:rsidP="00C81811">
      <w:pPr>
        <w:spacing w:line="360" w:lineRule="auto"/>
        <w:ind w:left="1134"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III.</w:t>
      </w:r>
      <w:r w:rsidRPr="00230AAF">
        <w:rPr>
          <w:rFonts w:ascii="Palatino Linotype" w:eastAsia="Palatino Linotype" w:hAnsi="Palatino Linotype" w:cs="Palatino Linotype"/>
          <w:i/>
        </w:rPr>
        <w:t xml:space="preserve"> La enajenación de bienes muebles e inmuebles.</w:t>
      </w:r>
    </w:p>
    <w:p w14:paraId="2647ABA5" w14:textId="77777777" w:rsidR="00C81811" w:rsidRPr="00230AAF" w:rsidRDefault="00C81811" w:rsidP="00C81811">
      <w:pPr>
        <w:spacing w:line="360" w:lineRule="auto"/>
        <w:ind w:left="1134"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IV.</w:t>
      </w:r>
      <w:r w:rsidRPr="00230AAF">
        <w:rPr>
          <w:rFonts w:ascii="Palatino Linotype" w:eastAsia="Palatino Linotype" w:hAnsi="Palatino Linotype" w:cs="Palatino Linotype"/>
          <w:i/>
        </w:rPr>
        <w:t xml:space="preserve"> El arrendamiento de bienes muebles e inmuebles. </w:t>
      </w:r>
    </w:p>
    <w:p w14:paraId="269091D0" w14:textId="77777777" w:rsidR="00C81811" w:rsidRPr="00230AAF" w:rsidRDefault="00C81811" w:rsidP="00C81811">
      <w:pPr>
        <w:spacing w:line="360" w:lineRule="auto"/>
        <w:ind w:left="1134"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lastRenderedPageBreak/>
        <w:t>V</w:t>
      </w:r>
      <w:r w:rsidRPr="00230AAF">
        <w:rPr>
          <w:rFonts w:ascii="Palatino Linotype" w:eastAsia="Palatino Linotype" w:hAnsi="Palatino Linotype" w:cs="Palatino Linotype"/>
          <w:i/>
        </w:rPr>
        <w:t>. La contratación de los servicios, relacionados con bienes muebles que se encuentran incorporados o adheridos a bienes inmuebles, cuya instalación o mantenimiento no implique modificación al bien inmueble.</w:t>
      </w:r>
    </w:p>
    <w:p w14:paraId="1336AD3C" w14:textId="77777777" w:rsidR="00C81811" w:rsidRPr="00230AAF" w:rsidRDefault="00C81811" w:rsidP="00C81811">
      <w:pPr>
        <w:spacing w:line="360" w:lineRule="auto"/>
        <w:ind w:left="1134"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VI.</w:t>
      </w:r>
      <w:r w:rsidRPr="00230AAF">
        <w:rPr>
          <w:rFonts w:ascii="Palatino Linotype" w:eastAsia="Palatino Linotype" w:hAnsi="Palatino Linotype" w:cs="Palatino Linotype"/>
          <w:i/>
        </w:rPr>
        <w:t xml:space="preserve"> La contratación de los servicios de reconstrucción y mantenimiento de bienes muebles. </w:t>
      </w:r>
    </w:p>
    <w:p w14:paraId="33A09404" w14:textId="77777777" w:rsidR="00C81811" w:rsidRPr="00230AAF" w:rsidRDefault="00C81811" w:rsidP="00C81811">
      <w:pPr>
        <w:spacing w:line="360" w:lineRule="auto"/>
        <w:ind w:left="1134"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VII.</w:t>
      </w:r>
      <w:r w:rsidRPr="00230AAF">
        <w:rPr>
          <w:rFonts w:ascii="Palatino Linotype" w:eastAsia="Palatino Linotype" w:hAnsi="Palatino Linotype" w:cs="Palatino Linotype"/>
          <w:i/>
        </w:rPr>
        <w:t xml:space="preserve"> La contratación de los servicios de maquila, seguros y transportación, así como de los de limpieza y vigilancia de bienes inmuebles. </w:t>
      </w:r>
    </w:p>
    <w:p w14:paraId="325B204A" w14:textId="77777777" w:rsidR="00C81811" w:rsidRPr="00230AAF" w:rsidRDefault="00C81811" w:rsidP="00C81811">
      <w:pPr>
        <w:spacing w:line="360" w:lineRule="auto"/>
        <w:ind w:left="1134"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VIII.</w:t>
      </w:r>
      <w:r w:rsidRPr="00230AAF">
        <w:rPr>
          <w:rFonts w:ascii="Palatino Linotype" w:eastAsia="Palatino Linotype" w:hAnsi="Palatino Linotype" w:cs="Palatino Linotype"/>
          <w:i/>
        </w:rPr>
        <w:t xml:space="preserve"> La prestación de servicios profesionales, la contratación de consultorías, asesorías y estudios e investigaciones, excepto la contratación de servicios personales de personas físicas bajo el régimen de honorarios. </w:t>
      </w:r>
    </w:p>
    <w:p w14:paraId="6CF2919E" w14:textId="77777777" w:rsidR="00C81811" w:rsidRPr="00230AAF" w:rsidRDefault="00C81811" w:rsidP="00C81811">
      <w:pPr>
        <w:spacing w:line="360" w:lineRule="auto"/>
        <w:ind w:left="851" w:right="902"/>
        <w:jc w:val="both"/>
        <w:rPr>
          <w:rFonts w:ascii="Palatino Linotype" w:eastAsia="Palatino Linotype" w:hAnsi="Palatino Linotype" w:cs="Palatino Linotype"/>
          <w:i/>
        </w:rPr>
      </w:pPr>
      <w:r w:rsidRPr="00230AAF">
        <w:rPr>
          <w:rFonts w:ascii="Palatino Linotype" w:eastAsia="Palatino Linotype" w:hAnsi="Palatino Linotype" w:cs="Palatino Linotype"/>
          <w:i/>
        </w:rPr>
        <w:t>En general, otros actos que impliquen la contratación de servicios de cualquier naturaleza</w:t>
      </w:r>
    </w:p>
    <w:p w14:paraId="30C95954" w14:textId="77777777" w:rsidR="00C81811" w:rsidRPr="00230AAF" w:rsidRDefault="00C81811" w:rsidP="00C81811">
      <w:pPr>
        <w:spacing w:line="360" w:lineRule="auto"/>
        <w:ind w:left="851"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Artículo 26.-</w:t>
      </w:r>
      <w:r w:rsidRPr="00230AAF">
        <w:rPr>
          <w:rFonts w:ascii="Palatino Linotype" w:eastAsia="Palatino Linotype" w:hAnsi="Palatino Linotype" w:cs="Palatino Linotype"/>
          <w:i/>
        </w:rPr>
        <w:t xml:space="preserve"> </w:t>
      </w:r>
      <w:r w:rsidRPr="00230AAF">
        <w:rPr>
          <w:rFonts w:ascii="Palatino Linotype" w:eastAsia="Palatino Linotype" w:hAnsi="Palatino Linotype" w:cs="Palatino Linotype"/>
          <w:b/>
          <w:i/>
        </w:rPr>
        <w:t>Las adquisiciones, arrendamientos y servicios se adjudicarán a través de licitaciones públicas</w:t>
      </w:r>
      <w:r w:rsidRPr="00230AAF">
        <w:rPr>
          <w:rFonts w:ascii="Palatino Linotype" w:eastAsia="Palatino Linotype" w:hAnsi="Palatino Linotype" w:cs="Palatino Linotype"/>
          <w:i/>
        </w:rPr>
        <w:t xml:space="preserve">, mediante convocatoria pública. </w:t>
      </w:r>
    </w:p>
    <w:p w14:paraId="3774B9F7" w14:textId="77777777" w:rsidR="00C81811" w:rsidRPr="00230AAF" w:rsidRDefault="00C81811" w:rsidP="00C81811">
      <w:pPr>
        <w:spacing w:line="360" w:lineRule="auto"/>
        <w:ind w:left="851"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Artículo 27.</w:t>
      </w:r>
      <w:r w:rsidRPr="00230AAF">
        <w:rPr>
          <w:rFonts w:ascii="Palatino Linotype" w:eastAsia="Palatino Linotype" w:hAnsi="Palatino Linotype" w:cs="Palatino Linotype"/>
          <w:i/>
        </w:rPr>
        <w:t xml:space="preserve">- La Secretaría, las entidades, los tribunales administrativos y los ayuntamientos podrán </w:t>
      </w:r>
      <w:r w:rsidRPr="00230AAF">
        <w:rPr>
          <w:rFonts w:ascii="Palatino Linotype" w:eastAsia="Palatino Linotype" w:hAnsi="Palatino Linotype" w:cs="Palatino Linotype"/>
          <w:b/>
          <w:i/>
        </w:rPr>
        <w:t>adjudicar adquisiciones, arrendamientos y servicios, mediante las excepciones al procedimiento de licitación</w:t>
      </w:r>
      <w:r w:rsidRPr="00230AAF">
        <w:rPr>
          <w:rFonts w:ascii="Palatino Linotype" w:eastAsia="Palatino Linotype" w:hAnsi="Palatino Linotype" w:cs="Palatino Linotype"/>
          <w:i/>
        </w:rPr>
        <w:t xml:space="preserve"> que a continuación se señalan:</w:t>
      </w:r>
    </w:p>
    <w:p w14:paraId="140F1964" w14:textId="77777777" w:rsidR="00C81811" w:rsidRPr="00230AAF" w:rsidRDefault="00C81811" w:rsidP="00C81811">
      <w:pPr>
        <w:spacing w:line="360" w:lineRule="auto"/>
        <w:ind w:left="1134"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I</w:t>
      </w:r>
      <w:r w:rsidRPr="00230AAF">
        <w:rPr>
          <w:rFonts w:ascii="Palatino Linotype" w:eastAsia="Palatino Linotype" w:hAnsi="Palatino Linotype" w:cs="Palatino Linotype"/>
          <w:i/>
        </w:rPr>
        <w:t>. Invitación restringida.</w:t>
      </w:r>
    </w:p>
    <w:p w14:paraId="224DD0F2" w14:textId="77777777" w:rsidR="00C81811" w:rsidRPr="00230AAF" w:rsidRDefault="00C81811" w:rsidP="00C81811">
      <w:pPr>
        <w:spacing w:line="360" w:lineRule="auto"/>
        <w:ind w:left="1134"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II.</w:t>
      </w:r>
      <w:r w:rsidRPr="00230AAF">
        <w:rPr>
          <w:rFonts w:ascii="Palatino Linotype" w:eastAsia="Palatino Linotype" w:hAnsi="Palatino Linotype" w:cs="Palatino Linotype"/>
          <w:i/>
        </w:rPr>
        <w:t xml:space="preserve"> Adjudicación directa.”</w:t>
      </w:r>
    </w:p>
    <w:p w14:paraId="1E558F8F" w14:textId="77777777" w:rsidR="00C81811" w:rsidRPr="00230AAF" w:rsidRDefault="00C81811" w:rsidP="00C81811">
      <w:pPr>
        <w:spacing w:line="360" w:lineRule="auto"/>
        <w:ind w:left="1134" w:right="902"/>
        <w:jc w:val="both"/>
        <w:rPr>
          <w:rFonts w:ascii="Palatino Linotype" w:eastAsia="Palatino Linotype" w:hAnsi="Palatino Linotype" w:cs="Palatino Linotype"/>
          <w:i/>
        </w:rPr>
      </w:pPr>
    </w:p>
    <w:p w14:paraId="53712AE7" w14:textId="77777777" w:rsidR="00C81811" w:rsidRPr="00230AAF" w:rsidRDefault="00C81811" w:rsidP="00C81811">
      <w:pPr>
        <w:numPr>
          <w:ilvl w:val="0"/>
          <w:numId w:val="1"/>
        </w:numPr>
        <w:spacing w:line="360" w:lineRule="auto"/>
        <w:ind w:left="0" w:right="49" w:firstLine="0"/>
        <w:jc w:val="both"/>
        <w:rPr>
          <w:rFonts w:ascii="Palatino Linotype" w:eastAsia="Palatino Linotype" w:hAnsi="Palatino Linotype" w:cs="Palatino Linotype"/>
        </w:rPr>
      </w:pPr>
      <w:r w:rsidRPr="00230AAF">
        <w:rPr>
          <w:rFonts w:ascii="Palatino Linotype" w:eastAsia="Palatino Linotype" w:hAnsi="Palatino Linotype" w:cs="Palatino Linotype"/>
        </w:rPr>
        <w:t xml:space="preserve">Con base en los preceptos citados se advierte que, por regla general, las adquisiciones, que celebren los entes públicos, deben adjudicarse por regla general mediante licitación pública, sin embargo, también se contemplan como excepciones a dicho </w:t>
      </w:r>
      <w:r w:rsidRPr="00230AAF">
        <w:rPr>
          <w:rFonts w:ascii="Palatino Linotype" w:eastAsia="Palatino Linotype" w:hAnsi="Palatino Linotype" w:cs="Palatino Linotype"/>
        </w:rPr>
        <w:lastRenderedPageBreak/>
        <w:t>proceso, la invitación restringida y la adjudicación directa, procedimientos que son materia de la solicitud presentada por el particular.</w:t>
      </w:r>
    </w:p>
    <w:p w14:paraId="3787C479" w14:textId="77777777" w:rsidR="00C81811" w:rsidRPr="00230AAF" w:rsidRDefault="00C81811" w:rsidP="00C81811">
      <w:pPr>
        <w:spacing w:line="360" w:lineRule="auto"/>
        <w:jc w:val="both"/>
        <w:rPr>
          <w:rFonts w:ascii="Palatino Linotype" w:eastAsia="Palatino Linotype" w:hAnsi="Palatino Linotype" w:cs="Palatino Linotype"/>
        </w:rPr>
      </w:pPr>
    </w:p>
    <w:p w14:paraId="6E8926A7" w14:textId="77777777" w:rsidR="00C81811" w:rsidRPr="00230AAF" w:rsidRDefault="00C81811" w:rsidP="00C81811">
      <w:pPr>
        <w:numPr>
          <w:ilvl w:val="0"/>
          <w:numId w:val="1"/>
        </w:numPr>
        <w:spacing w:line="360" w:lineRule="auto"/>
        <w:ind w:left="0" w:right="49" w:firstLine="0"/>
        <w:jc w:val="both"/>
        <w:rPr>
          <w:rFonts w:ascii="Palatino Linotype" w:eastAsia="Palatino Linotype" w:hAnsi="Palatino Linotype" w:cs="Palatino Linotype"/>
        </w:rPr>
      </w:pPr>
      <w:r w:rsidRPr="00230AAF">
        <w:rPr>
          <w:rFonts w:ascii="Palatino Linotype" w:eastAsia="Palatino Linotype" w:hAnsi="Palatino Linotype" w:cs="Palatino Linotype"/>
        </w:rPr>
        <w:t>Ahora bien, a través del cumplimiento a la obligación de transparencia señalada en la fracción XIX del artículo 92 de la Ley de la Materia, los sujetos obligados deben poner a disposición del público de manera constante y actualizada, de forma sencilla, precisa y entendible, en los respectivos medios electrónicos, información relativa a los procesos y resultados sobre procedimientos de adjudicación directa, invitación restringida, y licitación de cualquier naturaleza, incluyendo la versión pública del expediente respectivo y de los contratos celebrados, a saber:</w:t>
      </w:r>
    </w:p>
    <w:p w14:paraId="7F7A3962" w14:textId="77777777" w:rsidR="00C81811" w:rsidRPr="00230AAF" w:rsidRDefault="00C81811" w:rsidP="00C81811">
      <w:pPr>
        <w:spacing w:line="360" w:lineRule="auto"/>
        <w:ind w:left="851" w:right="902"/>
        <w:jc w:val="both"/>
        <w:rPr>
          <w:rFonts w:ascii="Palatino Linotype" w:eastAsia="Palatino Linotype" w:hAnsi="Palatino Linotype" w:cs="Palatino Linotype"/>
          <w:i/>
        </w:rPr>
      </w:pPr>
      <w:r w:rsidRPr="00230AAF">
        <w:rPr>
          <w:rFonts w:ascii="Palatino Linotype" w:eastAsia="Palatino Linotype" w:hAnsi="Palatino Linotype" w:cs="Palatino Linotype"/>
          <w:i/>
        </w:rPr>
        <w:t>“</w:t>
      </w:r>
      <w:r w:rsidRPr="00230AAF">
        <w:rPr>
          <w:rFonts w:ascii="Palatino Linotype" w:eastAsia="Palatino Linotype" w:hAnsi="Palatino Linotype" w:cs="Palatino Linotype"/>
          <w:b/>
          <w:i/>
        </w:rPr>
        <w:t>Artículo 92</w:t>
      </w:r>
      <w:r w:rsidRPr="00230AAF">
        <w:rPr>
          <w:rFonts w:ascii="Palatino Linotype" w:eastAsia="Palatino Linotype" w:hAnsi="Palatino Linotype" w:cs="Palatino Linotype"/>
          <w:i/>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0EF851DA" w14:textId="77777777" w:rsidR="00C81811" w:rsidRPr="00230AAF" w:rsidRDefault="00C81811" w:rsidP="00C81811">
      <w:pPr>
        <w:tabs>
          <w:tab w:val="left" w:pos="426"/>
        </w:tabs>
        <w:spacing w:line="360" w:lineRule="auto"/>
        <w:ind w:left="1134" w:right="902"/>
        <w:jc w:val="both"/>
        <w:rPr>
          <w:rFonts w:ascii="Palatino Linotype" w:eastAsia="Palatino Linotype" w:hAnsi="Palatino Linotype" w:cs="Palatino Linotype"/>
          <w:i/>
        </w:rPr>
      </w:pPr>
      <w:r w:rsidRPr="00230AAF">
        <w:rPr>
          <w:rFonts w:ascii="Palatino Linotype" w:eastAsia="Palatino Linotype" w:hAnsi="Palatino Linotype" w:cs="Palatino Linotype"/>
          <w:i/>
        </w:rPr>
        <w:t>(…)</w:t>
      </w:r>
    </w:p>
    <w:p w14:paraId="6768C560" w14:textId="77777777" w:rsidR="00C81811" w:rsidRPr="00230AAF" w:rsidRDefault="00C81811" w:rsidP="00C81811">
      <w:pPr>
        <w:tabs>
          <w:tab w:val="left" w:pos="426"/>
        </w:tabs>
        <w:spacing w:line="360" w:lineRule="auto"/>
        <w:ind w:left="1134"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XXIX.</w:t>
      </w:r>
      <w:r w:rsidRPr="00230AAF">
        <w:rPr>
          <w:rFonts w:ascii="Palatino Linotype" w:eastAsia="Palatino Linotype" w:hAnsi="Palatino Linotype" w:cs="Palatino Linotype"/>
          <w:i/>
        </w:rPr>
        <w:t xml:space="preserve"> La </w:t>
      </w:r>
      <w:r w:rsidRPr="00230AAF">
        <w:rPr>
          <w:rFonts w:ascii="Palatino Linotype" w:eastAsia="Palatino Linotype" w:hAnsi="Palatino Linotype" w:cs="Palatino Linotype"/>
          <w:b/>
          <w:i/>
        </w:rPr>
        <w:t xml:space="preserve">información sobre los procesos y resultados </w:t>
      </w:r>
      <w:r w:rsidRPr="00230AAF">
        <w:rPr>
          <w:rFonts w:ascii="Palatino Linotype" w:eastAsia="Palatino Linotype" w:hAnsi="Palatino Linotype" w:cs="Palatino Linotype"/>
          <w:b/>
          <w:i/>
          <w:u w:val="single"/>
        </w:rPr>
        <w:t>sobre procedimientos de adjudicación directa, invitación restringida y licitación de cualquier naturaleza</w:t>
      </w:r>
      <w:r w:rsidRPr="00230AAF">
        <w:rPr>
          <w:rFonts w:ascii="Palatino Linotype" w:eastAsia="Palatino Linotype" w:hAnsi="Palatino Linotype" w:cs="Palatino Linotype"/>
          <w:i/>
          <w:u w:val="single"/>
        </w:rPr>
        <w:t xml:space="preserve">, </w:t>
      </w:r>
      <w:r w:rsidRPr="00230AAF">
        <w:rPr>
          <w:rFonts w:ascii="Palatino Linotype" w:eastAsia="Palatino Linotype" w:hAnsi="Palatino Linotype" w:cs="Palatino Linotype"/>
          <w:b/>
          <w:i/>
        </w:rPr>
        <w:t>incluyendo la versión pública</w:t>
      </w:r>
      <w:r w:rsidRPr="00230AAF">
        <w:rPr>
          <w:rFonts w:ascii="Palatino Linotype" w:eastAsia="Palatino Linotype" w:hAnsi="Palatino Linotype" w:cs="Palatino Linotype"/>
          <w:i/>
        </w:rPr>
        <w:t xml:space="preserve"> del expediente respectivo y </w:t>
      </w:r>
      <w:r w:rsidRPr="00230AAF">
        <w:rPr>
          <w:rFonts w:ascii="Palatino Linotype" w:eastAsia="Palatino Linotype" w:hAnsi="Palatino Linotype" w:cs="Palatino Linotype"/>
          <w:b/>
          <w:i/>
        </w:rPr>
        <w:t>de los contratos celebrados</w:t>
      </w:r>
      <w:r w:rsidRPr="00230AAF">
        <w:rPr>
          <w:rFonts w:ascii="Palatino Linotype" w:eastAsia="Palatino Linotype" w:hAnsi="Palatino Linotype" w:cs="Palatino Linotype"/>
          <w:i/>
        </w:rPr>
        <w:t>, que deberán contener, por los menos, lo siguiente:</w:t>
      </w:r>
    </w:p>
    <w:p w14:paraId="3968E205" w14:textId="77777777" w:rsidR="00C81811" w:rsidRPr="00230AAF" w:rsidRDefault="00C81811" w:rsidP="00C81811">
      <w:pPr>
        <w:tabs>
          <w:tab w:val="left" w:pos="426"/>
        </w:tabs>
        <w:spacing w:line="360" w:lineRule="auto"/>
        <w:ind w:left="1418" w:right="902"/>
        <w:jc w:val="both"/>
        <w:rPr>
          <w:rFonts w:ascii="Palatino Linotype" w:eastAsia="Palatino Linotype" w:hAnsi="Palatino Linotype" w:cs="Palatino Linotype"/>
          <w:b/>
          <w:i/>
        </w:rPr>
      </w:pPr>
      <w:r w:rsidRPr="00230AAF">
        <w:rPr>
          <w:rFonts w:ascii="Palatino Linotype" w:eastAsia="Palatino Linotype" w:hAnsi="Palatino Linotype" w:cs="Palatino Linotype"/>
          <w:b/>
          <w:i/>
        </w:rPr>
        <w:t>a) De licitaciones públicas o procedimientos de invitación restringida:</w:t>
      </w:r>
    </w:p>
    <w:p w14:paraId="07B3B41C"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lastRenderedPageBreak/>
        <w:t>1)</w:t>
      </w:r>
      <w:r w:rsidRPr="00230AAF">
        <w:rPr>
          <w:rFonts w:ascii="Palatino Linotype" w:eastAsia="Palatino Linotype" w:hAnsi="Palatino Linotype" w:cs="Palatino Linotype"/>
          <w:i/>
        </w:rPr>
        <w:t xml:space="preserve"> La convocatoria o invitación emitida, así como los fundamentos legales aplicados para llevarla a cabo;</w:t>
      </w:r>
    </w:p>
    <w:p w14:paraId="141144EE"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2)</w:t>
      </w:r>
      <w:r w:rsidRPr="00230AAF">
        <w:rPr>
          <w:rFonts w:ascii="Palatino Linotype" w:eastAsia="Palatino Linotype" w:hAnsi="Palatino Linotype" w:cs="Palatino Linotype"/>
          <w:i/>
        </w:rPr>
        <w:t xml:space="preserve"> Los nombres de los participantes o invitados;</w:t>
      </w:r>
    </w:p>
    <w:p w14:paraId="758E1F1F"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3)</w:t>
      </w:r>
      <w:r w:rsidRPr="00230AAF">
        <w:rPr>
          <w:rFonts w:ascii="Palatino Linotype" w:eastAsia="Palatino Linotype" w:hAnsi="Palatino Linotype" w:cs="Palatino Linotype"/>
          <w:i/>
        </w:rPr>
        <w:t xml:space="preserve"> El nombre del ganador y las razones que lo justifican;</w:t>
      </w:r>
    </w:p>
    <w:p w14:paraId="684CDF19"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4)</w:t>
      </w:r>
      <w:r w:rsidRPr="00230AAF">
        <w:rPr>
          <w:rFonts w:ascii="Palatino Linotype" w:eastAsia="Palatino Linotype" w:hAnsi="Palatino Linotype" w:cs="Palatino Linotype"/>
          <w:i/>
        </w:rPr>
        <w:t xml:space="preserve"> El área solicitante y la responsable de su ejecución;</w:t>
      </w:r>
    </w:p>
    <w:p w14:paraId="68179F37"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5)</w:t>
      </w:r>
      <w:r w:rsidRPr="00230AAF">
        <w:rPr>
          <w:rFonts w:ascii="Palatino Linotype" w:eastAsia="Palatino Linotype" w:hAnsi="Palatino Linotype" w:cs="Palatino Linotype"/>
          <w:i/>
        </w:rPr>
        <w:t xml:space="preserve"> Las convocatorias e invitaciones emitidas; </w:t>
      </w:r>
    </w:p>
    <w:p w14:paraId="6D43F8B7"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i/>
        </w:rPr>
        <w:t>6) Los dictámenes y fallo de adjudicación;</w:t>
      </w:r>
    </w:p>
    <w:p w14:paraId="63A9685C"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i/>
        </w:rPr>
        <w:t xml:space="preserve">7) El contrato y, en su caso, sus anexos; </w:t>
      </w:r>
    </w:p>
    <w:p w14:paraId="75157034"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8)</w:t>
      </w:r>
      <w:r w:rsidRPr="00230AAF">
        <w:rPr>
          <w:rFonts w:ascii="Palatino Linotype" w:eastAsia="Palatino Linotype" w:hAnsi="Palatino Linotype" w:cs="Palatino Linotype"/>
          <w:i/>
        </w:rPr>
        <w:t xml:space="preserve"> Los mecanismos de vigilancia y supervisión, incluyendo en su caso, los estudios de impacto urbano y ambiental, según corresponda;</w:t>
      </w:r>
    </w:p>
    <w:p w14:paraId="527E727A"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9)</w:t>
      </w:r>
      <w:r w:rsidRPr="00230AAF">
        <w:rPr>
          <w:rFonts w:ascii="Palatino Linotype" w:eastAsia="Palatino Linotype" w:hAnsi="Palatino Linotype" w:cs="Palatino Linotype"/>
          <w:i/>
        </w:rPr>
        <w:t xml:space="preserve"> La partida presupuestal, de conformidad con el clasificador por objeto del gasto, en el caso de ser aplicable; </w:t>
      </w:r>
    </w:p>
    <w:p w14:paraId="57FA8843"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10)</w:t>
      </w:r>
      <w:r w:rsidRPr="00230AAF">
        <w:rPr>
          <w:rFonts w:ascii="Palatino Linotype" w:eastAsia="Palatino Linotype" w:hAnsi="Palatino Linotype" w:cs="Palatino Linotype"/>
          <w:i/>
        </w:rPr>
        <w:t xml:space="preserve"> Origen de los recursos especificando si son federales, estatales o municipales, así como el tipo de fondo de participación o aportación respectiva;</w:t>
      </w:r>
    </w:p>
    <w:p w14:paraId="414A594B"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11)</w:t>
      </w:r>
      <w:r w:rsidRPr="00230AAF">
        <w:rPr>
          <w:rFonts w:ascii="Palatino Linotype" w:eastAsia="Palatino Linotype" w:hAnsi="Palatino Linotype" w:cs="Palatino Linotype"/>
          <w:i/>
        </w:rPr>
        <w:t xml:space="preserve"> Los convenios modificatorios que, en su caso, sean firmados, precisando el objeto y la fecha de celebración;</w:t>
      </w:r>
    </w:p>
    <w:p w14:paraId="5C505BC0"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12)</w:t>
      </w:r>
      <w:r w:rsidRPr="00230AAF">
        <w:rPr>
          <w:rFonts w:ascii="Palatino Linotype" w:eastAsia="Palatino Linotype" w:hAnsi="Palatino Linotype" w:cs="Palatino Linotype"/>
          <w:i/>
        </w:rPr>
        <w:t xml:space="preserve"> Los informes de avance físico y financiero sobre las obras o servicios contratados; </w:t>
      </w:r>
    </w:p>
    <w:p w14:paraId="11DCB5DC"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i/>
        </w:rPr>
        <w:t xml:space="preserve">13) El convenio de terminación; </w:t>
      </w:r>
    </w:p>
    <w:p w14:paraId="5B397BFB"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i/>
        </w:rPr>
        <w:t>14) El finiquito.</w:t>
      </w:r>
    </w:p>
    <w:p w14:paraId="47563BD4" w14:textId="77777777" w:rsidR="00C81811" w:rsidRPr="00230AAF" w:rsidRDefault="00C81811" w:rsidP="00C81811">
      <w:pPr>
        <w:tabs>
          <w:tab w:val="left" w:pos="426"/>
        </w:tabs>
        <w:spacing w:line="360" w:lineRule="auto"/>
        <w:ind w:left="1418" w:right="902"/>
        <w:jc w:val="both"/>
        <w:rPr>
          <w:rFonts w:ascii="Palatino Linotype" w:eastAsia="Palatino Linotype" w:hAnsi="Palatino Linotype" w:cs="Palatino Linotype"/>
          <w:b/>
          <w:i/>
        </w:rPr>
      </w:pPr>
      <w:r w:rsidRPr="00230AAF">
        <w:rPr>
          <w:rFonts w:ascii="Palatino Linotype" w:eastAsia="Palatino Linotype" w:hAnsi="Palatino Linotype" w:cs="Palatino Linotype"/>
          <w:b/>
          <w:i/>
        </w:rPr>
        <w:t xml:space="preserve">b) De las adjudicaciones directas: </w:t>
      </w:r>
    </w:p>
    <w:p w14:paraId="52420038"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1)</w:t>
      </w:r>
      <w:r w:rsidRPr="00230AAF">
        <w:rPr>
          <w:rFonts w:ascii="Palatino Linotype" w:eastAsia="Palatino Linotype" w:hAnsi="Palatino Linotype" w:cs="Palatino Linotype"/>
          <w:i/>
        </w:rPr>
        <w:t xml:space="preserve"> La propuesta enviada por el participante; </w:t>
      </w:r>
    </w:p>
    <w:p w14:paraId="490F33C4"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2)</w:t>
      </w:r>
      <w:r w:rsidRPr="00230AAF">
        <w:rPr>
          <w:rFonts w:ascii="Palatino Linotype" w:eastAsia="Palatino Linotype" w:hAnsi="Palatino Linotype" w:cs="Palatino Linotype"/>
          <w:i/>
        </w:rPr>
        <w:t xml:space="preserve"> Los motivos y fundamentos legales aplicados para llevarla a cabo;</w:t>
      </w:r>
    </w:p>
    <w:p w14:paraId="6741D4B8"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lastRenderedPageBreak/>
        <w:t>3)</w:t>
      </w:r>
      <w:r w:rsidRPr="00230AAF">
        <w:rPr>
          <w:rFonts w:ascii="Palatino Linotype" w:eastAsia="Palatino Linotype" w:hAnsi="Palatino Linotype" w:cs="Palatino Linotype"/>
          <w:i/>
        </w:rPr>
        <w:t xml:space="preserve"> La autorización del ejercicio de la opción; </w:t>
      </w:r>
    </w:p>
    <w:p w14:paraId="638A93F9"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b/>
          <w:i/>
        </w:rPr>
      </w:pPr>
      <w:r w:rsidRPr="00230AAF">
        <w:rPr>
          <w:rFonts w:ascii="Palatino Linotype" w:eastAsia="Palatino Linotype" w:hAnsi="Palatino Linotype" w:cs="Palatino Linotype"/>
          <w:b/>
          <w:i/>
        </w:rPr>
        <w:t xml:space="preserve">4) </w:t>
      </w:r>
      <w:r w:rsidRPr="00230AAF">
        <w:rPr>
          <w:rFonts w:ascii="Palatino Linotype" w:eastAsia="Palatino Linotype" w:hAnsi="Palatino Linotype" w:cs="Palatino Linotype"/>
          <w:i/>
        </w:rPr>
        <w:t>En su caso, las cotizaciones consideradas, especificando los nombres de los proveedores y sus montos;</w:t>
      </w:r>
      <w:r w:rsidRPr="00230AAF">
        <w:rPr>
          <w:rFonts w:ascii="Palatino Linotype" w:eastAsia="Palatino Linotype" w:hAnsi="Palatino Linotype" w:cs="Palatino Linotype"/>
          <w:b/>
          <w:i/>
        </w:rPr>
        <w:t xml:space="preserve"> </w:t>
      </w:r>
    </w:p>
    <w:p w14:paraId="565B9E55"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5)</w:t>
      </w:r>
      <w:r w:rsidRPr="00230AAF">
        <w:rPr>
          <w:rFonts w:ascii="Palatino Linotype" w:eastAsia="Palatino Linotype" w:hAnsi="Palatino Linotype" w:cs="Palatino Linotype"/>
          <w:i/>
        </w:rPr>
        <w:t xml:space="preserve"> El nombre de la persona física o jurídica colectiva adjudicada; </w:t>
      </w:r>
    </w:p>
    <w:p w14:paraId="13D60BC8"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6)</w:t>
      </w:r>
      <w:r w:rsidRPr="00230AAF">
        <w:rPr>
          <w:rFonts w:ascii="Palatino Linotype" w:eastAsia="Palatino Linotype" w:hAnsi="Palatino Linotype" w:cs="Palatino Linotype"/>
          <w:i/>
        </w:rPr>
        <w:t xml:space="preserve"> La unidad administrativa solicitante y la responsable de su ejecución; </w:t>
      </w:r>
    </w:p>
    <w:p w14:paraId="158EB686"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7</w:t>
      </w:r>
      <w:r w:rsidRPr="00230AAF">
        <w:rPr>
          <w:rFonts w:ascii="Palatino Linotype" w:eastAsia="Palatino Linotype" w:hAnsi="Palatino Linotype" w:cs="Palatino Linotype"/>
          <w:i/>
        </w:rPr>
        <w:t xml:space="preserve">) El número, fecha, el monto del contrato y el plazo de entrega o de ejecución de los servicios u obra; </w:t>
      </w:r>
    </w:p>
    <w:p w14:paraId="1EFCF55E"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8)</w:t>
      </w:r>
      <w:r w:rsidRPr="00230AAF">
        <w:rPr>
          <w:rFonts w:ascii="Palatino Linotype" w:eastAsia="Palatino Linotype" w:hAnsi="Palatino Linotype" w:cs="Palatino Linotype"/>
          <w:i/>
        </w:rPr>
        <w:t xml:space="preserve"> Los mecanismos de vigilancia y supervisión, incluyendo, en su caso, los estudios de impacto urbano y ambiental, según corresponda; </w:t>
      </w:r>
    </w:p>
    <w:p w14:paraId="695DE3F3"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b/>
          <w:i/>
        </w:rPr>
        <w:t>9)</w:t>
      </w:r>
      <w:r w:rsidRPr="00230AAF">
        <w:rPr>
          <w:rFonts w:ascii="Palatino Linotype" w:eastAsia="Palatino Linotype" w:hAnsi="Palatino Linotype" w:cs="Palatino Linotype"/>
          <w:i/>
        </w:rPr>
        <w:t xml:space="preserve"> Los informes de avance sobre las obras o servicios contratados; </w:t>
      </w:r>
    </w:p>
    <w:p w14:paraId="51FEC215"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i/>
        </w:rPr>
        <w:t xml:space="preserve">10) El convenio de terminación; y </w:t>
      </w:r>
    </w:p>
    <w:p w14:paraId="3568938B"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i/>
        </w:rPr>
      </w:pPr>
      <w:r w:rsidRPr="00230AAF">
        <w:rPr>
          <w:rFonts w:ascii="Palatino Linotype" w:eastAsia="Palatino Linotype" w:hAnsi="Palatino Linotype" w:cs="Palatino Linotype"/>
          <w:i/>
        </w:rPr>
        <w:t>11) El finiquito;”</w:t>
      </w:r>
    </w:p>
    <w:p w14:paraId="07F11544" w14:textId="77777777" w:rsidR="00C81811" w:rsidRPr="00230AAF" w:rsidRDefault="00C81811" w:rsidP="00C81811">
      <w:pPr>
        <w:tabs>
          <w:tab w:val="left" w:pos="426"/>
        </w:tabs>
        <w:spacing w:line="360" w:lineRule="auto"/>
        <w:ind w:left="1701" w:right="902"/>
        <w:jc w:val="both"/>
        <w:rPr>
          <w:rFonts w:ascii="Palatino Linotype" w:eastAsia="Palatino Linotype" w:hAnsi="Palatino Linotype" w:cs="Palatino Linotype"/>
        </w:rPr>
      </w:pPr>
    </w:p>
    <w:p w14:paraId="46C9760B" w14:textId="77777777" w:rsidR="00C81811" w:rsidRPr="00230AAF" w:rsidRDefault="00C81811" w:rsidP="00C81811">
      <w:pPr>
        <w:numPr>
          <w:ilvl w:val="0"/>
          <w:numId w:val="1"/>
        </w:numPr>
        <w:spacing w:line="360" w:lineRule="auto"/>
        <w:ind w:left="0" w:right="49" w:firstLine="0"/>
        <w:jc w:val="both"/>
        <w:rPr>
          <w:rFonts w:ascii="Palatino Linotype" w:eastAsia="Palatino Linotype" w:hAnsi="Palatino Linotype" w:cs="Palatino Linotype"/>
        </w:rPr>
      </w:pPr>
      <w:r w:rsidRPr="00230AAF">
        <w:rPr>
          <w:rFonts w:ascii="Palatino Linotype" w:eastAsia="Palatino Linotype" w:hAnsi="Palatino Linotype" w:cs="Palatino Linotype"/>
        </w:rPr>
        <w:t xml:space="preserve">Por ende, de acuerdo a los </w:t>
      </w:r>
      <w:r w:rsidRPr="00230AAF">
        <w:rPr>
          <w:rFonts w:ascii="Palatino Linotype" w:eastAsia="Palatino Linotype" w:hAnsi="Palatino Linotype" w:cs="Palatino Linotype"/>
          <w:i/>
        </w:rPr>
        <w:t>Lineamientos Técnicos Generales para la publicación, homologación y estandarización de la información de las obligaciones establecidas en el título quinto y en la fracción IV del artículo 31 de la Ley General de Transparencia y Acceso a la Información Pública</w:t>
      </w:r>
      <w:r w:rsidRPr="00230AAF">
        <w:rPr>
          <w:rFonts w:ascii="Palatino Linotype" w:eastAsia="Palatino Linotype" w:hAnsi="Palatino Linotype" w:cs="Palatino Linotype"/>
        </w:rPr>
        <w:t xml:space="preserve">, que deben de difundir los sujetos obligados en los portales de Internet y en la Plataforma Nacional de Transparencia, para el cumplimiento de la obligación de transparencia señalada en el artículo 70  fracción XXVIII de la </w:t>
      </w:r>
      <w:r w:rsidRPr="00230AAF">
        <w:rPr>
          <w:rFonts w:ascii="Palatino Linotype" w:eastAsia="Palatino Linotype" w:hAnsi="Palatino Linotype" w:cs="Palatino Linotype"/>
          <w:i/>
        </w:rPr>
        <w:t>Ley General de Transparencia y Acceso a la Información Pública</w:t>
      </w:r>
      <w:r w:rsidRPr="00230AAF">
        <w:rPr>
          <w:rFonts w:ascii="Palatino Linotype" w:eastAsia="Palatino Linotype" w:hAnsi="Palatino Linotype" w:cs="Palatino Linotype"/>
        </w:rPr>
        <w:t>, los sujetos obligados deben publicar información sobre los actos, contratos y convenios celebrados, misma que debe presentarse en una base de datos en la que cada registro se hará por tipo de procedimiento, ya sea licitación pública, invitación restringida</w:t>
      </w:r>
      <w:r w:rsidRPr="00230AAF">
        <w:rPr>
          <w:rFonts w:ascii="Palatino Linotype" w:eastAsia="Palatino Linotype" w:hAnsi="Palatino Linotype" w:cs="Palatino Linotype"/>
          <w:b/>
        </w:rPr>
        <w:t xml:space="preserve"> </w:t>
      </w:r>
      <w:r w:rsidRPr="00230AAF">
        <w:rPr>
          <w:rFonts w:ascii="Palatino Linotype" w:eastAsia="Palatino Linotype" w:hAnsi="Palatino Linotype" w:cs="Palatino Linotype"/>
        </w:rPr>
        <w:t xml:space="preserve">o adjudicación directa, especificando para cada tipo de procedimiento la materia, pudiendo ser obra pública, servicios relacionados con obra </w:t>
      </w:r>
      <w:r w:rsidRPr="00230AAF">
        <w:rPr>
          <w:rFonts w:ascii="Palatino Linotype" w:eastAsia="Palatino Linotype" w:hAnsi="Palatino Linotype" w:cs="Palatino Linotype"/>
        </w:rPr>
        <w:lastRenderedPageBreak/>
        <w:t>pública</w:t>
      </w:r>
      <w:r w:rsidR="006253FE" w:rsidRPr="00230AAF">
        <w:rPr>
          <w:rFonts w:ascii="Palatino Linotype" w:eastAsia="Palatino Linotype" w:hAnsi="Palatino Linotype" w:cs="Palatino Linotype"/>
        </w:rPr>
        <w:t xml:space="preserve">, en ese sentido como se dijo al inicio existe la posibilidad de no contar con dicho expediente. Por lo que de ser el caso, el </w:t>
      </w:r>
      <w:r w:rsidR="006253FE" w:rsidRPr="00230AAF">
        <w:rPr>
          <w:rFonts w:ascii="Palatino Linotype" w:eastAsia="Palatino Linotype" w:hAnsi="Palatino Linotype" w:cs="Palatino Linotype"/>
          <w:b/>
        </w:rPr>
        <w:t xml:space="preserve">SUJETO OBLIGADO </w:t>
      </w:r>
      <w:r w:rsidR="006253FE" w:rsidRPr="00230AAF">
        <w:rPr>
          <w:rFonts w:ascii="Palatino Linotype" w:eastAsia="Palatino Linotype" w:hAnsi="Palatino Linotype" w:cs="Palatino Linotype"/>
        </w:rPr>
        <w:t xml:space="preserve">deberá hacerlo del conocimiento del </w:t>
      </w:r>
      <w:r w:rsidR="006253FE" w:rsidRPr="00230AAF">
        <w:rPr>
          <w:rFonts w:ascii="Palatino Linotype" w:eastAsia="Palatino Linotype" w:hAnsi="Palatino Linotype" w:cs="Palatino Linotype"/>
          <w:b/>
        </w:rPr>
        <w:t xml:space="preserve">RECURRENTE </w:t>
      </w:r>
      <w:r w:rsidR="006253FE" w:rsidRPr="00230AAF">
        <w:rPr>
          <w:rFonts w:ascii="Palatino Linotype" w:eastAsia="Palatino Linotype" w:hAnsi="Palatino Linotype" w:cs="Palatino Linotype"/>
        </w:rPr>
        <w:t>al momento de dar cumplimiento a la presente Resolución en términos del artículo 19 párrafo segundo de la Ley de la Materia.</w:t>
      </w:r>
    </w:p>
    <w:p w14:paraId="39C26182" w14:textId="77777777" w:rsidR="00C81811" w:rsidRPr="00230AAF" w:rsidRDefault="00C81811" w:rsidP="00C81811">
      <w:pPr>
        <w:spacing w:line="360" w:lineRule="auto"/>
        <w:ind w:right="49"/>
        <w:jc w:val="both"/>
        <w:rPr>
          <w:rFonts w:ascii="Palatino Linotype" w:eastAsiaTheme="minorHAnsi" w:hAnsi="Palatino Linotype" w:cs="Tahoma"/>
          <w:szCs w:val="22"/>
          <w:lang w:eastAsia="en-US"/>
        </w:rPr>
      </w:pPr>
    </w:p>
    <w:p w14:paraId="71238613" w14:textId="77777777" w:rsidR="00652185" w:rsidRPr="00230AAF" w:rsidRDefault="00652185" w:rsidP="00652185">
      <w:pPr>
        <w:numPr>
          <w:ilvl w:val="0"/>
          <w:numId w:val="1"/>
        </w:numPr>
        <w:spacing w:line="360" w:lineRule="auto"/>
        <w:ind w:left="0" w:right="49" w:firstLine="0"/>
        <w:jc w:val="both"/>
        <w:rPr>
          <w:rFonts w:ascii="Palatino Linotype" w:hAnsi="Palatino Linotype"/>
          <w:color w:val="000000" w:themeColor="text1"/>
        </w:rPr>
      </w:pPr>
      <w:r w:rsidRPr="00230AAF">
        <w:rPr>
          <w:rFonts w:ascii="Palatino Linotype" w:eastAsia="Palatino Linotype" w:hAnsi="Palatino Linotype" w:cs="Palatino Linotype"/>
        </w:rPr>
        <w:t>Relativo a los permisos: e</w:t>
      </w:r>
      <w:r w:rsidRPr="00230AAF">
        <w:rPr>
          <w:rFonts w:ascii="Palatino Linotype" w:hAnsi="Palatino Linotype"/>
          <w:color w:val="000000" w:themeColor="text1"/>
        </w:rPr>
        <w:t xml:space="preserve">n estricta observancia al mandato constitucional antes señalado, el Libro Décimo Octavo </w:t>
      </w:r>
      <w:r w:rsidRPr="00230AAF">
        <w:rPr>
          <w:rFonts w:ascii="Palatino Linotype" w:hAnsi="Palatino Linotype"/>
          <w:i/>
          <w:color w:val="000000" w:themeColor="text1"/>
        </w:rPr>
        <w:t>De las construcciones</w:t>
      </w:r>
      <w:r w:rsidRPr="00230AAF">
        <w:rPr>
          <w:rFonts w:ascii="Palatino Linotype" w:hAnsi="Palatino Linotype"/>
          <w:color w:val="000000" w:themeColor="text1"/>
        </w:rPr>
        <w:t>, del Código Administrativo del Estado de México, en su artículo 18.1 establece sus disposiciones serán de orden público e interés general y tendrán por objeto regular las construcciones privadas que se realicen en el territorio estatal, con el fin de que satisfagan condiciones de seguridad, habitabilidad, calidad, higiene, funcionalidad, sustentabilidad e integración al contexto e imagen urbana.</w:t>
      </w:r>
    </w:p>
    <w:p w14:paraId="7ADB7C89" w14:textId="77777777" w:rsidR="00652185" w:rsidRPr="00230AAF" w:rsidRDefault="00652185" w:rsidP="00652185">
      <w:pPr>
        <w:spacing w:line="360" w:lineRule="auto"/>
        <w:ind w:right="49"/>
        <w:jc w:val="both"/>
        <w:rPr>
          <w:rFonts w:ascii="Palatino Linotype" w:hAnsi="Palatino Linotype"/>
          <w:color w:val="000000" w:themeColor="text1"/>
        </w:rPr>
      </w:pPr>
    </w:p>
    <w:p w14:paraId="51459ADD" w14:textId="77777777" w:rsidR="00652185" w:rsidRPr="00230AAF" w:rsidRDefault="00652185" w:rsidP="00652185">
      <w:pPr>
        <w:numPr>
          <w:ilvl w:val="0"/>
          <w:numId w:val="1"/>
        </w:numPr>
        <w:spacing w:line="360" w:lineRule="auto"/>
        <w:ind w:left="0" w:right="49" w:firstLine="0"/>
        <w:jc w:val="both"/>
        <w:rPr>
          <w:rFonts w:ascii="Palatino Linotype" w:hAnsi="Palatino Linotype"/>
          <w:color w:val="000000" w:themeColor="text1"/>
        </w:rPr>
      </w:pPr>
      <w:r w:rsidRPr="00230AAF">
        <w:rPr>
          <w:rFonts w:ascii="Palatino Linotype" w:eastAsia="Palatino Linotype" w:hAnsi="Palatino Linotype" w:cs="Palatino Linotype"/>
        </w:rPr>
        <w:t>Por</w:t>
      </w:r>
      <w:r w:rsidRPr="00230AAF">
        <w:rPr>
          <w:rFonts w:ascii="Palatino Linotype" w:hAnsi="Palatino Linotype"/>
          <w:color w:val="000000" w:themeColor="text1"/>
        </w:rPr>
        <w:t xml:space="preserve"> su parte, el artículo 18.4 del Código en estudio reconoce como autoridades para la aplicación del Libro Décimo Octavo, a la Secretaría de Desarrollo Urbano y Obra, y los </w:t>
      </w:r>
      <w:r w:rsidRPr="00230AAF">
        <w:rPr>
          <w:rFonts w:ascii="Palatino Linotype" w:hAnsi="Palatino Linotype"/>
          <w:b/>
          <w:color w:val="000000" w:themeColor="text1"/>
        </w:rPr>
        <w:t>municipios</w:t>
      </w:r>
    </w:p>
    <w:p w14:paraId="7652FD4E" w14:textId="77777777" w:rsidR="00652185" w:rsidRPr="00230AAF" w:rsidRDefault="00652185" w:rsidP="00652185">
      <w:pPr>
        <w:spacing w:line="360" w:lineRule="auto"/>
        <w:ind w:right="49"/>
        <w:jc w:val="both"/>
        <w:rPr>
          <w:rFonts w:ascii="Palatino Linotype" w:hAnsi="Palatino Linotype"/>
          <w:color w:val="000000" w:themeColor="text1"/>
        </w:rPr>
      </w:pPr>
    </w:p>
    <w:p w14:paraId="68CC7E30" w14:textId="77777777" w:rsidR="00652185" w:rsidRPr="00230AAF" w:rsidRDefault="00652185" w:rsidP="00652185">
      <w:pPr>
        <w:numPr>
          <w:ilvl w:val="0"/>
          <w:numId w:val="1"/>
        </w:numPr>
        <w:spacing w:line="360" w:lineRule="auto"/>
        <w:ind w:left="0" w:right="49" w:firstLine="0"/>
        <w:jc w:val="both"/>
        <w:rPr>
          <w:rFonts w:ascii="Palatino Linotype" w:hAnsi="Palatino Linotype"/>
          <w:color w:val="000000" w:themeColor="text1"/>
        </w:rPr>
      </w:pPr>
      <w:r w:rsidRPr="00230AAF">
        <w:rPr>
          <w:rFonts w:ascii="Palatino Linotype" w:eastAsia="Palatino Linotype" w:hAnsi="Palatino Linotype" w:cs="Palatino Linotype"/>
        </w:rPr>
        <w:t>De</w:t>
      </w:r>
      <w:r w:rsidRPr="00230AAF">
        <w:rPr>
          <w:rFonts w:ascii="Palatino Linotype" w:hAnsi="Palatino Linotype"/>
          <w:color w:val="000000" w:themeColor="text1"/>
        </w:rPr>
        <w:t xml:space="preserve"> conformidad con lo dispuesto por el artículo 18.6 del Código Administrativo del Estado de México, en materia de construcciones, los municipios tendrán entre sus atribuciones, las siguientes:</w:t>
      </w:r>
    </w:p>
    <w:p w14:paraId="316AC1E0" w14:textId="77777777" w:rsidR="00652185" w:rsidRPr="00230AAF" w:rsidRDefault="00652185" w:rsidP="00652185">
      <w:pPr>
        <w:pStyle w:val="Prrafodelista"/>
        <w:tabs>
          <w:tab w:val="left" w:pos="426"/>
        </w:tabs>
        <w:spacing w:before="240" w:after="240" w:line="276" w:lineRule="auto"/>
        <w:ind w:left="567" w:right="567"/>
        <w:jc w:val="both"/>
        <w:rPr>
          <w:rFonts w:ascii="Palatino Linotype" w:hAnsi="Palatino Linotype"/>
          <w:i/>
          <w:sz w:val="22"/>
        </w:rPr>
      </w:pPr>
      <w:r w:rsidRPr="00230AAF">
        <w:rPr>
          <w:rFonts w:ascii="Palatino Linotype" w:hAnsi="Palatino Linotype"/>
          <w:b/>
          <w:i/>
          <w:sz w:val="22"/>
        </w:rPr>
        <w:t xml:space="preserve">Artículo 18.6.- </w:t>
      </w:r>
      <w:r w:rsidRPr="00230AAF">
        <w:rPr>
          <w:rFonts w:ascii="Palatino Linotype" w:hAnsi="Palatino Linotype"/>
          <w:i/>
          <w:sz w:val="22"/>
        </w:rPr>
        <w:t>Son atribuciones de los Municipios:</w:t>
      </w:r>
    </w:p>
    <w:p w14:paraId="679C8511" w14:textId="77777777" w:rsidR="00652185" w:rsidRPr="00230AAF" w:rsidRDefault="00652185" w:rsidP="00652185">
      <w:pPr>
        <w:pStyle w:val="Prrafodelista"/>
        <w:tabs>
          <w:tab w:val="left" w:pos="426"/>
        </w:tabs>
        <w:spacing w:before="240" w:after="240" w:line="276" w:lineRule="auto"/>
        <w:ind w:left="567" w:right="567"/>
        <w:jc w:val="both"/>
        <w:rPr>
          <w:rFonts w:ascii="Palatino Linotype" w:hAnsi="Palatino Linotype"/>
          <w:i/>
          <w:sz w:val="22"/>
        </w:rPr>
      </w:pPr>
      <w:r w:rsidRPr="00230AAF">
        <w:rPr>
          <w:rFonts w:ascii="Palatino Linotype" w:hAnsi="Palatino Linotype"/>
          <w:i/>
          <w:sz w:val="22"/>
        </w:rPr>
        <w:t>(…)</w:t>
      </w:r>
    </w:p>
    <w:p w14:paraId="7AA9BD15" w14:textId="77777777" w:rsidR="00652185" w:rsidRPr="00230AAF" w:rsidRDefault="00652185" w:rsidP="00652185">
      <w:pPr>
        <w:pStyle w:val="Prrafodelista"/>
        <w:tabs>
          <w:tab w:val="left" w:pos="426"/>
        </w:tabs>
        <w:spacing w:before="240" w:after="240" w:line="276" w:lineRule="auto"/>
        <w:ind w:left="567" w:right="567"/>
        <w:jc w:val="both"/>
        <w:rPr>
          <w:rFonts w:ascii="Palatino Linotype" w:hAnsi="Palatino Linotype"/>
          <w:i/>
          <w:sz w:val="22"/>
        </w:rPr>
      </w:pPr>
      <w:r w:rsidRPr="00230AAF">
        <w:rPr>
          <w:rFonts w:ascii="Palatino Linotype" w:hAnsi="Palatino Linotype"/>
          <w:b/>
          <w:i/>
          <w:sz w:val="22"/>
        </w:rPr>
        <w:t>II. Expedir licencias, permisos y constancias en materia de construcción</w:t>
      </w:r>
      <w:r w:rsidRPr="00230AAF">
        <w:rPr>
          <w:rFonts w:ascii="Palatino Linotype" w:hAnsi="Palatino Linotype"/>
          <w:i/>
          <w:sz w:val="22"/>
        </w:rPr>
        <w:t xml:space="preserve">, de conformidad con lo dispuesto por este Libro, las Normas Técnicas, los planes municipales de desarrollo urbano y demás normatividad aplicable; </w:t>
      </w:r>
    </w:p>
    <w:p w14:paraId="5CC7BBA6" w14:textId="77777777" w:rsidR="00652185" w:rsidRPr="00230AAF" w:rsidRDefault="00652185" w:rsidP="00652185">
      <w:pPr>
        <w:pStyle w:val="Prrafodelista"/>
        <w:tabs>
          <w:tab w:val="left" w:pos="426"/>
        </w:tabs>
        <w:spacing w:before="240" w:after="240" w:line="276" w:lineRule="auto"/>
        <w:ind w:left="567" w:right="567"/>
        <w:jc w:val="both"/>
        <w:rPr>
          <w:rFonts w:ascii="Palatino Linotype" w:hAnsi="Palatino Linotype"/>
          <w:i/>
          <w:sz w:val="22"/>
        </w:rPr>
      </w:pPr>
      <w:r w:rsidRPr="00230AAF">
        <w:rPr>
          <w:rFonts w:ascii="Palatino Linotype" w:hAnsi="Palatino Linotype"/>
          <w:b/>
          <w:i/>
          <w:sz w:val="22"/>
        </w:rPr>
        <w:t>III.</w:t>
      </w:r>
      <w:r w:rsidRPr="00230AAF">
        <w:rPr>
          <w:rFonts w:ascii="Palatino Linotype" w:hAnsi="Palatino Linotype"/>
          <w:i/>
          <w:sz w:val="22"/>
        </w:rPr>
        <w:t xml:space="preserve"> Fijar las </w:t>
      </w:r>
      <w:r w:rsidRPr="00230AAF">
        <w:rPr>
          <w:rFonts w:ascii="Palatino Linotype" w:hAnsi="Palatino Linotype"/>
          <w:b/>
          <w:i/>
          <w:sz w:val="22"/>
        </w:rPr>
        <w:t>restricciones</w:t>
      </w:r>
      <w:r w:rsidRPr="00230AAF">
        <w:rPr>
          <w:rFonts w:ascii="Palatino Linotype" w:hAnsi="Palatino Linotype"/>
          <w:i/>
          <w:sz w:val="22"/>
        </w:rPr>
        <w:t xml:space="preserve"> a que deban sujetarse las construcciones; </w:t>
      </w:r>
    </w:p>
    <w:p w14:paraId="7576B43B" w14:textId="77777777" w:rsidR="00652185" w:rsidRPr="00230AAF" w:rsidRDefault="00652185" w:rsidP="00652185">
      <w:pPr>
        <w:pStyle w:val="Prrafodelista"/>
        <w:tabs>
          <w:tab w:val="left" w:pos="426"/>
        </w:tabs>
        <w:spacing w:before="240" w:after="240" w:line="276" w:lineRule="auto"/>
        <w:ind w:left="567" w:right="567"/>
        <w:jc w:val="both"/>
        <w:rPr>
          <w:rFonts w:ascii="Palatino Linotype" w:hAnsi="Palatino Linotype"/>
          <w:i/>
          <w:sz w:val="22"/>
        </w:rPr>
      </w:pPr>
      <w:r w:rsidRPr="00230AAF">
        <w:rPr>
          <w:rFonts w:ascii="Palatino Linotype" w:hAnsi="Palatino Linotype"/>
          <w:i/>
          <w:sz w:val="22"/>
        </w:rPr>
        <w:lastRenderedPageBreak/>
        <w:t>(…)</w:t>
      </w:r>
    </w:p>
    <w:p w14:paraId="65ED2EF9" w14:textId="77777777" w:rsidR="00652185" w:rsidRPr="00230AAF" w:rsidRDefault="00652185" w:rsidP="00652185">
      <w:pPr>
        <w:pStyle w:val="Prrafodelista"/>
        <w:tabs>
          <w:tab w:val="left" w:pos="426"/>
        </w:tabs>
        <w:spacing w:before="240" w:after="240" w:line="276" w:lineRule="auto"/>
        <w:ind w:left="567" w:right="567"/>
        <w:jc w:val="both"/>
        <w:rPr>
          <w:rFonts w:ascii="Palatino Linotype" w:hAnsi="Palatino Linotype"/>
          <w:i/>
          <w:sz w:val="22"/>
        </w:rPr>
      </w:pPr>
      <w:r w:rsidRPr="00230AAF">
        <w:rPr>
          <w:rFonts w:ascii="Palatino Linotype" w:hAnsi="Palatino Linotype"/>
          <w:b/>
          <w:i/>
          <w:sz w:val="22"/>
        </w:rPr>
        <w:t>V.</w:t>
      </w:r>
      <w:r w:rsidRPr="00230AAF">
        <w:rPr>
          <w:rFonts w:ascii="Palatino Linotype" w:hAnsi="Palatino Linotype"/>
          <w:i/>
          <w:sz w:val="22"/>
        </w:rPr>
        <w:t xml:space="preserve"> </w:t>
      </w:r>
      <w:r w:rsidRPr="00230AAF">
        <w:rPr>
          <w:rFonts w:ascii="Palatino Linotype" w:hAnsi="Palatino Linotype"/>
          <w:b/>
          <w:i/>
          <w:sz w:val="22"/>
        </w:rPr>
        <w:t>Asesorar</w:t>
      </w:r>
      <w:r w:rsidRPr="00230AAF">
        <w:rPr>
          <w:rFonts w:ascii="Palatino Linotype" w:hAnsi="Palatino Linotype"/>
          <w:i/>
          <w:sz w:val="22"/>
        </w:rPr>
        <w:t xml:space="preserve"> a los particulares respecto a las disposiciones de este Libro, las Normas Técnicas y demás disposiciones jurídicas aplicables; </w:t>
      </w:r>
    </w:p>
    <w:p w14:paraId="572FE3E4" w14:textId="77777777" w:rsidR="00652185" w:rsidRPr="00230AAF" w:rsidRDefault="00652185" w:rsidP="00652185">
      <w:pPr>
        <w:pStyle w:val="Prrafodelista"/>
        <w:tabs>
          <w:tab w:val="left" w:pos="426"/>
        </w:tabs>
        <w:spacing w:before="240" w:after="240" w:line="276" w:lineRule="auto"/>
        <w:ind w:left="567" w:right="567"/>
        <w:jc w:val="both"/>
        <w:rPr>
          <w:rFonts w:ascii="Palatino Linotype" w:hAnsi="Palatino Linotype"/>
          <w:i/>
          <w:sz w:val="22"/>
        </w:rPr>
      </w:pPr>
      <w:r w:rsidRPr="00230AAF">
        <w:rPr>
          <w:rFonts w:ascii="Palatino Linotype" w:hAnsi="Palatino Linotype"/>
          <w:b/>
          <w:i/>
          <w:sz w:val="22"/>
        </w:rPr>
        <w:t>VI. Vigilar</w:t>
      </w:r>
      <w:r w:rsidRPr="00230AAF">
        <w:rPr>
          <w:rFonts w:ascii="Palatino Linotype" w:hAnsi="Palatino Linotype"/>
          <w:i/>
          <w:sz w:val="22"/>
        </w:rPr>
        <w:t xml:space="preserve"> que las construcciones en proceso, terminadas o en demolición, se ajusten a las disposiciones de este Libro, de los planes municipales de desarrollo urbano, de las licencias y permisos de construcción y demás normatividad aplicable; </w:t>
      </w:r>
    </w:p>
    <w:p w14:paraId="63468F12" w14:textId="77777777" w:rsidR="00652185" w:rsidRPr="00230AAF" w:rsidRDefault="00652185" w:rsidP="00652185">
      <w:pPr>
        <w:pStyle w:val="Prrafodelista"/>
        <w:tabs>
          <w:tab w:val="left" w:pos="426"/>
        </w:tabs>
        <w:spacing w:before="240" w:after="240" w:line="276" w:lineRule="auto"/>
        <w:ind w:left="567" w:right="567"/>
        <w:jc w:val="both"/>
        <w:rPr>
          <w:rFonts w:ascii="Palatino Linotype" w:hAnsi="Palatino Linotype"/>
          <w:i/>
          <w:sz w:val="22"/>
        </w:rPr>
      </w:pPr>
      <w:r w:rsidRPr="00230AAF">
        <w:rPr>
          <w:rFonts w:ascii="Palatino Linotype" w:hAnsi="Palatino Linotype"/>
          <w:b/>
          <w:i/>
          <w:sz w:val="22"/>
        </w:rPr>
        <w:t>VII. Ordenar y ejecutar</w:t>
      </w:r>
      <w:r w:rsidRPr="00230AAF">
        <w:rPr>
          <w:rFonts w:ascii="Palatino Linotype" w:hAnsi="Palatino Linotype"/>
          <w:i/>
          <w:sz w:val="22"/>
        </w:rPr>
        <w:t xml:space="preserve"> las medidas de seguridad que fueren procedentes de conformidad con lo establecido por este Libro y demás disposiciones jurídicas aplicables;</w:t>
      </w:r>
    </w:p>
    <w:p w14:paraId="24EB9F4D" w14:textId="77777777" w:rsidR="00652185" w:rsidRPr="00230AAF" w:rsidRDefault="00652185" w:rsidP="00652185">
      <w:pPr>
        <w:pStyle w:val="Prrafodelista"/>
        <w:tabs>
          <w:tab w:val="left" w:pos="426"/>
        </w:tabs>
        <w:spacing w:before="240" w:after="240" w:line="276" w:lineRule="auto"/>
        <w:ind w:left="567" w:right="567"/>
        <w:jc w:val="both"/>
        <w:rPr>
          <w:rFonts w:ascii="Palatino Linotype" w:hAnsi="Palatino Linotype"/>
          <w:i/>
          <w:sz w:val="22"/>
        </w:rPr>
      </w:pPr>
      <w:r w:rsidRPr="00230AAF">
        <w:rPr>
          <w:rFonts w:ascii="Palatino Linotype" w:hAnsi="Palatino Linotype"/>
          <w:i/>
          <w:sz w:val="22"/>
        </w:rPr>
        <w:t>(…)”</w:t>
      </w:r>
    </w:p>
    <w:p w14:paraId="7E4B06D0" w14:textId="77777777" w:rsidR="00652185" w:rsidRPr="00230AAF" w:rsidRDefault="00652185" w:rsidP="00652185">
      <w:pPr>
        <w:pStyle w:val="Prrafodelista"/>
        <w:tabs>
          <w:tab w:val="left" w:pos="426"/>
        </w:tabs>
        <w:spacing w:before="240" w:after="240" w:line="276" w:lineRule="auto"/>
        <w:ind w:left="567" w:right="567"/>
        <w:jc w:val="both"/>
        <w:rPr>
          <w:rFonts w:ascii="Palatino Linotype" w:hAnsi="Palatino Linotype"/>
          <w:color w:val="000000" w:themeColor="text1"/>
          <w:sz w:val="22"/>
        </w:rPr>
      </w:pPr>
      <w:r w:rsidRPr="00230AAF">
        <w:rPr>
          <w:rFonts w:ascii="Palatino Linotype" w:hAnsi="Palatino Linotype"/>
          <w:sz w:val="22"/>
        </w:rPr>
        <w:t>(Énfasis añadido)</w:t>
      </w:r>
    </w:p>
    <w:p w14:paraId="1F516275" w14:textId="77777777" w:rsidR="00652185" w:rsidRPr="00230AAF" w:rsidRDefault="00652185" w:rsidP="00652185">
      <w:pPr>
        <w:pStyle w:val="Prrafodelista"/>
        <w:tabs>
          <w:tab w:val="left" w:pos="426"/>
        </w:tabs>
        <w:spacing w:before="240" w:after="240" w:line="360" w:lineRule="auto"/>
        <w:ind w:left="0" w:right="51"/>
        <w:jc w:val="both"/>
        <w:rPr>
          <w:rFonts w:ascii="Palatino Linotype" w:hAnsi="Palatino Linotype"/>
          <w:color w:val="000000" w:themeColor="text1"/>
        </w:rPr>
      </w:pPr>
    </w:p>
    <w:p w14:paraId="103AF6F4" w14:textId="77777777" w:rsidR="00652185" w:rsidRPr="00230AAF" w:rsidRDefault="00652185" w:rsidP="00652185">
      <w:pPr>
        <w:numPr>
          <w:ilvl w:val="0"/>
          <w:numId w:val="1"/>
        </w:numPr>
        <w:spacing w:line="360" w:lineRule="auto"/>
        <w:ind w:left="0" w:right="49" w:firstLine="0"/>
        <w:jc w:val="both"/>
        <w:rPr>
          <w:rFonts w:ascii="Palatino Linotype" w:hAnsi="Palatino Linotype"/>
          <w:color w:val="000000" w:themeColor="text1"/>
        </w:rPr>
      </w:pPr>
      <w:r w:rsidRPr="00230AAF">
        <w:rPr>
          <w:rFonts w:ascii="Palatino Linotype" w:hAnsi="Palatino Linotype"/>
          <w:color w:val="000000" w:themeColor="text1"/>
        </w:rPr>
        <w:t xml:space="preserve">De tal guisa que el </w:t>
      </w:r>
      <w:r w:rsidRPr="00230AAF">
        <w:rPr>
          <w:rFonts w:ascii="Palatino Linotype" w:hAnsi="Palatino Linotype"/>
          <w:b/>
          <w:color w:val="000000" w:themeColor="text1"/>
        </w:rPr>
        <w:t>SUJETO OBLIGADO</w:t>
      </w:r>
      <w:r w:rsidRPr="00230AAF">
        <w:rPr>
          <w:rFonts w:ascii="Palatino Linotype" w:hAnsi="Palatino Linotype"/>
          <w:color w:val="000000" w:themeColor="text1"/>
        </w:rPr>
        <w:t xml:space="preserve">, de conformidad con lo dispuesto por la </w:t>
      </w:r>
      <w:r w:rsidRPr="00230AAF">
        <w:rPr>
          <w:rFonts w:ascii="Palatino Linotype" w:hAnsi="Palatino Linotype"/>
          <w:i/>
          <w:color w:val="000000" w:themeColor="text1"/>
        </w:rPr>
        <w:t>Magna Carta</w:t>
      </w:r>
      <w:r w:rsidRPr="00230AAF">
        <w:rPr>
          <w:rFonts w:ascii="Palatino Linotype" w:hAnsi="Palatino Linotype"/>
          <w:color w:val="000000" w:themeColor="text1"/>
        </w:rPr>
        <w:t xml:space="preserve"> y el Código Administrativo del Estado de México, tendrá entre sus </w:t>
      </w:r>
      <w:r w:rsidRPr="00230AAF">
        <w:rPr>
          <w:rFonts w:ascii="Palatino Linotype" w:eastAsia="Palatino Linotype" w:hAnsi="Palatino Linotype" w:cs="Palatino Linotype"/>
        </w:rPr>
        <w:t>atribuciones</w:t>
      </w:r>
      <w:r w:rsidRPr="00230AAF">
        <w:rPr>
          <w:rFonts w:ascii="Palatino Linotype" w:hAnsi="Palatino Linotype"/>
          <w:color w:val="000000" w:themeColor="text1"/>
        </w:rPr>
        <w:t xml:space="preserve">, el </w:t>
      </w:r>
      <w:r w:rsidRPr="00230AAF">
        <w:rPr>
          <w:rFonts w:ascii="Palatino Linotype" w:hAnsi="Palatino Linotype"/>
          <w:b/>
          <w:color w:val="000000" w:themeColor="text1"/>
        </w:rPr>
        <w:t>expedir licencias, permisos y constancias de construcción</w:t>
      </w:r>
      <w:r w:rsidRPr="00230AAF">
        <w:rPr>
          <w:rFonts w:ascii="Palatino Linotype" w:hAnsi="Palatino Linotype"/>
          <w:color w:val="000000" w:themeColor="text1"/>
        </w:rPr>
        <w:t>, así como vigilar que las obras en proceso, concluidas o en demolición, se ajusten a las disposiciones normativas que conforme a derecho proceda.</w:t>
      </w:r>
    </w:p>
    <w:p w14:paraId="412096F4" w14:textId="77777777" w:rsidR="00652185" w:rsidRPr="00230AAF" w:rsidRDefault="00652185" w:rsidP="00652185">
      <w:pPr>
        <w:spacing w:line="360" w:lineRule="auto"/>
        <w:ind w:right="49"/>
        <w:jc w:val="both"/>
        <w:rPr>
          <w:rFonts w:ascii="Palatino Linotype" w:hAnsi="Palatino Linotype"/>
          <w:color w:val="000000" w:themeColor="text1"/>
        </w:rPr>
      </w:pPr>
    </w:p>
    <w:p w14:paraId="1A4BDDD8" w14:textId="77777777" w:rsidR="00652185" w:rsidRPr="00230AAF" w:rsidRDefault="00652185" w:rsidP="00652185">
      <w:pPr>
        <w:numPr>
          <w:ilvl w:val="0"/>
          <w:numId w:val="1"/>
        </w:numPr>
        <w:spacing w:line="360" w:lineRule="auto"/>
        <w:ind w:left="0" w:right="49" w:firstLine="0"/>
        <w:jc w:val="both"/>
        <w:rPr>
          <w:rFonts w:ascii="Palatino Linotype" w:hAnsi="Palatino Linotype"/>
          <w:color w:val="000000" w:themeColor="text1"/>
        </w:rPr>
      </w:pPr>
      <w:r w:rsidRPr="00230AAF">
        <w:rPr>
          <w:rFonts w:ascii="Palatino Linotype" w:hAnsi="Palatino Linotype"/>
          <w:color w:val="000000" w:themeColor="text1"/>
        </w:rPr>
        <w:t>Ahora bien, con fundamento en el Código Administrativo del Estado de México; Libro V, “Del Ordenamiento de los Asentamientos Humanos y del Desarrollo Urbano de los Centros de Población” y conforme al Libro XVIII “De Las Construcciones”, el despacho de las siguientes atribuciones</w:t>
      </w:r>
      <w:r w:rsidRPr="00230AAF">
        <w:rPr>
          <w:rStyle w:val="Refdenotaalpie"/>
          <w:rFonts w:ascii="Palatino Linotype" w:hAnsi="Palatino Linotype"/>
          <w:color w:val="000000" w:themeColor="text1"/>
        </w:rPr>
        <w:footnoteReference w:id="2"/>
      </w:r>
      <w:r w:rsidRPr="00230AAF">
        <w:rPr>
          <w:rFonts w:ascii="Palatino Linotype" w:hAnsi="Palatino Linotype"/>
          <w:color w:val="000000" w:themeColor="text1"/>
        </w:rPr>
        <w:t>:</w:t>
      </w:r>
    </w:p>
    <w:p w14:paraId="6B8A5AB8" w14:textId="77777777" w:rsidR="00652185" w:rsidRPr="00230AAF" w:rsidRDefault="00652185" w:rsidP="00652185">
      <w:pPr>
        <w:pStyle w:val="Prrafodelista"/>
        <w:numPr>
          <w:ilvl w:val="1"/>
          <w:numId w:val="8"/>
        </w:numPr>
        <w:tabs>
          <w:tab w:val="left" w:pos="426"/>
        </w:tabs>
        <w:spacing w:before="240" w:after="240" w:line="360" w:lineRule="auto"/>
        <w:ind w:left="993" w:right="51"/>
        <w:jc w:val="both"/>
        <w:rPr>
          <w:rFonts w:ascii="Palatino Linotype" w:hAnsi="Palatino Linotype"/>
          <w:color w:val="000000" w:themeColor="text1"/>
        </w:rPr>
      </w:pPr>
      <w:r w:rsidRPr="00230AAF">
        <w:rPr>
          <w:rFonts w:ascii="Palatino Linotype" w:hAnsi="Palatino Linotype"/>
          <w:b/>
          <w:color w:val="000000" w:themeColor="text1"/>
        </w:rPr>
        <w:t>Expedir los permisos, licencias, autorizaciones para la construcción de obras privadas</w:t>
      </w:r>
      <w:r w:rsidRPr="00230AAF">
        <w:rPr>
          <w:rFonts w:ascii="Palatino Linotype" w:hAnsi="Palatino Linotype"/>
          <w:color w:val="000000" w:themeColor="text1"/>
        </w:rPr>
        <w:t xml:space="preserve">, en los términos que le facultan las leyes estatales y federales. El otorgamiento de las licencias de construcción no exime a los interesados de </w:t>
      </w:r>
      <w:r w:rsidRPr="00230AAF">
        <w:rPr>
          <w:rFonts w:ascii="Palatino Linotype" w:hAnsi="Palatino Linotype"/>
          <w:color w:val="000000" w:themeColor="text1"/>
        </w:rPr>
        <w:lastRenderedPageBreak/>
        <w:t>cumplir con las disposiciones legales aplicables sean federales o estatales en materia de salubridad y protección civil;</w:t>
      </w:r>
    </w:p>
    <w:p w14:paraId="35C727FA" w14:textId="77777777" w:rsidR="00652185" w:rsidRPr="00230AAF" w:rsidRDefault="00652185" w:rsidP="00652185">
      <w:pPr>
        <w:pStyle w:val="Prrafodelista"/>
        <w:numPr>
          <w:ilvl w:val="1"/>
          <w:numId w:val="8"/>
        </w:numPr>
        <w:tabs>
          <w:tab w:val="left" w:pos="426"/>
        </w:tabs>
        <w:spacing w:before="240" w:after="240" w:line="360" w:lineRule="auto"/>
        <w:ind w:left="993" w:right="51"/>
        <w:jc w:val="both"/>
        <w:rPr>
          <w:rFonts w:ascii="Palatino Linotype" w:hAnsi="Palatino Linotype"/>
          <w:color w:val="000000" w:themeColor="text1"/>
        </w:rPr>
      </w:pPr>
      <w:r w:rsidRPr="00230AAF">
        <w:rPr>
          <w:rFonts w:ascii="Palatino Linotype" w:hAnsi="Palatino Linotype"/>
          <w:b/>
          <w:color w:val="000000" w:themeColor="text1"/>
        </w:rPr>
        <w:t>Instaurar los procedimientos</w:t>
      </w:r>
      <w:r w:rsidRPr="00230AAF">
        <w:rPr>
          <w:rFonts w:ascii="Palatino Linotype" w:hAnsi="Palatino Linotype"/>
          <w:color w:val="000000" w:themeColor="text1"/>
        </w:rPr>
        <w:t xml:space="preserve"> administrativos </w:t>
      </w:r>
      <w:r w:rsidRPr="00230AAF">
        <w:rPr>
          <w:rFonts w:ascii="Palatino Linotype" w:hAnsi="Palatino Linotype"/>
          <w:b/>
          <w:color w:val="000000" w:themeColor="text1"/>
        </w:rPr>
        <w:t>para cancelar licencias o permisos y clausurar o suspender las obras</w:t>
      </w:r>
      <w:r w:rsidRPr="00230AAF">
        <w:rPr>
          <w:rFonts w:ascii="Palatino Linotype" w:hAnsi="Palatino Linotype"/>
          <w:color w:val="000000" w:themeColor="text1"/>
        </w:rPr>
        <w:t xml:space="preserve"> temporal o definitivamente, así como imponer las sanciones correspondientes cuando no se acate lo establecido en este Bando Municipal y demás disposiciones aplicables.</w:t>
      </w:r>
    </w:p>
    <w:p w14:paraId="34556149" w14:textId="77777777" w:rsidR="00652185" w:rsidRPr="00230AAF" w:rsidRDefault="00652185" w:rsidP="00652185">
      <w:pPr>
        <w:pStyle w:val="Prrafodelista"/>
        <w:tabs>
          <w:tab w:val="left" w:pos="426"/>
        </w:tabs>
        <w:spacing w:before="240" w:after="240" w:line="360" w:lineRule="auto"/>
        <w:ind w:left="0" w:right="51"/>
        <w:jc w:val="both"/>
        <w:rPr>
          <w:rFonts w:ascii="Palatino Linotype" w:hAnsi="Palatino Linotype"/>
          <w:color w:val="000000" w:themeColor="text1"/>
        </w:rPr>
      </w:pPr>
    </w:p>
    <w:p w14:paraId="4A820197" w14:textId="77777777" w:rsidR="00652185" w:rsidRPr="00230AAF" w:rsidRDefault="00652185" w:rsidP="00652185">
      <w:pPr>
        <w:numPr>
          <w:ilvl w:val="0"/>
          <w:numId w:val="1"/>
        </w:numPr>
        <w:spacing w:line="360" w:lineRule="auto"/>
        <w:ind w:left="0" w:right="49" w:firstLine="0"/>
        <w:jc w:val="both"/>
        <w:rPr>
          <w:rFonts w:ascii="Palatino Linotype" w:hAnsi="Palatino Linotype"/>
          <w:color w:val="000000" w:themeColor="text1"/>
        </w:rPr>
      </w:pPr>
      <w:r w:rsidRPr="00230AAF">
        <w:rPr>
          <w:rFonts w:ascii="Palatino Linotype" w:hAnsi="Palatino Linotype"/>
          <w:color w:val="000000" w:themeColor="text1"/>
        </w:rPr>
        <w:t>De lo anterior se coligue que la licencia, el permiso y la constancia de construcción suponen trámites diversos entre sí, los cuales, se encuentran definidos en el Título Segundo del Libro Décimo Octavo del Código Administrativo del Estado de México y Municipios.</w:t>
      </w:r>
    </w:p>
    <w:p w14:paraId="7883D00C" w14:textId="77777777" w:rsidR="00652185" w:rsidRPr="00230AAF" w:rsidRDefault="00652185" w:rsidP="00652185">
      <w:pPr>
        <w:spacing w:line="360" w:lineRule="auto"/>
        <w:ind w:right="49"/>
        <w:jc w:val="both"/>
        <w:rPr>
          <w:rFonts w:ascii="Palatino Linotype" w:hAnsi="Palatino Linotype"/>
          <w:color w:val="000000" w:themeColor="text1"/>
        </w:rPr>
      </w:pPr>
    </w:p>
    <w:p w14:paraId="73D16686" w14:textId="77777777" w:rsidR="00652185" w:rsidRPr="00230AAF" w:rsidRDefault="00652185" w:rsidP="00652185">
      <w:pPr>
        <w:numPr>
          <w:ilvl w:val="0"/>
          <w:numId w:val="1"/>
        </w:numPr>
        <w:spacing w:line="360" w:lineRule="auto"/>
        <w:ind w:left="0" w:right="49" w:firstLine="0"/>
        <w:jc w:val="both"/>
        <w:rPr>
          <w:rFonts w:ascii="Palatino Linotype" w:hAnsi="Palatino Linotype"/>
          <w:color w:val="000000" w:themeColor="text1"/>
        </w:rPr>
      </w:pPr>
      <w:r w:rsidRPr="00230AAF">
        <w:rPr>
          <w:rFonts w:ascii="Palatino Linotype" w:hAnsi="Palatino Linotype"/>
          <w:color w:val="000000" w:themeColor="text1"/>
        </w:rPr>
        <w:t xml:space="preserve">Establecido lo anterior, por cuanto hace a la </w:t>
      </w:r>
      <w:r w:rsidRPr="00230AAF">
        <w:rPr>
          <w:rFonts w:ascii="Palatino Linotype" w:hAnsi="Palatino Linotype"/>
          <w:b/>
          <w:color w:val="000000" w:themeColor="text1"/>
        </w:rPr>
        <w:t>licencia de construcción</w:t>
      </w:r>
      <w:r w:rsidRPr="00230AAF">
        <w:rPr>
          <w:rFonts w:ascii="Palatino Linotype" w:hAnsi="Palatino Linotype"/>
          <w:color w:val="000000" w:themeColor="text1"/>
        </w:rPr>
        <w:t>, tendrá por objeto autorizar</w:t>
      </w:r>
      <w:r w:rsidRPr="00230AAF">
        <w:rPr>
          <w:rStyle w:val="Refdenotaalpie"/>
          <w:rFonts w:ascii="Palatino Linotype" w:hAnsi="Palatino Linotype"/>
          <w:color w:val="000000" w:themeColor="text1"/>
        </w:rPr>
        <w:footnoteReference w:id="3"/>
      </w:r>
      <w:r w:rsidRPr="00230AAF">
        <w:rPr>
          <w:rFonts w:ascii="Palatino Linotype" w:hAnsi="Palatino Linotype"/>
          <w:color w:val="000000" w:themeColor="text1"/>
        </w:rPr>
        <w:t>:</w:t>
      </w:r>
    </w:p>
    <w:p w14:paraId="435720C9" w14:textId="77777777" w:rsidR="00652185" w:rsidRPr="00230AAF" w:rsidRDefault="00652185" w:rsidP="00652185">
      <w:pPr>
        <w:pStyle w:val="Prrafodelista"/>
        <w:numPr>
          <w:ilvl w:val="1"/>
          <w:numId w:val="9"/>
        </w:numPr>
        <w:tabs>
          <w:tab w:val="left" w:pos="426"/>
        </w:tabs>
        <w:spacing w:before="240" w:after="240" w:line="360" w:lineRule="auto"/>
        <w:ind w:left="1134" w:right="51"/>
        <w:jc w:val="both"/>
        <w:rPr>
          <w:rFonts w:ascii="Palatino Linotype" w:hAnsi="Palatino Linotype"/>
          <w:color w:val="000000" w:themeColor="text1"/>
        </w:rPr>
      </w:pPr>
      <w:r w:rsidRPr="00230AAF">
        <w:rPr>
          <w:rFonts w:ascii="Palatino Linotype" w:hAnsi="Palatino Linotype"/>
          <w:color w:val="000000" w:themeColor="text1"/>
        </w:rPr>
        <w:t>Obra nueva;</w:t>
      </w:r>
    </w:p>
    <w:p w14:paraId="00918D79" w14:textId="77777777" w:rsidR="00652185" w:rsidRPr="00230AAF" w:rsidRDefault="00652185" w:rsidP="00652185">
      <w:pPr>
        <w:pStyle w:val="Prrafodelista"/>
        <w:numPr>
          <w:ilvl w:val="1"/>
          <w:numId w:val="9"/>
        </w:numPr>
        <w:tabs>
          <w:tab w:val="left" w:pos="426"/>
        </w:tabs>
        <w:spacing w:before="240" w:after="240" w:line="360" w:lineRule="auto"/>
        <w:ind w:left="1134" w:right="51"/>
        <w:jc w:val="both"/>
        <w:rPr>
          <w:rFonts w:ascii="Palatino Linotype" w:hAnsi="Palatino Linotype"/>
          <w:color w:val="000000" w:themeColor="text1"/>
        </w:rPr>
      </w:pPr>
      <w:r w:rsidRPr="00230AAF">
        <w:rPr>
          <w:rFonts w:ascii="Palatino Linotype" w:hAnsi="Palatino Linotype"/>
          <w:color w:val="000000" w:themeColor="text1"/>
        </w:rPr>
        <w:t xml:space="preserve">Ampliación, modificación o reparación que afecte elementos estructurales de la obra existente; </w:t>
      </w:r>
    </w:p>
    <w:p w14:paraId="6AED1540" w14:textId="77777777" w:rsidR="00652185" w:rsidRPr="00230AAF" w:rsidRDefault="00652185" w:rsidP="00652185">
      <w:pPr>
        <w:pStyle w:val="Prrafodelista"/>
        <w:numPr>
          <w:ilvl w:val="1"/>
          <w:numId w:val="9"/>
        </w:numPr>
        <w:tabs>
          <w:tab w:val="left" w:pos="426"/>
        </w:tabs>
        <w:spacing w:before="240" w:after="240" w:line="360" w:lineRule="auto"/>
        <w:ind w:left="1134" w:right="51"/>
        <w:jc w:val="both"/>
        <w:rPr>
          <w:rFonts w:ascii="Palatino Linotype" w:hAnsi="Palatino Linotype"/>
          <w:color w:val="000000" w:themeColor="text1"/>
        </w:rPr>
      </w:pPr>
      <w:r w:rsidRPr="00230AAF">
        <w:rPr>
          <w:rFonts w:ascii="Palatino Linotype" w:hAnsi="Palatino Linotype"/>
          <w:color w:val="000000" w:themeColor="text1"/>
        </w:rPr>
        <w:t xml:space="preserve">Demolición parcial o total; </w:t>
      </w:r>
    </w:p>
    <w:p w14:paraId="24551E3B" w14:textId="77777777" w:rsidR="00652185" w:rsidRPr="00230AAF" w:rsidRDefault="00652185" w:rsidP="00652185">
      <w:pPr>
        <w:pStyle w:val="Prrafodelista"/>
        <w:numPr>
          <w:ilvl w:val="1"/>
          <w:numId w:val="9"/>
        </w:numPr>
        <w:tabs>
          <w:tab w:val="left" w:pos="426"/>
        </w:tabs>
        <w:spacing w:before="240" w:after="240" w:line="360" w:lineRule="auto"/>
        <w:ind w:left="1134" w:right="51"/>
        <w:jc w:val="both"/>
        <w:rPr>
          <w:rFonts w:ascii="Palatino Linotype" w:hAnsi="Palatino Linotype"/>
          <w:color w:val="000000" w:themeColor="text1"/>
        </w:rPr>
      </w:pPr>
      <w:r w:rsidRPr="00230AAF">
        <w:rPr>
          <w:rFonts w:ascii="Palatino Linotype" w:hAnsi="Palatino Linotype"/>
          <w:color w:val="000000" w:themeColor="text1"/>
        </w:rPr>
        <w:t xml:space="preserve">Excavación o relleno; </w:t>
      </w:r>
    </w:p>
    <w:p w14:paraId="707584B0" w14:textId="77777777" w:rsidR="00652185" w:rsidRPr="00230AAF" w:rsidRDefault="00652185" w:rsidP="00652185">
      <w:pPr>
        <w:pStyle w:val="Prrafodelista"/>
        <w:numPr>
          <w:ilvl w:val="1"/>
          <w:numId w:val="9"/>
        </w:numPr>
        <w:tabs>
          <w:tab w:val="left" w:pos="426"/>
        </w:tabs>
        <w:spacing w:before="240" w:after="240" w:line="360" w:lineRule="auto"/>
        <w:ind w:left="1134" w:right="51"/>
        <w:jc w:val="both"/>
        <w:rPr>
          <w:rFonts w:ascii="Palatino Linotype" w:hAnsi="Palatino Linotype"/>
          <w:color w:val="000000" w:themeColor="text1"/>
        </w:rPr>
      </w:pPr>
      <w:r w:rsidRPr="00230AAF">
        <w:rPr>
          <w:rFonts w:ascii="Palatino Linotype" w:hAnsi="Palatino Linotype"/>
          <w:color w:val="000000" w:themeColor="text1"/>
        </w:rPr>
        <w:t xml:space="preserve">Construcción de bardas; </w:t>
      </w:r>
    </w:p>
    <w:p w14:paraId="67704A2C" w14:textId="77777777" w:rsidR="00652185" w:rsidRPr="00230AAF" w:rsidRDefault="00652185" w:rsidP="00652185">
      <w:pPr>
        <w:pStyle w:val="Prrafodelista"/>
        <w:numPr>
          <w:ilvl w:val="1"/>
          <w:numId w:val="9"/>
        </w:numPr>
        <w:tabs>
          <w:tab w:val="left" w:pos="426"/>
        </w:tabs>
        <w:spacing w:before="240" w:after="240" w:line="360" w:lineRule="auto"/>
        <w:ind w:left="1134" w:right="51"/>
        <w:jc w:val="both"/>
        <w:rPr>
          <w:rFonts w:ascii="Palatino Linotype" w:hAnsi="Palatino Linotype"/>
          <w:color w:val="000000" w:themeColor="text1"/>
        </w:rPr>
      </w:pPr>
      <w:r w:rsidRPr="00230AAF">
        <w:rPr>
          <w:rFonts w:ascii="Palatino Linotype" w:hAnsi="Palatino Linotype"/>
          <w:color w:val="000000" w:themeColor="text1"/>
        </w:rPr>
        <w:t xml:space="preserve">Obras de conexión a las redes de agua potable y drenaje; </w:t>
      </w:r>
    </w:p>
    <w:p w14:paraId="59DA6C19" w14:textId="77777777" w:rsidR="00652185" w:rsidRPr="00230AAF" w:rsidRDefault="00652185" w:rsidP="00652185">
      <w:pPr>
        <w:pStyle w:val="Prrafodelista"/>
        <w:numPr>
          <w:ilvl w:val="1"/>
          <w:numId w:val="9"/>
        </w:numPr>
        <w:tabs>
          <w:tab w:val="left" w:pos="426"/>
        </w:tabs>
        <w:spacing w:before="240" w:after="240" w:line="360" w:lineRule="auto"/>
        <w:ind w:left="1134" w:right="51"/>
        <w:jc w:val="both"/>
        <w:rPr>
          <w:rFonts w:ascii="Palatino Linotype" w:hAnsi="Palatino Linotype"/>
          <w:color w:val="000000" w:themeColor="text1"/>
        </w:rPr>
      </w:pPr>
      <w:r w:rsidRPr="00230AAF">
        <w:rPr>
          <w:rFonts w:ascii="Palatino Linotype" w:hAnsi="Palatino Linotype"/>
          <w:color w:val="000000" w:themeColor="text1"/>
        </w:rPr>
        <w:t xml:space="preserve">Modificación del proyecto de una obra autorizada; </w:t>
      </w:r>
    </w:p>
    <w:p w14:paraId="2B71ED6D" w14:textId="77777777" w:rsidR="00652185" w:rsidRPr="00230AAF" w:rsidRDefault="00652185" w:rsidP="00652185">
      <w:pPr>
        <w:pStyle w:val="Prrafodelista"/>
        <w:numPr>
          <w:ilvl w:val="1"/>
          <w:numId w:val="9"/>
        </w:numPr>
        <w:tabs>
          <w:tab w:val="left" w:pos="426"/>
        </w:tabs>
        <w:spacing w:before="240" w:after="240" w:line="360" w:lineRule="auto"/>
        <w:ind w:left="1134" w:right="51"/>
        <w:jc w:val="both"/>
        <w:rPr>
          <w:rFonts w:ascii="Palatino Linotype" w:hAnsi="Palatino Linotype"/>
          <w:color w:val="000000" w:themeColor="text1"/>
        </w:rPr>
      </w:pPr>
      <w:r w:rsidRPr="00230AAF">
        <w:rPr>
          <w:rFonts w:ascii="Palatino Linotype" w:hAnsi="Palatino Linotype"/>
          <w:color w:val="000000" w:themeColor="text1"/>
        </w:rPr>
        <w:lastRenderedPageBreak/>
        <w:t xml:space="preserve">Construcción e instalación de estaciones repetidoras y antenas para radiotelecomunicaciones; </w:t>
      </w:r>
    </w:p>
    <w:p w14:paraId="4CAE291E" w14:textId="77777777" w:rsidR="00652185" w:rsidRPr="00230AAF" w:rsidRDefault="00652185" w:rsidP="00652185">
      <w:pPr>
        <w:pStyle w:val="Prrafodelista"/>
        <w:numPr>
          <w:ilvl w:val="1"/>
          <w:numId w:val="9"/>
        </w:numPr>
        <w:tabs>
          <w:tab w:val="left" w:pos="426"/>
        </w:tabs>
        <w:spacing w:before="240" w:after="240" w:line="360" w:lineRule="auto"/>
        <w:ind w:left="1134" w:right="51"/>
        <w:jc w:val="both"/>
        <w:rPr>
          <w:rFonts w:ascii="Palatino Linotype" w:hAnsi="Palatino Linotype"/>
          <w:color w:val="000000" w:themeColor="text1"/>
        </w:rPr>
      </w:pPr>
      <w:r w:rsidRPr="00230AAF">
        <w:rPr>
          <w:rFonts w:ascii="Palatino Linotype" w:hAnsi="Palatino Linotype"/>
          <w:color w:val="000000" w:themeColor="text1"/>
        </w:rPr>
        <w:t xml:space="preserve">Anuncios publicitarios que requieran de elementos estructurales; e </w:t>
      </w:r>
    </w:p>
    <w:p w14:paraId="506C386B" w14:textId="77777777" w:rsidR="00652185" w:rsidRPr="00230AAF" w:rsidRDefault="00652185" w:rsidP="00652185">
      <w:pPr>
        <w:pStyle w:val="Prrafodelista"/>
        <w:numPr>
          <w:ilvl w:val="1"/>
          <w:numId w:val="9"/>
        </w:numPr>
        <w:tabs>
          <w:tab w:val="left" w:pos="426"/>
        </w:tabs>
        <w:spacing w:before="240" w:after="240" w:line="360" w:lineRule="auto"/>
        <w:ind w:left="1134" w:right="51"/>
        <w:jc w:val="both"/>
        <w:rPr>
          <w:rFonts w:ascii="Palatino Linotype" w:hAnsi="Palatino Linotype"/>
          <w:color w:val="000000" w:themeColor="text1"/>
        </w:rPr>
      </w:pPr>
      <w:r w:rsidRPr="00230AAF">
        <w:rPr>
          <w:rFonts w:ascii="Palatino Linotype" w:hAnsi="Palatino Linotype"/>
          <w:color w:val="000000" w:themeColor="text1"/>
        </w:rPr>
        <w:t>Instalaciones o modificaciones de ascensores para personas, montacargas, escaleras mecánicas o cualquier otro mecanismo de transporte electromecánico.</w:t>
      </w:r>
    </w:p>
    <w:p w14:paraId="62BD3683" w14:textId="77777777" w:rsidR="00652185" w:rsidRPr="00230AAF" w:rsidRDefault="00652185" w:rsidP="00652185">
      <w:pPr>
        <w:numPr>
          <w:ilvl w:val="0"/>
          <w:numId w:val="1"/>
        </w:numPr>
        <w:spacing w:line="360" w:lineRule="auto"/>
        <w:ind w:left="0" w:right="49" w:firstLine="0"/>
        <w:jc w:val="both"/>
        <w:rPr>
          <w:rFonts w:ascii="Palatino Linotype" w:hAnsi="Palatino Linotype"/>
          <w:color w:val="000000" w:themeColor="text1"/>
        </w:rPr>
      </w:pPr>
      <w:r w:rsidRPr="00230AAF">
        <w:rPr>
          <w:rFonts w:ascii="Palatino Linotype" w:hAnsi="Palatino Linotype"/>
          <w:color w:val="000000" w:themeColor="text1"/>
        </w:rPr>
        <w:t xml:space="preserve">Respecto a los </w:t>
      </w:r>
      <w:r w:rsidRPr="00230AAF">
        <w:rPr>
          <w:rFonts w:ascii="Palatino Linotype" w:hAnsi="Palatino Linotype"/>
          <w:b/>
          <w:color w:val="000000" w:themeColor="text1"/>
        </w:rPr>
        <w:t>permisos de obra</w:t>
      </w:r>
      <w:r w:rsidRPr="00230AAF">
        <w:rPr>
          <w:rFonts w:ascii="Palatino Linotype" w:hAnsi="Palatino Linotype"/>
          <w:color w:val="000000" w:themeColor="text1"/>
        </w:rPr>
        <w:t>, éstos autorizarán la ejecución de obras subterráneas o aéreas en la vía pública, para la instalación, mantenimiento o retiro de ductos o líneas para la conducción de energía eléctrica, telefonía inalámbrica, telecomunicaciones, gasoductos, oleoductos, televisión por cable y demás fluidos, así como para la instalación de anuncios publicitarios que requieran de elementos estructurales</w:t>
      </w:r>
      <w:r w:rsidRPr="00230AAF">
        <w:rPr>
          <w:rStyle w:val="Refdenotaalpie"/>
          <w:rFonts w:ascii="Palatino Linotype" w:hAnsi="Palatino Linotype"/>
          <w:color w:val="000000" w:themeColor="text1"/>
        </w:rPr>
        <w:footnoteReference w:id="4"/>
      </w:r>
      <w:r w:rsidRPr="00230AAF">
        <w:rPr>
          <w:rFonts w:ascii="Palatino Linotype" w:hAnsi="Palatino Linotype"/>
          <w:color w:val="000000" w:themeColor="text1"/>
        </w:rPr>
        <w:t>.</w:t>
      </w:r>
    </w:p>
    <w:p w14:paraId="0FE13109" w14:textId="77777777" w:rsidR="00652185" w:rsidRPr="00230AAF" w:rsidRDefault="00652185" w:rsidP="00652185">
      <w:pPr>
        <w:spacing w:line="360" w:lineRule="auto"/>
        <w:ind w:right="49"/>
        <w:jc w:val="both"/>
        <w:rPr>
          <w:rFonts w:ascii="Palatino Linotype" w:hAnsi="Palatino Linotype"/>
          <w:color w:val="000000" w:themeColor="text1"/>
        </w:rPr>
      </w:pPr>
    </w:p>
    <w:p w14:paraId="4D22D9E5" w14:textId="77777777" w:rsidR="00652185" w:rsidRPr="00230AAF" w:rsidRDefault="00652185" w:rsidP="00652185">
      <w:pPr>
        <w:numPr>
          <w:ilvl w:val="0"/>
          <w:numId w:val="1"/>
        </w:numPr>
        <w:spacing w:line="360" w:lineRule="auto"/>
        <w:ind w:left="0" w:right="49" w:firstLine="0"/>
        <w:jc w:val="both"/>
        <w:rPr>
          <w:rFonts w:ascii="Palatino Linotype" w:hAnsi="Palatino Linotype"/>
          <w:color w:val="000000" w:themeColor="text1"/>
        </w:rPr>
      </w:pPr>
      <w:r w:rsidRPr="00230AAF">
        <w:rPr>
          <w:rFonts w:ascii="Palatino Linotype" w:hAnsi="Palatino Linotype"/>
          <w:color w:val="000000" w:themeColor="text1"/>
        </w:rPr>
        <w:t>Por su parte, en lo que corresponde a las constancias, el Libro Décimo Octavo del Código Administrativo Estatal, señala que se dividirán en tres tipos:</w:t>
      </w:r>
    </w:p>
    <w:p w14:paraId="4D0E05CD" w14:textId="77777777" w:rsidR="00652185" w:rsidRPr="00230AAF" w:rsidRDefault="00652185" w:rsidP="00652185">
      <w:pPr>
        <w:pStyle w:val="Prrafodelista"/>
        <w:numPr>
          <w:ilvl w:val="1"/>
          <w:numId w:val="8"/>
        </w:numPr>
        <w:tabs>
          <w:tab w:val="left" w:pos="426"/>
        </w:tabs>
        <w:spacing w:before="240" w:after="240" w:line="360" w:lineRule="auto"/>
        <w:ind w:left="1134" w:right="51"/>
        <w:jc w:val="both"/>
        <w:rPr>
          <w:rFonts w:ascii="Palatino Linotype" w:hAnsi="Palatino Linotype"/>
          <w:color w:val="000000" w:themeColor="text1"/>
        </w:rPr>
      </w:pPr>
      <w:r w:rsidRPr="00230AAF">
        <w:rPr>
          <w:rFonts w:ascii="Palatino Linotype" w:hAnsi="Palatino Linotype"/>
          <w:color w:val="000000" w:themeColor="text1"/>
        </w:rPr>
        <w:t>De terminación de obra</w:t>
      </w:r>
      <w:r w:rsidRPr="00230AAF">
        <w:rPr>
          <w:rStyle w:val="Refdenotaalpie"/>
          <w:rFonts w:ascii="Palatino Linotype" w:hAnsi="Palatino Linotype"/>
          <w:color w:val="000000" w:themeColor="text1"/>
        </w:rPr>
        <w:footnoteReference w:id="5"/>
      </w:r>
      <w:r w:rsidRPr="00230AAF">
        <w:rPr>
          <w:rFonts w:ascii="Palatino Linotype" w:hAnsi="Palatino Linotype"/>
          <w:color w:val="000000" w:themeColor="text1"/>
        </w:rPr>
        <w:t>;</w:t>
      </w:r>
    </w:p>
    <w:p w14:paraId="2E015A9F" w14:textId="77777777" w:rsidR="00652185" w:rsidRPr="00230AAF" w:rsidRDefault="00652185" w:rsidP="00652185">
      <w:pPr>
        <w:pStyle w:val="Prrafodelista"/>
        <w:numPr>
          <w:ilvl w:val="1"/>
          <w:numId w:val="8"/>
        </w:numPr>
        <w:tabs>
          <w:tab w:val="left" w:pos="426"/>
        </w:tabs>
        <w:spacing w:before="240" w:after="240" w:line="360" w:lineRule="auto"/>
        <w:ind w:left="1134" w:right="51"/>
        <w:jc w:val="both"/>
        <w:rPr>
          <w:rFonts w:ascii="Palatino Linotype" w:hAnsi="Palatino Linotype"/>
          <w:color w:val="000000" w:themeColor="text1"/>
        </w:rPr>
      </w:pPr>
      <w:r w:rsidRPr="00230AAF">
        <w:rPr>
          <w:rFonts w:ascii="Palatino Linotype" w:hAnsi="Palatino Linotype"/>
          <w:color w:val="000000" w:themeColor="text1"/>
        </w:rPr>
        <w:t>De suspensión voluntaria de la obra</w:t>
      </w:r>
      <w:r w:rsidRPr="00230AAF">
        <w:rPr>
          <w:rStyle w:val="Refdenotaalpie"/>
          <w:rFonts w:ascii="Palatino Linotype" w:hAnsi="Palatino Linotype"/>
          <w:color w:val="000000" w:themeColor="text1"/>
        </w:rPr>
        <w:footnoteReference w:id="6"/>
      </w:r>
      <w:r w:rsidRPr="00230AAF">
        <w:rPr>
          <w:rFonts w:ascii="Palatino Linotype" w:hAnsi="Palatino Linotype"/>
          <w:color w:val="000000" w:themeColor="text1"/>
        </w:rPr>
        <w:t>; y</w:t>
      </w:r>
    </w:p>
    <w:p w14:paraId="04FE54BD" w14:textId="77777777" w:rsidR="00652185" w:rsidRPr="00230AAF" w:rsidRDefault="00652185" w:rsidP="00652185">
      <w:pPr>
        <w:pStyle w:val="Prrafodelista"/>
        <w:numPr>
          <w:ilvl w:val="1"/>
          <w:numId w:val="8"/>
        </w:numPr>
        <w:tabs>
          <w:tab w:val="left" w:pos="426"/>
        </w:tabs>
        <w:spacing w:before="240" w:after="240" w:line="360" w:lineRule="auto"/>
        <w:ind w:left="1134" w:right="51"/>
        <w:jc w:val="both"/>
        <w:rPr>
          <w:rFonts w:ascii="Palatino Linotype" w:hAnsi="Palatino Linotype"/>
          <w:color w:val="000000" w:themeColor="text1"/>
        </w:rPr>
      </w:pPr>
      <w:r w:rsidRPr="00230AAF">
        <w:rPr>
          <w:rFonts w:ascii="Palatino Linotype" w:hAnsi="Palatino Linotype"/>
          <w:color w:val="000000" w:themeColor="text1"/>
        </w:rPr>
        <w:t>De alineamiento y número oficial</w:t>
      </w:r>
      <w:r w:rsidRPr="00230AAF">
        <w:rPr>
          <w:rStyle w:val="Refdenotaalpie"/>
          <w:rFonts w:ascii="Palatino Linotype" w:hAnsi="Palatino Linotype"/>
          <w:color w:val="000000" w:themeColor="text1"/>
        </w:rPr>
        <w:footnoteReference w:id="7"/>
      </w:r>
      <w:r w:rsidRPr="00230AAF">
        <w:rPr>
          <w:rFonts w:ascii="Palatino Linotype" w:hAnsi="Palatino Linotype"/>
          <w:color w:val="000000" w:themeColor="text1"/>
        </w:rPr>
        <w:t>.</w:t>
      </w:r>
    </w:p>
    <w:p w14:paraId="2C059B5F" w14:textId="77777777" w:rsidR="00652185" w:rsidRDefault="00652185" w:rsidP="00652185">
      <w:pPr>
        <w:pStyle w:val="Prrafodelista"/>
        <w:rPr>
          <w:rFonts w:ascii="Palatino Linotype" w:eastAsia="Palatino Linotype" w:hAnsi="Palatino Linotype" w:cs="Palatino Linotype"/>
          <w:color w:val="000000"/>
        </w:rPr>
      </w:pPr>
    </w:p>
    <w:p w14:paraId="6E2654A4" w14:textId="77777777" w:rsidR="00144EDA" w:rsidRDefault="00C81811" w:rsidP="00C81811">
      <w:pPr>
        <w:numPr>
          <w:ilvl w:val="0"/>
          <w:numId w:val="1"/>
        </w:numPr>
        <w:spacing w:line="360" w:lineRule="auto"/>
        <w:ind w:left="0" w:right="49" w:firstLine="0"/>
        <w:jc w:val="both"/>
        <w:rPr>
          <w:rFonts w:ascii="Palatino Linotype" w:eastAsia="Palatino Linotype" w:hAnsi="Palatino Linotype" w:cs="Palatino Linotype"/>
        </w:rPr>
      </w:pPr>
      <w:r w:rsidRPr="00C81811">
        <w:rPr>
          <w:rFonts w:ascii="Palatino Linotype" w:eastAsia="Palatino Linotype" w:hAnsi="Palatino Linotype" w:cs="Palatino Linotype"/>
          <w:color w:val="000000"/>
        </w:rPr>
        <w:t>Relativo</w:t>
      </w:r>
      <w:r>
        <w:rPr>
          <w:rFonts w:ascii="Palatino Linotype" w:eastAsia="Palatino Linotype" w:hAnsi="Palatino Linotype" w:cs="Palatino Linotype"/>
          <w:color w:val="000000"/>
        </w:rPr>
        <w:t xml:space="preserve"> al acta </w:t>
      </w:r>
      <w:r w:rsidRPr="00C81811">
        <w:rPr>
          <w:rFonts w:ascii="Palatino Linotype" w:eastAsia="Palatino Linotype" w:hAnsi="Palatino Linotype" w:cs="Palatino Linotype"/>
        </w:rPr>
        <w:t>de</w:t>
      </w:r>
      <w:r>
        <w:rPr>
          <w:rFonts w:ascii="Palatino Linotype" w:eastAsia="Palatino Linotype" w:hAnsi="Palatino Linotype" w:cs="Palatino Linotype"/>
          <w:color w:val="000000"/>
        </w:rPr>
        <w:t xml:space="preserve"> cabildo, es trascendental mencionar que el Ayuntamiento, como órgano colegiado y deliberante, es la autoridad máxima en un municipio, y cuyas decisiones </w:t>
      </w:r>
      <w:r>
        <w:rPr>
          <w:rFonts w:ascii="Palatino Linotype" w:eastAsia="Palatino Linotype" w:hAnsi="Palatino Linotype" w:cs="Palatino Linotype"/>
          <w:color w:val="000000"/>
        </w:rPr>
        <w:lastRenderedPageBreak/>
        <w:t>se establecen a través de las sesiones de cabildo que para tal efecto lleve a cabo, tal y como lo establece el artículo 30 segundo párrafo de la misma Ley Orgánica que a la letra dice:</w:t>
      </w:r>
    </w:p>
    <w:p w14:paraId="4F89FC35" w14:textId="77777777" w:rsidR="00144EDA" w:rsidRDefault="00C81811">
      <w:pPr>
        <w:pBdr>
          <w:top w:val="nil"/>
          <w:left w:val="nil"/>
          <w:bottom w:val="nil"/>
          <w:right w:val="nil"/>
          <w:between w:val="nil"/>
        </w:pBdr>
        <w:ind w:left="851" w:right="6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30. Las sesiones del ayuntamiento serán presididas por el presidente municipal o por quien lo sustituya legalmente; constarán en un libro que deberá contener las actas en las cuales deberán asentarse los extractos de los acuerdos y asuntos tratados y el resultado de la votación. Cuando se refieran a reglamentos y otras normas de carácter general que sean de observancia municipal estos constarán íntegramente en el libro de actas debiendo firmar en</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i/>
          <w:iCs/>
          <w:color w:val="000000"/>
        </w:rPr>
        <w:t>ambos casos los miembros del Ayuntamiento que hayan estado presentes, debiéndose difundir en el Gaceta Municipal y en los estrados de la Secretaría del Ayuntamiento. De las actas, se les entregará copia certificada en formato físico o electrónico a los integrantes del Ayuntamiento que lo soliciten en un plazo no mayor de ocho días hábiles. Los documentos electrónicos en el que consten las firmas electrónicas avanzadas o el sello electrónico de los integrantes del Ayuntamiento tendrá el carácter de copia certificada.</w:t>
      </w:r>
    </w:p>
    <w:p w14:paraId="7B9D54FE" w14:textId="77777777" w:rsidR="00144EDA" w:rsidRDefault="00C81811">
      <w:pPr>
        <w:pBdr>
          <w:top w:val="nil"/>
          <w:left w:val="nil"/>
          <w:bottom w:val="nil"/>
          <w:right w:val="nil"/>
          <w:between w:val="nil"/>
        </w:pBdr>
        <w:ind w:left="851" w:right="6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Todos los acuerdos de las sesiones que no contengan información clasificada y el resultado de su votación, serán difundidos cada mes en la Gaceta Municipal y en los estrados de la Secretaría del Ayuntamiento, así como los datos de identificación de las actas que contengan información clasificada, incluyendo en cada caso, el fundamento legal que clasifica la información.</w:t>
      </w:r>
    </w:p>
    <w:p w14:paraId="5DD28903" w14:textId="77777777" w:rsidR="00144EDA" w:rsidRDefault="00C81811">
      <w:pPr>
        <w:pBdr>
          <w:top w:val="nil"/>
          <w:left w:val="nil"/>
          <w:bottom w:val="nil"/>
          <w:right w:val="nil"/>
          <w:between w:val="nil"/>
        </w:pBdr>
        <w:ind w:left="851" w:right="61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u w:val="single"/>
        </w:rPr>
        <w:t>Para cada sesión se deberá contar con una versión estenográfica o videograbada</w:t>
      </w:r>
      <w:r>
        <w:rPr>
          <w:rFonts w:ascii="Palatino Linotype" w:eastAsia="Palatino Linotype" w:hAnsi="Palatino Linotype" w:cs="Palatino Linotype"/>
          <w:i/>
          <w:iCs/>
          <w:color w:val="000000"/>
        </w:rPr>
        <w:t xml:space="preserve"> que permita hacer las aclaraciones pertinentes, la cual formará parte del acta correspondiente. </w:t>
      </w:r>
      <w:r>
        <w:rPr>
          <w:rFonts w:ascii="Palatino Linotype" w:eastAsia="Palatino Linotype" w:hAnsi="Palatino Linotype" w:cs="Palatino Linotype"/>
          <w:b/>
          <w:bCs/>
          <w:i/>
          <w:iCs/>
          <w:color w:val="000000"/>
          <w:u w:val="single"/>
        </w:rPr>
        <w:t>La versión estenográfica o videograbada deberá estar disponible en la página de internet del Ayuntamiento y en las oficinas de la Secretaría del Ayuntamiento.</w:t>
      </w:r>
    </w:p>
    <w:p w14:paraId="70DF11ED" w14:textId="77777777" w:rsidR="00144EDA" w:rsidRDefault="00144EDA">
      <w:pPr>
        <w:spacing w:line="360" w:lineRule="auto"/>
        <w:ind w:left="502" w:right="49"/>
        <w:jc w:val="both"/>
        <w:rPr>
          <w:rFonts w:ascii="Palatino Linotype" w:eastAsia="Palatino Linotype" w:hAnsi="Palatino Linotype" w:cs="Palatino Linotype"/>
        </w:rPr>
      </w:pPr>
    </w:p>
    <w:p w14:paraId="38BFA922"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De igual forma, el artículo 91 de dicho ordenamiento señala:</w:t>
      </w:r>
    </w:p>
    <w:p w14:paraId="3FBA44FE" w14:textId="77777777" w:rsidR="00144EDA" w:rsidRDefault="00C81811">
      <w:pPr>
        <w:pBdr>
          <w:top w:val="nil"/>
          <w:left w:val="nil"/>
          <w:bottom w:val="nil"/>
          <w:right w:val="nil"/>
          <w:between w:val="nil"/>
        </w:pBdr>
        <w:ind w:left="851"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i/>
          <w:iCs/>
          <w:color w:val="000000"/>
        </w:rPr>
        <w:t>“Artículo 91.- La Secretaría del Ayuntamiento estará a cargo de un Secretario</w:t>
      </w:r>
      <w:r>
        <w:rPr>
          <w:rFonts w:ascii="Palatino Linotype" w:eastAsia="Palatino Linotype" w:hAnsi="Palatino Linotype" w:cs="Palatino Linotype"/>
          <w:i/>
          <w:iCs/>
          <w:color w:val="000000"/>
        </w:rPr>
        <w:t>, el que, sin ser miembro del mismo, deberá ser nombrado por el propio Ayuntamiento a propuesta del Presidente Municipal como lo marca el artículo 31 de la presente ley. </w:t>
      </w:r>
    </w:p>
    <w:p w14:paraId="67F587C8" w14:textId="77777777" w:rsidR="00144EDA" w:rsidRDefault="00C81811">
      <w:pPr>
        <w:pBdr>
          <w:top w:val="nil"/>
          <w:left w:val="nil"/>
          <w:bottom w:val="nil"/>
          <w:right w:val="nil"/>
          <w:between w:val="nil"/>
        </w:pBdr>
        <w:ind w:left="851" w:right="616"/>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Sus faltas temporales serán cubiertas por quien designe el Ayuntamiento y sus atribuciones son las siguientes:</w:t>
      </w:r>
    </w:p>
    <w:p w14:paraId="5166F6BF" w14:textId="77777777" w:rsidR="00144EDA" w:rsidRDefault="00C81811">
      <w:pPr>
        <w:pBdr>
          <w:top w:val="nil"/>
          <w:left w:val="nil"/>
          <w:bottom w:val="nil"/>
          <w:right w:val="nil"/>
          <w:between w:val="nil"/>
        </w:pBdr>
        <w:ind w:left="851"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i/>
          <w:iCs/>
          <w:color w:val="000000"/>
        </w:rPr>
        <w:t>I. Asistir a las sesiones del ayuntamiento y levantar las actas correspondientes;</w:t>
      </w:r>
    </w:p>
    <w:p w14:paraId="7614D739" w14:textId="77777777" w:rsidR="00144EDA" w:rsidRDefault="00C81811">
      <w:pPr>
        <w:pBdr>
          <w:top w:val="nil"/>
          <w:left w:val="nil"/>
          <w:bottom w:val="nil"/>
          <w:right w:val="nil"/>
          <w:between w:val="nil"/>
        </w:pBdr>
        <w:ind w:left="851" w:right="616"/>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lastRenderedPageBreak/>
        <w:t>…</w:t>
      </w:r>
    </w:p>
    <w:p w14:paraId="18919DBF" w14:textId="77777777" w:rsidR="00144EDA" w:rsidRDefault="00C81811">
      <w:pPr>
        <w:pBdr>
          <w:top w:val="nil"/>
          <w:left w:val="nil"/>
          <w:bottom w:val="nil"/>
          <w:right w:val="nil"/>
          <w:between w:val="nil"/>
        </w:pBdr>
        <w:ind w:left="851"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i/>
          <w:iCs/>
          <w:color w:val="000000"/>
        </w:rPr>
        <w:t>IV. Llevar y conservar los libros de actas de cabildo, obteniendo las firmas de los asistentes a las sesiones… (Sic)</w:t>
      </w:r>
    </w:p>
    <w:p w14:paraId="255D5B91" w14:textId="77777777" w:rsidR="00144EDA" w:rsidRDefault="00144EDA">
      <w:pPr>
        <w:pBdr>
          <w:top w:val="nil"/>
          <w:left w:val="nil"/>
          <w:bottom w:val="nil"/>
          <w:right w:val="nil"/>
          <w:between w:val="nil"/>
        </w:pBdr>
        <w:ind w:left="851" w:right="616"/>
        <w:jc w:val="both"/>
        <w:rPr>
          <w:rFonts w:ascii="Palatino Linotype" w:eastAsia="Palatino Linotype" w:hAnsi="Palatino Linotype" w:cs="Palatino Linotype"/>
          <w:i/>
          <w:iCs/>
          <w:color w:val="000000"/>
        </w:rPr>
      </w:pPr>
    </w:p>
    <w:p w14:paraId="098E7F7A" w14:textId="77777777" w:rsidR="00144EDA" w:rsidRDefault="00144EDA">
      <w:pPr>
        <w:pBdr>
          <w:top w:val="nil"/>
          <w:left w:val="nil"/>
          <w:bottom w:val="nil"/>
          <w:right w:val="nil"/>
          <w:between w:val="nil"/>
        </w:pBdr>
        <w:ind w:left="851" w:right="616"/>
        <w:jc w:val="both"/>
        <w:rPr>
          <w:rFonts w:ascii="Palatino Linotype" w:eastAsia="Palatino Linotype" w:hAnsi="Palatino Linotype" w:cs="Palatino Linotype"/>
          <w:color w:val="000000"/>
        </w:rPr>
      </w:pPr>
    </w:p>
    <w:p w14:paraId="3ABD2ED5"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i/>
          <w:iCs/>
        </w:rPr>
      </w:pPr>
      <w:r>
        <w:rPr>
          <w:rFonts w:ascii="Palatino Linotype" w:eastAsia="Palatino Linotype" w:hAnsi="Palatino Linotype" w:cs="Palatino Linotype"/>
        </w:rPr>
        <w:t xml:space="preserve">De los </w:t>
      </w:r>
      <w:r>
        <w:rPr>
          <w:rFonts w:ascii="Palatino Linotype" w:eastAsia="Palatino Linotype" w:hAnsi="Palatino Linotype" w:cs="Palatino Linotype"/>
          <w:color w:val="000000"/>
        </w:rPr>
        <w:t>preceptos</w:t>
      </w:r>
      <w:r>
        <w:rPr>
          <w:rFonts w:ascii="Palatino Linotype" w:eastAsia="Palatino Linotype" w:hAnsi="Palatino Linotype" w:cs="Palatino Linotype"/>
        </w:rPr>
        <w:t xml:space="preserve"> citados con antelación se desprende que cada municipio será gobernado por un Ayuntamiento de elección popular directa, integrado por un Presidente Municipal y el número de regidores y síndicos que la ley determine y dichos Ayuntamientos como órganos deliberantes, deberán resolver colegiadamente los asuntos de su competencia, en una asamblea denominada Cabildo, asimismo, deberán expedir o reformar, en su caso, en la tercera sesión que celebren, el Reglamento de Cabildo, debiendo publicarse en la Gaceta Municipal.</w:t>
      </w:r>
    </w:p>
    <w:p w14:paraId="06BA6E1C" w14:textId="77777777" w:rsidR="00144EDA" w:rsidRDefault="00144EDA">
      <w:pPr>
        <w:spacing w:line="360" w:lineRule="auto"/>
        <w:jc w:val="both"/>
        <w:rPr>
          <w:rFonts w:ascii="Palatino Linotype" w:eastAsia="Palatino Linotype" w:hAnsi="Palatino Linotype" w:cs="Palatino Linotype"/>
        </w:rPr>
      </w:pPr>
    </w:p>
    <w:p w14:paraId="391EDBA6"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Asimismo, se desprende como una atribución del Presidente Municipal, presidir las sesiones de Cabildo; y como atribución del Secretario del Ayuntamiento el asistir a las sesiones del ayuntamiento y levantar las actas correspondientes, emitir los citatorios para la celebración de las sesiones de cabildo, llevar y conservar los libros de actas de cabildo, obteniendo las firmas de los asistentes a las sesiones.</w:t>
      </w:r>
    </w:p>
    <w:p w14:paraId="6FDD40F9" w14:textId="77777777" w:rsidR="00144EDA" w:rsidRDefault="00144EDA">
      <w:pPr>
        <w:spacing w:line="360" w:lineRule="auto"/>
        <w:jc w:val="both"/>
        <w:rPr>
          <w:rFonts w:ascii="Palatino Linotype" w:eastAsia="Palatino Linotype" w:hAnsi="Palatino Linotype" w:cs="Palatino Linotype"/>
        </w:rPr>
      </w:pPr>
    </w:p>
    <w:p w14:paraId="16129036"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Las sesiones de los Ayuntamientos serán públicas, salvo que exista motivo que justifique que éstas sean privadas, las cuales se celebrarán en la sala de cabildos; y cuando la solemnidad del caso lo requiera, en el recinto previamente declarado oficial para tal objeto; asimismo, se podrán sesionar con la asistencia de la mayoría de sus integrantes y sus acuerdos se tomarán por mayoría de votos de sus miembros presentes; constarán en un libro de actas en el cual deberán asentarse los extractos de los acuerdos y asuntos tratado</w:t>
      </w:r>
      <w:r w:rsidR="006A4FBD">
        <w:rPr>
          <w:rFonts w:ascii="Palatino Linotype" w:eastAsia="Palatino Linotype" w:hAnsi="Palatino Linotype" w:cs="Palatino Linotype"/>
        </w:rPr>
        <w:t xml:space="preserve">s </w:t>
      </w:r>
      <w:r w:rsidR="006A4FBD">
        <w:rPr>
          <w:rFonts w:ascii="Palatino Linotype" w:eastAsia="Palatino Linotype" w:hAnsi="Palatino Linotype" w:cs="Palatino Linotype"/>
        </w:rPr>
        <w:lastRenderedPageBreak/>
        <w:t xml:space="preserve">y el resultado de la votación; no obstante que cuenta con dichas atribuciones también lo es que si bien fue anunciado el proyecto por el propio Ayuntamiento, no necesariamente fuera aprobado el desarrollo mediante un acta de cabildo, al existir indicios de que no necesariamente es una obra pública totalmente a cargo del Ayuntamiento, por lo que de ser el caso que no se localice la información de referencia, bastara con que lo haga del conocimiento del </w:t>
      </w:r>
      <w:r w:rsidR="006A4FBD">
        <w:rPr>
          <w:rFonts w:ascii="Palatino Linotype" w:eastAsia="Palatino Linotype" w:hAnsi="Palatino Linotype" w:cs="Palatino Linotype"/>
          <w:b/>
        </w:rPr>
        <w:t xml:space="preserve">RECURRENTE </w:t>
      </w:r>
      <w:r w:rsidR="006A4FBD">
        <w:rPr>
          <w:rFonts w:ascii="Palatino Linotype" w:eastAsia="Palatino Linotype" w:hAnsi="Palatino Linotype" w:cs="Palatino Linotype"/>
        </w:rPr>
        <w:t>al momento de dar cumplimiento a la presente Resolución en términos del artículo 19 párrafo segundo de la Ley de la Materia.</w:t>
      </w:r>
    </w:p>
    <w:p w14:paraId="613335EA" w14:textId="77777777" w:rsidR="00144EDA" w:rsidRDefault="00144EDA">
      <w:pPr>
        <w:spacing w:line="360" w:lineRule="auto"/>
        <w:jc w:val="both"/>
        <w:rPr>
          <w:rFonts w:ascii="Palatino Linotype" w:eastAsia="Palatino Linotype" w:hAnsi="Palatino Linotype" w:cs="Palatino Linotype"/>
        </w:rPr>
      </w:pPr>
    </w:p>
    <w:p w14:paraId="04A84B19" w14:textId="77777777" w:rsidR="00144EDA" w:rsidRDefault="00C81811">
      <w:pPr>
        <w:numPr>
          <w:ilvl w:val="0"/>
          <w:numId w:val="1"/>
        </w:numPr>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Asimismo, todos los acuerdos de las sesiones públicas que no contengan información clasificada y el resultado de su votación, serán difundidos cada mes en la Gaceta Municipal y en los estrados de la Secretaría del Ayuntamiento, así como los datos de identificación de las actas que contengan acuerdos de sesiones privadas o con información clasificada, incluyendo en cada caso, la causa que haya calificado privada la sesión, o el fundamento legal que clasifica dicha información.</w:t>
      </w:r>
    </w:p>
    <w:p w14:paraId="47559F93" w14:textId="77777777" w:rsidR="00144EDA" w:rsidRDefault="00144EDA">
      <w:pPr>
        <w:spacing w:line="360" w:lineRule="auto"/>
        <w:ind w:right="49"/>
        <w:jc w:val="both"/>
        <w:rPr>
          <w:rFonts w:ascii="Palatino Linotype" w:eastAsia="Palatino Linotype" w:hAnsi="Palatino Linotype" w:cs="Palatino Linotype"/>
          <w:b/>
          <w:bCs/>
          <w:color w:val="000000"/>
        </w:rPr>
      </w:pPr>
    </w:p>
    <w:p w14:paraId="3AD7ABA9" w14:textId="77777777" w:rsidR="00144EDA" w:rsidRDefault="00C81811">
      <w:pPr>
        <w:pBdr>
          <w:top w:val="nil"/>
          <w:left w:val="nil"/>
          <w:bottom w:val="nil"/>
          <w:right w:val="nil"/>
          <w:between w:val="nil"/>
        </w:pBdr>
        <w:tabs>
          <w:tab w:val="left" w:pos="284"/>
          <w:tab w:val="left" w:pos="426"/>
        </w:tabs>
        <w:spacing w:line="360" w:lineRule="auto"/>
        <w:ind w:right="4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14:paraId="7EE14363" w14:textId="03C65CD9" w:rsidR="00144EDA" w:rsidRPr="00292618" w:rsidRDefault="00C81811" w:rsidP="00292618">
      <w:pPr>
        <w:pStyle w:val="Prrafodelista"/>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92618">
        <w:rPr>
          <w:rFonts w:ascii="Palatino Linotype" w:eastAsia="Palatino Linotype" w:hAnsi="Palatino Linotype" w:cs="Palatino Linotype"/>
          <w:color w:val="000000"/>
        </w:rPr>
        <w:t xml:space="preserve">Finalmente, debe señalarse que dada la propia y especial naturaleza de lo solicitado, eminentemente contiene múltiples datos personales que deberán ser protegidos como ya quedó asentado en el Considerando anterior del presente proveído. Para dar cumplimiento a la presente resolución, contengan datos que deban ser clasificados, el </w:t>
      </w:r>
      <w:r w:rsidRPr="00292618">
        <w:rPr>
          <w:rFonts w:ascii="Palatino Linotype" w:eastAsia="Palatino Linotype" w:hAnsi="Palatino Linotype" w:cs="Palatino Linotype"/>
          <w:b/>
          <w:bCs/>
          <w:color w:val="000000"/>
        </w:rPr>
        <w:t>SUJETO OBLIGADO</w:t>
      </w:r>
      <w:r w:rsidRPr="00292618">
        <w:rPr>
          <w:rFonts w:ascii="Palatino Linotype" w:eastAsia="Palatino Linotype" w:hAnsi="Palatino Linotype" w:cs="Palatino Linotype"/>
          <w:color w:val="000000"/>
        </w:rPr>
        <w:t xml:space="preserve"> deberá hacer la elaboración de la versión pública de tales documentos a fin de satisfacer el derecho de acceso a la información pública del recurrente sin menoscabo al derecho a la protección de los datos personales de terceros.</w:t>
      </w:r>
    </w:p>
    <w:p w14:paraId="22E33ABB" w14:textId="77777777" w:rsidR="00144EDA" w:rsidRDefault="00144ED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250E4E4"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Por lo que, para efectos de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14:paraId="134C6A25" w14:textId="77777777" w:rsidR="00144EDA" w:rsidRDefault="00C81811">
      <w:pPr>
        <w:spacing w:line="360" w:lineRule="auto"/>
        <w:ind w:left="993" w:right="104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 “Artículo 3. Para los efectos de la presente Ley se entenderá por:</w:t>
      </w:r>
    </w:p>
    <w:p w14:paraId="7590D897" w14:textId="77777777" w:rsidR="00144EDA" w:rsidRDefault="00C81811">
      <w:pPr>
        <w:spacing w:line="360" w:lineRule="auto"/>
        <w:ind w:left="993" w:right="1041"/>
        <w:jc w:val="both"/>
        <w:rPr>
          <w:rFonts w:ascii="Palatino Linotype" w:eastAsia="Palatino Linotype" w:hAnsi="Palatino Linotype" w:cs="Palatino Linotype"/>
          <w:i/>
          <w:iCs/>
        </w:rPr>
      </w:pPr>
      <w:r>
        <w:rPr>
          <w:rFonts w:ascii="Palatino Linotype" w:eastAsia="Palatino Linotype" w:hAnsi="Palatino Linotype" w:cs="Palatino Linotype"/>
          <w:b/>
          <w:bCs/>
          <w:i/>
          <w:iCs/>
        </w:rPr>
        <w:t>IX. Datos personales:</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La información concerniente a una persona, identificada o identificable</w:t>
      </w:r>
      <w:r>
        <w:rPr>
          <w:rFonts w:ascii="Palatino Linotype" w:eastAsia="Palatino Linotype" w:hAnsi="Palatino Linotype" w:cs="Palatino Linotype"/>
          <w:i/>
          <w:iCs/>
        </w:rPr>
        <w:t xml:space="preserve"> según lo dispuesto por la Ley de Protección de Datos Personales del Estado de México;</w:t>
      </w:r>
    </w:p>
    <w:p w14:paraId="50D2202D" w14:textId="77777777" w:rsidR="00144EDA" w:rsidRDefault="00C81811">
      <w:pPr>
        <w:spacing w:line="360" w:lineRule="auto"/>
        <w:ind w:left="993" w:right="1041"/>
        <w:jc w:val="both"/>
        <w:rPr>
          <w:rFonts w:ascii="Palatino Linotype" w:eastAsia="Palatino Linotype" w:hAnsi="Palatino Linotype" w:cs="Palatino Linotype"/>
          <w:i/>
          <w:iCs/>
        </w:rPr>
      </w:pPr>
      <w:r>
        <w:rPr>
          <w:rFonts w:ascii="Palatino Linotype" w:eastAsia="Palatino Linotype" w:hAnsi="Palatino Linotype" w:cs="Palatino Linotype"/>
          <w:b/>
          <w:bCs/>
          <w:i/>
          <w:iCs/>
        </w:rPr>
        <w:t>XX. Información clasificada:</w:t>
      </w:r>
      <w:r>
        <w:rPr>
          <w:rFonts w:ascii="Palatino Linotype" w:eastAsia="Palatino Linotype" w:hAnsi="Palatino Linotype" w:cs="Palatino Linotype"/>
          <w:i/>
          <w:iCs/>
        </w:rPr>
        <w:t xml:space="preserve"> Aquella considerada por la presente Ley como reservada o confidencial;</w:t>
      </w:r>
    </w:p>
    <w:p w14:paraId="282939FD" w14:textId="77777777" w:rsidR="00144EDA" w:rsidRDefault="00C81811">
      <w:pPr>
        <w:spacing w:line="360" w:lineRule="auto"/>
        <w:ind w:left="993" w:right="1041"/>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XXXII. Protección de Datos Personales:</w:t>
      </w:r>
      <w:r>
        <w:rPr>
          <w:rFonts w:ascii="Palatino Linotype" w:eastAsia="Palatino Linotype" w:hAnsi="Palatino Linotype" w:cs="Palatino Linotype"/>
          <w:i/>
          <w:iCs/>
        </w:rPr>
        <w:t xml:space="preserve"> Derecho humano que tutela la privacidad de datos personales en poder de los sujetos obligados y sujetos particulares;</w:t>
      </w:r>
    </w:p>
    <w:p w14:paraId="50A25801" w14:textId="77777777" w:rsidR="00144EDA" w:rsidRDefault="00C81811">
      <w:pPr>
        <w:spacing w:line="360" w:lineRule="auto"/>
        <w:ind w:left="993" w:right="1041"/>
        <w:jc w:val="both"/>
        <w:rPr>
          <w:rFonts w:ascii="Palatino Linotype" w:eastAsia="Palatino Linotype" w:hAnsi="Palatino Linotype" w:cs="Palatino Linotype"/>
          <w:i/>
          <w:iCs/>
        </w:rPr>
      </w:pPr>
      <w:r>
        <w:rPr>
          <w:rFonts w:ascii="Palatino Linotype" w:eastAsia="Palatino Linotype" w:hAnsi="Palatino Linotype" w:cs="Palatino Linotype"/>
          <w:b/>
          <w:bCs/>
          <w:i/>
          <w:iCs/>
        </w:rPr>
        <w:t>XLV. Versión pública</w:t>
      </w:r>
      <w:r>
        <w:rPr>
          <w:rFonts w:ascii="Palatino Linotype" w:eastAsia="Palatino Linotype" w:hAnsi="Palatino Linotype" w:cs="Palatino Linotype"/>
          <w:i/>
          <w:iCs/>
        </w:rPr>
        <w:t>: Documento en el que se elimine, suprime o borra la información clasificada como reservada o confidencial para permitir su acceso.”</w:t>
      </w:r>
    </w:p>
    <w:p w14:paraId="7F1707EF" w14:textId="77777777" w:rsidR="00144EDA" w:rsidRDefault="00144EDA">
      <w:pPr>
        <w:spacing w:line="360" w:lineRule="auto"/>
        <w:ind w:left="993" w:right="1041"/>
        <w:jc w:val="both"/>
        <w:rPr>
          <w:rFonts w:ascii="Palatino Linotype" w:eastAsia="Palatino Linotype" w:hAnsi="Palatino Linotype" w:cs="Palatino Linotype"/>
          <w:i/>
          <w:iCs/>
        </w:rPr>
      </w:pPr>
    </w:p>
    <w:p w14:paraId="31985968" w14:textId="77777777" w:rsidR="00144EDA" w:rsidRDefault="00C81811">
      <w:pPr>
        <w:spacing w:line="360" w:lineRule="auto"/>
        <w:ind w:left="993" w:right="104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6.</w:t>
      </w:r>
      <w:r>
        <w:rPr>
          <w:rFonts w:ascii="Palatino Linotype" w:eastAsia="Palatino Linotype" w:hAnsi="Palatino Linotype" w:cs="Palatino Linotype"/>
          <w:i/>
          <w:iCs/>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7AFE7F32" w14:textId="77777777" w:rsidR="00144EDA" w:rsidRDefault="00C81811">
      <w:pPr>
        <w:spacing w:line="360" w:lineRule="auto"/>
        <w:ind w:left="993" w:right="104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w:t>
      </w:r>
      <w:r>
        <w:rPr>
          <w:rFonts w:ascii="Palatino Linotype" w:eastAsia="Palatino Linotype" w:hAnsi="Palatino Linotype" w:cs="Palatino Linotype"/>
          <w:b/>
          <w:bCs/>
          <w:i/>
          <w:iCs/>
        </w:rPr>
        <w:t>Artículo 49.</w:t>
      </w:r>
      <w:r>
        <w:rPr>
          <w:rFonts w:ascii="Palatino Linotype" w:eastAsia="Palatino Linotype" w:hAnsi="Palatino Linotype" w:cs="Palatino Linotype"/>
          <w:i/>
          <w:iCs/>
        </w:rPr>
        <w:t> Los Comités de Transparencia tendrán las siguientes atribuciones:</w:t>
      </w:r>
    </w:p>
    <w:p w14:paraId="106288A5" w14:textId="77777777" w:rsidR="00144EDA" w:rsidRDefault="00C81811">
      <w:pPr>
        <w:spacing w:line="360" w:lineRule="auto"/>
        <w:ind w:left="993" w:right="104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2F20CF93" w14:textId="77777777" w:rsidR="00144EDA" w:rsidRDefault="00C81811">
      <w:pPr>
        <w:spacing w:line="360" w:lineRule="auto"/>
        <w:ind w:left="993" w:right="1041"/>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w:t>
      </w:r>
      <w:r>
        <w:rPr>
          <w:rFonts w:ascii="Palatino Linotype" w:eastAsia="Palatino Linotype" w:hAnsi="Palatino Linotype" w:cs="Palatino Linotype"/>
          <w:i/>
          <w:iCs/>
        </w:rPr>
        <w:t>. Aprobar, modificar o revocar la clasificación de la información;</w:t>
      </w:r>
    </w:p>
    <w:p w14:paraId="18C805A2" w14:textId="77777777" w:rsidR="00144EDA" w:rsidRDefault="00C81811">
      <w:pPr>
        <w:spacing w:line="360" w:lineRule="auto"/>
        <w:ind w:left="993" w:right="104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4C8CD96A" w14:textId="77777777" w:rsidR="00144EDA" w:rsidRDefault="00C81811">
      <w:pPr>
        <w:spacing w:line="360" w:lineRule="auto"/>
        <w:ind w:left="993" w:right="104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91. </w:t>
      </w:r>
      <w:r>
        <w:rPr>
          <w:rFonts w:ascii="Palatino Linotype" w:eastAsia="Palatino Linotype" w:hAnsi="Palatino Linotype" w:cs="Palatino Linotype"/>
          <w:i/>
          <w:iCs/>
        </w:rPr>
        <w:t>El acceso a la información pública será restringido excepcionalmente, cuando ésta sea clasificada como reservada o confidencial.</w:t>
      </w:r>
    </w:p>
    <w:p w14:paraId="527D8EE0" w14:textId="77777777" w:rsidR="00144EDA" w:rsidRDefault="00144EDA">
      <w:pPr>
        <w:spacing w:line="360" w:lineRule="auto"/>
        <w:ind w:left="993" w:right="1041"/>
        <w:jc w:val="both"/>
        <w:rPr>
          <w:rFonts w:ascii="Palatino Linotype" w:eastAsia="Palatino Linotype" w:hAnsi="Palatino Linotype" w:cs="Palatino Linotype"/>
          <w:i/>
          <w:iCs/>
        </w:rPr>
      </w:pPr>
    </w:p>
    <w:p w14:paraId="35DEF946" w14:textId="77777777" w:rsidR="00144EDA" w:rsidRDefault="00C81811">
      <w:pPr>
        <w:spacing w:line="360" w:lineRule="auto"/>
        <w:ind w:left="993" w:right="104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137.</w:t>
      </w:r>
      <w:r>
        <w:rPr>
          <w:rFonts w:ascii="Palatino Linotype" w:eastAsia="Palatino Linotype" w:hAnsi="Palatino Linotype" w:cs="Palatino Linotype"/>
          <w:i/>
          <w:iCs/>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460DBA5C" w14:textId="77777777" w:rsidR="00144EDA" w:rsidRDefault="00144EDA">
      <w:pPr>
        <w:spacing w:line="360" w:lineRule="auto"/>
        <w:ind w:left="993" w:right="1041"/>
        <w:jc w:val="both"/>
        <w:rPr>
          <w:rFonts w:ascii="Palatino Linotype" w:eastAsia="Palatino Linotype" w:hAnsi="Palatino Linotype" w:cs="Palatino Linotype"/>
          <w:b/>
          <w:bCs/>
          <w:i/>
          <w:iCs/>
        </w:rPr>
      </w:pPr>
    </w:p>
    <w:p w14:paraId="17B343A6" w14:textId="77777777" w:rsidR="00144EDA" w:rsidRDefault="00C81811">
      <w:pPr>
        <w:spacing w:line="360" w:lineRule="auto"/>
        <w:ind w:left="993" w:right="104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143</w:t>
      </w:r>
      <w:r>
        <w:rPr>
          <w:rFonts w:ascii="Palatino Linotype" w:eastAsia="Palatino Linotype" w:hAnsi="Palatino Linotype" w:cs="Palatino Linotype"/>
          <w:i/>
          <w:iCs/>
        </w:rPr>
        <w:t>. Para los efectos de esta Ley se considera información confidencial, la clasificada como tal, de manera permanente, por su naturaleza, cuando:</w:t>
      </w:r>
    </w:p>
    <w:p w14:paraId="5337042E" w14:textId="77777777" w:rsidR="00144EDA" w:rsidRDefault="00C81811">
      <w:pPr>
        <w:spacing w:line="360" w:lineRule="auto"/>
        <w:ind w:left="993" w:right="1041"/>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Se refiera a la información privada y los datos personales concernientes a una persona física o jurídica colectiva identificada o identificable;</w:t>
      </w:r>
    </w:p>
    <w:p w14:paraId="00A8407E" w14:textId="77777777" w:rsidR="00144EDA" w:rsidRDefault="00C81811">
      <w:pPr>
        <w:spacing w:line="360" w:lineRule="auto"/>
        <w:ind w:left="993" w:right="1041"/>
        <w:jc w:val="both"/>
        <w:rPr>
          <w:rFonts w:ascii="Palatino Linotype" w:eastAsia="Palatino Linotype" w:hAnsi="Palatino Linotype" w:cs="Palatino Linotype"/>
          <w:i/>
          <w:iCs/>
        </w:rPr>
      </w:pPr>
      <w:r>
        <w:rPr>
          <w:rFonts w:ascii="Palatino Linotype" w:eastAsia="Palatino Linotype" w:hAnsi="Palatino Linotype" w:cs="Palatino Linotype"/>
          <w:i/>
          <w:iCs/>
        </w:rPr>
        <w:t>II. Los secretos bancario, fiduciario, industrial, comercial, fiscal, bursátil y postal, cuya titularidad corresponda a particulares, sujetos de derecho internacional o a sujetos obligados cuando no involucren el ejercicio de recursos públicos; y</w:t>
      </w:r>
    </w:p>
    <w:p w14:paraId="51BEC4D7" w14:textId="77777777" w:rsidR="00144EDA" w:rsidRDefault="00C81811">
      <w:pPr>
        <w:spacing w:line="360" w:lineRule="auto"/>
        <w:ind w:left="993" w:right="104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III. La que presenten los particulares a los sujetos obligados, de conformidad con lo dispuesto por las leyes o los tratados internacionales.” </w:t>
      </w:r>
    </w:p>
    <w:p w14:paraId="1E92463F" w14:textId="77777777" w:rsidR="00150D14" w:rsidRDefault="00150D14">
      <w:pPr>
        <w:spacing w:line="360" w:lineRule="auto"/>
        <w:ind w:left="993" w:right="1041"/>
        <w:jc w:val="both"/>
        <w:rPr>
          <w:rFonts w:ascii="Palatino Linotype" w:eastAsia="Palatino Linotype" w:hAnsi="Palatino Linotype" w:cs="Palatino Linotype"/>
          <w:i/>
          <w:iCs/>
        </w:rPr>
      </w:pPr>
    </w:p>
    <w:p w14:paraId="6C9DB188"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14:paraId="78B095A8" w14:textId="77777777" w:rsidR="00144EDA" w:rsidRDefault="00144EDA">
      <w:pPr>
        <w:spacing w:line="360" w:lineRule="auto"/>
        <w:ind w:right="51"/>
        <w:jc w:val="both"/>
        <w:rPr>
          <w:rFonts w:ascii="Palatino Linotype" w:eastAsia="Palatino Linotype" w:hAnsi="Palatino Linotype" w:cs="Palatino Linotype"/>
        </w:rPr>
      </w:pPr>
    </w:p>
    <w:p w14:paraId="296A3390"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6A48D395" w14:textId="77777777" w:rsidR="00144EDA" w:rsidRDefault="00144EDA">
      <w:pPr>
        <w:spacing w:line="360" w:lineRule="auto"/>
        <w:ind w:right="50"/>
        <w:jc w:val="both"/>
        <w:rPr>
          <w:rFonts w:ascii="Palatino Linotype" w:eastAsia="Palatino Linotype" w:hAnsi="Palatino Linotype" w:cs="Palatino Linotype"/>
        </w:rPr>
      </w:pPr>
    </w:p>
    <w:p w14:paraId="06E9E4C8"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ese contexto, la clasificación de la información no opera con la simple supresión de datos que se haga en los documentos de que se trate o con la simple decisión que tome el Servidor Público Habilitado o el Responsable de la Unidad de Transparencia del Sujeto </w:t>
      </w:r>
      <w:r>
        <w:rPr>
          <w:rFonts w:ascii="Palatino Linotype" w:eastAsia="Palatino Linotype" w:hAnsi="Palatino Linotype" w:cs="Palatino Linotype"/>
          <w:color w:val="000000"/>
        </w:rPr>
        <w:lastRenderedPageBreak/>
        <w:t>Obligado, sino que ello deberá realizarse en términos de lo que disponen los artículos 49 fracción VIII, 53, fracción X y 59, fracción V, de la Ley en consulta, cuyo sentido literal es el siguiente:</w:t>
      </w:r>
    </w:p>
    <w:p w14:paraId="55FA847A" w14:textId="77777777" w:rsidR="00144EDA" w:rsidRDefault="00C81811">
      <w:pPr>
        <w:spacing w:line="360" w:lineRule="auto"/>
        <w:ind w:left="851" w:right="1043"/>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49.</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Comités de Transparencia</w:t>
      </w:r>
      <w:r>
        <w:rPr>
          <w:rFonts w:ascii="Palatino Linotype" w:eastAsia="Palatino Linotype" w:hAnsi="Palatino Linotype" w:cs="Palatino Linotype"/>
          <w:i/>
          <w:iCs/>
        </w:rPr>
        <w:t xml:space="preserve"> tendrán las siguientes atribuciones:</w:t>
      </w:r>
    </w:p>
    <w:p w14:paraId="06B92287" w14:textId="77777777" w:rsidR="00144EDA" w:rsidRDefault="00C81811">
      <w:pPr>
        <w:spacing w:line="360" w:lineRule="auto"/>
        <w:ind w:left="851" w:right="1043"/>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 Aprobar, modificar o revocar la clasificación de la información</w:t>
      </w:r>
      <w:r>
        <w:rPr>
          <w:rFonts w:ascii="Palatino Linotype" w:eastAsia="Palatino Linotype" w:hAnsi="Palatino Linotype" w:cs="Palatino Linotype"/>
          <w:i/>
          <w:iCs/>
        </w:rPr>
        <w:t>…”</w:t>
      </w:r>
    </w:p>
    <w:p w14:paraId="076E3F3B" w14:textId="77777777" w:rsidR="00144EDA" w:rsidRDefault="00C81811">
      <w:pPr>
        <w:spacing w:line="360" w:lineRule="auto"/>
        <w:ind w:left="851" w:right="1043"/>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53.</w:t>
      </w:r>
      <w:r>
        <w:rPr>
          <w:rFonts w:ascii="Palatino Linotype" w:eastAsia="Palatino Linotype" w:hAnsi="Palatino Linotype" w:cs="Palatino Linotype"/>
          <w:i/>
          <w:iCs/>
        </w:rPr>
        <w:t xml:space="preserve"> Las </w:t>
      </w:r>
      <w:r>
        <w:rPr>
          <w:rFonts w:ascii="Palatino Linotype" w:eastAsia="Palatino Linotype" w:hAnsi="Palatino Linotype" w:cs="Palatino Linotype"/>
          <w:b/>
          <w:bCs/>
          <w:i/>
          <w:iCs/>
        </w:rPr>
        <w:t>Unidades de Transparencia</w:t>
      </w:r>
      <w:r>
        <w:rPr>
          <w:rFonts w:ascii="Palatino Linotype" w:eastAsia="Palatino Linotype" w:hAnsi="Palatino Linotype" w:cs="Palatino Linotype"/>
          <w:i/>
          <w:iCs/>
        </w:rPr>
        <w:t xml:space="preserve"> tendrán las siguientes </w:t>
      </w:r>
      <w:r>
        <w:rPr>
          <w:rFonts w:ascii="Palatino Linotype" w:eastAsia="Palatino Linotype" w:hAnsi="Palatino Linotype" w:cs="Palatino Linotype"/>
          <w:b/>
          <w:bCs/>
          <w:i/>
          <w:iCs/>
        </w:rPr>
        <w:t>funciones</w:t>
      </w:r>
      <w:r>
        <w:rPr>
          <w:rFonts w:ascii="Palatino Linotype" w:eastAsia="Palatino Linotype" w:hAnsi="Palatino Linotype" w:cs="Palatino Linotype"/>
          <w:i/>
          <w:iCs/>
        </w:rPr>
        <w:t>:</w:t>
      </w:r>
    </w:p>
    <w:p w14:paraId="2B7C7807" w14:textId="77777777" w:rsidR="00144EDA" w:rsidRDefault="00C81811">
      <w:pPr>
        <w:spacing w:line="360" w:lineRule="auto"/>
        <w:ind w:left="851" w:right="1043"/>
        <w:jc w:val="both"/>
        <w:rPr>
          <w:rFonts w:ascii="Palatino Linotype" w:eastAsia="Palatino Linotype" w:hAnsi="Palatino Linotype" w:cs="Palatino Linotype"/>
          <w:i/>
          <w:iCs/>
        </w:rPr>
      </w:pPr>
      <w:r>
        <w:rPr>
          <w:rFonts w:ascii="Palatino Linotype" w:eastAsia="Palatino Linotype" w:hAnsi="Palatino Linotype" w:cs="Palatino Linotype"/>
          <w:b/>
          <w:bCs/>
          <w:i/>
          <w:iCs/>
        </w:rPr>
        <w:t>X. Presentar ante el Comité, el proyecto de clasificación de información</w:t>
      </w:r>
      <w:r>
        <w:rPr>
          <w:rFonts w:ascii="Palatino Linotype" w:eastAsia="Palatino Linotype" w:hAnsi="Palatino Linotype" w:cs="Palatino Linotype"/>
          <w:i/>
          <w:iCs/>
        </w:rPr>
        <w:t xml:space="preserve">…” </w:t>
      </w:r>
    </w:p>
    <w:p w14:paraId="611563DB" w14:textId="77777777" w:rsidR="00144EDA" w:rsidRDefault="00C81811">
      <w:pPr>
        <w:spacing w:line="360" w:lineRule="auto"/>
        <w:ind w:left="851" w:right="1043"/>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59.</w:t>
      </w:r>
      <w:r>
        <w:rPr>
          <w:rFonts w:ascii="Palatino Linotype" w:eastAsia="Palatino Linotype" w:hAnsi="Palatino Linotype" w:cs="Palatino Linotype"/>
          <w:i/>
          <w:iCs/>
        </w:rPr>
        <w:t xml:space="preserve"> Los </w:t>
      </w:r>
      <w:r>
        <w:rPr>
          <w:rFonts w:ascii="Palatino Linotype" w:eastAsia="Palatino Linotype" w:hAnsi="Palatino Linotype" w:cs="Palatino Linotype"/>
          <w:b/>
          <w:bCs/>
          <w:i/>
          <w:iCs/>
        </w:rPr>
        <w:t>servidores públicos habilitados</w:t>
      </w:r>
      <w:r>
        <w:rPr>
          <w:rFonts w:ascii="Palatino Linotype" w:eastAsia="Palatino Linotype" w:hAnsi="Palatino Linotype" w:cs="Palatino Linotype"/>
          <w:i/>
          <w:iCs/>
        </w:rPr>
        <w:t xml:space="preserve"> tendrán las </w:t>
      </w:r>
      <w:r>
        <w:rPr>
          <w:rFonts w:ascii="Palatino Linotype" w:eastAsia="Palatino Linotype" w:hAnsi="Palatino Linotype" w:cs="Palatino Linotype"/>
          <w:b/>
          <w:bCs/>
          <w:i/>
          <w:iCs/>
        </w:rPr>
        <w:t>funciones</w:t>
      </w:r>
      <w:r>
        <w:rPr>
          <w:rFonts w:ascii="Palatino Linotype" w:eastAsia="Palatino Linotype" w:hAnsi="Palatino Linotype" w:cs="Palatino Linotype"/>
          <w:i/>
          <w:iCs/>
        </w:rPr>
        <w:t xml:space="preserve"> siguientes:</w:t>
      </w:r>
    </w:p>
    <w:p w14:paraId="0CA4B50F" w14:textId="77777777" w:rsidR="00144EDA" w:rsidRDefault="00C81811">
      <w:pPr>
        <w:spacing w:line="360" w:lineRule="auto"/>
        <w:ind w:left="851" w:right="1043"/>
        <w:jc w:val="both"/>
        <w:rPr>
          <w:rFonts w:ascii="Palatino Linotype" w:eastAsia="Palatino Linotype" w:hAnsi="Palatino Linotype" w:cs="Palatino Linotype"/>
          <w:i/>
          <w:iCs/>
        </w:rPr>
      </w:pPr>
      <w:r>
        <w:rPr>
          <w:rFonts w:ascii="Palatino Linotype" w:eastAsia="Palatino Linotype" w:hAnsi="Palatino Linotype" w:cs="Palatino Linotype"/>
          <w:b/>
          <w:bCs/>
          <w:i/>
          <w:iCs/>
        </w:rPr>
        <w:t>V. Integrar y presentar al responsable de la Unidad de Transparencia la propuesta de clasificación de información</w:t>
      </w:r>
      <w:r>
        <w:rPr>
          <w:rFonts w:ascii="Palatino Linotype" w:eastAsia="Palatino Linotype" w:hAnsi="Palatino Linotype" w:cs="Palatino Linotype"/>
          <w:i/>
          <w:iCs/>
        </w:rPr>
        <w:t>, la cual tendrá los fundamentos y argumentos en que se basa dicha propuesta…”</w:t>
      </w:r>
    </w:p>
    <w:p w14:paraId="25C2B487" w14:textId="77777777" w:rsidR="00144EDA" w:rsidRDefault="00144EDA">
      <w:pPr>
        <w:spacing w:line="360" w:lineRule="auto"/>
        <w:ind w:left="851" w:right="1043"/>
        <w:jc w:val="both"/>
        <w:rPr>
          <w:rFonts w:ascii="Palatino Linotype" w:eastAsia="Palatino Linotype" w:hAnsi="Palatino Linotype" w:cs="Palatino Linotype"/>
          <w:i/>
          <w:iCs/>
        </w:rPr>
      </w:pPr>
    </w:p>
    <w:p w14:paraId="39945BBC"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324568DA"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Para lo cual, a su vez en el caso de información de carácter confidencial, se debe atender a lo que señala el artículo 149 de la Ley de Transparencia Local vigente, que se lee como sigue:</w:t>
      </w:r>
    </w:p>
    <w:p w14:paraId="2BD44924" w14:textId="77777777" w:rsidR="00144EDA" w:rsidRDefault="00C81811">
      <w:pPr>
        <w:spacing w:line="360" w:lineRule="auto"/>
        <w:ind w:left="993" w:right="104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149.</w:t>
      </w:r>
      <w:r>
        <w:rPr>
          <w:rFonts w:ascii="Palatino Linotype" w:eastAsia="Palatino Linotype" w:hAnsi="Palatino Linotype" w:cs="Palatino Linotype"/>
          <w:i/>
          <w:iCs/>
        </w:rPr>
        <w:t xml:space="preserve"> El </w:t>
      </w:r>
      <w:r>
        <w:rPr>
          <w:rFonts w:ascii="Palatino Linotype" w:eastAsia="Palatino Linotype" w:hAnsi="Palatino Linotype" w:cs="Palatino Linotype"/>
          <w:b/>
          <w:bCs/>
          <w:i/>
          <w:iCs/>
        </w:rPr>
        <w:t>acuerdo que clasifique la información como confidencial</w:t>
      </w:r>
      <w:r>
        <w:rPr>
          <w:rFonts w:ascii="Palatino Linotype" w:eastAsia="Palatino Linotype" w:hAnsi="Palatino Linotype" w:cs="Palatino Linotype"/>
          <w:i/>
          <w:iCs/>
        </w:rPr>
        <w:t xml:space="preserve"> deberá contener un razonamiento lógico en el que demuestre que la información se encuentra en alguna o algunas de las hipótesis previstas en la presente Ley.”</w:t>
      </w:r>
    </w:p>
    <w:p w14:paraId="4C8F4FC2" w14:textId="77777777" w:rsidR="00292618" w:rsidRDefault="00292618">
      <w:pPr>
        <w:spacing w:line="360" w:lineRule="auto"/>
        <w:ind w:left="993" w:right="1041"/>
        <w:jc w:val="both"/>
        <w:rPr>
          <w:rFonts w:ascii="Palatino Linotype" w:eastAsia="Palatino Linotype" w:hAnsi="Palatino Linotype" w:cs="Palatino Linotype"/>
          <w:i/>
          <w:iCs/>
        </w:rPr>
      </w:pPr>
    </w:p>
    <w:p w14:paraId="0A06AAAC"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14:paraId="3CCE2BA0" w14:textId="77777777" w:rsidR="00144EDA" w:rsidRDefault="00144EDA">
      <w:pPr>
        <w:pBdr>
          <w:top w:val="nil"/>
          <w:left w:val="nil"/>
          <w:bottom w:val="nil"/>
          <w:right w:val="nil"/>
          <w:between w:val="nil"/>
        </w:pBdr>
        <w:tabs>
          <w:tab w:val="left" w:pos="284"/>
          <w:tab w:val="left" w:pos="426"/>
        </w:tabs>
        <w:spacing w:line="360" w:lineRule="auto"/>
        <w:ind w:right="49"/>
        <w:jc w:val="both"/>
        <w:rPr>
          <w:rFonts w:ascii="Palatino Linotype" w:eastAsia="Palatino Linotype" w:hAnsi="Palatino Linotype" w:cs="Palatino Linotype"/>
          <w:color w:val="000000"/>
        </w:rPr>
      </w:pPr>
    </w:p>
    <w:p w14:paraId="4C6C7A3B"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Al </w:t>
      </w:r>
      <w:r>
        <w:rPr>
          <w:rFonts w:ascii="Palatino Linotype" w:eastAsia="Palatino Linotype" w:hAnsi="Palatino Linotype" w:cs="Palatino Linotype"/>
          <w:color w:val="222222"/>
        </w:rPr>
        <w:t>respecto</w:t>
      </w:r>
      <w:r>
        <w:rPr>
          <w:rFonts w:ascii="Palatino Linotype" w:eastAsia="Palatino Linotype" w:hAnsi="Palatino Linotype" w:cs="Palatino Linotype"/>
          <w:color w:val="000000"/>
        </w:rPr>
        <w:t xml:space="preserve">, es de señalar que </w:t>
      </w:r>
      <w:r>
        <w:rPr>
          <w:rFonts w:ascii="Palatino Linotype" w:eastAsia="Palatino Linotype" w:hAnsi="Palatino Linotype" w:cs="Palatino Linotype"/>
          <w:b/>
          <w:bCs/>
          <w:color w:val="000000"/>
        </w:rPr>
        <w:t xml:space="preserve">la firma </w:t>
      </w:r>
      <w:r>
        <w:rPr>
          <w:rFonts w:ascii="Palatino Linotype" w:eastAsia="Palatino Linotype" w:hAnsi="Palatino Linotype" w:cs="Palatino Linotype"/>
          <w:color w:val="000000"/>
        </w:rPr>
        <w:t xml:space="preserve">es considerada un dato personal, al tratarse de información gráfica a través de la cual su titular exterioriza su voluntad en actos públicos y privados. </w:t>
      </w:r>
    </w:p>
    <w:p w14:paraId="789A12DB" w14:textId="77777777" w:rsidR="00144EDA" w:rsidRDefault="00144EDA">
      <w:pPr>
        <w:spacing w:line="360" w:lineRule="auto"/>
        <w:ind w:right="-93"/>
        <w:jc w:val="both"/>
        <w:rPr>
          <w:rFonts w:ascii="Palatino Linotype" w:eastAsia="Palatino Linotype" w:hAnsi="Palatino Linotype" w:cs="Palatino Linotype"/>
        </w:rPr>
      </w:pPr>
    </w:p>
    <w:p w14:paraId="49D24B34"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Al respecto, este Instituto, considera que entregar la firmas del servidor público, si abona a la transparencia, dado que con esta se acredita que fue emitida por autoridad </w:t>
      </w:r>
      <w:r>
        <w:rPr>
          <w:rFonts w:ascii="Palatino Linotype" w:eastAsia="Palatino Linotype" w:hAnsi="Palatino Linotype" w:cs="Palatino Linotype"/>
          <w:color w:val="000000"/>
        </w:rPr>
        <w:lastRenderedPageBreak/>
        <w:t>competente en uso de las facultades que le otorga la legislación; por lo que, guarda cierto interés público dar a conocer la firma, dado que le da validez al documento.</w:t>
      </w:r>
    </w:p>
    <w:p w14:paraId="239BD63F" w14:textId="77777777" w:rsidR="00144EDA" w:rsidRDefault="00144EDA">
      <w:pPr>
        <w:spacing w:line="360" w:lineRule="auto"/>
        <w:ind w:right="-93"/>
        <w:jc w:val="both"/>
        <w:rPr>
          <w:rFonts w:ascii="Palatino Linotype" w:eastAsia="Palatino Linotype" w:hAnsi="Palatino Linotype" w:cs="Palatino Linotype"/>
        </w:rPr>
      </w:pPr>
    </w:p>
    <w:p w14:paraId="2C76E5E3"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lo que, se considera que, en el presente caso, al dar validez al documento en cuestión, la firma del servidor público guarda el carácter de público y, por lo tanto, no actualiza la causal de clasificación prevista en el artículo 143, fracción I, de la Ley de Transparencia y Acceso a la Información Pública del Estado de México y Municipios.</w:t>
      </w:r>
    </w:p>
    <w:p w14:paraId="685DF560" w14:textId="77777777" w:rsidR="00144EDA" w:rsidRDefault="00144EDA">
      <w:pPr>
        <w:pBdr>
          <w:top w:val="nil"/>
          <w:left w:val="nil"/>
          <w:bottom w:val="nil"/>
          <w:right w:val="nil"/>
          <w:between w:val="nil"/>
        </w:pBdr>
        <w:ind w:left="720"/>
        <w:rPr>
          <w:rFonts w:ascii="Palatino Linotype" w:eastAsia="Palatino Linotype" w:hAnsi="Palatino Linotype" w:cs="Palatino Linotype"/>
          <w:color w:val="000000"/>
        </w:rPr>
      </w:pPr>
    </w:p>
    <w:p w14:paraId="779B61C0"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Sirve de sustento a lo anterior el Criterio de Interpretación 02/19 emitido por el Instituto Nacional de Transparencia, Acceso a la Información y Protección de Datos Personales, cuyo rubro y texto establecen lo siguiente:</w:t>
      </w:r>
    </w:p>
    <w:p w14:paraId="2C1E120B" w14:textId="77777777" w:rsidR="00144EDA" w:rsidRDefault="00C81811">
      <w:pPr>
        <w:spacing w:line="360" w:lineRule="auto"/>
        <w:ind w:left="1134" w:right="104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FIRMA Y RÚBRICA DE SERVIDORES PÚBLICOS.</w:t>
      </w:r>
      <w:r>
        <w:rPr>
          <w:rFonts w:ascii="Palatino Linotype" w:eastAsia="Palatino Linotype" w:hAnsi="Palatino Linotype" w:cs="Palatino Linotype"/>
          <w:i/>
          <w:iCs/>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18A6F994" w14:textId="77777777" w:rsidR="00144EDA" w:rsidRDefault="00144EDA">
      <w:pPr>
        <w:spacing w:line="360" w:lineRule="auto"/>
        <w:ind w:left="1134" w:right="1041"/>
        <w:jc w:val="both"/>
        <w:rPr>
          <w:rFonts w:ascii="Palatino Linotype" w:eastAsia="Palatino Linotype" w:hAnsi="Palatino Linotype" w:cs="Palatino Linotype"/>
          <w:i/>
          <w:iCs/>
        </w:rPr>
      </w:pPr>
    </w:p>
    <w:p w14:paraId="58C1647A"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highlight w:val="white"/>
        </w:rPr>
      </w:pPr>
      <w:r>
        <w:rPr>
          <w:rFonts w:ascii="Palatino Linotype" w:eastAsia="Palatino Linotype" w:hAnsi="Palatino Linotype" w:cs="Palatino Linotype"/>
          <w:color w:val="000000"/>
        </w:rPr>
        <w:t xml:space="preserve">Al respecto, se destaca que la versión pública que elabore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cumplir con las formalidades exigidas en la Ley, por lo que para tal efecto emitirá el Acuerdo del Comité de Transparencia en términos de la Ley de Transparencia y Acceso a la Información Pública del Estado de México y Municipios, y los Lineamientos Generales en Materia de Clasificación y Desclasificación de la Información, Así como para la elaboración de versiones públicas emitidos por el Consejo Nacional de Transparencia, con el cual </w:t>
      </w:r>
      <w:r>
        <w:rPr>
          <w:rFonts w:ascii="Palatino Linotype" w:eastAsia="Palatino Linotype" w:hAnsi="Palatino Linotype" w:cs="Palatino Linotype"/>
        </w:rPr>
        <w:t>sustentará</w:t>
      </w:r>
      <w:r>
        <w:rPr>
          <w:rFonts w:ascii="Palatino Linotype" w:eastAsia="Palatino Linotype" w:hAnsi="Palatino Linotype" w:cs="Palatino Linotype"/>
          <w:color w:val="000000"/>
        </w:rPr>
        <w:t xml:space="preserve"> la clasificación de datos y con ello la "versión pública" de los documentos materia de las solicitudes</w:t>
      </w:r>
      <w:r>
        <w:rPr>
          <w:rFonts w:ascii="Palatino Linotype" w:eastAsia="Palatino Linotype" w:hAnsi="Palatino Linotype" w:cs="Palatino Linotype"/>
          <w:color w:val="000000"/>
          <w:highlight w:val="white"/>
        </w:rPr>
        <w:t>.</w:t>
      </w:r>
    </w:p>
    <w:p w14:paraId="28D1A0C8"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Respecto del RFC de proveedores, no puede considerarse como clasificado aun siendo de personas físicas ya que </w:t>
      </w:r>
      <w:r>
        <w:rPr>
          <w:rFonts w:ascii="Palatino Linotype" w:eastAsia="Palatino Linotype" w:hAnsi="Palatino Linotype" w:cs="Palatino Linotype"/>
          <w:color w:val="000000"/>
        </w:rPr>
        <w:t>corresponde</w:t>
      </w:r>
      <w:r>
        <w:rPr>
          <w:rFonts w:ascii="Palatino Linotype" w:eastAsia="Palatino Linotype" w:hAnsi="Palatino Linotype" w:cs="Palatino Linotype"/>
        </w:rPr>
        <w:t xml:space="preserve"> a un requisito indispensable para ser </w:t>
      </w:r>
      <w:r>
        <w:rPr>
          <w:rFonts w:ascii="Palatino Linotype" w:eastAsia="Palatino Linotype" w:hAnsi="Palatino Linotype" w:cs="Palatino Linotype"/>
          <w:color w:val="000000"/>
        </w:rPr>
        <w:t>contratista</w:t>
      </w:r>
      <w:r>
        <w:rPr>
          <w:rFonts w:ascii="Palatino Linotype" w:eastAsia="Palatino Linotype" w:hAnsi="Palatino Linotype" w:cs="Palatino Linotype"/>
        </w:rPr>
        <w:t xml:space="preserve"> y/o proveedor y llevar a cabo actividades comerciales con los sujetos obligados de la Entidad, ya que sin este, no se pueden realizar, por lo que su entrega es un elemento adicional que respalda la legalidad de los procesos de contratación de obra pública, como corresponde a lo solicitado.</w:t>
      </w:r>
    </w:p>
    <w:p w14:paraId="0D11E157" w14:textId="77777777" w:rsidR="00144EDA" w:rsidRDefault="00144EDA">
      <w:pPr>
        <w:spacing w:line="360" w:lineRule="auto"/>
        <w:ind w:right="-91"/>
        <w:jc w:val="both"/>
        <w:rPr>
          <w:rFonts w:ascii="Palatino Linotype" w:eastAsia="Palatino Linotype" w:hAnsi="Palatino Linotype" w:cs="Palatino Linotype"/>
        </w:rPr>
      </w:pPr>
    </w:p>
    <w:p w14:paraId="01FE816E"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Pr>
          <w:rFonts w:ascii="Palatino Linotype" w:eastAsia="Palatino Linotype" w:hAnsi="Palatino Linotype" w:cs="Palatino Linotype"/>
        </w:rPr>
        <w:t>En ese contexto, entregar el Registro Federal de Contribuyentes de personas físicas cuando aceptan realizar la construcción de obras públicas con recursos del erario, favorece la rendición de cuentas, al permitir verificar que se cumplió con uno de los requisitos necesarios conforme a la normatividad aplicable en materia de contrataciones, lo cual, transparenta el correcto ejercicio de recursos públicos por parte de los sujetos obligados, lo que es acorde con el principio de máxima publicidad.</w:t>
      </w:r>
    </w:p>
    <w:p w14:paraId="1BB7FCA1" w14:textId="77777777" w:rsidR="00144EDA" w:rsidRDefault="00144EDA">
      <w:pPr>
        <w:spacing w:line="360" w:lineRule="auto"/>
        <w:ind w:right="-91"/>
        <w:jc w:val="both"/>
        <w:rPr>
          <w:rFonts w:ascii="Palatino Linotype" w:eastAsia="Palatino Linotype" w:hAnsi="Palatino Linotype" w:cs="Palatino Linotype"/>
        </w:rPr>
      </w:pPr>
    </w:p>
    <w:p w14:paraId="7C6371A5"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Pr>
          <w:rFonts w:ascii="Palatino Linotype" w:eastAsia="Palatino Linotype" w:hAnsi="Palatino Linotype" w:cs="Palatino Linotype"/>
        </w:rPr>
        <w:t>No debe dejarse de lado, que cualquier persona que pretenda tener cualquier tipo de relación, laboral, empresarial, de trámites, servicios o comercial, para el caso que nos ocupa, debe en cierta medida ceder información relacionada con su vida, en aras de obtener el beneficio pretendido, como formar parte de los proveedores gubernamentales, al respecto, la información sobre la que se debe conceder publicidad sólo es aquella relacionada con el ejercicio de recursos públicos o de funciones y las facturas, pólizas y documentos en donde constan las transferencias bancarias de pagos de sujetos obligados, están vinculadas directamente con el ejercicio de recursos públicos.</w:t>
      </w:r>
    </w:p>
    <w:p w14:paraId="0E0BD0E3" w14:textId="77777777" w:rsidR="00144EDA" w:rsidRDefault="00144EDA">
      <w:pPr>
        <w:spacing w:line="360" w:lineRule="auto"/>
        <w:ind w:right="-91"/>
        <w:jc w:val="both"/>
        <w:rPr>
          <w:rFonts w:ascii="Palatino Linotype" w:eastAsia="Palatino Linotype" w:hAnsi="Palatino Linotype" w:cs="Palatino Linotype"/>
        </w:rPr>
      </w:pPr>
    </w:p>
    <w:p w14:paraId="7659575F"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Por lo que refiere al RFC de personas jurídico-colectivas, se reitera que no constituyen información confidencial, tal y como lo estableció el entonces Instituto Nacional de Transparencia, Acceso a la Información Pública y Protección de Datos Personales –INAI-, en su Criterio histórico 1/2014.</w:t>
      </w:r>
    </w:p>
    <w:p w14:paraId="4A832B93" w14:textId="77777777" w:rsidR="00144EDA" w:rsidRDefault="00C81811">
      <w:pPr>
        <w:spacing w:line="360" w:lineRule="auto"/>
        <w:ind w:left="567" w:right="539"/>
        <w:jc w:val="both"/>
        <w:rPr>
          <w:rFonts w:ascii="Palatino Linotype" w:eastAsia="Palatino Linotype" w:hAnsi="Palatino Linotype" w:cs="Palatino Linotype"/>
          <w:i/>
          <w:iCs/>
        </w:rPr>
      </w:pPr>
      <w:r>
        <w:rPr>
          <w:rFonts w:ascii="Palatino Linotype" w:eastAsia="Palatino Linotype" w:hAnsi="Palatino Linotype" w:cs="Palatino Linotype"/>
          <w:b/>
          <w:bCs/>
          <w:i/>
          <w:iCs/>
        </w:rPr>
        <w:t>Denominación o razón social, y Registro Federal de Contribuyentes de personas morales, no constituyen información confidencial</w:t>
      </w:r>
      <w:r>
        <w:rPr>
          <w:rFonts w:ascii="Palatino Linotype" w:eastAsia="Palatino Linotype" w:hAnsi="Palatino Linotype" w:cs="Palatino Linotype"/>
          <w:i/>
          <w:iCs/>
        </w:rPr>
        <w:t>. La denominación o razón social de personas morales es pública, por encontrarse inscritas en el Registro Público de Comercio. Por lo que respecta a su Registro Federal de Contribuyentes (RFC), en principio, también es público, ya que no se refiere a hechos o actos de carácter económico, contable, jurídico o administrativo que sean útiles o representen una ventaja a sus competidores, en términos de lo dispuesto en el artículo 18, fracción I de la Ley Federal de Transparencia y Acceso a la Información Pública Gubernamental y en el Trigésimo Sexto de los Lineamientos Generales para la clasificación y desclasificación de la información de las dependencias y entidades de la Administración Pública Federal; aunado al hecho de que tampoco se trata de información concerniente a personas físicas, por lo que no puede considerarse un dato personal, con fundamento en lo previsto en el artículo 18, fracción II de ese ordenamiento legal. Por lo anterior, la denominación o razón social, así como el RFC de personas morales, no constituye información confidencial.</w:t>
      </w:r>
    </w:p>
    <w:p w14:paraId="252B7514" w14:textId="77777777" w:rsidR="00144EDA" w:rsidRDefault="00144EDA">
      <w:pPr>
        <w:spacing w:line="360" w:lineRule="auto"/>
        <w:ind w:right="-91"/>
        <w:jc w:val="both"/>
        <w:rPr>
          <w:rFonts w:ascii="Palatino Linotype" w:eastAsia="Palatino Linotype" w:hAnsi="Palatino Linotype" w:cs="Palatino Linotype"/>
        </w:rPr>
      </w:pPr>
    </w:p>
    <w:p w14:paraId="0F374F78"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Pr>
          <w:rFonts w:ascii="Palatino Linotype" w:eastAsia="Palatino Linotype" w:hAnsi="Palatino Linotype" w:cs="Palatino Linotype"/>
        </w:rPr>
        <w:t>Por consiguiente, no procede clasificar como confidencial con fundamento en el artículo 143, fracción I, de la Ley de Transparencia y Acceso a la Información Pública del Estado de México y Municipios y, eliminar RFC de personas físicas ni de personas jurídico-colectivas en los documentos que pudiera proporcionar el Sujeto Obligado.</w:t>
      </w:r>
    </w:p>
    <w:p w14:paraId="57F061D8" w14:textId="77777777" w:rsidR="00144EDA" w:rsidRDefault="00144EDA">
      <w:pPr>
        <w:pBdr>
          <w:top w:val="nil"/>
          <w:left w:val="nil"/>
          <w:bottom w:val="nil"/>
          <w:right w:val="nil"/>
          <w:between w:val="nil"/>
        </w:pBdr>
        <w:spacing w:line="360" w:lineRule="auto"/>
        <w:jc w:val="both"/>
        <w:rPr>
          <w:rFonts w:ascii="Palatino Linotype" w:eastAsia="Palatino Linotype" w:hAnsi="Palatino Linotype" w:cs="Palatino Linotype"/>
        </w:rPr>
      </w:pPr>
    </w:p>
    <w:p w14:paraId="3BE67E99"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Relacionado con lo anterior, el </w:t>
      </w:r>
      <w:r>
        <w:rPr>
          <w:rFonts w:ascii="Palatino Linotype" w:eastAsia="Palatino Linotype" w:hAnsi="Palatino Linotype" w:cs="Palatino Linotype"/>
          <w:b/>
          <w:bCs/>
        </w:rPr>
        <w:t>nombre de las personas físicas</w:t>
      </w:r>
      <w:r>
        <w:rPr>
          <w:rFonts w:ascii="Palatino Linotype" w:eastAsia="Palatino Linotype" w:hAnsi="Palatino Linotype" w:cs="Palatino Linotype"/>
        </w:rPr>
        <w:t xml:space="preserve"> o los </w:t>
      </w:r>
      <w:r>
        <w:rPr>
          <w:rFonts w:ascii="Palatino Linotype" w:eastAsia="Palatino Linotype" w:hAnsi="Palatino Linotype" w:cs="Palatino Linotype"/>
          <w:b/>
          <w:bCs/>
        </w:rPr>
        <w:t>representantes legales de las personas morales</w:t>
      </w:r>
      <w:r>
        <w:rPr>
          <w:rFonts w:ascii="Palatino Linotype" w:eastAsia="Palatino Linotype" w:hAnsi="Palatino Linotype" w:cs="Palatino Linotype"/>
        </w:rPr>
        <w:t>, en su calidad de proveedores, contratistas o 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14939956" w14:textId="77777777" w:rsidR="00144EDA" w:rsidRDefault="00144EDA">
      <w:pPr>
        <w:spacing w:line="360" w:lineRule="auto"/>
        <w:ind w:right="51"/>
        <w:jc w:val="both"/>
        <w:rPr>
          <w:rFonts w:ascii="Palatino Linotype" w:eastAsia="Palatino Linotype" w:hAnsi="Palatino Linotype" w:cs="Palatino Linotype"/>
        </w:rPr>
      </w:pPr>
    </w:p>
    <w:p w14:paraId="7D6E4557"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Pr>
          <w:rFonts w:ascii="Palatino Linotype" w:eastAsia="Palatino Linotype" w:hAnsi="Palatino Linotype" w:cs="Palatino Linotype"/>
        </w:rPr>
        <w:t>Argumentación que guarda sustento en lo estipulado por el artículo 23 de la Ley de Transparencia y Acceso a la Información Pública del Estado de México y Municipios en su penúltimo párrafo, mismo que es del tenor literal siguiente:</w:t>
      </w:r>
    </w:p>
    <w:p w14:paraId="0A67174A" w14:textId="77777777" w:rsidR="00144EDA" w:rsidRDefault="00C81811">
      <w:pPr>
        <w:spacing w:after="120" w:line="276" w:lineRule="auto"/>
        <w:ind w:left="851" w:right="902"/>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23.</w:t>
      </w:r>
      <w:r>
        <w:rPr>
          <w:rFonts w:ascii="Palatino Linotype" w:eastAsia="Palatino Linotype" w:hAnsi="Palatino Linotype" w:cs="Palatino Linotype"/>
          <w:i/>
          <w:iCs/>
        </w:rPr>
        <w:t xml:space="preserve"> (…)</w:t>
      </w:r>
    </w:p>
    <w:p w14:paraId="2FF52EF3" w14:textId="77777777" w:rsidR="00144EDA" w:rsidRDefault="00C81811">
      <w:pPr>
        <w:spacing w:before="120" w:line="276" w:lineRule="auto"/>
        <w:ind w:left="851" w:right="902"/>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C16FB8A" w14:textId="77777777" w:rsidR="00144EDA" w:rsidRDefault="00144EDA">
      <w:pPr>
        <w:spacing w:before="120" w:line="276" w:lineRule="auto"/>
        <w:ind w:left="851" w:right="902"/>
        <w:jc w:val="both"/>
        <w:rPr>
          <w:rFonts w:ascii="Palatino Linotype" w:eastAsia="Palatino Linotype" w:hAnsi="Palatino Linotype" w:cs="Palatino Linotype"/>
          <w:i/>
          <w:iCs/>
        </w:rPr>
      </w:pPr>
    </w:p>
    <w:p w14:paraId="48BCC01D"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Pr>
          <w:rFonts w:ascii="Palatino Linotype" w:eastAsia="Palatino Linotype" w:hAnsi="Palatino Linotype" w:cs="Palatino Linotype"/>
        </w:rPr>
        <w:t>Asimismo, resulta aplicable el contenido del Criterio de interpretación 01/19 emitido por el entonces Instituto Nacional de Transparencia, Acceso a la Información, y Protección de Datos Personales, INAI, que lleva por rubro y texto los siguientes</w:t>
      </w:r>
    </w:p>
    <w:p w14:paraId="0C22F06E" w14:textId="77777777" w:rsidR="00144EDA" w:rsidRDefault="00144EDA">
      <w:pPr>
        <w:spacing w:line="360" w:lineRule="auto"/>
        <w:jc w:val="both"/>
        <w:rPr>
          <w:rFonts w:ascii="Palatino Linotype" w:eastAsia="Palatino Linotype" w:hAnsi="Palatino Linotype" w:cs="Palatino Linotype"/>
        </w:rPr>
      </w:pPr>
    </w:p>
    <w:p w14:paraId="336E61E9" w14:textId="77777777" w:rsidR="00144EDA" w:rsidRDefault="00C81811">
      <w:pPr>
        <w:spacing w:line="276" w:lineRule="auto"/>
        <w:ind w:left="851" w:right="900"/>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“Datos de identificación del representante o apoderado legal.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Naturaleza jurídica. </w:t>
      </w:r>
      <w:r>
        <w:rPr>
          <w:rFonts w:ascii="Palatino Linotype" w:eastAsia="Palatino Linotype" w:hAnsi="Palatino Linotype" w:cs="Palatino Linotype"/>
          <w:i/>
          <w:iCs/>
        </w:rPr>
        <w:t xml:space="preserve">El nombre, la firma y la rúbrica de una persona física, que actúe como representante o apoderado legal de un tercero que haya celebrado un acto jurídico, con algún sujeto obligado, </w:t>
      </w:r>
      <w:r>
        <w:rPr>
          <w:rFonts w:ascii="Palatino Linotype" w:eastAsia="Palatino Linotype" w:hAnsi="Palatino Linotype" w:cs="Palatino Linotype"/>
          <w:b/>
          <w:bCs/>
          <w:i/>
          <w:iCs/>
        </w:rPr>
        <w:t>es información pública, en razón de que tales datos fueron proporcionados con el objeto de expresar el consentimiento obligacional del tercero y otorgar validez a dicho instrumento jurídico</w:t>
      </w:r>
      <w:r>
        <w:rPr>
          <w:rFonts w:ascii="Palatino Linotype" w:eastAsia="Palatino Linotype" w:hAnsi="Palatino Linotype" w:cs="Palatino Linotype"/>
          <w:i/>
          <w:iCs/>
        </w:rPr>
        <w:t>.”</w:t>
      </w:r>
    </w:p>
    <w:p w14:paraId="30F3B4BF" w14:textId="77777777" w:rsidR="00292618" w:rsidRDefault="00292618">
      <w:pPr>
        <w:spacing w:line="276" w:lineRule="auto"/>
        <w:ind w:left="851" w:right="900"/>
        <w:jc w:val="both"/>
        <w:rPr>
          <w:rFonts w:ascii="Palatino Linotype" w:eastAsia="Palatino Linotype" w:hAnsi="Palatino Linotype" w:cs="Palatino Linotype"/>
          <w:i/>
          <w:iCs/>
        </w:rPr>
      </w:pPr>
    </w:p>
    <w:p w14:paraId="2CAEF918"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lo tanto, la entrega de documentos en su versión pública debe acompañarse necesariamente del Acuerdo del Comité de Transparencia que la sustente, en el que se expongan los fundamentos y razonamientos que llevaron al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Pr>
          <w:rFonts w:ascii="Palatino Linotype" w:eastAsia="Palatino Linotype" w:hAnsi="Palatino Linotype" w:cs="Palatino Linotype"/>
          <w:b/>
          <w:bCs/>
          <w:color w:val="000000"/>
        </w:rPr>
        <w:t>RECURRENTE.</w:t>
      </w:r>
    </w:p>
    <w:p w14:paraId="4F96D234" w14:textId="77777777" w:rsidR="00144EDA" w:rsidRDefault="00144EDA">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680AEF7A"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los servidores públicos. </w:t>
      </w:r>
    </w:p>
    <w:p w14:paraId="06920C51" w14:textId="77777777" w:rsidR="00144EDA" w:rsidRDefault="00144EDA">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2BEF2F9B"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12021F49" w14:textId="77777777" w:rsidR="00144EDA" w:rsidRDefault="00144EDA">
      <w:pPr>
        <w:pBdr>
          <w:top w:val="nil"/>
          <w:left w:val="nil"/>
          <w:bottom w:val="nil"/>
          <w:right w:val="nil"/>
          <w:between w:val="nil"/>
        </w:pBdr>
        <w:spacing w:line="360" w:lineRule="auto"/>
        <w:ind w:left="720"/>
        <w:jc w:val="both"/>
        <w:rPr>
          <w:rFonts w:ascii="Palatino Linotype" w:eastAsia="Palatino Linotype" w:hAnsi="Palatino Linotype" w:cs="Palatino Linotype"/>
        </w:rPr>
      </w:pPr>
    </w:p>
    <w:p w14:paraId="7676DC0E"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Entorno a lo que aquí nos interesa, los Lineamientos Quincuagésimo sexto, Quincuagésimo séptimo y Quincuagésimo octavo, establecen lo siguiente:</w:t>
      </w:r>
    </w:p>
    <w:p w14:paraId="10D2CA0E" w14:textId="77777777" w:rsidR="00144EDA" w:rsidRDefault="00C81811">
      <w:pPr>
        <w:spacing w:line="360" w:lineRule="auto"/>
        <w:ind w:left="851" w:right="902"/>
        <w:jc w:val="both"/>
        <w:rPr>
          <w:rFonts w:ascii="Palatino Linotype" w:eastAsia="Palatino Linotype" w:hAnsi="Palatino Linotype" w:cs="Palatino Linotype"/>
          <w:i/>
          <w:iCs/>
        </w:rPr>
      </w:pPr>
      <w:r>
        <w:rPr>
          <w:rFonts w:ascii="Palatino Linotype" w:eastAsia="Palatino Linotype" w:hAnsi="Palatino Linotype" w:cs="Palatino Linotype"/>
          <w:i/>
          <w:iCs/>
        </w:rPr>
        <w:t>“Quincuagésimo sexto</w:t>
      </w:r>
      <w:r>
        <w:rPr>
          <w:rFonts w:ascii="Palatino Linotype" w:eastAsia="Palatino Linotype" w:hAnsi="Palatino Linotype" w:cs="Palatino Linotype"/>
          <w:b/>
          <w:bCs/>
          <w:i/>
          <w:iCs/>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019E38FB" w14:textId="77777777" w:rsidR="00144EDA" w:rsidRDefault="00C81811">
      <w:pPr>
        <w:spacing w:line="360" w:lineRule="auto"/>
        <w:ind w:left="851" w:right="90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Quincuagésimo séptimo. Se considera, en principio, como información pública y no podrá omitirse de las versiones públicas la siguiente: </w:t>
      </w:r>
    </w:p>
    <w:p w14:paraId="2DFCAA02" w14:textId="77777777" w:rsidR="00144EDA" w:rsidRDefault="00C81811">
      <w:pPr>
        <w:spacing w:line="360" w:lineRule="auto"/>
        <w:ind w:left="851" w:right="90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La relativa a las Obligaciones de Transparencia que contempla el Título V de la Ley General y las demás disposiciones legales aplicables; </w:t>
      </w:r>
    </w:p>
    <w:p w14:paraId="5112EABD" w14:textId="77777777" w:rsidR="00144EDA" w:rsidRDefault="00C81811">
      <w:pPr>
        <w:spacing w:line="360" w:lineRule="auto"/>
        <w:ind w:left="851" w:right="90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El nombre de los servidores públicos en los documentos, y sus firmas autógrafas, cuando sean utilizados en el ejercicio de las facultades conferidas para el desempeño del servicio público, y </w:t>
      </w:r>
    </w:p>
    <w:p w14:paraId="5DC43C19" w14:textId="77777777" w:rsidR="00144EDA" w:rsidRDefault="00C81811">
      <w:pPr>
        <w:spacing w:line="360" w:lineRule="auto"/>
        <w:ind w:left="851" w:right="902"/>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III. La información que documente decisiones y los actos de autoridad concluidos de los sujetos obligados, así como el ejercicio de las facultades o actividades de los servidores públicos, de manera que se pueda valorar el desempeño de los mismos.</w:t>
      </w:r>
    </w:p>
    <w:p w14:paraId="4C426EBC" w14:textId="77777777" w:rsidR="00144EDA" w:rsidRDefault="00C81811">
      <w:pPr>
        <w:spacing w:line="360" w:lineRule="auto"/>
        <w:ind w:left="851" w:right="90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 anterior, siempre y cuando no se acredite alguna causal de clasificación, prevista en las leyes o en los tratados internaciones suscritos por el Estado mexicano. </w:t>
      </w:r>
    </w:p>
    <w:p w14:paraId="2B9F1277" w14:textId="77777777" w:rsidR="00144EDA" w:rsidRDefault="00C81811">
      <w:pPr>
        <w:spacing w:line="360" w:lineRule="auto"/>
        <w:ind w:left="851" w:right="902"/>
        <w:jc w:val="both"/>
        <w:rPr>
          <w:rFonts w:ascii="Palatino Linotype" w:eastAsia="Palatino Linotype" w:hAnsi="Palatino Linotype" w:cs="Palatino Linotype"/>
          <w:i/>
          <w:iCs/>
        </w:rPr>
      </w:pPr>
      <w:r>
        <w:rPr>
          <w:rFonts w:ascii="Palatino Linotype" w:eastAsia="Palatino Linotype" w:hAnsi="Palatino Linotype" w:cs="Palatino Linotype"/>
          <w:i/>
          <w:iCs/>
        </w:rPr>
        <w:t>Quincuagésimo octavo. Los sujetos obligados garantizarán que los sistemas o medios empleados para eliminar la información en las versiones públicas no permitan la recuperación o visualización de la misma.”</w:t>
      </w:r>
    </w:p>
    <w:p w14:paraId="109435DA" w14:textId="77777777" w:rsidR="00144EDA" w:rsidRDefault="00144EDA">
      <w:pPr>
        <w:spacing w:line="360" w:lineRule="auto"/>
        <w:ind w:left="851" w:right="902"/>
        <w:jc w:val="both"/>
        <w:rPr>
          <w:rFonts w:ascii="Palatino Linotype" w:eastAsia="Palatino Linotype" w:hAnsi="Palatino Linotype" w:cs="Palatino Linotype"/>
          <w:i/>
          <w:iCs/>
        </w:rPr>
      </w:pPr>
    </w:p>
    <w:p w14:paraId="20E29EC6"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lo tanto, </w:t>
      </w:r>
      <w:r>
        <w:rPr>
          <w:rFonts w:ascii="Palatino Linotype" w:eastAsia="Palatino Linotype" w:hAnsi="Palatino Linotype" w:cs="Palatino Linotype"/>
          <w:b/>
          <w:bCs/>
          <w:color w:val="000000"/>
        </w:rPr>
        <w:t xml:space="preserve">la entrega de documentos en su versión pública debe </w:t>
      </w:r>
      <w:r>
        <w:rPr>
          <w:rFonts w:ascii="Palatino Linotype" w:eastAsia="Palatino Linotype" w:hAnsi="Palatino Linotype" w:cs="Palatino Linotype"/>
          <w:color w:val="000000"/>
        </w:rPr>
        <w:t>acompañarse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necesariamente</w:t>
      </w:r>
      <w:r>
        <w:rPr>
          <w:rFonts w:ascii="Palatino Linotype" w:eastAsia="Palatino Linotype" w:hAnsi="Palatino Linotype" w:cs="Palatino Linotype"/>
          <w:b/>
          <w:bCs/>
          <w:color w:val="000000"/>
        </w:rPr>
        <w:t xml:space="preserve"> del Acuerdo del Comité de Transparencia que la sustente el cual debe estar debidamente fundado y motivado, en el que se expongan los fundamentos y razonamientos que llevaron al Sujeto Obligado a testar, suprimir o eliminar datos de dicho soporte documental</w:t>
      </w:r>
      <w:r>
        <w:rPr>
          <w:rFonts w:ascii="Palatino Linotype" w:eastAsia="Palatino Linotype" w:hAnsi="Palatino Linotype" w:cs="Palatino Linotype"/>
          <w:color w:val="000000"/>
        </w:rPr>
        <w:t>,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30F1DCB6" w14:textId="77777777" w:rsidR="00144EDA" w:rsidRDefault="00144EDA">
      <w:pPr>
        <w:pBdr>
          <w:top w:val="nil"/>
          <w:left w:val="nil"/>
          <w:bottom w:val="nil"/>
          <w:right w:val="nil"/>
          <w:between w:val="nil"/>
        </w:pBdr>
        <w:tabs>
          <w:tab w:val="left" w:pos="284"/>
          <w:tab w:val="left" w:pos="426"/>
        </w:tabs>
        <w:spacing w:line="360" w:lineRule="auto"/>
        <w:ind w:right="49"/>
        <w:jc w:val="both"/>
        <w:rPr>
          <w:rFonts w:ascii="Palatino Linotype" w:eastAsia="Palatino Linotype" w:hAnsi="Palatino Linotype" w:cs="Palatino Linotype"/>
          <w:color w:val="000000"/>
        </w:rPr>
      </w:pPr>
    </w:p>
    <w:p w14:paraId="49ACF03C"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serán responsables de los datos personales en su posesión y que, en caso de localizarse datos concernientes a terceros, éstos no podrán difundir, distribuir o comercializar los datos personales.  Cabe destacar que, para la realización de la </w:t>
      </w:r>
      <w:r>
        <w:rPr>
          <w:rFonts w:ascii="Palatino Linotype" w:eastAsia="Palatino Linotype" w:hAnsi="Palatino Linotype" w:cs="Palatino Linotype"/>
          <w:color w:val="000000"/>
        </w:rPr>
        <w:lastRenderedPageBreak/>
        <w:t>clasificación de la información, se deben seguir una serie de pasos y procedimientos, por lo que es menester reiterar los mismos:</w:t>
      </w:r>
    </w:p>
    <w:p w14:paraId="1069D31D" w14:textId="77777777" w:rsidR="00292618" w:rsidRDefault="00292618" w:rsidP="0029261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tbl>
      <w:tblPr>
        <w:tblStyle w:val="a4"/>
        <w:tblW w:w="991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29"/>
      </w:tblGrid>
      <w:tr w:rsidR="00144EDA" w14:paraId="06AAD5F6" w14:textId="77777777" w:rsidTr="00292618">
        <w:tc>
          <w:tcPr>
            <w:tcW w:w="2689" w:type="dxa"/>
          </w:tcPr>
          <w:p w14:paraId="0A88F788" w14:textId="77777777" w:rsidR="00144EDA" w:rsidRDefault="00C81811">
            <w:pPr>
              <w:tabs>
                <w:tab w:val="left" w:pos="284"/>
              </w:tabs>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7229" w:type="dxa"/>
          </w:tcPr>
          <w:p w14:paraId="438CC5B1" w14:textId="77777777" w:rsidR="00144EDA" w:rsidRDefault="00C81811">
            <w:pPr>
              <w:tabs>
                <w:tab w:val="left" w:pos="284"/>
              </w:tabs>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0A88F45E" w14:textId="77777777" w:rsidR="00144EDA" w:rsidRDefault="00C81811">
            <w:pPr>
              <w:tabs>
                <w:tab w:val="left" w:pos="284"/>
              </w:tabs>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43135E30" w14:textId="77777777" w:rsidR="00144EDA" w:rsidRDefault="00C81811">
            <w:pPr>
              <w:tabs>
                <w:tab w:val="left" w:pos="284"/>
              </w:tabs>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59113F70" w14:textId="77777777" w:rsidR="00144EDA" w:rsidRDefault="00C81811">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14:paraId="05BB8A07" w14:textId="77777777" w:rsidR="00144EDA" w:rsidRDefault="00144EDA">
            <w:pPr>
              <w:tabs>
                <w:tab w:val="left" w:pos="284"/>
              </w:tabs>
              <w:jc w:val="both"/>
              <w:rPr>
                <w:rFonts w:ascii="Palatino Linotype" w:eastAsia="Palatino Linotype" w:hAnsi="Palatino Linotype" w:cs="Palatino Linotype"/>
              </w:rPr>
            </w:pPr>
          </w:p>
        </w:tc>
      </w:tr>
      <w:tr w:rsidR="00144EDA" w14:paraId="2AB9119C" w14:textId="77777777" w:rsidTr="00292618">
        <w:tc>
          <w:tcPr>
            <w:tcW w:w="2689" w:type="dxa"/>
          </w:tcPr>
          <w:p w14:paraId="62DEE04F" w14:textId="77777777" w:rsidR="00144EDA" w:rsidRDefault="00C81811">
            <w:pPr>
              <w:tabs>
                <w:tab w:val="left" w:pos="284"/>
              </w:tabs>
              <w:rPr>
                <w:rFonts w:ascii="Palatino Linotype" w:eastAsia="Palatino Linotype" w:hAnsi="Palatino Linotype" w:cs="Palatino Linotype"/>
              </w:rPr>
            </w:pPr>
            <w:r>
              <w:rPr>
                <w:rFonts w:ascii="Palatino Linotype" w:eastAsia="Palatino Linotype" w:hAnsi="Palatino Linotype" w:cs="Palatino Linotype"/>
              </w:rPr>
              <w:t>b) Supuestos de clasificación.</w:t>
            </w:r>
          </w:p>
        </w:tc>
        <w:tc>
          <w:tcPr>
            <w:tcW w:w="7229" w:type="dxa"/>
          </w:tcPr>
          <w:p w14:paraId="1B501B68" w14:textId="77777777" w:rsidR="00144EDA" w:rsidRDefault="00C81811">
            <w:pPr>
              <w:tabs>
                <w:tab w:val="left" w:pos="284"/>
              </w:tabs>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6B381D0D" w14:textId="77777777" w:rsidR="00144EDA" w:rsidRDefault="00C81811">
            <w:pPr>
              <w:tabs>
                <w:tab w:val="left" w:pos="284"/>
              </w:tabs>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62BF655F" w14:textId="77777777" w:rsidR="00144EDA" w:rsidRDefault="00C81811">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14:paraId="63A0CBD8" w14:textId="77777777" w:rsidR="00144EDA" w:rsidRDefault="00144EDA">
            <w:pPr>
              <w:tabs>
                <w:tab w:val="left" w:pos="284"/>
              </w:tabs>
              <w:jc w:val="both"/>
              <w:rPr>
                <w:rFonts w:ascii="Palatino Linotype" w:eastAsia="Palatino Linotype" w:hAnsi="Palatino Linotype" w:cs="Palatino Linotype"/>
              </w:rPr>
            </w:pPr>
          </w:p>
        </w:tc>
      </w:tr>
      <w:tr w:rsidR="00144EDA" w14:paraId="5251D540" w14:textId="77777777" w:rsidTr="00292618">
        <w:tc>
          <w:tcPr>
            <w:tcW w:w="2689" w:type="dxa"/>
          </w:tcPr>
          <w:p w14:paraId="18E555FB" w14:textId="77777777" w:rsidR="00144EDA" w:rsidRDefault="00C81811">
            <w:pPr>
              <w:tabs>
                <w:tab w:val="left" w:pos="284"/>
              </w:tabs>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7229" w:type="dxa"/>
          </w:tcPr>
          <w:p w14:paraId="31203C86" w14:textId="77777777" w:rsidR="00144EDA" w:rsidRDefault="00C81811">
            <w:pPr>
              <w:tabs>
                <w:tab w:val="left" w:pos="284"/>
              </w:tabs>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3CBEBF51" w14:textId="77777777" w:rsidR="00144EDA" w:rsidRDefault="00C81811">
            <w:pPr>
              <w:tabs>
                <w:tab w:val="left" w:pos="284"/>
              </w:tabs>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14:paraId="7CBE49B5" w14:textId="77777777" w:rsidR="00144EDA" w:rsidRDefault="00C81811">
            <w:pPr>
              <w:tabs>
                <w:tab w:val="left" w:pos="284"/>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14:paraId="2B1EA94E" w14:textId="77777777" w:rsidR="00144EDA" w:rsidRDefault="00144EDA">
            <w:pPr>
              <w:tabs>
                <w:tab w:val="left" w:pos="284"/>
              </w:tabs>
              <w:jc w:val="both"/>
              <w:rPr>
                <w:rFonts w:ascii="Palatino Linotype" w:eastAsia="Palatino Linotype" w:hAnsi="Palatino Linotype" w:cs="Palatino Linotype"/>
              </w:rPr>
            </w:pPr>
          </w:p>
        </w:tc>
      </w:tr>
      <w:tr w:rsidR="00144EDA" w14:paraId="3CBF7928" w14:textId="77777777" w:rsidTr="00292618">
        <w:tc>
          <w:tcPr>
            <w:tcW w:w="2689" w:type="dxa"/>
          </w:tcPr>
          <w:p w14:paraId="286ECFC5" w14:textId="77777777" w:rsidR="00144EDA" w:rsidRDefault="00144EDA">
            <w:pPr>
              <w:tabs>
                <w:tab w:val="left" w:pos="284"/>
              </w:tabs>
              <w:rPr>
                <w:rFonts w:ascii="Palatino Linotype" w:eastAsia="Palatino Linotype" w:hAnsi="Palatino Linotype" w:cs="Palatino Linotype"/>
              </w:rPr>
            </w:pPr>
          </w:p>
          <w:p w14:paraId="3E257209" w14:textId="77777777" w:rsidR="00144EDA" w:rsidRDefault="00C81811">
            <w:pPr>
              <w:tabs>
                <w:tab w:val="left" w:pos="284"/>
              </w:tabs>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7229" w:type="dxa"/>
          </w:tcPr>
          <w:p w14:paraId="3D94A953" w14:textId="77777777" w:rsidR="00144EDA" w:rsidRDefault="00C81811">
            <w:pPr>
              <w:tabs>
                <w:tab w:val="left" w:pos="284"/>
              </w:tabs>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14:paraId="0B3097C4" w14:textId="77777777" w:rsidR="00144EDA" w:rsidRDefault="00C81811">
            <w:pPr>
              <w:tabs>
                <w:tab w:val="left" w:pos="284"/>
              </w:tabs>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xml:space="preserve">, esto es determinar los datos que se suprimen en las versiones públicas, es necesario fundar y motivar, de manera correcta, la clasificación; considerando que todo acto que la autoridad pronuncie en el ejercicio de sus atribuciones, debe </w:t>
            </w:r>
            <w:r>
              <w:rPr>
                <w:rFonts w:ascii="Palatino Linotype" w:eastAsia="Palatino Linotype" w:hAnsi="Palatino Linotype" w:cs="Palatino Linotype"/>
                <w:color w:val="000000"/>
              </w:rPr>
              <w:lastRenderedPageBreak/>
              <w:t>expresar los fundamentos legales que le dieron origen y las razones por las que se deben aplicar al caso concreto.</w:t>
            </w:r>
          </w:p>
          <w:p w14:paraId="623B0009" w14:textId="77777777" w:rsidR="00144EDA" w:rsidRDefault="00C81811">
            <w:pPr>
              <w:tabs>
                <w:tab w:val="left" w:pos="284"/>
              </w:tabs>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0C7D3E34" w14:textId="77777777" w:rsidR="00144EDA" w:rsidRDefault="00C81811">
            <w:pPr>
              <w:tabs>
                <w:tab w:val="left" w:pos="284"/>
              </w:tabs>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3BC7F7B4" w14:textId="77777777" w:rsidR="00144EDA" w:rsidRDefault="00C81811">
            <w:pPr>
              <w:tabs>
                <w:tab w:val="left" w:pos="284"/>
              </w:tabs>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14:paraId="017691AE" w14:textId="77777777" w:rsidR="00144EDA" w:rsidRDefault="00144EDA">
            <w:pPr>
              <w:tabs>
                <w:tab w:val="left" w:pos="284"/>
              </w:tabs>
              <w:ind w:right="49"/>
              <w:jc w:val="both"/>
              <w:rPr>
                <w:rFonts w:ascii="Palatino Linotype" w:eastAsia="Palatino Linotype" w:hAnsi="Palatino Linotype" w:cs="Palatino Linotype"/>
                <w:color w:val="000000"/>
              </w:rPr>
            </w:pPr>
          </w:p>
        </w:tc>
      </w:tr>
      <w:tr w:rsidR="00144EDA" w14:paraId="11FFD72B" w14:textId="77777777" w:rsidTr="00292618">
        <w:tc>
          <w:tcPr>
            <w:tcW w:w="2689" w:type="dxa"/>
          </w:tcPr>
          <w:p w14:paraId="1897CF2C" w14:textId="77777777" w:rsidR="00144EDA" w:rsidRDefault="00C81811">
            <w:pPr>
              <w:tabs>
                <w:tab w:val="left" w:pos="284"/>
              </w:tabs>
              <w:ind w:right="49"/>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7229" w:type="dxa"/>
          </w:tcPr>
          <w:p w14:paraId="12F38F8C" w14:textId="77777777" w:rsidR="00144EDA" w:rsidRDefault="00C81811">
            <w:pPr>
              <w:tabs>
                <w:tab w:val="left" w:pos="284"/>
              </w:tabs>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24D6A90E" w14:textId="77777777" w:rsidR="00144EDA" w:rsidRDefault="00C81811">
            <w:pPr>
              <w:tabs>
                <w:tab w:val="left" w:pos="284"/>
              </w:tabs>
              <w:ind w:right="4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5A204498" w14:textId="77777777" w:rsidR="00144EDA" w:rsidRDefault="00C81811">
            <w:pPr>
              <w:tabs>
                <w:tab w:val="left" w:pos="284"/>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Pero si la información que se pretende clasificar como confidencial no se encuentra en los supuestos de los artículos señalados y es posible, se deberá consultar al titular de los datos </w:t>
            </w:r>
            <w:r>
              <w:rPr>
                <w:rFonts w:ascii="Palatino Linotype" w:eastAsia="Palatino Linotype" w:hAnsi="Palatino Linotype" w:cs="Palatino Linotype"/>
                <w:color w:val="000000"/>
              </w:rPr>
              <w:lastRenderedPageBreak/>
              <w:t>si permite o no el acceso. De no ser posible, la realización de la consulta, procede, fundando y motivando, la clasificación.</w:t>
            </w:r>
          </w:p>
          <w:p w14:paraId="22F45223" w14:textId="77777777" w:rsidR="00144EDA" w:rsidRDefault="00144EDA">
            <w:pPr>
              <w:tabs>
                <w:tab w:val="left" w:pos="284"/>
              </w:tabs>
              <w:rPr>
                <w:rFonts w:ascii="Palatino Linotype" w:eastAsia="Palatino Linotype" w:hAnsi="Palatino Linotype" w:cs="Palatino Linotype"/>
              </w:rPr>
            </w:pPr>
          </w:p>
        </w:tc>
      </w:tr>
    </w:tbl>
    <w:p w14:paraId="1EEE46EB" w14:textId="77777777" w:rsidR="00144EDA" w:rsidRDefault="00144EDA">
      <w:pPr>
        <w:tabs>
          <w:tab w:val="left" w:pos="284"/>
        </w:tabs>
        <w:spacing w:line="360" w:lineRule="auto"/>
        <w:rPr>
          <w:rFonts w:ascii="Palatino Linotype" w:eastAsia="Palatino Linotype" w:hAnsi="Palatino Linotype" w:cs="Palatino Linotype"/>
          <w:color w:val="000000"/>
        </w:rPr>
      </w:pPr>
    </w:p>
    <w:p w14:paraId="362364FC"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14:paraId="06E5F98F" w14:textId="77777777" w:rsidR="00144EDA" w:rsidRDefault="00144EDA">
      <w:pPr>
        <w:pBdr>
          <w:top w:val="nil"/>
          <w:left w:val="nil"/>
          <w:bottom w:val="nil"/>
          <w:right w:val="nil"/>
          <w:between w:val="nil"/>
        </w:pBdr>
        <w:tabs>
          <w:tab w:val="left" w:pos="851"/>
        </w:tabs>
        <w:spacing w:line="360" w:lineRule="auto"/>
        <w:ind w:right="476"/>
        <w:jc w:val="both"/>
        <w:rPr>
          <w:rFonts w:ascii="Palatino Linotype" w:eastAsia="Palatino Linotype" w:hAnsi="Palatino Linotype" w:cs="Palatino Linotype"/>
          <w:i/>
          <w:iCs/>
          <w:color w:val="000000"/>
        </w:rPr>
      </w:pPr>
    </w:p>
    <w:p w14:paraId="3FA3868A" w14:textId="77777777" w:rsidR="00144EDA" w:rsidRDefault="00C81811" w:rsidP="0029261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Pr>
          <w:rFonts w:ascii="Palatino Linotype" w:eastAsia="Palatino Linotype" w:hAnsi="Palatino Linotype" w:cs="Palatino Linotype"/>
          <w:color w:val="222222"/>
        </w:rPr>
        <w:t xml:space="preserve">Por lo </w:t>
      </w:r>
      <w:r>
        <w:rPr>
          <w:rFonts w:ascii="Palatino Linotype" w:eastAsia="Palatino Linotype" w:hAnsi="Palatino Linotype" w:cs="Palatino Linotype"/>
          <w:color w:val="000000"/>
        </w:rPr>
        <w:t>anteriormente</w:t>
      </w:r>
      <w:r>
        <w:rPr>
          <w:rFonts w:ascii="Palatino Linotype" w:eastAsia="Palatino Linotype" w:hAnsi="Palatino Linotype" w:cs="Palatino Linotype"/>
          <w:color w:val="222222"/>
        </w:rPr>
        <w:t xml:space="preserve"> expuesto y fundado, este </w:t>
      </w:r>
      <w:r>
        <w:rPr>
          <w:rFonts w:ascii="Palatino Linotype" w:eastAsia="Palatino Linotype" w:hAnsi="Palatino Linotype" w:cs="Palatino Linotype"/>
          <w:b/>
          <w:bCs/>
          <w:color w:val="222222"/>
        </w:rPr>
        <w:t>ÓRGANO GARANTE</w:t>
      </w:r>
      <w:r>
        <w:rPr>
          <w:rFonts w:ascii="Palatino Linotype" w:eastAsia="Palatino Linotype" w:hAnsi="Palatino Linotype" w:cs="Palatino Linotype"/>
          <w:color w:val="222222"/>
        </w:rPr>
        <w:t xml:space="preserve"> emite los </w:t>
      </w:r>
      <w:r>
        <w:rPr>
          <w:rFonts w:ascii="Palatino Linotype" w:eastAsia="Palatino Linotype" w:hAnsi="Palatino Linotype" w:cs="Palatino Linotype"/>
        </w:rPr>
        <w:t>siguientes</w:t>
      </w:r>
      <w:r>
        <w:rPr>
          <w:rFonts w:ascii="Palatino Linotype" w:eastAsia="Palatino Linotype" w:hAnsi="Palatino Linotype" w:cs="Palatino Linotype"/>
          <w:color w:val="222222"/>
        </w:rPr>
        <w:t>:</w:t>
      </w:r>
    </w:p>
    <w:p w14:paraId="7F6D40AF" w14:textId="77777777" w:rsidR="00144EDA" w:rsidRDefault="00C81811">
      <w:pPr>
        <w:pStyle w:val="Ttulo1"/>
        <w:spacing w:before="0" w:line="360" w:lineRule="auto"/>
        <w:ind w:right="49"/>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R E S O L U T I V O S</w:t>
      </w:r>
    </w:p>
    <w:p w14:paraId="1D5770A3" w14:textId="77777777" w:rsidR="00144EDA" w:rsidRDefault="00144EDA">
      <w:pPr>
        <w:spacing w:line="360" w:lineRule="auto"/>
        <w:ind w:right="49"/>
        <w:jc w:val="both"/>
        <w:rPr>
          <w:rFonts w:ascii="Palatino Linotype" w:eastAsia="Palatino Linotype" w:hAnsi="Palatino Linotype" w:cs="Palatino Linotype"/>
        </w:rPr>
      </w:pPr>
    </w:p>
    <w:p w14:paraId="3E88E8D1" w14:textId="77777777" w:rsidR="00144EDA" w:rsidRDefault="00C81811">
      <w:pPr>
        <w:spacing w:line="360" w:lineRule="auto"/>
        <w:jc w:val="both"/>
        <w:rPr>
          <w:rFonts w:ascii="Palatino Linotype" w:eastAsia="Palatino Linotype" w:hAnsi="Palatino Linotype" w:cs="Palatino Linotype"/>
        </w:rPr>
      </w:pPr>
      <w:bookmarkStart w:id="8" w:name="_heading=h.1t3h5sf" w:colFirst="0" w:colLast="0"/>
      <w:bookmarkEnd w:id="8"/>
      <w:r>
        <w:rPr>
          <w:rFonts w:ascii="Palatino Linotype" w:eastAsia="Palatino Linotype" w:hAnsi="Palatino Linotype" w:cs="Palatino Linotype"/>
          <w:b/>
          <w:bCs/>
        </w:rPr>
        <w:t>PRIMERO</w:t>
      </w:r>
      <w:r>
        <w:rPr>
          <w:rFonts w:ascii="Palatino Linotype" w:eastAsia="Palatino Linotype" w:hAnsi="Palatino Linotype" w:cs="Palatino Linotype"/>
        </w:rPr>
        <w:t>. Resultan parcialmente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color w:val="000000"/>
        </w:rPr>
        <w:t>06593/INFOEM/IP/RR/2025</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términos de los </w:t>
      </w:r>
      <w:r>
        <w:rPr>
          <w:rFonts w:ascii="Palatino Linotype" w:eastAsia="Palatino Linotype" w:hAnsi="Palatino Linotype" w:cs="Palatino Linotype"/>
          <w:b/>
          <w:bCs/>
        </w:rPr>
        <w:t>Considerandos</w:t>
      </w:r>
      <w:r>
        <w:rPr>
          <w:rFonts w:ascii="Palatino Linotype" w:eastAsia="Palatino Linotype" w:hAnsi="Palatino Linotype" w:cs="Palatino Linotype"/>
        </w:rPr>
        <w:t xml:space="preserve"> </w:t>
      </w:r>
      <w:r>
        <w:rPr>
          <w:rFonts w:ascii="Palatino Linotype" w:eastAsia="Palatino Linotype" w:hAnsi="Palatino Linotype" w:cs="Palatino Linotype"/>
          <w:b/>
          <w:bCs/>
        </w:rPr>
        <w:t>CUARTO</w:t>
      </w:r>
      <w:r>
        <w:rPr>
          <w:rFonts w:ascii="Palatino Linotype" w:eastAsia="Palatino Linotype" w:hAnsi="Palatino Linotype" w:cs="Palatino Linotype"/>
        </w:rPr>
        <w:t xml:space="preserve"> y </w:t>
      </w:r>
      <w:r>
        <w:rPr>
          <w:rFonts w:ascii="Palatino Linotype" w:eastAsia="Palatino Linotype" w:hAnsi="Palatino Linotype" w:cs="Palatino Linotype"/>
          <w:b/>
          <w:bCs/>
        </w:rPr>
        <w:t xml:space="preserve">QUINTO </w:t>
      </w:r>
      <w:r>
        <w:rPr>
          <w:rFonts w:ascii="Palatino Linotype" w:eastAsia="Palatino Linotype" w:hAnsi="Palatino Linotype" w:cs="Palatino Linotype"/>
        </w:rPr>
        <w:t>de la presente Resolución.</w:t>
      </w:r>
    </w:p>
    <w:p w14:paraId="25587E55" w14:textId="77777777" w:rsidR="00144EDA" w:rsidRDefault="00144EDA">
      <w:pPr>
        <w:spacing w:line="360" w:lineRule="auto"/>
        <w:jc w:val="both"/>
        <w:rPr>
          <w:rFonts w:ascii="Palatino Linotype" w:eastAsia="Palatino Linotype" w:hAnsi="Palatino Linotype" w:cs="Palatino Linotype"/>
        </w:rPr>
      </w:pPr>
    </w:p>
    <w:p w14:paraId="4EF345A4" w14:textId="77777777" w:rsidR="00144EDA" w:rsidRDefault="00C81811">
      <w:pPr>
        <w:spacing w:line="360" w:lineRule="auto"/>
        <w:jc w:val="both"/>
        <w:rPr>
          <w:rFonts w:ascii="Palatino Linotype" w:eastAsia="Palatino Linotype" w:hAnsi="Palatino Linotype" w:cs="Palatino Linotype"/>
        </w:rPr>
      </w:pPr>
      <w:bookmarkStart w:id="9" w:name="_heading=h.s3gl4gz35x1x" w:colFirst="0" w:colLast="0"/>
      <w:bookmarkEnd w:id="9"/>
      <w:r>
        <w:rPr>
          <w:rFonts w:ascii="Palatino Linotype" w:eastAsia="Palatino Linotype" w:hAnsi="Palatino Linotype" w:cs="Palatino Linotype"/>
          <w:b/>
          <w:bCs/>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REVOCA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rPr>
        <w:t xml:space="preserve">Ayuntamiento de Nicolás Romero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Mexiquense (SAIMEX), previa búsqueda exhaustiva y razonable, de ser el caso en versión pública, la siguiente información generada, poseída o administrada </w:t>
      </w:r>
      <w:r>
        <w:rPr>
          <w:rFonts w:ascii="Palatino Linotype" w:eastAsia="Palatino Linotype" w:hAnsi="Palatino Linotype" w:cs="Palatino Linotype"/>
        </w:rPr>
        <w:t>al</w:t>
      </w:r>
      <w:r>
        <w:rPr>
          <w:rFonts w:ascii="Palatino Linotype" w:eastAsia="Palatino Linotype" w:hAnsi="Palatino Linotype" w:cs="Palatino Linotype"/>
          <w:b/>
          <w:bCs/>
        </w:rPr>
        <w:t xml:space="preserve"> 15 de mayo  de 2025</w:t>
      </w:r>
      <w:r>
        <w:rPr>
          <w:rFonts w:ascii="Palatino Linotype" w:eastAsia="Palatino Linotype" w:hAnsi="Palatino Linotype" w:cs="Palatino Linotype"/>
        </w:rPr>
        <w:t>:</w:t>
      </w:r>
    </w:p>
    <w:p w14:paraId="65C37859" w14:textId="77777777" w:rsidR="00144EDA" w:rsidRDefault="00144EDA">
      <w:pPr>
        <w:pBdr>
          <w:top w:val="nil"/>
          <w:left w:val="nil"/>
          <w:bottom w:val="nil"/>
          <w:right w:val="nil"/>
          <w:between w:val="nil"/>
        </w:pBdr>
        <w:tabs>
          <w:tab w:val="left" w:pos="8080"/>
        </w:tabs>
        <w:spacing w:line="360" w:lineRule="auto"/>
        <w:ind w:left="709" w:right="474"/>
        <w:jc w:val="both"/>
        <w:rPr>
          <w:rFonts w:ascii="Palatino Linotype" w:eastAsia="Palatino Linotype" w:hAnsi="Palatino Linotype" w:cs="Palatino Linotype"/>
          <w:i/>
          <w:iCs/>
          <w:color w:val="000000"/>
        </w:rPr>
      </w:pPr>
    </w:p>
    <w:p w14:paraId="16ECCB05" w14:textId="77777777" w:rsidR="003A3800" w:rsidRPr="00230AAF" w:rsidRDefault="003A3800" w:rsidP="003A3800">
      <w:pPr>
        <w:numPr>
          <w:ilvl w:val="0"/>
          <w:numId w:val="4"/>
        </w:numPr>
        <w:pBdr>
          <w:top w:val="nil"/>
          <w:left w:val="nil"/>
          <w:bottom w:val="nil"/>
          <w:right w:val="nil"/>
          <w:between w:val="nil"/>
        </w:pBdr>
        <w:spacing w:line="360" w:lineRule="auto"/>
        <w:ind w:right="616"/>
        <w:jc w:val="both"/>
        <w:rPr>
          <w:rFonts w:ascii="Palatino Linotype" w:eastAsia="Palatino Linotype" w:hAnsi="Palatino Linotype" w:cs="Palatino Linotype"/>
          <w:bCs/>
          <w:color w:val="000000"/>
        </w:rPr>
      </w:pPr>
      <w:bookmarkStart w:id="10" w:name="_heading=h.2aaxwytte0qj" w:colFirst="0" w:colLast="0"/>
      <w:bookmarkEnd w:id="10"/>
      <w:r w:rsidRPr="00230AAF">
        <w:rPr>
          <w:rFonts w:ascii="Palatino Linotype" w:eastAsia="Palatino Linotype" w:hAnsi="Palatino Linotype" w:cs="Palatino Linotype"/>
          <w:bCs/>
          <w:color w:val="000000"/>
        </w:rPr>
        <w:t>El expediente generado con motivo del permiso(s) otorgado(s) a la empresa encargada de realizar modificaciones en el predio de progreso industrial, anteriormente fábrica de papel de Progreso Industrial;</w:t>
      </w:r>
    </w:p>
    <w:p w14:paraId="38CDEB44" w14:textId="77777777" w:rsidR="006A4FBD" w:rsidRPr="00230AAF" w:rsidRDefault="006A4FBD" w:rsidP="006A4FBD">
      <w:pPr>
        <w:numPr>
          <w:ilvl w:val="0"/>
          <w:numId w:val="4"/>
        </w:numPr>
        <w:pBdr>
          <w:top w:val="nil"/>
          <w:left w:val="nil"/>
          <w:bottom w:val="nil"/>
          <w:right w:val="nil"/>
          <w:between w:val="nil"/>
        </w:pBdr>
        <w:spacing w:line="360" w:lineRule="auto"/>
        <w:ind w:right="616"/>
        <w:jc w:val="both"/>
        <w:rPr>
          <w:rFonts w:ascii="Palatino Linotype" w:eastAsia="Palatino Linotype" w:hAnsi="Palatino Linotype" w:cs="Palatino Linotype"/>
          <w:bCs/>
          <w:color w:val="000000"/>
        </w:rPr>
      </w:pPr>
      <w:r w:rsidRPr="00230AAF">
        <w:rPr>
          <w:rFonts w:ascii="Palatino Linotype" w:eastAsia="Palatino Linotype" w:hAnsi="Palatino Linotype" w:cs="Palatino Linotype"/>
          <w:bCs/>
          <w:color w:val="000000"/>
        </w:rPr>
        <w:lastRenderedPageBreak/>
        <w:t>Expediente Único de Obra</w:t>
      </w:r>
      <w:r w:rsidRPr="00230AAF">
        <w:rPr>
          <w:rFonts w:ascii="Palatino Linotype" w:eastAsia="Palatino Linotype" w:hAnsi="Palatino Linotype" w:cs="Palatino Linotype"/>
          <w:color w:val="000000"/>
        </w:rPr>
        <w:t xml:space="preserve"> del desarrollo industrial, complejo comercial y espacio cultural en la comunidad El Progreso Industrial;</w:t>
      </w:r>
    </w:p>
    <w:p w14:paraId="538D66A4" w14:textId="77777777" w:rsidR="00144EDA" w:rsidRPr="00F64360" w:rsidRDefault="00C81811">
      <w:pPr>
        <w:numPr>
          <w:ilvl w:val="0"/>
          <w:numId w:val="4"/>
        </w:numPr>
        <w:pBdr>
          <w:top w:val="nil"/>
          <w:left w:val="nil"/>
          <w:bottom w:val="nil"/>
          <w:right w:val="nil"/>
          <w:between w:val="nil"/>
        </w:pBdr>
        <w:spacing w:line="360" w:lineRule="auto"/>
        <w:ind w:right="616"/>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Documento en que conste o se advierte la razón social de la empresa encargada del desarrollo industrial, complejo comercial y espacio cultural en la comunidad El Progreso Industrial;</w:t>
      </w:r>
    </w:p>
    <w:p w14:paraId="72A7842E" w14:textId="77777777" w:rsidR="00144EDA" w:rsidRDefault="00C81811">
      <w:pPr>
        <w:numPr>
          <w:ilvl w:val="0"/>
          <w:numId w:val="4"/>
        </w:numPr>
        <w:pBdr>
          <w:top w:val="nil"/>
          <w:left w:val="nil"/>
          <w:bottom w:val="nil"/>
          <w:right w:val="nil"/>
          <w:between w:val="nil"/>
        </w:pBdr>
        <w:spacing w:line="360" w:lineRule="auto"/>
        <w:ind w:right="616"/>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El expediente de la empresa encargada de realizar el proyecto referido en el inciso anterior; y</w:t>
      </w:r>
    </w:p>
    <w:p w14:paraId="1375D82C" w14:textId="77777777" w:rsidR="00144EDA" w:rsidRDefault="00C81811">
      <w:pPr>
        <w:numPr>
          <w:ilvl w:val="0"/>
          <w:numId w:val="4"/>
        </w:numPr>
        <w:pBdr>
          <w:top w:val="nil"/>
          <w:left w:val="nil"/>
          <w:bottom w:val="nil"/>
          <w:right w:val="nil"/>
          <w:between w:val="nil"/>
        </w:pBdr>
        <w:spacing w:line="360" w:lineRule="auto"/>
        <w:ind w:right="49"/>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El Acta de Cabildo en que se aprobó el desarrollo industrial, complejo comercial y espacio cultural en la </w:t>
      </w:r>
      <w:r>
        <w:rPr>
          <w:rFonts w:ascii="Palatino Linotype" w:eastAsia="Palatino Linotype" w:hAnsi="Palatino Linotype" w:cs="Palatino Linotype"/>
        </w:rPr>
        <w:t>comunidad</w:t>
      </w:r>
      <w:r>
        <w:rPr>
          <w:rFonts w:ascii="Palatino Linotype" w:eastAsia="Palatino Linotype" w:hAnsi="Palatino Linotype" w:cs="Palatino Linotype"/>
          <w:color w:val="000000"/>
        </w:rPr>
        <w:t xml:space="preserve"> El Progreso Industrial.</w:t>
      </w:r>
    </w:p>
    <w:p w14:paraId="2AF2C449" w14:textId="77777777" w:rsidR="00144EDA" w:rsidRDefault="00144EDA">
      <w:pPr>
        <w:spacing w:line="360" w:lineRule="auto"/>
        <w:jc w:val="both"/>
        <w:rPr>
          <w:rFonts w:ascii="Palatino Linotype" w:eastAsia="Palatino Linotype" w:hAnsi="Palatino Linotype" w:cs="Palatino Linotype"/>
        </w:rPr>
      </w:pPr>
    </w:p>
    <w:p w14:paraId="3E60F61E" w14:textId="77777777" w:rsidR="00144EDA" w:rsidRDefault="00C81811">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Para efectos de lo anterior, 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Pr>
          <w:rFonts w:ascii="Palatino Linotype" w:eastAsia="Palatino Linotype" w:hAnsi="Palatino Linotype" w:cs="Palatino Linotype"/>
          <w:b/>
          <w:bCs/>
        </w:rPr>
        <w:t>RECURRENTE</w:t>
      </w:r>
      <w:r>
        <w:rPr>
          <w:rFonts w:ascii="Palatino Linotype" w:eastAsia="Palatino Linotype" w:hAnsi="Palatino Linotype" w:cs="Palatino Linotype"/>
        </w:rPr>
        <w:t>.</w:t>
      </w:r>
    </w:p>
    <w:p w14:paraId="28CEAF52" w14:textId="77777777" w:rsidR="00144EDA" w:rsidRDefault="00144EDA">
      <w:pPr>
        <w:spacing w:line="360" w:lineRule="auto"/>
        <w:jc w:val="both"/>
        <w:rPr>
          <w:rFonts w:ascii="Palatino Linotype" w:eastAsia="Palatino Linotype" w:hAnsi="Palatino Linotype" w:cs="Palatino Linotype"/>
        </w:rPr>
      </w:pPr>
    </w:p>
    <w:p w14:paraId="1C28AF23" w14:textId="77777777" w:rsidR="00144EDA" w:rsidRDefault="00C81811">
      <w:pPr>
        <w:spacing w:line="360" w:lineRule="auto"/>
        <w:jc w:val="both"/>
        <w:rPr>
          <w:rFonts w:ascii="Palatino Linotype" w:eastAsia="Palatino Linotype" w:hAnsi="Palatino Linotype" w:cs="Palatino Linotype"/>
        </w:rPr>
      </w:pPr>
      <w:r w:rsidRPr="00230AAF">
        <w:rPr>
          <w:rFonts w:ascii="Palatino Linotype" w:eastAsia="Palatino Linotype" w:hAnsi="Palatino Linotype" w:cs="Palatino Linotype"/>
        </w:rPr>
        <w:t xml:space="preserve">Para el caso de que el </w:t>
      </w:r>
      <w:r w:rsidRPr="00230AAF">
        <w:rPr>
          <w:rFonts w:ascii="Palatino Linotype" w:eastAsia="Palatino Linotype" w:hAnsi="Palatino Linotype" w:cs="Palatino Linotype"/>
          <w:b/>
          <w:bCs/>
        </w:rPr>
        <w:t>SUJETO OBLIGADO</w:t>
      </w:r>
      <w:r w:rsidRPr="00230AAF">
        <w:rPr>
          <w:rFonts w:ascii="Palatino Linotype" w:eastAsia="Palatino Linotype" w:hAnsi="Palatino Linotype" w:cs="Palatino Linotype"/>
        </w:rPr>
        <w:t xml:space="preserve"> no haya generado, poseído</w:t>
      </w:r>
      <w:r w:rsidR="006A4FBD" w:rsidRPr="00230AAF">
        <w:rPr>
          <w:rFonts w:ascii="Palatino Linotype" w:eastAsia="Palatino Linotype" w:hAnsi="Palatino Linotype" w:cs="Palatino Linotype"/>
        </w:rPr>
        <w:t xml:space="preserve"> o administrado lo ordenado en </w:t>
      </w:r>
      <w:r w:rsidRPr="00230AAF">
        <w:rPr>
          <w:rFonts w:ascii="Palatino Linotype" w:eastAsia="Palatino Linotype" w:hAnsi="Palatino Linotype" w:cs="Palatino Linotype"/>
        </w:rPr>
        <w:t>l</w:t>
      </w:r>
      <w:r w:rsidR="006A4FBD" w:rsidRPr="00230AAF">
        <w:rPr>
          <w:rFonts w:ascii="Palatino Linotype" w:eastAsia="Palatino Linotype" w:hAnsi="Palatino Linotype" w:cs="Palatino Linotype"/>
        </w:rPr>
        <w:t>os</w:t>
      </w:r>
      <w:r w:rsidRPr="00230AAF">
        <w:rPr>
          <w:rFonts w:ascii="Palatino Linotype" w:eastAsia="Palatino Linotype" w:hAnsi="Palatino Linotype" w:cs="Palatino Linotype"/>
        </w:rPr>
        <w:t xml:space="preserve"> </w:t>
      </w:r>
      <w:r w:rsidR="006A4FBD" w:rsidRPr="00230AAF">
        <w:rPr>
          <w:rFonts w:ascii="Palatino Linotype" w:eastAsia="Palatino Linotype" w:hAnsi="Palatino Linotype" w:cs="Palatino Linotype"/>
        </w:rPr>
        <w:t>i</w:t>
      </w:r>
      <w:r w:rsidR="006A4FBD" w:rsidRPr="00230AAF">
        <w:rPr>
          <w:rFonts w:ascii="Palatino Linotype" w:eastAsia="Palatino Linotype" w:hAnsi="Palatino Linotype" w:cs="Palatino Linotype"/>
          <w:b/>
          <w:bCs/>
        </w:rPr>
        <w:t>nciso d)</w:t>
      </w:r>
      <w:r w:rsidR="003A3800" w:rsidRPr="00230AAF">
        <w:rPr>
          <w:rFonts w:ascii="Palatino Linotype" w:eastAsia="Palatino Linotype" w:hAnsi="Palatino Linotype" w:cs="Palatino Linotype"/>
          <w:b/>
          <w:bCs/>
        </w:rPr>
        <w:t xml:space="preserve"> y e)</w:t>
      </w:r>
      <w:r w:rsidRPr="00230AAF">
        <w:rPr>
          <w:rFonts w:ascii="Palatino Linotype" w:eastAsia="Palatino Linotype" w:hAnsi="Palatino Linotype" w:cs="Palatino Linotype"/>
          <w:b/>
          <w:bCs/>
        </w:rPr>
        <w:t>,</w:t>
      </w:r>
      <w:r w:rsidRPr="00230AAF">
        <w:rPr>
          <w:rFonts w:ascii="Palatino Linotype" w:eastAsia="Palatino Linotype" w:hAnsi="Palatino Linotype" w:cs="Palatino Linotype"/>
        </w:rPr>
        <w:t xml:space="preserve"> bastará que así lo haga del conocimiento del </w:t>
      </w:r>
      <w:r w:rsidRPr="00230AAF">
        <w:rPr>
          <w:rFonts w:ascii="Palatino Linotype" w:eastAsia="Palatino Linotype" w:hAnsi="Palatino Linotype" w:cs="Palatino Linotype"/>
          <w:b/>
          <w:bCs/>
        </w:rPr>
        <w:t>RECURRENTE</w:t>
      </w:r>
      <w:r w:rsidRPr="00230AAF">
        <w:rPr>
          <w:rFonts w:ascii="Palatino Linotype" w:eastAsia="Palatino Linotype" w:hAnsi="Palatino Linotype" w:cs="Palatino Linotype"/>
        </w:rPr>
        <w:t xml:space="preserve"> al momento de dar cumplimiento a la presente Resolución en términos del artículo 19 párrafo segundo de la Ley de Transparencia y Acceso a la Información Pública del Estado de México y Municipios.</w:t>
      </w:r>
    </w:p>
    <w:p w14:paraId="5FD39D17" w14:textId="77777777" w:rsidR="00144EDA" w:rsidRDefault="00144EDA">
      <w:pPr>
        <w:tabs>
          <w:tab w:val="left" w:pos="8080"/>
        </w:tabs>
        <w:spacing w:line="360" w:lineRule="auto"/>
        <w:ind w:right="49"/>
        <w:jc w:val="both"/>
        <w:rPr>
          <w:rFonts w:ascii="Palatino Linotype" w:eastAsia="Palatino Linotype" w:hAnsi="Palatino Linotype" w:cs="Palatino Linotype"/>
        </w:rPr>
      </w:pPr>
    </w:p>
    <w:p w14:paraId="543E7137" w14:textId="77777777" w:rsidR="00144EDA" w:rsidRDefault="00C81811">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 xml:space="preserve">TERCERO. Notifíquese </w:t>
      </w:r>
      <w:r>
        <w:rPr>
          <w:rFonts w:ascii="Palatino Linotype" w:eastAsia="Palatino Linotype" w:hAnsi="Palatino Linotype" w:cs="Palatino Linotype"/>
        </w:rPr>
        <w:t xml:space="preserve">la presente Resolución al Titular de la Unidad de Transparencia del Sujeto Obligado vía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rPr>
        <w:t>dé cumplimiento a lo ordenado dentro del plazo de diez días hábiles</w:t>
      </w:r>
      <w:r>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A8A4077" w14:textId="77777777" w:rsidR="00144EDA" w:rsidRDefault="00144EDA">
      <w:pPr>
        <w:spacing w:line="360" w:lineRule="auto"/>
        <w:jc w:val="both"/>
        <w:rPr>
          <w:rFonts w:ascii="Palatino Linotype" w:eastAsia="Palatino Linotype" w:hAnsi="Palatino Linotype" w:cs="Palatino Linotype"/>
        </w:rPr>
      </w:pPr>
    </w:p>
    <w:p w14:paraId="24D80E3E" w14:textId="474EBEF4" w:rsidR="00144EDA" w:rsidRDefault="00C81811">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De conformidad con el artículo 198</w:t>
      </w:r>
      <w:r w:rsidR="00DD38E3">
        <w:rPr>
          <w:rFonts w:ascii="Palatino Linotype" w:eastAsia="Palatino Linotype" w:hAnsi="Palatino Linotype" w:cs="Palatino Linotype"/>
        </w:rPr>
        <w:t>,</w:t>
      </w:r>
      <w:r>
        <w:rPr>
          <w:rFonts w:ascii="Palatino Linotype" w:eastAsia="Palatino Linotype" w:hAnsi="Palatino Linotype" w:cs="Palatino Linotype"/>
        </w:rPr>
        <w:t xml:space="preserve">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14:paraId="0FA7217D" w14:textId="77777777" w:rsidR="00144EDA" w:rsidRDefault="00144EDA">
      <w:pPr>
        <w:spacing w:line="360" w:lineRule="auto"/>
        <w:jc w:val="both"/>
        <w:rPr>
          <w:rFonts w:ascii="Palatino Linotype" w:eastAsia="Palatino Linotype" w:hAnsi="Palatino Linotype" w:cs="Palatino Linotype"/>
        </w:rPr>
      </w:pPr>
    </w:p>
    <w:p w14:paraId="19BC7E65" w14:textId="77777777" w:rsidR="00144EDA" w:rsidRDefault="00C81811">
      <w:pPr>
        <w:tabs>
          <w:tab w:val="left" w:pos="8080"/>
        </w:tabs>
        <w:spacing w:line="360" w:lineRule="auto"/>
        <w:ind w:right="49"/>
        <w:jc w:val="both"/>
        <w:rPr>
          <w:rFonts w:ascii="Palatino Linotype" w:eastAsia="Palatino Linotype" w:hAnsi="Palatino Linotype" w:cs="Palatino Linotype"/>
        </w:rPr>
      </w:pPr>
      <w:bookmarkStart w:id="11" w:name="_heading=h.13w3882666vl" w:colFirst="0" w:colLast="0"/>
      <w:bookmarkEnd w:id="11"/>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la presente Resolución, vía </w:t>
      </w:r>
      <w:r>
        <w:rPr>
          <w:rFonts w:ascii="Palatino Linotype" w:eastAsia="Palatino Linotype" w:hAnsi="Palatino Linotype" w:cs="Palatino Linotype"/>
          <w:b/>
          <w:bCs/>
        </w:rPr>
        <w:t>SAIMEX</w:t>
      </w:r>
      <w:r>
        <w:rPr>
          <w:rFonts w:ascii="Palatino Linotype" w:eastAsia="Palatino Linotype" w:hAnsi="Palatino Linotype" w:cs="Palatino Linotype"/>
        </w:rPr>
        <w:t>.</w:t>
      </w:r>
    </w:p>
    <w:p w14:paraId="6F49B531" w14:textId="77777777" w:rsidR="00144EDA" w:rsidRDefault="00144EDA">
      <w:pPr>
        <w:tabs>
          <w:tab w:val="left" w:pos="8080"/>
        </w:tabs>
        <w:spacing w:line="360" w:lineRule="auto"/>
        <w:ind w:right="49"/>
        <w:jc w:val="both"/>
        <w:rPr>
          <w:rFonts w:ascii="Palatino Linotype" w:eastAsia="Palatino Linotype" w:hAnsi="Palatino Linotype" w:cs="Palatino Linotype"/>
        </w:rPr>
      </w:pPr>
    </w:p>
    <w:p w14:paraId="79B90418" w14:textId="77777777" w:rsidR="00144EDA" w:rsidRDefault="00C81811">
      <w:pPr>
        <w:shd w:val="clear" w:color="auto" w:fill="FFFFFF"/>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 xml:space="preserve">SEXTO. </w:t>
      </w:r>
      <w:r>
        <w:rPr>
          <w:rFonts w:ascii="Palatino Linotype" w:eastAsia="Palatino Linotype" w:hAnsi="Palatino Linotype" w:cs="Palatino Linotype"/>
        </w:rPr>
        <w:t>Se hace del conocimiento del</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49DF111E" w14:textId="77777777" w:rsidR="00144EDA" w:rsidRDefault="00144EDA">
      <w:pPr>
        <w:shd w:val="clear" w:color="auto" w:fill="FFFFFF"/>
        <w:spacing w:line="360" w:lineRule="auto"/>
        <w:ind w:right="49"/>
        <w:jc w:val="both"/>
        <w:rPr>
          <w:rFonts w:ascii="Palatino Linotype" w:eastAsia="Palatino Linotype" w:hAnsi="Palatino Linotype" w:cs="Palatino Linotype"/>
        </w:rPr>
      </w:pPr>
    </w:p>
    <w:p w14:paraId="7CAF732F" w14:textId="77777777" w:rsidR="00DD38E3" w:rsidRDefault="00DD38E3" w:rsidP="00DD38E3">
      <w:pPr>
        <w:spacing w:before="240" w:after="240" w:line="360" w:lineRule="auto"/>
        <w:ind w:firstLine="1"/>
        <w:jc w:val="both"/>
        <w:rPr>
          <w:rFonts w:ascii="Palatino Linotype" w:hAnsi="Palatino Linotype"/>
        </w:rPr>
      </w:pPr>
      <w:bookmarkStart w:id="12" w:name="_Hlk99014733"/>
      <w:r>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QUINTA SESIÓN ORDINARIA, CELEBRADA EL ONCE (11) DE FEBRERO DE DOS MIL VEINTISÉIS, ANTE EL SECRETARIO TÉCNICO DEL PLENO </w:t>
      </w:r>
      <w:r w:rsidRPr="008304B6">
        <w:rPr>
          <w:rFonts w:ascii="Palatino Linotype" w:hAnsi="Palatino Linotype" w:cs="Palatino Linotype"/>
          <w:color w:val="000000" w:themeColor="text1"/>
        </w:rPr>
        <w:t>ALEXIS TAPIA RAMÍREZ.</w:t>
      </w:r>
    </w:p>
    <w:bookmarkEnd w:id="12"/>
    <w:p w14:paraId="66BBA49D" w14:textId="77777777" w:rsidR="00144EDA" w:rsidRDefault="00144EDA">
      <w:pPr>
        <w:spacing w:line="360" w:lineRule="auto"/>
        <w:ind w:right="49"/>
        <w:jc w:val="both"/>
        <w:rPr>
          <w:rFonts w:ascii="Palatino Linotype" w:eastAsia="Palatino Linotype" w:hAnsi="Palatino Linotype" w:cs="Palatino Linotype"/>
        </w:rPr>
      </w:pPr>
    </w:p>
    <w:p w14:paraId="47A6F673" w14:textId="77777777" w:rsidR="00144EDA" w:rsidRDefault="00144EDA">
      <w:pPr>
        <w:spacing w:line="360" w:lineRule="auto"/>
        <w:ind w:right="49"/>
        <w:jc w:val="both"/>
        <w:rPr>
          <w:rFonts w:ascii="Palatino Linotype" w:eastAsia="Palatino Linotype" w:hAnsi="Palatino Linotype" w:cs="Palatino Linotype"/>
        </w:rPr>
      </w:pPr>
    </w:p>
    <w:p w14:paraId="6B496454" w14:textId="77777777" w:rsidR="00144EDA" w:rsidRDefault="00144EDA">
      <w:pPr>
        <w:spacing w:line="360" w:lineRule="auto"/>
        <w:ind w:right="49"/>
        <w:jc w:val="both"/>
        <w:rPr>
          <w:rFonts w:ascii="Palatino Linotype" w:eastAsia="Palatino Linotype" w:hAnsi="Palatino Linotype" w:cs="Palatino Linotype"/>
        </w:rPr>
      </w:pPr>
    </w:p>
    <w:p w14:paraId="799AE073" w14:textId="77777777" w:rsidR="00144EDA" w:rsidRDefault="00144EDA">
      <w:pPr>
        <w:spacing w:line="360" w:lineRule="auto"/>
        <w:ind w:right="49"/>
        <w:jc w:val="both"/>
        <w:rPr>
          <w:rFonts w:ascii="Palatino Linotype" w:eastAsia="Palatino Linotype" w:hAnsi="Palatino Linotype" w:cs="Palatino Linotype"/>
        </w:rPr>
      </w:pPr>
    </w:p>
    <w:p w14:paraId="45A19862" w14:textId="77777777" w:rsidR="00144EDA" w:rsidRDefault="00144EDA">
      <w:pPr>
        <w:spacing w:line="360" w:lineRule="auto"/>
        <w:ind w:right="49"/>
        <w:jc w:val="both"/>
        <w:rPr>
          <w:rFonts w:ascii="Palatino Linotype" w:eastAsia="Palatino Linotype" w:hAnsi="Palatino Linotype" w:cs="Palatino Linotype"/>
        </w:rPr>
      </w:pPr>
    </w:p>
    <w:p w14:paraId="635FC423" w14:textId="77777777" w:rsidR="00144EDA" w:rsidRDefault="00144EDA">
      <w:pPr>
        <w:spacing w:line="360" w:lineRule="auto"/>
        <w:ind w:right="49"/>
        <w:jc w:val="both"/>
        <w:rPr>
          <w:rFonts w:ascii="Palatino Linotype" w:eastAsia="Palatino Linotype" w:hAnsi="Palatino Linotype" w:cs="Palatino Linotype"/>
        </w:rPr>
      </w:pPr>
    </w:p>
    <w:p w14:paraId="6BF45911" w14:textId="77777777" w:rsidR="00144EDA" w:rsidRDefault="00144EDA">
      <w:pPr>
        <w:spacing w:line="360" w:lineRule="auto"/>
        <w:ind w:right="49"/>
        <w:jc w:val="both"/>
        <w:rPr>
          <w:rFonts w:ascii="Palatino Linotype" w:eastAsia="Palatino Linotype" w:hAnsi="Palatino Linotype" w:cs="Palatino Linotype"/>
        </w:rPr>
      </w:pPr>
    </w:p>
    <w:p w14:paraId="1809BFAA" w14:textId="77777777" w:rsidR="00144EDA" w:rsidRDefault="00144EDA">
      <w:pPr>
        <w:spacing w:line="360" w:lineRule="auto"/>
        <w:ind w:right="49"/>
        <w:jc w:val="both"/>
        <w:rPr>
          <w:rFonts w:ascii="Palatino Linotype" w:eastAsia="Palatino Linotype" w:hAnsi="Palatino Linotype" w:cs="Palatino Linotype"/>
        </w:rPr>
      </w:pPr>
    </w:p>
    <w:p w14:paraId="490A922E" w14:textId="77777777" w:rsidR="00144EDA" w:rsidRDefault="00144EDA">
      <w:pPr>
        <w:spacing w:line="360" w:lineRule="auto"/>
        <w:ind w:right="49"/>
        <w:jc w:val="both"/>
        <w:rPr>
          <w:rFonts w:ascii="Palatino Linotype" w:eastAsia="Palatino Linotype" w:hAnsi="Palatino Linotype" w:cs="Palatino Linotype"/>
        </w:rPr>
      </w:pPr>
    </w:p>
    <w:p w14:paraId="3596DC1B" w14:textId="77777777" w:rsidR="00144EDA" w:rsidRDefault="00C81811">
      <w:pPr>
        <w:tabs>
          <w:tab w:val="left" w:pos="3374"/>
        </w:tabs>
        <w:spacing w:line="360" w:lineRule="auto"/>
        <w:ind w:right="49"/>
        <w:jc w:val="both"/>
        <w:rPr>
          <w:rFonts w:ascii="Palatino Linotype" w:eastAsia="Palatino Linotype" w:hAnsi="Palatino Linotype" w:cs="Palatino Linotype"/>
        </w:rPr>
      </w:pPr>
      <w:r>
        <w:rPr>
          <w:rFonts w:ascii="Palatino Linotype" w:eastAsia="Palatino Linotype" w:hAnsi="Palatino Linotype" w:cs="Palatino Linotype"/>
        </w:rPr>
        <w:tab/>
      </w:r>
    </w:p>
    <w:p w14:paraId="7786D923" w14:textId="77777777" w:rsidR="00144EDA" w:rsidRDefault="00144EDA">
      <w:pPr>
        <w:tabs>
          <w:tab w:val="left" w:pos="3374"/>
        </w:tabs>
        <w:spacing w:line="360" w:lineRule="auto"/>
        <w:ind w:right="49"/>
        <w:jc w:val="both"/>
        <w:rPr>
          <w:rFonts w:ascii="Palatino Linotype" w:eastAsia="Palatino Linotype" w:hAnsi="Palatino Linotype" w:cs="Palatino Linotype"/>
        </w:rPr>
      </w:pPr>
    </w:p>
    <w:p w14:paraId="0B45120C" w14:textId="77777777" w:rsidR="00144EDA" w:rsidRDefault="00144EDA">
      <w:pPr>
        <w:tabs>
          <w:tab w:val="left" w:pos="3374"/>
        </w:tabs>
        <w:spacing w:line="360" w:lineRule="auto"/>
        <w:ind w:right="49"/>
        <w:jc w:val="both"/>
        <w:rPr>
          <w:rFonts w:ascii="Palatino Linotype" w:eastAsia="Palatino Linotype" w:hAnsi="Palatino Linotype" w:cs="Palatino Linotype"/>
        </w:rPr>
      </w:pPr>
    </w:p>
    <w:p w14:paraId="73D2136C" w14:textId="77777777" w:rsidR="00144EDA" w:rsidRDefault="00144EDA">
      <w:pPr>
        <w:tabs>
          <w:tab w:val="left" w:pos="3374"/>
        </w:tabs>
        <w:spacing w:line="360" w:lineRule="auto"/>
        <w:ind w:right="49"/>
        <w:jc w:val="both"/>
        <w:rPr>
          <w:rFonts w:ascii="Palatino Linotype" w:eastAsia="Palatino Linotype" w:hAnsi="Palatino Linotype" w:cs="Palatino Linotype"/>
        </w:rPr>
      </w:pPr>
    </w:p>
    <w:p w14:paraId="5D4017DC" w14:textId="77777777" w:rsidR="00144EDA" w:rsidRDefault="00144EDA">
      <w:pPr>
        <w:tabs>
          <w:tab w:val="left" w:pos="3374"/>
        </w:tabs>
        <w:spacing w:line="360" w:lineRule="auto"/>
        <w:ind w:right="49"/>
        <w:jc w:val="both"/>
        <w:rPr>
          <w:rFonts w:ascii="Palatino Linotype" w:eastAsia="Palatino Linotype" w:hAnsi="Palatino Linotype" w:cs="Palatino Linotype"/>
        </w:rPr>
      </w:pPr>
    </w:p>
    <w:p w14:paraId="7EE0360C" w14:textId="77777777" w:rsidR="00144EDA" w:rsidRDefault="00144EDA">
      <w:pPr>
        <w:tabs>
          <w:tab w:val="left" w:pos="3374"/>
        </w:tabs>
        <w:spacing w:line="360" w:lineRule="auto"/>
        <w:ind w:right="49"/>
        <w:jc w:val="both"/>
        <w:rPr>
          <w:rFonts w:ascii="Palatino Linotype" w:eastAsia="Palatino Linotype" w:hAnsi="Palatino Linotype" w:cs="Palatino Linotype"/>
        </w:rPr>
      </w:pPr>
    </w:p>
    <w:p w14:paraId="7A867679" w14:textId="77777777" w:rsidR="00144EDA" w:rsidRDefault="00144EDA">
      <w:pPr>
        <w:tabs>
          <w:tab w:val="left" w:pos="3374"/>
        </w:tabs>
        <w:spacing w:line="360" w:lineRule="auto"/>
        <w:ind w:right="49"/>
        <w:jc w:val="both"/>
        <w:rPr>
          <w:rFonts w:ascii="Palatino Linotype" w:eastAsia="Palatino Linotype" w:hAnsi="Palatino Linotype" w:cs="Palatino Linotype"/>
        </w:rPr>
      </w:pPr>
    </w:p>
    <w:p w14:paraId="137BF393" w14:textId="77777777" w:rsidR="00144EDA" w:rsidRDefault="00144EDA">
      <w:pPr>
        <w:tabs>
          <w:tab w:val="left" w:pos="3374"/>
        </w:tabs>
        <w:spacing w:line="360" w:lineRule="auto"/>
        <w:ind w:right="49"/>
        <w:jc w:val="both"/>
        <w:rPr>
          <w:rFonts w:ascii="Palatino Linotype" w:eastAsia="Palatino Linotype" w:hAnsi="Palatino Linotype" w:cs="Palatino Linotype"/>
        </w:rPr>
      </w:pPr>
    </w:p>
    <w:p w14:paraId="153C0C5F" w14:textId="77777777" w:rsidR="00144EDA" w:rsidRDefault="00144EDA">
      <w:pPr>
        <w:tabs>
          <w:tab w:val="left" w:pos="3374"/>
        </w:tabs>
        <w:spacing w:line="360" w:lineRule="auto"/>
        <w:ind w:right="49"/>
        <w:jc w:val="both"/>
        <w:rPr>
          <w:rFonts w:ascii="Palatino Linotype" w:eastAsia="Palatino Linotype" w:hAnsi="Palatino Linotype" w:cs="Palatino Linotype"/>
        </w:rPr>
      </w:pPr>
    </w:p>
    <w:p w14:paraId="3BB3544E" w14:textId="77777777" w:rsidR="00144EDA" w:rsidRDefault="00144EDA">
      <w:pPr>
        <w:spacing w:line="360" w:lineRule="auto"/>
        <w:ind w:right="49"/>
        <w:jc w:val="both"/>
        <w:rPr>
          <w:rFonts w:ascii="Palatino Linotype" w:eastAsia="Palatino Linotype" w:hAnsi="Palatino Linotype" w:cs="Palatino Linotype"/>
        </w:rPr>
      </w:pPr>
    </w:p>
    <w:p w14:paraId="69B60C39" w14:textId="77777777" w:rsidR="00144EDA" w:rsidRDefault="00144EDA">
      <w:pPr>
        <w:spacing w:line="360" w:lineRule="auto"/>
        <w:ind w:right="49"/>
        <w:jc w:val="both"/>
        <w:rPr>
          <w:rFonts w:ascii="Palatino Linotype" w:eastAsia="Palatino Linotype" w:hAnsi="Palatino Linotype" w:cs="Palatino Linotype"/>
        </w:rPr>
      </w:pPr>
    </w:p>
    <w:sectPr w:rsidR="00144EDA" w:rsidSect="00292618">
      <w:headerReference w:type="even" r:id="rId12"/>
      <w:headerReference w:type="default" r:id="rId13"/>
      <w:footerReference w:type="default" r:id="rId14"/>
      <w:headerReference w:type="first" r:id="rId15"/>
      <w:footerReference w:type="first" r:id="rId16"/>
      <w:pgSz w:w="12240" w:h="15840"/>
      <w:pgMar w:top="2268" w:right="900"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6E706F" w14:textId="77777777" w:rsidR="00AA34C7" w:rsidRDefault="00AA34C7">
      <w:r>
        <w:separator/>
      </w:r>
    </w:p>
  </w:endnote>
  <w:endnote w:type="continuationSeparator" w:id="0">
    <w:p w14:paraId="2C7268A7" w14:textId="77777777" w:rsidR="00AA34C7" w:rsidRDefault="00AA3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4AD68EEF-D285-44AB-9A43-48E15CD2E4B0}"/>
    <w:embedBold r:id="rId2" w:fontKey="{8D736877-D9CF-4D92-82FB-245CE226B6D0}"/>
    <w:embedItalic r:id="rId3" w:fontKey="{FE2C29F7-47DD-45D7-8713-B4F6D2CAF553}"/>
    <w:embedBoldItalic r:id="rId4" w:fontKey="{32B7A9FB-8CB8-476F-B4FC-2E49D7A37507}"/>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5" w:fontKey="{FA6D9E40-B30F-41EE-A8C0-FE37A25B9D4F}"/>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6" w:fontKey="{E33DA609-75DE-4291-8A17-11EDD1EA74E5}"/>
    <w:embedBold r:id="rId7" w:fontKey="{D558B742-D922-455F-863F-BB13DB31D195}"/>
    <w:embedItalic r:id="rId8" w:fontKey="{360DF153-17A2-4201-9D55-1AC2A409EF17}"/>
    <w:embedBoldItalic r:id="rId9" w:fontKey="{525AA0FC-037E-4091-BF97-4FDA79F3AED5}"/>
  </w:font>
  <w:font w:name="Calibri Light">
    <w:panose1 w:val="020F0302020204030204"/>
    <w:charset w:val="00"/>
    <w:family w:val="swiss"/>
    <w:pitch w:val="variable"/>
    <w:sig w:usb0="E4002EFF" w:usb1="C200247B" w:usb2="00000009" w:usb3="00000000" w:csb0="000001FF" w:csb1="00000000"/>
    <w:embedRegular r:id="rId10" w:fontKey="{841DC0E1-B46D-4D04-8729-32429A221C8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1" w:fontKey="{F9D89CD3-0DB7-4DAE-871F-6ADF35851121}"/>
  </w:font>
  <w:font w:name="Tahoma">
    <w:panose1 w:val="020B0604030504040204"/>
    <w:charset w:val="00"/>
    <w:family w:val="swiss"/>
    <w:pitch w:val="variable"/>
    <w:sig w:usb0="E1002EFF" w:usb1="C000605B" w:usb2="00000029" w:usb3="00000000" w:csb0="000101FF" w:csb1="00000000"/>
    <w:embedRegular r:id="rId12" w:fontKey="{CA8ED414-7C5E-4720-831F-459B6C8109CF}"/>
    <w:embedBold r:id="rId13" w:fontKey="{B04FB72D-3DC4-4354-8294-8146B7EFDBE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78A5C" w14:textId="77777777" w:rsidR="00C81811" w:rsidRPr="00292618" w:rsidRDefault="00C81811">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292618">
      <w:rPr>
        <w:rFonts w:ascii="Palatino Linotype" w:eastAsia="Palatino Linotype" w:hAnsi="Palatino Linotype" w:cs="Palatino Linotype"/>
        <w:b/>
        <w:color w:val="000000"/>
        <w:sz w:val="22"/>
        <w:szCs w:val="20"/>
      </w:rPr>
      <w:t xml:space="preserve">Página </w:t>
    </w:r>
    <w:r w:rsidRPr="00292618">
      <w:rPr>
        <w:rFonts w:ascii="Palatino Linotype" w:eastAsia="Palatino Linotype" w:hAnsi="Palatino Linotype" w:cs="Palatino Linotype"/>
        <w:b/>
        <w:color w:val="000000"/>
        <w:sz w:val="22"/>
        <w:szCs w:val="20"/>
      </w:rPr>
      <w:fldChar w:fldCharType="begin"/>
    </w:r>
    <w:r w:rsidRPr="00292618">
      <w:rPr>
        <w:rFonts w:ascii="Palatino Linotype" w:eastAsia="Palatino Linotype" w:hAnsi="Palatino Linotype" w:cs="Palatino Linotype"/>
        <w:b/>
        <w:color w:val="000000"/>
        <w:sz w:val="22"/>
        <w:szCs w:val="20"/>
      </w:rPr>
      <w:instrText>PAGE</w:instrText>
    </w:r>
    <w:r w:rsidRPr="00292618">
      <w:rPr>
        <w:rFonts w:ascii="Palatino Linotype" w:eastAsia="Palatino Linotype" w:hAnsi="Palatino Linotype" w:cs="Palatino Linotype"/>
        <w:b/>
        <w:color w:val="000000"/>
        <w:sz w:val="22"/>
        <w:szCs w:val="20"/>
      </w:rPr>
      <w:fldChar w:fldCharType="separate"/>
    </w:r>
    <w:r w:rsidR="006D0C24">
      <w:rPr>
        <w:rFonts w:ascii="Palatino Linotype" w:eastAsia="Palatino Linotype" w:hAnsi="Palatino Linotype" w:cs="Palatino Linotype"/>
        <w:b/>
        <w:noProof/>
        <w:color w:val="000000"/>
        <w:sz w:val="22"/>
        <w:szCs w:val="20"/>
      </w:rPr>
      <w:t>21</w:t>
    </w:r>
    <w:r w:rsidRPr="00292618">
      <w:rPr>
        <w:rFonts w:ascii="Palatino Linotype" w:eastAsia="Palatino Linotype" w:hAnsi="Palatino Linotype" w:cs="Palatino Linotype"/>
        <w:b/>
        <w:color w:val="000000"/>
        <w:sz w:val="22"/>
        <w:szCs w:val="20"/>
      </w:rPr>
      <w:fldChar w:fldCharType="end"/>
    </w:r>
    <w:r w:rsidRPr="00292618">
      <w:rPr>
        <w:rFonts w:ascii="Palatino Linotype" w:eastAsia="Palatino Linotype" w:hAnsi="Palatino Linotype" w:cs="Palatino Linotype"/>
        <w:b/>
        <w:color w:val="000000"/>
        <w:sz w:val="22"/>
        <w:szCs w:val="20"/>
      </w:rPr>
      <w:t xml:space="preserve"> de </w:t>
    </w:r>
    <w:r w:rsidRPr="00292618">
      <w:rPr>
        <w:rFonts w:ascii="Palatino Linotype" w:eastAsia="Palatino Linotype" w:hAnsi="Palatino Linotype" w:cs="Palatino Linotype"/>
        <w:b/>
        <w:color w:val="000000"/>
        <w:sz w:val="22"/>
        <w:szCs w:val="20"/>
      </w:rPr>
      <w:fldChar w:fldCharType="begin"/>
    </w:r>
    <w:r w:rsidRPr="00292618">
      <w:rPr>
        <w:rFonts w:ascii="Palatino Linotype" w:eastAsia="Palatino Linotype" w:hAnsi="Palatino Linotype" w:cs="Palatino Linotype"/>
        <w:b/>
        <w:color w:val="000000"/>
        <w:sz w:val="22"/>
        <w:szCs w:val="20"/>
      </w:rPr>
      <w:instrText>NUMPAGES</w:instrText>
    </w:r>
    <w:r w:rsidRPr="00292618">
      <w:rPr>
        <w:rFonts w:ascii="Palatino Linotype" w:eastAsia="Palatino Linotype" w:hAnsi="Palatino Linotype" w:cs="Palatino Linotype"/>
        <w:b/>
        <w:color w:val="000000"/>
        <w:sz w:val="22"/>
        <w:szCs w:val="20"/>
      </w:rPr>
      <w:fldChar w:fldCharType="separate"/>
    </w:r>
    <w:r w:rsidR="006D0C24">
      <w:rPr>
        <w:rFonts w:ascii="Palatino Linotype" w:eastAsia="Palatino Linotype" w:hAnsi="Palatino Linotype" w:cs="Palatino Linotype"/>
        <w:b/>
        <w:noProof/>
        <w:color w:val="000000"/>
        <w:sz w:val="22"/>
        <w:szCs w:val="20"/>
      </w:rPr>
      <w:t>59</w:t>
    </w:r>
    <w:r w:rsidRPr="00292618">
      <w:rPr>
        <w:rFonts w:ascii="Palatino Linotype" w:eastAsia="Palatino Linotype" w:hAnsi="Palatino Linotype" w:cs="Palatino Linotype"/>
        <w:b/>
        <w:color w:val="000000"/>
        <w:sz w:val="22"/>
        <w:szCs w:val="20"/>
      </w:rPr>
      <w:fldChar w:fldCharType="end"/>
    </w:r>
  </w:p>
  <w:p w14:paraId="0003BE86" w14:textId="77777777" w:rsidR="00C81811" w:rsidRDefault="00C8181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3D08B" w14:textId="77777777" w:rsidR="00C81811" w:rsidRPr="00292618" w:rsidRDefault="00C81811">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292618">
      <w:rPr>
        <w:rFonts w:ascii="Palatino Linotype" w:eastAsia="Palatino Linotype" w:hAnsi="Palatino Linotype" w:cs="Palatino Linotype"/>
        <w:b/>
        <w:color w:val="000000"/>
        <w:sz w:val="22"/>
        <w:szCs w:val="20"/>
      </w:rPr>
      <w:t xml:space="preserve">Página </w:t>
    </w:r>
    <w:r w:rsidRPr="00292618">
      <w:rPr>
        <w:rFonts w:ascii="Palatino Linotype" w:eastAsia="Palatino Linotype" w:hAnsi="Palatino Linotype" w:cs="Palatino Linotype"/>
        <w:b/>
        <w:color w:val="000000"/>
        <w:sz w:val="22"/>
        <w:szCs w:val="20"/>
      </w:rPr>
      <w:fldChar w:fldCharType="begin"/>
    </w:r>
    <w:r w:rsidRPr="00292618">
      <w:rPr>
        <w:rFonts w:ascii="Palatino Linotype" w:eastAsia="Palatino Linotype" w:hAnsi="Palatino Linotype" w:cs="Palatino Linotype"/>
        <w:b/>
        <w:color w:val="000000"/>
        <w:sz w:val="22"/>
        <w:szCs w:val="20"/>
      </w:rPr>
      <w:instrText>PAGE</w:instrText>
    </w:r>
    <w:r w:rsidRPr="00292618">
      <w:rPr>
        <w:rFonts w:ascii="Palatino Linotype" w:eastAsia="Palatino Linotype" w:hAnsi="Palatino Linotype" w:cs="Palatino Linotype"/>
        <w:b/>
        <w:color w:val="000000"/>
        <w:sz w:val="22"/>
        <w:szCs w:val="20"/>
      </w:rPr>
      <w:fldChar w:fldCharType="separate"/>
    </w:r>
    <w:r w:rsidR="006D0C24">
      <w:rPr>
        <w:rFonts w:ascii="Palatino Linotype" w:eastAsia="Palatino Linotype" w:hAnsi="Palatino Linotype" w:cs="Palatino Linotype"/>
        <w:b/>
        <w:noProof/>
        <w:color w:val="000000"/>
        <w:sz w:val="22"/>
        <w:szCs w:val="20"/>
      </w:rPr>
      <w:t>1</w:t>
    </w:r>
    <w:r w:rsidRPr="00292618">
      <w:rPr>
        <w:rFonts w:ascii="Palatino Linotype" w:eastAsia="Palatino Linotype" w:hAnsi="Palatino Linotype" w:cs="Palatino Linotype"/>
        <w:b/>
        <w:color w:val="000000"/>
        <w:sz w:val="22"/>
        <w:szCs w:val="20"/>
      </w:rPr>
      <w:fldChar w:fldCharType="end"/>
    </w:r>
    <w:r w:rsidRPr="00292618">
      <w:rPr>
        <w:rFonts w:ascii="Palatino Linotype" w:eastAsia="Palatino Linotype" w:hAnsi="Palatino Linotype" w:cs="Palatino Linotype"/>
        <w:b/>
        <w:color w:val="000000"/>
        <w:sz w:val="22"/>
        <w:szCs w:val="20"/>
      </w:rPr>
      <w:t xml:space="preserve"> de </w:t>
    </w:r>
    <w:r w:rsidRPr="00292618">
      <w:rPr>
        <w:rFonts w:ascii="Palatino Linotype" w:eastAsia="Palatino Linotype" w:hAnsi="Palatino Linotype" w:cs="Palatino Linotype"/>
        <w:b/>
        <w:color w:val="000000"/>
        <w:sz w:val="22"/>
        <w:szCs w:val="20"/>
      </w:rPr>
      <w:fldChar w:fldCharType="begin"/>
    </w:r>
    <w:r w:rsidRPr="00292618">
      <w:rPr>
        <w:rFonts w:ascii="Palatino Linotype" w:eastAsia="Palatino Linotype" w:hAnsi="Palatino Linotype" w:cs="Palatino Linotype"/>
        <w:b/>
        <w:color w:val="000000"/>
        <w:sz w:val="22"/>
        <w:szCs w:val="20"/>
      </w:rPr>
      <w:instrText>NUMPAGES</w:instrText>
    </w:r>
    <w:r w:rsidRPr="00292618">
      <w:rPr>
        <w:rFonts w:ascii="Palatino Linotype" w:eastAsia="Palatino Linotype" w:hAnsi="Palatino Linotype" w:cs="Palatino Linotype"/>
        <w:b/>
        <w:color w:val="000000"/>
        <w:sz w:val="22"/>
        <w:szCs w:val="20"/>
      </w:rPr>
      <w:fldChar w:fldCharType="separate"/>
    </w:r>
    <w:r w:rsidR="006D0C24">
      <w:rPr>
        <w:rFonts w:ascii="Palatino Linotype" w:eastAsia="Palatino Linotype" w:hAnsi="Palatino Linotype" w:cs="Palatino Linotype"/>
        <w:b/>
        <w:noProof/>
        <w:color w:val="000000"/>
        <w:sz w:val="22"/>
        <w:szCs w:val="20"/>
      </w:rPr>
      <w:t>59</w:t>
    </w:r>
    <w:r w:rsidRPr="00292618">
      <w:rPr>
        <w:rFonts w:ascii="Palatino Linotype" w:eastAsia="Palatino Linotype" w:hAnsi="Palatino Linotype" w:cs="Palatino Linotype"/>
        <w:b/>
        <w:color w:val="000000"/>
        <w:sz w:val="22"/>
        <w:szCs w:val="20"/>
      </w:rPr>
      <w:fldChar w:fldCharType="end"/>
    </w:r>
  </w:p>
  <w:p w14:paraId="00F4314D" w14:textId="77777777" w:rsidR="00C81811" w:rsidRDefault="00C8181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59CEDE" w14:textId="77777777" w:rsidR="00AA34C7" w:rsidRDefault="00AA34C7">
      <w:r>
        <w:separator/>
      </w:r>
    </w:p>
  </w:footnote>
  <w:footnote w:type="continuationSeparator" w:id="0">
    <w:p w14:paraId="0ED221C1" w14:textId="77777777" w:rsidR="00AA34C7" w:rsidRDefault="00AA34C7">
      <w:r>
        <w:continuationSeparator/>
      </w:r>
    </w:p>
  </w:footnote>
  <w:footnote w:id="1">
    <w:p w14:paraId="3329EAD4" w14:textId="77777777" w:rsidR="00C81811" w:rsidRDefault="00C81811">
      <w:pPr>
        <w:jc w:val="both"/>
        <w:rPr>
          <w:rFonts w:ascii="Palatino Linotype" w:eastAsia="Palatino Linotype" w:hAnsi="Palatino Linotype" w:cs="Palatino Linotype"/>
          <w:i/>
          <w:iCs/>
          <w:sz w:val="16"/>
          <w:szCs w:val="16"/>
        </w:rPr>
      </w:pPr>
      <w:r>
        <w:rPr>
          <w:vertAlign w:val="superscript"/>
        </w:rPr>
        <w:footnoteRef/>
      </w:r>
      <w:r>
        <w:t xml:space="preserve"> “</w:t>
      </w:r>
      <w:r>
        <w:rPr>
          <w:rFonts w:ascii="Palatino Linotype" w:eastAsia="Palatino Linotype" w:hAnsi="Palatino Linotype" w:cs="Palatino Linotype"/>
          <w:b/>
          <w:bCs/>
          <w:i/>
          <w:iCs/>
          <w:sz w:val="16"/>
          <w:szCs w:val="16"/>
        </w:rPr>
        <w:t>PRINCIPIO DE INTERPRETACIÓN MÁS FAVORABLE A LA PERSONA. ES APLICABLE RESPECTO DE LAS NORMAS RELATIVAS A LOS DERECHOS HUMANOS DE LOS QUE SEAN TITULARES LAS PERSONAS MORALES.</w:t>
      </w:r>
      <w:r>
        <w:rPr>
          <w:rFonts w:ascii="Palatino Linotype" w:eastAsia="Palatino Linotype" w:hAnsi="Palatino Linotype" w:cs="Palatino Linotype"/>
          <w:i/>
          <w:iCs/>
          <w:sz w:val="16"/>
          <w:szCs w:val="16"/>
        </w:rPr>
        <w:t xml:space="preserve"> El artículo 1o. de la Constitución Política de los Estados Unidos Mexicanos, al disponer que en los Estados Unidos Mexicanos todas las personas gozarán de los derechos humanos reconocidos en dicha Constitución y en los tratados internacionales de los que el Estado Mexicano sea parte, así como de las garantías para su protección, no prevé distinción alguna, por lo que debe interpretarse en el sentido de que comprende tanto a las personas físicas, como a las morales, las que gozarán de aquellos derechos en la medida en que resulten conformes con su naturaleza y fines. En consecuencia, el principio de interpretación más favorable a la persona, que como imperativo establece el párrafo segundo del citado precepto, es aplicable respecto de las normas relativas a los derechos humanos de los que gocen las personas morales, por lo que deberán interpretarse favoreciendo en todo tiempo la protección más amplia, a condición de que no se trate de aquellos derechos cuyo contenido material sólo pueda ser disfrutado por las personas físicas, lo que habrá de determinarse en cada caso concreto.”</w:t>
      </w:r>
    </w:p>
    <w:p w14:paraId="6A22A3ED" w14:textId="77777777" w:rsidR="00C81811" w:rsidRDefault="00C81811"/>
    <w:p w14:paraId="4DF79DED" w14:textId="77777777" w:rsidR="00C81811" w:rsidRDefault="00C81811">
      <w:pPr>
        <w:pBdr>
          <w:top w:val="nil"/>
          <w:left w:val="nil"/>
          <w:bottom w:val="nil"/>
          <w:right w:val="nil"/>
          <w:between w:val="nil"/>
        </w:pBdr>
        <w:rPr>
          <w:color w:val="000000"/>
          <w:sz w:val="20"/>
          <w:szCs w:val="20"/>
        </w:rPr>
      </w:pPr>
    </w:p>
  </w:footnote>
  <w:footnote w:id="2">
    <w:p w14:paraId="2F727D57" w14:textId="77777777" w:rsidR="00652185" w:rsidRDefault="00652185" w:rsidP="00652185">
      <w:pPr>
        <w:pStyle w:val="Textonotapie"/>
      </w:pPr>
      <w:r>
        <w:rPr>
          <w:rStyle w:val="Refdenotaalpie"/>
        </w:rPr>
        <w:footnoteRef/>
      </w:r>
      <w:r>
        <w:t xml:space="preserve"> Artículo 82, Bando Municipal de Tianguistenco.</w:t>
      </w:r>
    </w:p>
  </w:footnote>
  <w:footnote w:id="3">
    <w:p w14:paraId="563F5031" w14:textId="77777777" w:rsidR="00652185" w:rsidRDefault="00652185" w:rsidP="00652185">
      <w:pPr>
        <w:pStyle w:val="Textonotapie"/>
      </w:pPr>
      <w:r>
        <w:rPr>
          <w:rStyle w:val="Refdenotaalpie"/>
        </w:rPr>
        <w:footnoteRef/>
      </w:r>
      <w:r>
        <w:t xml:space="preserve"> Artículo 18.20, Ídem.</w:t>
      </w:r>
    </w:p>
  </w:footnote>
  <w:footnote w:id="4">
    <w:p w14:paraId="55F43C9E" w14:textId="77777777" w:rsidR="00652185" w:rsidRDefault="00652185" w:rsidP="00652185">
      <w:pPr>
        <w:pStyle w:val="Textonotapie"/>
      </w:pPr>
      <w:r>
        <w:rPr>
          <w:rStyle w:val="Refdenotaalpie"/>
        </w:rPr>
        <w:footnoteRef/>
      </w:r>
      <w:r>
        <w:t xml:space="preserve"> Artículo 18.29, Código Administrativo del Estado de México.</w:t>
      </w:r>
    </w:p>
  </w:footnote>
  <w:footnote w:id="5">
    <w:p w14:paraId="15C66AEB" w14:textId="77777777" w:rsidR="00652185" w:rsidRDefault="00652185" w:rsidP="00652185">
      <w:pPr>
        <w:pStyle w:val="Textonotapie"/>
      </w:pPr>
      <w:r>
        <w:rPr>
          <w:rStyle w:val="Refdenotaalpie"/>
        </w:rPr>
        <w:footnoteRef/>
      </w:r>
      <w:r>
        <w:t xml:space="preserve"> Artículo 18.33, Ídem.</w:t>
      </w:r>
    </w:p>
  </w:footnote>
  <w:footnote w:id="6">
    <w:p w14:paraId="780073F6" w14:textId="77777777" w:rsidR="00652185" w:rsidRDefault="00652185" w:rsidP="00652185">
      <w:pPr>
        <w:pStyle w:val="Textonotapie"/>
      </w:pPr>
      <w:r>
        <w:rPr>
          <w:rStyle w:val="Refdenotaalpie"/>
        </w:rPr>
        <w:footnoteRef/>
      </w:r>
      <w:r>
        <w:t xml:space="preserve"> Artículo 18.34, Ídem.</w:t>
      </w:r>
    </w:p>
  </w:footnote>
  <w:footnote w:id="7">
    <w:p w14:paraId="446DA638" w14:textId="77777777" w:rsidR="00652185" w:rsidRDefault="00652185" w:rsidP="00652185">
      <w:pPr>
        <w:pStyle w:val="Textonotapie"/>
      </w:pPr>
      <w:r>
        <w:rPr>
          <w:rStyle w:val="Refdenotaalpie"/>
        </w:rPr>
        <w:footnoteRef/>
      </w:r>
      <w:r>
        <w:t xml:space="preserve"> Artículo 18.35,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D1654" w14:textId="77777777" w:rsidR="00C81811" w:rsidRDefault="00AA34C7">
    <w:pPr>
      <w:pBdr>
        <w:top w:val="nil"/>
        <w:left w:val="nil"/>
        <w:bottom w:val="nil"/>
        <w:right w:val="nil"/>
        <w:between w:val="nil"/>
      </w:pBdr>
      <w:tabs>
        <w:tab w:val="center" w:pos="4419"/>
        <w:tab w:val="right" w:pos="8838"/>
      </w:tabs>
      <w:rPr>
        <w:color w:val="000000"/>
      </w:rPr>
    </w:pPr>
    <w:r>
      <w:rPr>
        <w:color w:val="000000"/>
      </w:rPr>
      <w:pict w14:anchorId="56A92B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5"/>
      <w:tblW w:w="7654" w:type="dxa"/>
      <w:tblInd w:w="3119" w:type="dxa"/>
      <w:tblLayout w:type="fixed"/>
      <w:tblLook w:val="0400" w:firstRow="0" w:lastRow="0" w:firstColumn="0" w:lastColumn="0" w:noHBand="0" w:noVBand="1"/>
    </w:tblPr>
    <w:tblGrid>
      <w:gridCol w:w="2976"/>
      <w:gridCol w:w="4678"/>
    </w:tblGrid>
    <w:tr w:rsidR="00C81811" w14:paraId="6115E3EF" w14:textId="77777777" w:rsidTr="00292618">
      <w:trPr>
        <w:trHeight w:val="227"/>
      </w:trPr>
      <w:tc>
        <w:tcPr>
          <w:tcW w:w="2976" w:type="dxa"/>
          <w:vAlign w:val="center"/>
        </w:tcPr>
        <w:p w14:paraId="75B76152" w14:textId="77777777" w:rsidR="00C81811" w:rsidRPr="00292618" w:rsidRDefault="00C81811">
          <w:pPr>
            <w:ind w:right="34"/>
            <w:jc w:val="right"/>
            <w:rPr>
              <w:rFonts w:ascii="Palatino Linotype" w:eastAsia="Palatino Linotype" w:hAnsi="Palatino Linotype" w:cs="Palatino Linotype"/>
              <w:b/>
              <w:bCs/>
              <w:szCs w:val="22"/>
            </w:rPr>
          </w:pPr>
          <w:r w:rsidRPr="00292618">
            <w:rPr>
              <w:rFonts w:ascii="Palatino Linotype" w:eastAsia="Palatino Linotype" w:hAnsi="Palatino Linotype" w:cs="Palatino Linotype"/>
              <w:b/>
              <w:bCs/>
              <w:szCs w:val="22"/>
            </w:rPr>
            <w:t>Recurso de Revisión:</w:t>
          </w:r>
        </w:p>
      </w:tc>
      <w:tc>
        <w:tcPr>
          <w:tcW w:w="4678" w:type="dxa"/>
          <w:vAlign w:val="center"/>
        </w:tcPr>
        <w:p w14:paraId="171D7B75" w14:textId="77777777" w:rsidR="00C81811" w:rsidRPr="00292618" w:rsidRDefault="00C81811" w:rsidP="00292618">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292618">
            <w:rPr>
              <w:rFonts w:ascii="Palatino Linotype" w:eastAsia="Palatino Linotype" w:hAnsi="Palatino Linotype" w:cs="Palatino Linotype"/>
              <w:color w:val="000000"/>
              <w:szCs w:val="22"/>
            </w:rPr>
            <w:t>06593/INFOEM/IP/RR/2025</w:t>
          </w:r>
        </w:p>
      </w:tc>
    </w:tr>
    <w:tr w:rsidR="00C81811" w14:paraId="160A7772" w14:textId="77777777" w:rsidTr="00292618">
      <w:trPr>
        <w:trHeight w:val="242"/>
      </w:trPr>
      <w:tc>
        <w:tcPr>
          <w:tcW w:w="2976" w:type="dxa"/>
          <w:vAlign w:val="center"/>
        </w:tcPr>
        <w:p w14:paraId="1FD63D04" w14:textId="77777777" w:rsidR="00C81811" w:rsidRPr="00292618" w:rsidRDefault="00C81811">
          <w:pPr>
            <w:ind w:right="34"/>
            <w:jc w:val="right"/>
            <w:rPr>
              <w:rFonts w:ascii="Palatino Linotype" w:eastAsia="Palatino Linotype" w:hAnsi="Palatino Linotype" w:cs="Palatino Linotype"/>
              <w:b/>
              <w:bCs/>
              <w:szCs w:val="22"/>
            </w:rPr>
          </w:pPr>
          <w:r w:rsidRPr="00292618">
            <w:rPr>
              <w:rFonts w:ascii="Palatino Linotype" w:eastAsia="Palatino Linotype" w:hAnsi="Palatino Linotype" w:cs="Palatino Linotype"/>
              <w:b/>
              <w:bCs/>
              <w:szCs w:val="22"/>
            </w:rPr>
            <w:t>Sujeto Obligado:</w:t>
          </w:r>
        </w:p>
      </w:tc>
      <w:tc>
        <w:tcPr>
          <w:tcW w:w="4678" w:type="dxa"/>
          <w:vAlign w:val="center"/>
        </w:tcPr>
        <w:p w14:paraId="78EF7939" w14:textId="77777777" w:rsidR="00C81811" w:rsidRPr="00292618" w:rsidRDefault="00C81811" w:rsidP="00292618">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292618">
            <w:rPr>
              <w:rFonts w:ascii="Palatino Linotype" w:eastAsia="Palatino Linotype" w:hAnsi="Palatino Linotype" w:cs="Palatino Linotype"/>
              <w:color w:val="000000"/>
              <w:szCs w:val="22"/>
            </w:rPr>
            <w:t>Ayuntamiento de Nicolás Romero</w:t>
          </w:r>
        </w:p>
      </w:tc>
    </w:tr>
    <w:tr w:rsidR="00C81811" w14:paraId="39383005" w14:textId="77777777" w:rsidTr="00292618">
      <w:trPr>
        <w:trHeight w:val="342"/>
      </w:trPr>
      <w:tc>
        <w:tcPr>
          <w:tcW w:w="2976" w:type="dxa"/>
          <w:vAlign w:val="center"/>
        </w:tcPr>
        <w:p w14:paraId="2A950E15" w14:textId="77777777" w:rsidR="00C81811" w:rsidRPr="00292618" w:rsidRDefault="00C81811">
          <w:pPr>
            <w:ind w:right="34"/>
            <w:jc w:val="right"/>
            <w:rPr>
              <w:rFonts w:ascii="Palatino Linotype" w:eastAsia="Palatino Linotype" w:hAnsi="Palatino Linotype" w:cs="Palatino Linotype"/>
              <w:b/>
              <w:bCs/>
              <w:szCs w:val="22"/>
            </w:rPr>
          </w:pPr>
          <w:r w:rsidRPr="00292618">
            <w:rPr>
              <w:rFonts w:ascii="Palatino Linotype" w:eastAsia="Palatino Linotype" w:hAnsi="Palatino Linotype" w:cs="Palatino Linotype"/>
              <w:b/>
              <w:bCs/>
              <w:szCs w:val="22"/>
            </w:rPr>
            <w:t>Comisionada Ponente:</w:t>
          </w:r>
        </w:p>
      </w:tc>
      <w:tc>
        <w:tcPr>
          <w:tcW w:w="4678" w:type="dxa"/>
          <w:vAlign w:val="center"/>
        </w:tcPr>
        <w:p w14:paraId="334A01EA" w14:textId="77777777" w:rsidR="00C81811" w:rsidRPr="00292618" w:rsidRDefault="00C81811" w:rsidP="00292618">
          <w:pPr>
            <w:pBdr>
              <w:top w:val="nil"/>
              <w:left w:val="nil"/>
              <w:bottom w:val="nil"/>
              <w:right w:val="nil"/>
              <w:between w:val="nil"/>
            </w:pBdr>
            <w:tabs>
              <w:tab w:val="right" w:pos="8838"/>
            </w:tabs>
            <w:rPr>
              <w:rFonts w:ascii="Palatino Linotype" w:eastAsia="Palatino Linotype" w:hAnsi="Palatino Linotype" w:cs="Palatino Linotype"/>
              <w:color w:val="000000"/>
              <w:szCs w:val="22"/>
            </w:rPr>
          </w:pPr>
          <w:r w:rsidRPr="00292618">
            <w:rPr>
              <w:rFonts w:ascii="Palatino Linotype" w:eastAsia="Palatino Linotype" w:hAnsi="Palatino Linotype" w:cs="Palatino Linotype"/>
              <w:color w:val="000000"/>
              <w:szCs w:val="22"/>
            </w:rPr>
            <w:t>María del Rosario Mejía Ayala</w:t>
          </w:r>
        </w:p>
      </w:tc>
    </w:tr>
  </w:tbl>
  <w:p w14:paraId="3B970AA1" w14:textId="77777777" w:rsidR="00C81811" w:rsidRDefault="00AA34C7">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w14:anchorId="32F6A6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6.85pt;margin-top:-128.4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6"/>
      <w:tblW w:w="7654" w:type="dxa"/>
      <w:tblInd w:w="2977" w:type="dxa"/>
      <w:tblLayout w:type="fixed"/>
      <w:tblLook w:val="0400" w:firstRow="0" w:lastRow="0" w:firstColumn="0" w:lastColumn="0" w:noHBand="0" w:noVBand="1"/>
    </w:tblPr>
    <w:tblGrid>
      <w:gridCol w:w="2977"/>
      <w:gridCol w:w="4677"/>
    </w:tblGrid>
    <w:tr w:rsidR="00C81811" w14:paraId="420E0337" w14:textId="77777777" w:rsidTr="00292618">
      <w:trPr>
        <w:trHeight w:val="227"/>
      </w:trPr>
      <w:tc>
        <w:tcPr>
          <w:tcW w:w="2977" w:type="dxa"/>
          <w:vAlign w:val="center"/>
        </w:tcPr>
        <w:p w14:paraId="59C1497C" w14:textId="77777777" w:rsidR="00C81811" w:rsidRPr="00292618" w:rsidRDefault="00C81811">
          <w:pPr>
            <w:jc w:val="right"/>
            <w:rPr>
              <w:rFonts w:ascii="Palatino Linotype" w:eastAsia="Palatino Linotype" w:hAnsi="Palatino Linotype" w:cs="Palatino Linotype"/>
              <w:b/>
              <w:bCs/>
              <w:szCs w:val="22"/>
            </w:rPr>
          </w:pPr>
          <w:r w:rsidRPr="00292618">
            <w:rPr>
              <w:rFonts w:ascii="Palatino Linotype" w:eastAsia="Palatino Linotype" w:hAnsi="Palatino Linotype" w:cs="Palatino Linotype"/>
              <w:b/>
              <w:bCs/>
              <w:szCs w:val="22"/>
            </w:rPr>
            <w:t>Recurso de Revisión:</w:t>
          </w:r>
        </w:p>
      </w:tc>
      <w:tc>
        <w:tcPr>
          <w:tcW w:w="4677" w:type="dxa"/>
          <w:vAlign w:val="center"/>
        </w:tcPr>
        <w:p w14:paraId="672CF05D" w14:textId="77777777" w:rsidR="00C81811" w:rsidRPr="00292618" w:rsidRDefault="00C81811">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292618">
            <w:rPr>
              <w:rFonts w:ascii="Palatino Linotype" w:eastAsia="Palatino Linotype" w:hAnsi="Palatino Linotype" w:cs="Palatino Linotype"/>
              <w:color w:val="000000"/>
              <w:szCs w:val="22"/>
            </w:rPr>
            <w:t>06593/INFOEM/IP/RR/2025</w:t>
          </w:r>
        </w:p>
      </w:tc>
    </w:tr>
    <w:tr w:rsidR="00C81811" w14:paraId="708035AD" w14:textId="77777777" w:rsidTr="00292618">
      <w:trPr>
        <w:trHeight w:val="242"/>
      </w:trPr>
      <w:tc>
        <w:tcPr>
          <w:tcW w:w="2977" w:type="dxa"/>
          <w:vAlign w:val="center"/>
        </w:tcPr>
        <w:p w14:paraId="2E9E303F" w14:textId="77777777" w:rsidR="00C81811" w:rsidRPr="00292618" w:rsidRDefault="00C81811">
          <w:pPr>
            <w:jc w:val="right"/>
            <w:rPr>
              <w:rFonts w:ascii="Palatino Linotype" w:eastAsia="Palatino Linotype" w:hAnsi="Palatino Linotype" w:cs="Palatino Linotype"/>
              <w:b/>
              <w:bCs/>
              <w:szCs w:val="22"/>
            </w:rPr>
          </w:pPr>
          <w:r w:rsidRPr="00292618">
            <w:rPr>
              <w:rFonts w:ascii="Palatino Linotype" w:eastAsia="Palatino Linotype" w:hAnsi="Palatino Linotype" w:cs="Palatino Linotype"/>
              <w:b/>
              <w:bCs/>
              <w:szCs w:val="22"/>
            </w:rPr>
            <w:t>Recurrente:</w:t>
          </w:r>
        </w:p>
      </w:tc>
      <w:tc>
        <w:tcPr>
          <w:tcW w:w="4677" w:type="dxa"/>
        </w:tcPr>
        <w:p w14:paraId="05AD9D82" w14:textId="10F18957" w:rsidR="00C81811" w:rsidRPr="00292618" w:rsidRDefault="006D0C24">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C81811" w14:paraId="34855C84" w14:textId="77777777" w:rsidTr="00292618">
      <w:trPr>
        <w:trHeight w:val="342"/>
      </w:trPr>
      <w:tc>
        <w:tcPr>
          <w:tcW w:w="2977" w:type="dxa"/>
          <w:vAlign w:val="center"/>
        </w:tcPr>
        <w:p w14:paraId="0198298F" w14:textId="77777777" w:rsidR="00C81811" w:rsidRPr="00292618" w:rsidRDefault="00C81811">
          <w:pPr>
            <w:jc w:val="right"/>
            <w:rPr>
              <w:rFonts w:ascii="Palatino Linotype" w:eastAsia="Palatino Linotype" w:hAnsi="Palatino Linotype" w:cs="Palatino Linotype"/>
              <w:b/>
              <w:bCs/>
              <w:szCs w:val="22"/>
            </w:rPr>
          </w:pPr>
          <w:r w:rsidRPr="00292618">
            <w:rPr>
              <w:rFonts w:ascii="Palatino Linotype" w:eastAsia="Palatino Linotype" w:hAnsi="Palatino Linotype" w:cs="Palatino Linotype"/>
              <w:b/>
              <w:bCs/>
              <w:szCs w:val="22"/>
            </w:rPr>
            <w:t>Sujeto Obligado:</w:t>
          </w:r>
        </w:p>
      </w:tc>
      <w:tc>
        <w:tcPr>
          <w:tcW w:w="4677" w:type="dxa"/>
          <w:vAlign w:val="center"/>
        </w:tcPr>
        <w:p w14:paraId="457F023B" w14:textId="77777777" w:rsidR="00C81811" w:rsidRPr="00292618" w:rsidRDefault="00C81811">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292618">
            <w:rPr>
              <w:rFonts w:ascii="Palatino Linotype" w:eastAsia="Palatino Linotype" w:hAnsi="Palatino Linotype" w:cs="Palatino Linotype"/>
              <w:color w:val="000000"/>
              <w:szCs w:val="22"/>
            </w:rPr>
            <w:t>Ayuntamiento de Nicolás Romero</w:t>
          </w:r>
        </w:p>
      </w:tc>
    </w:tr>
    <w:tr w:rsidR="00C81811" w14:paraId="29A4955F" w14:textId="77777777" w:rsidTr="00292618">
      <w:trPr>
        <w:trHeight w:val="342"/>
      </w:trPr>
      <w:tc>
        <w:tcPr>
          <w:tcW w:w="2977" w:type="dxa"/>
          <w:vAlign w:val="center"/>
        </w:tcPr>
        <w:p w14:paraId="7B3AF30A" w14:textId="77777777" w:rsidR="00C81811" w:rsidRPr="00292618" w:rsidRDefault="00C81811">
          <w:pPr>
            <w:jc w:val="right"/>
            <w:rPr>
              <w:rFonts w:ascii="Palatino Linotype" w:eastAsia="Palatino Linotype" w:hAnsi="Palatino Linotype" w:cs="Palatino Linotype"/>
              <w:b/>
              <w:bCs/>
              <w:szCs w:val="22"/>
            </w:rPr>
          </w:pPr>
          <w:r w:rsidRPr="00292618">
            <w:rPr>
              <w:rFonts w:ascii="Palatino Linotype" w:eastAsia="Palatino Linotype" w:hAnsi="Palatino Linotype" w:cs="Palatino Linotype"/>
              <w:b/>
              <w:bCs/>
              <w:szCs w:val="22"/>
            </w:rPr>
            <w:t>Comisionada Ponente:</w:t>
          </w:r>
        </w:p>
      </w:tc>
      <w:tc>
        <w:tcPr>
          <w:tcW w:w="4677" w:type="dxa"/>
          <w:vAlign w:val="center"/>
        </w:tcPr>
        <w:p w14:paraId="1F8AC497" w14:textId="77777777" w:rsidR="00C81811" w:rsidRPr="00292618" w:rsidRDefault="00C81811">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292618">
            <w:rPr>
              <w:rFonts w:ascii="Palatino Linotype" w:eastAsia="Palatino Linotype" w:hAnsi="Palatino Linotype" w:cs="Palatino Linotype"/>
              <w:color w:val="000000"/>
              <w:szCs w:val="22"/>
            </w:rPr>
            <w:t>María del Rosario Mejía Ayala</w:t>
          </w:r>
        </w:p>
      </w:tc>
    </w:tr>
  </w:tbl>
  <w:p w14:paraId="2A03200D" w14:textId="77777777" w:rsidR="00C81811" w:rsidRDefault="00AA34C7">
    <w:pPr>
      <w:pBdr>
        <w:top w:val="nil"/>
        <w:left w:val="nil"/>
        <w:bottom w:val="nil"/>
        <w:right w:val="nil"/>
        <w:between w:val="nil"/>
      </w:pBdr>
      <w:tabs>
        <w:tab w:val="center" w:pos="4419"/>
        <w:tab w:val="right" w:pos="8838"/>
      </w:tabs>
      <w:rPr>
        <w:color w:val="000000"/>
        <w:sz w:val="16"/>
        <w:szCs w:val="16"/>
      </w:rPr>
    </w:pPr>
    <w:r>
      <w:rPr>
        <w:color w:val="000000"/>
        <w:sz w:val="16"/>
        <w:szCs w:val="16"/>
      </w:rPr>
      <w:pict w14:anchorId="3B6BD7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639FB"/>
    <w:multiLevelType w:val="hybridMultilevel"/>
    <w:tmpl w:val="3D4CF354"/>
    <w:lvl w:ilvl="0" w:tplc="7EE0C6EC">
      <w:start w:val="1"/>
      <w:numFmt w:val="decimal"/>
      <w:lvlText w:val="%1."/>
      <w:lvlJc w:val="left"/>
      <w:pPr>
        <w:ind w:left="0" w:firstLine="0"/>
      </w:pPr>
      <w:rPr>
        <w:rFonts w:ascii="Palatino Linotype" w:hAnsi="Palatino Linotype" w:hint="default"/>
        <w:b/>
        <w:i w:val="0"/>
        <w:sz w:val="24"/>
      </w:rPr>
    </w:lvl>
    <w:lvl w:ilvl="1" w:tplc="080A0013">
      <w:start w:val="1"/>
      <w:numFmt w:val="upperRoman"/>
      <w:lvlText w:val="%2."/>
      <w:lvlJc w:val="right"/>
      <w:pPr>
        <w:ind w:left="1440" w:hanging="360"/>
      </w:pPr>
      <w:rPr>
        <w:rFonts w:hint="default"/>
        <w:b/>
        <w:bCs/>
        <w:i w:val="0"/>
        <w:iCs w:val="0"/>
      </w:rPr>
    </w:lvl>
    <w:lvl w:ilvl="2" w:tplc="35B2368A">
      <w:start w:val="1"/>
      <w:numFmt w:val="lowerRoman"/>
      <w:lvlText w:val="%3."/>
      <w:lvlJc w:val="right"/>
      <w:pPr>
        <w:ind w:left="2340" w:hanging="360"/>
      </w:pPr>
      <w:rPr>
        <w:rFonts w:hint="default"/>
        <w:b/>
        <w:strike w:val="0"/>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9D37392"/>
    <w:multiLevelType w:val="multilevel"/>
    <w:tmpl w:val="DC32EBC0"/>
    <w:lvl w:ilvl="0">
      <w:start w:val="1"/>
      <w:numFmt w:val="bullet"/>
      <w:lvlText w:val="●"/>
      <w:lvlJc w:val="left"/>
      <w:pPr>
        <w:ind w:left="709" w:hanging="357"/>
      </w:pPr>
      <w:rPr>
        <w:rFonts w:ascii="Noto Sans Symbols" w:eastAsia="Noto Sans Symbols" w:hAnsi="Noto Sans Symbols" w:cs="Noto Sans Symbols"/>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Noto Sans Symbols" w:eastAsia="Noto Sans Symbols" w:hAnsi="Noto Sans Symbols" w:cs="Noto Sans Symbols"/>
      </w:rPr>
    </w:lvl>
    <w:lvl w:ilvl="3">
      <w:start w:val="1"/>
      <w:numFmt w:val="bullet"/>
      <w:lvlText w:val="●"/>
      <w:lvlJc w:val="left"/>
      <w:pPr>
        <w:ind w:left="2869" w:hanging="360"/>
      </w:pPr>
      <w:rPr>
        <w:rFonts w:ascii="Noto Sans Symbols" w:eastAsia="Noto Sans Symbols" w:hAnsi="Noto Sans Symbols" w:cs="Noto Sans Symbols"/>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Noto Sans Symbols" w:eastAsia="Noto Sans Symbols" w:hAnsi="Noto Sans Symbols" w:cs="Noto Sans Symbols"/>
      </w:rPr>
    </w:lvl>
    <w:lvl w:ilvl="6">
      <w:start w:val="1"/>
      <w:numFmt w:val="bullet"/>
      <w:lvlText w:val="●"/>
      <w:lvlJc w:val="left"/>
      <w:pPr>
        <w:ind w:left="5029" w:hanging="360"/>
      </w:pPr>
      <w:rPr>
        <w:rFonts w:ascii="Noto Sans Symbols" w:eastAsia="Noto Sans Symbols" w:hAnsi="Noto Sans Symbols" w:cs="Noto Sans Symbols"/>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Noto Sans Symbols" w:eastAsia="Noto Sans Symbols" w:hAnsi="Noto Sans Symbols" w:cs="Noto Sans Symbols"/>
      </w:rPr>
    </w:lvl>
  </w:abstractNum>
  <w:abstractNum w:abstractNumId="2" w15:restartNumberingAfterBreak="0">
    <w:nsid w:val="34317490"/>
    <w:multiLevelType w:val="hybridMultilevel"/>
    <w:tmpl w:val="9768D970"/>
    <w:lvl w:ilvl="0" w:tplc="7EE0C6EC">
      <w:start w:val="1"/>
      <w:numFmt w:val="decimal"/>
      <w:lvlText w:val="%1."/>
      <w:lvlJc w:val="left"/>
      <w:pPr>
        <w:ind w:left="0" w:firstLine="0"/>
      </w:pPr>
      <w:rPr>
        <w:rFonts w:ascii="Palatino Linotype" w:hAnsi="Palatino Linotype" w:hint="default"/>
        <w:b/>
        <w:i w:val="0"/>
        <w:sz w:val="24"/>
      </w:rPr>
    </w:lvl>
    <w:lvl w:ilvl="1" w:tplc="080A0017">
      <w:start w:val="1"/>
      <w:numFmt w:val="lowerLetter"/>
      <w:lvlText w:val="%2)"/>
      <w:lvlJc w:val="left"/>
      <w:pPr>
        <w:ind w:left="1440" w:hanging="360"/>
      </w:pPr>
      <w:rPr>
        <w:rFonts w:hint="default"/>
        <w:b/>
        <w:bCs/>
        <w:i w:val="0"/>
        <w:iCs w:val="0"/>
      </w:rPr>
    </w:lvl>
    <w:lvl w:ilvl="2" w:tplc="35B2368A">
      <w:start w:val="1"/>
      <w:numFmt w:val="lowerRoman"/>
      <w:lvlText w:val="%3."/>
      <w:lvlJc w:val="right"/>
      <w:pPr>
        <w:ind w:left="2340" w:hanging="360"/>
      </w:pPr>
      <w:rPr>
        <w:rFonts w:hint="default"/>
        <w:b/>
        <w:strike w:val="0"/>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F7F243D"/>
    <w:multiLevelType w:val="hybridMultilevel"/>
    <w:tmpl w:val="C226D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404F31"/>
    <w:multiLevelType w:val="multilevel"/>
    <w:tmpl w:val="9732F446"/>
    <w:lvl w:ilvl="0">
      <w:start w:val="1"/>
      <w:numFmt w:val="lowerLetter"/>
      <w:lvlText w:val="%1)"/>
      <w:lvlJc w:val="left"/>
      <w:pPr>
        <w:ind w:left="1068" w:hanging="360"/>
      </w:p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5" w15:restartNumberingAfterBreak="0">
    <w:nsid w:val="5E757E89"/>
    <w:multiLevelType w:val="multilevel"/>
    <w:tmpl w:val="4B8E0ED6"/>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6" w15:restartNumberingAfterBreak="0">
    <w:nsid w:val="683871C1"/>
    <w:multiLevelType w:val="multilevel"/>
    <w:tmpl w:val="B546ADFC"/>
    <w:lvl w:ilvl="0">
      <w:start w:val="24"/>
      <w:numFmt w:val="decimal"/>
      <w:lvlText w:val="%1."/>
      <w:lvlJc w:val="left"/>
      <w:pPr>
        <w:ind w:left="644" w:hanging="359"/>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5842CEE"/>
    <w:multiLevelType w:val="multilevel"/>
    <w:tmpl w:val="9D3C932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E803C6B"/>
    <w:multiLevelType w:val="multilevel"/>
    <w:tmpl w:val="2376B3BC"/>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5"/>
  </w:num>
  <w:num w:numId="3">
    <w:abstractNumId w:val="4"/>
  </w:num>
  <w:num w:numId="4">
    <w:abstractNumId w:val="7"/>
  </w:num>
  <w:num w:numId="5">
    <w:abstractNumId w:val="6"/>
  </w:num>
  <w:num w:numId="6">
    <w:abstractNumId w:val="1"/>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EDA"/>
    <w:rsid w:val="00144EDA"/>
    <w:rsid w:val="00150D14"/>
    <w:rsid w:val="00225F83"/>
    <w:rsid w:val="00230AAF"/>
    <w:rsid w:val="00292618"/>
    <w:rsid w:val="002C6D43"/>
    <w:rsid w:val="003A3800"/>
    <w:rsid w:val="004E3439"/>
    <w:rsid w:val="005E412D"/>
    <w:rsid w:val="006253FE"/>
    <w:rsid w:val="00652185"/>
    <w:rsid w:val="00655EB3"/>
    <w:rsid w:val="006A4FBD"/>
    <w:rsid w:val="006D0C24"/>
    <w:rsid w:val="00733183"/>
    <w:rsid w:val="009B4AEC"/>
    <w:rsid w:val="00A37249"/>
    <w:rsid w:val="00AA34C7"/>
    <w:rsid w:val="00C81811"/>
    <w:rsid w:val="00DD38E3"/>
    <w:rsid w:val="00E04396"/>
    <w:rsid w:val="00E35A85"/>
    <w:rsid w:val="00F643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0ED0CF"/>
  <w15:docId w15:val="{649DF8C6-9C77-4692-B600-C135D7807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damentos">
    <w:name w:val="Fundamentos"/>
    <w:basedOn w:val="Normal"/>
    <w:next w:val="Normal"/>
    <w:qFormat/>
    <w:rsid w:val="00D70F20"/>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rPr>
  </w:style>
  <w:style w:type="paragraph" w:styleId="Sinespaciado">
    <w:name w:val="No Spacing"/>
    <w:aliases w:val="Francesa,INAI"/>
    <w:link w:val="SinespaciadoCar"/>
    <w:uiPriority w:val="1"/>
    <w:qFormat/>
    <w:rsid w:val="00071265"/>
  </w:style>
  <w:style w:type="character" w:customStyle="1" w:styleId="SinespaciadoCar">
    <w:name w:val="Sin espaciado Car"/>
    <w:aliases w:val="Francesa Car,INAI Car"/>
    <w:link w:val="Sinespaciado"/>
    <w:uiPriority w:val="1"/>
    <w:qFormat/>
    <w:locked/>
    <w:rsid w:val="00071265"/>
  </w:style>
  <w:style w:type="paragraph" w:customStyle="1" w:styleId="Default">
    <w:name w:val="Default"/>
    <w:qFormat/>
    <w:rsid w:val="001C69FE"/>
    <w:pPr>
      <w:autoSpaceDE w:val="0"/>
      <w:autoSpaceDN w:val="0"/>
      <w:adjustRightInd w:val="0"/>
    </w:pPr>
    <w:rPr>
      <w:rFonts w:ascii="Arial" w:hAnsi="Arial" w:cs="Arial"/>
      <w:color w:val="000000"/>
    </w:rPr>
  </w:style>
  <w:style w:type="table" w:customStyle="1" w:styleId="Tablanormal12">
    <w:name w:val="Tabla normal 12"/>
    <w:basedOn w:val="Tablanormal"/>
    <w:next w:val="Tablanormal1"/>
    <w:uiPriority w:val="41"/>
    <w:rsid w:val="00C368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uiPriority w:val="22"/>
    <w:qFormat/>
    <w:rsid w:val="003F5071"/>
    <w:rPr>
      <w:b/>
      <w:bCs/>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70" w:type="dxa"/>
        <w:right w:w="70" w:type="dxa"/>
      </w:tblCellMar>
    </w:tblPr>
  </w:style>
  <w:style w:type="paragraph" w:customStyle="1" w:styleId="Citas">
    <w:name w:val="Citas"/>
    <w:basedOn w:val="Normal"/>
    <w:qFormat/>
    <w:rsid w:val="00E803AA"/>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CitasINFOEM">
    <w:name w:val="Citas INFOEM"/>
    <w:basedOn w:val="Normal"/>
    <w:qFormat/>
    <w:rsid w:val="00F37A04"/>
    <w:pPr>
      <w:spacing w:before="240" w:after="160" w:line="360" w:lineRule="auto"/>
      <w:ind w:left="851" w:right="851"/>
      <w:jc w:val="both"/>
    </w:pPr>
    <w:rPr>
      <w:rFonts w:ascii="Palatino Linotype" w:eastAsia="Times New Roman" w:hAnsi="Palatino Linotype" w:cs="Times New Roman"/>
      <w:i/>
      <w:sz w:val="22"/>
      <w:lang w:val="es-MX" w:eastAsia="en-US"/>
    </w:rPr>
  </w:style>
  <w:style w:type="paragraph" w:styleId="NormalWeb">
    <w:name w:val="Normal (Web)"/>
    <w:basedOn w:val="Normal"/>
    <w:uiPriority w:val="99"/>
    <w:rsid w:val="00151F2D"/>
    <w:pPr>
      <w:spacing w:before="100" w:beforeAutospacing="1" w:after="100" w:afterAutospacing="1"/>
    </w:pPr>
    <w:rPr>
      <w:rFonts w:ascii="Times New Roman" w:eastAsia="Times New Roman" w:hAnsi="Times New Roman" w:cs="Times New Roman"/>
      <w:lang w:val="es-MX"/>
    </w:r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paragraph" w:customStyle="1" w:styleId="m5907675151158779931gmail-msolistparagraph">
    <w:name w:val="m_5907675151158779931gmail-msolistparagraph"/>
    <w:basedOn w:val="Normal"/>
    <w:rsid w:val="00AD34C6"/>
    <w:pPr>
      <w:spacing w:before="100" w:beforeAutospacing="1" w:after="100" w:afterAutospacing="1"/>
    </w:pPr>
    <w:rPr>
      <w:rFonts w:ascii="Times New Roman" w:eastAsia="Times New Roman" w:hAnsi="Times New Roman" w:cs="Times New Roman"/>
      <w:lang w:val="es-MX"/>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tM6t5gTWINwJxuGGTnO7uGwbAg==">CgMxLjAyCGguZ2pkZ3hzMgloLjMwajB6bGwyDmguYzRhMDY0czhwN3M5MgloLjN6bnlzaDcyCWguMmV0OTJwMDIIaC50eWpjd3QyCWguM2R5NnZrbTIJaC4xdDNoNXNmMg5oLnMzZ2w0Z3ozNXgxeDIOaC4yYWF4d3l0dGUwcWoyDmguMTN3Mzg4MjY2NnZsOAByITFOVjJuX1U1bG83MTJ6TVNUNG1PM2d4QUVNWEh5dFRySw==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59</Pages>
  <Words>14022</Words>
  <Characters>77126</Characters>
  <Application>Microsoft Office Word</Application>
  <DocSecurity>0</DocSecurity>
  <Lines>642</Lines>
  <Paragraphs>181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90967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13</cp:revision>
  <cp:lastPrinted>2026-02-13T15:47:00Z</cp:lastPrinted>
  <dcterms:created xsi:type="dcterms:W3CDTF">2026-02-10T18:14:00Z</dcterms:created>
  <dcterms:modified xsi:type="dcterms:W3CDTF">2026-02-23T23:55:00Z</dcterms:modified>
</cp:coreProperties>
</file>