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odttf" ContentType="application/vnd.openxmlformats-officedocument.obfuscatedFon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B6A8C" w:rsidRPr="00EE0056" w:rsidRDefault="00DD6CA9">
      <w:pPr>
        <w:tabs>
          <w:tab w:val="left" w:pos="3465"/>
        </w:tabs>
        <w:spacing w:line="360" w:lineRule="auto"/>
        <w:ind w:right="-787"/>
        <w:jc w:val="both"/>
        <w:rPr>
          <w:rFonts w:ascii="Palatino Linotype" w:eastAsia="Palatino Linotype" w:hAnsi="Palatino Linotype" w:cs="Palatino Linotype"/>
        </w:rPr>
      </w:pPr>
      <w:bookmarkStart w:id="0" w:name="_GoBack"/>
      <w:bookmarkEnd w:id="0"/>
      <w:r w:rsidRPr="00EE0056">
        <w:rPr>
          <w:rFonts w:ascii="Palatino Linotype" w:eastAsia="Palatino Linotype" w:hAnsi="Palatino Linotype" w:cs="Palatino Linotype"/>
        </w:rPr>
        <w:t>Resolución del Pleno del Instituto de Transparencia, Acceso a la Información Pública y Protección de Datos Personales del Estado de México y Municipios, con domicilio en Metepec, Estado</w:t>
      </w:r>
      <w:r w:rsidR="00487FD4" w:rsidRPr="00EE0056">
        <w:rPr>
          <w:rFonts w:ascii="Palatino Linotype" w:eastAsia="Palatino Linotype" w:hAnsi="Palatino Linotype" w:cs="Palatino Linotype"/>
        </w:rPr>
        <w:t xml:space="preserve"> de México; de fecha veintiocho</w:t>
      </w:r>
      <w:r w:rsidR="00EE0056" w:rsidRPr="00EE0056">
        <w:rPr>
          <w:rFonts w:ascii="Palatino Linotype" w:eastAsia="Palatino Linotype" w:hAnsi="Palatino Linotype" w:cs="Palatino Linotype"/>
        </w:rPr>
        <w:t xml:space="preserve"> (28)</w:t>
      </w:r>
      <w:r w:rsidRPr="00EE0056">
        <w:rPr>
          <w:rFonts w:ascii="Palatino Linotype" w:eastAsia="Palatino Linotype" w:hAnsi="Palatino Linotype" w:cs="Palatino Linotype"/>
        </w:rPr>
        <w:t xml:space="preserve"> de abril de dos mil veintiséis.</w:t>
      </w:r>
    </w:p>
    <w:p w:rsidR="006B6A8C" w:rsidRPr="00EE0056" w:rsidRDefault="006B6A8C">
      <w:pPr>
        <w:tabs>
          <w:tab w:val="left" w:pos="3465"/>
        </w:tabs>
        <w:spacing w:line="360" w:lineRule="auto"/>
        <w:ind w:right="-787"/>
        <w:jc w:val="both"/>
        <w:rPr>
          <w:rFonts w:ascii="Palatino Linotype" w:eastAsia="Palatino Linotype" w:hAnsi="Palatino Linotype" w:cs="Palatino Linotype"/>
        </w:rPr>
      </w:pPr>
    </w:p>
    <w:p w:rsidR="006B6A8C" w:rsidRPr="00EE0056" w:rsidRDefault="00DD6CA9">
      <w:pPr>
        <w:spacing w:line="360" w:lineRule="auto"/>
        <w:ind w:right="-787"/>
        <w:jc w:val="both"/>
        <w:rPr>
          <w:rFonts w:ascii="Palatino Linotype" w:eastAsia="Palatino Linotype" w:hAnsi="Palatino Linotype" w:cs="Palatino Linotype"/>
        </w:rPr>
      </w:pPr>
      <w:r w:rsidRPr="00EE0056">
        <w:rPr>
          <w:rFonts w:ascii="Palatino Linotype" w:eastAsia="Palatino Linotype" w:hAnsi="Palatino Linotype" w:cs="Palatino Linotype"/>
          <w:b/>
          <w:bCs/>
        </w:rPr>
        <w:t xml:space="preserve">VISTAS </w:t>
      </w:r>
      <w:r w:rsidRPr="00EE0056">
        <w:rPr>
          <w:rFonts w:ascii="Palatino Linotype" w:eastAsia="Palatino Linotype" w:hAnsi="Palatino Linotype" w:cs="Palatino Linotype"/>
        </w:rPr>
        <w:t xml:space="preserve">las constancias para resolver </w:t>
      </w:r>
      <w:r w:rsidRPr="00EE0056">
        <w:rPr>
          <w:rFonts w:ascii="Palatino Linotype" w:eastAsia="Palatino Linotype" w:hAnsi="Palatino Linotype" w:cs="Palatino Linotype"/>
          <w:color w:val="000000"/>
        </w:rPr>
        <w:t xml:space="preserve">el Recurso de Revisión </w:t>
      </w:r>
      <w:r w:rsidRPr="00EE0056">
        <w:rPr>
          <w:rFonts w:ascii="Palatino Linotype" w:eastAsia="Palatino Linotype" w:hAnsi="Palatino Linotype" w:cs="Palatino Linotype"/>
          <w:b/>
          <w:bCs/>
          <w:color w:val="000000"/>
        </w:rPr>
        <w:t>12968/INFOEM/IP/RR/2025</w:t>
      </w:r>
      <w:r w:rsidRPr="00EE0056">
        <w:rPr>
          <w:rFonts w:ascii="Palatino Linotype" w:eastAsia="Palatino Linotype" w:hAnsi="Palatino Linotype" w:cs="Palatino Linotype"/>
          <w:color w:val="000000"/>
        </w:rPr>
        <w:t xml:space="preserve">, promovido por </w:t>
      </w:r>
      <w:r w:rsidR="00A522D0">
        <w:rPr>
          <w:rFonts w:ascii="Palatino Linotype" w:eastAsia="Palatino Linotype" w:hAnsi="Palatino Linotype" w:cs="Palatino Linotype"/>
          <w:b/>
          <w:bCs/>
          <w:color w:val="000000"/>
        </w:rPr>
        <w:t>XXXX</w:t>
      </w:r>
      <w:r w:rsidRPr="00EE0056">
        <w:rPr>
          <w:rFonts w:ascii="Palatino Linotype" w:eastAsia="Palatino Linotype" w:hAnsi="Palatino Linotype" w:cs="Palatino Linotype"/>
          <w:color w:val="000000"/>
        </w:rPr>
        <w:t>,</w:t>
      </w:r>
      <w:r w:rsidRPr="00EE0056">
        <w:rPr>
          <w:rFonts w:ascii="Palatino Linotype" w:eastAsia="Palatino Linotype" w:hAnsi="Palatino Linotype" w:cs="Palatino Linotype"/>
        </w:rPr>
        <w:t xml:space="preserve"> en lo sucesivo </w:t>
      </w:r>
      <w:r w:rsidRPr="00EE0056">
        <w:rPr>
          <w:rFonts w:ascii="Palatino Linotype" w:eastAsia="Palatino Linotype" w:hAnsi="Palatino Linotype" w:cs="Palatino Linotype"/>
          <w:b/>
          <w:bCs/>
        </w:rPr>
        <w:t>EL RECURRENTE</w:t>
      </w:r>
      <w:r w:rsidRPr="00EE0056">
        <w:rPr>
          <w:rFonts w:ascii="Palatino Linotype" w:eastAsia="Palatino Linotype" w:hAnsi="Palatino Linotype" w:cs="Palatino Linotype"/>
        </w:rPr>
        <w:t xml:space="preserve">, en contra de la respuesta otorgada a la solicitud de información </w:t>
      </w:r>
      <w:r w:rsidRPr="00EE0056">
        <w:rPr>
          <w:rFonts w:ascii="Palatino Linotype" w:eastAsia="Palatino Linotype" w:hAnsi="Palatino Linotype" w:cs="Palatino Linotype"/>
          <w:b/>
          <w:bCs/>
        </w:rPr>
        <w:t>00414/OASNAUCAL/IP/2025</w:t>
      </w:r>
      <w:r w:rsidRPr="00EE0056">
        <w:rPr>
          <w:rFonts w:ascii="Palatino Linotype" w:eastAsia="Palatino Linotype" w:hAnsi="Palatino Linotype" w:cs="Palatino Linotype"/>
        </w:rPr>
        <w:t xml:space="preserve">, por parte del </w:t>
      </w:r>
      <w:r w:rsidRPr="00EE0056">
        <w:rPr>
          <w:rFonts w:ascii="Palatino Linotype" w:eastAsia="Palatino Linotype" w:hAnsi="Palatino Linotype" w:cs="Palatino Linotype"/>
          <w:b/>
          <w:bCs/>
        </w:rPr>
        <w:t xml:space="preserve">Organismo Público Descentralizado para la Prestación de Los Servicios de Agua Potable Alcantarillado y Saneamiento del Municipio de Naucalpan de Juárez, </w:t>
      </w:r>
      <w:r w:rsidRPr="00EE0056">
        <w:rPr>
          <w:rFonts w:ascii="Palatino Linotype" w:eastAsia="Palatino Linotype" w:hAnsi="Palatino Linotype" w:cs="Palatino Linotype"/>
        </w:rPr>
        <w:t xml:space="preserve">en adelante el </w:t>
      </w:r>
      <w:r w:rsidRPr="00EE0056">
        <w:rPr>
          <w:rFonts w:ascii="Palatino Linotype" w:eastAsia="Palatino Linotype" w:hAnsi="Palatino Linotype" w:cs="Palatino Linotype"/>
          <w:b/>
          <w:bCs/>
        </w:rPr>
        <w:t>SUJETO OBLIGADO</w:t>
      </w:r>
      <w:r w:rsidRPr="00EE0056">
        <w:rPr>
          <w:rFonts w:ascii="Palatino Linotype" w:eastAsia="Palatino Linotype" w:hAnsi="Palatino Linotype" w:cs="Palatino Linotype"/>
        </w:rPr>
        <w:t>, se emite la presente resolución con base en los siguientes:</w:t>
      </w:r>
    </w:p>
    <w:p w:rsidR="006B6A8C" w:rsidRPr="00EE0056" w:rsidRDefault="006B6A8C">
      <w:pPr>
        <w:spacing w:line="360" w:lineRule="auto"/>
        <w:ind w:right="-787"/>
        <w:jc w:val="both"/>
        <w:rPr>
          <w:rFonts w:ascii="Palatino Linotype" w:eastAsia="Palatino Linotype" w:hAnsi="Palatino Linotype" w:cs="Palatino Linotype"/>
        </w:rPr>
      </w:pPr>
    </w:p>
    <w:p w:rsidR="006B6A8C" w:rsidRPr="00EE0056" w:rsidRDefault="00DD6CA9">
      <w:pPr>
        <w:pStyle w:val="Ttulo1"/>
        <w:spacing w:before="0" w:line="360" w:lineRule="auto"/>
        <w:ind w:right="-787"/>
        <w:jc w:val="center"/>
        <w:rPr>
          <w:rFonts w:ascii="Palatino Linotype" w:eastAsia="Palatino Linotype" w:hAnsi="Palatino Linotype" w:cs="Palatino Linotype"/>
          <w:b/>
          <w:bCs/>
          <w:color w:val="000000"/>
          <w:sz w:val="24"/>
          <w:szCs w:val="24"/>
        </w:rPr>
      </w:pPr>
      <w:bookmarkStart w:id="1" w:name="_heading=h.gjdgxs" w:colFirst="0" w:colLast="0"/>
      <w:bookmarkEnd w:id="1"/>
      <w:r w:rsidRPr="00EE0056">
        <w:rPr>
          <w:rFonts w:ascii="Palatino Linotype" w:eastAsia="Palatino Linotype" w:hAnsi="Palatino Linotype" w:cs="Palatino Linotype"/>
          <w:b/>
          <w:bCs/>
          <w:color w:val="000000"/>
          <w:sz w:val="24"/>
          <w:szCs w:val="24"/>
        </w:rPr>
        <w:t>A N T E C E D E N T E S</w:t>
      </w:r>
    </w:p>
    <w:p w:rsidR="006B6A8C" w:rsidRPr="00EE0056" w:rsidRDefault="006B6A8C">
      <w:pPr>
        <w:pBdr>
          <w:top w:val="nil"/>
          <w:left w:val="nil"/>
          <w:bottom w:val="nil"/>
          <w:right w:val="nil"/>
          <w:between w:val="nil"/>
        </w:pBdr>
        <w:spacing w:line="360" w:lineRule="auto"/>
        <w:ind w:left="720" w:right="-787"/>
        <w:jc w:val="both"/>
        <w:rPr>
          <w:rFonts w:ascii="Palatino Linotype" w:eastAsia="Palatino Linotype" w:hAnsi="Palatino Linotype" w:cs="Palatino Linotype"/>
          <w:b/>
          <w:bCs/>
          <w:color w:val="000000"/>
          <w:u w:val="single"/>
        </w:rPr>
      </w:pPr>
    </w:p>
    <w:p w:rsidR="006B6A8C" w:rsidRPr="00EE0056" w:rsidRDefault="00DD6CA9">
      <w:pPr>
        <w:numPr>
          <w:ilvl w:val="0"/>
          <w:numId w:val="2"/>
        </w:numPr>
        <w:pBdr>
          <w:top w:val="nil"/>
          <w:left w:val="nil"/>
          <w:bottom w:val="nil"/>
          <w:right w:val="nil"/>
          <w:between w:val="nil"/>
        </w:pBdr>
        <w:tabs>
          <w:tab w:val="left" w:pos="0"/>
        </w:tabs>
        <w:spacing w:line="360" w:lineRule="auto"/>
        <w:ind w:left="0" w:right="-787" w:firstLine="0"/>
        <w:jc w:val="both"/>
        <w:rPr>
          <w:rFonts w:ascii="Palatino Linotype" w:eastAsia="Palatino Linotype" w:hAnsi="Palatino Linotype" w:cs="Palatino Linotype"/>
          <w:color w:val="000000"/>
        </w:rPr>
      </w:pPr>
      <w:r w:rsidRPr="00EE0056">
        <w:rPr>
          <w:rFonts w:ascii="Palatino Linotype" w:eastAsia="Palatino Linotype" w:hAnsi="Palatino Linotype" w:cs="Palatino Linotype"/>
          <w:color w:val="000000"/>
        </w:rPr>
        <w:t xml:space="preserve">El </w:t>
      </w:r>
      <w:r w:rsidRPr="00EE0056">
        <w:rPr>
          <w:rFonts w:ascii="Palatino Linotype" w:eastAsia="Palatino Linotype" w:hAnsi="Palatino Linotype" w:cs="Palatino Linotype"/>
          <w:b/>
          <w:bCs/>
          <w:color w:val="000000"/>
        </w:rPr>
        <w:t>veinticuatro de octubre de dos mil veinticinco</w:t>
      </w:r>
      <w:r w:rsidRPr="00EE0056">
        <w:rPr>
          <w:rFonts w:ascii="Palatino Linotype" w:eastAsia="Palatino Linotype" w:hAnsi="Palatino Linotype" w:cs="Palatino Linotype"/>
          <w:color w:val="000000"/>
        </w:rPr>
        <w:t>,</w:t>
      </w:r>
      <w:r w:rsidRPr="00EE0056">
        <w:rPr>
          <w:rFonts w:ascii="Palatino Linotype" w:eastAsia="Palatino Linotype" w:hAnsi="Palatino Linotype" w:cs="Palatino Linotype"/>
          <w:b/>
          <w:bCs/>
          <w:color w:val="000000"/>
        </w:rPr>
        <w:t xml:space="preserve"> </w:t>
      </w:r>
      <w:r w:rsidRPr="00EE0056">
        <w:rPr>
          <w:rFonts w:ascii="Palatino Linotype" w:eastAsia="Palatino Linotype" w:hAnsi="Palatino Linotype" w:cs="Palatino Linotype"/>
          <w:color w:val="000000"/>
        </w:rPr>
        <w:t xml:space="preserve">se presentó ante el Sujeto Obligado vía Sistema de Acceso a la Información Mexiquense, en adelante SAIMEX, la siguiente </w:t>
      </w:r>
      <w:r w:rsidRPr="00EE0056">
        <w:rPr>
          <w:rFonts w:ascii="Palatino Linotype" w:eastAsia="Palatino Linotype" w:hAnsi="Palatino Linotype" w:cs="Palatino Linotype"/>
          <w:b/>
          <w:bCs/>
          <w:color w:val="000000"/>
        </w:rPr>
        <w:t>solicitud de información pública</w:t>
      </w:r>
      <w:r w:rsidRPr="00EE0056">
        <w:rPr>
          <w:rFonts w:ascii="Palatino Linotype" w:eastAsia="Palatino Linotype" w:hAnsi="Palatino Linotype" w:cs="Palatino Linotype"/>
          <w:color w:val="000000"/>
        </w:rPr>
        <w:t>:</w:t>
      </w:r>
    </w:p>
    <w:p w:rsidR="006B6A8C" w:rsidRPr="00EE0056" w:rsidRDefault="006B6A8C">
      <w:pPr>
        <w:pBdr>
          <w:top w:val="nil"/>
          <w:left w:val="nil"/>
          <w:bottom w:val="nil"/>
          <w:right w:val="nil"/>
          <w:between w:val="nil"/>
        </w:pBdr>
        <w:ind w:right="-788"/>
        <w:jc w:val="both"/>
        <w:rPr>
          <w:rFonts w:ascii="Palatino Linotype" w:eastAsia="Palatino Linotype" w:hAnsi="Palatino Linotype" w:cs="Palatino Linotype"/>
          <w:color w:val="000000"/>
        </w:rPr>
      </w:pPr>
    </w:p>
    <w:p w:rsidR="006B6A8C" w:rsidRPr="00EE0056" w:rsidRDefault="00DD6CA9">
      <w:pPr>
        <w:pBdr>
          <w:top w:val="nil"/>
          <w:left w:val="nil"/>
          <w:bottom w:val="nil"/>
          <w:right w:val="nil"/>
          <w:between w:val="nil"/>
        </w:pBdr>
        <w:ind w:left="567" w:right="-788"/>
        <w:jc w:val="both"/>
        <w:rPr>
          <w:rFonts w:ascii="Palatino Linotype" w:eastAsia="Palatino Linotype" w:hAnsi="Palatino Linotype" w:cs="Palatino Linotype"/>
          <w:i/>
          <w:iCs/>
          <w:color w:val="000000"/>
        </w:rPr>
      </w:pPr>
      <w:r w:rsidRPr="00EE0056">
        <w:rPr>
          <w:rFonts w:ascii="Palatino Linotype" w:eastAsia="Palatino Linotype" w:hAnsi="Palatino Linotype" w:cs="Palatino Linotype"/>
          <w:i/>
          <w:iCs/>
          <w:color w:val="000000"/>
        </w:rPr>
        <w:t xml:space="preserve"> “solicito TODOS los informes de auditorias que se han ejecutado durante el año 2025, por parte de la contraloría interna del OAPAS Naucalpan” (Sic)</w:t>
      </w:r>
    </w:p>
    <w:p w:rsidR="006B6A8C" w:rsidRPr="00EE0056" w:rsidRDefault="006B6A8C">
      <w:pPr>
        <w:pBdr>
          <w:top w:val="nil"/>
          <w:left w:val="nil"/>
          <w:bottom w:val="nil"/>
          <w:right w:val="nil"/>
          <w:between w:val="nil"/>
        </w:pBdr>
        <w:ind w:right="-787"/>
        <w:jc w:val="both"/>
        <w:rPr>
          <w:rFonts w:ascii="Palatino Linotype" w:eastAsia="Palatino Linotype" w:hAnsi="Palatino Linotype" w:cs="Palatino Linotype"/>
          <w:i/>
          <w:iCs/>
          <w:color w:val="000000"/>
        </w:rPr>
      </w:pPr>
    </w:p>
    <w:p w:rsidR="00EE0056" w:rsidRPr="00EE0056" w:rsidRDefault="00EE0056">
      <w:pPr>
        <w:pBdr>
          <w:top w:val="nil"/>
          <w:left w:val="nil"/>
          <w:bottom w:val="nil"/>
          <w:right w:val="nil"/>
          <w:between w:val="nil"/>
        </w:pBdr>
        <w:ind w:right="-787"/>
        <w:jc w:val="both"/>
        <w:rPr>
          <w:rFonts w:ascii="Palatino Linotype" w:eastAsia="Palatino Linotype" w:hAnsi="Palatino Linotype" w:cs="Palatino Linotype"/>
          <w:i/>
          <w:iCs/>
          <w:color w:val="000000"/>
        </w:rPr>
      </w:pPr>
    </w:p>
    <w:p w:rsidR="006B6A8C" w:rsidRPr="00EE0056" w:rsidRDefault="00DD6CA9">
      <w:pPr>
        <w:numPr>
          <w:ilvl w:val="0"/>
          <w:numId w:val="1"/>
        </w:numPr>
        <w:pBdr>
          <w:top w:val="nil"/>
          <w:left w:val="nil"/>
          <w:bottom w:val="nil"/>
          <w:right w:val="nil"/>
          <w:between w:val="nil"/>
        </w:pBdr>
        <w:tabs>
          <w:tab w:val="left" w:pos="0"/>
        </w:tabs>
        <w:spacing w:line="360" w:lineRule="auto"/>
        <w:ind w:left="709" w:right="-787"/>
        <w:jc w:val="both"/>
        <w:rPr>
          <w:rFonts w:ascii="Palatino Linotype" w:eastAsia="Palatino Linotype" w:hAnsi="Palatino Linotype" w:cs="Palatino Linotype"/>
          <w:color w:val="000000"/>
        </w:rPr>
      </w:pPr>
      <w:r w:rsidRPr="00EE0056">
        <w:rPr>
          <w:rFonts w:ascii="Palatino Linotype" w:eastAsia="Palatino Linotype" w:hAnsi="Palatino Linotype" w:cs="Palatino Linotype"/>
          <w:color w:val="000000"/>
        </w:rPr>
        <w:t xml:space="preserve">Se eligió como modalidad de entrega de la información: A través del </w:t>
      </w:r>
      <w:r w:rsidRPr="00EE0056">
        <w:rPr>
          <w:rFonts w:ascii="Palatino Linotype" w:eastAsia="Palatino Linotype" w:hAnsi="Palatino Linotype" w:cs="Palatino Linotype"/>
          <w:b/>
          <w:bCs/>
          <w:color w:val="000000"/>
        </w:rPr>
        <w:t>SAIMEX.</w:t>
      </w:r>
    </w:p>
    <w:p w:rsidR="006B6A8C" w:rsidRPr="00EE0056" w:rsidRDefault="006B6A8C">
      <w:pPr>
        <w:pBdr>
          <w:top w:val="nil"/>
          <w:left w:val="nil"/>
          <w:bottom w:val="nil"/>
          <w:right w:val="nil"/>
          <w:between w:val="nil"/>
        </w:pBdr>
        <w:tabs>
          <w:tab w:val="left" w:pos="0"/>
        </w:tabs>
        <w:spacing w:line="360" w:lineRule="auto"/>
        <w:ind w:right="-787"/>
        <w:jc w:val="both"/>
        <w:rPr>
          <w:rFonts w:ascii="Palatino Linotype" w:eastAsia="Palatino Linotype" w:hAnsi="Palatino Linotype" w:cs="Palatino Linotype"/>
          <w:color w:val="000000"/>
        </w:rPr>
      </w:pPr>
    </w:p>
    <w:p w:rsidR="006B6A8C" w:rsidRPr="00EE0056" w:rsidRDefault="00DD6CA9">
      <w:pPr>
        <w:numPr>
          <w:ilvl w:val="0"/>
          <w:numId w:val="2"/>
        </w:numPr>
        <w:pBdr>
          <w:top w:val="nil"/>
          <w:left w:val="nil"/>
          <w:bottom w:val="nil"/>
          <w:right w:val="nil"/>
          <w:between w:val="nil"/>
        </w:pBdr>
        <w:tabs>
          <w:tab w:val="left" w:pos="0"/>
        </w:tabs>
        <w:spacing w:line="360" w:lineRule="auto"/>
        <w:ind w:left="0" w:right="-787" w:firstLine="0"/>
        <w:jc w:val="both"/>
        <w:rPr>
          <w:rFonts w:ascii="Palatino Linotype" w:eastAsia="Palatino Linotype" w:hAnsi="Palatino Linotype" w:cs="Palatino Linotype"/>
          <w:color w:val="000000"/>
        </w:rPr>
      </w:pPr>
      <w:r w:rsidRPr="00EE0056">
        <w:rPr>
          <w:rFonts w:ascii="Palatino Linotype" w:eastAsia="Palatino Linotype" w:hAnsi="Palatino Linotype" w:cs="Palatino Linotype"/>
          <w:color w:val="000000"/>
        </w:rPr>
        <w:lastRenderedPageBreak/>
        <w:t>El</w:t>
      </w:r>
      <w:r w:rsidRPr="00EE0056">
        <w:rPr>
          <w:rFonts w:ascii="Palatino Linotype" w:eastAsia="Palatino Linotype" w:hAnsi="Palatino Linotype" w:cs="Palatino Linotype"/>
          <w:b/>
          <w:bCs/>
          <w:color w:val="000000"/>
        </w:rPr>
        <w:t xml:space="preserve"> cuatro de noviembre de dos mil veinticinco</w:t>
      </w:r>
      <w:r w:rsidRPr="00EE0056">
        <w:rPr>
          <w:rFonts w:ascii="Palatino Linotype" w:eastAsia="Palatino Linotype" w:hAnsi="Palatino Linotype" w:cs="Palatino Linotype"/>
          <w:color w:val="000000"/>
        </w:rPr>
        <w:t>, el Sujeto Obligado</w:t>
      </w:r>
      <w:r w:rsidRPr="00EE0056">
        <w:rPr>
          <w:rFonts w:ascii="Palatino Linotype" w:eastAsia="Palatino Linotype" w:hAnsi="Palatino Linotype" w:cs="Palatino Linotype"/>
          <w:b/>
          <w:bCs/>
          <w:color w:val="000000"/>
        </w:rPr>
        <w:t>,</w:t>
      </w:r>
      <w:r w:rsidRPr="00EE0056">
        <w:rPr>
          <w:rFonts w:ascii="Palatino Linotype" w:eastAsia="Palatino Linotype" w:hAnsi="Palatino Linotype" w:cs="Palatino Linotype"/>
          <w:color w:val="000000"/>
        </w:rPr>
        <w:t xml:space="preserve"> dio </w:t>
      </w:r>
      <w:r w:rsidRPr="00EE0056">
        <w:rPr>
          <w:rFonts w:ascii="Palatino Linotype" w:eastAsia="Palatino Linotype" w:hAnsi="Palatino Linotype" w:cs="Palatino Linotype"/>
          <w:b/>
          <w:bCs/>
          <w:color w:val="000000"/>
        </w:rPr>
        <w:t>respuesta</w:t>
      </w:r>
      <w:r w:rsidRPr="00EE0056">
        <w:rPr>
          <w:rFonts w:ascii="Palatino Linotype" w:eastAsia="Palatino Linotype" w:hAnsi="Palatino Linotype" w:cs="Palatino Linotype"/>
          <w:color w:val="000000"/>
        </w:rPr>
        <w:t xml:space="preserve"> a través del siguiente archivo electrónico</w:t>
      </w:r>
      <w:r w:rsidRPr="00EE0056">
        <w:rPr>
          <w:rFonts w:ascii="Palatino Linotype" w:eastAsia="Palatino Linotype" w:hAnsi="Palatino Linotype" w:cs="Palatino Linotype"/>
          <w:b/>
          <w:bCs/>
          <w:i/>
          <w:iCs/>
          <w:color w:val="000000"/>
        </w:rPr>
        <w:t>:</w:t>
      </w:r>
    </w:p>
    <w:p w:rsidR="006B6A8C" w:rsidRPr="00EE0056" w:rsidRDefault="006B6A8C">
      <w:pPr>
        <w:pBdr>
          <w:top w:val="nil"/>
          <w:left w:val="nil"/>
          <w:bottom w:val="nil"/>
          <w:right w:val="nil"/>
          <w:between w:val="nil"/>
        </w:pBdr>
        <w:tabs>
          <w:tab w:val="left" w:pos="0"/>
        </w:tabs>
        <w:spacing w:line="360" w:lineRule="auto"/>
        <w:ind w:right="-787"/>
        <w:jc w:val="both"/>
        <w:rPr>
          <w:rFonts w:ascii="Palatino Linotype" w:eastAsia="Palatino Linotype" w:hAnsi="Palatino Linotype" w:cs="Palatino Linotype"/>
          <w:color w:val="000000"/>
        </w:rPr>
      </w:pPr>
    </w:p>
    <w:p w:rsidR="006B6A8C" w:rsidRPr="00EE0056" w:rsidRDefault="00DD6CA9">
      <w:pPr>
        <w:pBdr>
          <w:top w:val="nil"/>
          <w:left w:val="nil"/>
          <w:bottom w:val="nil"/>
          <w:right w:val="nil"/>
          <w:between w:val="nil"/>
        </w:pBdr>
        <w:tabs>
          <w:tab w:val="left" w:pos="567"/>
        </w:tabs>
        <w:ind w:left="567" w:right="62"/>
        <w:jc w:val="both"/>
        <w:rPr>
          <w:rFonts w:ascii="Palatino Linotype" w:eastAsia="Palatino Linotype" w:hAnsi="Palatino Linotype" w:cs="Palatino Linotype"/>
          <w:b/>
          <w:bCs/>
          <w:i/>
          <w:iCs/>
          <w:color w:val="000000"/>
        </w:rPr>
      </w:pPr>
      <w:r w:rsidRPr="00EE0056">
        <w:rPr>
          <w:rFonts w:ascii="Palatino Linotype" w:eastAsia="Palatino Linotype" w:hAnsi="Palatino Linotype" w:cs="Palatino Linotype"/>
          <w:b/>
          <w:bCs/>
          <w:i/>
          <w:iCs/>
          <w:color w:val="000000"/>
        </w:rPr>
        <w:t>SGT O 438 2025.pdf</w:t>
      </w:r>
    </w:p>
    <w:p w:rsidR="006B6A8C" w:rsidRPr="00EE0056" w:rsidRDefault="00DD6CA9">
      <w:pPr>
        <w:pBdr>
          <w:top w:val="nil"/>
          <w:left w:val="nil"/>
          <w:bottom w:val="nil"/>
          <w:right w:val="nil"/>
          <w:between w:val="nil"/>
        </w:pBdr>
        <w:tabs>
          <w:tab w:val="left" w:pos="567"/>
        </w:tabs>
        <w:ind w:left="567" w:right="62"/>
        <w:jc w:val="both"/>
        <w:rPr>
          <w:rFonts w:ascii="Palatino Linotype" w:eastAsia="Palatino Linotype" w:hAnsi="Palatino Linotype" w:cs="Palatino Linotype"/>
          <w:color w:val="000000"/>
        </w:rPr>
      </w:pPr>
      <w:r w:rsidRPr="00EE0056">
        <w:rPr>
          <w:rFonts w:ascii="Palatino Linotype" w:eastAsia="Palatino Linotype" w:hAnsi="Palatino Linotype" w:cs="Palatino Linotype"/>
          <w:color w:val="000000"/>
        </w:rPr>
        <w:t>Oficio SGT/0/438/2025 de fecha 04 de noviembre de 2025, firmado por la Subgerente de Transparencia, a través del cual refiere lo siguiente:</w:t>
      </w:r>
    </w:p>
    <w:p w:rsidR="006B6A8C" w:rsidRPr="00EE0056" w:rsidRDefault="006B6A8C">
      <w:pPr>
        <w:pBdr>
          <w:top w:val="nil"/>
          <w:left w:val="nil"/>
          <w:bottom w:val="nil"/>
          <w:right w:val="nil"/>
          <w:between w:val="nil"/>
        </w:pBdr>
        <w:tabs>
          <w:tab w:val="left" w:pos="567"/>
        </w:tabs>
        <w:ind w:left="567" w:right="62"/>
        <w:jc w:val="both"/>
        <w:rPr>
          <w:rFonts w:ascii="Palatino Linotype" w:eastAsia="Palatino Linotype" w:hAnsi="Palatino Linotype" w:cs="Palatino Linotype"/>
          <w:color w:val="000000"/>
        </w:rPr>
      </w:pPr>
    </w:p>
    <w:p w:rsidR="006B6A8C" w:rsidRPr="00EE0056" w:rsidRDefault="006B6A8C">
      <w:pPr>
        <w:pBdr>
          <w:top w:val="nil"/>
          <w:left w:val="nil"/>
          <w:bottom w:val="nil"/>
          <w:right w:val="nil"/>
          <w:between w:val="nil"/>
        </w:pBdr>
        <w:tabs>
          <w:tab w:val="left" w:pos="567"/>
        </w:tabs>
        <w:ind w:left="567" w:right="62"/>
        <w:jc w:val="both"/>
        <w:rPr>
          <w:rFonts w:ascii="Palatino Linotype" w:eastAsia="Palatino Linotype" w:hAnsi="Palatino Linotype" w:cs="Palatino Linotype"/>
          <w:color w:val="000000"/>
        </w:rPr>
      </w:pPr>
    </w:p>
    <w:p w:rsidR="006B6A8C" w:rsidRPr="00EE0056" w:rsidRDefault="00DD6CA9">
      <w:pPr>
        <w:pBdr>
          <w:top w:val="nil"/>
          <w:left w:val="nil"/>
          <w:bottom w:val="nil"/>
          <w:right w:val="nil"/>
          <w:between w:val="nil"/>
        </w:pBdr>
        <w:tabs>
          <w:tab w:val="left" w:pos="567"/>
        </w:tabs>
        <w:ind w:left="567" w:right="62"/>
        <w:jc w:val="both"/>
        <w:rPr>
          <w:rFonts w:ascii="Palatino Linotype" w:eastAsia="Palatino Linotype" w:hAnsi="Palatino Linotype" w:cs="Palatino Linotype"/>
          <w:i/>
          <w:iCs/>
          <w:color w:val="000000"/>
        </w:rPr>
      </w:pPr>
      <w:r w:rsidRPr="00EE0056">
        <w:rPr>
          <w:rFonts w:ascii="Palatino Linotype" w:eastAsia="Palatino Linotype" w:hAnsi="Palatino Linotype" w:cs="Palatino Linotype"/>
          <w:i/>
          <w:iCs/>
          <w:color w:val="000000"/>
        </w:rPr>
        <w:t xml:space="preserve">“… una vez realizado el proceso interno para la obtención de la información, siendo ésta solicitada a la Contraloría Interna por ser considerado de sus facultades y atribuciones, quienes responden de la siguiente manera: </w:t>
      </w:r>
    </w:p>
    <w:p w:rsidR="006B6A8C" w:rsidRPr="00EE0056" w:rsidRDefault="006B6A8C">
      <w:pPr>
        <w:pBdr>
          <w:top w:val="nil"/>
          <w:left w:val="nil"/>
          <w:bottom w:val="nil"/>
          <w:right w:val="nil"/>
          <w:between w:val="nil"/>
        </w:pBdr>
        <w:tabs>
          <w:tab w:val="left" w:pos="567"/>
        </w:tabs>
        <w:ind w:left="567" w:right="62"/>
        <w:jc w:val="both"/>
        <w:rPr>
          <w:rFonts w:ascii="Palatino Linotype" w:eastAsia="Palatino Linotype" w:hAnsi="Palatino Linotype" w:cs="Palatino Linotype"/>
          <w:i/>
          <w:iCs/>
          <w:color w:val="000000"/>
        </w:rPr>
      </w:pPr>
    </w:p>
    <w:p w:rsidR="006B6A8C" w:rsidRPr="00EE0056" w:rsidRDefault="00DD6CA9">
      <w:pPr>
        <w:pBdr>
          <w:top w:val="nil"/>
          <w:left w:val="nil"/>
          <w:bottom w:val="nil"/>
          <w:right w:val="nil"/>
          <w:between w:val="nil"/>
        </w:pBdr>
        <w:tabs>
          <w:tab w:val="left" w:pos="567"/>
        </w:tabs>
        <w:ind w:left="567" w:right="62"/>
        <w:jc w:val="both"/>
        <w:rPr>
          <w:rFonts w:ascii="Palatino Linotype" w:eastAsia="Palatino Linotype" w:hAnsi="Palatino Linotype" w:cs="Palatino Linotype"/>
          <w:i/>
          <w:iCs/>
          <w:color w:val="000000"/>
        </w:rPr>
      </w:pPr>
      <w:r w:rsidRPr="00EE0056">
        <w:rPr>
          <w:rFonts w:ascii="Palatino Linotype" w:eastAsia="Palatino Linotype" w:hAnsi="Palatino Linotype" w:cs="Palatino Linotype"/>
          <w:i/>
          <w:iCs/>
          <w:color w:val="000000"/>
        </w:rPr>
        <w:t xml:space="preserve">El </w:t>
      </w:r>
      <w:r w:rsidRPr="00EE0056">
        <w:rPr>
          <w:rFonts w:ascii="Palatino Linotype" w:eastAsia="Palatino Linotype" w:hAnsi="Palatino Linotype" w:cs="Palatino Linotype"/>
          <w:b/>
          <w:bCs/>
          <w:i/>
          <w:iCs/>
          <w:color w:val="000000"/>
        </w:rPr>
        <w:t>informe de resultados de las Auditorias CI/A/AC/03/2025 у CI/A/AA/04/2025 actualmente se encuentran en curso</w:t>
      </w:r>
      <w:r w:rsidRPr="00EE0056">
        <w:rPr>
          <w:rFonts w:ascii="Palatino Linotype" w:eastAsia="Palatino Linotype" w:hAnsi="Palatino Linotype" w:cs="Palatino Linotype"/>
          <w:i/>
          <w:iCs/>
          <w:color w:val="000000"/>
        </w:rPr>
        <w:t xml:space="preserve">, las cuales serán publicadas una vez finalizadas, mientras que </w:t>
      </w:r>
      <w:r w:rsidRPr="00EE0056">
        <w:rPr>
          <w:rFonts w:ascii="Palatino Linotype" w:eastAsia="Palatino Linotype" w:hAnsi="Palatino Linotype" w:cs="Palatino Linotype"/>
          <w:b/>
          <w:bCs/>
          <w:i/>
          <w:iCs/>
          <w:color w:val="000000"/>
        </w:rPr>
        <w:t>las Auditorias CI/A/AA/01/2025 y CI/A/AA/02/2025, todas ellas contenidas en el Programa Anual de Auditoria 2025, por los resultados de auditorías</w:t>
      </w:r>
      <w:r w:rsidRPr="00EE0056">
        <w:rPr>
          <w:rFonts w:ascii="Palatino Linotype" w:eastAsia="Palatino Linotype" w:hAnsi="Palatino Linotype" w:cs="Palatino Linotype"/>
          <w:i/>
          <w:iCs/>
          <w:color w:val="000000"/>
        </w:rPr>
        <w:t xml:space="preserve"> realizadas de conformidad con la fracción XXVIII del artículo 92 de la Ley de Transparencia y Acceso a la Información Pública del Estado de México y Municipios, </w:t>
      </w:r>
      <w:r w:rsidRPr="00EE0056">
        <w:rPr>
          <w:rFonts w:ascii="Palatino Linotype" w:eastAsia="Palatino Linotype" w:hAnsi="Palatino Linotype" w:cs="Palatino Linotype"/>
          <w:b/>
          <w:bCs/>
          <w:i/>
          <w:iCs/>
          <w:color w:val="000000"/>
        </w:rPr>
        <w:t>en su versión pública se encuentra disponible en</w:t>
      </w:r>
      <w:r w:rsidRPr="00EE0056">
        <w:rPr>
          <w:rFonts w:ascii="Palatino Linotype" w:eastAsia="Palatino Linotype" w:hAnsi="Palatino Linotype" w:cs="Palatino Linotype"/>
          <w:i/>
          <w:iCs/>
          <w:color w:val="000000"/>
        </w:rPr>
        <w:t>:” (Sic)</w:t>
      </w:r>
    </w:p>
    <w:p w:rsidR="006B6A8C" w:rsidRPr="00EE0056" w:rsidRDefault="006B6A8C">
      <w:pPr>
        <w:pBdr>
          <w:top w:val="nil"/>
          <w:left w:val="nil"/>
          <w:bottom w:val="nil"/>
          <w:right w:val="nil"/>
          <w:between w:val="nil"/>
        </w:pBdr>
        <w:tabs>
          <w:tab w:val="left" w:pos="567"/>
        </w:tabs>
        <w:ind w:left="567" w:right="62"/>
        <w:jc w:val="both"/>
        <w:rPr>
          <w:rFonts w:ascii="Palatino Linotype" w:eastAsia="Palatino Linotype" w:hAnsi="Palatino Linotype" w:cs="Palatino Linotype"/>
          <w:color w:val="000000"/>
        </w:rPr>
      </w:pPr>
    </w:p>
    <w:p w:rsidR="006B6A8C" w:rsidRPr="00EE0056" w:rsidRDefault="00DD6CA9">
      <w:pPr>
        <w:pBdr>
          <w:top w:val="nil"/>
          <w:left w:val="nil"/>
          <w:bottom w:val="nil"/>
          <w:right w:val="nil"/>
          <w:between w:val="nil"/>
        </w:pBdr>
        <w:tabs>
          <w:tab w:val="left" w:pos="567"/>
        </w:tabs>
        <w:ind w:left="567" w:right="62"/>
        <w:jc w:val="center"/>
        <w:rPr>
          <w:rFonts w:ascii="Palatino Linotype" w:eastAsia="Palatino Linotype" w:hAnsi="Palatino Linotype" w:cs="Palatino Linotype"/>
          <w:color w:val="000000"/>
        </w:rPr>
      </w:pPr>
      <w:r w:rsidRPr="00EE0056">
        <w:rPr>
          <w:rFonts w:ascii="Palatino Linotype" w:eastAsia="Palatino Linotype" w:hAnsi="Palatino Linotype" w:cs="Palatino Linotype"/>
          <w:noProof/>
          <w:color w:val="000000"/>
          <w:lang w:val="es-MX"/>
        </w:rPr>
        <w:drawing>
          <wp:inline distT="0" distB="0" distL="0" distR="0">
            <wp:extent cx="3738412" cy="374692"/>
            <wp:effectExtent l="0" t="0" r="0" b="0"/>
            <wp:docPr id="1"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8"/>
                    <a:srcRect/>
                    <a:stretch>
                      <a:fillRect/>
                    </a:stretch>
                  </pic:blipFill>
                  <pic:spPr>
                    <a:xfrm>
                      <a:off x="0" y="0"/>
                      <a:ext cx="3738412" cy="374692"/>
                    </a:xfrm>
                    <a:prstGeom prst="rect">
                      <a:avLst/>
                    </a:prstGeom>
                    <a:ln/>
                  </pic:spPr>
                </pic:pic>
              </a:graphicData>
            </a:graphic>
          </wp:inline>
        </w:drawing>
      </w:r>
    </w:p>
    <w:p w:rsidR="006B6A8C" w:rsidRPr="00EE0056" w:rsidRDefault="00DD6CA9">
      <w:pPr>
        <w:pBdr>
          <w:top w:val="nil"/>
          <w:left w:val="nil"/>
          <w:bottom w:val="nil"/>
          <w:right w:val="nil"/>
          <w:between w:val="nil"/>
        </w:pBdr>
        <w:tabs>
          <w:tab w:val="left" w:pos="567"/>
        </w:tabs>
        <w:ind w:left="567" w:right="62"/>
        <w:jc w:val="both"/>
        <w:rPr>
          <w:rFonts w:ascii="Palatino Linotype" w:eastAsia="Palatino Linotype" w:hAnsi="Palatino Linotype" w:cs="Palatino Linotype"/>
          <w:color w:val="000000"/>
        </w:rPr>
      </w:pPr>
      <w:r w:rsidRPr="00EE0056">
        <w:rPr>
          <w:rFonts w:ascii="Palatino Linotype" w:eastAsia="Palatino Linotype" w:hAnsi="Palatino Linotype" w:cs="Palatino Linotype"/>
          <w:color w:val="000000"/>
        </w:rPr>
        <w:t>La liga fue proporcionada en formato cerrado.</w:t>
      </w:r>
    </w:p>
    <w:p w:rsidR="006B6A8C" w:rsidRPr="00EE0056" w:rsidRDefault="006B6A8C">
      <w:pPr>
        <w:pBdr>
          <w:top w:val="nil"/>
          <w:left w:val="nil"/>
          <w:bottom w:val="nil"/>
          <w:right w:val="nil"/>
          <w:between w:val="nil"/>
        </w:pBdr>
        <w:tabs>
          <w:tab w:val="left" w:pos="567"/>
        </w:tabs>
        <w:ind w:left="567" w:right="62"/>
        <w:jc w:val="both"/>
        <w:rPr>
          <w:rFonts w:ascii="Palatino Linotype" w:eastAsia="Palatino Linotype" w:hAnsi="Palatino Linotype" w:cs="Palatino Linotype"/>
          <w:color w:val="000000"/>
        </w:rPr>
      </w:pPr>
    </w:p>
    <w:p w:rsidR="006B6A8C" w:rsidRPr="00EE0056" w:rsidRDefault="006B6A8C">
      <w:pPr>
        <w:pBdr>
          <w:top w:val="nil"/>
          <w:left w:val="nil"/>
          <w:bottom w:val="nil"/>
          <w:right w:val="nil"/>
          <w:between w:val="nil"/>
        </w:pBdr>
        <w:tabs>
          <w:tab w:val="left" w:pos="567"/>
        </w:tabs>
        <w:ind w:right="62"/>
        <w:jc w:val="both"/>
        <w:rPr>
          <w:rFonts w:ascii="Palatino Linotype" w:eastAsia="Palatino Linotype" w:hAnsi="Palatino Linotype" w:cs="Palatino Linotype"/>
          <w:b/>
          <w:bCs/>
        </w:rPr>
      </w:pPr>
    </w:p>
    <w:p w:rsidR="006B6A8C" w:rsidRPr="00EE0056" w:rsidRDefault="00DD6CA9">
      <w:pPr>
        <w:numPr>
          <w:ilvl w:val="0"/>
          <w:numId w:val="2"/>
        </w:numPr>
        <w:pBdr>
          <w:top w:val="nil"/>
          <w:left w:val="nil"/>
          <w:bottom w:val="nil"/>
          <w:right w:val="nil"/>
          <w:between w:val="nil"/>
        </w:pBdr>
        <w:tabs>
          <w:tab w:val="left" w:pos="0"/>
        </w:tabs>
        <w:spacing w:line="360" w:lineRule="auto"/>
        <w:ind w:left="0" w:right="-787" w:firstLine="0"/>
        <w:jc w:val="both"/>
        <w:rPr>
          <w:rFonts w:ascii="Palatino Linotype" w:eastAsia="Palatino Linotype" w:hAnsi="Palatino Linotype" w:cs="Palatino Linotype"/>
          <w:color w:val="000000"/>
        </w:rPr>
      </w:pPr>
      <w:r w:rsidRPr="00EE0056">
        <w:rPr>
          <w:rFonts w:ascii="Palatino Linotype" w:eastAsia="Palatino Linotype" w:hAnsi="Palatino Linotype" w:cs="Palatino Linotype"/>
          <w:color w:val="000000"/>
        </w:rPr>
        <w:t>El</w:t>
      </w:r>
      <w:r w:rsidRPr="00EE0056">
        <w:rPr>
          <w:rFonts w:ascii="Palatino Linotype" w:eastAsia="Palatino Linotype" w:hAnsi="Palatino Linotype" w:cs="Palatino Linotype"/>
          <w:b/>
          <w:bCs/>
          <w:color w:val="000000"/>
        </w:rPr>
        <w:t xml:space="preserve"> diez de noviembre de dos mil veinticinco</w:t>
      </w:r>
      <w:r w:rsidRPr="00EE0056">
        <w:rPr>
          <w:rFonts w:ascii="Palatino Linotype" w:eastAsia="Palatino Linotype" w:hAnsi="Palatino Linotype" w:cs="Palatino Linotype"/>
          <w:color w:val="000000"/>
        </w:rPr>
        <w:t xml:space="preserve">, el particular interpuso el </w:t>
      </w:r>
      <w:r w:rsidRPr="00EE0056">
        <w:rPr>
          <w:rFonts w:ascii="Palatino Linotype" w:eastAsia="Palatino Linotype" w:hAnsi="Palatino Linotype" w:cs="Palatino Linotype"/>
          <w:b/>
          <w:bCs/>
          <w:color w:val="000000"/>
        </w:rPr>
        <w:t>recurso de revisión</w:t>
      </w:r>
      <w:r w:rsidRPr="00EE0056">
        <w:rPr>
          <w:rFonts w:ascii="Palatino Linotype" w:eastAsia="Palatino Linotype" w:hAnsi="Palatino Linotype" w:cs="Palatino Linotype"/>
          <w:color w:val="000000"/>
        </w:rPr>
        <w:t xml:space="preserve"> al que se le asignó el folio </w:t>
      </w:r>
      <w:r w:rsidRPr="00EE0056">
        <w:rPr>
          <w:rFonts w:ascii="Palatino Linotype" w:eastAsia="Palatino Linotype" w:hAnsi="Palatino Linotype" w:cs="Palatino Linotype"/>
          <w:b/>
          <w:bCs/>
          <w:color w:val="000000"/>
        </w:rPr>
        <w:t xml:space="preserve">12968/INFOEM/IP/RR/2025 </w:t>
      </w:r>
      <w:r w:rsidRPr="00EE0056">
        <w:rPr>
          <w:rFonts w:ascii="Palatino Linotype" w:eastAsia="Palatino Linotype" w:hAnsi="Palatino Linotype" w:cs="Palatino Linotype"/>
          <w:color w:val="000000"/>
        </w:rPr>
        <w:t>en contra de la respuesta emitida por el sujeto obligado, realizando las siguientes manifestaciones como acto impugnado y razones o motivos de inconformidad:</w:t>
      </w:r>
    </w:p>
    <w:p w:rsidR="006B6A8C" w:rsidRPr="00EE0056" w:rsidRDefault="006B6A8C">
      <w:pPr>
        <w:pBdr>
          <w:top w:val="nil"/>
          <w:left w:val="nil"/>
          <w:bottom w:val="nil"/>
          <w:right w:val="nil"/>
          <w:between w:val="nil"/>
        </w:pBdr>
        <w:tabs>
          <w:tab w:val="left" w:pos="0"/>
        </w:tabs>
        <w:ind w:left="357" w:right="-788"/>
        <w:jc w:val="both"/>
        <w:rPr>
          <w:rFonts w:ascii="Palatino Linotype" w:eastAsia="Palatino Linotype" w:hAnsi="Palatino Linotype" w:cs="Palatino Linotype"/>
          <w:color w:val="000000"/>
        </w:rPr>
      </w:pPr>
    </w:p>
    <w:p w:rsidR="006B6A8C" w:rsidRPr="00EE0056" w:rsidRDefault="00DD6CA9">
      <w:pPr>
        <w:pBdr>
          <w:top w:val="nil"/>
          <w:left w:val="nil"/>
          <w:bottom w:val="nil"/>
          <w:right w:val="nil"/>
          <w:between w:val="nil"/>
        </w:pBdr>
        <w:ind w:left="851" w:right="-787"/>
        <w:jc w:val="both"/>
        <w:rPr>
          <w:rFonts w:ascii="Palatino Linotype" w:eastAsia="Palatino Linotype" w:hAnsi="Palatino Linotype" w:cs="Palatino Linotype"/>
          <w:i/>
          <w:iCs/>
          <w:color w:val="000000"/>
        </w:rPr>
      </w:pPr>
      <w:bookmarkStart w:id="2" w:name="_heading=h.30j0zll" w:colFirst="0" w:colLast="0"/>
      <w:bookmarkEnd w:id="2"/>
      <w:r w:rsidRPr="00EE0056">
        <w:rPr>
          <w:rFonts w:ascii="Palatino Linotype" w:eastAsia="Palatino Linotype" w:hAnsi="Palatino Linotype" w:cs="Palatino Linotype"/>
          <w:b/>
          <w:bCs/>
          <w:color w:val="000000"/>
        </w:rPr>
        <w:t xml:space="preserve">Acto impugnado: </w:t>
      </w:r>
      <w:r w:rsidRPr="00EE0056">
        <w:rPr>
          <w:rFonts w:ascii="Palatino Linotype" w:eastAsia="Palatino Linotype" w:hAnsi="Palatino Linotype" w:cs="Palatino Linotype"/>
          <w:i/>
          <w:iCs/>
          <w:color w:val="000000"/>
        </w:rPr>
        <w:t>“NO REMITEN LA INFORMACIÓN SOLICITADA” (Sic)</w:t>
      </w:r>
    </w:p>
    <w:p w:rsidR="006B6A8C" w:rsidRPr="00EE0056" w:rsidRDefault="006B6A8C">
      <w:pPr>
        <w:pBdr>
          <w:top w:val="nil"/>
          <w:left w:val="nil"/>
          <w:bottom w:val="nil"/>
          <w:right w:val="nil"/>
          <w:between w:val="nil"/>
        </w:pBdr>
        <w:ind w:left="851" w:right="-787"/>
        <w:jc w:val="both"/>
        <w:rPr>
          <w:rFonts w:ascii="Palatino Linotype" w:eastAsia="Palatino Linotype" w:hAnsi="Palatino Linotype" w:cs="Palatino Linotype"/>
          <w:i/>
          <w:iCs/>
          <w:color w:val="000000"/>
        </w:rPr>
      </w:pPr>
    </w:p>
    <w:p w:rsidR="006B6A8C" w:rsidRPr="00EE0056" w:rsidRDefault="00DD6CA9">
      <w:pPr>
        <w:pBdr>
          <w:top w:val="nil"/>
          <w:left w:val="nil"/>
          <w:bottom w:val="nil"/>
          <w:right w:val="nil"/>
          <w:between w:val="nil"/>
        </w:pBdr>
        <w:ind w:left="851" w:right="-79"/>
        <w:jc w:val="both"/>
        <w:rPr>
          <w:rFonts w:ascii="Palatino Linotype" w:eastAsia="Palatino Linotype" w:hAnsi="Palatino Linotype" w:cs="Palatino Linotype"/>
          <w:color w:val="000000"/>
        </w:rPr>
      </w:pPr>
      <w:bookmarkStart w:id="3" w:name="_heading=h.1fob9te" w:colFirst="0" w:colLast="0"/>
      <w:bookmarkEnd w:id="3"/>
      <w:r w:rsidRPr="00EE0056">
        <w:rPr>
          <w:rFonts w:ascii="Palatino Linotype" w:eastAsia="Palatino Linotype" w:hAnsi="Palatino Linotype" w:cs="Palatino Linotype"/>
          <w:b/>
          <w:bCs/>
          <w:color w:val="000000"/>
        </w:rPr>
        <w:t xml:space="preserve">Razones o Motivos de inconformidad: </w:t>
      </w:r>
      <w:r w:rsidRPr="00EE0056">
        <w:rPr>
          <w:rFonts w:ascii="Palatino Linotype" w:eastAsia="Palatino Linotype" w:hAnsi="Palatino Linotype" w:cs="Palatino Linotype"/>
          <w:i/>
          <w:iCs/>
          <w:color w:val="000000"/>
        </w:rPr>
        <w:t xml:space="preserve">“LA LIGA QUE ANEXAN NO CONTIENE FLA VISUALACIÓN DE LOS INFORMES DE AUDITORÍA SOLICITADOS” </w:t>
      </w:r>
      <w:r w:rsidRPr="00EE0056">
        <w:rPr>
          <w:rFonts w:ascii="Palatino Linotype" w:eastAsia="Palatino Linotype" w:hAnsi="Palatino Linotype" w:cs="Palatino Linotype"/>
          <w:color w:val="000000"/>
        </w:rPr>
        <w:t>(Sic)</w:t>
      </w:r>
    </w:p>
    <w:p w:rsidR="006B6A8C" w:rsidRPr="00EE0056" w:rsidRDefault="006B6A8C">
      <w:pPr>
        <w:pBdr>
          <w:top w:val="nil"/>
          <w:left w:val="nil"/>
          <w:bottom w:val="nil"/>
          <w:right w:val="nil"/>
          <w:between w:val="nil"/>
        </w:pBdr>
        <w:ind w:left="851" w:right="-79"/>
        <w:jc w:val="both"/>
        <w:rPr>
          <w:rFonts w:ascii="Palatino Linotype" w:eastAsia="Palatino Linotype" w:hAnsi="Palatino Linotype" w:cs="Palatino Linotype"/>
          <w:color w:val="000000"/>
        </w:rPr>
      </w:pPr>
    </w:p>
    <w:p w:rsidR="006B6A8C" w:rsidRPr="00EE0056" w:rsidRDefault="00DD6CA9">
      <w:pPr>
        <w:pBdr>
          <w:top w:val="nil"/>
          <w:left w:val="nil"/>
          <w:bottom w:val="nil"/>
          <w:right w:val="nil"/>
          <w:between w:val="nil"/>
        </w:pBdr>
        <w:ind w:left="851" w:right="-79"/>
        <w:jc w:val="both"/>
        <w:rPr>
          <w:rFonts w:ascii="Palatino Linotype" w:eastAsia="Palatino Linotype" w:hAnsi="Palatino Linotype" w:cs="Palatino Linotype"/>
          <w:i/>
          <w:iCs/>
          <w:color w:val="000000"/>
        </w:rPr>
      </w:pPr>
      <w:r w:rsidRPr="00EE0056">
        <w:rPr>
          <w:rFonts w:ascii="Palatino Linotype" w:eastAsia="Palatino Linotype" w:hAnsi="Palatino Linotype" w:cs="Palatino Linotype"/>
          <w:color w:val="000000"/>
        </w:rPr>
        <w:t>Se adjunta la respuesta proporcionada.</w:t>
      </w:r>
    </w:p>
    <w:p w:rsidR="006B6A8C" w:rsidRPr="00EE0056" w:rsidRDefault="006B6A8C">
      <w:pPr>
        <w:pBdr>
          <w:top w:val="nil"/>
          <w:left w:val="nil"/>
          <w:bottom w:val="nil"/>
          <w:right w:val="nil"/>
          <w:between w:val="nil"/>
        </w:pBdr>
        <w:tabs>
          <w:tab w:val="left" w:pos="0"/>
        </w:tabs>
        <w:spacing w:line="360" w:lineRule="auto"/>
        <w:ind w:right="-787"/>
        <w:jc w:val="both"/>
        <w:rPr>
          <w:rFonts w:ascii="Palatino Linotype" w:eastAsia="Palatino Linotype" w:hAnsi="Palatino Linotype" w:cs="Palatino Linotype"/>
          <w:i/>
          <w:iCs/>
          <w:color w:val="000000"/>
          <w:u w:val="single"/>
        </w:rPr>
      </w:pPr>
    </w:p>
    <w:p w:rsidR="006B6A8C" w:rsidRPr="00EE0056" w:rsidRDefault="00DD6CA9">
      <w:pPr>
        <w:numPr>
          <w:ilvl w:val="0"/>
          <w:numId w:val="2"/>
        </w:numPr>
        <w:pBdr>
          <w:top w:val="nil"/>
          <w:left w:val="nil"/>
          <w:bottom w:val="nil"/>
          <w:right w:val="nil"/>
          <w:between w:val="nil"/>
        </w:pBdr>
        <w:tabs>
          <w:tab w:val="left" w:pos="0"/>
        </w:tabs>
        <w:spacing w:line="360" w:lineRule="auto"/>
        <w:ind w:left="0" w:right="-787" w:firstLine="0"/>
        <w:jc w:val="both"/>
        <w:rPr>
          <w:rFonts w:ascii="Palatino Linotype" w:eastAsia="Palatino Linotype" w:hAnsi="Palatino Linotype" w:cs="Palatino Linotype"/>
          <w:color w:val="000000"/>
        </w:rPr>
      </w:pPr>
      <w:r w:rsidRPr="00EE0056">
        <w:rPr>
          <w:rFonts w:ascii="Palatino Linotype" w:eastAsia="Palatino Linotype" w:hAnsi="Palatino Linotype" w:cs="Palatino Linotype"/>
          <w:color w:val="000000"/>
        </w:rPr>
        <w:t xml:space="preserve">La Comisionada Ponente con fundamento en lo dispuesto por el artículo 185, fracción II, de la ley de la materia, a través del </w:t>
      </w:r>
      <w:r w:rsidRPr="00EE0056">
        <w:rPr>
          <w:rFonts w:ascii="Palatino Linotype" w:eastAsia="Palatino Linotype" w:hAnsi="Palatino Linotype" w:cs="Palatino Linotype"/>
          <w:b/>
          <w:bCs/>
          <w:color w:val="000000"/>
        </w:rPr>
        <w:t xml:space="preserve">acuerdo de admisión </w:t>
      </w:r>
      <w:r w:rsidRPr="00EE0056">
        <w:rPr>
          <w:rFonts w:ascii="Palatino Linotype" w:eastAsia="Palatino Linotype" w:hAnsi="Palatino Linotype" w:cs="Palatino Linotype"/>
          <w:color w:val="000000"/>
        </w:rPr>
        <w:t xml:space="preserve">de fecha </w:t>
      </w:r>
      <w:r w:rsidRPr="00EE0056">
        <w:rPr>
          <w:rFonts w:ascii="Palatino Linotype" w:eastAsia="Palatino Linotype" w:hAnsi="Palatino Linotype" w:cs="Palatino Linotype"/>
          <w:b/>
          <w:bCs/>
          <w:color w:val="000000"/>
        </w:rPr>
        <w:t xml:space="preserve">doce de noviembre de dos mil veinticinco, </w:t>
      </w:r>
      <w:r w:rsidRPr="00EE0056">
        <w:rPr>
          <w:rFonts w:ascii="Palatino Linotype" w:eastAsia="Palatino Linotype" w:hAnsi="Palatino Linotype" w:cs="Palatino Linotype"/>
          <w:color w:val="000000"/>
        </w:rPr>
        <w:t xml:space="preserve">puso a disposición de las partes el expediente electrónico vía SAIMEX a efecto de que en un plazo máximo de siete días </w:t>
      </w:r>
      <w:r w:rsidRPr="00EE0056">
        <w:rPr>
          <w:rFonts w:ascii="Palatino Linotype" w:eastAsia="Palatino Linotype" w:hAnsi="Palatino Linotype" w:cs="Palatino Linotype"/>
        </w:rPr>
        <w:t>manifestara</w:t>
      </w:r>
      <w:r w:rsidRPr="00EE0056">
        <w:rPr>
          <w:rFonts w:ascii="Palatino Linotype" w:eastAsia="Palatino Linotype" w:hAnsi="Palatino Linotype" w:cs="Palatino Linotype"/>
          <w:color w:val="000000"/>
        </w:rPr>
        <w:t xml:space="preserve"> lo que a su derecho conviniera, </w:t>
      </w:r>
      <w:r w:rsidRPr="00EE0056">
        <w:rPr>
          <w:rFonts w:ascii="Palatino Linotype" w:eastAsia="Palatino Linotype" w:hAnsi="Palatino Linotype" w:cs="Palatino Linotype"/>
        </w:rPr>
        <w:t>ofreciera</w:t>
      </w:r>
      <w:r w:rsidRPr="00EE0056">
        <w:rPr>
          <w:rFonts w:ascii="Palatino Linotype" w:eastAsia="Palatino Linotype" w:hAnsi="Palatino Linotype" w:cs="Palatino Linotype"/>
          <w:color w:val="000000"/>
        </w:rPr>
        <w:t xml:space="preserve"> pruebas y alegatos según corresponda al caso concreto, de esta forma para que el </w:t>
      </w:r>
      <w:r w:rsidRPr="00EE0056">
        <w:rPr>
          <w:rFonts w:ascii="Palatino Linotype" w:eastAsia="Palatino Linotype" w:hAnsi="Palatino Linotype" w:cs="Palatino Linotype"/>
          <w:b/>
          <w:bCs/>
          <w:color w:val="000000"/>
        </w:rPr>
        <w:t xml:space="preserve">SUJETO OBLIGADO </w:t>
      </w:r>
      <w:r w:rsidRPr="00EE0056">
        <w:rPr>
          <w:rFonts w:ascii="Palatino Linotype" w:eastAsia="Palatino Linotype" w:hAnsi="Palatino Linotype" w:cs="Palatino Linotype"/>
        </w:rPr>
        <w:t>presentara</w:t>
      </w:r>
      <w:r w:rsidRPr="00EE0056">
        <w:rPr>
          <w:rFonts w:ascii="Palatino Linotype" w:eastAsia="Palatino Linotype" w:hAnsi="Palatino Linotype" w:cs="Palatino Linotype"/>
          <w:color w:val="000000"/>
        </w:rPr>
        <w:t xml:space="preserve"> el Informe Justificado procedente.</w:t>
      </w:r>
    </w:p>
    <w:p w:rsidR="006B6A8C" w:rsidRPr="00EE0056" w:rsidRDefault="006B6A8C">
      <w:pPr>
        <w:pBdr>
          <w:top w:val="nil"/>
          <w:left w:val="nil"/>
          <w:bottom w:val="nil"/>
          <w:right w:val="nil"/>
          <w:between w:val="nil"/>
        </w:pBdr>
        <w:tabs>
          <w:tab w:val="left" w:pos="0"/>
        </w:tabs>
        <w:spacing w:line="360" w:lineRule="auto"/>
        <w:ind w:right="-787"/>
        <w:jc w:val="both"/>
        <w:rPr>
          <w:rFonts w:ascii="Palatino Linotype" w:eastAsia="Palatino Linotype" w:hAnsi="Palatino Linotype" w:cs="Palatino Linotype"/>
          <w:color w:val="000000"/>
        </w:rPr>
      </w:pPr>
    </w:p>
    <w:p w:rsidR="006B6A8C" w:rsidRPr="00EE0056" w:rsidRDefault="00DD6CA9">
      <w:pPr>
        <w:numPr>
          <w:ilvl w:val="0"/>
          <w:numId w:val="2"/>
        </w:numPr>
        <w:pBdr>
          <w:top w:val="nil"/>
          <w:left w:val="nil"/>
          <w:bottom w:val="nil"/>
          <w:right w:val="nil"/>
          <w:between w:val="nil"/>
        </w:pBdr>
        <w:spacing w:line="360" w:lineRule="auto"/>
        <w:ind w:left="0" w:right="-787" w:firstLine="0"/>
        <w:jc w:val="both"/>
        <w:rPr>
          <w:rFonts w:ascii="Palatino Linotype" w:eastAsia="Palatino Linotype" w:hAnsi="Palatino Linotype" w:cs="Palatino Linotype"/>
          <w:color w:val="000000"/>
        </w:rPr>
      </w:pPr>
      <w:r w:rsidRPr="00EE0056">
        <w:rPr>
          <w:rFonts w:ascii="Palatino Linotype" w:eastAsia="Palatino Linotype" w:hAnsi="Palatino Linotype" w:cs="Palatino Linotype"/>
          <w:color w:val="000000"/>
        </w:rPr>
        <w:t>El Recurrente</w:t>
      </w:r>
      <w:r w:rsidRPr="00EE0056">
        <w:rPr>
          <w:rFonts w:ascii="Palatino Linotype" w:eastAsia="Palatino Linotype" w:hAnsi="Palatino Linotype" w:cs="Palatino Linotype"/>
          <w:b/>
          <w:bCs/>
          <w:color w:val="000000"/>
        </w:rPr>
        <w:t xml:space="preserve"> </w:t>
      </w:r>
      <w:r w:rsidRPr="00EE0056">
        <w:rPr>
          <w:rFonts w:ascii="Palatino Linotype" w:eastAsia="Palatino Linotype" w:hAnsi="Palatino Linotype" w:cs="Palatino Linotype"/>
          <w:color w:val="000000"/>
        </w:rPr>
        <w:t>dejó de realizar manifestaciones que a su derecho conviniera y asistiera. Por su parte, el Sujeto Obligado,</w:t>
      </w:r>
      <w:r w:rsidRPr="00EE0056">
        <w:rPr>
          <w:rFonts w:ascii="Palatino Linotype" w:eastAsia="Palatino Linotype" w:hAnsi="Palatino Linotype" w:cs="Palatino Linotype"/>
          <w:b/>
          <w:bCs/>
          <w:color w:val="000000"/>
        </w:rPr>
        <w:t xml:space="preserve"> </w:t>
      </w:r>
      <w:r w:rsidRPr="00EE0056">
        <w:rPr>
          <w:rFonts w:ascii="Palatino Linotype" w:eastAsia="Palatino Linotype" w:hAnsi="Palatino Linotype" w:cs="Palatino Linotype"/>
          <w:color w:val="000000"/>
        </w:rPr>
        <w:t xml:space="preserve">en fecha </w:t>
      </w:r>
      <w:r w:rsidRPr="00EE0056">
        <w:rPr>
          <w:rFonts w:ascii="Palatino Linotype" w:eastAsia="Palatino Linotype" w:hAnsi="Palatino Linotype" w:cs="Palatino Linotype"/>
          <w:b/>
          <w:bCs/>
          <w:color w:val="000000"/>
        </w:rPr>
        <w:t xml:space="preserve">veinticuatro de noviembre de dos mil veinticinco, </w:t>
      </w:r>
      <w:r w:rsidRPr="00EE0056">
        <w:rPr>
          <w:rFonts w:ascii="Palatino Linotype" w:eastAsia="Palatino Linotype" w:hAnsi="Palatino Linotype" w:cs="Palatino Linotype"/>
          <w:color w:val="000000"/>
        </w:rPr>
        <w:t>rindió informe justificado, a través del archivo electrónico siguiente:</w:t>
      </w:r>
    </w:p>
    <w:p w:rsidR="006B6A8C" w:rsidRPr="00EE0056" w:rsidRDefault="006B6A8C">
      <w:pPr>
        <w:pBdr>
          <w:top w:val="nil"/>
          <w:left w:val="nil"/>
          <w:bottom w:val="nil"/>
          <w:right w:val="nil"/>
          <w:between w:val="nil"/>
        </w:pBdr>
        <w:ind w:left="426" w:right="-79"/>
        <w:jc w:val="both"/>
        <w:rPr>
          <w:rFonts w:ascii="Palatino Linotype" w:eastAsia="Palatino Linotype" w:hAnsi="Palatino Linotype" w:cs="Palatino Linotype"/>
          <w:b/>
          <w:bCs/>
          <w:color w:val="000000"/>
        </w:rPr>
      </w:pPr>
    </w:p>
    <w:p w:rsidR="006B6A8C" w:rsidRPr="00EE0056" w:rsidRDefault="00DD6CA9">
      <w:pPr>
        <w:pBdr>
          <w:top w:val="nil"/>
          <w:left w:val="nil"/>
          <w:bottom w:val="nil"/>
          <w:right w:val="nil"/>
          <w:between w:val="nil"/>
        </w:pBdr>
        <w:ind w:left="709" w:right="-79" w:firstLine="10"/>
        <w:jc w:val="both"/>
        <w:rPr>
          <w:rFonts w:ascii="Palatino Linotype" w:eastAsia="Palatino Linotype" w:hAnsi="Palatino Linotype" w:cs="Palatino Linotype"/>
          <w:b/>
          <w:bCs/>
          <w:i/>
          <w:iCs/>
          <w:color w:val="000000"/>
        </w:rPr>
      </w:pPr>
      <w:r w:rsidRPr="00EE0056">
        <w:rPr>
          <w:rFonts w:ascii="Palatino Linotype" w:eastAsia="Palatino Linotype" w:hAnsi="Palatino Linotype" w:cs="Palatino Linotype"/>
          <w:b/>
          <w:bCs/>
          <w:i/>
          <w:iCs/>
          <w:color w:val="000000"/>
        </w:rPr>
        <w:tab/>
        <w:t>12968 INFO RR 2025.pdf</w:t>
      </w:r>
    </w:p>
    <w:p w:rsidR="006B6A8C" w:rsidRPr="00EE0056" w:rsidRDefault="00DD6CA9">
      <w:pPr>
        <w:pBdr>
          <w:top w:val="nil"/>
          <w:left w:val="nil"/>
          <w:bottom w:val="nil"/>
          <w:right w:val="nil"/>
          <w:between w:val="nil"/>
        </w:pBdr>
        <w:ind w:left="709" w:right="-79" w:firstLine="10"/>
        <w:jc w:val="both"/>
        <w:rPr>
          <w:rFonts w:ascii="Palatino Linotype" w:eastAsia="Palatino Linotype" w:hAnsi="Palatino Linotype" w:cs="Palatino Linotype"/>
          <w:color w:val="000000"/>
        </w:rPr>
      </w:pPr>
      <w:r w:rsidRPr="00EE0056">
        <w:rPr>
          <w:rFonts w:ascii="Palatino Linotype" w:eastAsia="Palatino Linotype" w:hAnsi="Palatino Linotype" w:cs="Palatino Linotype"/>
          <w:color w:val="000000"/>
        </w:rPr>
        <w:t>Documento firmado por la Subgerente de Transparencia a través del cual rinde informe justificado remitiendo las ligas emitidas por el servidor público habilitado de la contraloría interna, a través del cual se da atención a lo solicitado, mismas que se encuentran en formato cerrado:</w:t>
      </w:r>
    </w:p>
    <w:p w:rsidR="006B6A8C" w:rsidRPr="00EE0056" w:rsidRDefault="006B6A8C">
      <w:pPr>
        <w:pBdr>
          <w:top w:val="nil"/>
          <w:left w:val="nil"/>
          <w:bottom w:val="nil"/>
          <w:right w:val="nil"/>
          <w:between w:val="nil"/>
        </w:pBdr>
        <w:ind w:left="709" w:right="-79" w:firstLine="10"/>
        <w:jc w:val="both"/>
        <w:rPr>
          <w:rFonts w:ascii="Palatino Linotype" w:eastAsia="Palatino Linotype" w:hAnsi="Palatino Linotype" w:cs="Palatino Linotype"/>
          <w:color w:val="000000"/>
        </w:rPr>
      </w:pPr>
    </w:p>
    <w:p w:rsidR="006B6A8C" w:rsidRPr="00EE0056" w:rsidRDefault="00DD6CA9">
      <w:pPr>
        <w:pBdr>
          <w:top w:val="nil"/>
          <w:left w:val="nil"/>
          <w:bottom w:val="nil"/>
          <w:right w:val="nil"/>
          <w:between w:val="nil"/>
        </w:pBdr>
        <w:ind w:left="709" w:right="-79" w:firstLine="10"/>
        <w:jc w:val="center"/>
        <w:rPr>
          <w:rFonts w:ascii="Palatino Linotype" w:eastAsia="Palatino Linotype" w:hAnsi="Palatino Linotype" w:cs="Palatino Linotype"/>
          <w:color w:val="000000"/>
        </w:rPr>
      </w:pPr>
      <w:r w:rsidRPr="00EE0056">
        <w:rPr>
          <w:rFonts w:ascii="Palatino Linotype" w:eastAsia="Palatino Linotype" w:hAnsi="Palatino Linotype" w:cs="Palatino Linotype"/>
          <w:noProof/>
          <w:color w:val="000000"/>
          <w:lang w:val="es-MX"/>
        </w:rPr>
        <w:lastRenderedPageBreak/>
        <w:drawing>
          <wp:inline distT="0" distB="0" distL="0" distR="0">
            <wp:extent cx="4470674" cy="2153716"/>
            <wp:effectExtent l="0" t="0" r="0" b="0"/>
            <wp:docPr id="3"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9"/>
                    <a:srcRect/>
                    <a:stretch>
                      <a:fillRect/>
                    </a:stretch>
                  </pic:blipFill>
                  <pic:spPr>
                    <a:xfrm>
                      <a:off x="0" y="0"/>
                      <a:ext cx="4470674" cy="2153716"/>
                    </a:xfrm>
                    <a:prstGeom prst="rect">
                      <a:avLst/>
                    </a:prstGeom>
                    <a:ln/>
                  </pic:spPr>
                </pic:pic>
              </a:graphicData>
            </a:graphic>
          </wp:inline>
        </w:drawing>
      </w:r>
    </w:p>
    <w:p w:rsidR="006B6A8C" w:rsidRPr="00EE0056" w:rsidRDefault="006B6A8C">
      <w:pPr>
        <w:pBdr>
          <w:top w:val="nil"/>
          <w:left w:val="nil"/>
          <w:bottom w:val="nil"/>
          <w:right w:val="nil"/>
          <w:between w:val="nil"/>
        </w:pBdr>
        <w:tabs>
          <w:tab w:val="left" w:pos="0"/>
        </w:tabs>
        <w:spacing w:line="360" w:lineRule="auto"/>
        <w:ind w:right="-787"/>
        <w:jc w:val="both"/>
        <w:rPr>
          <w:rFonts w:ascii="Palatino Linotype" w:eastAsia="Palatino Linotype" w:hAnsi="Palatino Linotype" w:cs="Palatino Linotype"/>
          <w:color w:val="000000"/>
        </w:rPr>
      </w:pPr>
    </w:p>
    <w:p w:rsidR="006B6A8C" w:rsidRPr="00EE0056" w:rsidRDefault="00DD6CA9">
      <w:pPr>
        <w:numPr>
          <w:ilvl w:val="0"/>
          <w:numId w:val="2"/>
        </w:numPr>
        <w:pBdr>
          <w:top w:val="nil"/>
          <w:left w:val="nil"/>
          <w:bottom w:val="nil"/>
          <w:right w:val="nil"/>
          <w:between w:val="nil"/>
        </w:pBdr>
        <w:spacing w:line="360" w:lineRule="auto"/>
        <w:ind w:left="0" w:right="-787" w:firstLine="0"/>
        <w:jc w:val="both"/>
        <w:rPr>
          <w:rFonts w:ascii="Palatino Linotype" w:eastAsia="Palatino Linotype" w:hAnsi="Palatino Linotype" w:cs="Palatino Linotype"/>
          <w:b/>
          <w:bCs/>
          <w:color w:val="000000"/>
        </w:rPr>
      </w:pPr>
      <w:bookmarkStart w:id="4" w:name="_heading=h.3znysh7" w:colFirst="0" w:colLast="0"/>
      <w:bookmarkEnd w:id="4"/>
      <w:r w:rsidRPr="00EE0056">
        <w:rPr>
          <w:rFonts w:ascii="Palatino Linotype" w:eastAsia="Palatino Linotype" w:hAnsi="Palatino Linotype" w:cs="Palatino Linotype"/>
          <w:color w:val="000000"/>
        </w:rPr>
        <w:t>En fecha</w:t>
      </w:r>
      <w:r w:rsidRPr="00EE0056">
        <w:rPr>
          <w:rFonts w:ascii="Palatino Linotype" w:eastAsia="Palatino Linotype" w:hAnsi="Palatino Linotype" w:cs="Palatino Linotype"/>
          <w:b/>
          <w:bCs/>
          <w:color w:val="000000"/>
        </w:rPr>
        <w:t xml:space="preserve"> diecinueve de enero de dos mil veintiséis</w:t>
      </w:r>
      <w:r w:rsidRPr="00EE0056">
        <w:rPr>
          <w:rFonts w:ascii="Palatino Linotype" w:eastAsia="Palatino Linotype" w:hAnsi="Palatino Linotype" w:cs="Palatino Linotype"/>
          <w:color w:val="000000"/>
        </w:rPr>
        <w:t xml:space="preserve">, se acordó ampliar el </w:t>
      </w:r>
      <w:r w:rsidRPr="00EE0056">
        <w:rPr>
          <w:rFonts w:ascii="Palatino Linotype" w:eastAsia="Palatino Linotype" w:hAnsi="Palatino Linotype" w:cs="Palatino Linotype"/>
        </w:rPr>
        <w:t>plazo</w:t>
      </w:r>
      <w:r w:rsidRPr="00EE0056">
        <w:rPr>
          <w:rFonts w:ascii="Palatino Linotype" w:eastAsia="Palatino Linotype" w:hAnsi="Palatino Linotype" w:cs="Palatino Linotype"/>
          <w:color w:val="000000"/>
        </w:rPr>
        <w:t xml:space="preserve"> para resolver el presente Recurso de Revisión.</w:t>
      </w:r>
    </w:p>
    <w:p w:rsidR="006B6A8C" w:rsidRPr="00EE0056" w:rsidRDefault="006B6A8C">
      <w:pPr>
        <w:pBdr>
          <w:top w:val="nil"/>
          <w:left w:val="nil"/>
          <w:bottom w:val="nil"/>
          <w:right w:val="nil"/>
          <w:between w:val="nil"/>
        </w:pBdr>
        <w:spacing w:line="360" w:lineRule="auto"/>
        <w:ind w:right="-787"/>
        <w:jc w:val="both"/>
        <w:rPr>
          <w:rFonts w:ascii="Palatino Linotype" w:eastAsia="Palatino Linotype" w:hAnsi="Palatino Linotype" w:cs="Palatino Linotype"/>
          <w:b/>
          <w:bCs/>
          <w:color w:val="000000"/>
        </w:rPr>
      </w:pPr>
    </w:p>
    <w:p w:rsidR="006B6A8C" w:rsidRPr="00EE0056" w:rsidRDefault="00DD6CA9">
      <w:pPr>
        <w:numPr>
          <w:ilvl w:val="0"/>
          <w:numId w:val="2"/>
        </w:numPr>
        <w:pBdr>
          <w:top w:val="nil"/>
          <w:left w:val="nil"/>
          <w:bottom w:val="nil"/>
          <w:right w:val="nil"/>
          <w:between w:val="nil"/>
        </w:pBdr>
        <w:spacing w:line="360" w:lineRule="auto"/>
        <w:ind w:left="0" w:right="-787" w:firstLine="0"/>
        <w:jc w:val="both"/>
        <w:rPr>
          <w:rFonts w:ascii="Palatino Linotype" w:eastAsia="Palatino Linotype" w:hAnsi="Palatino Linotype" w:cs="Palatino Linotype"/>
          <w:b/>
          <w:bCs/>
          <w:color w:val="000000"/>
        </w:rPr>
      </w:pPr>
      <w:r w:rsidRPr="00EE0056">
        <w:rPr>
          <w:rFonts w:ascii="Palatino Linotype" w:eastAsia="Palatino Linotype" w:hAnsi="Palatino Linotype" w:cs="Palatino Linotype"/>
          <w:color w:val="000000"/>
        </w:rPr>
        <w:t xml:space="preserve">Seguidamente, en fecha </w:t>
      </w:r>
      <w:r w:rsidRPr="00EE0056">
        <w:rPr>
          <w:rFonts w:ascii="Palatino Linotype" w:eastAsia="Palatino Linotype" w:hAnsi="Palatino Linotype" w:cs="Palatino Linotype"/>
          <w:b/>
          <w:bCs/>
          <w:color w:val="000000"/>
        </w:rPr>
        <w:t>veintidós de abril de dos mil veintiséis</w:t>
      </w:r>
      <w:r w:rsidRPr="00EE0056">
        <w:rPr>
          <w:rFonts w:ascii="Palatino Linotype" w:eastAsia="Palatino Linotype" w:hAnsi="Palatino Linotype" w:cs="Palatino Linotype"/>
          <w:color w:val="000000"/>
        </w:rPr>
        <w:t xml:space="preserve">, la Comisionada Ponente dictó el </w:t>
      </w:r>
      <w:r w:rsidRPr="00EE0056">
        <w:rPr>
          <w:rFonts w:ascii="Palatino Linotype" w:eastAsia="Palatino Linotype" w:hAnsi="Palatino Linotype" w:cs="Palatino Linotype"/>
          <w:b/>
          <w:bCs/>
          <w:color w:val="000000"/>
        </w:rPr>
        <w:t>cierre del periodo de instrucción</w:t>
      </w:r>
      <w:r w:rsidRPr="00EE0056">
        <w:rPr>
          <w:rFonts w:ascii="Palatino Linotype" w:eastAsia="Palatino Linotype" w:hAnsi="Palatino Linotype" w:cs="Palatino Linotype"/>
          <w:color w:val="000000"/>
        </w:rPr>
        <w:t xml:space="preserve"> y, ordenó la resolución que conforme a Derecho proceda:</w:t>
      </w:r>
    </w:p>
    <w:p w:rsidR="006B6A8C" w:rsidRPr="00EE0056" w:rsidRDefault="006B6A8C">
      <w:pPr>
        <w:pBdr>
          <w:top w:val="nil"/>
          <w:left w:val="nil"/>
          <w:bottom w:val="nil"/>
          <w:right w:val="nil"/>
          <w:between w:val="nil"/>
        </w:pBdr>
        <w:ind w:left="720" w:right="-787"/>
        <w:rPr>
          <w:rFonts w:ascii="Palatino Linotype" w:eastAsia="Palatino Linotype" w:hAnsi="Palatino Linotype" w:cs="Palatino Linotype"/>
          <w:b/>
          <w:bCs/>
          <w:color w:val="000000"/>
        </w:rPr>
      </w:pPr>
    </w:p>
    <w:p w:rsidR="006B6A8C" w:rsidRPr="00EE0056" w:rsidRDefault="00DD6CA9">
      <w:pPr>
        <w:keepNext/>
        <w:keepLines/>
        <w:spacing w:line="360" w:lineRule="auto"/>
        <w:jc w:val="center"/>
        <w:rPr>
          <w:rFonts w:ascii="Palatino Linotype" w:eastAsia="Palatino Linotype" w:hAnsi="Palatino Linotype" w:cs="Palatino Linotype"/>
          <w:b/>
          <w:bCs/>
        </w:rPr>
      </w:pPr>
      <w:r w:rsidRPr="00EE0056">
        <w:rPr>
          <w:rFonts w:ascii="Palatino Linotype" w:eastAsia="Palatino Linotype" w:hAnsi="Palatino Linotype" w:cs="Palatino Linotype"/>
          <w:b/>
          <w:bCs/>
        </w:rPr>
        <w:t xml:space="preserve">C O N S I D E R A N D O </w:t>
      </w:r>
    </w:p>
    <w:p w:rsidR="006B6A8C" w:rsidRPr="00EE0056" w:rsidRDefault="006B6A8C">
      <w:pPr>
        <w:spacing w:line="360" w:lineRule="auto"/>
        <w:rPr>
          <w:rFonts w:ascii="Palatino Linotype" w:eastAsia="Palatino Linotype" w:hAnsi="Palatino Linotype" w:cs="Palatino Linotype"/>
        </w:rPr>
      </w:pPr>
    </w:p>
    <w:p w:rsidR="006B6A8C" w:rsidRPr="00EE0056" w:rsidRDefault="00DD6CA9">
      <w:pPr>
        <w:keepNext/>
        <w:keepLines/>
        <w:spacing w:line="360" w:lineRule="auto"/>
        <w:rPr>
          <w:rFonts w:ascii="Palatino Linotype" w:eastAsia="Palatino Linotype" w:hAnsi="Palatino Linotype" w:cs="Palatino Linotype"/>
          <w:b/>
          <w:bCs/>
        </w:rPr>
      </w:pPr>
      <w:r w:rsidRPr="00EE0056">
        <w:rPr>
          <w:rFonts w:ascii="Palatino Linotype" w:eastAsia="Palatino Linotype" w:hAnsi="Palatino Linotype" w:cs="Palatino Linotype"/>
          <w:b/>
          <w:bCs/>
        </w:rPr>
        <w:t>PRIMERO. De la competencia</w:t>
      </w:r>
    </w:p>
    <w:p w:rsidR="006B6A8C" w:rsidRPr="00EE0056" w:rsidRDefault="00DD6CA9">
      <w:pPr>
        <w:numPr>
          <w:ilvl w:val="0"/>
          <w:numId w:val="2"/>
        </w:numPr>
        <w:pBdr>
          <w:top w:val="nil"/>
          <w:left w:val="nil"/>
          <w:bottom w:val="nil"/>
          <w:right w:val="nil"/>
          <w:between w:val="nil"/>
        </w:pBdr>
        <w:spacing w:line="360" w:lineRule="auto"/>
        <w:ind w:left="0" w:right="-787" w:firstLine="0"/>
        <w:jc w:val="both"/>
        <w:rPr>
          <w:rFonts w:ascii="Palatino Linotype" w:eastAsia="Palatino Linotype" w:hAnsi="Palatino Linotype" w:cs="Palatino Linotype"/>
          <w:color w:val="000000"/>
        </w:rPr>
      </w:pPr>
      <w:r w:rsidRPr="00EE0056">
        <w:rPr>
          <w:rFonts w:ascii="Palatino Linotype" w:eastAsia="Palatino Linotype" w:hAnsi="Palatino Linotype" w:cs="Palatino Linotype"/>
          <w:color w:val="000000"/>
        </w:rPr>
        <w:t xml:space="preserve">Este Instituto de Transparencia, Acceso a la Información Pública y Protección de Datos Personales del Estado de México, es competente para conocer y resolver el presente recurso de revisión interpuesto por el Recurrente conforme a lo dispuesto en los artículos 6, apartado A, fracción IV de la Constitución Política de los Estados Unidos Mexicanos; 5, párrafos cuadragésimo cuarto, cuadragésimo quinto y cuadragésimo sexto, fracciones IV y V, de la </w:t>
      </w:r>
      <w:r w:rsidRPr="00EE0056">
        <w:rPr>
          <w:rFonts w:ascii="Palatino Linotype" w:eastAsia="Palatino Linotype" w:hAnsi="Palatino Linotype" w:cs="Palatino Linotype"/>
          <w:color w:val="000000"/>
        </w:rPr>
        <w:lastRenderedPageBreak/>
        <w:t>Constitución Política del Estado Libre y Soberano de México; artículos 1, 2 fracción II, 13, 29, 36 fracciones I y II, 176, 178, 179, 181 párrafo tercero y 185 de la Ley de Transparencia y Acceso a la Información Pública del Estado de México y Municipios; 6, 9 fracciones I y XXIII, y 11 del Reglamento Interior del Instituto de Transparencia, Acceso a la Información Pública y Protección de Datos Personales del Estado de México y Municipios.</w:t>
      </w:r>
    </w:p>
    <w:p w:rsidR="006B6A8C" w:rsidRPr="00EE0056" w:rsidRDefault="006B6A8C">
      <w:pPr>
        <w:tabs>
          <w:tab w:val="left" w:pos="426"/>
        </w:tabs>
        <w:spacing w:line="360" w:lineRule="auto"/>
        <w:jc w:val="both"/>
        <w:rPr>
          <w:rFonts w:ascii="Palatino Linotype" w:eastAsia="Palatino Linotype" w:hAnsi="Palatino Linotype" w:cs="Palatino Linotype"/>
          <w:color w:val="000000"/>
        </w:rPr>
      </w:pPr>
    </w:p>
    <w:p w:rsidR="006B6A8C" w:rsidRPr="00EE0056" w:rsidRDefault="00DD6CA9">
      <w:pPr>
        <w:keepNext/>
        <w:keepLines/>
        <w:spacing w:line="360" w:lineRule="auto"/>
        <w:rPr>
          <w:rFonts w:ascii="Palatino Linotype" w:eastAsia="Palatino Linotype" w:hAnsi="Palatino Linotype" w:cs="Palatino Linotype"/>
          <w:b/>
          <w:bCs/>
        </w:rPr>
      </w:pPr>
      <w:r w:rsidRPr="00EE0056">
        <w:rPr>
          <w:rFonts w:ascii="Palatino Linotype" w:eastAsia="Palatino Linotype" w:hAnsi="Palatino Linotype" w:cs="Palatino Linotype"/>
          <w:b/>
          <w:bCs/>
        </w:rPr>
        <w:t>SEGUNDO. De la oportunidad y procedencia.</w:t>
      </w:r>
    </w:p>
    <w:p w:rsidR="006B6A8C" w:rsidRPr="00EE0056" w:rsidRDefault="00DD6CA9">
      <w:pPr>
        <w:numPr>
          <w:ilvl w:val="0"/>
          <w:numId w:val="2"/>
        </w:numPr>
        <w:pBdr>
          <w:top w:val="nil"/>
          <w:left w:val="nil"/>
          <w:bottom w:val="nil"/>
          <w:right w:val="nil"/>
          <w:between w:val="nil"/>
        </w:pBdr>
        <w:spacing w:line="360" w:lineRule="auto"/>
        <w:ind w:left="0" w:right="-787" w:firstLine="0"/>
        <w:jc w:val="both"/>
        <w:rPr>
          <w:rFonts w:ascii="Palatino Linotype" w:eastAsia="Palatino Linotype" w:hAnsi="Palatino Linotype" w:cs="Palatino Linotype"/>
        </w:rPr>
      </w:pPr>
      <w:r w:rsidRPr="00EE0056">
        <w:rPr>
          <w:rFonts w:ascii="Palatino Linotype" w:eastAsia="Palatino Linotype" w:hAnsi="Palatino Linotype" w:cs="Palatino Linotype"/>
        </w:rPr>
        <w:t xml:space="preserve">El medio de impugnación fue presentado a través del </w:t>
      </w:r>
      <w:r w:rsidRPr="00EE0056">
        <w:rPr>
          <w:rFonts w:ascii="Palatino Linotype" w:eastAsia="Palatino Linotype" w:hAnsi="Palatino Linotype" w:cs="Palatino Linotype"/>
          <w:b/>
          <w:bCs/>
        </w:rPr>
        <w:t>SAIMEX,</w:t>
      </w:r>
      <w:r w:rsidRPr="00EE0056">
        <w:rPr>
          <w:rFonts w:ascii="Palatino Linotype" w:eastAsia="Palatino Linotype" w:hAnsi="Palatino Linotype" w:cs="Palatino Linotype"/>
        </w:rPr>
        <w:t xml:space="preserve"> en el formato previamente aprobado para tal efecto y dentro del plazo legal de quince días hábiles otorgados; para el caso en particular es de señalar que el </w:t>
      </w:r>
      <w:r w:rsidRPr="00EE0056">
        <w:rPr>
          <w:rFonts w:ascii="Palatino Linotype" w:eastAsia="Palatino Linotype" w:hAnsi="Palatino Linotype" w:cs="Palatino Linotype"/>
          <w:b/>
          <w:bCs/>
        </w:rPr>
        <w:t>SUJETO OBLIGADO</w:t>
      </w:r>
      <w:r w:rsidRPr="00EE0056">
        <w:rPr>
          <w:rFonts w:ascii="Palatino Linotype" w:eastAsia="Palatino Linotype" w:hAnsi="Palatino Linotype" w:cs="Palatino Linotype"/>
        </w:rPr>
        <w:t xml:space="preserve"> entregó respuesta el </w:t>
      </w:r>
      <w:r w:rsidRPr="00EE0056">
        <w:rPr>
          <w:rFonts w:ascii="Palatino Linotype" w:eastAsia="Palatino Linotype" w:hAnsi="Palatino Linotype" w:cs="Palatino Linotype"/>
          <w:b/>
          <w:bCs/>
        </w:rPr>
        <w:t>cuatro de noviembre de dos mil veinticinco</w:t>
      </w:r>
      <w:r w:rsidRPr="00EE0056">
        <w:rPr>
          <w:rFonts w:ascii="Palatino Linotype" w:eastAsia="Palatino Linotype" w:hAnsi="Palatino Linotype" w:cs="Palatino Linotype"/>
        </w:rPr>
        <w:t xml:space="preserve">, de tal forma que el plazo para interponer el recurso transcurrió del </w:t>
      </w:r>
      <w:r w:rsidRPr="00EE0056">
        <w:rPr>
          <w:rFonts w:ascii="Palatino Linotype" w:eastAsia="Palatino Linotype" w:hAnsi="Palatino Linotype" w:cs="Palatino Linotype"/>
          <w:b/>
          <w:bCs/>
        </w:rPr>
        <w:t xml:space="preserve">cinco al veintiséis de noviembre de dos mil veinticinco, </w:t>
      </w:r>
      <w:r w:rsidRPr="00EE0056">
        <w:rPr>
          <w:rFonts w:ascii="Palatino Linotype" w:eastAsia="Palatino Linotype" w:hAnsi="Palatino Linotype" w:cs="Palatino Linotype"/>
        </w:rPr>
        <w:t xml:space="preserve">en consecuencia, si el </w:t>
      </w:r>
      <w:r w:rsidRPr="00EE0056">
        <w:rPr>
          <w:rFonts w:ascii="Palatino Linotype" w:eastAsia="Palatino Linotype" w:hAnsi="Palatino Linotype" w:cs="Palatino Linotype"/>
          <w:b/>
          <w:bCs/>
        </w:rPr>
        <w:t>PARTICULAR</w:t>
      </w:r>
      <w:r w:rsidRPr="00EE0056">
        <w:rPr>
          <w:rFonts w:ascii="Palatino Linotype" w:eastAsia="Palatino Linotype" w:hAnsi="Palatino Linotype" w:cs="Palatino Linotype"/>
        </w:rPr>
        <w:t xml:space="preserve"> presentó su inconformidad el </w:t>
      </w:r>
      <w:r w:rsidRPr="00EE0056">
        <w:rPr>
          <w:rFonts w:ascii="Palatino Linotype" w:eastAsia="Palatino Linotype" w:hAnsi="Palatino Linotype" w:cs="Palatino Linotype"/>
          <w:b/>
          <w:bCs/>
        </w:rPr>
        <w:t>diez de noviembre de dos mil veinticinco</w:t>
      </w:r>
      <w:r w:rsidRPr="00EE0056">
        <w:rPr>
          <w:rFonts w:ascii="Palatino Linotype" w:eastAsia="Palatino Linotype" w:hAnsi="Palatino Linotype" w:cs="Palatino Linotype"/>
        </w:rPr>
        <w:t xml:space="preserve">, este  se encuentra dentro de los márgenes temporales previstos en el artículo 178 de la </w:t>
      </w:r>
      <w:r w:rsidRPr="00EE0056">
        <w:rPr>
          <w:rFonts w:ascii="Palatino Linotype" w:eastAsia="Palatino Linotype" w:hAnsi="Palatino Linotype" w:cs="Palatino Linotype"/>
          <w:b/>
          <w:bCs/>
        </w:rPr>
        <w:t xml:space="preserve">Ley de Transparencia y Acceso a la Información Pública del Estado de México y Municipios </w:t>
      </w:r>
      <w:r w:rsidRPr="00EE0056">
        <w:rPr>
          <w:rFonts w:ascii="Palatino Linotype" w:eastAsia="Palatino Linotype" w:hAnsi="Palatino Linotype" w:cs="Palatino Linotype"/>
        </w:rPr>
        <w:t xml:space="preserve">vigente. </w:t>
      </w:r>
    </w:p>
    <w:p w:rsidR="006B6A8C" w:rsidRPr="00EE0056" w:rsidRDefault="006B6A8C">
      <w:pPr>
        <w:spacing w:line="360" w:lineRule="auto"/>
        <w:ind w:right="49"/>
        <w:jc w:val="both"/>
        <w:rPr>
          <w:rFonts w:ascii="Palatino Linotype" w:eastAsia="Palatino Linotype" w:hAnsi="Palatino Linotype" w:cs="Palatino Linotype"/>
        </w:rPr>
      </w:pPr>
      <w:bookmarkStart w:id="5" w:name="_heading=h.2et92p0" w:colFirst="0" w:colLast="0"/>
      <w:bookmarkEnd w:id="5"/>
    </w:p>
    <w:p w:rsidR="006B6A8C" w:rsidRPr="00EE0056" w:rsidRDefault="00DD6CA9">
      <w:pPr>
        <w:pStyle w:val="Ttulo2"/>
        <w:spacing w:before="0" w:line="360" w:lineRule="auto"/>
        <w:rPr>
          <w:rFonts w:ascii="Palatino Linotype" w:eastAsia="Palatino Linotype" w:hAnsi="Palatino Linotype" w:cs="Palatino Linotype"/>
          <w:b/>
          <w:bCs/>
          <w:i/>
          <w:iCs/>
          <w:color w:val="000000"/>
          <w:sz w:val="24"/>
          <w:szCs w:val="24"/>
        </w:rPr>
      </w:pPr>
      <w:r w:rsidRPr="00EE0056">
        <w:rPr>
          <w:rFonts w:ascii="Palatino Linotype" w:eastAsia="Palatino Linotype" w:hAnsi="Palatino Linotype" w:cs="Palatino Linotype"/>
          <w:b/>
          <w:bCs/>
          <w:color w:val="000000"/>
          <w:sz w:val="24"/>
          <w:szCs w:val="24"/>
        </w:rPr>
        <w:t xml:space="preserve">TERCERO. Del planteamiento de la </w:t>
      </w:r>
      <w:r w:rsidRPr="00EE0056">
        <w:rPr>
          <w:rFonts w:ascii="Palatino Linotype" w:eastAsia="Palatino Linotype" w:hAnsi="Palatino Linotype" w:cs="Palatino Linotype"/>
          <w:b/>
          <w:bCs/>
          <w:i/>
          <w:iCs/>
          <w:color w:val="000000"/>
          <w:sz w:val="24"/>
          <w:szCs w:val="24"/>
        </w:rPr>
        <w:t>Litis.</w:t>
      </w:r>
    </w:p>
    <w:p w:rsidR="006B6A8C" w:rsidRPr="00EE0056" w:rsidRDefault="00DD6CA9">
      <w:pPr>
        <w:numPr>
          <w:ilvl w:val="0"/>
          <w:numId w:val="2"/>
        </w:numPr>
        <w:spacing w:line="360" w:lineRule="auto"/>
        <w:ind w:left="0" w:right="-787" w:firstLine="0"/>
        <w:jc w:val="both"/>
        <w:rPr>
          <w:rFonts w:ascii="Palatino Linotype" w:eastAsia="Palatino Linotype" w:hAnsi="Palatino Linotype" w:cs="Palatino Linotype"/>
          <w:color w:val="000000"/>
        </w:rPr>
      </w:pPr>
      <w:r w:rsidRPr="00EE0056">
        <w:rPr>
          <w:rFonts w:ascii="Palatino Linotype" w:eastAsia="Palatino Linotype" w:hAnsi="Palatino Linotype" w:cs="Palatino Linotype"/>
          <w:color w:val="000000"/>
        </w:rPr>
        <w:t>Se solicitó tener acceso, a la información que a continuación se simplifica:</w:t>
      </w:r>
    </w:p>
    <w:p w:rsidR="006B6A8C" w:rsidRPr="00EE0056" w:rsidRDefault="00DD6CA9">
      <w:pPr>
        <w:numPr>
          <w:ilvl w:val="0"/>
          <w:numId w:val="4"/>
        </w:numPr>
        <w:pBdr>
          <w:top w:val="nil"/>
          <w:left w:val="nil"/>
          <w:bottom w:val="nil"/>
          <w:right w:val="nil"/>
          <w:between w:val="nil"/>
        </w:pBdr>
        <w:spacing w:line="360" w:lineRule="auto"/>
        <w:ind w:right="-788"/>
        <w:jc w:val="both"/>
        <w:rPr>
          <w:rFonts w:ascii="Palatino Linotype" w:eastAsia="Palatino Linotype" w:hAnsi="Palatino Linotype" w:cs="Palatino Linotype"/>
          <w:i/>
          <w:iCs/>
          <w:color w:val="000000"/>
        </w:rPr>
      </w:pPr>
      <w:r w:rsidRPr="00EE0056">
        <w:rPr>
          <w:rFonts w:ascii="Palatino Linotype" w:eastAsia="Palatino Linotype" w:hAnsi="Palatino Linotype" w:cs="Palatino Linotype"/>
          <w:i/>
          <w:iCs/>
          <w:color w:val="000000"/>
        </w:rPr>
        <w:t>Informes de resultados de las de auditorías realizadas en 2025 por la contraloría interna.</w:t>
      </w:r>
    </w:p>
    <w:p w:rsidR="006B6A8C" w:rsidRPr="00EE0056" w:rsidRDefault="006B6A8C">
      <w:pPr>
        <w:pBdr>
          <w:top w:val="nil"/>
          <w:left w:val="nil"/>
          <w:bottom w:val="nil"/>
          <w:right w:val="nil"/>
          <w:between w:val="nil"/>
        </w:pBdr>
        <w:spacing w:line="360" w:lineRule="auto"/>
        <w:ind w:left="720" w:right="-788"/>
        <w:jc w:val="both"/>
        <w:rPr>
          <w:rFonts w:ascii="Palatino Linotype" w:eastAsia="Palatino Linotype" w:hAnsi="Palatino Linotype" w:cs="Palatino Linotype"/>
          <w:i/>
          <w:iCs/>
          <w:color w:val="000000"/>
        </w:rPr>
      </w:pPr>
    </w:p>
    <w:p w:rsidR="006B6A8C" w:rsidRPr="00EE0056" w:rsidRDefault="006B6A8C">
      <w:pPr>
        <w:pBdr>
          <w:top w:val="nil"/>
          <w:left w:val="nil"/>
          <w:bottom w:val="nil"/>
          <w:right w:val="nil"/>
          <w:between w:val="nil"/>
        </w:pBdr>
        <w:spacing w:line="360" w:lineRule="auto"/>
        <w:ind w:left="1440" w:right="-788"/>
        <w:jc w:val="both"/>
        <w:rPr>
          <w:rFonts w:ascii="Palatino Linotype" w:eastAsia="Palatino Linotype" w:hAnsi="Palatino Linotype" w:cs="Palatino Linotype"/>
          <w:color w:val="000000"/>
        </w:rPr>
      </w:pPr>
    </w:p>
    <w:p w:rsidR="006B6A8C" w:rsidRPr="00EE0056" w:rsidRDefault="00DD6CA9">
      <w:pPr>
        <w:numPr>
          <w:ilvl w:val="0"/>
          <w:numId w:val="2"/>
        </w:numPr>
        <w:spacing w:line="360" w:lineRule="auto"/>
        <w:ind w:left="0" w:right="-787" w:firstLine="0"/>
        <w:jc w:val="both"/>
        <w:rPr>
          <w:rFonts w:ascii="Palatino Linotype" w:eastAsia="Palatino Linotype" w:hAnsi="Palatino Linotype" w:cs="Palatino Linotype"/>
          <w:color w:val="000000"/>
        </w:rPr>
      </w:pPr>
      <w:r w:rsidRPr="00EE0056">
        <w:rPr>
          <w:rFonts w:ascii="Palatino Linotype" w:eastAsia="Palatino Linotype" w:hAnsi="Palatino Linotype" w:cs="Palatino Linotype"/>
        </w:rPr>
        <w:lastRenderedPageBreak/>
        <w:t>En respuesta, el Sujeto Obligado</w:t>
      </w:r>
      <w:r w:rsidRPr="00EE0056">
        <w:rPr>
          <w:rFonts w:ascii="Palatino Linotype" w:eastAsia="Palatino Linotype" w:hAnsi="Palatino Linotype" w:cs="Palatino Linotype"/>
          <w:b/>
          <w:bCs/>
        </w:rPr>
        <w:t xml:space="preserve"> </w:t>
      </w:r>
      <w:r w:rsidRPr="00EE0056">
        <w:rPr>
          <w:rFonts w:ascii="Palatino Linotype" w:eastAsia="Palatino Linotype" w:hAnsi="Palatino Linotype" w:cs="Palatino Linotype"/>
        </w:rPr>
        <w:t>remitió el archivo ya descrito en el anterior párrafo 2, inconforme con la respuesta, se interpuso recurso de revisión argumentando sustancialmente que la liga proporcionada no muestra los informes solicitados.</w:t>
      </w:r>
    </w:p>
    <w:p w:rsidR="006B6A8C" w:rsidRPr="00EE0056" w:rsidRDefault="006B6A8C">
      <w:pPr>
        <w:ind w:left="720" w:right="-788"/>
        <w:jc w:val="both"/>
        <w:rPr>
          <w:rFonts w:ascii="Palatino Linotype" w:eastAsia="Palatino Linotype" w:hAnsi="Palatino Linotype" w:cs="Palatino Linotype"/>
          <w:i/>
          <w:iCs/>
          <w:color w:val="000000"/>
        </w:rPr>
      </w:pPr>
    </w:p>
    <w:p w:rsidR="006B6A8C" w:rsidRPr="00EE0056" w:rsidRDefault="00DD6CA9">
      <w:pPr>
        <w:numPr>
          <w:ilvl w:val="0"/>
          <w:numId w:val="2"/>
        </w:numPr>
        <w:spacing w:line="360" w:lineRule="auto"/>
        <w:ind w:left="0" w:right="-787" w:firstLine="0"/>
        <w:jc w:val="both"/>
        <w:rPr>
          <w:rFonts w:ascii="Palatino Linotype" w:eastAsia="Palatino Linotype" w:hAnsi="Palatino Linotype" w:cs="Palatino Linotype"/>
        </w:rPr>
      </w:pPr>
      <w:r w:rsidRPr="00EE0056">
        <w:rPr>
          <w:rFonts w:ascii="Palatino Linotype" w:eastAsia="Palatino Linotype" w:hAnsi="Palatino Linotype" w:cs="Palatino Linotype"/>
        </w:rPr>
        <w:t xml:space="preserve">En dichas condiciones, la controversia a resolver en el presente proveído, corresponde a determinar si se actualiza la causal de procedencia prevista en el </w:t>
      </w:r>
      <w:r w:rsidRPr="00EE0056">
        <w:rPr>
          <w:rFonts w:ascii="Palatino Linotype" w:eastAsia="Palatino Linotype" w:hAnsi="Palatino Linotype" w:cs="Palatino Linotype"/>
          <w:b/>
          <w:bCs/>
        </w:rPr>
        <w:t>artículo 179, fracción VI, de la Ley de Transparencia y Acceso a la Información Pública del Estado de México y Municipios</w:t>
      </w:r>
      <w:r w:rsidRPr="00EE0056">
        <w:rPr>
          <w:rFonts w:ascii="Palatino Linotype" w:eastAsia="Palatino Linotype" w:hAnsi="Palatino Linotype" w:cs="Palatino Linotype"/>
        </w:rPr>
        <w:t xml:space="preserve">; </w:t>
      </w:r>
      <w:r w:rsidRPr="00EE0056">
        <w:rPr>
          <w:rFonts w:ascii="Palatino Linotype" w:eastAsia="Palatino Linotype" w:hAnsi="Palatino Linotype" w:cs="Palatino Linotype"/>
          <w:color w:val="000000"/>
        </w:rPr>
        <w:t xml:space="preserve">fracción que determina la hipótesis relativa a </w:t>
      </w:r>
      <w:r w:rsidRPr="00EE0056">
        <w:rPr>
          <w:rFonts w:ascii="Palatino Linotype" w:eastAsia="Palatino Linotype" w:hAnsi="Palatino Linotype" w:cs="Palatino Linotype"/>
          <w:b/>
          <w:bCs/>
          <w:color w:val="000000"/>
        </w:rPr>
        <w:t>la entrega de información que no corresponda con lo solicitado</w:t>
      </w:r>
      <w:r w:rsidRPr="00EE0056">
        <w:rPr>
          <w:rFonts w:ascii="Palatino Linotype" w:eastAsia="Palatino Linotype" w:hAnsi="Palatino Linotype" w:cs="Palatino Linotype"/>
          <w:color w:val="000000"/>
        </w:rPr>
        <w:t xml:space="preserve">; </w:t>
      </w:r>
      <w:r w:rsidRPr="00EE0056">
        <w:rPr>
          <w:rFonts w:ascii="Palatino Linotype" w:eastAsia="Palatino Linotype" w:hAnsi="Palatino Linotype" w:cs="Palatino Linotype"/>
        </w:rPr>
        <w:t>contexto del cual se dolió el Recurrente al momento de interponer su inconformidad.</w:t>
      </w:r>
      <w:r w:rsidRPr="00EE0056">
        <w:rPr>
          <w:rFonts w:ascii="Palatino Linotype" w:eastAsia="Palatino Linotype" w:hAnsi="Palatino Linotype" w:cs="Palatino Linotype"/>
          <w:color w:val="000000"/>
        </w:rPr>
        <w:t xml:space="preserve"> De modo tal que el presente recurso de revisión se </w:t>
      </w:r>
      <w:r w:rsidRPr="00EE0056">
        <w:rPr>
          <w:rFonts w:ascii="Palatino Linotype" w:eastAsia="Palatino Linotype" w:hAnsi="Palatino Linotype" w:cs="Palatino Linotype"/>
        </w:rPr>
        <w:t>abocará</w:t>
      </w:r>
      <w:r w:rsidRPr="00EE0056">
        <w:rPr>
          <w:rFonts w:ascii="Palatino Linotype" w:eastAsia="Palatino Linotype" w:hAnsi="Palatino Linotype" w:cs="Palatino Linotype"/>
          <w:color w:val="000000"/>
        </w:rPr>
        <w:t xml:space="preserve"> en determinar si el Sujeto Obligado con su respuesta ciertamente actualiza la causal de procedencia</w:t>
      </w:r>
      <w:r w:rsidRPr="00EE0056">
        <w:rPr>
          <w:rFonts w:ascii="Palatino Linotype" w:eastAsia="Palatino Linotype" w:hAnsi="Palatino Linotype" w:cs="Palatino Linotype"/>
          <w:b/>
          <w:bCs/>
          <w:color w:val="000000"/>
        </w:rPr>
        <w:t xml:space="preserve"> </w:t>
      </w:r>
      <w:r w:rsidRPr="00EE0056">
        <w:rPr>
          <w:rFonts w:ascii="Palatino Linotype" w:eastAsia="Palatino Linotype" w:hAnsi="Palatino Linotype" w:cs="Palatino Linotype"/>
          <w:color w:val="000000"/>
        </w:rPr>
        <w:t>señalada.</w:t>
      </w:r>
    </w:p>
    <w:p w:rsidR="006B6A8C" w:rsidRPr="00EE0056" w:rsidRDefault="006B6A8C">
      <w:pPr>
        <w:spacing w:line="360" w:lineRule="auto"/>
        <w:ind w:right="-787"/>
        <w:rPr>
          <w:rFonts w:ascii="Palatino Linotype" w:eastAsia="Palatino Linotype" w:hAnsi="Palatino Linotype" w:cs="Palatino Linotype"/>
        </w:rPr>
      </w:pPr>
    </w:p>
    <w:p w:rsidR="006B6A8C" w:rsidRPr="00EE0056" w:rsidRDefault="00DD6CA9">
      <w:pPr>
        <w:pStyle w:val="Ttulo2"/>
        <w:rPr>
          <w:rFonts w:ascii="Palatino Linotype" w:eastAsia="Palatino Linotype" w:hAnsi="Palatino Linotype" w:cs="Palatino Linotype"/>
          <w:b/>
          <w:bCs/>
          <w:color w:val="000000"/>
          <w:sz w:val="24"/>
          <w:szCs w:val="24"/>
        </w:rPr>
      </w:pPr>
      <w:bookmarkStart w:id="6" w:name="_heading=h.1t3h5sf" w:colFirst="0" w:colLast="0"/>
      <w:bookmarkEnd w:id="6"/>
      <w:r w:rsidRPr="00EE0056">
        <w:rPr>
          <w:rFonts w:ascii="Palatino Linotype" w:eastAsia="Palatino Linotype" w:hAnsi="Palatino Linotype" w:cs="Palatino Linotype"/>
          <w:b/>
          <w:bCs/>
          <w:color w:val="000000"/>
          <w:sz w:val="24"/>
          <w:szCs w:val="24"/>
        </w:rPr>
        <w:t>CUARTO. Del estudio y resolución del asunto.</w:t>
      </w:r>
    </w:p>
    <w:p w:rsidR="006B6A8C" w:rsidRPr="00EE0056" w:rsidRDefault="006B6A8C"/>
    <w:p w:rsidR="006B6A8C" w:rsidRPr="00EE0056" w:rsidRDefault="00DD6CA9">
      <w:pPr>
        <w:numPr>
          <w:ilvl w:val="0"/>
          <w:numId w:val="2"/>
        </w:numPr>
        <w:spacing w:line="360" w:lineRule="auto"/>
        <w:ind w:left="0" w:right="-787" w:firstLine="0"/>
        <w:jc w:val="both"/>
        <w:rPr>
          <w:rFonts w:ascii="Palatino Linotype" w:eastAsia="Palatino Linotype" w:hAnsi="Palatino Linotype" w:cs="Palatino Linotype"/>
        </w:rPr>
      </w:pPr>
      <w:r w:rsidRPr="00EE0056">
        <w:rPr>
          <w:rFonts w:ascii="Palatino Linotype" w:eastAsia="Palatino Linotype" w:hAnsi="Palatino Linotype" w:cs="Palatino Linotype"/>
        </w:rPr>
        <w:t>Determinado lo anterior; revisaremos la atención otorgada por el Sujeto Obligado a la solicitud que dio origen a este recurso, considerando imprescindible establecer lo que la regulación determina, por ello, en primer lugar, vamos a revisar lo que mandata nuestra Ley de Transparencia local, en su artículo 12, el cual establece que quienes generen, recopilen, administren, manejen, procesen, archiven o conserven información pública serán responsables de la misma, del mismo modo, el artículo 18, establece que los Sujetos Obligados deberán documentar todo acto que derive del ejercicio de sus facultades, competencias o funciones desde su origen la eventual publicidad y reutilización de la información que generen.</w:t>
      </w:r>
    </w:p>
    <w:p w:rsidR="006B6A8C" w:rsidRPr="00EE0056" w:rsidRDefault="00DD6CA9">
      <w:pPr>
        <w:numPr>
          <w:ilvl w:val="0"/>
          <w:numId w:val="2"/>
        </w:numPr>
        <w:spacing w:line="360" w:lineRule="auto"/>
        <w:ind w:left="0" w:right="-787" w:firstLine="0"/>
        <w:jc w:val="both"/>
        <w:rPr>
          <w:rFonts w:ascii="Palatino Linotype" w:eastAsia="Palatino Linotype" w:hAnsi="Palatino Linotype" w:cs="Palatino Linotype"/>
        </w:rPr>
      </w:pPr>
      <w:r w:rsidRPr="00EE0056">
        <w:rPr>
          <w:rFonts w:ascii="Palatino Linotype" w:eastAsia="Palatino Linotype" w:hAnsi="Palatino Linotype" w:cs="Palatino Linotype"/>
        </w:rPr>
        <w:lastRenderedPageBreak/>
        <w:t>Asimismo, es relevante mencionar que el artículo 19, del ordenamiento local de la materia señala que se presume que la información debe existir si se refiere a las facultades, competencias y funciones que los ordenamientos jurídicos aplicables otorgan a los sujetos obligados y en caso de que dichas facultades no se hayan ejercido, se deberá motivar la respuesta en función de las causas que motivaron tal circunstancia.</w:t>
      </w:r>
    </w:p>
    <w:p w:rsidR="006B6A8C" w:rsidRPr="00EE0056" w:rsidRDefault="006B6A8C">
      <w:pPr>
        <w:pBdr>
          <w:top w:val="nil"/>
          <w:left w:val="nil"/>
          <w:bottom w:val="nil"/>
          <w:right w:val="nil"/>
          <w:between w:val="nil"/>
        </w:pBdr>
        <w:spacing w:line="360" w:lineRule="auto"/>
        <w:ind w:left="720" w:right="-787"/>
        <w:rPr>
          <w:rFonts w:ascii="Palatino Linotype" w:eastAsia="Palatino Linotype" w:hAnsi="Palatino Linotype" w:cs="Palatino Linotype"/>
          <w:color w:val="000000"/>
        </w:rPr>
      </w:pPr>
    </w:p>
    <w:p w:rsidR="006B6A8C" w:rsidRPr="00EE0056" w:rsidRDefault="00DD6CA9">
      <w:pPr>
        <w:numPr>
          <w:ilvl w:val="0"/>
          <w:numId w:val="2"/>
        </w:numPr>
        <w:spacing w:line="360" w:lineRule="auto"/>
        <w:ind w:left="0" w:right="-787" w:firstLine="0"/>
        <w:jc w:val="both"/>
        <w:rPr>
          <w:rFonts w:ascii="Palatino Linotype" w:eastAsia="Palatino Linotype" w:hAnsi="Palatino Linotype" w:cs="Palatino Linotype"/>
        </w:rPr>
      </w:pPr>
      <w:r w:rsidRPr="00EE0056">
        <w:rPr>
          <w:rFonts w:ascii="Palatino Linotype" w:eastAsia="Palatino Linotype" w:hAnsi="Palatino Linotype" w:cs="Palatino Linotype"/>
        </w:rPr>
        <w:t>Los artículos antes citados, refieren que el derecho de acceso a la información pública es un derecho humano que abarca el solicitar, investigar, difundir y buscar información que se encuentre en los archivos de los sujetos obligados, ya sea porque estos las generaron o la poseen en atención a sus funciones, por lo que se le considera un bien común de dominio público, toda vez que al tratarse de acciones ejercidas por un servidor público, este lo hace en representación del Estado, por lo que le pertenece a todos y debe ser accesible a cualquier persona, ya sea que los particulares la puedan consultar por encontrarse publicada en cualquier medio de difusión o porque la requieren a través de una solicitud de acceso a la información, siempre y cuando no encuadre en una de las excepciones contempladas por la ley.</w:t>
      </w:r>
    </w:p>
    <w:p w:rsidR="006B6A8C" w:rsidRPr="00EE0056" w:rsidRDefault="006B6A8C">
      <w:pPr>
        <w:spacing w:line="360" w:lineRule="auto"/>
        <w:ind w:right="-787"/>
        <w:jc w:val="both"/>
        <w:rPr>
          <w:rFonts w:ascii="Palatino Linotype" w:eastAsia="Palatino Linotype" w:hAnsi="Palatino Linotype" w:cs="Palatino Linotype"/>
        </w:rPr>
      </w:pPr>
    </w:p>
    <w:p w:rsidR="006B6A8C" w:rsidRPr="00EE0056" w:rsidRDefault="00DD6CA9">
      <w:pPr>
        <w:numPr>
          <w:ilvl w:val="0"/>
          <w:numId w:val="3"/>
        </w:numPr>
        <w:pBdr>
          <w:top w:val="nil"/>
          <w:left w:val="nil"/>
          <w:bottom w:val="nil"/>
          <w:right w:val="nil"/>
          <w:between w:val="nil"/>
        </w:pBdr>
        <w:spacing w:line="360" w:lineRule="auto"/>
        <w:ind w:right="-787"/>
        <w:rPr>
          <w:rFonts w:ascii="Palatino Linotype" w:eastAsia="Palatino Linotype" w:hAnsi="Palatino Linotype" w:cs="Palatino Linotype"/>
          <w:b/>
          <w:bCs/>
          <w:color w:val="000000"/>
        </w:rPr>
      </w:pPr>
      <w:r w:rsidRPr="00EE0056">
        <w:rPr>
          <w:rFonts w:ascii="Palatino Linotype" w:eastAsia="Palatino Linotype" w:hAnsi="Palatino Linotype" w:cs="Palatino Linotype"/>
          <w:b/>
          <w:bCs/>
          <w:color w:val="000000"/>
        </w:rPr>
        <w:t>Del Sujeto Obligado.</w:t>
      </w:r>
    </w:p>
    <w:p w:rsidR="006B6A8C" w:rsidRPr="00EE0056" w:rsidRDefault="00DD6CA9">
      <w:pPr>
        <w:numPr>
          <w:ilvl w:val="0"/>
          <w:numId w:val="2"/>
        </w:numPr>
        <w:spacing w:line="360" w:lineRule="auto"/>
        <w:ind w:left="0" w:right="-787" w:firstLine="0"/>
        <w:jc w:val="both"/>
      </w:pPr>
      <w:r w:rsidRPr="00EE0056">
        <w:rPr>
          <w:rFonts w:ascii="Palatino Linotype" w:eastAsia="Palatino Linotype" w:hAnsi="Palatino Linotype" w:cs="Palatino Linotype"/>
        </w:rPr>
        <w:t xml:space="preserve">La Administración Pública Municipal se compone por las Dependencias, Entidades y Organismos Auxiliares, a través de los cuales el Ayuntamiento realiza actividades para satisfacer las necesidades generales que constituyen el objeto de los servicios y funciones públicas, y para una mejor eficiencia, se dividirá en Centralizada y Descentralizada, la Administración Pública Descentralizada cuenta dentro de su integración con el Organismo </w:t>
      </w:r>
      <w:r w:rsidRPr="00EE0056">
        <w:rPr>
          <w:rFonts w:ascii="Palatino Linotype" w:eastAsia="Palatino Linotype" w:hAnsi="Palatino Linotype" w:cs="Palatino Linotype"/>
        </w:rPr>
        <w:lastRenderedPageBreak/>
        <w:t>Público Descentralizado para la prestación de los Servicios de Agua Potable, Alcantarillado y Saneamiento del Municipio de Naucalpan. (OAPAS), de conformidad con el artículo 42, fracción I, del Bando Municipal 2025.</w:t>
      </w:r>
    </w:p>
    <w:p w:rsidR="006B6A8C" w:rsidRPr="00EE0056" w:rsidRDefault="006B6A8C">
      <w:pPr>
        <w:spacing w:line="360" w:lineRule="auto"/>
        <w:ind w:right="-787"/>
        <w:jc w:val="both"/>
      </w:pPr>
    </w:p>
    <w:p w:rsidR="006B6A8C" w:rsidRPr="00EE0056" w:rsidRDefault="00DD6CA9">
      <w:pPr>
        <w:numPr>
          <w:ilvl w:val="0"/>
          <w:numId w:val="2"/>
        </w:numPr>
        <w:spacing w:line="360" w:lineRule="auto"/>
        <w:ind w:left="0" w:right="-787" w:firstLine="0"/>
        <w:jc w:val="both"/>
      </w:pPr>
      <w:r w:rsidRPr="00EE0056">
        <w:rPr>
          <w:rFonts w:ascii="Palatino Linotype" w:eastAsia="Palatino Linotype" w:hAnsi="Palatino Linotype" w:cs="Palatino Linotype"/>
        </w:rPr>
        <w:t>La administración del Organismo está a cargo del Consejo Directivo como máximo órgano de gobierno, y del Director General. Para el despacho de los asuntos de competencia del Sujeto Obligado, el Director General tendrá la asistencia de diversas áreas administrativas que integran la estructura orgánica, tal como lo señala  el Reglamento Orgánico del Organismo Público Descentralizado para la Prestación de los Servicios de Agua Potable, Alcantarillado y Saneamiento del Municipio de Naucalpan, en su artículo 27:</w:t>
      </w:r>
    </w:p>
    <w:p w:rsidR="006B6A8C" w:rsidRPr="00EE0056" w:rsidRDefault="006B6A8C">
      <w:pPr>
        <w:ind w:right="-787"/>
        <w:jc w:val="both"/>
      </w:pPr>
    </w:p>
    <w:p w:rsidR="006B6A8C" w:rsidRPr="00EE0056" w:rsidRDefault="00DD6CA9">
      <w:pPr>
        <w:ind w:left="567" w:right="-788"/>
        <w:jc w:val="center"/>
        <w:rPr>
          <w:rFonts w:ascii="Palatino Linotype" w:eastAsia="Palatino Linotype" w:hAnsi="Palatino Linotype" w:cs="Palatino Linotype"/>
          <w:b/>
          <w:bCs/>
          <w:i/>
          <w:iCs/>
        </w:rPr>
      </w:pPr>
      <w:r w:rsidRPr="00EE0056">
        <w:rPr>
          <w:rFonts w:ascii="Palatino Linotype" w:eastAsia="Palatino Linotype" w:hAnsi="Palatino Linotype" w:cs="Palatino Linotype"/>
          <w:b/>
          <w:bCs/>
          <w:i/>
          <w:iCs/>
        </w:rPr>
        <w:t>Reglamento Orgánico del Organismo Público Descentralizado para la prestación de los servicios de agua potable, alcantarillado y saneamiento del Municipio de Naucalpan</w:t>
      </w:r>
    </w:p>
    <w:p w:rsidR="006B6A8C" w:rsidRPr="00EE0056" w:rsidRDefault="006B6A8C">
      <w:pPr>
        <w:ind w:left="567" w:right="-788"/>
        <w:jc w:val="center"/>
        <w:rPr>
          <w:rFonts w:ascii="Palatino Linotype" w:eastAsia="Palatino Linotype" w:hAnsi="Palatino Linotype" w:cs="Palatino Linotype"/>
          <w:b/>
          <w:bCs/>
          <w:i/>
          <w:iCs/>
        </w:rPr>
      </w:pPr>
    </w:p>
    <w:p w:rsidR="006B6A8C" w:rsidRPr="00EE0056" w:rsidRDefault="00DD6CA9">
      <w:pPr>
        <w:ind w:left="567" w:right="-788"/>
        <w:jc w:val="both"/>
        <w:rPr>
          <w:rFonts w:ascii="Palatino Linotype" w:eastAsia="Palatino Linotype" w:hAnsi="Palatino Linotype" w:cs="Palatino Linotype"/>
          <w:i/>
          <w:iCs/>
        </w:rPr>
      </w:pPr>
      <w:r w:rsidRPr="00EE0056">
        <w:rPr>
          <w:rFonts w:ascii="Palatino Linotype" w:eastAsia="Palatino Linotype" w:hAnsi="Palatino Linotype" w:cs="Palatino Linotype"/>
          <w:b/>
          <w:bCs/>
          <w:i/>
          <w:iCs/>
        </w:rPr>
        <w:t xml:space="preserve">Artículo 27.- </w:t>
      </w:r>
      <w:r w:rsidRPr="00EE0056">
        <w:rPr>
          <w:rFonts w:ascii="Palatino Linotype" w:eastAsia="Palatino Linotype" w:hAnsi="Palatino Linotype" w:cs="Palatino Linotype"/>
          <w:i/>
          <w:iCs/>
        </w:rPr>
        <w:t>Para el despacho de los asuntos de su competencia, el Director General tendrá la asistencia de las siguientes áreas administrativas que integran la estructura orgánica:</w:t>
      </w:r>
    </w:p>
    <w:p w:rsidR="006B6A8C" w:rsidRPr="00EE0056" w:rsidRDefault="006B6A8C">
      <w:pPr>
        <w:ind w:left="567" w:right="-788"/>
        <w:jc w:val="both"/>
        <w:rPr>
          <w:rFonts w:ascii="Palatino Linotype" w:eastAsia="Palatino Linotype" w:hAnsi="Palatino Linotype" w:cs="Palatino Linotype"/>
          <w:i/>
          <w:iCs/>
        </w:rPr>
      </w:pPr>
    </w:p>
    <w:p w:rsidR="006B6A8C" w:rsidRPr="00EE0056" w:rsidRDefault="00DD6CA9">
      <w:pPr>
        <w:ind w:left="567" w:right="-788"/>
        <w:jc w:val="both"/>
        <w:rPr>
          <w:rFonts w:ascii="Palatino Linotype" w:eastAsia="Palatino Linotype" w:hAnsi="Palatino Linotype" w:cs="Palatino Linotype"/>
          <w:i/>
          <w:iCs/>
        </w:rPr>
      </w:pPr>
      <w:r w:rsidRPr="00EE0056">
        <w:rPr>
          <w:rFonts w:ascii="Palatino Linotype" w:eastAsia="Palatino Linotype" w:hAnsi="Palatino Linotype" w:cs="Palatino Linotype"/>
          <w:i/>
          <w:iCs/>
        </w:rPr>
        <w:t xml:space="preserve">I. DIRECCIÓN GENERAL: </w:t>
      </w:r>
    </w:p>
    <w:p w:rsidR="006B6A8C" w:rsidRPr="00EE0056" w:rsidRDefault="00DD6CA9">
      <w:pPr>
        <w:ind w:left="567" w:right="-788"/>
        <w:jc w:val="both"/>
        <w:rPr>
          <w:rFonts w:ascii="Palatino Linotype" w:eastAsia="Palatino Linotype" w:hAnsi="Palatino Linotype" w:cs="Palatino Linotype"/>
          <w:i/>
          <w:iCs/>
        </w:rPr>
      </w:pPr>
      <w:r w:rsidRPr="00EE0056">
        <w:rPr>
          <w:rFonts w:ascii="Palatino Linotype" w:eastAsia="Palatino Linotype" w:hAnsi="Palatino Linotype" w:cs="Palatino Linotype"/>
          <w:i/>
          <w:iCs/>
        </w:rPr>
        <w:t>…</w:t>
      </w:r>
    </w:p>
    <w:p w:rsidR="006B6A8C" w:rsidRPr="00EE0056" w:rsidRDefault="00DD6CA9">
      <w:pPr>
        <w:ind w:left="567" w:right="-788"/>
        <w:jc w:val="both"/>
        <w:rPr>
          <w:rFonts w:ascii="Palatino Linotype" w:eastAsia="Palatino Linotype" w:hAnsi="Palatino Linotype" w:cs="Palatino Linotype"/>
          <w:i/>
          <w:iCs/>
        </w:rPr>
      </w:pPr>
      <w:r w:rsidRPr="00EE0056">
        <w:rPr>
          <w:rFonts w:ascii="Palatino Linotype" w:eastAsia="Palatino Linotype" w:hAnsi="Palatino Linotype" w:cs="Palatino Linotype"/>
          <w:i/>
          <w:iCs/>
        </w:rPr>
        <w:t xml:space="preserve"> II. SECRETARÍA TÉCNICA. </w:t>
      </w:r>
    </w:p>
    <w:p w:rsidR="006B6A8C" w:rsidRPr="00EE0056" w:rsidRDefault="00DD6CA9">
      <w:pPr>
        <w:ind w:left="567" w:right="-788"/>
        <w:jc w:val="both"/>
        <w:rPr>
          <w:rFonts w:ascii="Palatino Linotype" w:eastAsia="Palatino Linotype" w:hAnsi="Palatino Linotype" w:cs="Palatino Linotype"/>
          <w:b/>
          <w:bCs/>
          <w:i/>
          <w:iCs/>
        </w:rPr>
      </w:pPr>
      <w:r w:rsidRPr="00EE0056">
        <w:rPr>
          <w:rFonts w:ascii="Palatino Linotype" w:eastAsia="Palatino Linotype" w:hAnsi="Palatino Linotype" w:cs="Palatino Linotype"/>
          <w:b/>
          <w:bCs/>
          <w:i/>
          <w:iCs/>
        </w:rPr>
        <w:t xml:space="preserve">III. CONTRALORÍA INTERNA: </w:t>
      </w:r>
    </w:p>
    <w:p w:rsidR="006B6A8C" w:rsidRPr="00EE0056" w:rsidRDefault="00DD6CA9">
      <w:pPr>
        <w:ind w:left="567" w:right="-788"/>
        <w:jc w:val="both"/>
        <w:rPr>
          <w:rFonts w:ascii="Palatino Linotype" w:eastAsia="Palatino Linotype" w:hAnsi="Palatino Linotype" w:cs="Palatino Linotype"/>
          <w:i/>
          <w:iCs/>
        </w:rPr>
      </w:pPr>
      <w:r w:rsidRPr="00EE0056">
        <w:rPr>
          <w:rFonts w:ascii="Palatino Linotype" w:eastAsia="Palatino Linotype" w:hAnsi="Palatino Linotype" w:cs="Palatino Linotype"/>
          <w:i/>
          <w:iCs/>
        </w:rPr>
        <w:t xml:space="preserve">III.I. Subgerencia de Auditoría Financiera y Administrativa; </w:t>
      </w:r>
    </w:p>
    <w:p w:rsidR="006B6A8C" w:rsidRPr="00EE0056" w:rsidRDefault="00DD6CA9">
      <w:pPr>
        <w:ind w:left="567" w:right="-788"/>
        <w:jc w:val="both"/>
        <w:rPr>
          <w:rFonts w:ascii="Palatino Linotype" w:eastAsia="Palatino Linotype" w:hAnsi="Palatino Linotype" w:cs="Palatino Linotype"/>
          <w:i/>
          <w:iCs/>
        </w:rPr>
      </w:pPr>
      <w:r w:rsidRPr="00EE0056">
        <w:rPr>
          <w:rFonts w:ascii="Palatino Linotype" w:eastAsia="Palatino Linotype" w:hAnsi="Palatino Linotype" w:cs="Palatino Linotype"/>
          <w:i/>
          <w:iCs/>
        </w:rPr>
        <w:t>II.II. Subgerencia de Control de Obra;</w:t>
      </w:r>
    </w:p>
    <w:p w:rsidR="006B6A8C" w:rsidRPr="00EE0056" w:rsidRDefault="00DD6CA9">
      <w:pPr>
        <w:ind w:left="567" w:right="-788"/>
        <w:jc w:val="both"/>
        <w:rPr>
          <w:rFonts w:ascii="Palatino Linotype" w:eastAsia="Palatino Linotype" w:hAnsi="Palatino Linotype" w:cs="Palatino Linotype"/>
          <w:i/>
          <w:iCs/>
        </w:rPr>
      </w:pPr>
      <w:r w:rsidRPr="00EE0056">
        <w:rPr>
          <w:rFonts w:ascii="Palatino Linotype" w:eastAsia="Palatino Linotype" w:hAnsi="Palatino Linotype" w:cs="Palatino Linotype"/>
          <w:i/>
          <w:iCs/>
        </w:rPr>
        <w:t>III.II Bis. Subgerencia de Investigación;</w:t>
      </w:r>
    </w:p>
    <w:p w:rsidR="006B6A8C" w:rsidRPr="00EE0056" w:rsidRDefault="00DD6CA9">
      <w:pPr>
        <w:ind w:left="567" w:right="-788"/>
        <w:jc w:val="both"/>
        <w:rPr>
          <w:rFonts w:ascii="Palatino Linotype" w:eastAsia="Palatino Linotype" w:hAnsi="Palatino Linotype" w:cs="Palatino Linotype"/>
          <w:i/>
          <w:iCs/>
        </w:rPr>
      </w:pPr>
      <w:r w:rsidRPr="00EE0056">
        <w:rPr>
          <w:rFonts w:ascii="Palatino Linotype" w:eastAsia="Palatino Linotype" w:hAnsi="Palatino Linotype" w:cs="Palatino Linotype"/>
          <w:i/>
          <w:iCs/>
        </w:rPr>
        <w:t>…</w:t>
      </w:r>
    </w:p>
    <w:p w:rsidR="006B6A8C" w:rsidRPr="00EE0056" w:rsidRDefault="006B6A8C">
      <w:pPr>
        <w:ind w:left="567" w:right="-788"/>
        <w:jc w:val="both"/>
        <w:rPr>
          <w:rFonts w:ascii="Palatino Linotype" w:eastAsia="Palatino Linotype" w:hAnsi="Palatino Linotype" w:cs="Palatino Linotype"/>
          <w:i/>
          <w:iCs/>
        </w:rPr>
      </w:pPr>
    </w:p>
    <w:p w:rsidR="006B6A8C" w:rsidRPr="00EE0056" w:rsidRDefault="00DD6CA9">
      <w:pPr>
        <w:ind w:left="567" w:right="-788"/>
        <w:jc w:val="center"/>
        <w:rPr>
          <w:rFonts w:ascii="Palatino Linotype" w:eastAsia="Palatino Linotype" w:hAnsi="Palatino Linotype" w:cs="Palatino Linotype"/>
          <w:b/>
          <w:bCs/>
          <w:i/>
          <w:iCs/>
        </w:rPr>
      </w:pPr>
      <w:r w:rsidRPr="00EE0056">
        <w:rPr>
          <w:rFonts w:ascii="Palatino Linotype" w:eastAsia="Palatino Linotype" w:hAnsi="Palatino Linotype" w:cs="Palatino Linotype"/>
          <w:b/>
          <w:bCs/>
          <w:i/>
          <w:iCs/>
        </w:rPr>
        <w:t xml:space="preserve">CAPÍTULO SÉPTIMO </w:t>
      </w:r>
    </w:p>
    <w:p w:rsidR="006B6A8C" w:rsidRPr="00EE0056" w:rsidRDefault="00DD6CA9">
      <w:pPr>
        <w:ind w:left="567" w:right="-788"/>
        <w:jc w:val="center"/>
        <w:rPr>
          <w:rFonts w:ascii="Palatino Linotype" w:eastAsia="Palatino Linotype" w:hAnsi="Palatino Linotype" w:cs="Palatino Linotype"/>
          <w:i/>
          <w:iCs/>
        </w:rPr>
      </w:pPr>
      <w:r w:rsidRPr="00EE0056">
        <w:rPr>
          <w:rFonts w:ascii="Palatino Linotype" w:eastAsia="Palatino Linotype" w:hAnsi="Palatino Linotype" w:cs="Palatino Linotype"/>
          <w:b/>
          <w:bCs/>
          <w:i/>
          <w:iCs/>
        </w:rPr>
        <w:t>DE LA CONTRALORÍA INTERNA</w:t>
      </w:r>
    </w:p>
    <w:p w:rsidR="006B6A8C" w:rsidRPr="00EE0056" w:rsidRDefault="006B6A8C">
      <w:pPr>
        <w:ind w:left="567" w:right="-788"/>
        <w:jc w:val="both"/>
        <w:rPr>
          <w:rFonts w:ascii="Palatino Linotype" w:eastAsia="Palatino Linotype" w:hAnsi="Palatino Linotype" w:cs="Palatino Linotype"/>
          <w:i/>
          <w:iCs/>
        </w:rPr>
      </w:pPr>
    </w:p>
    <w:p w:rsidR="006B6A8C" w:rsidRPr="00EE0056" w:rsidRDefault="00DD6CA9">
      <w:pPr>
        <w:ind w:left="567" w:right="-788"/>
        <w:jc w:val="both"/>
        <w:rPr>
          <w:rFonts w:ascii="Palatino Linotype" w:eastAsia="Palatino Linotype" w:hAnsi="Palatino Linotype" w:cs="Palatino Linotype"/>
          <w:i/>
          <w:iCs/>
        </w:rPr>
      </w:pPr>
      <w:r w:rsidRPr="00EE0056">
        <w:rPr>
          <w:rFonts w:ascii="Palatino Linotype" w:eastAsia="Palatino Linotype" w:hAnsi="Palatino Linotype" w:cs="Palatino Linotype"/>
          <w:b/>
          <w:bCs/>
          <w:i/>
          <w:iCs/>
        </w:rPr>
        <w:lastRenderedPageBreak/>
        <w:t>Artículo 35</w:t>
      </w:r>
      <w:r w:rsidRPr="00EE0056">
        <w:rPr>
          <w:rFonts w:ascii="Palatino Linotype" w:eastAsia="Palatino Linotype" w:hAnsi="Palatino Linotype" w:cs="Palatino Linotype"/>
          <w:i/>
          <w:iCs/>
        </w:rPr>
        <w:t>.- La Contraloría Interna, estará a cargo de un titular, a quien se le denominará Contralor Interno, quien responderá directamente del desempeño de sus funciones ante el Director General, y quien tendrá las siguientes atribuciones y facultades relativas a su cargo:</w:t>
      </w:r>
    </w:p>
    <w:p w:rsidR="006B6A8C" w:rsidRPr="00EE0056" w:rsidRDefault="00DD6CA9">
      <w:pPr>
        <w:ind w:left="567" w:right="-788"/>
        <w:jc w:val="both"/>
        <w:rPr>
          <w:rFonts w:ascii="Palatino Linotype" w:eastAsia="Palatino Linotype" w:hAnsi="Palatino Linotype" w:cs="Palatino Linotype"/>
          <w:i/>
          <w:iCs/>
        </w:rPr>
      </w:pPr>
      <w:r w:rsidRPr="00EE0056">
        <w:rPr>
          <w:rFonts w:ascii="Palatino Linotype" w:eastAsia="Palatino Linotype" w:hAnsi="Palatino Linotype" w:cs="Palatino Linotype"/>
          <w:i/>
          <w:iCs/>
        </w:rPr>
        <w:t>…</w:t>
      </w:r>
    </w:p>
    <w:p w:rsidR="006B6A8C" w:rsidRPr="00EE0056" w:rsidRDefault="00DD6CA9">
      <w:pPr>
        <w:ind w:left="567" w:right="-788"/>
        <w:jc w:val="both"/>
        <w:rPr>
          <w:rFonts w:ascii="Palatino Linotype" w:eastAsia="Palatino Linotype" w:hAnsi="Palatino Linotype" w:cs="Palatino Linotype"/>
          <w:i/>
          <w:iCs/>
        </w:rPr>
      </w:pPr>
      <w:r w:rsidRPr="00EE0056">
        <w:rPr>
          <w:rFonts w:ascii="Palatino Linotype" w:eastAsia="Palatino Linotype" w:hAnsi="Palatino Linotype" w:cs="Palatino Linotype"/>
          <w:i/>
          <w:iCs/>
        </w:rPr>
        <w:t>VI. Proponer al Director General el Programa Anual de Auditoría y el Programa Operativo Anual para autorización del Consejo Directivo, así como cumplir con el mismo;</w:t>
      </w:r>
    </w:p>
    <w:p w:rsidR="006B6A8C" w:rsidRPr="00EE0056" w:rsidRDefault="00DD6CA9">
      <w:pPr>
        <w:ind w:left="567" w:right="-788"/>
        <w:jc w:val="both"/>
        <w:rPr>
          <w:rFonts w:ascii="Palatino Linotype" w:eastAsia="Palatino Linotype" w:hAnsi="Palatino Linotype" w:cs="Palatino Linotype"/>
          <w:i/>
          <w:iCs/>
        </w:rPr>
      </w:pPr>
      <w:r w:rsidRPr="00EE0056">
        <w:rPr>
          <w:rFonts w:ascii="Palatino Linotype" w:eastAsia="Palatino Linotype" w:hAnsi="Palatino Linotype" w:cs="Palatino Linotype"/>
          <w:i/>
          <w:iCs/>
        </w:rPr>
        <w:t>…</w:t>
      </w:r>
    </w:p>
    <w:p w:rsidR="006B6A8C" w:rsidRPr="00EE0056" w:rsidRDefault="00DD6CA9">
      <w:pPr>
        <w:ind w:left="567" w:right="-788"/>
        <w:jc w:val="both"/>
        <w:rPr>
          <w:rFonts w:ascii="Palatino Linotype" w:eastAsia="Palatino Linotype" w:hAnsi="Palatino Linotype" w:cs="Palatino Linotype"/>
          <w:i/>
          <w:iCs/>
        </w:rPr>
      </w:pPr>
      <w:r w:rsidRPr="00EE0056">
        <w:rPr>
          <w:rFonts w:ascii="Palatino Linotype" w:eastAsia="Palatino Linotype" w:hAnsi="Palatino Linotype" w:cs="Palatino Linotype"/>
          <w:b/>
          <w:bCs/>
          <w:i/>
          <w:iCs/>
        </w:rPr>
        <w:t>IX. Realizar auditorías e inspecciones, informar del resultado</w:t>
      </w:r>
      <w:r w:rsidRPr="00EE0056">
        <w:rPr>
          <w:rFonts w:ascii="Palatino Linotype" w:eastAsia="Palatino Linotype" w:hAnsi="Palatino Linotype" w:cs="Palatino Linotype"/>
          <w:i/>
          <w:iCs/>
        </w:rPr>
        <w:t xml:space="preserve"> de las mismas al Director General y dar seguimiento al cumplimiento de las observaciones y recomendaciones emitidas:</w:t>
      </w:r>
    </w:p>
    <w:p w:rsidR="006B6A8C" w:rsidRPr="00EE0056" w:rsidRDefault="00DD6CA9">
      <w:pPr>
        <w:ind w:left="567" w:right="-788"/>
        <w:jc w:val="both"/>
        <w:rPr>
          <w:rFonts w:ascii="Palatino Linotype" w:eastAsia="Palatino Linotype" w:hAnsi="Palatino Linotype" w:cs="Palatino Linotype"/>
          <w:i/>
          <w:iCs/>
        </w:rPr>
      </w:pPr>
      <w:r w:rsidRPr="00EE0056">
        <w:rPr>
          <w:rFonts w:ascii="Palatino Linotype" w:eastAsia="Palatino Linotype" w:hAnsi="Palatino Linotype" w:cs="Palatino Linotype"/>
          <w:i/>
          <w:iCs/>
        </w:rPr>
        <w:t>…</w:t>
      </w:r>
    </w:p>
    <w:p w:rsidR="006B6A8C" w:rsidRPr="00EE0056" w:rsidRDefault="006B6A8C">
      <w:pPr>
        <w:spacing w:line="360" w:lineRule="auto"/>
        <w:ind w:right="-787"/>
        <w:jc w:val="both"/>
        <w:rPr>
          <w:rFonts w:ascii="Palatino Linotype" w:eastAsia="Palatino Linotype" w:hAnsi="Palatino Linotype" w:cs="Palatino Linotype"/>
        </w:rPr>
      </w:pPr>
    </w:p>
    <w:p w:rsidR="006B6A8C" w:rsidRPr="00EE0056" w:rsidRDefault="00DD6CA9">
      <w:pPr>
        <w:numPr>
          <w:ilvl w:val="0"/>
          <w:numId w:val="2"/>
        </w:numPr>
        <w:spacing w:line="360" w:lineRule="auto"/>
        <w:ind w:left="0" w:right="-787" w:firstLine="0"/>
        <w:jc w:val="both"/>
      </w:pPr>
      <w:r w:rsidRPr="00EE0056">
        <w:rPr>
          <w:rFonts w:ascii="Palatino Linotype" w:eastAsia="Palatino Linotype" w:hAnsi="Palatino Linotype" w:cs="Palatino Linotype"/>
        </w:rPr>
        <w:t xml:space="preserve">De lo expuesto es de precisar que la respuesta fue emitida por la </w:t>
      </w:r>
      <w:r w:rsidRPr="00EE0056">
        <w:rPr>
          <w:rFonts w:ascii="Palatino Linotype" w:eastAsia="Palatino Linotype" w:hAnsi="Palatino Linotype" w:cs="Palatino Linotype"/>
          <w:b/>
          <w:bCs/>
        </w:rPr>
        <w:t>Contraloría Interna</w:t>
      </w:r>
      <w:r w:rsidRPr="00EE0056">
        <w:rPr>
          <w:rFonts w:ascii="Palatino Linotype" w:eastAsia="Palatino Linotype" w:hAnsi="Palatino Linotype" w:cs="Palatino Linotype"/>
        </w:rPr>
        <w:t xml:space="preserve">, por lo que podemos advertir que </w:t>
      </w:r>
      <w:r w:rsidRPr="00EE0056">
        <w:rPr>
          <w:rFonts w:ascii="Palatino Linotype" w:eastAsia="Palatino Linotype" w:hAnsi="Palatino Linotype" w:cs="Palatino Linotype"/>
          <w:b/>
          <w:bCs/>
        </w:rPr>
        <w:t xml:space="preserve">EL SUJETO OBLIGADO </w:t>
      </w:r>
      <w:r w:rsidRPr="00EE0056">
        <w:rPr>
          <w:rFonts w:ascii="Palatino Linotype" w:eastAsia="Palatino Linotype" w:hAnsi="Palatino Linotype" w:cs="Palatino Linotype"/>
        </w:rPr>
        <w:t>siguió el procedimiento inmerso en la normatividad aplicable, ya que turnó el requerimiento de información a la unidad administrativa competente, vigilando lo establecido por el artículo 162 de la Ley de Transparencia y Acceso a la Información Pública del Estado de México y Municipios, al turnar la solicitud de información al área en la que pudiera obrar la información de conformidad con la fracción XXXIX del artículo tercero de la legislación local vigente en materia de transparencia:</w:t>
      </w:r>
    </w:p>
    <w:p w:rsidR="006B6A8C" w:rsidRPr="00EE0056" w:rsidRDefault="006B6A8C">
      <w:pPr>
        <w:spacing w:line="360" w:lineRule="auto"/>
        <w:ind w:right="-787"/>
        <w:jc w:val="both"/>
      </w:pPr>
    </w:p>
    <w:p w:rsidR="006B6A8C" w:rsidRPr="00EE0056" w:rsidRDefault="00DD6CA9">
      <w:pPr>
        <w:ind w:left="708" w:right="62"/>
        <w:jc w:val="both"/>
        <w:rPr>
          <w:rFonts w:ascii="Palatino Linotype" w:eastAsia="Palatino Linotype" w:hAnsi="Palatino Linotype" w:cs="Palatino Linotype"/>
          <w:i/>
          <w:iCs/>
        </w:rPr>
      </w:pPr>
      <w:r w:rsidRPr="00EE0056">
        <w:rPr>
          <w:rFonts w:ascii="Palatino Linotype" w:eastAsia="Palatino Linotype" w:hAnsi="Palatino Linotype" w:cs="Palatino Linotype"/>
          <w:b/>
          <w:bCs/>
          <w:i/>
          <w:iCs/>
        </w:rPr>
        <w:t>XXXIX.</w:t>
      </w:r>
      <w:r w:rsidRPr="00EE0056">
        <w:rPr>
          <w:rFonts w:ascii="Palatino Linotype" w:eastAsia="Palatino Linotype" w:hAnsi="Palatino Linotype" w:cs="Palatino Linotype"/>
          <w:i/>
          <w:iCs/>
        </w:rPr>
        <w:t xml:space="preserve"> </w:t>
      </w:r>
      <w:r w:rsidRPr="00EE0056">
        <w:rPr>
          <w:rFonts w:ascii="Palatino Linotype" w:eastAsia="Palatino Linotype" w:hAnsi="Palatino Linotype" w:cs="Palatino Linotype"/>
          <w:b/>
          <w:bCs/>
          <w:i/>
          <w:iCs/>
        </w:rPr>
        <w:t>Servidor público habilitado</w:t>
      </w:r>
      <w:r w:rsidRPr="00EE0056">
        <w:rPr>
          <w:rFonts w:ascii="Palatino Linotype" w:eastAsia="Palatino Linotype" w:hAnsi="Palatino Linotype" w:cs="Palatino Linotype"/>
          <w:i/>
          <w:iCs/>
        </w:rPr>
        <w:t>: Persona encargada dentro de las diversas unidades administrativas o áreas del sujeto obligado, de apoyar, gestionar y entregar la información o datos personales que se ubiquen en la misma, a sus respectivas unidades de transparencia; respecto de las solicitudes presentadas y aportar en primera instancia el fundamento y motivación de la clasificación de la información.</w:t>
      </w:r>
    </w:p>
    <w:p w:rsidR="006B6A8C" w:rsidRPr="00EE0056" w:rsidRDefault="006B6A8C">
      <w:pPr>
        <w:spacing w:line="360" w:lineRule="auto"/>
        <w:ind w:left="708" w:right="62"/>
        <w:jc w:val="both"/>
        <w:rPr>
          <w:rFonts w:ascii="Palatino Linotype" w:eastAsia="Palatino Linotype" w:hAnsi="Palatino Linotype" w:cs="Palatino Linotype"/>
        </w:rPr>
      </w:pPr>
    </w:p>
    <w:p w:rsidR="006B6A8C" w:rsidRPr="00EE0056" w:rsidRDefault="00DD6CA9">
      <w:pPr>
        <w:numPr>
          <w:ilvl w:val="0"/>
          <w:numId w:val="2"/>
        </w:numPr>
        <w:spacing w:line="360" w:lineRule="auto"/>
        <w:ind w:left="0" w:right="-787" w:firstLine="0"/>
        <w:jc w:val="both"/>
      </w:pPr>
      <w:r w:rsidRPr="00EE0056">
        <w:rPr>
          <w:rFonts w:ascii="Palatino Linotype" w:eastAsia="Palatino Linotype" w:hAnsi="Palatino Linotype" w:cs="Palatino Linotype"/>
        </w:rPr>
        <w:lastRenderedPageBreak/>
        <w:t>Así las cosas, se advierte que efectivamente la Unidad de Transparencia cumplió con lo establecido en el artículo 162 de la Ley de Transparencia y Acceso a la Información Pública del Estado de México y Municipios, el cual menciona lo siguiente:</w:t>
      </w:r>
    </w:p>
    <w:p w:rsidR="006B6A8C" w:rsidRPr="00EE0056" w:rsidRDefault="006B6A8C">
      <w:pPr>
        <w:ind w:right="-788"/>
        <w:jc w:val="both"/>
      </w:pPr>
    </w:p>
    <w:p w:rsidR="006B6A8C" w:rsidRPr="00EE0056" w:rsidRDefault="00DD6CA9">
      <w:pPr>
        <w:ind w:left="425" w:right="-220"/>
        <w:jc w:val="both"/>
        <w:rPr>
          <w:rFonts w:ascii="Palatino Linotype" w:eastAsia="Palatino Linotype" w:hAnsi="Palatino Linotype" w:cs="Palatino Linotype"/>
          <w:i/>
          <w:iCs/>
        </w:rPr>
      </w:pPr>
      <w:r w:rsidRPr="00EE0056">
        <w:rPr>
          <w:rFonts w:ascii="Palatino Linotype" w:eastAsia="Palatino Linotype" w:hAnsi="Palatino Linotype" w:cs="Palatino Linotype"/>
          <w:i/>
          <w:iCs/>
        </w:rPr>
        <w:t>“</w:t>
      </w:r>
      <w:r w:rsidRPr="00EE0056">
        <w:rPr>
          <w:rFonts w:ascii="Palatino Linotype" w:eastAsia="Palatino Linotype" w:hAnsi="Palatino Linotype" w:cs="Palatino Linotype"/>
          <w:b/>
          <w:bCs/>
          <w:i/>
          <w:iCs/>
        </w:rPr>
        <w:t>Artículo 162.</w:t>
      </w:r>
      <w:r w:rsidRPr="00EE0056">
        <w:rPr>
          <w:rFonts w:ascii="Palatino Linotype" w:eastAsia="Palatino Linotype" w:hAnsi="Palatino Linotype" w:cs="Palatino Linotype"/>
          <w:i/>
          <w:iCs/>
        </w:rPr>
        <w:t xml:space="preserve"> Las unidades de transparencia deberán garantizar que las solicitudes se turnen a </w:t>
      </w:r>
      <w:r w:rsidRPr="00EE0056">
        <w:rPr>
          <w:rFonts w:ascii="Palatino Linotype" w:eastAsia="Palatino Linotype" w:hAnsi="Palatino Linotype" w:cs="Palatino Linotype"/>
          <w:b/>
          <w:bCs/>
          <w:i/>
          <w:iCs/>
        </w:rPr>
        <w:t>todas las Áreas competentes</w:t>
      </w:r>
      <w:r w:rsidRPr="00EE0056">
        <w:rPr>
          <w:rFonts w:ascii="Palatino Linotype" w:eastAsia="Palatino Linotype" w:hAnsi="Palatino Linotype" w:cs="Palatino Linotype"/>
          <w:i/>
          <w:iCs/>
        </w:rPr>
        <w:t xml:space="preserve"> que cuenten con la información o deban tenerla de acuerdo a sus facultades, competencias y funciones, con el objeto de que realicen una búsqueda exhaustiva y razonable de la información solicitada.”</w:t>
      </w:r>
    </w:p>
    <w:p w:rsidR="006B6A8C" w:rsidRPr="00EE0056" w:rsidRDefault="006B6A8C">
      <w:pPr>
        <w:spacing w:line="360" w:lineRule="auto"/>
        <w:ind w:right="-787"/>
        <w:jc w:val="both"/>
        <w:rPr>
          <w:rFonts w:ascii="Palatino Linotype" w:eastAsia="Palatino Linotype" w:hAnsi="Palatino Linotype" w:cs="Palatino Linotype"/>
          <w:color w:val="000000"/>
        </w:rPr>
      </w:pPr>
    </w:p>
    <w:p w:rsidR="006B6A8C" w:rsidRPr="00EE0056" w:rsidRDefault="00DD6CA9">
      <w:pPr>
        <w:numPr>
          <w:ilvl w:val="0"/>
          <w:numId w:val="2"/>
        </w:numPr>
        <w:spacing w:line="360" w:lineRule="auto"/>
        <w:ind w:left="0" w:right="-787" w:firstLine="0"/>
        <w:jc w:val="both"/>
        <w:rPr>
          <w:color w:val="000000"/>
        </w:rPr>
      </w:pPr>
      <w:r w:rsidRPr="00EE0056">
        <w:rPr>
          <w:rFonts w:ascii="Palatino Linotype" w:eastAsia="Palatino Linotype" w:hAnsi="Palatino Linotype" w:cs="Palatino Linotype"/>
        </w:rPr>
        <w:t>Es</w:t>
      </w:r>
      <w:r w:rsidRPr="00EE0056">
        <w:rPr>
          <w:rFonts w:ascii="Palatino Linotype" w:eastAsia="Palatino Linotype" w:hAnsi="Palatino Linotype" w:cs="Palatino Linotype"/>
          <w:color w:val="000000"/>
        </w:rPr>
        <w:t xml:space="preserve"> de subrayar que el derecho de acceso a la información pública, consiste en que la información solicitada conste en un soporte documental en cualquiera de sus formas, a saber: expedientes, reportes, estudios, actas, resoluciones, oficios, correspondencia, acuerdos, directivas, directrices, circulares, contratos, convenios, instructivos, notas, memorandos, estadísticas o bien, cualquier otro registro que documente el ejercicio de las facultades, funciones y competencias de los Sujetos Obligados; los que, podrán estar en cualquier medio, sea escrito, impreso, sonoro, visual, electrónico, informático u holográfico, de conformidad con el artículo 3, fracción XI, de la Ley de la materia, el cual dispone lo siguiente: </w:t>
      </w:r>
    </w:p>
    <w:p w:rsidR="006B6A8C" w:rsidRPr="00EE0056" w:rsidRDefault="006B6A8C">
      <w:pPr>
        <w:spacing w:line="360" w:lineRule="auto"/>
        <w:ind w:right="-787"/>
        <w:jc w:val="both"/>
        <w:rPr>
          <w:color w:val="000000"/>
        </w:rPr>
      </w:pPr>
    </w:p>
    <w:p w:rsidR="006B6A8C" w:rsidRPr="00EE0056" w:rsidRDefault="00DD6CA9">
      <w:pPr>
        <w:ind w:left="1134" w:right="-220"/>
        <w:jc w:val="both"/>
        <w:rPr>
          <w:rFonts w:ascii="Palatino Linotype" w:eastAsia="Palatino Linotype" w:hAnsi="Palatino Linotype" w:cs="Palatino Linotype"/>
          <w:i/>
          <w:iCs/>
          <w:color w:val="000000"/>
        </w:rPr>
      </w:pPr>
      <w:r w:rsidRPr="00EE0056">
        <w:rPr>
          <w:rFonts w:ascii="Palatino Linotype" w:eastAsia="Palatino Linotype" w:hAnsi="Palatino Linotype" w:cs="Palatino Linotype"/>
          <w:i/>
          <w:iCs/>
          <w:color w:val="000000"/>
        </w:rPr>
        <w:t>“</w:t>
      </w:r>
      <w:r w:rsidRPr="00EE0056">
        <w:rPr>
          <w:rFonts w:ascii="Palatino Linotype" w:eastAsia="Palatino Linotype" w:hAnsi="Palatino Linotype" w:cs="Palatino Linotype"/>
          <w:b/>
          <w:bCs/>
          <w:i/>
          <w:iCs/>
          <w:color w:val="000000"/>
        </w:rPr>
        <w:t xml:space="preserve">Artículo 3. </w:t>
      </w:r>
      <w:r w:rsidRPr="00EE0056">
        <w:rPr>
          <w:rFonts w:ascii="Palatino Linotype" w:eastAsia="Palatino Linotype" w:hAnsi="Palatino Linotype" w:cs="Palatino Linotype"/>
          <w:i/>
          <w:iCs/>
          <w:color w:val="000000"/>
        </w:rPr>
        <w:t>Para los efectos de la presente Ley se entenderá por:</w:t>
      </w:r>
    </w:p>
    <w:p w:rsidR="006B6A8C" w:rsidRPr="00EE0056" w:rsidRDefault="00DD6CA9">
      <w:pPr>
        <w:ind w:left="1134" w:right="-220"/>
        <w:jc w:val="both"/>
        <w:rPr>
          <w:rFonts w:ascii="Palatino Linotype" w:eastAsia="Palatino Linotype" w:hAnsi="Palatino Linotype" w:cs="Palatino Linotype"/>
          <w:i/>
          <w:iCs/>
          <w:color w:val="000000"/>
        </w:rPr>
      </w:pPr>
      <w:r w:rsidRPr="00EE0056">
        <w:rPr>
          <w:rFonts w:ascii="Palatino Linotype" w:eastAsia="Palatino Linotype" w:hAnsi="Palatino Linotype" w:cs="Palatino Linotype"/>
          <w:i/>
          <w:iCs/>
          <w:color w:val="000000"/>
        </w:rPr>
        <w:t>(…)</w:t>
      </w:r>
    </w:p>
    <w:p w:rsidR="006B6A8C" w:rsidRPr="00EE0056" w:rsidRDefault="00DD6CA9">
      <w:pPr>
        <w:ind w:left="1134" w:right="-220"/>
        <w:jc w:val="both"/>
        <w:rPr>
          <w:rFonts w:ascii="Palatino Linotype" w:eastAsia="Palatino Linotype" w:hAnsi="Palatino Linotype" w:cs="Palatino Linotype"/>
          <w:i/>
          <w:iCs/>
          <w:color w:val="000000"/>
        </w:rPr>
      </w:pPr>
      <w:r w:rsidRPr="00EE0056">
        <w:rPr>
          <w:rFonts w:ascii="Palatino Linotype" w:eastAsia="Palatino Linotype" w:hAnsi="Palatino Linotype" w:cs="Palatino Linotype"/>
          <w:b/>
          <w:bCs/>
          <w:i/>
          <w:iCs/>
          <w:color w:val="000000"/>
        </w:rPr>
        <w:t>XI. Documento:</w:t>
      </w:r>
      <w:r w:rsidRPr="00EE0056">
        <w:rPr>
          <w:rFonts w:ascii="Palatino Linotype" w:eastAsia="Palatino Linotype" w:hAnsi="Palatino Linotype" w:cs="Palatino Linotype"/>
          <w:i/>
          <w:iCs/>
          <w:color w:val="000000"/>
        </w:rPr>
        <w:t xml:space="preserve"> Los expedientes, reportes, estudios, actas, resoluciones, oficios, correspondencia, acuerdos, directivas, directrices, circulares, contratos, convenios, instructivos, notas, memorandos, estadísticas o bien, cualquier otro registro que documente el ejercicio de las facultades, funciones y competencias de los sujetos obligados, sus servidores públicos e integrantes, sin importar su fuente o fecha de elaboración. Los documentos podrán estar en cualquier medio, sea escrito, impreso, sonoro, visual, electrónico, informático u holográfico;</w:t>
      </w:r>
    </w:p>
    <w:p w:rsidR="006B6A8C" w:rsidRPr="00EE0056" w:rsidRDefault="00DD6CA9">
      <w:pPr>
        <w:spacing w:line="360" w:lineRule="auto"/>
        <w:ind w:left="1134" w:right="-220"/>
        <w:jc w:val="both"/>
        <w:rPr>
          <w:rFonts w:ascii="Palatino Linotype" w:eastAsia="Palatino Linotype" w:hAnsi="Palatino Linotype" w:cs="Palatino Linotype"/>
          <w:i/>
          <w:iCs/>
          <w:color w:val="000000"/>
        </w:rPr>
      </w:pPr>
      <w:r w:rsidRPr="00EE0056">
        <w:rPr>
          <w:rFonts w:ascii="Palatino Linotype" w:eastAsia="Palatino Linotype" w:hAnsi="Palatino Linotype" w:cs="Palatino Linotype"/>
          <w:i/>
          <w:iCs/>
          <w:color w:val="000000"/>
        </w:rPr>
        <w:t>(…)”</w:t>
      </w:r>
    </w:p>
    <w:p w:rsidR="006B6A8C" w:rsidRPr="00EE0056" w:rsidRDefault="006B6A8C">
      <w:pPr>
        <w:ind w:right="-787"/>
        <w:jc w:val="both"/>
        <w:rPr>
          <w:rFonts w:ascii="Palatino Linotype" w:eastAsia="Palatino Linotype" w:hAnsi="Palatino Linotype" w:cs="Palatino Linotype"/>
        </w:rPr>
      </w:pPr>
    </w:p>
    <w:p w:rsidR="006B6A8C" w:rsidRPr="00EE0056" w:rsidRDefault="00DD6CA9">
      <w:pPr>
        <w:numPr>
          <w:ilvl w:val="0"/>
          <w:numId w:val="2"/>
        </w:numPr>
        <w:spacing w:line="360" w:lineRule="auto"/>
        <w:ind w:left="0" w:right="-787" w:firstLine="0"/>
        <w:jc w:val="both"/>
        <w:rPr>
          <w:color w:val="000000"/>
        </w:rPr>
      </w:pPr>
      <w:r w:rsidRPr="00EE0056">
        <w:rPr>
          <w:rFonts w:ascii="Palatino Linotype" w:eastAsia="Palatino Linotype" w:hAnsi="Palatino Linotype" w:cs="Palatino Linotype"/>
          <w:color w:val="000000"/>
        </w:rPr>
        <w:t>Siendo aplicable el Criterio de interpretación en el orden administrativo número 0002-11, emitido por Acuerdo del Pleno del Instituto de Transparencia y Acceso a la Información Pública del Estado de México y Municipios; publicado en el Periódico Oficial del Gobierno del Estado Libre y Soberano de México “Gaceta del Gobierno”, el diecinueve de octubre de dos mil once, cuyo rubro y texto dispone:</w:t>
      </w:r>
    </w:p>
    <w:p w:rsidR="006B6A8C" w:rsidRPr="00EE0056" w:rsidRDefault="006B6A8C">
      <w:pPr>
        <w:spacing w:line="360" w:lineRule="auto"/>
        <w:ind w:right="-787"/>
        <w:jc w:val="both"/>
        <w:rPr>
          <w:color w:val="000000"/>
        </w:rPr>
      </w:pPr>
    </w:p>
    <w:p w:rsidR="006B6A8C" w:rsidRPr="00EE0056" w:rsidRDefault="00DD6CA9">
      <w:pPr>
        <w:ind w:left="850" w:right="-220"/>
        <w:jc w:val="both"/>
        <w:rPr>
          <w:rFonts w:ascii="Palatino Linotype" w:eastAsia="Palatino Linotype" w:hAnsi="Palatino Linotype" w:cs="Palatino Linotype"/>
          <w:b/>
          <w:bCs/>
          <w:i/>
          <w:iCs/>
        </w:rPr>
      </w:pPr>
      <w:r w:rsidRPr="00EE0056">
        <w:rPr>
          <w:rFonts w:ascii="Palatino Linotype" w:eastAsia="Palatino Linotype" w:hAnsi="Palatino Linotype" w:cs="Palatino Linotype"/>
          <w:b/>
          <w:bCs/>
        </w:rPr>
        <w:t>“</w:t>
      </w:r>
      <w:r w:rsidRPr="00EE0056">
        <w:rPr>
          <w:rFonts w:ascii="Palatino Linotype" w:eastAsia="Palatino Linotype" w:hAnsi="Palatino Linotype" w:cs="Palatino Linotype"/>
          <w:b/>
          <w:bCs/>
          <w:i/>
          <w:iCs/>
        </w:rPr>
        <w:t>CRITERIO 0002-11</w:t>
      </w:r>
    </w:p>
    <w:p w:rsidR="006B6A8C" w:rsidRPr="00EE0056" w:rsidRDefault="00DD6CA9">
      <w:pPr>
        <w:ind w:left="850" w:right="-220"/>
        <w:jc w:val="both"/>
        <w:rPr>
          <w:rFonts w:ascii="Palatino Linotype" w:eastAsia="Palatino Linotype" w:hAnsi="Palatino Linotype" w:cs="Palatino Linotype"/>
          <w:i/>
          <w:iCs/>
        </w:rPr>
      </w:pPr>
      <w:r w:rsidRPr="00EE0056">
        <w:rPr>
          <w:rFonts w:ascii="Palatino Linotype" w:eastAsia="Palatino Linotype" w:hAnsi="Palatino Linotype" w:cs="Palatino Linotype"/>
          <w:b/>
          <w:bCs/>
          <w:i/>
          <w:iCs/>
        </w:rPr>
        <w:t>INFORMACIÓN PÚBLICA, CONCEPTO DE, EN MATERIA DE TRANSPARENCIA. INTERPRETACIÓN SISTEMÁTICA DE LOS ARTÍCULOS 2°, FRACCIÓN V, XV, Y XVI, 3°, 4°, 11 Y 41.</w:t>
      </w:r>
      <w:r w:rsidRPr="00EE0056">
        <w:rPr>
          <w:rFonts w:ascii="Palatino Linotype" w:eastAsia="Palatino Linotype" w:hAnsi="Palatino Linotype" w:cs="Palatino Linotype"/>
          <w:i/>
          <w:iCs/>
        </w:rPr>
        <w:t xml:space="preserve"> De conformidad con los artículos antes referidos, el derecho de acceso a la información pública, se define en cuanto a su alcance y resultado material, el acceso a los archivos, registros y documentos públicos, administrados, generados o en posesión de los órganos u organismos públicos, en virtud del ejercicio de sus funciones de derecho público, sin importar su fuente, soporte o fecha de elaboración.</w:t>
      </w:r>
    </w:p>
    <w:p w:rsidR="006B6A8C" w:rsidRPr="00EE0056" w:rsidRDefault="00DD6CA9">
      <w:pPr>
        <w:ind w:left="850" w:right="-220"/>
        <w:jc w:val="both"/>
        <w:rPr>
          <w:rFonts w:ascii="Palatino Linotype" w:eastAsia="Palatino Linotype" w:hAnsi="Palatino Linotype" w:cs="Palatino Linotype"/>
          <w:i/>
          <w:iCs/>
        </w:rPr>
      </w:pPr>
      <w:r w:rsidRPr="00EE0056">
        <w:rPr>
          <w:rFonts w:ascii="Palatino Linotype" w:eastAsia="Palatino Linotype" w:hAnsi="Palatino Linotype" w:cs="Palatino Linotype"/>
          <w:i/>
          <w:iCs/>
        </w:rPr>
        <w:t>En consecuencia el acceso a la información se refiere a que se cumplan cualquiera de los siguientes tres supuestos:</w:t>
      </w:r>
    </w:p>
    <w:p w:rsidR="006B6A8C" w:rsidRPr="00EE0056" w:rsidRDefault="00DD6CA9">
      <w:pPr>
        <w:ind w:left="850" w:right="-220"/>
        <w:jc w:val="both"/>
        <w:rPr>
          <w:rFonts w:ascii="Palatino Linotype" w:eastAsia="Palatino Linotype" w:hAnsi="Palatino Linotype" w:cs="Palatino Linotype"/>
          <w:b/>
          <w:bCs/>
          <w:i/>
          <w:iCs/>
        </w:rPr>
      </w:pPr>
      <w:r w:rsidRPr="00EE0056">
        <w:rPr>
          <w:rFonts w:ascii="Palatino Linotype" w:eastAsia="Palatino Linotype" w:hAnsi="Palatino Linotype" w:cs="Palatino Linotype"/>
          <w:b/>
          <w:bCs/>
          <w:i/>
          <w:iCs/>
        </w:rPr>
        <w:t xml:space="preserve">1) </w:t>
      </w:r>
      <w:r w:rsidRPr="00EE0056">
        <w:rPr>
          <w:rFonts w:ascii="Palatino Linotype" w:eastAsia="Palatino Linotype" w:hAnsi="Palatino Linotype" w:cs="Palatino Linotype"/>
          <w:b/>
          <w:bCs/>
          <w:i/>
          <w:iCs/>
          <w:u w:val="single"/>
        </w:rPr>
        <w:t>Que se trate de información registrada en cualquier soporte documental, que en ejercicio de las atribuciones conferidas, sea generada por los Sujetos Obligados;</w:t>
      </w:r>
    </w:p>
    <w:p w:rsidR="006B6A8C" w:rsidRPr="00EE0056" w:rsidRDefault="00DD6CA9">
      <w:pPr>
        <w:ind w:left="850" w:right="-220"/>
        <w:jc w:val="both"/>
        <w:rPr>
          <w:rFonts w:ascii="Palatino Linotype" w:eastAsia="Palatino Linotype" w:hAnsi="Palatino Linotype" w:cs="Palatino Linotype"/>
          <w:i/>
          <w:iCs/>
        </w:rPr>
      </w:pPr>
      <w:r w:rsidRPr="00EE0056">
        <w:rPr>
          <w:rFonts w:ascii="Palatino Linotype" w:eastAsia="Palatino Linotype" w:hAnsi="Palatino Linotype" w:cs="Palatino Linotype"/>
          <w:i/>
          <w:iCs/>
        </w:rPr>
        <w:t>2) Que se trate de información registrada en cualquier soporte documental, que en ejercicio de las atribuciones conferidas, sea administrada por los Sujetos Obligados, y</w:t>
      </w:r>
    </w:p>
    <w:p w:rsidR="006B6A8C" w:rsidRPr="00EE0056" w:rsidRDefault="00DD6CA9">
      <w:pPr>
        <w:ind w:left="850" w:right="-220"/>
        <w:jc w:val="both"/>
        <w:rPr>
          <w:rFonts w:ascii="Palatino Linotype" w:eastAsia="Palatino Linotype" w:hAnsi="Palatino Linotype" w:cs="Palatino Linotype"/>
          <w:i/>
          <w:iCs/>
        </w:rPr>
      </w:pPr>
      <w:r w:rsidRPr="00EE0056">
        <w:rPr>
          <w:rFonts w:ascii="Palatino Linotype" w:eastAsia="Palatino Linotype" w:hAnsi="Palatino Linotype" w:cs="Palatino Linotype"/>
          <w:i/>
          <w:iCs/>
        </w:rPr>
        <w:t>3) Que se trate de información registrada en cualquier soporte documental, que en ejercicio de las atribuciones conferidas, se encuentre en posesión de los Sujetos Obligados.”</w:t>
      </w:r>
    </w:p>
    <w:p w:rsidR="006B6A8C" w:rsidRPr="00EE0056" w:rsidRDefault="00DD6CA9">
      <w:pPr>
        <w:tabs>
          <w:tab w:val="left" w:pos="851"/>
        </w:tabs>
        <w:spacing w:line="360" w:lineRule="auto"/>
        <w:ind w:left="850" w:right="-220"/>
        <w:rPr>
          <w:rFonts w:ascii="Palatino Linotype" w:eastAsia="Palatino Linotype" w:hAnsi="Palatino Linotype" w:cs="Palatino Linotype"/>
        </w:rPr>
      </w:pPr>
      <w:r w:rsidRPr="00EE0056">
        <w:rPr>
          <w:rFonts w:ascii="Palatino Linotype" w:eastAsia="Palatino Linotype" w:hAnsi="Palatino Linotype" w:cs="Palatino Linotype"/>
        </w:rPr>
        <w:t>(Énfasis Añadido)</w:t>
      </w:r>
    </w:p>
    <w:p w:rsidR="006B6A8C" w:rsidRPr="00EE0056" w:rsidRDefault="006B6A8C">
      <w:pPr>
        <w:pBdr>
          <w:top w:val="nil"/>
          <w:left w:val="nil"/>
          <w:bottom w:val="nil"/>
          <w:right w:val="nil"/>
          <w:between w:val="nil"/>
        </w:pBdr>
        <w:ind w:right="-787"/>
        <w:jc w:val="both"/>
        <w:rPr>
          <w:rFonts w:ascii="Palatino Linotype" w:eastAsia="Palatino Linotype" w:hAnsi="Palatino Linotype" w:cs="Palatino Linotype"/>
          <w:color w:val="000000"/>
        </w:rPr>
      </w:pPr>
    </w:p>
    <w:p w:rsidR="006B6A8C" w:rsidRPr="00EE0056" w:rsidRDefault="00DD6CA9">
      <w:pPr>
        <w:numPr>
          <w:ilvl w:val="0"/>
          <w:numId w:val="2"/>
        </w:numPr>
        <w:spacing w:line="360" w:lineRule="auto"/>
        <w:ind w:left="0" w:right="-787" w:firstLine="0"/>
        <w:jc w:val="both"/>
        <w:rPr>
          <w:color w:val="000000"/>
        </w:rPr>
      </w:pPr>
      <w:r w:rsidRPr="00EE0056">
        <w:rPr>
          <w:rFonts w:ascii="Palatino Linotype" w:eastAsia="Palatino Linotype" w:hAnsi="Palatino Linotype" w:cs="Palatino Linotype"/>
          <w:color w:val="000000"/>
        </w:rPr>
        <w:t>Por su parte los artículos 160 y 166, de la Ley local en la materia, que se reproduce de la siguiente forma:</w:t>
      </w:r>
    </w:p>
    <w:p w:rsidR="006B6A8C" w:rsidRPr="00EE0056" w:rsidRDefault="006B6A8C">
      <w:pPr>
        <w:spacing w:line="360" w:lineRule="auto"/>
        <w:ind w:right="-787"/>
        <w:jc w:val="both"/>
        <w:rPr>
          <w:color w:val="000000"/>
        </w:rPr>
      </w:pPr>
    </w:p>
    <w:p w:rsidR="006B6A8C" w:rsidRPr="00EE0056" w:rsidRDefault="00DD6CA9">
      <w:pPr>
        <w:ind w:left="566" w:right="-220"/>
        <w:jc w:val="both"/>
        <w:rPr>
          <w:rFonts w:ascii="Palatino Linotype" w:eastAsia="Palatino Linotype" w:hAnsi="Palatino Linotype" w:cs="Palatino Linotype"/>
          <w:i/>
          <w:iCs/>
        </w:rPr>
      </w:pPr>
      <w:r w:rsidRPr="00EE0056">
        <w:rPr>
          <w:rFonts w:ascii="Palatino Linotype" w:eastAsia="Palatino Linotype" w:hAnsi="Palatino Linotype" w:cs="Palatino Linotype"/>
          <w:i/>
          <w:iCs/>
        </w:rPr>
        <w:t>“</w:t>
      </w:r>
      <w:r w:rsidRPr="00EE0056">
        <w:rPr>
          <w:rFonts w:ascii="Palatino Linotype" w:eastAsia="Palatino Linotype" w:hAnsi="Palatino Linotype" w:cs="Palatino Linotype"/>
          <w:b/>
          <w:bCs/>
          <w:i/>
          <w:iCs/>
        </w:rPr>
        <w:t>Artículo 160.</w:t>
      </w:r>
      <w:r w:rsidRPr="00EE0056">
        <w:rPr>
          <w:rFonts w:ascii="Palatino Linotype" w:eastAsia="Palatino Linotype" w:hAnsi="Palatino Linotype" w:cs="Palatino Linotype"/>
          <w:i/>
          <w:iCs/>
        </w:rPr>
        <w:t xml:space="preserve"> </w:t>
      </w:r>
      <w:r w:rsidRPr="00EE0056">
        <w:rPr>
          <w:rFonts w:ascii="Palatino Linotype" w:eastAsia="Palatino Linotype" w:hAnsi="Palatino Linotype" w:cs="Palatino Linotype"/>
          <w:i/>
          <w:iCs/>
          <w:u w:val="single"/>
        </w:rPr>
        <w:t>Los sujetos obligados deberán otorgar acceso a los documentos que se encuentren en sus archivos o que estén obligados a documentar de acuerdo con sus facultades, competencias o funciones en el formato que el solicitante manifieste, de entre aquellos formatos existentes, conforme a las características físicas de la información o del lugar donde se encuentre así lo permita</w:t>
      </w:r>
      <w:r w:rsidRPr="00EE0056">
        <w:rPr>
          <w:rFonts w:ascii="Palatino Linotype" w:eastAsia="Palatino Linotype" w:hAnsi="Palatino Linotype" w:cs="Palatino Linotype"/>
          <w:i/>
          <w:iCs/>
        </w:rPr>
        <w:t>.</w:t>
      </w:r>
    </w:p>
    <w:p w:rsidR="006B6A8C" w:rsidRPr="00EE0056" w:rsidRDefault="006B6A8C">
      <w:pPr>
        <w:ind w:left="566" w:right="-220"/>
        <w:jc w:val="both"/>
        <w:rPr>
          <w:rFonts w:ascii="Palatino Linotype" w:eastAsia="Palatino Linotype" w:hAnsi="Palatino Linotype" w:cs="Palatino Linotype"/>
          <w:i/>
          <w:iCs/>
        </w:rPr>
      </w:pPr>
    </w:p>
    <w:p w:rsidR="006B6A8C" w:rsidRPr="00EE0056" w:rsidRDefault="00DD6CA9">
      <w:pPr>
        <w:ind w:left="566" w:right="-220"/>
        <w:jc w:val="both"/>
        <w:rPr>
          <w:rFonts w:ascii="Palatino Linotype" w:eastAsia="Palatino Linotype" w:hAnsi="Palatino Linotype" w:cs="Palatino Linotype"/>
          <w:i/>
          <w:iCs/>
        </w:rPr>
      </w:pPr>
      <w:r w:rsidRPr="00EE0056">
        <w:rPr>
          <w:rFonts w:ascii="Palatino Linotype" w:eastAsia="Palatino Linotype" w:hAnsi="Palatino Linotype" w:cs="Palatino Linotype"/>
          <w:i/>
          <w:iCs/>
        </w:rPr>
        <w:t>En caso que la información solicitada consista en bases de datos se deberá privilegiar la entrega de la misma en formatos abiertos.</w:t>
      </w:r>
    </w:p>
    <w:p w:rsidR="006B6A8C" w:rsidRPr="00EE0056" w:rsidRDefault="00DD6CA9">
      <w:pPr>
        <w:ind w:left="566" w:right="-220"/>
        <w:jc w:val="both"/>
        <w:rPr>
          <w:rFonts w:ascii="Palatino Linotype" w:eastAsia="Palatino Linotype" w:hAnsi="Palatino Linotype" w:cs="Palatino Linotype"/>
          <w:i/>
          <w:iCs/>
          <w:u w:val="single"/>
        </w:rPr>
      </w:pPr>
      <w:r w:rsidRPr="00EE0056">
        <w:rPr>
          <w:rFonts w:ascii="Palatino Linotype" w:eastAsia="Palatino Linotype" w:hAnsi="Palatino Linotype" w:cs="Palatino Linotype"/>
          <w:b/>
          <w:bCs/>
          <w:i/>
          <w:iCs/>
        </w:rPr>
        <w:t>Artículo 166.</w:t>
      </w:r>
      <w:r w:rsidRPr="00EE0056">
        <w:rPr>
          <w:rFonts w:ascii="Palatino Linotype" w:eastAsia="Palatino Linotype" w:hAnsi="Palatino Linotype" w:cs="Palatino Linotype"/>
          <w:i/>
          <w:iCs/>
        </w:rPr>
        <w:t xml:space="preserve"> </w:t>
      </w:r>
      <w:r w:rsidRPr="00EE0056">
        <w:rPr>
          <w:rFonts w:ascii="Palatino Linotype" w:eastAsia="Palatino Linotype" w:hAnsi="Palatino Linotype" w:cs="Palatino Linotype"/>
          <w:i/>
          <w:iCs/>
          <w:u w:val="single"/>
        </w:rPr>
        <w:t>La obligación de acceso a la información pública se tendrá por cumplida cuando el solicitante tenga a su disposición la información requerida, o cuando realice la consulta de la misma en el lugar en el que ésta se localice.</w:t>
      </w:r>
    </w:p>
    <w:p w:rsidR="006B6A8C" w:rsidRPr="00EE0056" w:rsidRDefault="00DD6CA9">
      <w:pPr>
        <w:spacing w:line="360" w:lineRule="auto"/>
        <w:ind w:left="566" w:right="-220"/>
        <w:jc w:val="both"/>
        <w:rPr>
          <w:rFonts w:ascii="Palatino Linotype" w:eastAsia="Palatino Linotype" w:hAnsi="Palatino Linotype" w:cs="Palatino Linotype"/>
        </w:rPr>
      </w:pPr>
      <w:r w:rsidRPr="00EE0056">
        <w:rPr>
          <w:rFonts w:ascii="Palatino Linotype" w:eastAsia="Palatino Linotype" w:hAnsi="Palatino Linotype" w:cs="Palatino Linotype"/>
        </w:rPr>
        <w:t>(Énfasis añadido)</w:t>
      </w:r>
    </w:p>
    <w:p w:rsidR="006B6A8C" w:rsidRPr="00EE0056" w:rsidRDefault="006B6A8C">
      <w:pPr>
        <w:ind w:right="-787"/>
        <w:jc w:val="both"/>
        <w:rPr>
          <w:rFonts w:ascii="Palatino Linotype" w:eastAsia="Palatino Linotype" w:hAnsi="Palatino Linotype" w:cs="Palatino Linotype"/>
        </w:rPr>
      </w:pPr>
    </w:p>
    <w:p w:rsidR="006B6A8C" w:rsidRPr="00EE0056" w:rsidRDefault="00DD6CA9">
      <w:pPr>
        <w:numPr>
          <w:ilvl w:val="0"/>
          <w:numId w:val="2"/>
        </w:numPr>
        <w:spacing w:line="360" w:lineRule="auto"/>
        <w:ind w:left="0" w:right="-787" w:firstLine="0"/>
        <w:jc w:val="both"/>
        <w:rPr>
          <w:color w:val="000000"/>
        </w:rPr>
      </w:pPr>
      <w:r w:rsidRPr="00EE0056">
        <w:rPr>
          <w:rFonts w:ascii="Palatino Linotype" w:eastAsia="Palatino Linotype" w:hAnsi="Palatino Linotype" w:cs="Palatino Linotype"/>
          <w:color w:val="000000"/>
        </w:rPr>
        <w:t>Así que la obligación de los Sujetos Obligados de dar acceso a la información pública que generen, administren o posean, se tendrá por cumplida cuando el solicitante tenga a su disposición la información requerida, o cuando realice la consulta de la misma en el lugar que ésta se localice, siempre y cuando así resultare procedente.</w:t>
      </w:r>
    </w:p>
    <w:p w:rsidR="006B6A8C" w:rsidRPr="00EE0056" w:rsidRDefault="006B6A8C">
      <w:pPr>
        <w:spacing w:line="360" w:lineRule="auto"/>
        <w:ind w:right="-787"/>
        <w:jc w:val="both"/>
        <w:rPr>
          <w:color w:val="000000"/>
        </w:rPr>
      </w:pPr>
    </w:p>
    <w:p w:rsidR="006B6A8C" w:rsidRPr="00EE0056" w:rsidRDefault="00DD6CA9">
      <w:pPr>
        <w:numPr>
          <w:ilvl w:val="0"/>
          <w:numId w:val="5"/>
        </w:numPr>
        <w:pBdr>
          <w:top w:val="nil"/>
          <w:left w:val="nil"/>
          <w:bottom w:val="nil"/>
          <w:right w:val="nil"/>
          <w:between w:val="nil"/>
        </w:pBdr>
        <w:tabs>
          <w:tab w:val="left" w:pos="0"/>
          <w:tab w:val="left" w:pos="567"/>
        </w:tabs>
        <w:spacing w:line="360" w:lineRule="auto"/>
        <w:ind w:left="0" w:right="-788" w:firstLine="0"/>
        <w:jc w:val="both"/>
        <w:rPr>
          <w:rFonts w:ascii="Palatino Linotype" w:eastAsia="Palatino Linotype" w:hAnsi="Palatino Linotype" w:cs="Palatino Linotype"/>
          <w:color w:val="000000"/>
        </w:rPr>
      </w:pPr>
      <w:r w:rsidRPr="00EE0056">
        <w:rPr>
          <w:rFonts w:ascii="Palatino Linotype" w:eastAsia="Palatino Linotype" w:hAnsi="Palatino Linotype" w:cs="Palatino Linotype"/>
          <w:b/>
          <w:bCs/>
          <w:color w:val="000000"/>
        </w:rPr>
        <w:t xml:space="preserve">De la naturaleza de la información solicitada. </w:t>
      </w:r>
    </w:p>
    <w:p w:rsidR="006B6A8C" w:rsidRPr="00EE0056" w:rsidRDefault="00DD6CA9">
      <w:pPr>
        <w:numPr>
          <w:ilvl w:val="0"/>
          <w:numId w:val="2"/>
        </w:numPr>
        <w:spacing w:line="360" w:lineRule="auto"/>
        <w:ind w:left="0" w:right="-787" w:firstLine="0"/>
        <w:jc w:val="both"/>
        <w:rPr>
          <w:rFonts w:ascii="Palatino Linotype" w:eastAsia="Palatino Linotype" w:hAnsi="Palatino Linotype" w:cs="Palatino Linotype"/>
        </w:rPr>
      </w:pPr>
      <w:r w:rsidRPr="00EE0056">
        <w:rPr>
          <w:rFonts w:ascii="Palatino Linotype" w:eastAsia="Palatino Linotype" w:hAnsi="Palatino Linotype" w:cs="Palatino Linotype"/>
        </w:rPr>
        <w:t xml:space="preserve">Se </w:t>
      </w:r>
      <w:r w:rsidRPr="00EE0056">
        <w:rPr>
          <w:rFonts w:ascii="Palatino Linotype" w:eastAsia="Palatino Linotype" w:hAnsi="Palatino Linotype" w:cs="Palatino Linotype"/>
          <w:color w:val="000000"/>
        </w:rPr>
        <w:t>precisa</w:t>
      </w:r>
      <w:r w:rsidRPr="00EE0056">
        <w:rPr>
          <w:rFonts w:ascii="Palatino Linotype" w:eastAsia="Palatino Linotype" w:hAnsi="Palatino Linotype" w:cs="Palatino Linotype"/>
        </w:rPr>
        <w:t xml:space="preserve"> </w:t>
      </w:r>
      <w:r w:rsidRPr="00EE0056">
        <w:rPr>
          <w:rFonts w:ascii="Palatino Linotype" w:eastAsia="Palatino Linotype" w:hAnsi="Palatino Linotype" w:cs="Palatino Linotype"/>
          <w:color w:val="000000"/>
        </w:rPr>
        <w:t>que</w:t>
      </w:r>
      <w:r w:rsidRPr="00EE0056">
        <w:rPr>
          <w:rFonts w:ascii="Palatino Linotype" w:eastAsia="Palatino Linotype" w:hAnsi="Palatino Linotype" w:cs="Palatino Linotype"/>
        </w:rPr>
        <w:t xml:space="preserve"> se obvia el análisis de la competencia por parte del </w:t>
      </w:r>
      <w:r w:rsidRPr="00EE0056">
        <w:rPr>
          <w:rFonts w:ascii="Palatino Linotype" w:eastAsia="Palatino Linotype" w:hAnsi="Palatino Linotype" w:cs="Palatino Linotype"/>
          <w:b/>
          <w:bCs/>
        </w:rPr>
        <w:t>SUJETO OBLIGADO</w:t>
      </w:r>
      <w:r w:rsidRPr="00EE0056">
        <w:rPr>
          <w:rFonts w:ascii="Palatino Linotype" w:eastAsia="Palatino Linotype" w:hAnsi="Palatino Linotype" w:cs="Palatino Linotype"/>
        </w:rPr>
        <w:t>, para generar, administrar o poseer la información solicitada, dado que éste ha asumido la misma, en razón que en respuesta admitió contar con dicha información, tan es así que se pronunció sobre la información requerida y remitió una liga para la consulta de la información.</w:t>
      </w:r>
    </w:p>
    <w:p w:rsidR="006B6A8C" w:rsidRPr="00EE0056" w:rsidRDefault="006B6A8C">
      <w:pPr>
        <w:tabs>
          <w:tab w:val="left" w:pos="0"/>
          <w:tab w:val="left" w:pos="567"/>
        </w:tabs>
        <w:spacing w:line="360" w:lineRule="auto"/>
        <w:ind w:left="-566" w:right="-787"/>
        <w:jc w:val="both"/>
        <w:rPr>
          <w:rFonts w:ascii="Palatino Linotype" w:eastAsia="Palatino Linotype" w:hAnsi="Palatino Linotype" w:cs="Palatino Linotype"/>
        </w:rPr>
      </w:pPr>
    </w:p>
    <w:p w:rsidR="006B6A8C" w:rsidRPr="00EE0056" w:rsidRDefault="00DD6CA9">
      <w:pPr>
        <w:numPr>
          <w:ilvl w:val="0"/>
          <w:numId w:val="2"/>
        </w:numPr>
        <w:spacing w:line="360" w:lineRule="auto"/>
        <w:ind w:left="0" w:right="-787" w:firstLine="0"/>
        <w:jc w:val="both"/>
      </w:pPr>
      <w:bookmarkStart w:id="7" w:name="_heading=h.2s8eyo1" w:colFirst="0" w:colLast="0"/>
      <w:bookmarkEnd w:id="7"/>
      <w:r w:rsidRPr="00EE0056">
        <w:rPr>
          <w:rFonts w:ascii="Palatino Linotype" w:eastAsia="Palatino Linotype" w:hAnsi="Palatino Linotype" w:cs="Palatino Linotype"/>
        </w:rPr>
        <w:lastRenderedPageBreak/>
        <w:t xml:space="preserve">En efecto, el hecho de que </w:t>
      </w:r>
      <w:r w:rsidRPr="00EE0056">
        <w:rPr>
          <w:rFonts w:ascii="Palatino Linotype" w:eastAsia="Palatino Linotype" w:hAnsi="Palatino Linotype" w:cs="Palatino Linotype"/>
          <w:b/>
          <w:bCs/>
        </w:rPr>
        <w:t>EL SUJETO OBLIGADO</w:t>
      </w:r>
      <w:r w:rsidRPr="00EE0056">
        <w:rPr>
          <w:rFonts w:ascii="Palatino Linotype" w:eastAsia="Palatino Linotype" w:hAnsi="Palatino Linotype" w:cs="Palatino Linotype"/>
        </w:rPr>
        <w:t xml:space="preserve"> haya admitido contar con la información pública solicitada, acepta que la genera, posee y administra, en ejercicio de sus funciones de derecho público, motivo por el cual se actualiza el supuesto jurídico, previsto en el artículo 12 de la Ley de Transparencia y Acceso a la Información Pública del Estado de México y Municipios.</w:t>
      </w:r>
    </w:p>
    <w:p w:rsidR="006B6A8C" w:rsidRPr="00EE0056" w:rsidRDefault="006B6A8C">
      <w:pPr>
        <w:spacing w:line="360" w:lineRule="auto"/>
        <w:ind w:right="-787"/>
        <w:jc w:val="both"/>
      </w:pPr>
    </w:p>
    <w:p w:rsidR="006B6A8C" w:rsidRPr="00EE0056" w:rsidRDefault="00DD6CA9">
      <w:pPr>
        <w:tabs>
          <w:tab w:val="left" w:pos="8505"/>
        </w:tabs>
        <w:ind w:left="709" w:right="-858"/>
        <w:jc w:val="both"/>
        <w:rPr>
          <w:rFonts w:ascii="Palatino Linotype" w:eastAsia="Palatino Linotype" w:hAnsi="Palatino Linotype" w:cs="Palatino Linotype"/>
          <w:i/>
          <w:iCs/>
        </w:rPr>
      </w:pPr>
      <w:r w:rsidRPr="00EE0056">
        <w:rPr>
          <w:rFonts w:ascii="Palatino Linotype" w:eastAsia="Palatino Linotype" w:hAnsi="Palatino Linotype" w:cs="Palatino Linotype"/>
          <w:i/>
          <w:iCs/>
        </w:rPr>
        <w:t>“</w:t>
      </w:r>
      <w:r w:rsidRPr="00EE0056">
        <w:rPr>
          <w:rFonts w:ascii="Palatino Linotype" w:eastAsia="Palatino Linotype" w:hAnsi="Palatino Linotype" w:cs="Palatino Linotype"/>
          <w:b/>
          <w:bCs/>
          <w:i/>
          <w:iCs/>
        </w:rPr>
        <w:t>Artículo 12.</w:t>
      </w:r>
      <w:r w:rsidRPr="00EE0056">
        <w:rPr>
          <w:rFonts w:ascii="Palatino Linotype" w:eastAsia="Palatino Linotype" w:hAnsi="Palatino Linotype" w:cs="Palatino Linotype"/>
          <w:i/>
          <w:iCs/>
        </w:rPr>
        <w:t> Quienes generen, recopilen, administren, manejen, procesen, archiven o conserven información pública serán responsables de la misma en los términos de las disposiciones jurídicas aplicables.</w:t>
      </w:r>
    </w:p>
    <w:p w:rsidR="006B6A8C" w:rsidRPr="00EE0056" w:rsidRDefault="006B6A8C">
      <w:pPr>
        <w:tabs>
          <w:tab w:val="left" w:pos="8505"/>
        </w:tabs>
        <w:ind w:left="709" w:right="-858"/>
        <w:jc w:val="both"/>
        <w:rPr>
          <w:rFonts w:ascii="Palatino Linotype" w:eastAsia="Palatino Linotype" w:hAnsi="Palatino Linotype" w:cs="Palatino Linotype"/>
          <w:i/>
          <w:iCs/>
        </w:rPr>
      </w:pPr>
    </w:p>
    <w:p w:rsidR="006B6A8C" w:rsidRPr="00EE0056" w:rsidRDefault="00DD6CA9">
      <w:pPr>
        <w:tabs>
          <w:tab w:val="left" w:pos="8505"/>
        </w:tabs>
        <w:ind w:left="709" w:right="-858"/>
        <w:jc w:val="both"/>
        <w:rPr>
          <w:rFonts w:ascii="Palatino Linotype" w:eastAsia="Palatino Linotype" w:hAnsi="Palatino Linotype" w:cs="Palatino Linotype"/>
          <w:i/>
          <w:iCs/>
        </w:rPr>
      </w:pPr>
      <w:r w:rsidRPr="00EE0056">
        <w:rPr>
          <w:rFonts w:ascii="Palatino Linotype" w:eastAsia="Palatino Linotype" w:hAnsi="Palatino Linotype" w:cs="Palatino Linotype"/>
          <w:i/>
          <w:iCs/>
        </w:rPr>
        <w:t>Los sujetos obligados sólo proporcionarán la información pública que se les requiera y que obre en sus archivos y en el estado en que ésta se encuentre. La obligación de proporcionar información no comprende el procesamiento de la misma, ni el presentarla conforme al interés del solicitante; no estarán obligados a generarla, resumirla, efectuar cálculos o practicar investigaciones.”</w:t>
      </w:r>
    </w:p>
    <w:p w:rsidR="006B6A8C" w:rsidRPr="00EE0056" w:rsidRDefault="006B6A8C">
      <w:pPr>
        <w:tabs>
          <w:tab w:val="left" w:pos="8505"/>
        </w:tabs>
        <w:ind w:left="709" w:right="-858"/>
        <w:jc w:val="both"/>
        <w:rPr>
          <w:rFonts w:ascii="Palatino Linotype" w:eastAsia="Palatino Linotype" w:hAnsi="Palatino Linotype" w:cs="Palatino Linotype"/>
          <w:i/>
          <w:iCs/>
        </w:rPr>
      </w:pPr>
    </w:p>
    <w:p w:rsidR="006B6A8C" w:rsidRPr="00EE0056" w:rsidRDefault="006B6A8C">
      <w:pPr>
        <w:pBdr>
          <w:top w:val="nil"/>
          <w:left w:val="nil"/>
          <w:bottom w:val="nil"/>
          <w:right w:val="nil"/>
          <w:between w:val="nil"/>
        </w:pBdr>
        <w:ind w:left="-566" w:right="-787"/>
        <w:rPr>
          <w:rFonts w:ascii="Palatino Linotype" w:eastAsia="Palatino Linotype" w:hAnsi="Palatino Linotype" w:cs="Palatino Linotype"/>
          <w:color w:val="000000"/>
        </w:rPr>
      </w:pPr>
    </w:p>
    <w:p w:rsidR="006B6A8C" w:rsidRPr="00EE0056" w:rsidRDefault="00DD6CA9">
      <w:pPr>
        <w:numPr>
          <w:ilvl w:val="0"/>
          <w:numId w:val="2"/>
        </w:numPr>
        <w:spacing w:line="360" w:lineRule="auto"/>
        <w:ind w:left="0" w:right="-787" w:firstLine="0"/>
        <w:jc w:val="both"/>
        <w:rPr>
          <w:color w:val="000000"/>
        </w:rPr>
      </w:pPr>
      <w:r w:rsidRPr="00EE0056">
        <w:rPr>
          <w:rFonts w:ascii="Palatino Linotype" w:eastAsia="Palatino Linotype" w:hAnsi="Palatino Linotype" w:cs="Palatino Linotype"/>
        </w:rPr>
        <w:t xml:space="preserve">Así, el estudio de </w:t>
      </w:r>
      <w:r w:rsidRPr="00EE0056">
        <w:rPr>
          <w:rFonts w:ascii="Palatino Linotype" w:eastAsia="Palatino Linotype" w:hAnsi="Palatino Linotype" w:cs="Palatino Linotype"/>
          <w:color w:val="000000"/>
        </w:rPr>
        <w:t>la</w:t>
      </w:r>
      <w:r w:rsidRPr="00EE0056">
        <w:rPr>
          <w:rFonts w:ascii="Palatino Linotype" w:eastAsia="Palatino Linotype" w:hAnsi="Palatino Linotype" w:cs="Palatino Linotype"/>
        </w:rPr>
        <w:t xml:space="preserve"> naturaleza jurídica de la información pública solicitada, tiene por objeto determinar si ésta la genera, posee o administra </w:t>
      </w:r>
      <w:r w:rsidRPr="00EE0056">
        <w:rPr>
          <w:rFonts w:ascii="Palatino Linotype" w:eastAsia="Palatino Linotype" w:hAnsi="Palatino Linotype" w:cs="Palatino Linotype"/>
          <w:b/>
          <w:bCs/>
        </w:rPr>
        <w:t>EL SUJETO OBLIGADO</w:t>
      </w:r>
      <w:r w:rsidRPr="00EE0056">
        <w:rPr>
          <w:rFonts w:ascii="Palatino Linotype" w:eastAsia="Palatino Linotype" w:hAnsi="Palatino Linotype" w:cs="Palatino Linotype"/>
        </w:rPr>
        <w:t>; sin embargo, en aquellos casos en que éste la asume, a nada práctico nos conduciría su estudio, ya que se insiste, dicha información, fue admitida por el mismo; por lo que, la genera, posee y administra, en ejercicio de sus funciones de derecho público, motivo por el cual, se actualiza el supuesto jurídico, previsto en el artículo 12 de la Ley de la materia, anteriormente referido</w:t>
      </w:r>
    </w:p>
    <w:p w:rsidR="006B6A8C" w:rsidRPr="00EE0056" w:rsidRDefault="006B6A8C">
      <w:pPr>
        <w:spacing w:line="360" w:lineRule="auto"/>
        <w:ind w:right="-787"/>
        <w:jc w:val="both"/>
        <w:rPr>
          <w:rFonts w:ascii="Palatino Linotype" w:eastAsia="Palatino Linotype" w:hAnsi="Palatino Linotype" w:cs="Palatino Linotype"/>
          <w:color w:val="000000"/>
        </w:rPr>
      </w:pPr>
    </w:p>
    <w:p w:rsidR="006B6A8C" w:rsidRPr="00EE0056" w:rsidRDefault="00DD6CA9">
      <w:pPr>
        <w:numPr>
          <w:ilvl w:val="0"/>
          <w:numId w:val="2"/>
        </w:numPr>
        <w:spacing w:line="360" w:lineRule="auto"/>
        <w:ind w:left="0" w:right="-787" w:firstLine="0"/>
        <w:jc w:val="both"/>
        <w:rPr>
          <w:rFonts w:ascii="Palatino Linotype" w:eastAsia="Palatino Linotype" w:hAnsi="Palatino Linotype" w:cs="Palatino Linotype"/>
          <w:color w:val="000000"/>
        </w:rPr>
      </w:pPr>
      <w:r w:rsidRPr="00EE0056">
        <w:rPr>
          <w:rFonts w:ascii="Palatino Linotype" w:eastAsia="Palatino Linotype" w:hAnsi="Palatino Linotype" w:cs="Palatino Linotype"/>
        </w:rPr>
        <w:t xml:space="preserve">Ahora bien, </w:t>
      </w:r>
      <w:r w:rsidRPr="00EE0056">
        <w:rPr>
          <w:rFonts w:ascii="Palatino Linotype" w:eastAsia="Palatino Linotype" w:hAnsi="Palatino Linotype" w:cs="Palatino Linotype"/>
          <w:color w:val="000000"/>
        </w:rPr>
        <w:t xml:space="preserve">es de recordar que el particular solicitó la información siguiente: </w:t>
      </w:r>
      <w:r w:rsidRPr="00EE0056">
        <w:rPr>
          <w:rFonts w:ascii="Palatino Linotype" w:eastAsia="Palatino Linotype" w:hAnsi="Palatino Linotype" w:cs="Palatino Linotype"/>
          <w:i/>
          <w:iCs/>
          <w:color w:val="000000"/>
          <w:u w:val="single"/>
        </w:rPr>
        <w:t>Informes de resultados de las de auditorías realizadas en 2025 por la contraloría interna</w:t>
      </w:r>
      <w:r w:rsidRPr="00EE0056">
        <w:rPr>
          <w:rFonts w:ascii="Palatino Linotype" w:eastAsia="Palatino Linotype" w:hAnsi="Palatino Linotype" w:cs="Palatino Linotype"/>
          <w:color w:val="000000"/>
        </w:rPr>
        <w:t xml:space="preserve">, en respuesta el Sujeto Obligado se pronunció a través de la Contraloría Interna, refiriendo que </w:t>
      </w:r>
      <w:r w:rsidRPr="00EE0056">
        <w:rPr>
          <w:rFonts w:ascii="Palatino Linotype" w:eastAsia="Palatino Linotype" w:hAnsi="Palatino Linotype" w:cs="Palatino Linotype"/>
          <w:i/>
          <w:iCs/>
          <w:color w:val="000000"/>
        </w:rPr>
        <w:t xml:space="preserve">El </w:t>
      </w:r>
      <w:r w:rsidRPr="00EE0056">
        <w:rPr>
          <w:rFonts w:ascii="Palatino Linotype" w:eastAsia="Palatino Linotype" w:hAnsi="Palatino Linotype" w:cs="Palatino Linotype"/>
          <w:b/>
          <w:bCs/>
          <w:i/>
          <w:iCs/>
          <w:color w:val="000000"/>
        </w:rPr>
        <w:t xml:space="preserve">informe de resultados de las Auditorias CI/A/AC/03/2025 у CI/A/AA/04/2025 actualmente se encuentran </w:t>
      </w:r>
      <w:r w:rsidRPr="00EE0056">
        <w:rPr>
          <w:rFonts w:ascii="Palatino Linotype" w:eastAsia="Palatino Linotype" w:hAnsi="Palatino Linotype" w:cs="Palatino Linotype"/>
          <w:b/>
          <w:bCs/>
          <w:i/>
          <w:iCs/>
          <w:color w:val="000000"/>
        </w:rPr>
        <w:lastRenderedPageBreak/>
        <w:t>en curso</w:t>
      </w:r>
      <w:r w:rsidRPr="00EE0056">
        <w:rPr>
          <w:rFonts w:ascii="Palatino Linotype" w:eastAsia="Palatino Linotype" w:hAnsi="Palatino Linotype" w:cs="Palatino Linotype"/>
          <w:i/>
          <w:iCs/>
          <w:color w:val="000000"/>
        </w:rPr>
        <w:t xml:space="preserve">, … </w:t>
      </w:r>
      <w:r w:rsidRPr="00EE0056">
        <w:rPr>
          <w:rFonts w:ascii="Palatino Linotype" w:eastAsia="Palatino Linotype" w:hAnsi="Palatino Linotype" w:cs="Palatino Linotype"/>
          <w:b/>
          <w:bCs/>
          <w:i/>
          <w:iCs/>
          <w:color w:val="000000"/>
        </w:rPr>
        <w:t>las Auditorias CI/A/AA/01/2025 y CI/A/AA/02/2025, todas ellas contenidas en el Programa Anual de Auditoria 2025, los resultados de auditorías</w:t>
      </w:r>
      <w:r w:rsidRPr="00EE0056">
        <w:rPr>
          <w:rFonts w:ascii="Palatino Linotype" w:eastAsia="Palatino Linotype" w:hAnsi="Palatino Linotype" w:cs="Palatino Linotype"/>
          <w:i/>
          <w:iCs/>
          <w:color w:val="000000"/>
        </w:rPr>
        <w:t xml:space="preserve"> realizadas de conformidad con la fracción XXVIII del artículo 92 de la Ley de Transparencia y Acceso a la Información Pública del Estado de México y Municipios, </w:t>
      </w:r>
      <w:r w:rsidRPr="00EE0056">
        <w:rPr>
          <w:rFonts w:ascii="Palatino Linotype" w:eastAsia="Palatino Linotype" w:hAnsi="Palatino Linotype" w:cs="Palatino Linotype"/>
          <w:b/>
          <w:bCs/>
          <w:i/>
          <w:iCs/>
          <w:color w:val="000000"/>
        </w:rPr>
        <w:t>en su versión pública se encuentra disponibles</w:t>
      </w:r>
      <w:r w:rsidRPr="00EE0056">
        <w:rPr>
          <w:rFonts w:ascii="Palatino Linotype" w:eastAsia="Palatino Linotype" w:hAnsi="Palatino Linotype" w:cs="Palatino Linotype"/>
          <w:b/>
          <w:bCs/>
          <w:color w:val="000000"/>
        </w:rPr>
        <w:t xml:space="preserve"> </w:t>
      </w:r>
      <w:r w:rsidRPr="00EE0056">
        <w:rPr>
          <w:rFonts w:ascii="Palatino Linotype" w:eastAsia="Palatino Linotype" w:hAnsi="Palatino Linotype" w:cs="Palatino Linotype"/>
          <w:color w:val="000000"/>
        </w:rPr>
        <w:t xml:space="preserve">señalando una liga en formato cerrado; en consecuencia el recurrente se dolió manifestando que </w:t>
      </w:r>
      <w:r w:rsidRPr="00EE0056">
        <w:rPr>
          <w:rFonts w:ascii="Palatino Linotype" w:eastAsia="Palatino Linotype" w:hAnsi="Palatino Linotype" w:cs="Palatino Linotype"/>
          <w:i/>
          <w:iCs/>
          <w:color w:val="000000"/>
        </w:rPr>
        <w:t>la liga que anexan no contiene la visualización de los informes de auditoría solicitados</w:t>
      </w:r>
      <w:r w:rsidRPr="00EE0056">
        <w:rPr>
          <w:rFonts w:ascii="Palatino Linotype" w:eastAsia="Palatino Linotype" w:hAnsi="Palatino Linotype" w:cs="Palatino Linotype"/>
          <w:color w:val="000000"/>
        </w:rPr>
        <w:t>; posteriormente a través de informe justificado el Sujeto Obligado amplió su respuesta añadiendo un documento en el que la Contraloría Interna remite diversos links para la consulta de información, empero los mismos se advierten en formato cerrado.</w:t>
      </w:r>
    </w:p>
    <w:p w:rsidR="006B6A8C" w:rsidRPr="00EE0056" w:rsidRDefault="006B6A8C">
      <w:pPr>
        <w:spacing w:line="360" w:lineRule="auto"/>
        <w:ind w:right="-787"/>
        <w:jc w:val="both"/>
        <w:rPr>
          <w:color w:val="000000"/>
        </w:rPr>
      </w:pPr>
    </w:p>
    <w:p w:rsidR="006B6A8C" w:rsidRPr="00EE0056" w:rsidRDefault="00DD6CA9">
      <w:pPr>
        <w:numPr>
          <w:ilvl w:val="0"/>
          <w:numId w:val="2"/>
        </w:numPr>
        <w:spacing w:line="360" w:lineRule="auto"/>
        <w:ind w:left="0" w:right="-787" w:firstLine="0"/>
        <w:jc w:val="both"/>
        <w:rPr>
          <w:rFonts w:ascii="Palatino Linotype" w:eastAsia="Palatino Linotype" w:hAnsi="Palatino Linotype" w:cs="Palatino Linotype"/>
        </w:rPr>
      </w:pPr>
      <w:r w:rsidRPr="00EE0056">
        <w:rPr>
          <w:rFonts w:ascii="Palatino Linotype" w:eastAsia="Palatino Linotype" w:hAnsi="Palatino Linotype" w:cs="Palatino Linotype"/>
          <w:color w:val="000000"/>
        </w:rPr>
        <w:t xml:space="preserve">En primer lugar es de referir que conforme a lo manifestado por el recurrente como acto impugnado y motivos de inconformidad, se advierte que se duele porque </w:t>
      </w:r>
      <w:r w:rsidRPr="00EE0056">
        <w:rPr>
          <w:rFonts w:ascii="Palatino Linotype" w:eastAsia="Palatino Linotype" w:hAnsi="Palatino Linotype" w:cs="Palatino Linotype"/>
          <w:i/>
          <w:iCs/>
          <w:color w:val="000000"/>
        </w:rPr>
        <w:t xml:space="preserve">la liga que anexan no contiene la visualización de los informes de auditoría solicitados; </w:t>
      </w:r>
      <w:r w:rsidRPr="00EE0056">
        <w:rPr>
          <w:rFonts w:ascii="Palatino Linotype" w:eastAsia="Palatino Linotype" w:hAnsi="Palatino Linotype" w:cs="Palatino Linotype"/>
          <w:color w:val="000000"/>
        </w:rPr>
        <w:t xml:space="preserve">en consecuencia, si a través de respuesta el Sujeto Obligado manifestó que los </w:t>
      </w:r>
      <w:r w:rsidRPr="00EE0056">
        <w:rPr>
          <w:rFonts w:ascii="Palatino Linotype" w:eastAsia="Palatino Linotype" w:hAnsi="Palatino Linotype" w:cs="Palatino Linotype"/>
          <w:b/>
          <w:bCs/>
          <w:i/>
          <w:iCs/>
          <w:color w:val="000000"/>
        </w:rPr>
        <w:t>informes de resultados de las Auditorias CI/A/AC/03/2025 у CI/A/AA/04/2025 actualmente se encuentran en curso</w:t>
      </w:r>
      <w:r w:rsidRPr="00EE0056">
        <w:rPr>
          <w:rFonts w:ascii="Palatino Linotype" w:eastAsia="Palatino Linotype" w:hAnsi="Palatino Linotype" w:cs="Palatino Linotype"/>
          <w:i/>
          <w:iCs/>
          <w:color w:val="000000"/>
        </w:rPr>
        <w:t xml:space="preserve">, mientras que </w:t>
      </w:r>
      <w:r w:rsidRPr="00EE0056">
        <w:rPr>
          <w:rFonts w:ascii="Palatino Linotype" w:eastAsia="Palatino Linotype" w:hAnsi="Palatino Linotype" w:cs="Palatino Linotype"/>
          <w:b/>
          <w:bCs/>
          <w:i/>
          <w:iCs/>
          <w:color w:val="000000"/>
        </w:rPr>
        <w:t xml:space="preserve">las Auditorias CI/A/AA/01/2025 y CI/A/AA/02/2025, los resultados de auditorías, pueden ser consultados en una liga </w:t>
      </w:r>
      <w:r w:rsidRPr="00EE0056">
        <w:rPr>
          <w:rFonts w:ascii="Palatino Linotype" w:eastAsia="Palatino Linotype" w:hAnsi="Palatino Linotype" w:cs="Palatino Linotype"/>
          <w:color w:val="000000"/>
        </w:rPr>
        <w:t>que remitió para su consulta</w:t>
      </w:r>
      <w:r w:rsidRPr="00EE0056">
        <w:rPr>
          <w:rFonts w:ascii="Palatino Linotype" w:eastAsia="Palatino Linotype" w:hAnsi="Palatino Linotype" w:cs="Palatino Linotype"/>
          <w:b/>
          <w:bCs/>
          <w:i/>
          <w:iCs/>
          <w:color w:val="000000"/>
        </w:rPr>
        <w:t xml:space="preserve">. </w:t>
      </w:r>
      <w:r w:rsidRPr="00EE0056">
        <w:rPr>
          <w:rFonts w:ascii="Palatino Linotype" w:eastAsia="Palatino Linotype" w:hAnsi="Palatino Linotype" w:cs="Palatino Linotype"/>
          <w:color w:val="000000"/>
        </w:rPr>
        <w:t xml:space="preserve">En este sentido es notorio que el recurrente no se inconforma por las dos auditorías que se encuentran en trámite, sino únicamente de la liga que proporciona los resultados de las auditorías </w:t>
      </w:r>
      <w:r w:rsidRPr="00EE0056">
        <w:rPr>
          <w:rFonts w:ascii="Palatino Linotype" w:eastAsia="Palatino Linotype" w:hAnsi="Palatino Linotype" w:cs="Palatino Linotype"/>
          <w:b/>
          <w:bCs/>
          <w:i/>
          <w:iCs/>
          <w:color w:val="000000"/>
        </w:rPr>
        <w:t>CI/A/AA/01/2025 y CI/A/AA/02/2025</w:t>
      </w:r>
      <w:r w:rsidRPr="00EE0056">
        <w:rPr>
          <w:rFonts w:ascii="Palatino Linotype" w:eastAsia="Palatino Linotype" w:hAnsi="Palatino Linotype" w:cs="Palatino Linotype"/>
          <w:color w:val="000000"/>
        </w:rPr>
        <w:t xml:space="preserve">; por lo que, la parte de la solicitud que no fue combatida se debe tener como </w:t>
      </w:r>
      <w:r w:rsidRPr="00EE0056">
        <w:rPr>
          <w:rFonts w:ascii="Palatino Linotype" w:eastAsia="Palatino Linotype" w:hAnsi="Palatino Linotype" w:cs="Palatino Linotype"/>
          <w:b/>
          <w:bCs/>
          <w:color w:val="000000"/>
        </w:rPr>
        <w:t>actos consentidos</w:t>
      </w:r>
      <w:r w:rsidRPr="00EE0056">
        <w:rPr>
          <w:rFonts w:ascii="Palatino Linotype" w:eastAsia="Palatino Linotype" w:hAnsi="Palatino Linotype" w:cs="Palatino Linotype"/>
          <w:color w:val="000000"/>
        </w:rPr>
        <w:t>, por no haber pronunciamiento de impugnación.</w:t>
      </w:r>
    </w:p>
    <w:p w:rsidR="006B6A8C" w:rsidRPr="00EE0056" w:rsidRDefault="006B6A8C">
      <w:pPr>
        <w:spacing w:line="360" w:lineRule="auto"/>
        <w:ind w:right="-787"/>
        <w:jc w:val="both"/>
        <w:rPr>
          <w:rFonts w:ascii="Palatino Linotype" w:eastAsia="Palatino Linotype" w:hAnsi="Palatino Linotype" w:cs="Palatino Linotype"/>
        </w:rPr>
      </w:pPr>
    </w:p>
    <w:p w:rsidR="006B6A8C" w:rsidRPr="00EE0056" w:rsidRDefault="00DD6CA9">
      <w:pPr>
        <w:numPr>
          <w:ilvl w:val="0"/>
          <w:numId w:val="2"/>
        </w:numPr>
        <w:spacing w:line="360" w:lineRule="auto"/>
        <w:ind w:left="0" w:right="-787" w:firstLine="0"/>
        <w:jc w:val="both"/>
        <w:rPr>
          <w:rFonts w:ascii="Palatino Linotype" w:eastAsia="Palatino Linotype" w:hAnsi="Palatino Linotype" w:cs="Palatino Linotype"/>
        </w:rPr>
      </w:pPr>
      <w:r w:rsidRPr="00EE0056">
        <w:rPr>
          <w:rFonts w:ascii="Palatino Linotype" w:eastAsia="Palatino Linotype" w:hAnsi="Palatino Linotype" w:cs="Palatino Linotype"/>
        </w:rPr>
        <w:lastRenderedPageBreak/>
        <w:t xml:space="preserve">Luego </w:t>
      </w:r>
      <w:r w:rsidRPr="00EE0056">
        <w:rPr>
          <w:rFonts w:ascii="Palatino Linotype" w:eastAsia="Palatino Linotype" w:hAnsi="Palatino Linotype" w:cs="Palatino Linotype"/>
          <w:color w:val="000000"/>
        </w:rPr>
        <w:t>entonces</w:t>
      </w:r>
      <w:r w:rsidRPr="00EE0056">
        <w:rPr>
          <w:rFonts w:ascii="Palatino Linotype" w:eastAsia="Palatino Linotype" w:hAnsi="Palatino Linotype" w:cs="Palatino Linotype"/>
        </w:rPr>
        <w:t xml:space="preserve">, al no existir inconformidad, la información se tiene por </w:t>
      </w:r>
      <w:r w:rsidRPr="00EE0056">
        <w:rPr>
          <w:rFonts w:ascii="Palatino Linotype" w:eastAsia="Palatino Linotype" w:hAnsi="Palatino Linotype" w:cs="Palatino Linotype"/>
          <w:color w:val="000000"/>
        </w:rPr>
        <w:t>consentida</w:t>
      </w:r>
      <w:r w:rsidRPr="00EE0056">
        <w:rPr>
          <w:rFonts w:ascii="Palatino Linotype" w:eastAsia="Palatino Linotype" w:hAnsi="Palatino Linotype" w:cs="Palatino Linotype"/>
        </w:rPr>
        <w:t>, ya</w:t>
      </w:r>
      <w:r w:rsidRPr="00EE0056">
        <w:rPr>
          <w:rFonts w:ascii="Palatino Linotype" w:eastAsia="Palatino Linotype" w:hAnsi="Palatino Linotype" w:cs="Palatino Linotype"/>
          <w:b/>
          <w:bCs/>
        </w:rPr>
        <w:t xml:space="preserve"> </w:t>
      </w:r>
      <w:r w:rsidRPr="00EE0056">
        <w:rPr>
          <w:rFonts w:ascii="Palatino Linotype" w:eastAsia="Palatino Linotype" w:hAnsi="Palatino Linotype" w:cs="Palatino Linotype"/>
        </w:rPr>
        <w:t xml:space="preserve">que la falta de </w:t>
      </w:r>
      <w:r w:rsidRPr="00EE0056">
        <w:rPr>
          <w:rFonts w:ascii="Palatino Linotype" w:eastAsia="Palatino Linotype" w:hAnsi="Palatino Linotype" w:cs="Palatino Linotype"/>
          <w:color w:val="000000"/>
        </w:rPr>
        <w:t>impugnación</w:t>
      </w:r>
      <w:r w:rsidRPr="00EE0056">
        <w:rPr>
          <w:rFonts w:ascii="Palatino Linotype" w:eastAsia="Palatino Linotype" w:hAnsi="Palatino Linotype" w:cs="Palatino Linotype"/>
        </w:rPr>
        <w:t xml:space="preserve"> resp</w:t>
      </w:r>
      <w:r w:rsidRPr="00EE0056">
        <w:rPr>
          <w:rFonts w:ascii="Palatino Linotype" w:eastAsia="Palatino Linotype" w:hAnsi="Palatino Linotype" w:cs="Palatino Linotype"/>
          <w:color w:val="000000"/>
        </w:rPr>
        <w:t>e</w:t>
      </w:r>
      <w:r w:rsidRPr="00EE0056">
        <w:rPr>
          <w:rFonts w:ascii="Palatino Linotype" w:eastAsia="Palatino Linotype" w:hAnsi="Palatino Linotype" w:cs="Palatino Linotype"/>
        </w:rPr>
        <w:t xml:space="preserve">cto de los requerimientos que no fueron manifestados en el recurso de revisión, debe entenderse como </w:t>
      </w:r>
      <w:r w:rsidRPr="00EE0056">
        <w:rPr>
          <w:rFonts w:ascii="Palatino Linotype" w:eastAsia="Palatino Linotype" w:hAnsi="Palatino Linotype" w:cs="Palatino Linotype"/>
          <w:b/>
          <w:bCs/>
        </w:rPr>
        <w:t>actos consentidos</w:t>
      </w:r>
      <w:r w:rsidRPr="00EE0056">
        <w:rPr>
          <w:rFonts w:ascii="Palatino Linotype" w:eastAsia="Palatino Linotype" w:hAnsi="Palatino Linotype" w:cs="Palatino Linotype"/>
        </w:rPr>
        <w:t>.</w:t>
      </w:r>
    </w:p>
    <w:p w:rsidR="006B6A8C" w:rsidRPr="00EE0056" w:rsidRDefault="006B6A8C">
      <w:pPr>
        <w:pBdr>
          <w:top w:val="nil"/>
          <w:left w:val="nil"/>
          <w:bottom w:val="nil"/>
          <w:right w:val="nil"/>
          <w:between w:val="nil"/>
        </w:pBdr>
        <w:spacing w:line="360" w:lineRule="auto"/>
        <w:rPr>
          <w:rFonts w:ascii="Palatino Linotype" w:eastAsia="Palatino Linotype" w:hAnsi="Palatino Linotype" w:cs="Palatino Linotype"/>
          <w:color w:val="000000"/>
        </w:rPr>
      </w:pPr>
    </w:p>
    <w:p w:rsidR="006B6A8C" w:rsidRPr="00EE0056" w:rsidRDefault="00DD6CA9">
      <w:pPr>
        <w:numPr>
          <w:ilvl w:val="0"/>
          <w:numId w:val="2"/>
        </w:numPr>
        <w:spacing w:line="360" w:lineRule="auto"/>
        <w:ind w:left="0" w:right="-787" w:firstLine="0"/>
        <w:jc w:val="both"/>
        <w:rPr>
          <w:rFonts w:ascii="Palatino Linotype" w:eastAsia="Palatino Linotype" w:hAnsi="Palatino Linotype" w:cs="Palatino Linotype"/>
        </w:rPr>
      </w:pPr>
      <w:r w:rsidRPr="00EE0056">
        <w:rPr>
          <w:rFonts w:ascii="Palatino Linotype" w:eastAsia="Palatino Linotype" w:hAnsi="Palatino Linotype" w:cs="Palatino Linotype"/>
        </w:rPr>
        <w:t xml:space="preserve">Esto es así, debido a que cuando el recurrente impugna la respuesta del sujeto obligado y éste no expresa </w:t>
      </w:r>
      <w:r w:rsidRPr="00EE0056">
        <w:rPr>
          <w:rFonts w:ascii="Palatino Linotype" w:eastAsia="Palatino Linotype" w:hAnsi="Palatino Linotype" w:cs="Palatino Linotype"/>
          <w:color w:val="000000"/>
        </w:rPr>
        <w:t>razón</w:t>
      </w:r>
      <w:r w:rsidRPr="00EE0056">
        <w:rPr>
          <w:rFonts w:ascii="Palatino Linotype" w:eastAsia="Palatino Linotype" w:hAnsi="Palatino Linotype" w:cs="Palatino Linotype"/>
        </w:rPr>
        <w:t xml:space="preserve"> o motivo de inconformidad en contra de todos los rubros solicitados, los mismos deben declararse firmes, pues se entiende que el recurrente ésta conforme con la información entregada al no contravenir la misma. Sirve de apoyo por analogía, la Tesis Jurisprudencial Número 3ª./J.7/91, publicada en el Semanario Judicial de la Federación y su Gaceta bajo el número de registro 174,177, que establece lo siguiente:</w:t>
      </w:r>
    </w:p>
    <w:p w:rsidR="006B6A8C" w:rsidRPr="00EE0056" w:rsidRDefault="006B6A8C">
      <w:pPr>
        <w:pBdr>
          <w:top w:val="nil"/>
          <w:left w:val="nil"/>
          <w:bottom w:val="nil"/>
          <w:right w:val="nil"/>
          <w:between w:val="nil"/>
        </w:pBdr>
        <w:spacing w:line="360" w:lineRule="auto"/>
        <w:ind w:left="720"/>
        <w:rPr>
          <w:rFonts w:ascii="Palatino Linotype" w:eastAsia="Palatino Linotype" w:hAnsi="Palatino Linotype" w:cs="Palatino Linotype"/>
          <w:color w:val="000000"/>
        </w:rPr>
      </w:pPr>
    </w:p>
    <w:p w:rsidR="006B6A8C" w:rsidRPr="00EE0056" w:rsidRDefault="00DD6CA9">
      <w:pPr>
        <w:pBdr>
          <w:top w:val="nil"/>
          <w:left w:val="nil"/>
          <w:bottom w:val="nil"/>
          <w:right w:val="nil"/>
          <w:between w:val="nil"/>
        </w:pBdr>
        <w:ind w:left="567" w:right="-716"/>
        <w:jc w:val="both"/>
        <w:rPr>
          <w:rFonts w:ascii="Palatino Linotype" w:eastAsia="Palatino Linotype" w:hAnsi="Palatino Linotype" w:cs="Palatino Linotype"/>
          <w:i/>
          <w:iCs/>
          <w:color w:val="000000"/>
        </w:rPr>
      </w:pPr>
      <w:r w:rsidRPr="00EE0056">
        <w:rPr>
          <w:rFonts w:ascii="Palatino Linotype" w:eastAsia="Palatino Linotype" w:hAnsi="Palatino Linotype" w:cs="Palatino Linotype"/>
          <w:b/>
          <w:bCs/>
          <w:i/>
          <w:iCs/>
          <w:color w:val="000000"/>
        </w:rPr>
        <w:t>“REVISIÓN EN AMPARO. LOS RESOLUTIVOS NO COMBATIDOS DEBEN DECLARARSE FIRMES. </w:t>
      </w:r>
      <w:r w:rsidRPr="00EE0056">
        <w:rPr>
          <w:rFonts w:ascii="Palatino Linotype" w:eastAsia="Palatino Linotype" w:hAnsi="Palatino Linotype" w:cs="Palatino Linotype"/>
          <w:i/>
          <w:iCs/>
          <w:color w:val="000000"/>
          <w:u w:val="single"/>
        </w:rPr>
        <w:t>Cuando algún resolutivo de la sentencia impugnada afecta a EL RECURRENTE, y ésta no expresa agravio en contra de las consideraciones que le sirven de base, dicho resolutivo debe declararse firme.</w:t>
      </w:r>
      <w:r w:rsidRPr="00EE0056">
        <w:rPr>
          <w:rFonts w:ascii="Palatino Linotype" w:eastAsia="Palatino Linotype" w:hAnsi="Palatino Linotype" w:cs="Palatino Linotype"/>
          <w:i/>
          <w:iCs/>
          <w:color w:val="000000"/>
        </w:rPr>
        <w:t> Esto es, en el caso referido, no obstante que la materia de la revisión comprende a todos los resolutivos que afectan a EL RECURRENTE, </w:t>
      </w:r>
      <w:r w:rsidRPr="00EE0056">
        <w:rPr>
          <w:rFonts w:ascii="Palatino Linotype" w:eastAsia="Palatino Linotype" w:hAnsi="Palatino Linotype" w:cs="Palatino Linotype"/>
          <w:i/>
          <w:iCs/>
          <w:color w:val="000000"/>
          <w:u w:val="single"/>
        </w:rPr>
        <w:t>deben declararse firmes aquéllos en contra de los cuales no se formuló agravio y dicha declaración de firmeza debe reflejarse en la parte considerativa y en los resolutivos debe confirmarse la sentencia recurrida en la parte correspondiente</w:t>
      </w:r>
      <w:r w:rsidRPr="00EE0056">
        <w:rPr>
          <w:rFonts w:ascii="Palatino Linotype" w:eastAsia="Palatino Linotype" w:hAnsi="Palatino Linotype" w:cs="Palatino Linotype"/>
          <w:i/>
          <w:iCs/>
          <w:color w:val="000000"/>
        </w:rPr>
        <w:t>.”</w:t>
      </w:r>
    </w:p>
    <w:p w:rsidR="006B6A8C" w:rsidRPr="00EE0056" w:rsidRDefault="006B6A8C">
      <w:pPr>
        <w:pBdr>
          <w:top w:val="nil"/>
          <w:left w:val="nil"/>
          <w:bottom w:val="nil"/>
          <w:right w:val="nil"/>
          <w:between w:val="nil"/>
        </w:pBdr>
        <w:spacing w:line="360" w:lineRule="auto"/>
        <w:ind w:left="426" w:right="426"/>
        <w:jc w:val="center"/>
        <w:rPr>
          <w:rFonts w:ascii="Palatino Linotype" w:eastAsia="Palatino Linotype" w:hAnsi="Palatino Linotype" w:cs="Palatino Linotype"/>
          <w:color w:val="000000"/>
        </w:rPr>
      </w:pPr>
    </w:p>
    <w:p w:rsidR="006B6A8C" w:rsidRPr="00EE0056" w:rsidRDefault="00DD6CA9">
      <w:pPr>
        <w:numPr>
          <w:ilvl w:val="0"/>
          <w:numId w:val="2"/>
        </w:numPr>
        <w:spacing w:line="360" w:lineRule="auto"/>
        <w:ind w:left="0" w:right="-787" w:firstLine="0"/>
        <w:jc w:val="both"/>
        <w:rPr>
          <w:rFonts w:ascii="Palatino Linotype" w:eastAsia="Palatino Linotype" w:hAnsi="Palatino Linotype" w:cs="Palatino Linotype"/>
        </w:rPr>
      </w:pPr>
      <w:r w:rsidRPr="00EE0056">
        <w:rPr>
          <w:rFonts w:ascii="Palatino Linotype" w:eastAsia="Palatino Linotype" w:hAnsi="Palatino Linotype" w:cs="Palatino Linotype"/>
        </w:rPr>
        <w:t xml:space="preserve">Consecutivamente, </w:t>
      </w:r>
      <w:r w:rsidRPr="00EE0056">
        <w:rPr>
          <w:rFonts w:ascii="Palatino Linotype" w:eastAsia="Palatino Linotype" w:hAnsi="Palatino Linotype" w:cs="Palatino Linotype"/>
          <w:b/>
          <w:bCs/>
        </w:rPr>
        <w:t xml:space="preserve">la parte de la respuesta que no fue impugnada debe declararse consentida por el recurrente, toda vez que no realizó </w:t>
      </w:r>
      <w:r w:rsidRPr="00EE0056">
        <w:rPr>
          <w:rFonts w:ascii="Palatino Linotype" w:eastAsia="Palatino Linotype" w:hAnsi="Palatino Linotype" w:cs="Palatino Linotype"/>
        </w:rPr>
        <w:t>manifestaciones</w:t>
      </w:r>
      <w:r w:rsidRPr="00EE0056">
        <w:rPr>
          <w:rFonts w:ascii="Palatino Linotype" w:eastAsia="Palatino Linotype" w:hAnsi="Palatino Linotype" w:cs="Palatino Linotype"/>
          <w:b/>
          <w:bCs/>
        </w:rPr>
        <w:t xml:space="preserve"> </w:t>
      </w:r>
      <w:r w:rsidRPr="00EE0056">
        <w:rPr>
          <w:rFonts w:ascii="Palatino Linotype" w:eastAsia="Palatino Linotype" w:hAnsi="Palatino Linotype" w:cs="Palatino Linotype"/>
        </w:rPr>
        <w:t>de</w:t>
      </w:r>
      <w:r w:rsidRPr="00EE0056">
        <w:rPr>
          <w:rFonts w:ascii="Palatino Linotype" w:eastAsia="Palatino Linotype" w:hAnsi="Palatino Linotype" w:cs="Palatino Linotype"/>
          <w:b/>
          <w:bCs/>
        </w:rPr>
        <w:t xml:space="preserve"> inconformidad</w:t>
      </w:r>
      <w:r w:rsidRPr="00EE0056">
        <w:rPr>
          <w:rFonts w:ascii="Palatino Linotype" w:eastAsia="Palatino Linotype" w:hAnsi="Palatino Linotype" w:cs="Palatino Linotype"/>
        </w:rPr>
        <w:t xml:space="preserve">; por lo que, no pueden producirse efectos jurídicos tendentes a revocar, confirmar o modificar el acto reclamado ya que </w:t>
      </w:r>
      <w:r w:rsidRPr="00EE0056">
        <w:rPr>
          <w:rFonts w:ascii="Palatino Linotype" w:eastAsia="Palatino Linotype" w:hAnsi="Palatino Linotype" w:cs="Palatino Linotype"/>
          <w:b/>
          <w:bCs/>
        </w:rPr>
        <w:t>se infiere su consentimiento</w:t>
      </w:r>
      <w:r w:rsidRPr="00EE0056">
        <w:rPr>
          <w:rFonts w:ascii="Palatino Linotype" w:eastAsia="Palatino Linotype" w:hAnsi="Palatino Linotype" w:cs="Palatino Linotype"/>
        </w:rPr>
        <w:t xml:space="preserve"> </w:t>
      </w:r>
      <w:r w:rsidRPr="00EE0056">
        <w:rPr>
          <w:rFonts w:ascii="Palatino Linotype" w:eastAsia="Palatino Linotype" w:hAnsi="Palatino Linotype" w:cs="Palatino Linotype"/>
          <w:b/>
          <w:bCs/>
        </w:rPr>
        <w:t xml:space="preserve">ante la falta de impugnación </w:t>
      </w:r>
      <w:r w:rsidRPr="00EE0056">
        <w:rPr>
          <w:rFonts w:ascii="Palatino Linotype" w:eastAsia="Palatino Linotype" w:hAnsi="Palatino Linotype" w:cs="Palatino Linotype"/>
        </w:rPr>
        <w:t>eficaz. Sirve de sustento a lo anterior por analogía la tesis jurisprudencial número 176,608 del Semanario Judicial de la Federación y su Gaceta que a la letra dice:</w:t>
      </w:r>
    </w:p>
    <w:p w:rsidR="006B6A8C" w:rsidRPr="00EE0056" w:rsidRDefault="006B6A8C">
      <w:pPr>
        <w:spacing w:line="360" w:lineRule="auto"/>
        <w:ind w:left="360"/>
        <w:jc w:val="both"/>
        <w:rPr>
          <w:rFonts w:ascii="Palatino Linotype" w:eastAsia="Palatino Linotype" w:hAnsi="Palatino Linotype" w:cs="Palatino Linotype"/>
        </w:rPr>
      </w:pPr>
    </w:p>
    <w:p w:rsidR="006B6A8C" w:rsidRPr="00EE0056" w:rsidRDefault="00DD6CA9">
      <w:pPr>
        <w:pBdr>
          <w:top w:val="nil"/>
          <w:left w:val="nil"/>
          <w:bottom w:val="nil"/>
          <w:right w:val="nil"/>
          <w:between w:val="nil"/>
        </w:pBdr>
        <w:ind w:left="567" w:right="-716"/>
        <w:jc w:val="both"/>
        <w:rPr>
          <w:rFonts w:ascii="Palatino Linotype" w:eastAsia="Palatino Linotype" w:hAnsi="Palatino Linotype" w:cs="Palatino Linotype"/>
          <w:i/>
          <w:iCs/>
          <w:color w:val="000000"/>
        </w:rPr>
      </w:pPr>
      <w:r w:rsidRPr="00EE0056">
        <w:rPr>
          <w:rFonts w:ascii="Palatino Linotype" w:eastAsia="Palatino Linotype" w:hAnsi="Palatino Linotype" w:cs="Palatino Linotype"/>
          <w:b/>
          <w:bCs/>
          <w:i/>
          <w:iCs/>
          <w:color w:val="000000"/>
        </w:rPr>
        <w:t>“ACTOS CONSENTIDOS. SON LOS QUE NO SE IMPUGNAN MEDIANTE EL RECURSO IDÓNEO. </w:t>
      </w:r>
      <w:r w:rsidRPr="00EE0056">
        <w:rPr>
          <w:rFonts w:ascii="Palatino Linotype" w:eastAsia="Palatino Linotype" w:hAnsi="Palatino Linotype" w:cs="Palatino Linotype"/>
          <w:i/>
          <w:iCs/>
          <w:color w:val="000000"/>
          <w:u w:val="single"/>
        </w:rPr>
        <w:t>Debe reputarse como consentido el acto que no se impugnó por el medio establecido por la ley</w:t>
      </w:r>
      <w:r w:rsidRPr="00EE0056">
        <w:rPr>
          <w:rFonts w:ascii="Palatino Linotype" w:eastAsia="Palatino Linotype" w:hAnsi="Palatino Linotype" w:cs="Palatino Linotype"/>
          <w:i/>
          <w:iCs/>
          <w:color w:val="000000"/>
        </w:rPr>
        <w:t>, ya que si se hizo uso de otro no previsto por ella o si se hace una simple manifestación de inconformidad, tales actuaciones no producen efectos jurídicos tendientes a revocar, confirmar o modificar el acto reclamado en amparo, lo que significa consentimiento del mismo por falta de impugnación eficaz.”</w:t>
      </w:r>
    </w:p>
    <w:p w:rsidR="006B6A8C" w:rsidRPr="00EE0056" w:rsidRDefault="006B6A8C">
      <w:pPr>
        <w:spacing w:line="360" w:lineRule="auto"/>
        <w:ind w:right="-787"/>
        <w:jc w:val="both"/>
        <w:rPr>
          <w:rFonts w:ascii="Palatino Linotype" w:eastAsia="Palatino Linotype" w:hAnsi="Palatino Linotype" w:cs="Palatino Linotype"/>
          <w:color w:val="000000"/>
        </w:rPr>
      </w:pPr>
    </w:p>
    <w:p w:rsidR="006B6A8C" w:rsidRPr="00EE0056" w:rsidRDefault="00DD6CA9">
      <w:pPr>
        <w:numPr>
          <w:ilvl w:val="0"/>
          <w:numId w:val="2"/>
        </w:numPr>
        <w:spacing w:line="360" w:lineRule="auto"/>
        <w:ind w:left="0" w:right="-787" w:firstLine="0"/>
        <w:jc w:val="both"/>
        <w:rPr>
          <w:rFonts w:ascii="Palatino Linotype" w:eastAsia="Palatino Linotype" w:hAnsi="Palatino Linotype" w:cs="Palatino Linotype"/>
          <w:i/>
          <w:iCs/>
        </w:rPr>
      </w:pPr>
      <w:r w:rsidRPr="00EE0056">
        <w:rPr>
          <w:rFonts w:ascii="Palatino Linotype" w:eastAsia="Palatino Linotype" w:hAnsi="Palatino Linotype" w:cs="Palatino Linotype"/>
        </w:rPr>
        <w:t>Continuando con el estudio, es de reiterar que</w:t>
      </w:r>
      <w:r w:rsidRPr="00EE0056">
        <w:rPr>
          <w:rFonts w:ascii="Palatino Linotype" w:eastAsia="Palatino Linotype" w:hAnsi="Palatino Linotype" w:cs="Palatino Linotype"/>
          <w:color w:val="000000"/>
        </w:rPr>
        <w:t xml:space="preserve"> la liga proporcionada en respuesta se entregó en formato cerrado, tal como se muestra en la imagen siguiente:</w:t>
      </w:r>
    </w:p>
    <w:p w:rsidR="006B6A8C" w:rsidRPr="00EE0056" w:rsidRDefault="00DD6CA9">
      <w:pPr>
        <w:spacing w:line="360" w:lineRule="auto"/>
        <w:ind w:right="-787"/>
        <w:jc w:val="center"/>
        <w:rPr>
          <w:rFonts w:ascii="Palatino Linotype" w:eastAsia="Palatino Linotype" w:hAnsi="Palatino Linotype" w:cs="Palatino Linotype"/>
          <w:i/>
          <w:iCs/>
        </w:rPr>
      </w:pPr>
      <w:r w:rsidRPr="00EE0056">
        <w:rPr>
          <w:rFonts w:ascii="Palatino Linotype" w:eastAsia="Palatino Linotype" w:hAnsi="Palatino Linotype" w:cs="Palatino Linotype"/>
          <w:noProof/>
          <w:color w:val="000000"/>
          <w:lang w:val="es-MX"/>
        </w:rPr>
        <w:drawing>
          <wp:inline distT="0" distB="0" distL="0" distR="0">
            <wp:extent cx="3738412" cy="374692"/>
            <wp:effectExtent l="0" t="0" r="0" b="0"/>
            <wp:docPr id="2"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8"/>
                    <a:srcRect/>
                    <a:stretch>
                      <a:fillRect/>
                    </a:stretch>
                  </pic:blipFill>
                  <pic:spPr>
                    <a:xfrm>
                      <a:off x="0" y="0"/>
                      <a:ext cx="3738412" cy="374692"/>
                    </a:xfrm>
                    <a:prstGeom prst="rect">
                      <a:avLst/>
                    </a:prstGeom>
                    <a:ln/>
                  </pic:spPr>
                </pic:pic>
              </a:graphicData>
            </a:graphic>
          </wp:inline>
        </w:drawing>
      </w:r>
    </w:p>
    <w:p w:rsidR="006B6A8C" w:rsidRPr="00EE0056" w:rsidRDefault="00DD6CA9">
      <w:pPr>
        <w:numPr>
          <w:ilvl w:val="0"/>
          <w:numId w:val="2"/>
        </w:numPr>
        <w:spacing w:line="360" w:lineRule="auto"/>
        <w:ind w:left="0" w:right="-787" w:firstLine="0"/>
        <w:jc w:val="both"/>
        <w:rPr>
          <w:rFonts w:ascii="Palatino Linotype" w:eastAsia="Palatino Linotype" w:hAnsi="Palatino Linotype" w:cs="Palatino Linotype"/>
          <w:i/>
          <w:iCs/>
        </w:rPr>
      </w:pPr>
      <w:r w:rsidRPr="00EE0056">
        <w:rPr>
          <w:rFonts w:ascii="Palatino Linotype" w:eastAsia="Palatino Linotype" w:hAnsi="Palatino Linotype" w:cs="Palatino Linotype"/>
          <w:color w:val="000000"/>
        </w:rPr>
        <w:t>Posteriormente a través de informe justificado el Sujeto Obligado pretendió reparar el agravio manifestado por el particular remitiendo cuatro ligas, refiriendo dar atención a lo solicitado; no obstante las mismas fueron presentadas en formato cerrado:</w:t>
      </w:r>
    </w:p>
    <w:p w:rsidR="006B6A8C" w:rsidRPr="00EE0056" w:rsidRDefault="006B6A8C">
      <w:pPr>
        <w:spacing w:line="360" w:lineRule="auto"/>
        <w:ind w:right="-787"/>
        <w:jc w:val="both"/>
        <w:rPr>
          <w:rFonts w:ascii="Palatino Linotype" w:eastAsia="Palatino Linotype" w:hAnsi="Palatino Linotype" w:cs="Palatino Linotype"/>
          <w:i/>
          <w:iCs/>
        </w:rPr>
      </w:pPr>
    </w:p>
    <w:p w:rsidR="006B6A8C" w:rsidRPr="00EE0056" w:rsidRDefault="00DD6CA9">
      <w:pPr>
        <w:spacing w:line="360" w:lineRule="auto"/>
        <w:ind w:right="-787"/>
        <w:jc w:val="center"/>
        <w:rPr>
          <w:rFonts w:ascii="Palatino Linotype" w:eastAsia="Palatino Linotype" w:hAnsi="Palatino Linotype" w:cs="Palatino Linotype"/>
          <w:i/>
          <w:iCs/>
        </w:rPr>
      </w:pPr>
      <w:bookmarkStart w:id="8" w:name="_heading=h.m4ij8eqytgkt" w:colFirst="0" w:colLast="0"/>
      <w:bookmarkEnd w:id="8"/>
      <w:r w:rsidRPr="00EE0056">
        <w:rPr>
          <w:rFonts w:ascii="Palatino Linotype" w:eastAsia="Palatino Linotype" w:hAnsi="Palatino Linotype" w:cs="Palatino Linotype"/>
          <w:noProof/>
          <w:color w:val="000000"/>
          <w:lang w:val="es-MX"/>
        </w:rPr>
        <w:drawing>
          <wp:inline distT="0" distB="0" distL="0" distR="0">
            <wp:extent cx="4470674" cy="2153716"/>
            <wp:effectExtent l="0" t="0" r="0" b="0"/>
            <wp:docPr id="4"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9"/>
                    <a:srcRect/>
                    <a:stretch>
                      <a:fillRect/>
                    </a:stretch>
                  </pic:blipFill>
                  <pic:spPr>
                    <a:xfrm>
                      <a:off x="0" y="0"/>
                      <a:ext cx="4470674" cy="2153716"/>
                    </a:xfrm>
                    <a:prstGeom prst="rect">
                      <a:avLst/>
                    </a:prstGeom>
                    <a:ln/>
                  </pic:spPr>
                </pic:pic>
              </a:graphicData>
            </a:graphic>
          </wp:inline>
        </w:drawing>
      </w:r>
    </w:p>
    <w:p w:rsidR="006B6A8C" w:rsidRPr="00EE0056" w:rsidRDefault="00DD6CA9">
      <w:pPr>
        <w:numPr>
          <w:ilvl w:val="0"/>
          <w:numId w:val="2"/>
        </w:numPr>
        <w:spacing w:line="360" w:lineRule="auto"/>
        <w:ind w:left="0" w:right="-787" w:firstLine="0"/>
        <w:jc w:val="both"/>
        <w:rPr>
          <w:rFonts w:ascii="Palatino Linotype" w:eastAsia="Palatino Linotype" w:hAnsi="Palatino Linotype" w:cs="Palatino Linotype"/>
          <w:i/>
          <w:iCs/>
        </w:rPr>
      </w:pPr>
      <w:r w:rsidRPr="00EE0056">
        <w:rPr>
          <w:rFonts w:ascii="Palatino Linotype" w:eastAsia="Palatino Linotype" w:hAnsi="Palatino Linotype" w:cs="Palatino Linotype"/>
          <w:color w:val="000000"/>
        </w:rPr>
        <w:t xml:space="preserve">Lo anterior implica que se digite dato por dato de cada uno de los caracteres, lo que facilita la existencia del error humano; por lo cual, en atención a los artículos 3° fracción VIII, </w:t>
      </w:r>
      <w:r w:rsidRPr="00EE0056">
        <w:rPr>
          <w:rFonts w:ascii="Palatino Linotype" w:eastAsia="Palatino Linotype" w:hAnsi="Palatino Linotype" w:cs="Palatino Linotype"/>
          <w:color w:val="000000"/>
        </w:rPr>
        <w:lastRenderedPageBreak/>
        <w:t xml:space="preserve">XVI, 24, fracción V, 41 y 160 de la Ley de Transparencia vigente en la Entidad, los Sujetos Obligados y este Organismo Garante, deben velar por la generación y entrega de la información a los Particulares </w:t>
      </w:r>
      <w:r w:rsidRPr="00EE0056">
        <w:rPr>
          <w:rFonts w:ascii="Palatino Linotype" w:eastAsia="Palatino Linotype" w:hAnsi="Palatino Linotype" w:cs="Palatino Linotype"/>
          <w:b/>
          <w:bCs/>
          <w:color w:val="000000"/>
        </w:rPr>
        <w:t>en formatos abiertos, con los efectos de facilitar la reutilización de la información</w:t>
      </w:r>
      <w:r w:rsidRPr="00EE0056">
        <w:rPr>
          <w:rFonts w:ascii="Palatino Linotype" w:eastAsia="Palatino Linotype" w:hAnsi="Palatino Linotype" w:cs="Palatino Linotype"/>
          <w:color w:val="000000"/>
        </w:rPr>
        <w:t>, tal como a la letra refiere:</w:t>
      </w:r>
    </w:p>
    <w:p w:rsidR="006B6A8C" w:rsidRPr="00EE0056" w:rsidRDefault="006B6A8C">
      <w:pPr>
        <w:ind w:left="566" w:right="-220"/>
        <w:jc w:val="center"/>
        <w:rPr>
          <w:rFonts w:ascii="Palatino Linotype" w:eastAsia="Palatino Linotype" w:hAnsi="Palatino Linotype" w:cs="Palatino Linotype"/>
          <w:b/>
          <w:bCs/>
          <w:i/>
          <w:iCs/>
        </w:rPr>
      </w:pPr>
    </w:p>
    <w:p w:rsidR="006B6A8C" w:rsidRPr="00EE0056" w:rsidRDefault="00DD6CA9">
      <w:pPr>
        <w:ind w:left="566" w:right="-220"/>
        <w:jc w:val="center"/>
        <w:rPr>
          <w:rFonts w:ascii="Palatino Linotype" w:eastAsia="Palatino Linotype" w:hAnsi="Palatino Linotype" w:cs="Palatino Linotype"/>
          <w:b/>
          <w:bCs/>
          <w:i/>
          <w:iCs/>
        </w:rPr>
      </w:pPr>
      <w:r w:rsidRPr="00EE0056">
        <w:rPr>
          <w:rFonts w:ascii="Palatino Linotype" w:eastAsia="Palatino Linotype" w:hAnsi="Palatino Linotype" w:cs="Palatino Linotype"/>
          <w:b/>
          <w:bCs/>
          <w:i/>
          <w:iCs/>
        </w:rPr>
        <w:t>Ley de Transparencia y Acceso a la Información Pública del Estado de México y Municipios</w:t>
      </w:r>
    </w:p>
    <w:p w:rsidR="006B6A8C" w:rsidRPr="00EE0056" w:rsidRDefault="006B6A8C">
      <w:pPr>
        <w:ind w:left="566" w:right="-220"/>
        <w:jc w:val="center"/>
        <w:rPr>
          <w:rFonts w:ascii="Palatino Linotype" w:eastAsia="Palatino Linotype" w:hAnsi="Palatino Linotype" w:cs="Palatino Linotype"/>
          <w:b/>
          <w:bCs/>
          <w:i/>
          <w:iCs/>
        </w:rPr>
      </w:pPr>
    </w:p>
    <w:p w:rsidR="006B6A8C" w:rsidRPr="00EE0056" w:rsidRDefault="00DD6CA9">
      <w:pPr>
        <w:ind w:left="566" w:right="-220"/>
        <w:jc w:val="both"/>
        <w:rPr>
          <w:rFonts w:ascii="Palatino Linotype" w:eastAsia="Palatino Linotype" w:hAnsi="Palatino Linotype" w:cs="Palatino Linotype"/>
          <w:i/>
          <w:iCs/>
        </w:rPr>
      </w:pPr>
      <w:r w:rsidRPr="00EE0056">
        <w:rPr>
          <w:rFonts w:ascii="Palatino Linotype" w:eastAsia="Palatino Linotype" w:hAnsi="Palatino Linotype" w:cs="Palatino Linotype"/>
          <w:b/>
          <w:bCs/>
          <w:i/>
          <w:iCs/>
        </w:rPr>
        <w:t>Artículo 3</w:t>
      </w:r>
      <w:r w:rsidRPr="00EE0056">
        <w:rPr>
          <w:rFonts w:ascii="Palatino Linotype" w:eastAsia="Palatino Linotype" w:hAnsi="Palatino Linotype" w:cs="Palatino Linotype"/>
          <w:i/>
          <w:iCs/>
        </w:rPr>
        <w:t>. Para los efectos de la presente Ley se entenderá por:</w:t>
      </w:r>
    </w:p>
    <w:p w:rsidR="006B6A8C" w:rsidRPr="00EE0056" w:rsidRDefault="00DD6CA9">
      <w:pPr>
        <w:ind w:left="566" w:right="-220"/>
        <w:jc w:val="both"/>
        <w:rPr>
          <w:rFonts w:ascii="Palatino Linotype" w:eastAsia="Palatino Linotype" w:hAnsi="Palatino Linotype" w:cs="Palatino Linotype"/>
          <w:i/>
          <w:iCs/>
        </w:rPr>
      </w:pPr>
      <w:r w:rsidRPr="00EE0056">
        <w:rPr>
          <w:rFonts w:ascii="Palatino Linotype" w:eastAsia="Palatino Linotype" w:hAnsi="Palatino Linotype" w:cs="Palatino Linotype"/>
          <w:i/>
          <w:iCs/>
        </w:rPr>
        <w:t>…</w:t>
      </w:r>
    </w:p>
    <w:p w:rsidR="006B6A8C" w:rsidRPr="00EE0056" w:rsidRDefault="00DD6CA9">
      <w:pPr>
        <w:ind w:left="566" w:right="-220"/>
        <w:jc w:val="both"/>
        <w:rPr>
          <w:rFonts w:ascii="Palatino Linotype" w:eastAsia="Palatino Linotype" w:hAnsi="Palatino Linotype" w:cs="Palatino Linotype"/>
          <w:i/>
          <w:iCs/>
        </w:rPr>
      </w:pPr>
      <w:r w:rsidRPr="00EE0056">
        <w:rPr>
          <w:rFonts w:ascii="Palatino Linotype" w:eastAsia="Palatino Linotype" w:hAnsi="Palatino Linotype" w:cs="Palatino Linotype"/>
          <w:b/>
          <w:bCs/>
          <w:i/>
          <w:iCs/>
        </w:rPr>
        <w:t>VIII. Datos abiertos</w:t>
      </w:r>
      <w:r w:rsidRPr="00EE0056">
        <w:rPr>
          <w:rFonts w:ascii="Palatino Linotype" w:eastAsia="Palatino Linotype" w:hAnsi="Palatino Linotype" w:cs="Palatino Linotype"/>
          <w:i/>
          <w:iCs/>
        </w:rPr>
        <w:t xml:space="preserve">: Los datos digitales de carácter público que son accesibles en línea que pueden ser usados, reutilizados y redistribuidos por cualquier interesado y que tienen las siguientes características: </w:t>
      </w:r>
    </w:p>
    <w:p w:rsidR="006B6A8C" w:rsidRPr="00EE0056" w:rsidRDefault="00DD6CA9">
      <w:pPr>
        <w:ind w:left="566" w:right="-220"/>
        <w:jc w:val="both"/>
        <w:rPr>
          <w:rFonts w:ascii="Palatino Linotype" w:eastAsia="Palatino Linotype" w:hAnsi="Palatino Linotype" w:cs="Palatino Linotype"/>
          <w:i/>
          <w:iCs/>
        </w:rPr>
      </w:pPr>
      <w:r w:rsidRPr="00EE0056">
        <w:rPr>
          <w:rFonts w:ascii="Palatino Linotype" w:eastAsia="Palatino Linotype" w:hAnsi="Palatino Linotype" w:cs="Palatino Linotype"/>
          <w:i/>
          <w:iCs/>
        </w:rPr>
        <w:t xml:space="preserve">a) </w:t>
      </w:r>
      <w:r w:rsidRPr="00EE0056">
        <w:rPr>
          <w:rFonts w:ascii="Palatino Linotype" w:eastAsia="Palatino Linotype" w:hAnsi="Palatino Linotype" w:cs="Palatino Linotype"/>
          <w:b/>
          <w:bCs/>
          <w:i/>
          <w:iCs/>
        </w:rPr>
        <w:t>Accesibles</w:t>
      </w:r>
      <w:r w:rsidRPr="00EE0056">
        <w:rPr>
          <w:rFonts w:ascii="Palatino Linotype" w:eastAsia="Palatino Linotype" w:hAnsi="Palatino Linotype" w:cs="Palatino Linotype"/>
          <w:i/>
          <w:iCs/>
        </w:rPr>
        <w:t xml:space="preserve">: Los datos están disponibles para la gama más amplia de usuarios, para cualquier propósito; </w:t>
      </w:r>
    </w:p>
    <w:p w:rsidR="006B6A8C" w:rsidRPr="00EE0056" w:rsidRDefault="00DD6CA9">
      <w:pPr>
        <w:ind w:left="566" w:right="-220"/>
        <w:jc w:val="both"/>
        <w:rPr>
          <w:rFonts w:ascii="Palatino Linotype" w:eastAsia="Palatino Linotype" w:hAnsi="Palatino Linotype" w:cs="Palatino Linotype"/>
          <w:i/>
          <w:iCs/>
        </w:rPr>
      </w:pPr>
      <w:r w:rsidRPr="00EE0056">
        <w:rPr>
          <w:rFonts w:ascii="Palatino Linotype" w:eastAsia="Palatino Linotype" w:hAnsi="Palatino Linotype" w:cs="Palatino Linotype"/>
          <w:i/>
          <w:iCs/>
        </w:rPr>
        <w:t xml:space="preserve">b) </w:t>
      </w:r>
      <w:r w:rsidRPr="00EE0056">
        <w:rPr>
          <w:rFonts w:ascii="Palatino Linotype" w:eastAsia="Palatino Linotype" w:hAnsi="Palatino Linotype" w:cs="Palatino Linotype"/>
          <w:b/>
          <w:bCs/>
          <w:i/>
          <w:iCs/>
        </w:rPr>
        <w:t>Integrales</w:t>
      </w:r>
      <w:r w:rsidRPr="00EE0056">
        <w:rPr>
          <w:rFonts w:ascii="Palatino Linotype" w:eastAsia="Palatino Linotype" w:hAnsi="Palatino Linotype" w:cs="Palatino Linotype"/>
          <w:i/>
          <w:iCs/>
        </w:rPr>
        <w:t>: Contienen el tema que describen a detalle y con los metadatos necesarios;</w:t>
      </w:r>
    </w:p>
    <w:p w:rsidR="006B6A8C" w:rsidRPr="00EE0056" w:rsidRDefault="00DD6CA9">
      <w:pPr>
        <w:ind w:left="566" w:right="-220"/>
        <w:jc w:val="both"/>
        <w:rPr>
          <w:rFonts w:ascii="Palatino Linotype" w:eastAsia="Palatino Linotype" w:hAnsi="Palatino Linotype" w:cs="Palatino Linotype"/>
          <w:i/>
          <w:iCs/>
        </w:rPr>
      </w:pPr>
      <w:r w:rsidRPr="00EE0056">
        <w:rPr>
          <w:rFonts w:ascii="Palatino Linotype" w:eastAsia="Palatino Linotype" w:hAnsi="Palatino Linotype" w:cs="Palatino Linotype"/>
          <w:i/>
          <w:iCs/>
        </w:rPr>
        <w:t xml:space="preserve">c) </w:t>
      </w:r>
      <w:r w:rsidRPr="00EE0056">
        <w:rPr>
          <w:rFonts w:ascii="Palatino Linotype" w:eastAsia="Palatino Linotype" w:hAnsi="Palatino Linotype" w:cs="Palatino Linotype"/>
          <w:b/>
          <w:bCs/>
          <w:i/>
          <w:iCs/>
        </w:rPr>
        <w:t>Gratuitos</w:t>
      </w:r>
      <w:r w:rsidRPr="00EE0056">
        <w:rPr>
          <w:rFonts w:ascii="Palatino Linotype" w:eastAsia="Palatino Linotype" w:hAnsi="Palatino Linotype" w:cs="Palatino Linotype"/>
          <w:i/>
          <w:iCs/>
        </w:rPr>
        <w:t xml:space="preserve">: Se obtienen sin entregar a cambio contraprestación alguna; </w:t>
      </w:r>
    </w:p>
    <w:p w:rsidR="006B6A8C" w:rsidRPr="00EE0056" w:rsidRDefault="00DD6CA9">
      <w:pPr>
        <w:ind w:left="566" w:right="-220"/>
        <w:jc w:val="both"/>
        <w:rPr>
          <w:rFonts w:ascii="Palatino Linotype" w:eastAsia="Palatino Linotype" w:hAnsi="Palatino Linotype" w:cs="Palatino Linotype"/>
          <w:i/>
          <w:iCs/>
        </w:rPr>
      </w:pPr>
      <w:r w:rsidRPr="00EE0056">
        <w:rPr>
          <w:rFonts w:ascii="Palatino Linotype" w:eastAsia="Palatino Linotype" w:hAnsi="Palatino Linotype" w:cs="Palatino Linotype"/>
          <w:i/>
          <w:iCs/>
        </w:rPr>
        <w:t xml:space="preserve">d) </w:t>
      </w:r>
      <w:r w:rsidRPr="00EE0056">
        <w:rPr>
          <w:rFonts w:ascii="Palatino Linotype" w:eastAsia="Palatino Linotype" w:hAnsi="Palatino Linotype" w:cs="Palatino Linotype"/>
          <w:b/>
          <w:bCs/>
          <w:i/>
          <w:iCs/>
        </w:rPr>
        <w:t>No discriminatorios</w:t>
      </w:r>
      <w:r w:rsidRPr="00EE0056">
        <w:rPr>
          <w:rFonts w:ascii="Palatino Linotype" w:eastAsia="Palatino Linotype" w:hAnsi="Palatino Linotype" w:cs="Palatino Linotype"/>
          <w:i/>
          <w:iCs/>
        </w:rPr>
        <w:t xml:space="preserve">: Los datos están disponibles para cualquier persona, sin necesidad de registro; </w:t>
      </w:r>
    </w:p>
    <w:p w:rsidR="006B6A8C" w:rsidRPr="00EE0056" w:rsidRDefault="00DD6CA9">
      <w:pPr>
        <w:ind w:left="566" w:right="-220"/>
        <w:jc w:val="both"/>
        <w:rPr>
          <w:rFonts w:ascii="Palatino Linotype" w:eastAsia="Palatino Linotype" w:hAnsi="Palatino Linotype" w:cs="Palatino Linotype"/>
          <w:i/>
          <w:iCs/>
        </w:rPr>
      </w:pPr>
      <w:r w:rsidRPr="00EE0056">
        <w:rPr>
          <w:rFonts w:ascii="Palatino Linotype" w:eastAsia="Palatino Linotype" w:hAnsi="Palatino Linotype" w:cs="Palatino Linotype"/>
          <w:i/>
          <w:iCs/>
        </w:rPr>
        <w:t xml:space="preserve">e) </w:t>
      </w:r>
      <w:r w:rsidRPr="00EE0056">
        <w:rPr>
          <w:rFonts w:ascii="Palatino Linotype" w:eastAsia="Palatino Linotype" w:hAnsi="Palatino Linotype" w:cs="Palatino Linotype"/>
          <w:b/>
          <w:bCs/>
          <w:i/>
          <w:iCs/>
        </w:rPr>
        <w:t>Oportunos</w:t>
      </w:r>
      <w:r w:rsidRPr="00EE0056">
        <w:rPr>
          <w:rFonts w:ascii="Palatino Linotype" w:eastAsia="Palatino Linotype" w:hAnsi="Palatino Linotype" w:cs="Palatino Linotype"/>
          <w:i/>
          <w:iCs/>
        </w:rPr>
        <w:t>: Son actualizados, periódicamente, conforme se generen;</w:t>
      </w:r>
    </w:p>
    <w:p w:rsidR="006B6A8C" w:rsidRPr="00EE0056" w:rsidRDefault="00DD6CA9">
      <w:pPr>
        <w:ind w:left="566" w:right="-220"/>
        <w:jc w:val="both"/>
        <w:rPr>
          <w:rFonts w:ascii="Palatino Linotype" w:eastAsia="Palatino Linotype" w:hAnsi="Palatino Linotype" w:cs="Palatino Linotype"/>
          <w:i/>
          <w:iCs/>
        </w:rPr>
      </w:pPr>
      <w:r w:rsidRPr="00EE0056">
        <w:rPr>
          <w:rFonts w:ascii="Palatino Linotype" w:eastAsia="Palatino Linotype" w:hAnsi="Palatino Linotype" w:cs="Palatino Linotype"/>
          <w:i/>
          <w:iCs/>
        </w:rPr>
        <w:t xml:space="preserve">f) </w:t>
      </w:r>
      <w:r w:rsidRPr="00EE0056">
        <w:rPr>
          <w:rFonts w:ascii="Palatino Linotype" w:eastAsia="Palatino Linotype" w:hAnsi="Palatino Linotype" w:cs="Palatino Linotype"/>
          <w:b/>
          <w:bCs/>
          <w:i/>
          <w:iCs/>
        </w:rPr>
        <w:t>Permanentes</w:t>
      </w:r>
      <w:r w:rsidRPr="00EE0056">
        <w:rPr>
          <w:rFonts w:ascii="Palatino Linotype" w:eastAsia="Palatino Linotype" w:hAnsi="Palatino Linotype" w:cs="Palatino Linotype"/>
          <w:i/>
          <w:iCs/>
        </w:rPr>
        <w:t xml:space="preserve">: Se conservan en el tiempo, para lo cual, las versiones históricas relevantes para uso público se mantendrán disponibles con identificadores adecuados al efecto; </w:t>
      </w:r>
    </w:p>
    <w:p w:rsidR="006B6A8C" w:rsidRPr="00EE0056" w:rsidRDefault="00DD6CA9">
      <w:pPr>
        <w:ind w:left="566" w:right="-220"/>
        <w:jc w:val="both"/>
        <w:rPr>
          <w:rFonts w:ascii="Palatino Linotype" w:eastAsia="Palatino Linotype" w:hAnsi="Palatino Linotype" w:cs="Palatino Linotype"/>
          <w:i/>
          <w:iCs/>
        </w:rPr>
      </w:pPr>
      <w:r w:rsidRPr="00EE0056">
        <w:rPr>
          <w:rFonts w:ascii="Palatino Linotype" w:eastAsia="Palatino Linotype" w:hAnsi="Palatino Linotype" w:cs="Palatino Linotype"/>
          <w:i/>
          <w:iCs/>
        </w:rPr>
        <w:t xml:space="preserve">g) </w:t>
      </w:r>
      <w:r w:rsidRPr="00EE0056">
        <w:rPr>
          <w:rFonts w:ascii="Palatino Linotype" w:eastAsia="Palatino Linotype" w:hAnsi="Palatino Linotype" w:cs="Palatino Linotype"/>
          <w:b/>
          <w:bCs/>
          <w:i/>
          <w:iCs/>
        </w:rPr>
        <w:t>Primarios</w:t>
      </w:r>
      <w:r w:rsidRPr="00EE0056">
        <w:rPr>
          <w:rFonts w:ascii="Palatino Linotype" w:eastAsia="Palatino Linotype" w:hAnsi="Palatino Linotype" w:cs="Palatino Linotype"/>
          <w:i/>
          <w:iCs/>
        </w:rPr>
        <w:t xml:space="preserve">: Provienen de la fuente de origen con el máximo nivel de desagregación posible; </w:t>
      </w:r>
    </w:p>
    <w:p w:rsidR="006B6A8C" w:rsidRPr="00EE0056" w:rsidRDefault="00DD6CA9">
      <w:pPr>
        <w:ind w:left="566" w:right="-220"/>
        <w:jc w:val="both"/>
        <w:rPr>
          <w:rFonts w:ascii="Palatino Linotype" w:eastAsia="Palatino Linotype" w:hAnsi="Palatino Linotype" w:cs="Palatino Linotype"/>
          <w:i/>
          <w:iCs/>
        </w:rPr>
      </w:pPr>
      <w:r w:rsidRPr="00EE0056">
        <w:rPr>
          <w:rFonts w:ascii="Palatino Linotype" w:eastAsia="Palatino Linotype" w:hAnsi="Palatino Linotype" w:cs="Palatino Linotype"/>
          <w:i/>
          <w:iCs/>
        </w:rPr>
        <w:t xml:space="preserve">h) </w:t>
      </w:r>
      <w:r w:rsidRPr="00EE0056">
        <w:rPr>
          <w:rFonts w:ascii="Palatino Linotype" w:eastAsia="Palatino Linotype" w:hAnsi="Palatino Linotype" w:cs="Palatino Linotype"/>
          <w:b/>
          <w:bCs/>
          <w:i/>
          <w:iCs/>
        </w:rPr>
        <w:t>Legibles por máquinas</w:t>
      </w:r>
      <w:r w:rsidRPr="00EE0056">
        <w:rPr>
          <w:rFonts w:ascii="Palatino Linotype" w:eastAsia="Palatino Linotype" w:hAnsi="Palatino Linotype" w:cs="Palatino Linotype"/>
          <w:i/>
          <w:iCs/>
        </w:rPr>
        <w:t xml:space="preserve">: Deberán estar estructurados, total o parcialmente, para ser procesados e interpretados por equipos electrónicos de manera automática; </w:t>
      </w:r>
    </w:p>
    <w:p w:rsidR="006B6A8C" w:rsidRPr="00EE0056" w:rsidRDefault="00DD6CA9">
      <w:pPr>
        <w:ind w:left="566" w:right="-220"/>
        <w:jc w:val="both"/>
        <w:rPr>
          <w:rFonts w:ascii="Palatino Linotype" w:eastAsia="Palatino Linotype" w:hAnsi="Palatino Linotype" w:cs="Palatino Linotype"/>
          <w:i/>
          <w:iCs/>
        </w:rPr>
      </w:pPr>
      <w:r w:rsidRPr="00EE0056">
        <w:rPr>
          <w:rFonts w:ascii="Palatino Linotype" w:eastAsia="Palatino Linotype" w:hAnsi="Palatino Linotype" w:cs="Palatino Linotype"/>
          <w:i/>
          <w:iCs/>
        </w:rPr>
        <w:t xml:space="preserve">i) </w:t>
      </w:r>
      <w:r w:rsidRPr="00EE0056">
        <w:rPr>
          <w:rFonts w:ascii="Palatino Linotype" w:eastAsia="Palatino Linotype" w:hAnsi="Palatino Linotype" w:cs="Palatino Linotype"/>
          <w:b/>
          <w:bCs/>
          <w:i/>
          <w:iCs/>
        </w:rPr>
        <w:t>En formatos abiertos</w:t>
      </w:r>
      <w:r w:rsidRPr="00EE0056">
        <w:rPr>
          <w:rFonts w:ascii="Palatino Linotype" w:eastAsia="Palatino Linotype" w:hAnsi="Palatino Linotype" w:cs="Palatino Linotype"/>
          <w:i/>
          <w:iCs/>
        </w:rPr>
        <w:t xml:space="preserve">: Los datos estarán disponibles con el conjunto de características técnicas y de presentación que corresponden a la estructura lógica usada para almacenar datos en un archivo digital, cuyas especificaciones técnicas están disponibles públicamente, que no suponen una dificultad de acceso y que su aplicación y reproducción no estén condicionadas a contraprestación alguna; y </w:t>
      </w:r>
    </w:p>
    <w:p w:rsidR="006B6A8C" w:rsidRPr="00EE0056" w:rsidRDefault="00DD6CA9">
      <w:pPr>
        <w:ind w:left="566" w:right="-220"/>
        <w:jc w:val="both"/>
        <w:rPr>
          <w:rFonts w:ascii="Palatino Linotype" w:eastAsia="Palatino Linotype" w:hAnsi="Palatino Linotype" w:cs="Palatino Linotype"/>
          <w:i/>
          <w:iCs/>
        </w:rPr>
      </w:pPr>
      <w:r w:rsidRPr="00EE0056">
        <w:rPr>
          <w:rFonts w:ascii="Palatino Linotype" w:eastAsia="Palatino Linotype" w:hAnsi="Palatino Linotype" w:cs="Palatino Linotype"/>
          <w:i/>
          <w:iCs/>
        </w:rPr>
        <w:lastRenderedPageBreak/>
        <w:t xml:space="preserve">j) </w:t>
      </w:r>
      <w:r w:rsidRPr="00EE0056">
        <w:rPr>
          <w:rFonts w:ascii="Palatino Linotype" w:eastAsia="Palatino Linotype" w:hAnsi="Palatino Linotype" w:cs="Palatino Linotype"/>
          <w:b/>
          <w:bCs/>
          <w:i/>
          <w:iCs/>
        </w:rPr>
        <w:t>De libre uso</w:t>
      </w:r>
      <w:r w:rsidRPr="00EE0056">
        <w:rPr>
          <w:rFonts w:ascii="Palatino Linotype" w:eastAsia="Palatino Linotype" w:hAnsi="Palatino Linotype" w:cs="Palatino Linotype"/>
          <w:i/>
          <w:iCs/>
        </w:rPr>
        <w:t>: Citan la fuente de origen como único requerimiento para ser utilizados libremente.</w:t>
      </w:r>
    </w:p>
    <w:p w:rsidR="006B6A8C" w:rsidRPr="00EE0056" w:rsidRDefault="00DD6CA9">
      <w:pPr>
        <w:ind w:left="566" w:right="-220"/>
        <w:jc w:val="both"/>
        <w:rPr>
          <w:rFonts w:ascii="Palatino Linotype" w:eastAsia="Palatino Linotype" w:hAnsi="Palatino Linotype" w:cs="Palatino Linotype"/>
          <w:i/>
          <w:iCs/>
        </w:rPr>
      </w:pPr>
      <w:r w:rsidRPr="00EE0056">
        <w:rPr>
          <w:rFonts w:ascii="Palatino Linotype" w:eastAsia="Palatino Linotype" w:hAnsi="Palatino Linotype" w:cs="Palatino Linotype"/>
          <w:i/>
          <w:iCs/>
        </w:rPr>
        <w:t>…</w:t>
      </w:r>
    </w:p>
    <w:p w:rsidR="006B6A8C" w:rsidRPr="00EE0056" w:rsidRDefault="006B6A8C">
      <w:pPr>
        <w:ind w:left="566" w:right="-220"/>
        <w:jc w:val="both"/>
        <w:rPr>
          <w:rFonts w:ascii="Palatino Linotype" w:eastAsia="Palatino Linotype" w:hAnsi="Palatino Linotype" w:cs="Palatino Linotype"/>
          <w:i/>
          <w:iCs/>
        </w:rPr>
      </w:pPr>
    </w:p>
    <w:p w:rsidR="006B6A8C" w:rsidRPr="00EE0056" w:rsidRDefault="00DD6CA9">
      <w:pPr>
        <w:ind w:left="566" w:right="-220"/>
        <w:jc w:val="both"/>
        <w:rPr>
          <w:rFonts w:ascii="Palatino Linotype" w:eastAsia="Palatino Linotype" w:hAnsi="Palatino Linotype" w:cs="Palatino Linotype"/>
          <w:i/>
          <w:iCs/>
        </w:rPr>
      </w:pPr>
      <w:r w:rsidRPr="00EE0056">
        <w:rPr>
          <w:rFonts w:ascii="Palatino Linotype" w:eastAsia="Palatino Linotype" w:hAnsi="Palatino Linotype" w:cs="Palatino Linotype"/>
          <w:b/>
          <w:bCs/>
          <w:i/>
          <w:iCs/>
        </w:rPr>
        <w:t>XVI. Formatos abiertos</w:t>
      </w:r>
      <w:r w:rsidRPr="00EE0056">
        <w:rPr>
          <w:rFonts w:ascii="Palatino Linotype" w:eastAsia="Palatino Linotype" w:hAnsi="Palatino Linotype" w:cs="Palatino Linotype"/>
          <w:i/>
          <w:iCs/>
        </w:rPr>
        <w:t>: Conjunto de características técnicas y de presentación de la información que corresponden a la estructura lógica usada para almacenar datos de forma integral y facilitan su procesamiento digital, cuyas especificaciones están disponibles públicamente y que permiten el acceso sin restricción de uso por parte de los usuarios;</w:t>
      </w:r>
    </w:p>
    <w:p w:rsidR="006B6A8C" w:rsidRPr="00EE0056" w:rsidRDefault="00DD6CA9">
      <w:pPr>
        <w:ind w:left="566" w:right="-220"/>
        <w:jc w:val="both"/>
        <w:rPr>
          <w:rFonts w:ascii="Palatino Linotype" w:eastAsia="Palatino Linotype" w:hAnsi="Palatino Linotype" w:cs="Palatino Linotype"/>
          <w:i/>
          <w:iCs/>
        </w:rPr>
      </w:pPr>
      <w:r w:rsidRPr="00EE0056">
        <w:rPr>
          <w:rFonts w:ascii="Palatino Linotype" w:eastAsia="Palatino Linotype" w:hAnsi="Palatino Linotype" w:cs="Palatino Linotype"/>
          <w:i/>
          <w:iCs/>
        </w:rPr>
        <w:t>…</w:t>
      </w:r>
    </w:p>
    <w:p w:rsidR="006B6A8C" w:rsidRPr="00EE0056" w:rsidRDefault="006B6A8C">
      <w:pPr>
        <w:ind w:left="566" w:right="-220"/>
        <w:jc w:val="both"/>
        <w:rPr>
          <w:rFonts w:ascii="Palatino Linotype" w:eastAsia="Palatino Linotype" w:hAnsi="Palatino Linotype" w:cs="Palatino Linotype"/>
          <w:i/>
          <w:iCs/>
        </w:rPr>
      </w:pPr>
    </w:p>
    <w:p w:rsidR="006B6A8C" w:rsidRPr="00EE0056" w:rsidRDefault="00DD6CA9">
      <w:pPr>
        <w:ind w:left="566" w:right="-220"/>
        <w:jc w:val="both"/>
        <w:rPr>
          <w:rFonts w:ascii="Palatino Linotype" w:eastAsia="Palatino Linotype" w:hAnsi="Palatino Linotype" w:cs="Palatino Linotype"/>
          <w:i/>
          <w:iCs/>
        </w:rPr>
      </w:pPr>
      <w:r w:rsidRPr="00EE0056">
        <w:rPr>
          <w:rFonts w:ascii="Palatino Linotype" w:eastAsia="Palatino Linotype" w:hAnsi="Palatino Linotype" w:cs="Palatino Linotype"/>
          <w:b/>
          <w:bCs/>
          <w:i/>
          <w:iCs/>
        </w:rPr>
        <w:t>Artículo 24</w:t>
      </w:r>
      <w:r w:rsidRPr="00EE0056">
        <w:rPr>
          <w:rFonts w:ascii="Palatino Linotype" w:eastAsia="Palatino Linotype" w:hAnsi="Palatino Linotype" w:cs="Palatino Linotype"/>
          <w:i/>
          <w:iCs/>
        </w:rPr>
        <w:t>. Para el cumplimiento de los objetivos de esta Ley, los sujetos obligados deberán cumplir con las siguientes obligaciones, según corresponda, de acuerdo a su naturaleza:</w:t>
      </w:r>
    </w:p>
    <w:p w:rsidR="006B6A8C" w:rsidRPr="00EE0056" w:rsidRDefault="00DD6CA9">
      <w:pPr>
        <w:ind w:left="566" w:right="-220"/>
        <w:jc w:val="both"/>
        <w:rPr>
          <w:rFonts w:ascii="Palatino Linotype" w:eastAsia="Palatino Linotype" w:hAnsi="Palatino Linotype" w:cs="Palatino Linotype"/>
          <w:i/>
          <w:iCs/>
        </w:rPr>
      </w:pPr>
      <w:r w:rsidRPr="00EE0056">
        <w:rPr>
          <w:rFonts w:ascii="Palatino Linotype" w:eastAsia="Palatino Linotype" w:hAnsi="Palatino Linotype" w:cs="Palatino Linotype"/>
          <w:i/>
          <w:iCs/>
        </w:rPr>
        <w:t>…</w:t>
      </w:r>
    </w:p>
    <w:p w:rsidR="006B6A8C" w:rsidRPr="00EE0056" w:rsidRDefault="00DD6CA9">
      <w:pPr>
        <w:ind w:left="566" w:right="-220"/>
        <w:jc w:val="both"/>
        <w:rPr>
          <w:rFonts w:ascii="Palatino Linotype" w:eastAsia="Palatino Linotype" w:hAnsi="Palatino Linotype" w:cs="Palatino Linotype"/>
          <w:i/>
          <w:iCs/>
        </w:rPr>
      </w:pPr>
      <w:r w:rsidRPr="00EE0056">
        <w:rPr>
          <w:rFonts w:ascii="Palatino Linotype" w:eastAsia="Palatino Linotype" w:hAnsi="Palatino Linotype" w:cs="Palatino Linotype"/>
          <w:i/>
          <w:iCs/>
        </w:rPr>
        <w:t>V. Promover la generación, documentación y publicación de la información en formatos abiertos y accesibles;</w:t>
      </w:r>
    </w:p>
    <w:p w:rsidR="006B6A8C" w:rsidRPr="00EE0056" w:rsidRDefault="00DD6CA9">
      <w:pPr>
        <w:ind w:left="566" w:right="-220"/>
        <w:jc w:val="both"/>
        <w:rPr>
          <w:rFonts w:ascii="Palatino Linotype" w:eastAsia="Palatino Linotype" w:hAnsi="Palatino Linotype" w:cs="Palatino Linotype"/>
          <w:i/>
          <w:iCs/>
        </w:rPr>
      </w:pPr>
      <w:r w:rsidRPr="00EE0056">
        <w:rPr>
          <w:rFonts w:ascii="Palatino Linotype" w:eastAsia="Palatino Linotype" w:hAnsi="Palatino Linotype" w:cs="Palatino Linotype"/>
          <w:i/>
          <w:iCs/>
        </w:rPr>
        <w:t>…</w:t>
      </w:r>
    </w:p>
    <w:p w:rsidR="006B6A8C" w:rsidRPr="00EE0056" w:rsidRDefault="006B6A8C">
      <w:pPr>
        <w:ind w:left="566" w:right="-220"/>
        <w:jc w:val="both"/>
        <w:rPr>
          <w:rFonts w:ascii="Palatino Linotype" w:eastAsia="Palatino Linotype" w:hAnsi="Palatino Linotype" w:cs="Palatino Linotype"/>
          <w:i/>
          <w:iCs/>
        </w:rPr>
      </w:pPr>
    </w:p>
    <w:p w:rsidR="006B6A8C" w:rsidRPr="00EE0056" w:rsidRDefault="00DD6CA9">
      <w:pPr>
        <w:ind w:left="566" w:right="-220"/>
        <w:jc w:val="both"/>
        <w:rPr>
          <w:rFonts w:ascii="Palatino Linotype" w:eastAsia="Palatino Linotype" w:hAnsi="Palatino Linotype" w:cs="Palatino Linotype"/>
          <w:i/>
          <w:iCs/>
        </w:rPr>
      </w:pPr>
      <w:r w:rsidRPr="00EE0056">
        <w:rPr>
          <w:rFonts w:ascii="Palatino Linotype" w:eastAsia="Palatino Linotype" w:hAnsi="Palatino Linotype" w:cs="Palatino Linotype"/>
          <w:b/>
          <w:bCs/>
          <w:i/>
          <w:iCs/>
        </w:rPr>
        <w:t>Artículo 41</w:t>
      </w:r>
      <w:r w:rsidRPr="00EE0056">
        <w:rPr>
          <w:rFonts w:ascii="Palatino Linotype" w:eastAsia="Palatino Linotype" w:hAnsi="Palatino Linotype" w:cs="Palatino Linotype"/>
          <w:i/>
          <w:iCs/>
        </w:rPr>
        <w:t>. El Instituto promoverá la publicación de la información en datos abiertos y accesibles.</w:t>
      </w:r>
    </w:p>
    <w:p w:rsidR="006B6A8C" w:rsidRPr="00EE0056" w:rsidRDefault="00DD6CA9">
      <w:pPr>
        <w:ind w:left="566" w:right="-220"/>
        <w:jc w:val="both"/>
        <w:rPr>
          <w:rFonts w:ascii="Palatino Linotype" w:eastAsia="Palatino Linotype" w:hAnsi="Palatino Linotype" w:cs="Palatino Linotype"/>
          <w:i/>
          <w:iCs/>
        </w:rPr>
      </w:pPr>
      <w:r w:rsidRPr="00EE0056">
        <w:rPr>
          <w:rFonts w:ascii="Palatino Linotype" w:eastAsia="Palatino Linotype" w:hAnsi="Palatino Linotype" w:cs="Palatino Linotype"/>
          <w:i/>
          <w:iCs/>
        </w:rPr>
        <w:t>…</w:t>
      </w:r>
    </w:p>
    <w:p w:rsidR="006B6A8C" w:rsidRPr="00EE0056" w:rsidRDefault="006B6A8C">
      <w:pPr>
        <w:ind w:left="566" w:right="-220"/>
        <w:jc w:val="both"/>
        <w:rPr>
          <w:rFonts w:ascii="Palatino Linotype" w:eastAsia="Palatino Linotype" w:hAnsi="Palatino Linotype" w:cs="Palatino Linotype"/>
          <w:i/>
          <w:iCs/>
        </w:rPr>
      </w:pPr>
    </w:p>
    <w:p w:rsidR="006B6A8C" w:rsidRPr="00EE0056" w:rsidRDefault="00DD6CA9">
      <w:pPr>
        <w:ind w:left="566" w:right="-220"/>
        <w:jc w:val="both"/>
        <w:rPr>
          <w:rFonts w:ascii="Palatino Linotype" w:eastAsia="Palatino Linotype" w:hAnsi="Palatino Linotype" w:cs="Palatino Linotype"/>
          <w:i/>
          <w:iCs/>
        </w:rPr>
      </w:pPr>
      <w:r w:rsidRPr="00EE0056">
        <w:rPr>
          <w:rFonts w:ascii="Palatino Linotype" w:eastAsia="Palatino Linotype" w:hAnsi="Palatino Linotype" w:cs="Palatino Linotype"/>
          <w:b/>
          <w:bCs/>
          <w:i/>
          <w:iCs/>
        </w:rPr>
        <w:t>Artículo 160</w:t>
      </w:r>
      <w:r w:rsidRPr="00EE0056">
        <w:rPr>
          <w:rFonts w:ascii="Palatino Linotype" w:eastAsia="Palatino Linotype" w:hAnsi="Palatino Linotype" w:cs="Palatino Linotype"/>
          <w:i/>
          <w:iCs/>
        </w:rPr>
        <w:t>. Los sujetos obligados deberán otorgar acceso a los documentos que se encuentren en sus archivos o que estén obligados a documentar de acuerdo con sus facultades, competencias o funciones en el formato que el solicitante manifieste, de entre aquellos formatos existentes, conforme a las características físicas de la información o del lugar donde se encuentre así lo permita. En caso que la información solicitada consista en bases de datos se deberá privilegiar la entrega de la misma en formatos abiertos.</w:t>
      </w:r>
    </w:p>
    <w:p w:rsidR="006B6A8C" w:rsidRPr="00EE0056" w:rsidRDefault="006B6A8C">
      <w:pPr>
        <w:ind w:left="566" w:right="-220"/>
        <w:jc w:val="both"/>
        <w:rPr>
          <w:rFonts w:ascii="Palatino Linotype" w:eastAsia="Palatino Linotype" w:hAnsi="Palatino Linotype" w:cs="Palatino Linotype"/>
          <w:i/>
          <w:iCs/>
        </w:rPr>
      </w:pPr>
    </w:p>
    <w:p w:rsidR="006B6A8C" w:rsidRPr="00EE0056" w:rsidRDefault="00DD6CA9">
      <w:pPr>
        <w:numPr>
          <w:ilvl w:val="0"/>
          <w:numId w:val="2"/>
        </w:numPr>
        <w:spacing w:line="360" w:lineRule="auto"/>
        <w:ind w:left="0" w:right="-787" w:firstLine="0"/>
        <w:jc w:val="both"/>
        <w:rPr>
          <w:rFonts w:ascii="Palatino Linotype" w:eastAsia="Palatino Linotype" w:hAnsi="Palatino Linotype" w:cs="Palatino Linotype"/>
          <w:b/>
          <w:bCs/>
          <w:color w:val="000000"/>
        </w:rPr>
      </w:pPr>
      <w:r w:rsidRPr="00EE0056">
        <w:rPr>
          <w:rFonts w:ascii="Palatino Linotype" w:eastAsia="Palatino Linotype" w:hAnsi="Palatino Linotype" w:cs="Palatino Linotype"/>
          <w:color w:val="000000"/>
        </w:rPr>
        <w:t xml:space="preserve">Es así que, los Sujetos Obligados y este Organismo Garante, deben velar por la generación y entrega de la información a los Particulares </w:t>
      </w:r>
      <w:r w:rsidRPr="00EE0056">
        <w:rPr>
          <w:rFonts w:ascii="Palatino Linotype" w:eastAsia="Palatino Linotype" w:hAnsi="Palatino Linotype" w:cs="Palatino Linotype"/>
          <w:b/>
          <w:bCs/>
          <w:color w:val="000000"/>
        </w:rPr>
        <w:t>en formatos abiertos, con los efectos de facilitar la reutilización de la información.</w:t>
      </w:r>
    </w:p>
    <w:p w:rsidR="006B6A8C" w:rsidRPr="00EE0056" w:rsidRDefault="006B6A8C">
      <w:pPr>
        <w:spacing w:line="360" w:lineRule="auto"/>
        <w:jc w:val="both"/>
        <w:rPr>
          <w:rFonts w:ascii="Palatino Linotype" w:eastAsia="Palatino Linotype" w:hAnsi="Palatino Linotype" w:cs="Palatino Linotype"/>
          <w:b/>
          <w:bCs/>
          <w:color w:val="000000"/>
        </w:rPr>
      </w:pPr>
    </w:p>
    <w:p w:rsidR="006B6A8C" w:rsidRPr="00EE0056" w:rsidRDefault="00DD6CA9">
      <w:pPr>
        <w:numPr>
          <w:ilvl w:val="0"/>
          <w:numId w:val="2"/>
        </w:numPr>
        <w:spacing w:line="360" w:lineRule="auto"/>
        <w:ind w:left="0" w:right="-787" w:firstLine="0"/>
        <w:jc w:val="both"/>
        <w:rPr>
          <w:rFonts w:ascii="Palatino Linotype" w:eastAsia="Palatino Linotype" w:hAnsi="Palatino Linotype" w:cs="Palatino Linotype"/>
          <w:color w:val="000000"/>
        </w:rPr>
      </w:pPr>
      <w:r w:rsidRPr="00EE0056">
        <w:rPr>
          <w:rFonts w:ascii="Palatino Linotype" w:eastAsia="Palatino Linotype" w:hAnsi="Palatino Linotype" w:cs="Palatino Linotype"/>
          <w:color w:val="000000"/>
        </w:rPr>
        <w:lastRenderedPageBreak/>
        <w:t xml:space="preserve">En este sentido, en acatamiento a lo estipulado en el artículo 161 de la Ley de Transparencia y Acceso a la Información Pública del Estado de México y Municipios, mismo que señala que cuando la información requerida por el solicitante ya esté disponible al público en medios impresos, tales como libros, compendios, trípticos, registros públicos, en formatos electrónicos disponibles en Internet o en cualquier otro medio, </w:t>
      </w:r>
      <w:r w:rsidRPr="00EE0056">
        <w:rPr>
          <w:rFonts w:ascii="Palatino Linotype" w:eastAsia="Palatino Linotype" w:hAnsi="Palatino Linotype" w:cs="Palatino Linotype"/>
          <w:b/>
          <w:bCs/>
          <w:color w:val="000000"/>
          <w:u w:val="single"/>
        </w:rPr>
        <w:t>se le hará saber por el medio requerido por el solicitante la fuente, el lugar y la forma en que puede consultar, reproducir o adquirir dicha información en un plazo no mayor a cinco días hábiles. La fuente deberá ser precisa y concreta y no debe implicar que el solicitante realice la búsqueda en toda la información que se encuentre disponible.</w:t>
      </w:r>
    </w:p>
    <w:p w:rsidR="006B6A8C" w:rsidRPr="00EE0056" w:rsidRDefault="006B6A8C">
      <w:pPr>
        <w:spacing w:line="360" w:lineRule="auto"/>
        <w:ind w:right="-787"/>
        <w:jc w:val="both"/>
        <w:rPr>
          <w:rFonts w:ascii="Palatino Linotype" w:eastAsia="Palatino Linotype" w:hAnsi="Palatino Linotype" w:cs="Palatino Linotype"/>
          <w:color w:val="000000"/>
        </w:rPr>
      </w:pPr>
    </w:p>
    <w:p w:rsidR="006B6A8C" w:rsidRPr="00EE0056" w:rsidRDefault="00DD6CA9">
      <w:pPr>
        <w:numPr>
          <w:ilvl w:val="0"/>
          <w:numId w:val="2"/>
        </w:numPr>
        <w:spacing w:line="360" w:lineRule="auto"/>
        <w:ind w:left="0" w:right="-787" w:firstLine="0"/>
        <w:jc w:val="both"/>
        <w:rPr>
          <w:rFonts w:ascii="Palatino Linotype" w:eastAsia="Palatino Linotype" w:hAnsi="Palatino Linotype" w:cs="Palatino Linotype"/>
        </w:rPr>
      </w:pPr>
      <w:r w:rsidRPr="00EE0056">
        <w:rPr>
          <w:rFonts w:ascii="Palatino Linotype" w:eastAsia="Palatino Linotype" w:hAnsi="Palatino Linotype" w:cs="Palatino Linotype"/>
        </w:rPr>
        <w:t xml:space="preserve">Por lo </w:t>
      </w:r>
      <w:r w:rsidRPr="00EE0056">
        <w:rPr>
          <w:rFonts w:ascii="Palatino Linotype" w:eastAsia="Palatino Linotype" w:hAnsi="Palatino Linotype" w:cs="Palatino Linotype"/>
          <w:color w:val="000000"/>
        </w:rPr>
        <w:t>anteriormente</w:t>
      </w:r>
      <w:r w:rsidRPr="00EE0056">
        <w:rPr>
          <w:rFonts w:ascii="Palatino Linotype" w:eastAsia="Palatino Linotype" w:hAnsi="Palatino Linotype" w:cs="Palatino Linotype"/>
        </w:rPr>
        <w:t xml:space="preserve"> expuesto, este Órgano Garante considera </w:t>
      </w:r>
      <w:r w:rsidRPr="00EE0056">
        <w:rPr>
          <w:rFonts w:ascii="Palatino Linotype" w:eastAsia="Palatino Linotype" w:hAnsi="Palatino Linotype" w:cs="Palatino Linotype"/>
          <w:b/>
          <w:bCs/>
        </w:rPr>
        <w:t>FUNDADAS</w:t>
      </w:r>
      <w:r w:rsidRPr="00EE0056">
        <w:rPr>
          <w:rFonts w:ascii="Palatino Linotype" w:eastAsia="Palatino Linotype" w:hAnsi="Palatino Linotype" w:cs="Palatino Linotype"/>
        </w:rPr>
        <w:t xml:space="preserve"> las razones o motivos de inconformidad que plantea el</w:t>
      </w:r>
      <w:r w:rsidRPr="00EE0056">
        <w:rPr>
          <w:rFonts w:ascii="Palatino Linotype" w:eastAsia="Palatino Linotype" w:hAnsi="Palatino Linotype" w:cs="Palatino Linotype"/>
          <w:b/>
          <w:bCs/>
        </w:rPr>
        <w:t xml:space="preserve"> RECURRENTE </w:t>
      </w:r>
      <w:r w:rsidRPr="00EE0056">
        <w:rPr>
          <w:rFonts w:ascii="Palatino Linotype" w:eastAsia="Palatino Linotype" w:hAnsi="Palatino Linotype" w:cs="Palatino Linotype"/>
        </w:rPr>
        <w:t xml:space="preserve">en el Recurso de Revisión </w:t>
      </w:r>
      <w:r w:rsidRPr="00EE0056">
        <w:rPr>
          <w:rFonts w:ascii="Palatino Linotype" w:eastAsia="Palatino Linotype" w:hAnsi="Palatino Linotype" w:cs="Palatino Linotype"/>
          <w:b/>
          <w:bCs/>
          <w:color w:val="000000"/>
        </w:rPr>
        <w:t>12968/INFOEM/IP/RR/2025</w:t>
      </w:r>
      <w:r w:rsidRPr="00EE0056">
        <w:rPr>
          <w:rFonts w:ascii="Palatino Linotype" w:eastAsia="Palatino Linotype" w:hAnsi="Palatino Linotype" w:cs="Palatino Linotype"/>
        </w:rPr>
        <w:t xml:space="preserve">, determinando </w:t>
      </w:r>
      <w:r w:rsidRPr="00EE0056">
        <w:rPr>
          <w:rFonts w:ascii="Palatino Linotype" w:eastAsia="Palatino Linotype" w:hAnsi="Palatino Linotype" w:cs="Palatino Linotype"/>
          <w:b/>
          <w:bCs/>
          <w:smallCaps/>
        </w:rPr>
        <w:t>REVOCAR</w:t>
      </w:r>
      <w:r w:rsidRPr="00EE0056">
        <w:rPr>
          <w:rFonts w:ascii="Palatino Linotype" w:eastAsia="Palatino Linotype" w:hAnsi="Palatino Linotype" w:cs="Palatino Linotype"/>
          <w:b/>
          <w:bCs/>
        </w:rPr>
        <w:t xml:space="preserve"> </w:t>
      </w:r>
      <w:r w:rsidRPr="00EE0056">
        <w:rPr>
          <w:rFonts w:ascii="Palatino Linotype" w:eastAsia="Palatino Linotype" w:hAnsi="Palatino Linotype" w:cs="Palatino Linotype"/>
        </w:rPr>
        <w:t xml:space="preserve">la respuesta del </w:t>
      </w:r>
      <w:r w:rsidRPr="00EE0056">
        <w:rPr>
          <w:rFonts w:ascii="Palatino Linotype" w:eastAsia="Palatino Linotype" w:hAnsi="Palatino Linotype" w:cs="Palatino Linotype"/>
          <w:b/>
          <w:bCs/>
        </w:rPr>
        <w:t>SUJETO OBLIGADO</w:t>
      </w:r>
      <w:r w:rsidRPr="00EE0056">
        <w:rPr>
          <w:rFonts w:ascii="Palatino Linotype" w:eastAsia="Palatino Linotype" w:hAnsi="Palatino Linotype" w:cs="Palatino Linotype"/>
        </w:rPr>
        <w:t xml:space="preserve"> y se ordena la entrega, de ser procedente en versión pública, la siguiente información: </w:t>
      </w:r>
      <w:r w:rsidRPr="00EE0056">
        <w:rPr>
          <w:rFonts w:ascii="Palatino Linotype" w:eastAsia="Palatino Linotype" w:hAnsi="Palatino Linotype" w:cs="Palatino Linotype"/>
          <w:b/>
          <w:bCs/>
        </w:rPr>
        <w:t>los informes de resultados de las auditorías CI/A/AA/01/2025 y CI/A/AA/02/2025, referidas en respuesta.</w:t>
      </w:r>
    </w:p>
    <w:p w:rsidR="006B6A8C" w:rsidRPr="00EE0056" w:rsidRDefault="006B6A8C">
      <w:pPr>
        <w:spacing w:line="360" w:lineRule="auto"/>
        <w:ind w:right="-787"/>
        <w:jc w:val="both"/>
        <w:rPr>
          <w:rFonts w:ascii="Palatino Linotype" w:eastAsia="Palatino Linotype" w:hAnsi="Palatino Linotype" w:cs="Palatino Linotype"/>
        </w:rPr>
      </w:pPr>
    </w:p>
    <w:p w:rsidR="006B6A8C" w:rsidRPr="00EE0056" w:rsidRDefault="00DD6CA9">
      <w:pPr>
        <w:numPr>
          <w:ilvl w:val="0"/>
          <w:numId w:val="2"/>
        </w:numPr>
        <w:spacing w:line="360" w:lineRule="auto"/>
        <w:ind w:left="0" w:right="-787" w:firstLine="0"/>
        <w:jc w:val="both"/>
        <w:rPr>
          <w:color w:val="000000"/>
        </w:rPr>
      </w:pPr>
      <w:r w:rsidRPr="00EE0056">
        <w:rPr>
          <w:rFonts w:ascii="Palatino Linotype" w:eastAsia="Palatino Linotype" w:hAnsi="Palatino Linotype" w:cs="Palatino Linotype"/>
          <w:color w:val="000000"/>
        </w:rPr>
        <w:t xml:space="preserve">Por otro lado, no pasa desapercibido </w:t>
      </w:r>
      <w:r w:rsidRPr="00EE0056">
        <w:rPr>
          <w:rFonts w:ascii="Palatino Linotype" w:eastAsia="Palatino Linotype" w:hAnsi="Palatino Linotype" w:cs="Palatino Linotype"/>
        </w:rPr>
        <w:t>para</w:t>
      </w:r>
      <w:r w:rsidRPr="00EE0056">
        <w:rPr>
          <w:rFonts w:ascii="Palatino Linotype" w:eastAsia="Palatino Linotype" w:hAnsi="Palatino Linotype" w:cs="Palatino Linotype"/>
          <w:color w:val="000000"/>
        </w:rPr>
        <w:t xml:space="preserve"> este Órgano Garante, que la información que se ordena entregar puede contener información susceptible de clasificarse; para lo cual, el </w:t>
      </w:r>
      <w:r w:rsidRPr="00EE0056">
        <w:rPr>
          <w:rFonts w:ascii="Palatino Linotype" w:eastAsia="Palatino Linotype" w:hAnsi="Palatino Linotype" w:cs="Palatino Linotype"/>
          <w:b/>
          <w:bCs/>
          <w:color w:val="000000"/>
        </w:rPr>
        <w:t>SUJETO OBLIGADO</w:t>
      </w:r>
      <w:r w:rsidRPr="00EE0056">
        <w:rPr>
          <w:rFonts w:ascii="Palatino Linotype" w:eastAsia="Palatino Linotype" w:hAnsi="Palatino Linotype" w:cs="Palatino Linotype"/>
          <w:color w:val="000000"/>
        </w:rPr>
        <w:t xml:space="preserve"> deberá atender al siguiente Considerando.</w:t>
      </w:r>
    </w:p>
    <w:p w:rsidR="006B6A8C" w:rsidRPr="00EE0056" w:rsidRDefault="006B6A8C">
      <w:pPr>
        <w:spacing w:line="360" w:lineRule="auto"/>
        <w:ind w:right="-787"/>
        <w:jc w:val="both"/>
        <w:rPr>
          <w:rFonts w:ascii="Palatino Linotype" w:eastAsia="Palatino Linotype" w:hAnsi="Palatino Linotype" w:cs="Palatino Linotype"/>
        </w:rPr>
      </w:pPr>
    </w:p>
    <w:p w:rsidR="006B6A8C" w:rsidRPr="00EE0056" w:rsidRDefault="00DD6CA9">
      <w:pPr>
        <w:keepNext/>
        <w:keepLines/>
        <w:spacing w:after="160" w:line="360" w:lineRule="auto"/>
        <w:rPr>
          <w:rFonts w:ascii="Palatino Linotype" w:eastAsia="Palatino Linotype" w:hAnsi="Palatino Linotype" w:cs="Palatino Linotype"/>
          <w:b/>
          <w:bCs/>
          <w:color w:val="000000"/>
        </w:rPr>
      </w:pPr>
      <w:r w:rsidRPr="00EE0056">
        <w:rPr>
          <w:rFonts w:ascii="Palatino Linotype" w:eastAsia="Palatino Linotype" w:hAnsi="Palatino Linotype" w:cs="Palatino Linotype"/>
          <w:b/>
          <w:bCs/>
          <w:color w:val="000000"/>
        </w:rPr>
        <w:lastRenderedPageBreak/>
        <w:t>QUINTO. De la versión pública.</w:t>
      </w:r>
    </w:p>
    <w:p w:rsidR="006B6A8C" w:rsidRPr="00EE0056" w:rsidRDefault="00DD6CA9">
      <w:pPr>
        <w:keepNext/>
        <w:keepLines/>
        <w:numPr>
          <w:ilvl w:val="0"/>
          <w:numId w:val="7"/>
        </w:numPr>
        <w:tabs>
          <w:tab w:val="left" w:pos="284"/>
        </w:tabs>
        <w:spacing w:after="160" w:line="360" w:lineRule="auto"/>
        <w:rPr>
          <w:rFonts w:ascii="Palatino Linotype" w:eastAsia="Palatino Linotype" w:hAnsi="Palatino Linotype" w:cs="Palatino Linotype"/>
          <w:b/>
          <w:bCs/>
          <w:color w:val="000000"/>
        </w:rPr>
      </w:pPr>
      <w:r w:rsidRPr="00EE0056">
        <w:rPr>
          <w:rFonts w:ascii="Palatino Linotype" w:eastAsia="Palatino Linotype" w:hAnsi="Palatino Linotype" w:cs="Palatino Linotype"/>
          <w:b/>
          <w:bCs/>
          <w:color w:val="000000"/>
        </w:rPr>
        <w:t xml:space="preserve">Nociones generales. </w:t>
      </w:r>
    </w:p>
    <w:p w:rsidR="006B6A8C" w:rsidRPr="00EE0056" w:rsidRDefault="00DD6CA9" w:rsidP="00EE0056">
      <w:pPr>
        <w:numPr>
          <w:ilvl w:val="0"/>
          <w:numId w:val="2"/>
        </w:numPr>
        <w:tabs>
          <w:tab w:val="left" w:pos="8647"/>
        </w:tabs>
        <w:spacing w:line="360" w:lineRule="auto"/>
        <w:ind w:left="0" w:right="-787" w:firstLine="0"/>
        <w:jc w:val="both"/>
        <w:rPr>
          <w:rFonts w:ascii="Palatino Linotype" w:eastAsia="Palatino Linotype" w:hAnsi="Palatino Linotype" w:cs="Palatino Linotype"/>
        </w:rPr>
      </w:pPr>
      <w:r w:rsidRPr="00EE0056">
        <w:rPr>
          <w:rFonts w:ascii="Palatino Linotype" w:eastAsia="Palatino Linotype" w:hAnsi="Palatino Linotype" w:cs="Palatino Linotype"/>
          <w:color w:val="000000"/>
        </w:rPr>
        <w:t>Debido</w:t>
      </w:r>
      <w:r w:rsidRPr="00EE0056">
        <w:rPr>
          <w:rFonts w:ascii="Palatino Linotype" w:eastAsia="Palatino Linotype" w:hAnsi="Palatino Linotype" w:cs="Palatino Linotype"/>
        </w:rPr>
        <w:t xml:space="preserve"> a la </w:t>
      </w:r>
      <w:r w:rsidRPr="00EE0056">
        <w:rPr>
          <w:color w:val="000000"/>
        </w:rPr>
        <w:t>información</w:t>
      </w:r>
      <w:r w:rsidRPr="00EE0056">
        <w:rPr>
          <w:rFonts w:ascii="Palatino Linotype" w:eastAsia="Palatino Linotype" w:hAnsi="Palatino Linotype" w:cs="Palatino Linotype"/>
        </w:rPr>
        <w:t xml:space="preserve"> solicitada por el </w:t>
      </w:r>
      <w:r w:rsidRPr="00EE0056">
        <w:rPr>
          <w:rFonts w:ascii="Palatino Linotype" w:eastAsia="Palatino Linotype" w:hAnsi="Palatino Linotype" w:cs="Palatino Linotype"/>
          <w:b/>
          <w:bCs/>
        </w:rPr>
        <w:t>RECURRENTE</w:t>
      </w:r>
      <w:r w:rsidRPr="00EE0056">
        <w:rPr>
          <w:rFonts w:ascii="Palatino Linotype" w:eastAsia="Palatino Linotype" w:hAnsi="Palatino Linotype" w:cs="Palatino Linotype"/>
        </w:rPr>
        <w:t xml:space="preserve">, en el caso de obrar datos personales susceptibles de protegerse, así como información susceptible de clasificarse como confidencial, el </w:t>
      </w:r>
      <w:r w:rsidRPr="00EE0056">
        <w:rPr>
          <w:rFonts w:ascii="Palatino Linotype" w:eastAsia="Palatino Linotype" w:hAnsi="Palatino Linotype" w:cs="Palatino Linotype"/>
          <w:b/>
          <w:bCs/>
        </w:rPr>
        <w:t xml:space="preserve">SUJETO OBLIGADO </w:t>
      </w:r>
      <w:r w:rsidRPr="00EE0056">
        <w:rPr>
          <w:rFonts w:ascii="Palatino Linotype" w:eastAsia="Palatino Linotype" w:hAnsi="Palatino Linotype" w:cs="Palatino Linotype"/>
        </w:rPr>
        <w:t xml:space="preserve">deberá de hacer la adecuada versión pública, protegiendo los datos que no son susceptibles de ser proporcionados. </w:t>
      </w:r>
    </w:p>
    <w:p w:rsidR="006B6A8C" w:rsidRPr="00EE0056" w:rsidRDefault="006B6A8C" w:rsidP="00EE0056">
      <w:pPr>
        <w:tabs>
          <w:tab w:val="left" w:pos="0"/>
          <w:tab w:val="left" w:pos="284"/>
          <w:tab w:val="left" w:pos="8647"/>
        </w:tabs>
        <w:spacing w:line="360" w:lineRule="auto"/>
        <w:ind w:right="49"/>
        <w:jc w:val="both"/>
        <w:rPr>
          <w:rFonts w:ascii="Palatino Linotype" w:eastAsia="Palatino Linotype" w:hAnsi="Palatino Linotype" w:cs="Palatino Linotype"/>
          <w:highlight w:val="yellow"/>
        </w:rPr>
      </w:pPr>
    </w:p>
    <w:p w:rsidR="006B6A8C" w:rsidRPr="00EE0056" w:rsidRDefault="00DD6CA9" w:rsidP="00EE0056">
      <w:pPr>
        <w:numPr>
          <w:ilvl w:val="0"/>
          <w:numId w:val="2"/>
        </w:numPr>
        <w:spacing w:line="360" w:lineRule="auto"/>
        <w:ind w:left="0" w:right="-787" w:firstLine="0"/>
        <w:jc w:val="both"/>
        <w:rPr>
          <w:rFonts w:ascii="Palatino Linotype" w:eastAsia="Palatino Linotype" w:hAnsi="Palatino Linotype" w:cs="Palatino Linotype"/>
          <w:color w:val="000000"/>
        </w:rPr>
      </w:pPr>
      <w:r w:rsidRPr="00EE0056">
        <w:rPr>
          <w:rFonts w:ascii="Palatino Linotype" w:eastAsia="Palatino Linotype" w:hAnsi="Palatino Linotype" w:cs="Palatino Linotype"/>
          <w:color w:val="000000"/>
        </w:rPr>
        <w:t xml:space="preserve">No pasa </w:t>
      </w:r>
      <w:r w:rsidRPr="00EE0056">
        <w:rPr>
          <w:color w:val="000000"/>
        </w:rPr>
        <w:t>desapercibido</w:t>
      </w:r>
      <w:r w:rsidRPr="00EE0056">
        <w:rPr>
          <w:rFonts w:ascii="Palatino Linotype" w:eastAsia="Palatino Linotype" w:hAnsi="Palatino Linotype" w:cs="Palatino Linotype"/>
          <w:color w:val="000000"/>
        </w:rPr>
        <w:t xml:space="preserve"> para este Órgano Garante que los sujetos obligados</w:t>
      </w:r>
      <w:r w:rsidRPr="00EE0056">
        <w:rPr>
          <w:rFonts w:ascii="Palatino Linotype" w:eastAsia="Palatino Linotype" w:hAnsi="Palatino Linotype" w:cs="Palatino Linotype"/>
          <w:b/>
          <w:bCs/>
          <w:color w:val="000000"/>
        </w:rPr>
        <w:t xml:space="preserve"> </w:t>
      </w:r>
      <w:r w:rsidRPr="00EE0056">
        <w:rPr>
          <w:rFonts w:ascii="Palatino Linotype" w:eastAsia="Palatino Linotype" w:hAnsi="Palatino Linotype" w:cs="Palatino Linotype"/>
          <w:color w:val="000000"/>
        </w:rPr>
        <w:t>serán responsables de los datos personales en su posesión y que, en caso de localizarse datos concernientes a terceros, éstos no podrán difundir, distribuir o comercializar los datos personales.  Cabe destacar que, para la realización de la clasificación de la información, se deben seguir una serie de pasos y procedimientos, por lo que es menester reiterar los mismos:</w:t>
      </w:r>
    </w:p>
    <w:p w:rsidR="006B6A8C" w:rsidRPr="00EE0056" w:rsidRDefault="006B6A8C">
      <w:pPr>
        <w:tabs>
          <w:tab w:val="left" w:pos="284"/>
        </w:tabs>
        <w:spacing w:after="160" w:line="360" w:lineRule="auto"/>
        <w:ind w:right="49"/>
        <w:jc w:val="both"/>
        <w:rPr>
          <w:rFonts w:ascii="Palatino Linotype" w:eastAsia="Palatino Linotype" w:hAnsi="Palatino Linotype" w:cs="Palatino Linotype"/>
          <w:color w:val="000000"/>
        </w:rPr>
      </w:pPr>
    </w:p>
    <w:tbl>
      <w:tblPr>
        <w:tblStyle w:val="a"/>
        <w:tblW w:w="9776" w:type="dxa"/>
        <w:tblInd w:w="0"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Look w:val="0400" w:firstRow="0" w:lastRow="0" w:firstColumn="0" w:lastColumn="0" w:noHBand="0" w:noVBand="1"/>
      </w:tblPr>
      <w:tblGrid>
        <w:gridCol w:w="2830"/>
        <w:gridCol w:w="6946"/>
      </w:tblGrid>
      <w:tr w:rsidR="006B6A8C" w:rsidRPr="00EE0056" w:rsidTr="00EE0056">
        <w:tc>
          <w:tcPr>
            <w:tcW w:w="2830" w:type="dxa"/>
          </w:tcPr>
          <w:p w:rsidR="006B6A8C" w:rsidRPr="00EE0056" w:rsidRDefault="00DD6CA9">
            <w:pPr>
              <w:tabs>
                <w:tab w:val="left" w:pos="284"/>
              </w:tabs>
              <w:spacing w:line="360" w:lineRule="auto"/>
              <w:rPr>
                <w:rFonts w:ascii="Palatino Linotype" w:eastAsia="Palatino Linotype" w:hAnsi="Palatino Linotype" w:cs="Palatino Linotype"/>
                <w:b/>
                <w:bCs/>
              </w:rPr>
            </w:pPr>
            <w:r w:rsidRPr="00EE0056">
              <w:rPr>
                <w:rFonts w:ascii="Palatino Linotype" w:eastAsia="Palatino Linotype" w:hAnsi="Palatino Linotype" w:cs="Palatino Linotype"/>
                <w:b/>
                <w:bCs/>
              </w:rPr>
              <w:t>a) Requisitos previos.</w:t>
            </w:r>
          </w:p>
        </w:tc>
        <w:tc>
          <w:tcPr>
            <w:tcW w:w="6946" w:type="dxa"/>
          </w:tcPr>
          <w:p w:rsidR="006B6A8C" w:rsidRPr="00EE0056" w:rsidRDefault="00DD6CA9">
            <w:pPr>
              <w:tabs>
                <w:tab w:val="left" w:pos="284"/>
              </w:tabs>
              <w:spacing w:line="276" w:lineRule="auto"/>
              <w:jc w:val="both"/>
              <w:rPr>
                <w:rFonts w:ascii="Palatino Linotype" w:eastAsia="Palatino Linotype" w:hAnsi="Palatino Linotype" w:cs="Palatino Linotype"/>
                <w:color w:val="000000"/>
              </w:rPr>
            </w:pPr>
            <w:r w:rsidRPr="00EE0056">
              <w:rPr>
                <w:rFonts w:ascii="Palatino Linotype" w:eastAsia="Palatino Linotype" w:hAnsi="Palatino Linotype" w:cs="Palatino Linotype"/>
                <w:color w:val="000000"/>
              </w:rPr>
              <w:t xml:space="preserve">El artículo 122 de la Ley Estatal señala que si los Sujetos Obligados determinan que la información actualiza alguno de los supuestos de clasificación, es deber de los titulares de las áreas proponer su clasificación y no del Comité de Transparencia. </w:t>
            </w:r>
          </w:p>
          <w:p w:rsidR="006B6A8C" w:rsidRPr="00EE0056" w:rsidRDefault="00DD6CA9">
            <w:pPr>
              <w:tabs>
                <w:tab w:val="left" w:pos="284"/>
              </w:tabs>
              <w:spacing w:line="276" w:lineRule="auto"/>
              <w:jc w:val="both"/>
              <w:rPr>
                <w:rFonts w:ascii="Palatino Linotype" w:eastAsia="Palatino Linotype" w:hAnsi="Palatino Linotype" w:cs="Palatino Linotype"/>
                <w:color w:val="000000"/>
              </w:rPr>
            </w:pPr>
            <w:r w:rsidRPr="00EE0056">
              <w:rPr>
                <w:rFonts w:ascii="Palatino Linotype" w:eastAsia="Palatino Linotype" w:hAnsi="Palatino Linotype" w:cs="Palatino Linotype"/>
                <w:color w:val="000000"/>
              </w:rPr>
              <w:t>Al hacerlo tienen que precisar de qué información se trata, señalando el supuesto de clasificación (confidencialidad o reserva).</w:t>
            </w:r>
          </w:p>
          <w:p w:rsidR="006B6A8C" w:rsidRPr="00EE0056" w:rsidRDefault="00DD6CA9">
            <w:pPr>
              <w:tabs>
                <w:tab w:val="left" w:pos="284"/>
              </w:tabs>
              <w:spacing w:line="276" w:lineRule="auto"/>
              <w:jc w:val="both"/>
              <w:rPr>
                <w:rFonts w:ascii="Palatino Linotype" w:eastAsia="Palatino Linotype" w:hAnsi="Palatino Linotype" w:cs="Palatino Linotype"/>
                <w:color w:val="000000"/>
              </w:rPr>
            </w:pPr>
            <w:r w:rsidRPr="00EE0056">
              <w:rPr>
                <w:rFonts w:ascii="Palatino Linotype" w:eastAsia="Palatino Linotype" w:hAnsi="Palatino Linotype" w:cs="Palatino Linotype"/>
                <w:color w:val="000000"/>
              </w:rPr>
              <w:t>Además, se debe señalar el procedimiento, de los tres que establecen el artículo 132 de la Ley Estatal.</w:t>
            </w:r>
          </w:p>
          <w:p w:rsidR="006B6A8C" w:rsidRPr="00EE0056" w:rsidRDefault="00DD6CA9">
            <w:pPr>
              <w:tabs>
                <w:tab w:val="left" w:pos="284"/>
              </w:tabs>
              <w:spacing w:line="276" w:lineRule="auto"/>
              <w:jc w:val="both"/>
              <w:rPr>
                <w:rFonts w:ascii="Palatino Linotype" w:eastAsia="Palatino Linotype" w:hAnsi="Palatino Linotype" w:cs="Palatino Linotype"/>
              </w:rPr>
            </w:pPr>
            <w:r w:rsidRPr="00EE0056">
              <w:rPr>
                <w:rFonts w:ascii="Palatino Linotype" w:eastAsia="Palatino Linotype" w:hAnsi="Palatino Linotype" w:cs="Palatino Linotype"/>
                <w:color w:val="000000"/>
              </w:rPr>
              <w:lastRenderedPageBreak/>
              <w:t xml:space="preserve">El último de estos requisitos previos consiste en que no se pueden emitir acuerdos de carácter general ni particular, esto es, </w:t>
            </w:r>
            <w:r w:rsidRPr="00EE0056">
              <w:rPr>
                <w:rFonts w:ascii="Palatino Linotype" w:eastAsia="Palatino Linotype" w:hAnsi="Palatino Linotype" w:cs="Palatino Linotype"/>
                <w:color w:val="000000"/>
                <w:u w:val="single"/>
              </w:rPr>
              <w:t>no se puede hacer un acuerdo para clasificar de manera general todos los documentos de un expediente o área, sin</w:t>
            </w:r>
            <w:r w:rsidRPr="00EE0056">
              <w:rPr>
                <w:rFonts w:ascii="Palatino Linotype" w:eastAsia="Palatino Linotype" w:hAnsi="Palatino Linotype" w:cs="Palatino Linotype"/>
                <w:color w:val="000000"/>
              </w:rPr>
              <w:t xml:space="preserve"> individualizar su análisis y tampoco se puede hacer un acuerdo por cada dato que se vaya a clasificar dentro de un documento con diez datos, por ejemplo, susceptibles de ser clasificados.</w:t>
            </w:r>
          </w:p>
        </w:tc>
      </w:tr>
      <w:tr w:rsidR="006B6A8C" w:rsidRPr="00EE0056" w:rsidTr="00EE0056">
        <w:tc>
          <w:tcPr>
            <w:tcW w:w="2830" w:type="dxa"/>
            <w:shd w:val="clear" w:color="auto" w:fill="F2F2F2"/>
          </w:tcPr>
          <w:p w:rsidR="006B6A8C" w:rsidRPr="00EE0056" w:rsidRDefault="00DD6CA9">
            <w:pPr>
              <w:tabs>
                <w:tab w:val="left" w:pos="284"/>
              </w:tabs>
              <w:spacing w:line="360" w:lineRule="auto"/>
              <w:rPr>
                <w:rFonts w:ascii="Palatino Linotype" w:eastAsia="Palatino Linotype" w:hAnsi="Palatino Linotype" w:cs="Palatino Linotype"/>
                <w:b/>
                <w:bCs/>
              </w:rPr>
            </w:pPr>
            <w:r w:rsidRPr="00EE0056">
              <w:rPr>
                <w:rFonts w:ascii="Palatino Linotype" w:eastAsia="Palatino Linotype" w:hAnsi="Palatino Linotype" w:cs="Palatino Linotype"/>
                <w:b/>
                <w:bCs/>
              </w:rPr>
              <w:lastRenderedPageBreak/>
              <w:t>b) Supuestos de clasificación.</w:t>
            </w:r>
          </w:p>
        </w:tc>
        <w:tc>
          <w:tcPr>
            <w:tcW w:w="6946" w:type="dxa"/>
            <w:shd w:val="clear" w:color="auto" w:fill="F2F2F2"/>
          </w:tcPr>
          <w:p w:rsidR="006B6A8C" w:rsidRPr="00EE0056" w:rsidRDefault="00DD6CA9">
            <w:pPr>
              <w:tabs>
                <w:tab w:val="left" w:pos="284"/>
              </w:tabs>
              <w:spacing w:line="276" w:lineRule="auto"/>
              <w:jc w:val="both"/>
              <w:rPr>
                <w:rFonts w:ascii="Palatino Linotype" w:eastAsia="Palatino Linotype" w:hAnsi="Palatino Linotype" w:cs="Palatino Linotype"/>
                <w:color w:val="000000"/>
              </w:rPr>
            </w:pPr>
            <w:r w:rsidRPr="00EE0056">
              <w:rPr>
                <w:rFonts w:ascii="Palatino Linotype" w:eastAsia="Palatino Linotype" w:hAnsi="Palatino Linotype" w:cs="Palatino Linotype"/>
                <w:color w:val="000000"/>
              </w:rPr>
              <w:t>Las disposiciones constitucionales y legales en la materia establecen los dos supuestos generales para clasificar la información: por reserva y por confidencialidad.</w:t>
            </w:r>
          </w:p>
          <w:p w:rsidR="006B6A8C" w:rsidRPr="00EE0056" w:rsidRDefault="00DD6CA9">
            <w:pPr>
              <w:tabs>
                <w:tab w:val="left" w:pos="284"/>
              </w:tabs>
              <w:spacing w:line="276" w:lineRule="auto"/>
              <w:jc w:val="both"/>
              <w:rPr>
                <w:rFonts w:ascii="Palatino Linotype" w:eastAsia="Palatino Linotype" w:hAnsi="Palatino Linotype" w:cs="Palatino Linotype"/>
                <w:color w:val="000000"/>
              </w:rPr>
            </w:pPr>
            <w:r w:rsidRPr="00EE0056">
              <w:rPr>
                <w:rFonts w:ascii="Palatino Linotype" w:eastAsia="Palatino Linotype" w:hAnsi="Palatino Linotype" w:cs="Palatino Linotype"/>
                <w:color w:val="000000"/>
              </w:rPr>
              <w:t>El artículo 143 de la Ley Estatal señala los supuestos para que la información pueda ser clasificada como confidencial. Mientras que el artículo 130 de la Ley Estatal señala que la aplicación de estos supuestos debe realizarse de manera restrictiva y limitada, por lo que debe acreditarse que se cumple con esta condición y no se pueden ampliar las excepciones o supuestos de clasificación aduciendo analogía o mayoría de razón.</w:t>
            </w:r>
          </w:p>
          <w:p w:rsidR="006B6A8C" w:rsidRPr="00EE0056" w:rsidRDefault="00DD6CA9">
            <w:pPr>
              <w:tabs>
                <w:tab w:val="left" w:pos="284"/>
              </w:tabs>
              <w:spacing w:line="276" w:lineRule="auto"/>
              <w:jc w:val="both"/>
              <w:rPr>
                <w:rFonts w:ascii="Palatino Linotype" w:eastAsia="Palatino Linotype" w:hAnsi="Palatino Linotype" w:cs="Palatino Linotype"/>
              </w:rPr>
            </w:pPr>
            <w:r w:rsidRPr="00EE0056">
              <w:rPr>
                <w:rFonts w:ascii="Palatino Linotype" w:eastAsia="Palatino Linotype" w:hAnsi="Palatino Linotype" w:cs="Palatino Linotype"/>
                <w:color w:val="000000"/>
              </w:rPr>
              <w:t xml:space="preserve">El </w:t>
            </w:r>
            <w:r w:rsidRPr="00EE0056">
              <w:rPr>
                <w:rFonts w:ascii="Palatino Linotype" w:eastAsia="Palatino Linotype" w:hAnsi="Palatino Linotype" w:cs="Palatino Linotype"/>
                <w:b/>
                <w:bCs/>
                <w:color w:val="000000"/>
              </w:rPr>
              <w:t>Sujeto Obligado</w:t>
            </w:r>
            <w:r w:rsidRPr="00EE0056">
              <w:rPr>
                <w:rFonts w:ascii="Palatino Linotype" w:eastAsia="Palatino Linotype" w:hAnsi="Palatino Linotype" w:cs="Palatino Linotype"/>
                <w:color w:val="000000"/>
              </w:rPr>
              <w:t xml:space="preserve"> debe identificar claramente el tipo de información y hacer un juicio de subsunción o encaje para acreditar que el supuesto de hecho corresponde estrictamente con la hipótesis jurídica. Esto también lo debe de realizar el servidor público habilitado y el titular del área que administra la información.</w:t>
            </w:r>
          </w:p>
        </w:tc>
      </w:tr>
      <w:tr w:rsidR="006B6A8C" w:rsidRPr="00EE0056" w:rsidTr="00EE0056">
        <w:tc>
          <w:tcPr>
            <w:tcW w:w="2830" w:type="dxa"/>
          </w:tcPr>
          <w:p w:rsidR="006B6A8C" w:rsidRPr="00EE0056" w:rsidRDefault="00DD6CA9">
            <w:pPr>
              <w:tabs>
                <w:tab w:val="left" w:pos="284"/>
              </w:tabs>
              <w:spacing w:line="360" w:lineRule="auto"/>
              <w:rPr>
                <w:rFonts w:ascii="Palatino Linotype" w:eastAsia="Palatino Linotype" w:hAnsi="Palatino Linotype" w:cs="Palatino Linotype"/>
                <w:b/>
                <w:bCs/>
              </w:rPr>
            </w:pPr>
            <w:r w:rsidRPr="00EE0056">
              <w:rPr>
                <w:rFonts w:ascii="Palatino Linotype" w:eastAsia="Palatino Linotype" w:hAnsi="Palatino Linotype" w:cs="Palatino Linotype"/>
                <w:b/>
                <w:bCs/>
              </w:rPr>
              <w:t>c) Formalidades para emitir el acuerdo de clasificación.</w:t>
            </w:r>
          </w:p>
        </w:tc>
        <w:tc>
          <w:tcPr>
            <w:tcW w:w="6946" w:type="dxa"/>
          </w:tcPr>
          <w:p w:rsidR="006B6A8C" w:rsidRPr="00EE0056" w:rsidRDefault="00DD6CA9">
            <w:pPr>
              <w:tabs>
                <w:tab w:val="left" w:pos="284"/>
              </w:tabs>
              <w:spacing w:line="276" w:lineRule="auto"/>
              <w:jc w:val="both"/>
              <w:rPr>
                <w:rFonts w:ascii="Palatino Linotype" w:eastAsia="Palatino Linotype" w:hAnsi="Palatino Linotype" w:cs="Palatino Linotype"/>
                <w:color w:val="000000"/>
              </w:rPr>
            </w:pPr>
            <w:r w:rsidRPr="00EE0056">
              <w:rPr>
                <w:rFonts w:ascii="Palatino Linotype" w:eastAsia="Palatino Linotype" w:hAnsi="Palatino Linotype" w:cs="Palatino Linotype"/>
                <w:color w:val="000000"/>
              </w:rPr>
              <w:t xml:space="preserve">El Comité de Transparencia, según lo dispuesto en los artículos cuenta con las facultades para aprobar, modificar o revocar la clasificación de la información que haya propuesto. </w:t>
            </w:r>
          </w:p>
          <w:p w:rsidR="006B6A8C" w:rsidRPr="00EE0056" w:rsidRDefault="00DD6CA9">
            <w:pPr>
              <w:tabs>
                <w:tab w:val="left" w:pos="284"/>
              </w:tabs>
              <w:spacing w:line="276" w:lineRule="auto"/>
              <w:jc w:val="both"/>
              <w:rPr>
                <w:rFonts w:ascii="Palatino Linotype" w:eastAsia="Palatino Linotype" w:hAnsi="Palatino Linotype" w:cs="Palatino Linotype"/>
                <w:color w:val="000000"/>
              </w:rPr>
            </w:pPr>
            <w:r w:rsidRPr="00EE0056">
              <w:rPr>
                <w:rFonts w:ascii="Palatino Linotype" w:eastAsia="Palatino Linotype" w:hAnsi="Palatino Linotype" w:cs="Palatino Linotype"/>
                <w:color w:val="000000"/>
              </w:rPr>
              <w:t xml:space="preserve">Es necesario que </w:t>
            </w:r>
            <w:r w:rsidRPr="00EE0056">
              <w:rPr>
                <w:rFonts w:ascii="Palatino Linotype" w:eastAsia="Palatino Linotype" w:hAnsi="Palatino Linotype" w:cs="Palatino Linotype"/>
                <w:b/>
                <w:bCs/>
                <w:color w:val="000000"/>
                <w:u w:val="single"/>
              </w:rPr>
              <w:t>el acto reúna con los requisitos elementales</w:t>
            </w:r>
            <w:r w:rsidRPr="00EE0056">
              <w:rPr>
                <w:rFonts w:ascii="Palatino Linotype" w:eastAsia="Palatino Linotype" w:hAnsi="Palatino Linotype" w:cs="Palatino Linotype"/>
                <w:color w:val="000000"/>
              </w:rPr>
              <w:t>, entre ellos, que la autoridad que va a emitir el acto de autoridad sea la legalmente facultada para ello.</w:t>
            </w:r>
          </w:p>
          <w:p w:rsidR="006B6A8C" w:rsidRPr="00EE0056" w:rsidRDefault="00DD6CA9">
            <w:pPr>
              <w:tabs>
                <w:tab w:val="left" w:pos="284"/>
              </w:tabs>
              <w:spacing w:line="276" w:lineRule="auto"/>
              <w:jc w:val="both"/>
              <w:rPr>
                <w:rFonts w:ascii="Palatino Linotype" w:eastAsia="Palatino Linotype" w:hAnsi="Palatino Linotype" w:cs="Palatino Linotype"/>
              </w:rPr>
            </w:pPr>
            <w:r w:rsidRPr="00EE0056">
              <w:rPr>
                <w:rFonts w:ascii="Palatino Linotype" w:eastAsia="Palatino Linotype" w:hAnsi="Palatino Linotype" w:cs="Palatino Linotype"/>
                <w:color w:val="000000"/>
              </w:rPr>
              <w:lastRenderedPageBreak/>
              <w:t xml:space="preserve">La decisión de aprobar, modificar o revocar la clasificación deberá de asentarse en un documento que registre la determinación a la que se llegue después de un análisis minucioso a partir de lo propuesto por el Titular del I. </w:t>
            </w:r>
            <w:r w:rsidRPr="00EE0056">
              <w:rPr>
                <w:rFonts w:ascii="Palatino Linotype" w:eastAsia="Palatino Linotype" w:hAnsi="Palatino Linotype" w:cs="Palatino Linotype"/>
              </w:rPr>
              <w:t>El área</w:t>
            </w:r>
            <w:r w:rsidRPr="00EE0056">
              <w:rPr>
                <w:rFonts w:ascii="Palatino Linotype" w:eastAsia="Palatino Linotype" w:hAnsi="Palatino Linotype" w:cs="Palatino Linotype"/>
                <w:color w:val="000000"/>
              </w:rPr>
              <w:t xml:space="preserve"> que administra la información, cuyo análisis debe integrarse en la agenda de los asuntos a tratar en las sesiones, se insiste, a partir de las decisiones adoptadas previamente por los titulares de áreas y que son sujetas a control, en primera instancia, por el Comité de Transparencia.</w:t>
            </w:r>
          </w:p>
        </w:tc>
      </w:tr>
      <w:tr w:rsidR="006B6A8C" w:rsidRPr="00EE0056" w:rsidTr="00EE0056">
        <w:tc>
          <w:tcPr>
            <w:tcW w:w="2830" w:type="dxa"/>
            <w:shd w:val="clear" w:color="auto" w:fill="F2F2F2"/>
          </w:tcPr>
          <w:p w:rsidR="006B6A8C" w:rsidRPr="00EE0056" w:rsidRDefault="006B6A8C">
            <w:pPr>
              <w:tabs>
                <w:tab w:val="left" w:pos="284"/>
              </w:tabs>
              <w:spacing w:line="360" w:lineRule="auto"/>
              <w:rPr>
                <w:rFonts w:ascii="Palatino Linotype" w:eastAsia="Palatino Linotype" w:hAnsi="Palatino Linotype" w:cs="Palatino Linotype"/>
                <w:b/>
                <w:bCs/>
              </w:rPr>
            </w:pPr>
          </w:p>
          <w:p w:rsidR="006B6A8C" w:rsidRPr="00EE0056" w:rsidRDefault="00DD6CA9">
            <w:pPr>
              <w:tabs>
                <w:tab w:val="left" w:pos="284"/>
              </w:tabs>
              <w:spacing w:line="360" w:lineRule="auto"/>
              <w:jc w:val="both"/>
              <w:rPr>
                <w:rFonts w:ascii="Palatino Linotype" w:eastAsia="Palatino Linotype" w:hAnsi="Palatino Linotype" w:cs="Palatino Linotype"/>
                <w:b/>
                <w:bCs/>
              </w:rPr>
            </w:pPr>
            <w:r w:rsidRPr="00EE0056">
              <w:rPr>
                <w:rFonts w:ascii="Palatino Linotype" w:eastAsia="Palatino Linotype" w:hAnsi="Palatino Linotype" w:cs="Palatino Linotype"/>
                <w:b/>
                <w:bCs/>
                <w:color w:val="000000"/>
              </w:rPr>
              <w:t xml:space="preserve">d) Requisitos de fondo del acuerdo de clasificación. </w:t>
            </w:r>
          </w:p>
        </w:tc>
        <w:tc>
          <w:tcPr>
            <w:tcW w:w="6946" w:type="dxa"/>
            <w:shd w:val="clear" w:color="auto" w:fill="F2F2F2"/>
          </w:tcPr>
          <w:p w:rsidR="006B6A8C" w:rsidRPr="00EE0056" w:rsidRDefault="00DD6CA9">
            <w:pPr>
              <w:tabs>
                <w:tab w:val="left" w:pos="284"/>
              </w:tabs>
              <w:spacing w:line="276" w:lineRule="auto"/>
              <w:jc w:val="both"/>
              <w:rPr>
                <w:rFonts w:ascii="Palatino Linotype" w:eastAsia="Palatino Linotype" w:hAnsi="Palatino Linotype" w:cs="Palatino Linotype"/>
                <w:color w:val="000000"/>
              </w:rPr>
            </w:pPr>
            <w:r w:rsidRPr="00EE0056">
              <w:rPr>
                <w:rFonts w:ascii="Palatino Linotype" w:eastAsia="Palatino Linotype" w:hAnsi="Palatino Linotype" w:cs="Palatino Linotype"/>
                <w:color w:val="000000"/>
              </w:rPr>
              <w:t xml:space="preserve">Como se ha señalado antes, al hacer el juicio de subsunción o encaje entre el supuesto de hecho y la hipótesis jurídica, se debe acreditar la estricta correspondencia entre un elemento y otro. Ahora, en esta parte del procedimiento, que se desahoga en sede del Comité de Transparencia, la ley señala que la carga de la prueba, para justificar las restricciones, corresponde a los </w:t>
            </w:r>
            <w:r w:rsidRPr="00EE0056">
              <w:rPr>
                <w:rFonts w:ascii="Palatino Linotype" w:eastAsia="Palatino Linotype" w:hAnsi="Palatino Linotype" w:cs="Palatino Linotype"/>
                <w:b/>
                <w:bCs/>
                <w:color w:val="000000"/>
              </w:rPr>
              <w:t>Sujetos Obligados</w:t>
            </w:r>
            <w:r w:rsidRPr="00EE0056">
              <w:rPr>
                <w:rFonts w:ascii="Palatino Linotype" w:eastAsia="Palatino Linotype" w:hAnsi="Palatino Linotype" w:cs="Palatino Linotype"/>
                <w:color w:val="000000"/>
              </w:rPr>
              <w:t xml:space="preserve">, por lo que deberán fundar y motivar debidamente la clasificación. </w:t>
            </w:r>
          </w:p>
          <w:p w:rsidR="006B6A8C" w:rsidRPr="00EE0056" w:rsidRDefault="00DD6CA9">
            <w:pPr>
              <w:tabs>
                <w:tab w:val="left" w:pos="284"/>
              </w:tabs>
              <w:spacing w:line="276" w:lineRule="auto"/>
              <w:jc w:val="both"/>
              <w:rPr>
                <w:rFonts w:ascii="Palatino Linotype" w:eastAsia="Palatino Linotype" w:hAnsi="Palatino Linotype" w:cs="Palatino Linotype"/>
                <w:color w:val="000000"/>
              </w:rPr>
            </w:pPr>
            <w:r w:rsidRPr="00EE0056">
              <w:rPr>
                <w:rFonts w:ascii="Palatino Linotype" w:eastAsia="Palatino Linotype" w:hAnsi="Palatino Linotype" w:cs="Palatino Linotype"/>
                <w:color w:val="000000"/>
              </w:rPr>
              <w:t xml:space="preserve">De lo anterior, se desprende que para una correcta </w:t>
            </w:r>
            <w:r w:rsidRPr="00EE0056">
              <w:rPr>
                <w:rFonts w:ascii="Palatino Linotype" w:eastAsia="Palatino Linotype" w:hAnsi="Palatino Linotype" w:cs="Palatino Linotype"/>
                <w:b/>
                <w:bCs/>
                <w:color w:val="000000"/>
              </w:rPr>
              <w:t>clasificación total o parcial</w:t>
            </w:r>
            <w:r w:rsidRPr="00EE0056">
              <w:rPr>
                <w:rFonts w:ascii="Palatino Linotype" w:eastAsia="Palatino Linotype" w:hAnsi="Palatino Linotype" w:cs="Palatino Linotype"/>
                <w:color w:val="000000"/>
              </w:rPr>
              <w:t>, esto es determinar los datos que se suprimen en las versiones públicas, es necesario fundar y motivar, de manera correcta, la clasificación; considerando que todo acto que la autoridad pronuncie en el ejercicio de sus atribuciones, debe expresar los fundamentos legales que le dieron origen y las razones por las que se deben aplicar al caso concreto.</w:t>
            </w:r>
          </w:p>
          <w:p w:rsidR="006B6A8C" w:rsidRPr="00EE0056" w:rsidRDefault="00DD6CA9">
            <w:pPr>
              <w:tabs>
                <w:tab w:val="left" w:pos="284"/>
              </w:tabs>
              <w:spacing w:line="276" w:lineRule="auto"/>
              <w:jc w:val="both"/>
              <w:rPr>
                <w:rFonts w:ascii="Palatino Linotype" w:eastAsia="Palatino Linotype" w:hAnsi="Palatino Linotype" w:cs="Palatino Linotype"/>
                <w:color w:val="000000"/>
              </w:rPr>
            </w:pPr>
            <w:r w:rsidRPr="00EE0056">
              <w:rPr>
                <w:rFonts w:ascii="Palatino Linotype" w:eastAsia="Palatino Linotype" w:hAnsi="Palatino Linotype" w:cs="Palatino Linotype"/>
                <w:color w:val="000000"/>
              </w:rPr>
              <w:t xml:space="preserve">Así, en un acto de autoridad se cumple con la debida fundamentación cuando se cita el precepto legal aplicable al caso concreto y la debida motivación cuando se expresan las razones, motivos o circunstancias que tomó en cuenta la autoridad para adecuar el hecho a los fundamentos de derecho. De este modo, la persona que se sienta afectada pueda </w:t>
            </w:r>
            <w:r w:rsidRPr="00EE0056">
              <w:rPr>
                <w:rFonts w:ascii="Palatino Linotype" w:eastAsia="Palatino Linotype" w:hAnsi="Palatino Linotype" w:cs="Palatino Linotype"/>
                <w:color w:val="000000"/>
              </w:rPr>
              <w:lastRenderedPageBreak/>
              <w:t>impugnar la decisión, permitiéndole una real y auténtica defensa.</w:t>
            </w:r>
          </w:p>
          <w:p w:rsidR="006B6A8C" w:rsidRPr="00EE0056" w:rsidRDefault="00DD6CA9">
            <w:pPr>
              <w:tabs>
                <w:tab w:val="left" w:pos="284"/>
              </w:tabs>
              <w:spacing w:line="276" w:lineRule="auto"/>
              <w:jc w:val="both"/>
              <w:rPr>
                <w:rFonts w:ascii="Palatino Linotype" w:eastAsia="Palatino Linotype" w:hAnsi="Palatino Linotype" w:cs="Palatino Linotype"/>
                <w:color w:val="000000"/>
              </w:rPr>
            </w:pPr>
            <w:r w:rsidRPr="00EE0056">
              <w:rPr>
                <w:rFonts w:ascii="Palatino Linotype" w:eastAsia="Palatino Linotype" w:hAnsi="Palatino Linotype" w:cs="Palatino Linotype"/>
                <w:color w:val="000000"/>
              </w:rPr>
              <w:t>En ese mismo sentido, el numeral trigésimo tercero fracción V de los Lineamientos Generales, precisa que para motivar la clasificación se deben acreditar las circunstancias de tiempo, modo y lugar.</w:t>
            </w:r>
          </w:p>
          <w:p w:rsidR="006B6A8C" w:rsidRPr="00EE0056" w:rsidRDefault="00DD6CA9">
            <w:pPr>
              <w:tabs>
                <w:tab w:val="left" w:pos="284"/>
              </w:tabs>
              <w:spacing w:line="276" w:lineRule="auto"/>
              <w:jc w:val="both"/>
              <w:rPr>
                <w:rFonts w:ascii="Palatino Linotype" w:eastAsia="Palatino Linotype" w:hAnsi="Palatino Linotype" w:cs="Palatino Linotype"/>
                <w:color w:val="000000"/>
              </w:rPr>
            </w:pPr>
            <w:r w:rsidRPr="00EE0056">
              <w:rPr>
                <w:rFonts w:ascii="Palatino Linotype" w:eastAsia="Palatino Linotype" w:hAnsi="Palatino Linotype" w:cs="Palatino Linotype"/>
                <w:color w:val="000000"/>
              </w:rPr>
              <w:t xml:space="preserve">Ahora bien, </w:t>
            </w:r>
            <w:r w:rsidRPr="00EE0056">
              <w:rPr>
                <w:rFonts w:ascii="Palatino Linotype" w:eastAsia="Palatino Linotype" w:hAnsi="Palatino Linotype" w:cs="Palatino Linotype"/>
                <w:b/>
                <w:bCs/>
                <w:color w:val="000000"/>
                <w:u w:val="single"/>
              </w:rPr>
              <w:t>para cada caso además de fundar y motivar</w:t>
            </w:r>
            <w:r w:rsidRPr="00EE0056">
              <w:rPr>
                <w:rFonts w:ascii="Palatino Linotype" w:eastAsia="Palatino Linotype" w:hAnsi="Palatino Linotype" w:cs="Palatino Linotype"/>
                <w:color w:val="000000"/>
              </w:rPr>
              <w:t xml:space="preserve">, se debe identificar con claridad </w:t>
            </w:r>
            <w:r w:rsidRPr="00EE0056">
              <w:rPr>
                <w:rFonts w:ascii="Palatino Linotype" w:eastAsia="Palatino Linotype" w:hAnsi="Palatino Linotype" w:cs="Palatino Linotype"/>
              </w:rPr>
              <w:t>qué</w:t>
            </w:r>
            <w:r w:rsidRPr="00EE0056">
              <w:rPr>
                <w:rFonts w:ascii="Palatino Linotype" w:eastAsia="Palatino Linotype" w:hAnsi="Palatino Linotype" w:cs="Palatino Linotype"/>
                <w:color w:val="000000"/>
              </w:rPr>
              <w:t xml:space="preserve"> datos contenidos en las documentales que son susceptibles de suprimirse, por ejemplo; Clave Única de Registro de Población (CURP), Registro Federal de Contribuyentes (R.F.C.), claves de seguros, préstamos o descuentos personales, secretos bancario, fiduciario, industrial, comercial, fiscal, bursátil y postal, cuya titularidad corresponda a particulares, entre otros.</w:t>
            </w:r>
          </w:p>
        </w:tc>
      </w:tr>
      <w:tr w:rsidR="006B6A8C" w:rsidRPr="00EE0056" w:rsidTr="00EE0056">
        <w:tc>
          <w:tcPr>
            <w:tcW w:w="2830" w:type="dxa"/>
          </w:tcPr>
          <w:p w:rsidR="006B6A8C" w:rsidRPr="00EE0056" w:rsidRDefault="00DD6CA9">
            <w:pPr>
              <w:tabs>
                <w:tab w:val="left" w:pos="284"/>
              </w:tabs>
              <w:spacing w:line="360" w:lineRule="auto"/>
              <w:jc w:val="both"/>
              <w:rPr>
                <w:rFonts w:ascii="Palatino Linotype" w:eastAsia="Palatino Linotype" w:hAnsi="Palatino Linotype" w:cs="Palatino Linotype"/>
                <w:b/>
                <w:bCs/>
              </w:rPr>
            </w:pPr>
            <w:r w:rsidRPr="00EE0056">
              <w:rPr>
                <w:rFonts w:ascii="Palatino Linotype" w:eastAsia="Palatino Linotype" w:hAnsi="Palatino Linotype" w:cs="Palatino Linotype"/>
                <w:b/>
                <w:bCs/>
              </w:rPr>
              <w:lastRenderedPageBreak/>
              <w:t xml:space="preserve">e) Condiciones especiales de la clasificación de la información como confidencial. </w:t>
            </w:r>
          </w:p>
        </w:tc>
        <w:tc>
          <w:tcPr>
            <w:tcW w:w="6946" w:type="dxa"/>
          </w:tcPr>
          <w:p w:rsidR="006B6A8C" w:rsidRPr="00EE0056" w:rsidRDefault="00DD6CA9">
            <w:pPr>
              <w:tabs>
                <w:tab w:val="left" w:pos="284"/>
              </w:tabs>
              <w:spacing w:line="276" w:lineRule="auto"/>
              <w:jc w:val="both"/>
              <w:rPr>
                <w:rFonts w:ascii="Palatino Linotype" w:eastAsia="Palatino Linotype" w:hAnsi="Palatino Linotype" w:cs="Palatino Linotype"/>
                <w:color w:val="000000"/>
              </w:rPr>
            </w:pPr>
            <w:r w:rsidRPr="00EE0056">
              <w:rPr>
                <w:rFonts w:ascii="Palatino Linotype" w:eastAsia="Palatino Linotype" w:hAnsi="Palatino Linotype" w:cs="Palatino Linotype"/>
                <w:color w:val="000000"/>
              </w:rPr>
              <w:t xml:space="preserve">Los artículos 148 de la Ley Estatal establece que aun tratándose de datos personales, se podrán proporcionar, incluso sin solicitar el consentimiento de su titular. </w:t>
            </w:r>
          </w:p>
          <w:p w:rsidR="006B6A8C" w:rsidRPr="00EE0056" w:rsidRDefault="00DD6CA9">
            <w:pPr>
              <w:tabs>
                <w:tab w:val="left" w:pos="284"/>
              </w:tabs>
              <w:spacing w:line="276" w:lineRule="auto"/>
              <w:jc w:val="both"/>
              <w:rPr>
                <w:rFonts w:ascii="Palatino Linotype" w:eastAsia="Palatino Linotype" w:hAnsi="Palatino Linotype" w:cs="Palatino Linotype"/>
                <w:color w:val="000000"/>
              </w:rPr>
            </w:pPr>
            <w:r w:rsidRPr="00EE0056">
              <w:rPr>
                <w:rFonts w:ascii="Palatino Linotype" w:eastAsia="Palatino Linotype" w:hAnsi="Palatino Linotype" w:cs="Palatino Linotype"/>
                <w:color w:val="000000"/>
              </w:rPr>
              <w:t xml:space="preserve">En el caso de lo señalado en la fracción IV, será el Instituto quien deba aplicar la prueba de interés público, considerando también que como recientemente ha discutido la Suprema Corte de Justicia de la Nación, los servidores públicos nos encontramos sujetos a un régimen menor de protección. </w:t>
            </w:r>
          </w:p>
          <w:p w:rsidR="006B6A8C" w:rsidRPr="00EE0056" w:rsidRDefault="00DD6CA9">
            <w:pPr>
              <w:tabs>
                <w:tab w:val="left" w:pos="284"/>
              </w:tabs>
              <w:spacing w:line="276" w:lineRule="auto"/>
              <w:rPr>
                <w:rFonts w:ascii="Palatino Linotype" w:eastAsia="Palatino Linotype" w:hAnsi="Palatino Linotype" w:cs="Palatino Linotype"/>
              </w:rPr>
            </w:pPr>
            <w:r w:rsidRPr="00EE0056">
              <w:rPr>
                <w:rFonts w:ascii="Palatino Linotype" w:eastAsia="Palatino Linotype" w:hAnsi="Palatino Linotype" w:cs="Palatino Linotype"/>
                <w:color w:val="000000"/>
              </w:rPr>
              <w:t>Pero si la información que se pretende clasificar como confidencial no se encuentra en los supuestos de los artículos señalados y es posible, se deberá consultar al titular de los datos si permite o no el acceso. De no ser posible, la realización de la consulta, procede, fundando y motivando, la clasificación.</w:t>
            </w:r>
          </w:p>
        </w:tc>
      </w:tr>
    </w:tbl>
    <w:p w:rsidR="006B6A8C" w:rsidRPr="00EE0056" w:rsidRDefault="006B6A8C">
      <w:pPr>
        <w:tabs>
          <w:tab w:val="left" w:pos="284"/>
        </w:tabs>
        <w:spacing w:line="360" w:lineRule="auto"/>
        <w:rPr>
          <w:rFonts w:ascii="Palatino Linotype" w:eastAsia="Palatino Linotype" w:hAnsi="Palatino Linotype" w:cs="Palatino Linotype"/>
          <w:color w:val="000000"/>
        </w:rPr>
      </w:pPr>
    </w:p>
    <w:p w:rsidR="006B6A8C" w:rsidRPr="00EE0056" w:rsidRDefault="006B6A8C">
      <w:pPr>
        <w:rPr>
          <w:rFonts w:ascii="Palatino Linotype" w:eastAsia="Palatino Linotype" w:hAnsi="Palatino Linotype" w:cs="Palatino Linotype"/>
        </w:rPr>
      </w:pPr>
    </w:p>
    <w:p w:rsidR="006B6A8C" w:rsidRPr="00EE0056" w:rsidRDefault="00DD6CA9">
      <w:pPr>
        <w:numPr>
          <w:ilvl w:val="0"/>
          <w:numId w:val="2"/>
        </w:numPr>
        <w:spacing w:line="360" w:lineRule="auto"/>
        <w:ind w:left="0" w:right="-787" w:firstLine="0"/>
        <w:jc w:val="both"/>
        <w:rPr>
          <w:rFonts w:ascii="Palatino Linotype" w:eastAsia="Palatino Linotype" w:hAnsi="Palatino Linotype" w:cs="Palatino Linotype"/>
        </w:rPr>
      </w:pPr>
      <w:r w:rsidRPr="00EE0056">
        <w:rPr>
          <w:rFonts w:ascii="Palatino Linotype" w:eastAsia="Palatino Linotype" w:hAnsi="Palatino Linotype" w:cs="Palatino Linotype"/>
        </w:rPr>
        <w:lastRenderedPageBreak/>
        <w:t xml:space="preserve">En ese </w:t>
      </w:r>
      <w:r w:rsidRPr="00EE0056">
        <w:rPr>
          <w:color w:val="000000"/>
        </w:rPr>
        <w:t>sentido</w:t>
      </w:r>
      <w:r w:rsidRPr="00EE0056">
        <w:rPr>
          <w:rFonts w:ascii="Palatino Linotype" w:eastAsia="Palatino Linotype" w:hAnsi="Palatino Linotype" w:cs="Palatino Linotype"/>
        </w:rPr>
        <w:t xml:space="preserve">, el </w:t>
      </w:r>
      <w:r w:rsidRPr="00EE0056">
        <w:rPr>
          <w:rFonts w:ascii="Palatino Linotype" w:eastAsia="Palatino Linotype" w:hAnsi="Palatino Linotype" w:cs="Palatino Linotype"/>
          <w:b/>
          <w:bCs/>
        </w:rPr>
        <w:t>SUJETO OBLIGADO</w:t>
      </w:r>
      <w:r w:rsidRPr="00EE0056">
        <w:rPr>
          <w:rFonts w:ascii="Palatino Linotype" w:eastAsia="Palatino Linotype" w:hAnsi="Palatino Linotype" w:cs="Palatino Linotype"/>
        </w:rPr>
        <w:t xml:space="preserve"> deberá de emitir el Acuerdo del Comité de Transparencia, </w:t>
      </w:r>
      <w:r w:rsidRPr="00EE0056">
        <w:rPr>
          <w:rFonts w:ascii="Palatino Linotype" w:eastAsia="Palatino Linotype" w:hAnsi="Palatino Linotype" w:cs="Palatino Linotype"/>
          <w:color w:val="000000"/>
        </w:rPr>
        <w:t>mediante</w:t>
      </w:r>
      <w:r w:rsidRPr="00EE0056">
        <w:rPr>
          <w:rFonts w:ascii="Palatino Linotype" w:eastAsia="Palatino Linotype" w:hAnsi="Palatino Linotype" w:cs="Palatino Linotype"/>
        </w:rPr>
        <w:t xml:space="preserve"> el cual de manera fundada y motivada establezca las razones que llevaron al Sujeto </w:t>
      </w:r>
      <w:r w:rsidRPr="00EE0056">
        <w:rPr>
          <w:rFonts w:ascii="Palatino Linotype" w:eastAsia="Palatino Linotype" w:hAnsi="Palatino Linotype" w:cs="Palatino Linotype"/>
          <w:color w:val="000000"/>
        </w:rPr>
        <w:t>Obligado</w:t>
      </w:r>
      <w:r w:rsidRPr="00EE0056">
        <w:rPr>
          <w:rFonts w:ascii="Palatino Linotype" w:eastAsia="Palatino Linotype" w:hAnsi="Palatino Linotype" w:cs="Palatino Linotype"/>
        </w:rPr>
        <w:t xml:space="preserve"> a testar, suprimir o eliminar datos de dicho soporte documental, ya que no hacerlo, se reitera que lo entregado no tendría un sustento jurídico ni resultaría ser una versión pública, sino más bien una documentación ilegible, incompleta o tachada; ya que el no justificar las causas o motivos por las que no se aprecian determinados datos -ya sea porque se testan o suprimen- deja al solicitante en estado de incertidumbre, al no conocer o comprender porque no aparecen en la documentación respectiva.</w:t>
      </w:r>
    </w:p>
    <w:p w:rsidR="006B6A8C" w:rsidRPr="00EE0056" w:rsidRDefault="006B6A8C">
      <w:pPr>
        <w:tabs>
          <w:tab w:val="left" w:pos="284"/>
        </w:tabs>
        <w:spacing w:line="360" w:lineRule="auto"/>
        <w:ind w:right="276"/>
        <w:jc w:val="both"/>
        <w:rPr>
          <w:rFonts w:ascii="Palatino Linotype" w:eastAsia="Palatino Linotype" w:hAnsi="Palatino Linotype" w:cs="Palatino Linotype"/>
          <w:color w:val="000000"/>
        </w:rPr>
      </w:pPr>
    </w:p>
    <w:p w:rsidR="006B6A8C" w:rsidRPr="00EE0056" w:rsidRDefault="00DD6CA9">
      <w:pPr>
        <w:numPr>
          <w:ilvl w:val="0"/>
          <w:numId w:val="2"/>
        </w:numPr>
        <w:spacing w:line="360" w:lineRule="auto"/>
        <w:ind w:left="0" w:right="-787" w:firstLine="0"/>
        <w:jc w:val="both"/>
        <w:rPr>
          <w:rFonts w:ascii="Palatino Linotype" w:eastAsia="Palatino Linotype" w:hAnsi="Palatino Linotype" w:cs="Palatino Linotype"/>
          <w:color w:val="000000"/>
        </w:rPr>
      </w:pPr>
      <w:r w:rsidRPr="00EE0056">
        <w:rPr>
          <w:rFonts w:ascii="Palatino Linotype" w:eastAsia="Palatino Linotype" w:hAnsi="Palatino Linotype" w:cs="Palatino Linotype"/>
        </w:rPr>
        <w:t xml:space="preserve">Derivado de lo establecido en párrafos anteriores, si el </w:t>
      </w:r>
      <w:r w:rsidRPr="00EE0056">
        <w:rPr>
          <w:rFonts w:ascii="Palatino Linotype" w:eastAsia="Palatino Linotype" w:hAnsi="Palatino Linotype" w:cs="Palatino Linotype"/>
          <w:b/>
          <w:bCs/>
        </w:rPr>
        <w:t>SUJETO OBLIGADO</w:t>
      </w:r>
      <w:r w:rsidRPr="00EE0056">
        <w:rPr>
          <w:rFonts w:ascii="Palatino Linotype" w:eastAsia="Palatino Linotype" w:hAnsi="Palatino Linotype" w:cs="Palatino Linotype"/>
        </w:rPr>
        <w:t xml:space="preserve"> incumple con estas </w:t>
      </w:r>
      <w:r w:rsidRPr="00EE0056">
        <w:rPr>
          <w:color w:val="000000"/>
        </w:rPr>
        <w:t>formalidades</w:t>
      </w:r>
      <w:r w:rsidRPr="00EE0056">
        <w:rPr>
          <w:rFonts w:ascii="Palatino Linotype" w:eastAsia="Palatino Linotype" w:hAnsi="Palatino Linotype" w:cs="Palatino Linotype"/>
        </w:rPr>
        <w:t xml:space="preserve"> y </w:t>
      </w:r>
      <w:r w:rsidRPr="00EE0056">
        <w:rPr>
          <w:color w:val="000000"/>
        </w:rPr>
        <w:t>entrega</w:t>
      </w:r>
      <w:r w:rsidRPr="00EE0056">
        <w:rPr>
          <w:rFonts w:ascii="Palatino Linotype" w:eastAsia="Palatino Linotype" w:hAnsi="Palatino Linotype" w:cs="Palatino Linotype"/>
        </w:rPr>
        <w:t xml:space="preserve"> la información sin proteger los datos personales o testando </w:t>
      </w:r>
      <w:r w:rsidRPr="00EE0056">
        <w:rPr>
          <w:rFonts w:ascii="Palatino Linotype" w:eastAsia="Palatino Linotype" w:hAnsi="Palatino Linotype" w:cs="Palatino Linotype"/>
          <w:color w:val="000000"/>
        </w:rPr>
        <w:t>datos</w:t>
      </w:r>
      <w:r w:rsidRPr="00EE0056">
        <w:rPr>
          <w:rFonts w:ascii="Palatino Linotype" w:eastAsia="Palatino Linotype" w:hAnsi="Palatino Linotype" w:cs="Palatino Linotype"/>
        </w:rPr>
        <w:t xml:space="preserve"> considerados como públicos incumple con lo que estipulan las disposiciones legales establecidas, asimismo que si entrega un documento testado sin el debido acuerdo de clasificación.</w:t>
      </w:r>
    </w:p>
    <w:p w:rsidR="006B6A8C" w:rsidRPr="00EE0056" w:rsidRDefault="006B6A8C">
      <w:pPr>
        <w:spacing w:line="360" w:lineRule="auto"/>
        <w:jc w:val="both"/>
        <w:rPr>
          <w:color w:val="000000"/>
        </w:rPr>
      </w:pPr>
    </w:p>
    <w:p w:rsidR="006B6A8C" w:rsidRDefault="00DD6CA9">
      <w:pPr>
        <w:numPr>
          <w:ilvl w:val="0"/>
          <w:numId w:val="2"/>
        </w:numPr>
        <w:spacing w:line="360" w:lineRule="auto"/>
        <w:ind w:left="0" w:right="-787" w:firstLine="0"/>
        <w:jc w:val="both"/>
        <w:rPr>
          <w:rFonts w:ascii="Palatino Linotype" w:eastAsia="Palatino Linotype" w:hAnsi="Palatino Linotype" w:cs="Palatino Linotype"/>
        </w:rPr>
      </w:pPr>
      <w:r w:rsidRPr="00EE0056">
        <w:rPr>
          <w:rFonts w:ascii="Palatino Linotype" w:eastAsia="Palatino Linotype" w:hAnsi="Palatino Linotype" w:cs="Palatino Linotype"/>
        </w:rPr>
        <w:t xml:space="preserve">Por lo </w:t>
      </w:r>
      <w:r w:rsidRPr="00EE0056">
        <w:rPr>
          <w:color w:val="000000"/>
        </w:rPr>
        <w:t>expuesto</w:t>
      </w:r>
      <w:r w:rsidRPr="00EE0056">
        <w:rPr>
          <w:rFonts w:ascii="Palatino Linotype" w:eastAsia="Palatino Linotype" w:hAnsi="Palatino Linotype" w:cs="Palatino Linotype"/>
        </w:rPr>
        <w:t xml:space="preserve">, y con fundamento en lo prescrito en los artículos </w:t>
      </w:r>
      <w:r w:rsidRPr="00EE0056">
        <w:rPr>
          <w:rFonts w:ascii="Palatino Linotype" w:eastAsia="Palatino Linotype" w:hAnsi="Palatino Linotype" w:cs="Palatino Linotype"/>
          <w:color w:val="000000"/>
        </w:rPr>
        <w:t>5, párrafos cuadragésimo cuarto, cuadragésimo quinto y cuadragésimo sexto, fracciones IV y V, de la Constitución Política del Estado Libre y Soberano de México</w:t>
      </w:r>
      <w:r w:rsidRPr="00EE0056">
        <w:rPr>
          <w:rFonts w:ascii="Palatino Linotype" w:eastAsia="Palatino Linotype" w:hAnsi="Palatino Linotype" w:cs="Palatino Linotype"/>
        </w:rPr>
        <w:t>; 2, fracción II; 29, 36 fracciones I y II; 176, 178, 179, 181 y 185 de la Ley de Transparencia y Acceso a la Información Pública del Estado de México y Municipios, este Pleno:</w:t>
      </w:r>
      <w:r w:rsidR="00EE0056">
        <w:rPr>
          <w:rFonts w:ascii="Palatino Linotype" w:eastAsia="Palatino Linotype" w:hAnsi="Palatino Linotype" w:cs="Palatino Linotype"/>
        </w:rPr>
        <w:t xml:space="preserve"> -----------------------------------------------------------------</w:t>
      </w:r>
    </w:p>
    <w:p w:rsidR="00EE0056" w:rsidRDefault="00EE0056" w:rsidP="00EE0056">
      <w:pPr>
        <w:pStyle w:val="Prrafodelista"/>
        <w:rPr>
          <w:rFonts w:ascii="Palatino Linotype" w:eastAsia="Palatino Linotype" w:hAnsi="Palatino Linotype" w:cs="Palatino Linotype"/>
        </w:rPr>
      </w:pPr>
    </w:p>
    <w:p w:rsidR="00EE0056" w:rsidRDefault="00EE0056" w:rsidP="00EE0056">
      <w:pPr>
        <w:spacing w:line="360" w:lineRule="auto"/>
        <w:ind w:right="-787"/>
        <w:jc w:val="both"/>
        <w:rPr>
          <w:rFonts w:ascii="Palatino Linotype" w:eastAsia="Palatino Linotype" w:hAnsi="Palatino Linotype" w:cs="Palatino Linotype"/>
        </w:rPr>
      </w:pPr>
    </w:p>
    <w:p w:rsidR="00EE0056" w:rsidRPr="00EE0056" w:rsidRDefault="00EE0056" w:rsidP="00EE0056">
      <w:pPr>
        <w:spacing w:line="360" w:lineRule="auto"/>
        <w:ind w:right="-787"/>
        <w:jc w:val="both"/>
        <w:rPr>
          <w:rFonts w:ascii="Palatino Linotype" w:eastAsia="Palatino Linotype" w:hAnsi="Palatino Linotype" w:cs="Palatino Linotype"/>
        </w:rPr>
      </w:pPr>
    </w:p>
    <w:p w:rsidR="006B6A8C" w:rsidRPr="00EE0056" w:rsidRDefault="006B6A8C">
      <w:pPr>
        <w:ind w:right="278"/>
        <w:rPr>
          <w:rFonts w:ascii="Palatino Linotype" w:eastAsia="Palatino Linotype" w:hAnsi="Palatino Linotype" w:cs="Palatino Linotype"/>
        </w:rPr>
      </w:pPr>
    </w:p>
    <w:p w:rsidR="006B6A8C" w:rsidRPr="00EE0056" w:rsidRDefault="00DD6CA9">
      <w:pPr>
        <w:spacing w:line="360" w:lineRule="auto"/>
        <w:ind w:right="-858"/>
        <w:jc w:val="center"/>
        <w:rPr>
          <w:rFonts w:ascii="Palatino Linotype" w:eastAsia="Palatino Linotype" w:hAnsi="Palatino Linotype" w:cs="Palatino Linotype"/>
          <w:b/>
          <w:bCs/>
        </w:rPr>
      </w:pPr>
      <w:r w:rsidRPr="00EE0056">
        <w:rPr>
          <w:rFonts w:ascii="Palatino Linotype" w:eastAsia="Palatino Linotype" w:hAnsi="Palatino Linotype" w:cs="Palatino Linotype"/>
          <w:b/>
          <w:bCs/>
        </w:rPr>
        <w:lastRenderedPageBreak/>
        <w:t>R E S U E L V E</w:t>
      </w:r>
    </w:p>
    <w:p w:rsidR="006B6A8C" w:rsidRPr="00EE0056" w:rsidRDefault="006B6A8C">
      <w:pPr>
        <w:spacing w:line="360" w:lineRule="auto"/>
        <w:ind w:right="-787"/>
        <w:jc w:val="center"/>
        <w:rPr>
          <w:rFonts w:ascii="Palatino Linotype" w:eastAsia="Palatino Linotype" w:hAnsi="Palatino Linotype" w:cs="Palatino Linotype"/>
          <w:b/>
          <w:bCs/>
        </w:rPr>
      </w:pPr>
    </w:p>
    <w:p w:rsidR="006B6A8C" w:rsidRPr="00EE0056" w:rsidRDefault="00DD6CA9">
      <w:pPr>
        <w:spacing w:line="360" w:lineRule="auto"/>
        <w:ind w:right="-787"/>
        <w:jc w:val="both"/>
        <w:rPr>
          <w:rFonts w:ascii="Palatino Linotype" w:eastAsia="Palatino Linotype" w:hAnsi="Palatino Linotype" w:cs="Palatino Linotype"/>
          <w:b/>
          <w:bCs/>
        </w:rPr>
      </w:pPr>
      <w:r w:rsidRPr="00EE0056">
        <w:rPr>
          <w:rFonts w:ascii="Palatino Linotype" w:eastAsia="Palatino Linotype" w:hAnsi="Palatino Linotype" w:cs="Palatino Linotype"/>
          <w:b/>
          <w:bCs/>
        </w:rPr>
        <w:t>PRIMERO</w:t>
      </w:r>
      <w:r w:rsidRPr="00EE0056">
        <w:rPr>
          <w:rFonts w:ascii="Palatino Linotype" w:eastAsia="Palatino Linotype" w:hAnsi="Palatino Linotype" w:cs="Palatino Linotype"/>
        </w:rPr>
        <w:t xml:space="preserve">. Resultan </w:t>
      </w:r>
      <w:r w:rsidRPr="00EE0056">
        <w:rPr>
          <w:rFonts w:ascii="Palatino Linotype" w:eastAsia="Palatino Linotype" w:hAnsi="Palatino Linotype" w:cs="Palatino Linotype"/>
          <w:b/>
          <w:bCs/>
        </w:rPr>
        <w:t>FUNDADAS</w:t>
      </w:r>
      <w:r w:rsidRPr="00EE0056">
        <w:rPr>
          <w:rFonts w:ascii="Palatino Linotype" w:eastAsia="Palatino Linotype" w:hAnsi="Palatino Linotype" w:cs="Palatino Linotype"/>
        </w:rPr>
        <w:t xml:space="preserve"> las razones o motivos de inconformidad hechos valer en el recurso de revisión </w:t>
      </w:r>
      <w:r w:rsidRPr="00EE0056">
        <w:rPr>
          <w:rFonts w:ascii="Palatino Linotype" w:eastAsia="Palatino Linotype" w:hAnsi="Palatino Linotype" w:cs="Palatino Linotype"/>
          <w:b/>
          <w:bCs/>
          <w:color w:val="000000"/>
        </w:rPr>
        <w:t>12968/INFOEM/IP/RR/2025</w:t>
      </w:r>
      <w:r w:rsidRPr="00EE0056">
        <w:rPr>
          <w:rFonts w:ascii="Palatino Linotype" w:eastAsia="Palatino Linotype" w:hAnsi="Palatino Linotype" w:cs="Palatino Linotype"/>
        </w:rPr>
        <w:t>,</w:t>
      </w:r>
      <w:r w:rsidRPr="00EE0056">
        <w:rPr>
          <w:rFonts w:ascii="Palatino Linotype" w:eastAsia="Palatino Linotype" w:hAnsi="Palatino Linotype" w:cs="Palatino Linotype"/>
          <w:b/>
          <w:bCs/>
        </w:rPr>
        <w:t xml:space="preserve"> </w:t>
      </w:r>
      <w:r w:rsidRPr="00EE0056">
        <w:rPr>
          <w:rFonts w:ascii="Palatino Linotype" w:eastAsia="Palatino Linotype" w:hAnsi="Palatino Linotype" w:cs="Palatino Linotype"/>
        </w:rPr>
        <w:t xml:space="preserve">en términos del </w:t>
      </w:r>
      <w:r w:rsidRPr="00EE0056">
        <w:rPr>
          <w:rFonts w:ascii="Palatino Linotype" w:eastAsia="Palatino Linotype" w:hAnsi="Palatino Linotype" w:cs="Palatino Linotype"/>
          <w:b/>
          <w:bCs/>
        </w:rPr>
        <w:t xml:space="preserve">Considerando CUARTO </w:t>
      </w:r>
      <w:r w:rsidRPr="00EE0056">
        <w:rPr>
          <w:rFonts w:ascii="Palatino Linotype" w:eastAsia="Palatino Linotype" w:hAnsi="Palatino Linotype" w:cs="Palatino Linotype"/>
        </w:rPr>
        <w:t>de la presente resolución</w:t>
      </w:r>
      <w:r w:rsidRPr="00EE0056">
        <w:rPr>
          <w:rFonts w:ascii="Palatino Linotype" w:eastAsia="Palatino Linotype" w:hAnsi="Palatino Linotype" w:cs="Palatino Linotype"/>
          <w:b/>
          <w:bCs/>
        </w:rPr>
        <w:t>.</w:t>
      </w:r>
    </w:p>
    <w:p w:rsidR="006B6A8C" w:rsidRPr="00EE0056" w:rsidRDefault="006B6A8C">
      <w:pPr>
        <w:spacing w:line="360" w:lineRule="auto"/>
        <w:ind w:right="276"/>
        <w:jc w:val="both"/>
        <w:rPr>
          <w:rFonts w:ascii="Palatino Linotype" w:eastAsia="Palatino Linotype" w:hAnsi="Palatino Linotype" w:cs="Palatino Linotype"/>
          <w:b/>
          <w:bCs/>
        </w:rPr>
      </w:pPr>
    </w:p>
    <w:p w:rsidR="006B6A8C" w:rsidRPr="00EE0056" w:rsidRDefault="00DD6CA9">
      <w:pPr>
        <w:spacing w:line="360" w:lineRule="auto"/>
        <w:ind w:right="-787"/>
        <w:jc w:val="both"/>
        <w:rPr>
          <w:rFonts w:ascii="Palatino Linotype" w:eastAsia="Palatino Linotype" w:hAnsi="Palatino Linotype" w:cs="Palatino Linotype"/>
        </w:rPr>
      </w:pPr>
      <w:bookmarkStart w:id="9" w:name="_heading=h.1ksv4uv" w:colFirst="0" w:colLast="0"/>
      <w:bookmarkEnd w:id="9"/>
      <w:r w:rsidRPr="00EE0056">
        <w:rPr>
          <w:rFonts w:ascii="Palatino Linotype" w:eastAsia="Palatino Linotype" w:hAnsi="Palatino Linotype" w:cs="Palatino Linotype"/>
          <w:b/>
          <w:bCs/>
        </w:rPr>
        <w:t>SEGUNDO.</w:t>
      </w:r>
      <w:r w:rsidRPr="00EE0056">
        <w:rPr>
          <w:rFonts w:ascii="Palatino Linotype" w:eastAsia="Palatino Linotype" w:hAnsi="Palatino Linotype" w:cs="Palatino Linotype"/>
          <w:color w:val="2F5496"/>
        </w:rPr>
        <w:t xml:space="preserve"> </w:t>
      </w:r>
      <w:r w:rsidRPr="00EE0056">
        <w:rPr>
          <w:rFonts w:ascii="Palatino Linotype" w:eastAsia="Palatino Linotype" w:hAnsi="Palatino Linotype" w:cs="Palatino Linotype"/>
          <w:color w:val="000000"/>
        </w:rPr>
        <w:t xml:space="preserve">Se </w:t>
      </w:r>
      <w:r w:rsidRPr="00EE0056">
        <w:rPr>
          <w:rFonts w:ascii="Palatino Linotype" w:eastAsia="Palatino Linotype" w:hAnsi="Palatino Linotype" w:cs="Palatino Linotype"/>
          <w:b/>
          <w:bCs/>
          <w:color w:val="000000"/>
        </w:rPr>
        <w:t xml:space="preserve">REVOCA </w:t>
      </w:r>
      <w:r w:rsidRPr="00EE0056">
        <w:rPr>
          <w:rFonts w:ascii="Palatino Linotype" w:eastAsia="Palatino Linotype" w:hAnsi="Palatino Linotype" w:cs="Palatino Linotype"/>
          <w:color w:val="000000"/>
        </w:rPr>
        <w:t xml:space="preserve">la respuesta emitida por el </w:t>
      </w:r>
      <w:r w:rsidRPr="00EE0056">
        <w:rPr>
          <w:rFonts w:ascii="Palatino Linotype" w:eastAsia="Palatino Linotype" w:hAnsi="Palatino Linotype" w:cs="Palatino Linotype"/>
          <w:b/>
          <w:bCs/>
        </w:rPr>
        <w:t>Organismo Público Descentralizado para la Prestación de Los Servicios de Agua Potable Alcantarillado y Saneamiento del Municipio de Naucalpan de Juárez</w:t>
      </w:r>
      <w:r w:rsidRPr="00EE0056">
        <w:rPr>
          <w:rFonts w:ascii="Palatino Linotype" w:eastAsia="Palatino Linotype" w:hAnsi="Palatino Linotype" w:cs="Palatino Linotype"/>
          <w:color w:val="000000"/>
        </w:rPr>
        <w:t xml:space="preserve"> y se </w:t>
      </w:r>
      <w:r w:rsidRPr="00EE0056">
        <w:rPr>
          <w:rFonts w:ascii="Palatino Linotype" w:eastAsia="Palatino Linotype" w:hAnsi="Palatino Linotype" w:cs="Palatino Linotype"/>
          <w:b/>
          <w:bCs/>
          <w:color w:val="000000"/>
        </w:rPr>
        <w:t>ORDENA</w:t>
      </w:r>
      <w:r w:rsidRPr="00EE0056">
        <w:rPr>
          <w:rFonts w:ascii="Palatino Linotype" w:eastAsia="Palatino Linotype" w:hAnsi="Palatino Linotype" w:cs="Palatino Linotype"/>
          <w:color w:val="000000"/>
        </w:rPr>
        <w:t xml:space="preserve"> entregar, vía Sistema de Acceso a la Información Mexiquense </w:t>
      </w:r>
      <w:r w:rsidRPr="00EE0056">
        <w:rPr>
          <w:rFonts w:ascii="Palatino Linotype" w:eastAsia="Palatino Linotype" w:hAnsi="Palatino Linotype" w:cs="Palatino Linotype"/>
          <w:b/>
          <w:bCs/>
          <w:color w:val="000000"/>
        </w:rPr>
        <w:t>(SAIMEX)</w:t>
      </w:r>
      <w:r w:rsidRPr="00EE0056">
        <w:rPr>
          <w:rFonts w:ascii="Palatino Linotype" w:eastAsia="Palatino Linotype" w:hAnsi="Palatino Linotype" w:cs="Palatino Linotype"/>
        </w:rPr>
        <w:t>, de ser procedente en versión pública, la siguiente información:</w:t>
      </w:r>
    </w:p>
    <w:p w:rsidR="006B6A8C" w:rsidRPr="00EE0056" w:rsidRDefault="006B6A8C">
      <w:pPr>
        <w:spacing w:line="360" w:lineRule="auto"/>
        <w:ind w:right="-787"/>
        <w:jc w:val="both"/>
        <w:rPr>
          <w:rFonts w:ascii="Palatino Linotype" w:eastAsia="Palatino Linotype" w:hAnsi="Palatino Linotype" w:cs="Palatino Linotype"/>
        </w:rPr>
      </w:pPr>
    </w:p>
    <w:p w:rsidR="006B6A8C" w:rsidRPr="00EE0056" w:rsidRDefault="00DD6CA9">
      <w:pPr>
        <w:numPr>
          <w:ilvl w:val="0"/>
          <w:numId w:val="6"/>
        </w:numPr>
        <w:spacing w:line="360" w:lineRule="auto"/>
        <w:ind w:right="-787"/>
        <w:jc w:val="both"/>
        <w:rPr>
          <w:rFonts w:ascii="Palatino Linotype" w:eastAsia="Palatino Linotype" w:hAnsi="Palatino Linotype" w:cs="Palatino Linotype"/>
        </w:rPr>
      </w:pPr>
      <w:r w:rsidRPr="00EE0056">
        <w:rPr>
          <w:rFonts w:ascii="Palatino Linotype" w:eastAsia="Palatino Linotype" w:hAnsi="Palatino Linotype" w:cs="Palatino Linotype"/>
          <w:b/>
          <w:bCs/>
        </w:rPr>
        <w:t>Los informes de resultados de las auditorías CI/A/AA/01/2025 y CI/A/AA/02/2025, referidas en respuesta.</w:t>
      </w:r>
    </w:p>
    <w:p w:rsidR="006B6A8C" w:rsidRPr="00EE0056" w:rsidRDefault="006B6A8C">
      <w:pPr>
        <w:spacing w:line="360" w:lineRule="auto"/>
        <w:ind w:left="927" w:right="-787"/>
        <w:jc w:val="both"/>
        <w:rPr>
          <w:b/>
          <w:bCs/>
          <w:color w:val="000000"/>
        </w:rPr>
      </w:pPr>
    </w:p>
    <w:p w:rsidR="006B6A8C" w:rsidRPr="00EE0056" w:rsidRDefault="006B6A8C">
      <w:pPr>
        <w:pBdr>
          <w:top w:val="nil"/>
          <w:left w:val="nil"/>
          <w:bottom w:val="nil"/>
          <w:right w:val="nil"/>
          <w:between w:val="nil"/>
        </w:pBdr>
        <w:tabs>
          <w:tab w:val="left" w:pos="8080"/>
        </w:tabs>
        <w:spacing w:line="360" w:lineRule="auto"/>
        <w:ind w:right="-433"/>
        <w:jc w:val="both"/>
        <w:rPr>
          <w:rFonts w:ascii="Palatino Linotype" w:eastAsia="Palatino Linotype" w:hAnsi="Palatino Linotype" w:cs="Palatino Linotype"/>
          <w:color w:val="000000"/>
        </w:rPr>
      </w:pPr>
    </w:p>
    <w:p w:rsidR="006B6A8C" w:rsidRPr="00EE0056" w:rsidRDefault="00DD6CA9">
      <w:pPr>
        <w:pBdr>
          <w:top w:val="nil"/>
          <w:left w:val="nil"/>
          <w:bottom w:val="nil"/>
          <w:right w:val="nil"/>
          <w:between w:val="nil"/>
        </w:pBdr>
        <w:tabs>
          <w:tab w:val="left" w:pos="8080"/>
        </w:tabs>
        <w:spacing w:line="360" w:lineRule="auto"/>
        <w:ind w:left="851" w:right="-433"/>
        <w:jc w:val="both"/>
        <w:rPr>
          <w:rFonts w:ascii="Palatino Linotype" w:eastAsia="Palatino Linotype" w:hAnsi="Palatino Linotype" w:cs="Palatino Linotype"/>
          <w:b/>
          <w:bCs/>
          <w:color w:val="000000"/>
        </w:rPr>
      </w:pPr>
      <w:r w:rsidRPr="00EE0056">
        <w:rPr>
          <w:rFonts w:ascii="Palatino Linotype" w:eastAsia="Palatino Linotype" w:hAnsi="Palatino Linotype" w:cs="Palatino Linotype"/>
          <w:color w:val="000000"/>
        </w:rPr>
        <w:t xml:space="preserve">Para efectos de lo anterior, de ser procedente, deberá emitir el Acuerdo del Comité de Transparencia en términos de los artículos 49, fracción VIII y 132, fracción II, de la Ley de Transparencia y Acceso a la Información Pública del Estado de México y Municipios, en el que funde y motive las razones sobre los datos que se supriman o eliminen dentro del soporte documental respectivo objeto de las versiones públicas que se formulen y se pongan a disposición del </w:t>
      </w:r>
      <w:r w:rsidRPr="00EE0056">
        <w:rPr>
          <w:rFonts w:ascii="Palatino Linotype" w:eastAsia="Palatino Linotype" w:hAnsi="Palatino Linotype" w:cs="Palatino Linotype"/>
          <w:b/>
          <w:bCs/>
          <w:color w:val="000000"/>
        </w:rPr>
        <w:t>RECURRENTE.</w:t>
      </w:r>
    </w:p>
    <w:p w:rsidR="006B6A8C" w:rsidRPr="00EE0056" w:rsidRDefault="006B6A8C">
      <w:pPr>
        <w:pBdr>
          <w:top w:val="nil"/>
          <w:left w:val="nil"/>
          <w:bottom w:val="nil"/>
          <w:right w:val="nil"/>
          <w:between w:val="nil"/>
        </w:pBdr>
        <w:tabs>
          <w:tab w:val="left" w:pos="8080"/>
        </w:tabs>
        <w:spacing w:line="360" w:lineRule="auto"/>
        <w:ind w:left="851" w:right="-433"/>
        <w:jc w:val="both"/>
        <w:rPr>
          <w:rFonts w:ascii="Palatino Linotype" w:eastAsia="Palatino Linotype" w:hAnsi="Palatino Linotype" w:cs="Palatino Linotype"/>
          <w:b/>
          <w:bCs/>
          <w:color w:val="000000"/>
        </w:rPr>
      </w:pPr>
    </w:p>
    <w:p w:rsidR="006B6A8C" w:rsidRPr="00EE0056" w:rsidRDefault="00DD6CA9">
      <w:pPr>
        <w:spacing w:line="360" w:lineRule="auto"/>
        <w:ind w:right="-787"/>
        <w:jc w:val="both"/>
        <w:rPr>
          <w:rFonts w:ascii="Palatino Linotype" w:eastAsia="Palatino Linotype" w:hAnsi="Palatino Linotype" w:cs="Palatino Linotype"/>
          <w:color w:val="000000"/>
          <w:highlight w:val="white"/>
        </w:rPr>
      </w:pPr>
      <w:r w:rsidRPr="00EE0056">
        <w:rPr>
          <w:rFonts w:ascii="Palatino Linotype" w:eastAsia="Palatino Linotype" w:hAnsi="Palatino Linotype" w:cs="Palatino Linotype"/>
          <w:b/>
          <w:bCs/>
        </w:rPr>
        <w:lastRenderedPageBreak/>
        <w:t xml:space="preserve">TERCERO. </w:t>
      </w:r>
      <w:r w:rsidRPr="00EE0056">
        <w:rPr>
          <w:rFonts w:ascii="Palatino Linotype" w:eastAsia="Palatino Linotype" w:hAnsi="Palatino Linotype" w:cs="Palatino Linotype"/>
          <w:b/>
          <w:bCs/>
          <w:color w:val="222222"/>
        </w:rPr>
        <w:t>NOTIFÍQUESE</w:t>
      </w:r>
      <w:r w:rsidRPr="00EE0056">
        <w:rPr>
          <w:rFonts w:ascii="Palatino Linotype" w:eastAsia="Palatino Linotype" w:hAnsi="Palatino Linotype" w:cs="Palatino Linotype"/>
          <w:color w:val="222222"/>
        </w:rPr>
        <w:t xml:space="preserve"> la presente resolución al Titular de la Unidad de Transparencia del Sujeto Obligado vía SAIMEX, para que conforme al artículo 186 último párrafo, 189 segundo párrafo y 194 de la Ley de Transparencia y Acceso a la Información Pública del Estado de México y Municipios; </w:t>
      </w:r>
      <w:r w:rsidRPr="00EE0056">
        <w:rPr>
          <w:rFonts w:ascii="Palatino Linotype" w:eastAsia="Palatino Linotype" w:hAnsi="Palatino Linotype" w:cs="Palatino Linotype"/>
          <w:b/>
          <w:bCs/>
          <w:color w:val="222222"/>
        </w:rPr>
        <w:t xml:space="preserve">dé cumplimiento a lo ordenado dentro del plazo </w:t>
      </w:r>
      <w:r w:rsidRPr="00EE0056">
        <w:rPr>
          <w:rFonts w:ascii="Palatino Linotype" w:eastAsia="Palatino Linotype" w:hAnsi="Palatino Linotype" w:cs="Palatino Linotype"/>
        </w:rPr>
        <w:t>de</w:t>
      </w:r>
      <w:r w:rsidRPr="00EE0056">
        <w:rPr>
          <w:rFonts w:ascii="Palatino Linotype" w:eastAsia="Palatino Linotype" w:hAnsi="Palatino Linotype" w:cs="Palatino Linotype"/>
          <w:b/>
          <w:bCs/>
          <w:color w:val="222222"/>
        </w:rPr>
        <w:t xml:space="preserve"> diez días hábiles, </w:t>
      </w:r>
      <w:r w:rsidRPr="00EE0056">
        <w:rPr>
          <w:rFonts w:ascii="Palatino Linotype" w:eastAsia="Palatino Linotype" w:hAnsi="Palatino Linotype" w:cs="Palatino Linotype"/>
          <w:color w:val="222222"/>
        </w:rPr>
        <w:t>e informe a este Instituto en un plazo de tres días hábiles siguientes sobre el cumplimiento dado a la presente y, se le apercibe que en caso de negarse a cumplir la presente resolución o hacerlo de manera parcial, se le impondrá una medida de apremio de conformidad con lo previsto en los artículos 198, 200, fracción III; 214, 215 y 216 de la Ley  de Transparencia y Acceso a la Información Pública del Estado de México y Municipios.</w:t>
      </w:r>
    </w:p>
    <w:p w:rsidR="006B6A8C" w:rsidRPr="00EE0056" w:rsidRDefault="006B6A8C">
      <w:pPr>
        <w:spacing w:line="360" w:lineRule="auto"/>
        <w:jc w:val="both"/>
        <w:rPr>
          <w:rFonts w:ascii="Palatino Linotype" w:eastAsia="Palatino Linotype" w:hAnsi="Palatino Linotype" w:cs="Palatino Linotype"/>
        </w:rPr>
      </w:pPr>
    </w:p>
    <w:p w:rsidR="006B6A8C" w:rsidRPr="00EE0056" w:rsidRDefault="00DD6CA9">
      <w:pPr>
        <w:spacing w:line="360" w:lineRule="auto"/>
        <w:ind w:right="-787"/>
        <w:jc w:val="both"/>
        <w:rPr>
          <w:rFonts w:ascii="Palatino Linotype" w:eastAsia="Palatino Linotype" w:hAnsi="Palatino Linotype" w:cs="Palatino Linotype"/>
        </w:rPr>
      </w:pPr>
      <w:bookmarkStart w:id="10" w:name="_heading=h.3rdcrjn" w:colFirst="0" w:colLast="0"/>
      <w:bookmarkEnd w:id="10"/>
      <w:r w:rsidRPr="00EE0056">
        <w:rPr>
          <w:rFonts w:ascii="Palatino Linotype" w:eastAsia="Palatino Linotype" w:hAnsi="Palatino Linotype" w:cs="Palatino Linotype"/>
          <w:b/>
          <w:bCs/>
        </w:rPr>
        <w:t xml:space="preserve">CUARTO. </w:t>
      </w:r>
      <w:r w:rsidRPr="00EE0056">
        <w:rPr>
          <w:rFonts w:ascii="Palatino Linotype" w:eastAsia="Palatino Linotype" w:hAnsi="Palatino Linotype" w:cs="Palatino Linotype"/>
        </w:rPr>
        <w:t xml:space="preserve">De conformidad con el artículo 198 de la Ley de Transparencia y Acceso a la Información Pública del Estado de México y Municipios, de considerarlo procedente, el </w:t>
      </w:r>
      <w:r w:rsidRPr="00EE0056">
        <w:rPr>
          <w:rFonts w:ascii="Palatino Linotype" w:eastAsia="Palatino Linotype" w:hAnsi="Palatino Linotype" w:cs="Palatino Linotype"/>
          <w:b/>
          <w:bCs/>
        </w:rPr>
        <w:t>SUJETO OBLIGADO</w:t>
      </w:r>
      <w:r w:rsidRPr="00EE0056">
        <w:rPr>
          <w:rFonts w:ascii="Palatino Linotype" w:eastAsia="Palatino Linotype" w:hAnsi="Palatino Linotype" w:cs="Palatino Linotype"/>
        </w:rPr>
        <w:t xml:space="preserve"> de manera fundada y motivada, podrá solicitar una ampliación de plazo para el cumplimiento de la presente resolución.</w:t>
      </w:r>
    </w:p>
    <w:p w:rsidR="006B6A8C" w:rsidRPr="00EE0056" w:rsidRDefault="006B6A8C">
      <w:pPr>
        <w:spacing w:line="360" w:lineRule="auto"/>
        <w:ind w:right="276"/>
        <w:jc w:val="both"/>
        <w:rPr>
          <w:rFonts w:ascii="Palatino Linotype" w:eastAsia="Palatino Linotype" w:hAnsi="Palatino Linotype" w:cs="Palatino Linotype"/>
        </w:rPr>
      </w:pPr>
    </w:p>
    <w:p w:rsidR="006B6A8C" w:rsidRPr="00EE0056" w:rsidRDefault="00DD6CA9">
      <w:pPr>
        <w:spacing w:line="360" w:lineRule="auto"/>
        <w:ind w:right="-787"/>
        <w:jc w:val="both"/>
        <w:rPr>
          <w:rFonts w:ascii="Palatino Linotype" w:eastAsia="Palatino Linotype" w:hAnsi="Palatino Linotype" w:cs="Palatino Linotype"/>
        </w:rPr>
      </w:pPr>
      <w:r w:rsidRPr="00EE0056">
        <w:rPr>
          <w:rFonts w:ascii="Palatino Linotype" w:eastAsia="Palatino Linotype" w:hAnsi="Palatino Linotype" w:cs="Palatino Linotype"/>
          <w:b/>
          <w:bCs/>
        </w:rPr>
        <w:t xml:space="preserve">QUINTO. </w:t>
      </w:r>
      <w:r w:rsidRPr="00EE0056">
        <w:rPr>
          <w:rFonts w:ascii="Palatino Linotype" w:eastAsia="Palatino Linotype" w:hAnsi="Palatino Linotype" w:cs="Palatino Linotype"/>
        </w:rPr>
        <w:t>Notifíquese</w:t>
      </w:r>
      <w:r w:rsidRPr="00EE0056">
        <w:rPr>
          <w:rFonts w:ascii="Palatino Linotype" w:eastAsia="Palatino Linotype" w:hAnsi="Palatino Linotype" w:cs="Palatino Linotype"/>
          <w:b/>
          <w:bCs/>
          <w:color w:val="222222"/>
        </w:rPr>
        <w:t xml:space="preserve"> </w:t>
      </w:r>
      <w:r w:rsidRPr="00EE0056">
        <w:rPr>
          <w:rFonts w:ascii="Palatino Linotype" w:eastAsia="Palatino Linotype" w:hAnsi="Palatino Linotype" w:cs="Palatino Linotype"/>
          <w:color w:val="222222"/>
        </w:rPr>
        <w:t xml:space="preserve">a </w:t>
      </w:r>
      <w:r w:rsidRPr="00EE0056">
        <w:rPr>
          <w:rFonts w:ascii="Palatino Linotype" w:eastAsia="Palatino Linotype" w:hAnsi="Palatino Linotype" w:cs="Palatino Linotype"/>
          <w:b/>
          <w:bCs/>
          <w:color w:val="222222"/>
        </w:rPr>
        <w:t>EL RECURRENTE</w:t>
      </w:r>
      <w:r w:rsidRPr="00EE0056">
        <w:rPr>
          <w:rFonts w:ascii="Palatino Linotype" w:eastAsia="Palatino Linotype" w:hAnsi="Palatino Linotype" w:cs="Palatino Linotype"/>
          <w:color w:val="222222"/>
        </w:rPr>
        <w:t xml:space="preserve"> la presente resolución vía SAIMEX</w:t>
      </w:r>
      <w:r w:rsidRPr="00EE0056">
        <w:rPr>
          <w:rFonts w:ascii="Palatino Linotype" w:eastAsia="Palatino Linotype" w:hAnsi="Palatino Linotype" w:cs="Palatino Linotype"/>
        </w:rPr>
        <w:t>.</w:t>
      </w:r>
    </w:p>
    <w:p w:rsidR="006B6A8C" w:rsidRPr="00EE0056" w:rsidRDefault="006B6A8C">
      <w:pPr>
        <w:tabs>
          <w:tab w:val="left" w:pos="8080"/>
        </w:tabs>
        <w:spacing w:line="360" w:lineRule="auto"/>
        <w:jc w:val="both"/>
        <w:rPr>
          <w:rFonts w:ascii="Palatino Linotype" w:eastAsia="Palatino Linotype" w:hAnsi="Palatino Linotype" w:cs="Palatino Linotype"/>
        </w:rPr>
      </w:pPr>
    </w:p>
    <w:p w:rsidR="006B6A8C" w:rsidRPr="00EE0056" w:rsidRDefault="00DD6CA9">
      <w:pPr>
        <w:spacing w:line="360" w:lineRule="auto"/>
        <w:ind w:right="-787"/>
        <w:jc w:val="both"/>
        <w:rPr>
          <w:rFonts w:ascii="Palatino Linotype" w:eastAsia="Palatino Linotype" w:hAnsi="Palatino Linotype" w:cs="Palatino Linotype"/>
          <w:color w:val="000000"/>
        </w:rPr>
      </w:pPr>
      <w:r w:rsidRPr="00EE0056">
        <w:rPr>
          <w:rFonts w:ascii="Palatino Linotype" w:eastAsia="Palatino Linotype" w:hAnsi="Palatino Linotype" w:cs="Palatino Linotype"/>
          <w:b/>
          <w:bCs/>
        </w:rPr>
        <w:t xml:space="preserve">SEXTO. </w:t>
      </w:r>
      <w:r w:rsidRPr="00EE0056">
        <w:rPr>
          <w:rFonts w:ascii="Palatino Linotype" w:eastAsia="Palatino Linotype" w:hAnsi="Palatino Linotype" w:cs="Palatino Linotype"/>
          <w:color w:val="000000"/>
        </w:rPr>
        <w:t xml:space="preserve">Se hace del conocimiento de </w:t>
      </w:r>
      <w:r w:rsidRPr="00EE0056">
        <w:rPr>
          <w:rFonts w:ascii="Palatino Linotype" w:eastAsia="Palatino Linotype" w:hAnsi="Palatino Linotype" w:cs="Palatino Linotype"/>
          <w:b/>
          <w:bCs/>
          <w:color w:val="000000"/>
        </w:rPr>
        <w:t>EL RECURRENTE</w:t>
      </w:r>
      <w:r w:rsidRPr="00EE0056">
        <w:rPr>
          <w:rFonts w:ascii="Palatino Linotype" w:eastAsia="Palatino Linotype" w:hAnsi="Palatino Linotype" w:cs="Palatino Linotype"/>
          <w:color w:val="000000"/>
        </w:rPr>
        <w:t xml:space="preserve"> que, de conformidad con lo establecido en el artículo 196 de la Ley de Transparencia y Acceso a la Información Pública del Estado de </w:t>
      </w:r>
      <w:r w:rsidRPr="00EE0056">
        <w:rPr>
          <w:rFonts w:ascii="Palatino Linotype" w:eastAsia="Palatino Linotype" w:hAnsi="Palatino Linotype" w:cs="Palatino Linotype"/>
        </w:rPr>
        <w:t>México</w:t>
      </w:r>
      <w:r w:rsidRPr="00EE0056">
        <w:rPr>
          <w:rFonts w:ascii="Palatino Linotype" w:eastAsia="Palatino Linotype" w:hAnsi="Palatino Linotype" w:cs="Palatino Linotype"/>
          <w:color w:val="000000"/>
        </w:rPr>
        <w:t xml:space="preserve"> y Municipios, en caso de que considere que la resolución le cause algún perjuicio podrá </w:t>
      </w:r>
      <w:r w:rsidRPr="00EE0056">
        <w:rPr>
          <w:rFonts w:ascii="Palatino Linotype" w:eastAsia="Palatino Linotype" w:hAnsi="Palatino Linotype" w:cs="Palatino Linotype"/>
        </w:rPr>
        <w:t>impugnar vía</w:t>
      </w:r>
      <w:r w:rsidRPr="00EE0056">
        <w:rPr>
          <w:rFonts w:ascii="Palatino Linotype" w:eastAsia="Palatino Linotype" w:hAnsi="Palatino Linotype" w:cs="Palatino Linotype"/>
          <w:color w:val="000000"/>
        </w:rPr>
        <w:t xml:space="preserve"> Juicio de Amparo en los términos de las leyes aplicables.</w:t>
      </w:r>
    </w:p>
    <w:p w:rsidR="006B6A8C" w:rsidRPr="00EE0056" w:rsidRDefault="006B6A8C">
      <w:pPr>
        <w:spacing w:line="360" w:lineRule="auto"/>
        <w:ind w:right="-787"/>
        <w:jc w:val="both"/>
        <w:rPr>
          <w:rFonts w:ascii="Palatino Linotype" w:eastAsia="Palatino Linotype" w:hAnsi="Palatino Linotype" w:cs="Palatino Linotype"/>
          <w:color w:val="000000"/>
        </w:rPr>
      </w:pPr>
    </w:p>
    <w:p w:rsidR="00487FD4" w:rsidRPr="00EE0056" w:rsidRDefault="00487FD4" w:rsidP="00487FD4">
      <w:pPr>
        <w:spacing w:before="240" w:after="240" w:line="360" w:lineRule="auto"/>
        <w:ind w:right="-716" w:firstLine="1"/>
        <w:jc w:val="both"/>
        <w:rPr>
          <w:rFonts w:ascii="Palatino Linotype" w:hAnsi="Palatino Linotype"/>
        </w:rPr>
      </w:pPr>
      <w:bookmarkStart w:id="11" w:name="_Hlk99014733"/>
      <w:r w:rsidRPr="00EE0056">
        <w:rPr>
          <w:rFonts w:ascii="Palatino Linotype" w:hAnsi="Palatino Linotype" w:cs="Palatino Linotype"/>
        </w:rPr>
        <w:lastRenderedPageBreak/>
        <w:t xml:space="preserve">ASÍ LO RESUELVE, POR UNANIMIDAD DE VOTOS, EL PLENO DEL INSTITUTO DE TRANSPARENCIA, ACCESO A LA INFORMACIÓN PÚBLICA Y PROTECCIÓN DE DATOS PERSONALES DEL ESTADO DE MÉXICO Y MUNICIPIOS, CONFORMADO POR LOS COMISIONADOS JOSÉ MARTÍNEZ VILCHIS, MARÍA DEL ROSARIO MEJÍA AYALA, SHARON CRISTINA MORALES MARTÍNEZ, LUIS GUSTAVO PARRA NORIEGA Y GUADALUPE RAMÍREZ PEÑA; EN LA DÉCIMA QUINTA SESIÓN ORDINARIA, CELEBRADA EL VEINTIOCHO (28) DE ABRIL DE DOS MIL VEINTISÉIS, ANTE EL SECRETARIO TÉCNICO DEL PLENO </w:t>
      </w:r>
      <w:r w:rsidRPr="00EE0056">
        <w:rPr>
          <w:rFonts w:ascii="Palatino Linotype" w:hAnsi="Palatino Linotype" w:cs="Palatino Linotype"/>
          <w:color w:val="000000" w:themeColor="text1"/>
        </w:rPr>
        <w:t>ALEXIS TAPIA RAMÍREZ.</w:t>
      </w:r>
    </w:p>
    <w:bookmarkEnd w:id="11"/>
    <w:p w:rsidR="006B6A8C" w:rsidRPr="00EE0056" w:rsidRDefault="006B6A8C" w:rsidP="00487FD4">
      <w:pPr>
        <w:spacing w:line="360" w:lineRule="auto"/>
        <w:ind w:right="-716"/>
        <w:rPr>
          <w:rFonts w:ascii="Palatino Linotype" w:eastAsia="Palatino Linotype" w:hAnsi="Palatino Linotype" w:cs="Palatino Linotype"/>
        </w:rPr>
      </w:pPr>
    </w:p>
    <w:p w:rsidR="006B6A8C" w:rsidRPr="00EE0056" w:rsidRDefault="006B6A8C" w:rsidP="00487FD4">
      <w:pPr>
        <w:spacing w:line="360" w:lineRule="auto"/>
        <w:ind w:right="-716"/>
        <w:rPr>
          <w:rFonts w:ascii="Palatino Linotype" w:eastAsia="Palatino Linotype" w:hAnsi="Palatino Linotype" w:cs="Palatino Linotype"/>
        </w:rPr>
      </w:pPr>
    </w:p>
    <w:p w:rsidR="006B6A8C" w:rsidRPr="00EE0056" w:rsidRDefault="006B6A8C" w:rsidP="00487FD4">
      <w:pPr>
        <w:spacing w:line="360" w:lineRule="auto"/>
        <w:ind w:right="-716"/>
        <w:rPr>
          <w:rFonts w:ascii="Palatino Linotype" w:eastAsia="Palatino Linotype" w:hAnsi="Palatino Linotype" w:cs="Palatino Linotype"/>
        </w:rPr>
      </w:pPr>
    </w:p>
    <w:p w:rsidR="006B6A8C" w:rsidRPr="00EE0056" w:rsidRDefault="00DD6CA9" w:rsidP="00487FD4">
      <w:pPr>
        <w:tabs>
          <w:tab w:val="left" w:pos="3374"/>
        </w:tabs>
        <w:spacing w:line="360" w:lineRule="auto"/>
        <w:ind w:right="-716"/>
        <w:rPr>
          <w:rFonts w:ascii="Palatino Linotype" w:eastAsia="Palatino Linotype" w:hAnsi="Palatino Linotype" w:cs="Palatino Linotype"/>
        </w:rPr>
      </w:pPr>
      <w:bookmarkStart w:id="12" w:name="_heading=h.lnxbz9" w:colFirst="0" w:colLast="0"/>
      <w:bookmarkEnd w:id="12"/>
      <w:r w:rsidRPr="00EE0056">
        <w:rPr>
          <w:rFonts w:ascii="Palatino Linotype" w:eastAsia="Palatino Linotype" w:hAnsi="Palatino Linotype" w:cs="Palatino Linotype"/>
        </w:rPr>
        <w:tab/>
      </w:r>
    </w:p>
    <w:p w:rsidR="00560D7D" w:rsidRDefault="00560D7D" w:rsidP="00487FD4">
      <w:pPr>
        <w:tabs>
          <w:tab w:val="left" w:pos="3374"/>
        </w:tabs>
        <w:spacing w:line="360" w:lineRule="auto"/>
        <w:ind w:right="-716"/>
        <w:rPr>
          <w:rFonts w:ascii="Palatino Linotype" w:eastAsia="Palatino Linotype" w:hAnsi="Palatino Linotype" w:cs="Palatino Linotype"/>
        </w:rPr>
      </w:pPr>
    </w:p>
    <w:p w:rsidR="00EE0056" w:rsidRDefault="00EE0056" w:rsidP="00487FD4">
      <w:pPr>
        <w:tabs>
          <w:tab w:val="left" w:pos="3374"/>
        </w:tabs>
        <w:spacing w:line="360" w:lineRule="auto"/>
        <w:ind w:right="-716"/>
        <w:rPr>
          <w:rFonts w:ascii="Palatino Linotype" w:eastAsia="Palatino Linotype" w:hAnsi="Palatino Linotype" w:cs="Palatino Linotype"/>
        </w:rPr>
      </w:pPr>
    </w:p>
    <w:p w:rsidR="00EE0056" w:rsidRDefault="00EE0056" w:rsidP="00487FD4">
      <w:pPr>
        <w:tabs>
          <w:tab w:val="left" w:pos="3374"/>
        </w:tabs>
        <w:spacing w:line="360" w:lineRule="auto"/>
        <w:ind w:right="-716"/>
        <w:rPr>
          <w:rFonts w:ascii="Palatino Linotype" w:eastAsia="Palatino Linotype" w:hAnsi="Palatino Linotype" w:cs="Palatino Linotype"/>
        </w:rPr>
      </w:pPr>
    </w:p>
    <w:p w:rsidR="00EE0056" w:rsidRDefault="00EE0056" w:rsidP="00487FD4">
      <w:pPr>
        <w:tabs>
          <w:tab w:val="left" w:pos="3374"/>
        </w:tabs>
        <w:spacing w:line="360" w:lineRule="auto"/>
        <w:ind w:right="-716"/>
        <w:rPr>
          <w:rFonts w:ascii="Palatino Linotype" w:eastAsia="Palatino Linotype" w:hAnsi="Palatino Linotype" w:cs="Palatino Linotype"/>
        </w:rPr>
      </w:pPr>
    </w:p>
    <w:p w:rsidR="00EE0056" w:rsidRDefault="00EE0056" w:rsidP="00487FD4">
      <w:pPr>
        <w:tabs>
          <w:tab w:val="left" w:pos="3374"/>
        </w:tabs>
        <w:spacing w:line="360" w:lineRule="auto"/>
        <w:ind w:right="-716"/>
        <w:rPr>
          <w:rFonts w:ascii="Palatino Linotype" w:eastAsia="Palatino Linotype" w:hAnsi="Palatino Linotype" w:cs="Palatino Linotype"/>
        </w:rPr>
      </w:pPr>
    </w:p>
    <w:p w:rsidR="00EE0056" w:rsidRDefault="00EE0056" w:rsidP="00487FD4">
      <w:pPr>
        <w:tabs>
          <w:tab w:val="left" w:pos="3374"/>
        </w:tabs>
        <w:spacing w:line="360" w:lineRule="auto"/>
        <w:ind w:right="-716"/>
        <w:rPr>
          <w:rFonts w:ascii="Palatino Linotype" w:eastAsia="Palatino Linotype" w:hAnsi="Palatino Linotype" w:cs="Palatino Linotype"/>
        </w:rPr>
      </w:pPr>
    </w:p>
    <w:p w:rsidR="00EE0056" w:rsidRPr="00EE0056" w:rsidRDefault="00EE0056" w:rsidP="00487FD4">
      <w:pPr>
        <w:tabs>
          <w:tab w:val="left" w:pos="3374"/>
        </w:tabs>
        <w:spacing w:line="360" w:lineRule="auto"/>
        <w:ind w:right="-716"/>
        <w:rPr>
          <w:rFonts w:ascii="Palatino Linotype" w:eastAsia="Palatino Linotype" w:hAnsi="Palatino Linotype" w:cs="Palatino Linotype"/>
        </w:rPr>
      </w:pPr>
    </w:p>
    <w:p w:rsidR="00560D7D" w:rsidRPr="00EE0056" w:rsidRDefault="00560D7D" w:rsidP="00487FD4">
      <w:pPr>
        <w:tabs>
          <w:tab w:val="left" w:pos="3374"/>
        </w:tabs>
        <w:spacing w:line="360" w:lineRule="auto"/>
        <w:ind w:right="-716"/>
        <w:rPr>
          <w:rFonts w:ascii="Palatino Linotype" w:eastAsia="Palatino Linotype" w:hAnsi="Palatino Linotype" w:cs="Palatino Linotype"/>
        </w:rPr>
      </w:pPr>
    </w:p>
    <w:p w:rsidR="00560D7D" w:rsidRPr="00EE0056" w:rsidRDefault="00560D7D" w:rsidP="00487FD4">
      <w:pPr>
        <w:tabs>
          <w:tab w:val="left" w:pos="3374"/>
        </w:tabs>
        <w:spacing w:line="360" w:lineRule="auto"/>
        <w:ind w:right="-716"/>
        <w:rPr>
          <w:rFonts w:ascii="Palatino Linotype" w:eastAsia="Palatino Linotype" w:hAnsi="Palatino Linotype" w:cs="Palatino Linotype"/>
        </w:rPr>
      </w:pPr>
    </w:p>
    <w:p w:rsidR="00560D7D" w:rsidRPr="00EE0056" w:rsidRDefault="00560D7D" w:rsidP="00487FD4">
      <w:pPr>
        <w:tabs>
          <w:tab w:val="left" w:pos="3374"/>
        </w:tabs>
        <w:spacing w:line="360" w:lineRule="auto"/>
        <w:ind w:right="-716"/>
        <w:rPr>
          <w:rFonts w:ascii="Palatino Linotype" w:eastAsia="Palatino Linotype" w:hAnsi="Palatino Linotype" w:cs="Palatino Linotype"/>
        </w:rPr>
      </w:pPr>
    </w:p>
    <w:p w:rsidR="00560D7D" w:rsidRPr="00EE0056" w:rsidRDefault="00560D7D" w:rsidP="00487FD4">
      <w:pPr>
        <w:tabs>
          <w:tab w:val="left" w:pos="3374"/>
        </w:tabs>
        <w:spacing w:line="360" w:lineRule="auto"/>
        <w:ind w:right="-716"/>
        <w:rPr>
          <w:rFonts w:ascii="Palatino Linotype" w:eastAsia="Palatino Linotype" w:hAnsi="Palatino Linotype" w:cs="Palatino Linotype"/>
        </w:rPr>
      </w:pPr>
    </w:p>
    <w:p w:rsidR="00560D7D" w:rsidRPr="00EE0056" w:rsidRDefault="00560D7D" w:rsidP="00487FD4">
      <w:pPr>
        <w:tabs>
          <w:tab w:val="left" w:pos="3374"/>
        </w:tabs>
        <w:spacing w:line="360" w:lineRule="auto"/>
        <w:ind w:right="-716"/>
        <w:rPr>
          <w:rFonts w:ascii="Palatino Linotype" w:eastAsia="Palatino Linotype" w:hAnsi="Palatino Linotype" w:cs="Palatino Linotype"/>
        </w:rPr>
      </w:pPr>
    </w:p>
    <w:p w:rsidR="00560D7D" w:rsidRPr="00EE0056" w:rsidRDefault="00560D7D" w:rsidP="00487FD4">
      <w:pPr>
        <w:tabs>
          <w:tab w:val="left" w:pos="3374"/>
        </w:tabs>
        <w:spacing w:line="360" w:lineRule="auto"/>
        <w:ind w:right="-716"/>
        <w:rPr>
          <w:rFonts w:ascii="Palatino Linotype" w:eastAsia="Palatino Linotype" w:hAnsi="Palatino Linotype" w:cs="Palatino Linotype"/>
        </w:rPr>
      </w:pPr>
    </w:p>
    <w:p w:rsidR="00560D7D" w:rsidRPr="00EE0056" w:rsidRDefault="00560D7D" w:rsidP="00487FD4">
      <w:pPr>
        <w:tabs>
          <w:tab w:val="left" w:pos="3374"/>
        </w:tabs>
        <w:spacing w:line="360" w:lineRule="auto"/>
        <w:ind w:right="-716"/>
        <w:rPr>
          <w:rFonts w:ascii="Palatino Linotype" w:eastAsia="Palatino Linotype" w:hAnsi="Palatino Linotype" w:cs="Palatino Linotype"/>
        </w:rPr>
      </w:pPr>
    </w:p>
    <w:p w:rsidR="00560D7D" w:rsidRPr="00EE0056" w:rsidRDefault="00560D7D" w:rsidP="00487FD4">
      <w:pPr>
        <w:tabs>
          <w:tab w:val="left" w:pos="3374"/>
        </w:tabs>
        <w:spacing w:line="360" w:lineRule="auto"/>
        <w:ind w:right="-716"/>
        <w:rPr>
          <w:rFonts w:ascii="Palatino Linotype" w:eastAsia="Palatino Linotype" w:hAnsi="Palatino Linotype" w:cs="Palatino Linotype"/>
        </w:rPr>
      </w:pPr>
    </w:p>
    <w:sectPr w:rsidR="00560D7D" w:rsidRPr="00EE0056">
      <w:headerReference w:type="even" r:id="rId10"/>
      <w:headerReference w:type="default" r:id="rId11"/>
      <w:footerReference w:type="default" r:id="rId12"/>
      <w:headerReference w:type="first" r:id="rId13"/>
      <w:footerReference w:type="first" r:id="rId14"/>
      <w:pgSz w:w="12240" w:h="15840"/>
      <w:pgMar w:top="2268" w:right="1474" w:bottom="1702" w:left="1701" w:header="709" w:footer="709" w:gutter="0"/>
      <w:pgNumType w:start="1"/>
      <w:cols w:space="72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A33B5B" w:rsidRDefault="00A33B5B">
      <w:r>
        <w:separator/>
      </w:r>
    </w:p>
  </w:endnote>
  <w:endnote w:type="continuationSeparator" w:id="0">
    <w:p w:rsidR="00A33B5B" w:rsidRDefault="00A33B5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Noto Sans Symbols">
    <w:altName w:val="Times New Roman"/>
    <w:charset w:val="00"/>
    <w:family w:val="auto"/>
    <w:pitch w:val="default"/>
    <w:embedRegular r:id="rId1" w:fontKey="{66780F5D-9F46-44C9-BB6C-FF97CCD9AF3B}"/>
    <w:embedBold r:id="rId2" w:fontKey="{4EAEB05C-0AF8-402A-BCDF-10EA284606EF}"/>
  </w:font>
  <w:font w:name="Courier New">
    <w:panose1 w:val="02070309020205020404"/>
    <w:charset w:val="00"/>
    <w:family w:val="modern"/>
    <w:pitch w:val="fixed"/>
    <w:sig w:usb0="E0002EFF" w:usb1="C0007843" w:usb2="00000009" w:usb3="00000000" w:csb0="000001FF" w:csb1="00000000"/>
  </w:font>
  <w:font w:name="Palatino Linotype">
    <w:altName w:val="Palatino"/>
    <w:panose1 w:val="02040502050505030304"/>
    <w:charset w:val="00"/>
    <w:family w:val="roman"/>
    <w:pitch w:val="variable"/>
    <w:sig w:usb0="E0000287" w:usb1="40000013" w:usb2="00000000" w:usb3="00000000" w:csb0="0000019F" w:csb1="00000000"/>
    <w:embedRegular r:id="rId3" w:fontKey="{A3803F68-DBF2-48FC-A4F7-1A2C342A52D3}"/>
    <w:embedBold r:id="rId4" w:fontKey="{7896E91C-863B-416B-A83C-AC1AD61D4F8D}"/>
    <w:embedItalic r:id="rId5" w:fontKey="{2C81F003-81C6-4305-B2B3-B14EBF8D7899}"/>
    <w:embedBoldItalic r:id="rId6" w:fontKey="{E66A19E0-DF0C-4EB5-805C-D066ED3BE1D6}"/>
  </w:font>
  <w:font w:name="Calibri">
    <w:panose1 w:val="020F0502020204030204"/>
    <w:charset w:val="00"/>
    <w:family w:val="swiss"/>
    <w:pitch w:val="variable"/>
    <w:sig w:usb0="E4002EFF" w:usb1="C200247B" w:usb2="00000009" w:usb3="00000000" w:csb0="000001FF" w:csb1="00000000"/>
    <w:embedRegular r:id="rId7" w:fontKey="{23ED71F6-0AC5-4434-B765-FD088F1D9634}"/>
    <w:embedBold r:id="rId8" w:fontKey="{14402F82-51FE-492B-B6AD-E39497BF9DF7}"/>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embedItalic r:id="rId9" w:fontKey="{E3B82089-28A4-4FB0-B1A5-6544BF1ACE4A}"/>
  </w:font>
  <w:font w:name="Cambria">
    <w:panose1 w:val="02040503050406030204"/>
    <w:charset w:val="00"/>
    <w:family w:val="roman"/>
    <w:pitch w:val="variable"/>
    <w:sig w:usb0="E00006FF" w:usb1="420024FF" w:usb2="02000000" w:usb3="00000000" w:csb0="0000019F" w:csb1="00000000"/>
    <w:embedRegular r:id="rId10" w:fontKey="{D03ADADB-BA76-420C-8C31-46E026D5938E}"/>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B6A8C" w:rsidRPr="00EE0056" w:rsidRDefault="00DD6CA9">
    <w:pPr>
      <w:pBdr>
        <w:top w:val="nil"/>
        <w:left w:val="nil"/>
        <w:bottom w:val="nil"/>
        <w:right w:val="nil"/>
        <w:between w:val="nil"/>
      </w:pBdr>
      <w:tabs>
        <w:tab w:val="center" w:pos="4419"/>
        <w:tab w:val="right" w:pos="8838"/>
      </w:tabs>
      <w:jc w:val="right"/>
      <w:rPr>
        <w:rFonts w:ascii="Palatino Linotype" w:eastAsia="Palatino Linotype" w:hAnsi="Palatino Linotype" w:cs="Palatino Linotype"/>
        <w:color w:val="000000"/>
        <w:sz w:val="22"/>
        <w:szCs w:val="20"/>
      </w:rPr>
    </w:pPr>
    <w:r w:rsidRPr="00EE0056">
      <w:rPr>
        <w:rFonts w:ascii="Palatino Linotype" w:eastAsia="Palatino Linotype" w:hAnsi="Palatino Linotype" w:cs="Palatino Linotype"/>
        <w:color w:val="000000"/>
        <w:sz w:val="22"/>
        <w:szCs w:val="20"/>
      </w:rPr>
      <w:t xml:space="preserve">Página </w:t>
    </w:r>
    <w:r w:rsidRPr="00EE0056">
      <w:rPr>
        <w:rFonts w:ascii="Palatino Linotype" w:eastAsia="Palatino Linotype" w:hAnsi="Palatino Linotype" w:cs="Palatino Linotype"/>
        <w:color w:val="000000"/>
        <w:sz w:val="22"/>
        <w:szCs w:val="20"/>
      </w:rPr>
      <w:fldChar w:fldCharType="begin"/>
    </w:r>
    <w:r w:rsidRPr="00EE0056">
      <w:rPr>
        <w:rFonts w:ascii="Palatino Linotype" w:eastAsia="Palatino Linotype" w:hAnsi="Palatino Linotype" w:cs="Palatino Linotype"/>
        <w:color w:val="000000"/>
        <w:sz w:val="22"/>
        <w:szCs w:val="20"/>
      </w:rPr>
      <w:instrText>PAGE</w:instrText>
    </w:r>
    <w:r w:rsidRPr="00EE0056">
      <w:rPr>
        <w:rFonts w:ascii="Palatino Linotype" w:eastAsia="Palatino Linotype" w:hAnsi="Palatino Linotype" w:cs="Palatino Linotype"/>
        <w:color w:val="000000"/>
        <w:sz w:val="22"/>
        <w:szCs w:val="20"/>
      </w:rPr>
      <w:fldChar w:fldCharType="separate"/>
    </w:r>
    <w:r w:rsidR="00A522D0">
      <w:rPr>
        <w:rFonts w:ascii="Palatino Linotype" w:eastAsia="Palatino Linotype" w:hAnsi="Palatino Linotype" w:cs="Palatino Linotype"/>
        <w:noProof/>
        <w:color w:val="000000"/>
        <w:sz w:val="22"/>
        <w:szCs w:val="20"/>
      </w:rPr>
      <w:t>21</w:t>
    </w:r>
    <w:r w:rsidRPr="00EE0056">
      <w:rPr>
        <w:rFonts w:ascii="Palatino Linotype" w:eastAsia="Palatino Linotype" w:hAnsi="Palatino Linotype" w:cs="Palatino Linotype"/>
        <w:color w:val="000000"/>
        <w:sz w:val="22"/>
        <w:szCs w:val="20"/>
      </w:rPr>
      <w:fldChar w:fldCharType="end"/>
    </w:r>
    <w:r w:rsidRPr="00EE0056">
      <w:rPr>
        <w:rFonts w:ascii="Palatino Linotype" w:eastAsia="Palatino Linotype" w:hAnsi="Palatino Linotype" w:cs="Palatino Linotype"/>
        <w:color w:val="000000"/>
        <w:sz w:val="22"/>
        <w:szCs w:val="20"/>
      </w:rPr>
      <w:t xml:space="preserve"> de </w:t>
    </w:r>
    <w:r w:rsidRPr="00EE0056">
      <w:rPr>
        <w:rFonts w:ascii="Palatino Linotype" w:eastAsia="Palatino Linotype" w:hAnsi="Palatino Linotype" w:cs="Palatino Linotype"/>
        <w:color w:val="000000"/>
        <w:sz w:val="22"/>
        <w:szCs w:val="20"/>
      </w:rPr>
      <w:fldChar w:fldCharType="begin"/>
    </w:r>
    <w:r w:rsidRPr="00EE0056">
      <w:rPr>
        <w:rFonts w:ascii="Palatino Linotype" w:eastAsia="Palatino Linotype" w:hAnsi="Palatino Linotype" w:cs="Palatino Linotype"/>
        <w:color w:val="000000"/>
        <w:sz w:val="22"/>
        <w:szCs w:val="20"/>
      </w:rPr>
      <w:instrText>NUMPAGES</w:instrText>
    </w:r>
    <w:r w:rsidRPr="00EE0056">
      <w:rPr>
        <w:rFonts w:ascii="Palatino Linotype" w:eastAsia="Palatino Linotype" w:hAnsi="Palatino Linotype" w:cs="Palatino Linotype"/>
        <w:color w:val="000000"/>
        <w:sz w:val="22"/>
        <w:szCs w:val="20"/>
      </w:rPr>
      <w:fldChar w:fldCharType="separate"/>
    </w:r>
    <w:r w:rsidR="00A522D0">
      <w:rPr>
        <w:rFonts w:ascii="Palatino Linotype" w:eastAsia="Palatino Linotype" w:hAnsi="Palatino Linotype" w:cs="Palatino Linotype"/>
        <w:noProof/>
        <w:color w:val="000000"/>
        <w:sz w:val="22"/>
        <w:szCs w:val="20"/>
      </w:rPr>
      <w:t>28</w:t>
    </w:r>
    <w:r w:rsidRPr="00EE0056">
      <w:rPr>
        <w:rFonts w:ascii="Palatino Linotype" w:eastAsia="Palatino Linotype" w:hAnsi="Palatino Linotype" w:cs="Palatino Linotype"/>
        <w:color w:val="000000"/>
        <w:sz w:val="22"/>
        <w:szCs w:val="20"/>
      </w:rPr>
      <w:fldChar w:fldCharType="end"/>
    </w:r>
  </w:p>
  <w:p w:rsidR="006B6A8C" w:rsidRDefault="006B6A8C">
    <w:pPr>
      <w:pBdr>
        <w:top w:val="nil"/>
        <w:left w:val="nil"/>
        <w:bottom w:val="nil"/>
        <w:right w:val="nil"/>
        <w:between w:val="nil"/>
      </w:pBdr>
      <w:tabs>
        <w:tab w:val="center" w:pos="4419"/>
        <w:tab w:val="right" w:pos="8838"/>
      </w:tabs>
      <w:rPr>
        <w:color w:val="000000"/>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B6A8C" w:rsidRPr="00EE0056" w:rsidRDefault="00DD6CA9">
    <w:pPr>
      <w:pBdr>
        <w:top w:val="nil"/>
        <w:left w:val="nil"/>
        <w:bottom w:val="nil"/>
        <w:right w:val="nil"/>
        <w:between w:val="nil"/>
      </w:pBdr>
      <w:tabs>
        <w:tab w:val="center" w:pos="4419"/>
        <w:tab w:val="right" w:pos="8838"/>
      </w:tabs>
      <w:jc w:val="right"/>
      <w:rPr>
        <w:rFonts w:ascii="Palatino Linotype" w:eastAsia="Palatino Linotype" w:hAnsi="Palatino Linotype" w:cs="Palatino Linotype"/>
        <w:color w:val="000000"/>
        <w:sz w:val="22"/>
        <w:szCs w:val="20"/>
      </w:rPr>
    </w:pPr>
    <w:r w:rsidRPr="00EE0056">
      <w:rPr>
        <w:rFonts w:ascii="Palatino Linotype" w:eastAsia="Palatino Linotype" w:hAnsi="Palatino Linotype" w:cs="Palatino Linotype"/>
        <w:color w:val="000000"/>
        <w:sz w:val="22"/>
        <w:szCs w:val="20"/>
      </w:rPr>
      <w:t xml:space="preserve">Página </w:t>
    </w:r>
    <w:r w:rsidRPr="00EE0056">
      <w:rPr>
        <w:rFonts w:ascii="Palatino Linotype" w:eastAsia="Palatino Linotype" w:hAnsi="Palatino Linotype" w:cs="Palatino Linotype"/>
        <w:color w:val="000000"/>
        <w:sz w:val="22"/>
        <w:szCs w:val="20"/>
      </w:rPr>
      <w:fldChar w:fldCharType="begin"/>
    </w:r>
    <w:r w:rsidRPr="00EE0056">
      <w:rPr>
        <w:rFonts w:ascii="Palatino Linotype" w:eastAsia="Palatino Linotype" w:hAnsi="Palatino Linotype" w:cs="Palatino Linotype"/>
        <w:color w:val="000000"/>
        <w:sz w:val="22"/>
        <w:szCs w:val="20"/>
      </w:rPr>
      <w:instrText>PAGE</w:instrText>
    </w:r>
    <w:r w:rsidRPr="00EE0056">
      <w:rPr>
        <w:rFonts w:ascii="Palatino Linotype" w:eastAsia="Palatino Linotype" w:hAnsi="Palatino Linotype" w:cs="Palatino Linotype"/>
        <w:color w:val="000000"/>
        <w:sz w:val="22"/>
        <w:szCs w:val="20"/>
      </w:rPr>
      <w:fldChar w:fldCharType="separate"/>
    </w:r>
    <w:r w:rsidR="00A522D0">
      <w:rPr>
        <w:rFonts w:ascii="Palatino Linotype" w:eastAsia="Palatino Linotype" w:hAnsi="Palatino Linotype" w:cs="Palatino Linotype"/>
        <w:noProof/>
        <w:color w:val="000000"/>
        <w:sz w:val="22"/>
        <w:szCs w:val="20"/>
      </w:rPr>
      <w:t>1</w:t>
    </w:r>
    <w:r w:rsidRPr="00EE0056">
      <w:rPr>
        <w:rFonts w:ascii="Palatino Linotype" w:eastAsia="Palatino Linotype" w:hAnsi="Palatino Linotype" w:cs="Palatino Linotype"/>
        <w:color w:val="000000"/>
        <w:sz w:val="22"/>
        <w:szCs w:val="20"/>
      </w:rPr>
      <w:fldChar w:fldCharType="end"/>
    </w:r>
    <w:r w:rsidRPr="00EE0056">
      <w:rPr>
        <w:rFonts w:ascii="Palatino Linotype" w:eastAsia="Palatino Linotype" w:hAnsi="Palatino Linotype" w:cs="Palatino Linotype"/>
        <w:color w:val="000000"/>
        <w:sz w:val="22"/>
        <w:szCs w:val="20"/>
      </w:rPr>
      <w:t xml:space="preserve"> de </w:t>
    </w:r>
    <w:r w:rsidRPr="00EE0056">
      <w:rPr>
        <w:rFonts w:ascii="Palatino Linotype" w:eastAsia="Palatino Linotype" w:hAnsi="Palatino Linotype" w:cs="Palatino Linotype"/>
        <w:color w:val="000000"/>
        <w:sz w:val="22"/>
        <w:szCs w:val="20"/>
      </w:rPr>
      <w:fldChar w:fldCharType="begin"/>
    </w:r>
    <w:r w:rsidRPr="00EE0056">
      <w:rPr>
        <w:rFonts w:ascii="Palatino Linotype" w:eastAsia="Palatino Linotype" w:hAnsi="Palatino Linotype" w:cs="Palatino Linotype"/>
        <w:color w:val="000000"/>
        <w:sz w:val="22"/>
        <w:szCs w:val="20"/>
      </w:rPr>
      <w:instrText>NUMPAGES</w:instrText>
    </w:r>
    <w:r w:rsidRPr="00EE0056">
      <w:rPr>
        <w:rFonts w:ascii="Palatino Linotype" w:eastAsia="Palatino Linotype" w:hAnsi="Palatino Linotype" w:cs="Palatino Linotype"/>
        <w:color w:val="000000"/>
        <w:sz w:val="22"/>
        <w:szCs w:val="20"/>
      </w:rPr>
      <w:fldChar w:fldCharType="separate"/>
    </w:r>
    <w:r w:rsidR="00A522D0">
      <w:rPr>
        <w:rFonts w:ascii="Palatino Linotype" w:eastAsia="Palatino Linotype" w:hAnsi="Palatino Linotype" w:cs="Palatino Linotype"/>
        <w:noProof/>
        <w:color w:val="000000"/>
        <w:sz w:val="22"/>
        <w:szCs w:val="20"/>
      </w:rPr>
      <w:t>28</w:t>
    </w:r>
    <w:r w:rsidRPr="00EE0056">
      <w:rPr>
        <w:rFonts w:ascii="Palatino Linotype" w:eastAsia="Palatino Linotype" w:hAnsi="Palatino Linotype" w:cs="Palatino Linotype"/>
        <w:color w:val="000000"/>
        <w:sz w:val="22"/>
        <w:szCs w:val="20"/>
      </w:rPr>
      <w:fldChar w:fldCharType="end"/>
    </w:r>
  </w:p>
  <w:p w:rsidR="006B6A8C" w:rsidRDefault="006B6A8C">
    <w:pPr>
      <w:pBdr>
        <w:top w:val="nil"/>
        <w:left w:val="nil"/>
        <w:bottom w:val="nil"/>
        <w:right w:val="nil"/>
        <w:between w:val="nil"/>
      </w:pBdr>
      <w:tabs>
        <w:tab w:val="center" w:pos="4419"/>
        <w:tab w:val="right" w:pos="8838"/>
      </w:tabs>
      <w:rPr>
        <w:color w:val="00000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A33B5B" w:rsidRDefault="00A33B5B">
      <w:r>
        <w:separator/>
      </w:r>
    </w:p>
  </w:footnote>
  <w:footnote w:type="continuationSeparator" w:id="0">
    <w:p w:rsidR="00A33B5B" w:rsidRDefault="00A33B5B">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B6A8C" w:rsidRDefault="00A33B5B">
    <w:pPr>
      <w:pBdr>
        <w:top w:val="nil"/>
        <w:left w:val="nil"/>
        <w:bottom w:val="nil"/>
        <w:right w:val="nil"/>
        <w:between w:val="nil"/>
      </w:pBdr>
      <w:tabs>
        <w:tab w:val="center" w:pos="4419"/>
        <w:tab w:val="right" w:pos="8838"/>
      </w:tabs>
      <w:rPr>
        <w:color w:val="000000"/>
      </w:rPr>
    </w:pPr>
    <w:r>
      <w:rPr>
        <w:color w:val="000000"/>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 o:spid="_x0000_s2049" type="#_x0000_t75" alt="" style="position:absolute;margin-left:0;margin-top:0;width:609.4pt;height:793.75pt;z-index:-251657728;mso-position-horizontal:center;mso-position-horizontal-relative:margin;mso-position-vertical:center;mso-position-vertical-relative:margin">
          <v:imagedata r:id="rId1" o:title="image3"/>
          <w10:wrap anchorx="margin" anchory="margin"/>
        </v:shape>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a0"/>
      <w:tblW w:w="7371" w:type="dxa"/>
      <w:tblInd w:w="2835" w:type="dxa"/>
      <w:tblLayout w:type="fixed"/>
      <w:tblLook w:val="0400" w:firstRow="0" w:lastRow="0" w:firstColumn="0" w:lastColumn="0" w:noHBand="0" w:noVBand="1"/>
    </w:tblPr>
    <w:tblGrid>
      <w:gridCol w:w="2693"/>
      <w:gridCol w:w="4678"/>
    </w:tblGrid>
    <w:tr w:rsidR="006B6A8C" w:rsidTr="00EE0056">
      <w:trPr>
        <w:trHeight w:val="227"/>
      </w:trPr>
      <w:tc>
        <w:tcPr>
          <w:tcW w:w="2693" w:type="dxa"/>
        </w:tcPr>
        <w:p w:rsidR="006B6A8C" w:rsidRPr="00EE0056" w:rsidRDefault="00DD6CA9">
          <w:pPr>
            <w:jc w:val="right"/>
            <w:rPr>
              <w:rFonts w:ascii="Palatino Linotype" w:eastAsia="Palatino Linotype" w:hAnsi="Palatino Linotype" w:cs="Palatino Linotype"/>
              <w:b/>
              <w:bCs/>
              <w:szCs w:val="22"/>
            </w:rPr>
          </w:pPr>
          <w:r w:rsidRPr="00EE0056">
            <w:rPr>
              <w:rFonts w:ascii="Palatino Linotype" w:eastAsia="Palatino Linotype" w:hAnsi="Palatino Linotype" w:cs="Palatino Linotype"/>
              <w:b/>
              <w:bCs/>
              <w:szCs w:val="22"/>
            </w:rPr>
            <w:t>Recurso de Revisión:</w:t>
          </w:r>
        </w:p>
      </w:tc>
      <w:tc>
        <w:tcPr>
          <w:tcW w:w="4678" w:type="dxa"/>
        </w:tcPr>
        <w:p w:rsidR="006B6A8C" w:rsidRPr="00EE0056" w:rsidRDefault="00DD6CA9" w:rsidP="00EE0056">
          <w:pPr>
            <w:pBdr>
              <w:top w:val="nil"/>
              <w:left w:val="nil"/>
              <w:bottom w:val="nil"/>
              <w:right w:val="nil"/>
              <w:between w:val="nil"/>
            </w:pBdr>
            <w:tabs>
              <w:tab w:val="right" w:pos="8838"/>
            </w:tabs>
            <w:ind w:right="-1285"/>
            <w:rPr>
              <w:rFonts w:ascii="Palatino Linotype" w:eastAsia="Palatino Linotype" w:hAnsi="Palatino Linotype" w:cs="Palatino Linotype"/>
              <w:color w:val="000000"/>
              <w:szCs w:val="22"/>
              <w:highlight w:val="green"/>
            </w:rPr>
          </w:pPr>
          <w:r w:rsidRPr="00EE0056">
            <w:rPr>
              <w:rFonts w:ascii="Palatino Linotype" w:eastAsia="Palatino Linotype" w:hAnsi="Palatino Linotype" w:cs="Palatino Linotype"/>
              <w:color w:val="000000"/>
              <w:szCs w:val="22"/>
            </w:rPr>
            <w:t>12968/INFOEM/IP/RR/2025</w:t>
          </w:r>
        </w:p>
      </w:tc>
    </w:tr>
    <w:tr w:rsidR="006B6A8C" w:rsidTr="00EE0056">
      <w:trPr>
        <w:trHeight w:val="342"/>
      </w:trPr>
      <w:tc>
        <w:tcPr>
          <w:tcW w:w="2693" w:type="dxa"/>
        </w:tcPr>
        <w:p w:rsidR="006B6A8C" w:rsidRPr="00EE0056" w:rsidRDefault="00DD6CA9">
          <w:pPr>
            <w:jc w:val="right"/>
            <w:rPr>
              <w:rFonts w:ascii="Palatino Linotype" w:eastAsia="Palatino Linotype" w:hAnsi="Palatino Linotype" w:cs="Palatino Linotype"/>
              <w:b/>
              <w:bCs/>
              <w:szCs w:val="22"/>
            </w:rPr>
          </w:pPr>
          <w:r w:rsidRPr="00EE0056">
            <w:rPr>
              <w:rFonts w:ascii="Palatino Linotype" w:eastAsia="Palatino Linotype" w:hAnsi="Palatino Linotype" w:cs="Palatino Linotype"/>
              <w:b/>
              <w:bCs/>
              <w:szCs w:val="22"/>
            </w:rPr>
            <w:t>Sujeto Obligado:</w:t>
          </w:r>
        </w:p>
      </w:tc>
      <w:tc>
        <w:tcPr>
          <w:tcW w:w="4678" w:type="dxa"/>
        </w:tcPr>
        <w:p w:rsidR="006B6A8C" w:rsidRPr="00EE0056" w:rsidRDefault="00DD6CA9" w:rsidP="00EE0056">
          <w:pPr>
            <w:pBdr>
              <w:top w:val="nil"/>
              <w:left w:val="nil"/>
              <w:bottom w:val="nil"/>
              <w:right w:val="nil"/>
              <w:between w:val="nil"/>
            </w:pBdr>
            <w:tabs>
              <w:tab w:val="right" w:pos="8838"/>
            </w:tabs>
            <w:rPr>
              <w:rFonts w:ascii="Palatino Linotype" w:eastAsia="Palatino Linotype" w:hAnsi="Palatino Linotype" w:cs="Palatino Linotype"/>
              <w:color w:val="000000"/>
              <w:szCs w:val="22"/>
              <w:highlight w:val="green"/>
            </w:rPr>
          </w:pPr>
          <w:r w:rsidRPr="00EE0056">
            <w:rPr>
              <w:rFonts w:ascii="Palatino Linotype" w:eastAsia="Palatino Linotype" w:hAnsi="Palatino Linotype" w:cs="Palatino Linotype"/>
              <w:color w:val="000000"/>
              <w:szCs w:val="22"/>
            </w:rPr>
            <w:t>Organismo Público Descentralizado para la Prestación de Los Servicios de Agua Potable Alcantarillado y Saneamiento del Municipio de Naucalpan de Juárez</w:t>
          </w:r>
        </w:p>
      </w:tc>
    </w:tr>
    <w:tr w:rsidR="006B6A8C" w:rsidTr="00EE0056">
      <w:trPr>
        <w:trHeight w:val="342"/>
      </w:trPr>
      <w:tc>
        <w:tcPr>
          <w:tcW w:w="2693" w:type="dxa"/>
        </w:tcPr>
        <w:p w:rsidR="006B6A8C" w:rsidRPr="00EE0056" w:rsidRDefault="00DD6CA9">
          <w:pPr>
            <w:jc w:val="right"/>
            <w:rPr>
              <w:rFonts w:ascii="Palatino Linotype" w:eastAsia="Palatino Linotype" w:hAnsi="Palatino Linotype" w:cs="Palatino Linotype"/>
              <w:b/>
              <w:bCs/>
              <w:szCs w:val="22"/>
            </w:rPr>
          </w:pPr>
          <w:r w:rsidRPr="00EE0056">
            <w:rPr>
              <w:rFonts w:ascii="Palatino Linotype" w:eastAsia="Palatino Linotype" w:hAnsi="Palatino Linotype" w:cs="Palatino Linotype"/>
              <w:b/>
              <w:bCs/>
              <w:szCs w:val="22"/>
            </w:rPr>
            <w:t>Comisionada Ponente:</w:t>
          </w:r>
        </w:p>
      </w:tc>
      <w:tc>
        <w:tcPr>
          <w:tcW w:w="4678" w:type="dxa"/>
        </w:tcPr>
        <w:p w:rsidR="006B6A8C" w:rsidRPr="00EE0056" w:rsidRDefault="00DD6CA9" w:rsidP="00EE0056">
          <w:pPr>
            <w:pBdr>
              <w:top w:val="nil"/>
              <w:left w:val="nil"/>
              <w:bottom w:val="nil"/>
              <w:right w:val="nil"/>
              <w:between w:val="nil"/>
            </w:pBdr>
            <w:tabs>
              <w:tab w:val="right" w:pos="8838"/>
            </w:tabs>
            <w:ind w:right="-1285"/>
            <w:rPr>
              <w:rFonts w:ascii="Palatino Linotype" w:eastAsia="Palatino Linotype" w:hAnsi="Palatino Linotype" w:cs="Palatino Linotype"/>
              <w:color w:val="000000"/>
              <w:szCs w:val="22"/>
            </w:rPr>
          </w:pPr>
          <w:r w:rsidRPr="00EE0056">
            <w:rPr>
              <w:rFonts w:ascii="Palatino Linotype" w:eastAsia="Palatino Linotype" w:hAnsi="Palatino Linotype" w:cs="Palatino Linotype"/>
              <w:color w:val="000000"/>
              <w:szCs w:val="22"/>
            </w:rPr>
            <w:t>María del Rosario Mejía Ayala</w:t>
          </w:r>
        </w:p>
      </w:tc>
    </w:tr>
  </w:tbl>
  <w:p w:rsidR="006B6A8C" w:rsidRDefault="00A33B5B">
    <w:pPr>
      <w:pBdr>
        <w:top w:val="nil"/>
        <w:left w:val="nil"/>
        <w:bottom w:val="nil"/>
        <w:right w:val="nil"/>
        <w:between w:val="nil"/>
      </w:pBdr>
      <w:tabs>
        <w:tab w:val="center" w:pos="4419"/>
        <w:tab w:val="right" w:pos="8838"/>
        <w:tab w:val="left" w:pos="6005"/>
      </w:tabs>
      <w:rPr>
        <w:color w:val="000000"/>
        <w:sz w:val="14"/>
        <w:szCs w:val="14"/>
      </w:rPr>
    </w:pPr>
    <w:r>
      <w:rPr>
        <w:color w:val="000000"/>
        <w:sz w:val="14"/>
        <w:szCs w:val="14"/>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3" o:spid="_x0000_s2051" type="#_x0000_t75" alt="" style="position:absolute;margin-left:-72.1pt;margin-top:-152.2pt;width:609.4pt;height:793.75pt;z-index:-251659776;mso-position-horizontal-relative:margin;mso-position-vertical-relative:margin">
          <v:imagedata r:id="rId1" o:title="image3"/>
          <w10:wrap anchorx="margin" anchory="margin"/>
        </v:shape>
      </w:pic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a1"/>
      <w:tblW w:w="7512" w:type="dxa"/>
      <w:tblInd w:w="2694" w:type="dxa"/>
      <w:tblLayout w:type="fixed"/>
      <w:tblLook w:val="0400" w:firstRow="0" w:lastRow="0" w:firstColumn="0" w:lastColumn="0" w:noHBand="0" w:noVBand="1"/>
    </w:tblPr>
    <w:tblGrid>
      <w:gridCol w:w="2693"/>
      <w:gridCol w:w="4819"/>
    </w:tblGrid>
    <w:tr w:rsidR="006B6A8C" w:rsidTr="00EE0056">
      <w:trPr>
        <w:trHeight w:val="227"/>
      </w:trPr>
      <w:tc>
        <w:tcPr>
          <w:tcW w:w="2693" w:type="dxa"/>
        </w:tcPr>
        <w:p w:rsidR="006B6A8C" w:rsidRPr="00EE0056" w:rsidRDefault="00DD6CA9" w:rsidP="00EE0056">
          <w:pPr>
            <w:jc w:val="right"/>
            <w:rPr>
              <w:rFonts w:ascii="Palatino Linotype" w:eastAsia="Palatino Linotype" w:hAnsi="Palatino Linotype" w:cs="Palatino Linotype"/>
              <w:b/>
              <w:bCs/>
              <w:szCs w:val="22"/>
            </w:rPr>
          </w:pPr>
          <w:r w:rsidRPr="00EE0056">
            <w:rPr>
              <w:rFonts w:ascii="Palatino Linotype" w:eastAsia="Palatino Linotype" w:hAnsi="Palatino Linotype" w:cs="Palatino Linotype"/>
              <w:b/>
              <w:bCs/>
              <w:szCs w:val="22"/>
            </w:rPr>
            <w:t>Recurso de Revisión:</w:t>
          </w:r>
        </w:p>
      </w:tc>
      <w:tc>
        <w:tcPr>
          <w:tcW w:w="4819" w:type="dxa"/>
        </w:tcPr>
        <w:p w:rsidR="006B6A8C" w:rsidRPr="00EE0056" w:rsidRDefault="00DD6CA9" w:rsidP="00EE0056">
          <w:pPr>
            <w:pBdr>
              <w:top w:val="nil"/>
              <w:left w:val="nil"/>
              <w:bottom w:val="nil"/>
              <w:right w:val="nil"/>
              <w:between w:val="nil"/>
            </w:pBdr>
            <w:tabs>
              <w:tab w:val="right" w:pos="8838"/>
            </w:tabs>
            <w:ind w:right="-1285"/>
            <w:rPr>
              <w:rFonts w:ascii="Palatino Linotype" w:eastAsia="Palatino Linotype" w:hAnsi="Palatino Linotype" w:cs="Palatino Linotype"/>
              <w:color w:val="000000"/>
              <w:szCs w:val="22"/>
              <w:highlight w:val="green"/>
            </w:rPr>
          </w:pPr>
          <w:r w:rsidRPr="00EE0056">
            <w:rPr>
              <w:rFonts w:ascii="Palatino Linotype" w:eastAsia="Palatino Linotype" w:hAnsi="Palatino Linotype" w:cs="Palatino Linotype"/>
              <w:color w:val="000000"/>
              <w:szCs w:val="22"/>
            </w:rPr>
            <w:t>12968/INFOEM/IP/RR/2025</w:t>
          </w:r>
        </w:p>
      </w:tc>
    </w:tr>
    <w:tr w:rsidR="006B6A8C" w:rsidTr="00EE0056">
      <w:trPr>
        <w:trHeight w:val="242"/>
      </w:trPr>
      <w:tc>
        <w:tcPr>
          <w:tcW w:w="2693" w:type="dxa"/>
        </w:tcPr>
        <w:p w:rsidR="006B6A8C" w:rsidRPr="00EE0056" w:rsidRDefault="00DD6CA9" w:rsidP="00EE0056">
          <w:pPr>
            <w:jc w:val="right"/>
            <w:rPr>
              <w:rFonts w:ascii="Palatino Linotype" w:eastAsia="Palatino Linotype" w:hAnsi="Palatino Linotype" w:cs="Palatino Linotype"/>
              <w:b/>
              <w:bCs/>
              <w:szCs w:val="22"/>
            </w:rPr>
          </w:pPr>
          <w:r w:rsidRPr="00EE0056">
            <w:rPr>
              <w:rFonts w:ascii="Palatino Linotype" w:eastAsia="Palatino Linotype" w:hAnsi="Palatino Linotype" w:cs="Palatino Linotype"/>
              <w:b/>
              <w:bCs/>
              <w:szCs w:val="22"/>
            </w:rPr>
            <w:t>Recurrente:</w:t>
          </w:r>
        </w:p>
      </w:tc>
      <w:tc>
        <w:tcPr>
          <w:tcW w:w="4819" w:type="dxa"/>
        </w:tcPr>
        <w:p w:rsidR="006B6A8C" w:rsidRPr="00EE0056" w:rsidRDefault="00A522D0" w:rsidP="00EE0056">
          <w:pPr>
            <w:pBdr>
              <w:top w:val="nil"/>
              <w:left w:val="nil"/>
              <w:bottom w:val="nil"/>
              <w:right w:val="nil"/>
              <w:between w:val="nil"/>
            </w:pBdr>
            <w:tabs>
              <w:tab w:val="right" w:pos="8838"/>
              <w:tab w:val="left" w:pos="521"/>
            </w:tabs>
            <w:rPr>
              <w:rFonts w:ascii="Palatino Linotype" w:eastAsia="Palatino Linotype" w:hAnsi="Palatino Linotype" w:cs="Palatino Linotype"/>
              <w:color w:val="000000"/>
              <w:szCs w:val="22"/>
              <w:highlight w:val="green"/>
            </w:rPr>
          </w:pPr>
          <w:r>
            <w:rPr>
              <w:rFonts w:ascii="Palatino Linotype" w:eastAsia="Palatino Linotype" w:hAnsi="Palatino Linotype" w:cs="Palatino Linotype"/>
              <w:color w:val="000000"/>
              <w:szCs w:val="22"/>
            </w:rPr>
            <w:t>XXXX</w:t>
          </w:r>
        </w:p>
      </w:tc>
    </w:tr>
    <w:tr w:rsidR="006B6A8C" w:rsidTr="00EE0056">
      <w:trPr>
        <w:trHeight w:val="342"/>
      </w:trPr>
      <w:tc>
        <w:tcPr>
          <w:tcW w:w="2693" w:type="dxa"/>
        </w:tcPr>
        <w:p w:rsidR="006B6A8C" w:rsidRPr="00EE0056" w:rsidRDefault="00DD6CA9" w:rsidP="00EE0056">
          <w:pPr>
            <w:jc w:val="right"/>
            <w:rPr>
              <w:rFonts w:ascii="Palatino Linotype" w:eastAsia="Palatino Linotype" w:hAnsi="Palatino Linotype" w:cs="Palatino Linotype"/>
              <w:b/>
              <w:bCs/>
              <w:szCs w:val="22"/>
            </w:rPr>
          </w:pPr>
          <w:r w:rsidRPr="00EE0056">
            <w:rPr>
              <w:rFonts w:ascii="Palatino Linotype" w:eastAsia="Palatino Linotype" w:hAnsi="Palatino Linotype" w:cs="Palatino Linotype"/>
              <w:b/>
              <w:bCs/>
              <w:szCs w:val="22"/>
            </w:rPr>
            <w:t>Sujeto Obligado:</w:t>
          </w:r>
        </w:p>
      </w:tc>
      <w:tc>
        <w:tcPr>
          <w:tcW w:w="4819" w:type="dxa"/>
        </w:tcPr>
        <w:p w:rsidR="006B6A8C" w:rsidRPr="00EE0056" w:rsidRDefault="00DD6CA9" w:rsidP="00EE0056">
          <w:pPr>
            <w:pBdr>
              <w:top w:val="nil"/>
              <w:left w:val="nil"/>
              <w:bottom w:val="nil"/>
              <w:right w:val="nil"/>
              <w:between w:val="nil"/>
            </w:pBdr>
            <w:tabs>
              <w:tab w:val="right" w:pos="8838"/>
            </w:tabs>
            <w:rPr>
              <w:rFonts w:ascii="Palatino Linotype" w:eastAsia="Palatino Linotype" w:hAnsi="Palatino Linotype" w:cs="Palatino Linotype"/>
              <w:color w:val="000000"/>
              <w:szCs w:val="22"/>
              <w:highlight w:val="green"/>
            </w:rPr>
          </w:pPr>
          <w:r w:rsidRPr="00EE0056">
            <w:rPr>
              <w:rFonts w:ascii="Palatino Linotype" w:eastAsia="Palatino Linotype" w:hAnsi="Palatino Linotype" w:cs="Palatino Linotype"/>
              <w:color w:val="000000"/>
              <w:szCs w:val="22"/>
            </w:rPr>
            <w:t>Organismo Público Descentralizado para la Prestación de Los Servicios de Agua Potable Alcantarillado y Saneamiento del Municipio de Naucalpan de Juárez</w:t>
          </w:r>
        </w:p>
      </w:tc>
    </w:tr>
    <w:tr w:rsidR="006B6A8C" w:rsidTr="00EE0056">
      <w:trPr>
        <w:trHeight w:val="342"/>
      </w:trPr>
      <w:tc>
        <w:tcPr>
          <w:tcW w:w="2693" w:type="dxa"/>
        </w:tcPr>
        <w:p w:rsidR="006B6A8C" w:rsidRPr="00EE0056" w:rsidRDefault="00DD6CA9" w:rsidP="00EE0056">
          <w:pPr>
            <w:jc w:val="right"/>
            <w:rPr>
              <w:rFonts w:ascii="Palatino Linotype" w:eastAsia="Palatino Linotype" w:hAnsi="Palatino Linotype" w:cs="Palatino Linotype"/>
              <w:b/>
              <w:bCs/>
              <w:szCs w:val="22"/>
            </w:rPr>
          </w:pPr>
          <w:r w:rsidRPr="00EE0056">
            <w:rPr>
              <w:rFonts w:ascii="Palatino Linotype" w:eastAsia="Palatino Linotype" w:hAnsi="Palatino Linotype" w:cs="Palatino Linotype"/>
              <w:b/>
              <w:bCs/>
              <w:szCs w:val="22"/>
            </w:rPr>
            <w:t>Comisionada Ponente:</w:t>
          </w:r>
        </w:p>
      </w:tc>
      <w:tc>
        <w:tcPr>
          <w:tcW w:w="4819" w:type="dxa"/>
        </w:tcPr>
        <w:p w:rsidR="006B6A8C" w:rsidRPr="00EE0056" w:rsidRDefault="00DD6CA9" w:rsidP="00EE0056">
          <w:pPr>
            <w:pBdr>
              <w:top w:val="nil"/>
              <w:left w:val="nil"/>
              <w:bottom w:val="nil"/>
              <w:right w:val="nil"/>
              <w:between w:val="nil"/>
            </w:pBdr>
            <w:tabs>
              <w:tab w:val="right" w:pos="8838"/>
            </w:tabs>
            <w:ind w:right="-1285"/>
            <w:rPr>
              <w:rFonts w:ascii="Palatino Linotype" w:eastAsia="Palatino Linotype" w:hAnsi="Palatino Linotype" w:cs="Palatino Linotype"/>
              <w:color w:val="000000"/>
              <w:szCs w:val="22"/>
            </w:rPr>
          </w:pPr>
          <w:r w:rsidRPr="00EE0056">
            <w:rPr>
              <w:rFonts w:ascii="Palatino Linotype" w:eastAsia="Palatino Linotype" w:hAnsi="Palatino Linotype" w:cs="Palatino Linotype"/>
              <w:color w:val="000000"/>
              <w:szCs w:val="22"/>
            </w:rPr>
            <w:t>María del Rosario Mejía Ayala</w:t>
          </w:r>
        </w:p>
      </w:tc>
    </w:tr>
  </w:tbl>
  <w:p w:rsidR="006B6A8C" w:rsidRDefault="00A33B5B">
    <w:pPr>
      <w:pBdr>
        <w:top w:val="nil"/>
        <w:left w:val="nil"/>
        <w:bottom w:val="nil"/>
        <w:right w:val="nil"/>
        <w:between w:val="nil"/>
      </w:pBdr>
      <w:tabs>
        <w:tab w:val="center" w:pos="4419"/>
        <w:tab w:val="right" w:pos="8838"/>
      </w:tabs>
      <w:rPr>
        <w:color w:val="000000"/>
        <w:sz w:val="16"/>
        <w:szCs w:val="16"/>
      </w:rPr>
    </w:pPr>
    <w:r>
      <w:rPr>
        <w:color w:val="000000"/>
        <w:sz w:val="16"/>
        <w:szCs w:val="16"/>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 o:spid="_x0000_s2050" type="#_x0000_t75" alt="" style="position:absolute;margin-left:-66.7pt;margin-top:-147.15pt;width:609.4pt;height:793.75pt;z-index:-251658752;mso-position-horizontal-relative:margin;mso-position-vertical-relative:margin">
          <v:imagedata r:id="rId1" o:title="image3"/>
          <w10:wrap anchorx="margin" anchory="margin"/>
        </v:shape>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3F866A8"/>
    <w:multiLevelType w:val="multilevel"/>
    <w:tmpl w:val="FDB24874"/>
    <w:lvl w:ilvl="0">
      <w:start w:val="1"/>
      <w:numFmt w:val="decimal"/>
      <w:lvlText w:val="%1)"/>
      <w:lvlJc w:val="left"/>
      <w:pPr>
        <w:ind w:left="1287" w:hanging="360"/>
      </w:pPr>
    </w:lvl>
    <w:lvl w:ilvl="1">
      <w:start w:val="1"/>
      <w:numFmt w:val="decimal"/>
      <w:lvlText w:val="%2)"/>
      <w:lvlJc w:val="left"/>
      <w:pPr>
        <w:ind w:left="2007" w:hanging="360"/>
      </w:pPr>
    </w:lvl>
    <w:lvl w:ilvl="2">
      <w:start w:val="1"/>
      <w:numFmt w:val="bullet"/>
      <w:lvlText w:val="▪"/>
      <w:lvlJc w:val="left"/>
      <w:pPr>
        <w:ind w:left="2727" w:hanging="360"/>
      </w:pPr>
      <w:rPr>
        <w:rFonts w:ascii="Noto Sans Symbols" w:eastAsia="Noto Sans Symbols" w:hAnsi="Noto Sans Symbols" w:cs="Noto Sans Symbols"/>
      </w:rPr>
    </w:lvl>
    <w:lvl w:ilvl="3">
      <w:start w:val="1"/>
      <w:numFmt w:val="bullet"/>
      <w:lvlText w:val="●"/>
      <w:lvlJc w:val="left"/>
      <w:pPr>
        <w:ind w:left="3447" w:hanging="360"/>
      </w:pPr>
      <w:rPr>
        <w:rFonts w:ascii="Noto Sans Symbols" w:eastAsia="Noto Sans Symbols" w:hAnsi="Noto Sans Symbols" w:cs="Noto Sans Symbols"/>
      </w:rPr>
    </w:lvl>
    <w:lvl w:ilvl="4">
      <w:start w:val="1"/>
      <w:numFmt w:val="bullet"/>
      <w:lvlText w:val="o"/>
      <w:lvlJc w:val="left"/>
      <w:pPr>
        <w:ind w:left="4167" w:hanging="360"/>
      </w:pPr>
      <w:rPr>
        <w:rFonts w:ascii="Courier New" w:eastAsia="Courier New" w:hAnsi="Courier New" w:cs="Courier New"/>
      </w:rPr>
    </w:lvl>
    <w:lvl w:ilvl="5">
      <w:start w:val="1"/>
      <w:numFmt w:val="bullet"/>
      <w:lvlText w:val="▪"/>
      <w:lvlJc w:val="left"/>
      <w:pPr>
        <w:ind w:left="4887" w:hanging="360"/>
      </w:pPr>
      <w:rPr>
        <w:rFonts w:ascii="Noto Sans Symbols" w:eastAsia="Noto Sans Symbols" w:hAnsi="Noto Sans Symbols" w:cs="Noto Sans Symbols"/>
      </w:rPr>
    </w:lvl>
    <w:lvl w:ilvl="6">
      <w:start w:val="1"/>
      <w:numFmt w:val="bullet"/>
      <w:lvlText w:val="●"/>
      <w:lvlJc w:val="left"/>
      <w:pPr>
        <w:ind w:left="5607" w:hanging="360"/>
      </w:pPr>
      <w:rPr>
        <w:rFonts w:ascii="Noto Sans Symbols" w:eastAsia="Noto Sans Symbols" w:hAnsi="Noto Sans Symbols" w:cs="Noto Sans Symbols"/>
      </w:rPr>
    </w:lvl>
    <w:lvl w:ilvl="7">
      <w:start w:val="1"/>
      <w:numFmt w:val="bullet"/>
      <w:lvlText w:val="o"/>
      <w:lvlJc w:val="left"/>
      <w:pPr>
        <w:ind w:left="6327" w:hanging="360"/>
      </w:pPr>
      <w:rPr>
        <w:rFonts w:ascii="Courier New" w:eastAsia="Courier New" w:hAnsi="Courier New" w:cs="Courier New"/>
      </w:rPr>
    </w:lvl>
    <w:lvl w:ilvl="8">
      <w:start w:val="1"/>
      <w:numFmt w:val="bullet"/>
      <w:lvlText w:val="▪"/>
      <w:lvlJc w:val="left"/>
      <w:pPr>
        <w:ind w:left="7047" w:hanging="360"/>
      </w:pPr>
      <w:rPr>
        <w:rFonts w:ascii="Noto Sans Symbols" w:eastAsia="Noto Sans Symbols" w:hAnsi="Noto Sans Symbols" w:cs="Noto Sans Symbols"/>
      </w:rPr>
    </w:lvl>
  </w:abstractNum>
  <w:abstractNum w:abstractNumId="1" w15:restartNumberingAfterBreak="0">
    <w:nsid w:val="15161F75"/>
    <w:multiLevelType w:val="multilevel"/>
    <w:tmpl w:val="25B4BD8E"/>
    <w:lvl w:ilvl="0">
      <w:start w:val="1"/>
      <w:numFmt w:val="bullet"/>
      <w:lvlText w:val="●"/>
      <w:lvlJc w:val="left"/>
      <w:pPr>
        <w:ind w:left="1069" w:hanging="360"/>
      </w:pPr>
      <w:rPr>
        <w:rFonts w:ascii="Noto Sans Symbols" w:eastAsia="Noto Sans Symbols" w:hAnsi="Noto Sans Symbols" w:cs="Noto Sans Symbols"/>
      </w:rPr>
    </w:lvl>
    <w:lvl w:ilvl="1">
      <w:start w:val="1"/>
      <w:numFmt w:val="bullet"/>
      <w:lvlText w:val="o"/>
      <w:lvlJc w:val="left"/>
      <w:pPr>
        <w:ind w:left="1789" w:hanging="360"/>
      </w:pPr>
      <w:rPr>
        <w:rFonts w:ascii="Courier New" w:eastAsia="Courier New" w:hAnsi="Courier New" w:cs="Courier New"/>
      </w:rPr>
    </w:lvl>
    <w:lvl w:ilvl="2">
      <w:start w:val="1"/>
      <w:numFmt w:val="bullet"/>
      <w:lvlText w:val="▪"/>
      <w:lvlJc w:val="left"/>
      <w:pPr>
        <w:ind w:left="2509" w:hanging="360"/>
      </w:pPr>
      <w:rPr>
        <w:rFonts w:ascii="Noto Sans Symbols" w:eastAsia="Noto Sans Symbols" w:hAnsi="Noto Sans Symbols" w:cs="Noto Sans Symbols"/>
      </w:rPr>
    </w:lvl>
    <w:lvl w:ilvl="3">
      <w:start w:val="1"/>
      <w:numFmt w:val="bullet"/>
      <w:lvlText w:val="●"/>
      <w:lvlJc w:val="left"/>
      <w:pPr>
        <w:ind w:left="3229" w:hanging="360"/>
      </w:pPr>
      <w:rPr>
        <w:rFonts w:ascii="Noto Sans Symbols" w:eastAsia="Noto Sans Symbols" w:hAnsi="Noto Sans Symbols" w:cs="Noto Sans Symbols"/>
      </w:rPr>
    </w:lvl>
    <w:lvl w:ilvl="4">
      <w:start w:val="1"/>
      <w:numFmt w:val="bullet"/>
      <w:lvlText w:val="o"/>
      <w:lvlJc w:val="left"/>
      <w:pPr>
        <w:ind w:left="3949" w:hanging="360"/>
      </w:pPr>
      <w:rPr>
        <w:rFonts w:ascii="Courier New" w:eastAsia="Courier New" w:hAnsi="Courier New" w:cs="Courier New"/>
      </w:rPr>
    </w:lvl>
    <w:lvl w:ilvl="5">
      <w:start w:val="1"/>
      <w:numFmt w:val="bullet"/>
      <w:lvlText w:val="▪"/>
      <w:lvlJc w:val="left"/>
      <w:pPr>
        <w:ind w:left="4669" w:hanging="360"/>
      </w:pPr>
      <w:rPr>
        <w:rFonts w:ascii="Noto Sans Symbols" w:eastAsia="Noto Sans Symbols" w:hAnsi="Noto Sans Symbols" w:cs="Noto Sans Symbols"/>
      </w:rPr>
    </w:lvl>
    <w:lvl w:ilvl="6">
      <w:start w:val="1"/>
      <w:numFmt w:val="bullet"/>
      <w:lvlText w:val="●"/>
      <w:lvlJc w:val="left"/>
      <w:pPr>
        <w:ind w:left="5389" w:hanging="360"/>
      </w:pPr>
      <w:rPr>
        <w:rFonts w:ascii="Noto Sans Symbols" w:eastAsia="Noto Sans Symbols" w:hAnsi="Noto Sans Symbols" w:cs="Noto Sans Symbols"/>
      </w:rPr>
    </w:lvl>
    <w:lvl w:ilvl="7">
      <w:start w:val="1"/>
      <w:numFmt w:val="bullet"/>
      <w:lvlText w:val="o"/>
      <w:lvlJc w:val="left"/>
      <w:pPr>
        <w:ind w:left="6109" w:hanging="360"/>
      </w:pPr>
      <w:rPr>
        <w:rFonts w:ascii="Courier New" w:eastAsia="Courier New" w:hAnsi="Courier New" w:cs="Courier New"/>
      </w:rPr>
    </w:lvl>
    <w:lvl w:ilvl="8">
      <w:start w:val="1"/>
      <w:numFmt w:val="bullet"/>
      <w:lvlText w:val="▪"/>
      <w:lvlJc w:val="left"/>
      <w:pPr>
        <w:ind w:left="6829" w:hanging="360"/>
      </w:pPr>
      <w:rPr>
        <w:rFonts w:ascii="Noto Sans Symbols" w:eastAsia="Noto Sans Symbols" w:hAnsi="Noto Sans Symbols" w:cs="Noto Sans Symbols"/>
      </w:rPr>
    </w:lvl>
  </w:abstractNum>
  <w:abstractNum w:abstractNumId="2" w15:restartNumberingAfterBreak="0">
    <w:nsid w:val="249D5204"/>
    <w:multiLevelType w:val="multilevel"/>
    <w:tmpl w:val="3EF6DD90"/>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15:restartNumberingAfterBreak="0">
    <w:nsid w:val="2F3E0CAC"/>
    <w:multiLevelType w:val="multilevel"/>
    <w:tmpl w:val="8444B3CC"/>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4" w15:restartNumberingAfterBreak="0">
    <w:nsid w:val="3DD27000"/>
    <w:multiLevelType w:val="multilevel"/>
    <w:tmpl w:val="01A67F54"/>
    <w:lvl w:ilvl="0">
      <w:start w:val="1"/>
      <w:numFmt w:val="bullet"/>
      <w:lvlText w:val="●"/>
      <w:lvlJc w:val="left"/>
      <w:pPr>
        <w:ind w:left="778" w:hanging="360"/>
      </w:pPr>
      <w:rPr>
        <w:rFonts w:ascii="Noto Sans Symbols" w:eastAsia="Noto Sans Symbols" w:hAnsi="Noto Sans Symbols" w:cs="Noto Sans Symbols"/>
      </w:rPr>
    </w:lvl>
    <w:lvl w:ilvl="1">
      <w:start w:val="1"/>
      <w:numFmt w:val="bullet"/>
      <w:lvlText w:val="o"/>
      <w:lvlJc w:val="left"/>
      <w:pPr>
        <w:ind w:left="1498" w:hanging="360"/>
      </w:pPr>
      <w:rPr>
        <w:rFonts w:ascii="Courier New" w:eastAsia="Courier New" w:hAnsi="Courier New" w:cs="Courier New"/>
      </w:rPr>
    </w:lvl>
    <w:lvl w:ilvl="2">
      <w:start w:val="1"/>
      <w:numFmt w:val="bullet"/>
      <w:lvlText w:val="▪"/>
      <w:lvlJc w:val="left"/>
      <w:pPr>
        <w:ind w:left="2218" w:hanging="360"/>
      </w:pPr>
      <w:rPr>
        <w:rFonts w:ascii="Noto Sans Symbols" w:eastAsia="Noto Sans Symbols" w:hAnsi="Noto Sans Symbols" w:cs="Noto Sans Symbols"/>
      </w:rPr>
    </w:lvl>
    <w:lvl w:ilvl="3">
      <w:start w:val="1"/>
      <w:numFmt w:val="bullet"/>
      <w:lvlText w:val="●"/>
      <w:lvlJc w:val="left"/>
      <w:pPr>
        <w:ind w:left="2938" w:hanging="360"/>
      </w:pPr>
      <w:rPr>
        <w:rFonts w:ascii="Noto Sans Symbols" w:eastAsia="Noto Sans Symbols" w:hAnsi="Noto Sans Symbols" w:cs="Noto Sans Symbols"/>
      </w:rPr>
    </w:lvl>
    <w:lvl w:ilvl="4">
      <w:start w:val="1"/>
      <w:numFmt w:val="bullet"/>
      <w:lvlText w:val="o"/>
      <w:lvlJc w:val="left"/>
      <w:pPr>
        <w:ind w:left="3658" w:hanging="360"/>
      </w:pPr>
      <w:rPr>
        <w:rFonts w:ascii="Courier New" w:eastAsia="Courier New" w:hAnsi="Courier New" w:cs="Courier New"/>
      </w:rPr>
    </w:lvl>
    <w:lvl w:ilvl="5">
      <w:start w:val="1"/>
      <w:numFmt w:val="bullet"/>
      <w:lvlText w:val="▪"/>
      <w:lvlJc w:val="left"/>
      <w:pPr>
        <w:ind w:left="4378" w:hanging="360"/>
      </w:pPr>
      <w:rPr>
        <w:rFonts w:ascii="Noto Sans Symbols" w:eastAsia="Noto Sans Symbols" w:hAnsi="Noto Sans Symbols" w:cs="Noto Sans Symbols"/>
      </w:rPr>
    </w:lvl>
    <w:lvl w:ilvl="6">
      <w:start w:val="1"/>
      <w:numFmt w:val="bullet"/>
      <w:lvlText w:val="●"/>
      <w:lvlJc w:val="left"/>
      <w:pPr>
        <w:ind w:left="5098" w:hanging="360"/>
      </w:pPr>
      <w:rPr>
        <w:rFonts w:ascii="Noto Sans Symbols" w:eastAsia="Noto Sans Symbols" w:hAnsi="Noto Sans Symbols" w:cs="Noto Sans Symbols"/>
      </w:rPr>
    </w:lvl>
    <w:lvl w:ilvl="7">
      <w:start w:val="1"/>
      <w:numFmt w:val="bullet"/>
      <w:lvlText w:val="o"/>
      <w:lvlJc w:val="left"/>
      <w:pPr>
        <w:ind w:left="5818" w:hanging="360"/>
      </w:pPr>
      <w:rPr>
        <w:rFonts w:ascii="Courier New" w:eastAsia="Courier New" w:hAnsi="Courier New" w:cs="Courier New"/>
      </w:rPr>
    </w:lvl>
    <w:lvl w:ilvl="8">
      <w:start w:val="1"/>
      <w:numFmt w:val="bullet"/>
      <w:lvlText w:val="▪"/>
      <w:lvlJc w:val="left"/>
      <w:pPr>
        <w:ind w:left="6538" w:hanging="360"/>
      </w:pPr>
      <w:rPr>
        <w:rFonts w:ascii="Noto Sans Symbols" w:eastAsia="Noto Sans Symbols" w:hAnsi="Noto Sans Symbols" w:cs="Noto Sans Symbols"/>
      </w:rPr>
    </w:lvl>
  </w:abstractNum>
  <w:abstractNum w:abstractNumId="5" w15:restartNumberingAfterBreak="0">
    <w:nsid w:val="537B5CD5"/>
    <w:multiLevelType w:val="multilevel"/>
    <w:tmpl w:val="1F4CFC52"/>
    <w:lvl w:ilvl="0">
      <w:start w:val="1"/>
      <w:numFmt w:val="decimal"/>
      <w:lvlText w:val="%1."/>
      <w:lvlJc w:val="left"/>
      <w:pPr>
        <w:ind w:left="2629" w:hanging="360"/>
      </w:pPr>
      <w:rPr>
        <w:rFonts w:ascii="Palatino Linotype" w:eastAsia="Palatino Linotype" w:hAnsi="Palatino Linotype" w:cs="Palatino Linotype"/>
        <w:b/>
        <w:bCs/>
        <w:i w:val="0"/>
        <w:iCs w:val="0"/>
        <w:color w:val="000000"/>
        <w:sz w:val="24"/>
        <w:szCs w:val="24"/>
      </w:rPr>
    </w:lvl>
    <w:lvl w:ilvl="1">
      <w:start w:val="1"/>
      <w:numFmt w:val="bullet"/>
      <w:lvlText w:val="●"/>
      <w:lvlJc w:val="left"/>
      <w:pPr>
        <w:ind w:left="1440" w:hanging="360"/>
      </w:pPr>
      <w:rPr>
        <w:rFonts w:ascii="Noto Sans Symbols" w:eastAsia="Noto Sans Symbols" w:hAnsi="Noto Sans Symbols" w:cs="Noto Sans Symbols"/>
        <w:b/>
        <w:bCs/>
      </w:rPr>
    </w:lvl>
    <w:lvl w:ilvl="2">
      <w:start w:val="1"/>
      <w:numFmt w:val="bullet"/>
      <w:lvlText w:val="−"/>
      <w:lvlJc w:val="left"/>
      <w:pPr>
        <w:ind w:left="2160" w:hanging="180"/>
      </w:pPr>
      <w:rPr>
        <w:rFonts w:ascii="Noto Sans Symbols" w:eastAsia="Noto Sans Symbols" w:hAnsi="Noto Sans Symbols" w:cs="Noto Sans Symbols"/>
      </w:r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15:restartNumberingAfterBreak="0">
    <w:nsid w:val="71383AC1"/>
    <w:multiLevelType w:val="multilevel"/>
    <w:tmpl w:val="6004F094"/>
    <w:lvl w:ilvl="0">
      <w:start w:val="1"/>
      <w:numFmt w:val="upperRoman"/>
      <w:lvlText w:val="%1."/>
      <w:lvlJc w:val="left"/>
      <w:pPr>
        <w:ind w:left="1080" w:hanging="72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abstractNumId w:val="1"/>
  </w:num>
  <w:num w:numId="2">
    <w:abstractNumId w:val="5"/>
  </w:num>
  <w:num w:numId="3">
    <w:abstractNumId w:val="4"/>
  </w:num>
  <w:num w:numId="4">
    <w:abstractNumId w:val="2"/>
  </w:num>
  <w:num w:numId="5">
    <w:abstractNumId w:val="3"/>
  </w:num>
  <w:num w:numId="6">
    <w:abstractNumId w:val="0"/>
  </w:num>
  <w:num w:numId="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TrueTypeFonts/>
  <w:proofState w:spelling="clean" w:grammar="clean"/>
  <w:defaultTabStop w:val="720"/>
  <w:hyphenationZone w:val="425"/>
  <w:characterSpacingControl w:val="doNotCompress"/>
  <w:hdrShapeDefaults>
    <o:shapedefaults v:ext="edit" spidmax="2052"/>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B6A8C"/>
    <w:rsid w:val="000223E3"/>
    <w:rsid w:val="002B77C9"/>
    <w:rsid w:val="00302397"/>
    <w:rsid w:val="00487FD4"/>
    <w:rsid w:val="00560D7D"/>
    <w:rsid w:val="006B6A8C"/>
    <w:rsid w:val="00715BF2"/>
    <w:rsid w:val="00A33B5B"/>
    <w:rsid w:val="00A522D0"/>
    <w:rsid w:val="00DD6CA9"/>
    <w:rsid w:val="00EE0056"/>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52"/>
    <o:shapelayout v:ext="edit">
      <o:idmap v:ext="edit" data="1"/>
    </o:shapelayout>
  </w:shapeDefaults>
  <w:decimalSymbol w:val="."/>
  <w:listSeparator w:val=","/>
  <w15:docId w15:val="{6F00066C-9817-45F4-9F16-2C0092AC30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Calibri"/>
        <w:sz w:val="24"/>
        <w:szCs w:val="24"/>
        <w:lang w:val="es-ES_tradnl" w:eastAsia="es-MX"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style>
  <w:style w:type="paragraph" w:styleId="Ttulo1">
    <w:name w:val="heading 1"/>
    <w:basedOn w:val="Normal"/>
    <w:next w:val="Normal"/>
    <w:pPr>
      <w:keepNext/>
      <w:keepLines/>
      <w:spacing w:before="240"/>
      <w:outlineLvl w:val="0"/>
    </w:pPr>
    <w:rPr>
      <w:color w:val="2F5496"/>
      <w:sz w:val="32"/>
      <w:szCs w:val="32"/>
    </w:rPr>
  </w:style>
  <w:style w:type="paragraph" w:styleId="Ttulo2">
    <w:name w:val="heading 2"/>
    <w:basedOn w:val="Normal"/>
    <w:next w:val="Normal"/>
    <w:pPr>
      <w:keepNext/>
      <w:keepLines/>
      <w:spacing w:before="40"/>
      <w:outlineLvl w:val="1"/>
    </w:pPr>
    <w:rPr>
      <w:color w:val="2F5496"/>
      <w:sz w:val="26"/>
      <w:szCs w:val="26"/>
    </w:rPr>
  </w:style>
  <w:style w:type="paragraph" w:styleId="Ttulo3">
    <w:name w:val="heading 3"/>
    <w:basedOn w:val="Normal"/>
    <w:next w:val="Normal"/>
    <w:pPr>
      <w:keepNext/>
      <w:keepLines/>
      <w:spacing w:before="280" w:after="80"/>
      <w:outlineLvl w:val="2"/>
    </w:pPr>
    <w:rPr>
      <w:b/>
      <w:bCs/>
      <w:sz w:val="28"/>
      <w:szCs w:val="28"/>
    </w:rPr>
  </w:style>
  <w:style w:type="paragraph" w:styleId="Ttulo4">
    <w:name w:val="heading 4"/>
    <w:basedOn w:val="Normal"/>
    <w:next w:val="Normal"/>
    <w:pPr>
      <w:keepNext/>
      <w:keepLines/>
      <w:spacing w:before="240" w:after="40"/>
      <w:outlineLvl w:val="3"/>
    </w:pPr>
    <w:rPr>
      <w:b/>
      <w:bCs/>
    </w:rPr>
  </w:style>
  <w:style w:type="paragraph" w:styleId="Ttulo5">
    <w:name w:val="heading 5"/>
    <w:basedOn w:val="Normal"/>
    <w:next w:val="Normal"/>
    <w:pPr>
      <w:keepNext/>
      <w:keepLines/>
      <w:spacing w:before="220" w:after="40"/>
      <w:outlineLvl w:val="4"/>
    </w:pPr>
    <w:rPr>
      <w:b/>
      <w:bCs/>
      <w:sz w:val="22"/>
      <w:szCs w:val="22"/>
    </w:rPr>
  </w:style>
  <w:style w:type="paragraph" w:styleId="Ttulo6">
    <w:name w:val="heading 6"/>
    <w:basedOn w:val="Normal"/>
    <w:next w:val="Normal"/>
    <w:pPr>
      <w:keepNext/>
      <w:keepLines/>
      <w:spacing w:before="200" w:after="40"/>
      <w:outlineLvl w:val="5"/>
    </w:pPr>
    <w:rPr>
      <w:b/>
      <w:bCs/>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Normal"/>
    <w:tblPr>
      <w:tblCellMar>
        <w:top w:w="100" w:type="dxa"/>
        <w:left w:w="100" w:type="dxa"/>
        <w:bottom w:w="100" w:type="dxa"/>
        <w:right w:w="100" w:type="dxa"/>
      </w:tblCellMar>
    </w:tblPr>
  </w:style>
  <w:style w:type="paragraph" w:styleId="Puesto">
    <w:name w:val="Title"/>
    <w:basedOn w:val="Normal"/>
    <w:next w:val="Normal"/>
    <w:pPr>
      <w:keepNext/>
      <w:keepLines/>
      <w:spacing w:before="480" w:after="120"/>
    </w:pPr>
    <w:rPr>
      <w:b/>
      <w:bCs/>
      <w:sz w:val="72"/>
      <w:szCs w:val="72"/>
    </w:rPr>
  </w:style>
  <w:style w:type="paragraph" w:styleId="Subttulo">
    <w:name w:val="Subtitle"/>
    <w:basedOn w:val="Normal"/>
    <w:next w:val="Normal"/>
    <w:pPr>
      <w:keepNext/>
      <w:keepLines/>
      <w:spacing w:before="360" w:after="80"/>
    </w:pPr>
    <w:rPr>
      <w:rFonts w:ascii="Georgia" w:eastAsia="Georgia" w:hAnsi="Georgia" w:cs="Georgia"/>
      <w:i/>
      <w:iCs/>
      <w:color w:val="666666"/>
      <w:sz w:val="48"/>
      <w:szCs w:val="48"/>
    </w:rPr>
  </w:style>
  <w:style w:type="table" w:customStyle="1" w:styleId="a">
    <w:basedOn w:val="TableNormal"/>
    <w:tblPr>
      <w:tblStyleRowBandSize w:val="1"/>
      <w:tblStyleColBandSize w:val="1"/>
      <w:tblCellMar>
        <w:top w:w="0" w:type="dxa"/>
        <w:left w:w="115" w:type="dxa"/>
        <w:bottom w:w="0" w:type="dxa"/>
        <w:right w:w="115" w:type="dxa"/>
      </w:tblCellMar>
    </w:tblPr>
  </w:style>
  <w:style w:type="table" w:customStyle="1" w:styleId="a0">
    <w:basedOn w:val="TableNormal"/>
    <w:tblPr>
      <w:tblStyleRowBandSize w:val="1"/>
      <w:tblStyleColBandSize w:val="1"/>
      <w:tblCellMar>
        <w:top w:w="0" w:type="dxa"/>
        <w:left w:w="70" w:type="dxa"/>
        <w:bottom w:w="0" w:type="dxa"/>
        <w:right w:w="70" w:type="dxa"/>
      </w:tblCellMar>
    </w:tblPr>
  </w:style>
  <w:style w:type="table" w:customStyle="1" w:styleId="a1">
    <w:basedOn w:val="TableNormal"/>
    <w:tblPr>
      <w:tblStyleRowBandSize w:val="1"/>
      <w:tblStyleColBandSize w:val="1"/>
      <w:tblCellMar>
        <w:top w:w="0" w:type="dxa"/>
        <w:left w:w="70" w:type="dxa"/>
        <w:bottom w:w="0" w:type="dxa"/>
        <w:right w:w="70" w:type="dxa"/>
      </w:tblCellMar>
    </w:tblPr>
  </w:style>
  <w:style w:type="paragraph" w:styleId="Piedepgina">
    <w:name w:val="footer"/>
    <w:basedOn w:val="Normal"/>
    <w:link w:val="PiedepginaCar"/>
    <w:uiPriority w:val="99"/>
    <w:unhideWhenUsed/>
    <w:rsid w:val="00EE0056"/>
    <w:pPr>
      <w:tabs>
        <w:tab w:val="center" w:pos="4419"/>
        <w:tab w:val="right" w:pos="8838"/>
      </w:tabs>
    </w:pPr>
  </w:style>
  <w:style w:type="character" w:customStyle="1" w:styleId="PiedepginaCar">
    <w:name w:val="Pie de página Car"/>
    <w:basedOn w:val="Fuentedeprrafopredeter"/>
    <w:link w:val="Piedepgina"/>
    <w:uiPriority w:val="99"/>
    <w:rsid w:val="00EE0056"/>
  </w:style>
  <w:style w:type="paragraph" w:styleId="Prrafodelista">
    <w:name w:val="List Paragraph"/>
    <w:basedOn w:val="Normal"/>
    <w:uiPriority w:val="34"/>
    <w:qFormat/>
    <w:rsid w:val="00EE0056"/>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footer" Target="footer2.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s>
</file>

<file path=word/_rels/header1.xml.rels><?xml version="1.0" encoding="UTF-8" standalone="yes"?>
<Relationships xmlns="http://schemas.openxmlformats.org/package/2006/relationships"><Relationship Id="rId1" Type="http://schemas.openxmlformats.org/officeDocument/2006/relationships/image" Target="media/image3.jpeg"/></Relationships>
</file>

<file path=word/_rels/header2.xml.rels><?xml version="1.0" encoding="UTF-8" standalone="yes"?>
<Relationships xmlns="http://schemas.openxmlformats.org/package/2006/relationships"><Relationship Id="rId1" Type="http://schemas.openxmlformats.org/officeDocument/2006/relationships/image" Target="media/image3.jpeg"/></Relationships>
</file>

<file path=word/_rels/header3.xml.rels><?xml version="1.0" encoding="UTF-8" standalone="yes"?>
<Relationships xmlns="http://schemas.openxmlformats.org/package/2006/relationships"><Relationship Id="rId1" Type="http://schemas.openxmlformats.org/officeDocument/2006/relationships/image" Target="media/image3.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nU4L72QQM6SZ/tmmfCI0kSfARBQ==">CgMxLjAyCGguZ2pkZ3hzMgloLjMwajB6bGwyCWguMWZvYjl0ZTIJaC4zem55c2g3MgloLjJldDkycDAyCWguMXQzaDVzZjIJaC4yczhleW8xMg5oLm00aWo4ZXF5dGdrdDIJaC4xa3N2NHV2MgloLjNyZGNyam4yCGgubG54Yno5OAByITFUS205QUdoSmJ6cS1rZnZwUTlkSnMyd0JuZHZxOTJ2YQ==</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28</Pages>
  <Words>6248</Words>
  <Characters>34369</Characters>
  <Application>Microsoft Office Word</Application>
  <DocSecurity>0</DocSecurity>
  <Lines>286</Lines>
  <Paragraphs>81</Paragraphs>
  <ScaleCrop>false</ScaleCrop>
  <HeadingPairs>
    <vt:vector size="2" baseType="variant">
      <vt:variant>
        <vt:lpstr>Título</vt:lpstr>
      </vt:variant>
      <vt:variant>
        <vt:i4>1</vt:i4>
      </vt:variant>
    </vt:vector>
  </HeadingPairs>
  <TitlesOfParts>
    <vt:vector size="1" baseType="lpstr">
      <vt:lpstr/>
    </vt:vector>
  </TitlesOfParts>
  <Company>HP Inc.</Company>
  <LinksUpToDate>false</LinksUpToDate>
  <CharactersWithSpaces>40536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INFOEM574</dc:creator>
  <cp:lastModifiedBy>Cuenta Microsoft</cp:lastModifiedBy>
  <cp:revision>7</cp:revision>
  <cp:lastPrinted>2026-04-29T18:07:00Z</cp:lastPrinted>
  <dcterms:created xsi:type="dcterms:W3CDTF">2026-04-28T23:09:00Z</dcterms:created>
  <dcterms:modified xsi:type="dcterms:W3CDTF">2026-05-11T22:57:00Z</dcterms:modified>
</cp:coreProperties>
</file>