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BC6" w:rsidRDefault="00206D42">
      <w:pPr>
        <w:tabs>
          <w:tab w:val="left" w:pos="3465"/>
        </w:tabs>
        <w:spacing w:line="360" w:lineRule="auto"/>
        <w:ind w:right="-989"/>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sz w:val="24"/>
          <w:szCs w:val="24"/>
        </w:rPr>
        <w:t xml:space="preserve">diez (10) de junio de dos mil veintiséis. </w:t>
      </w:r>
    </w:p>
    <w:p w:rsidR="004B2F86" w:rsidRDefault="004B2F86">
      <w:pPr>
        <w:tabs>
          <w:tab w:val="left" w:pos="3465"/>
        </w:tabs>
        <w:spacing w:line="360" w:lineRule="auto"/>
        <w:ind w:right="-989"/>
        <w:jc w:val="both"/>
        <w:rPr>
          <w:rFonts w:ascii="Palatino Linotype" w:eastAsia="Palatino Linotype" w:hAnsi="Palatino Linotype" w:cs="Palatino Linotype"/>
          <w:b/>
          <w:bCs/>
          <w:color w:val="FF0000"/>
          <w:sz w:val="24"/>
          <w:szCs w:val="24"/>
        </w:rPr>
      </w:pPr>
    </w:p>
    <w:p w:rsidR="006E1BC6" w:rsidRDefault="00206D42">
      <w:pPr>
        <w:spacing w:line="360" w:lineRule="auto"/>
        <w:ind w:right="-989"/>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w:t>
      </w:r>
      <w:r>
        <w:rPr>
          <w:rFonts w:ascii="Palatino Linotype" w:eastAsia="Palatino Linotype" w:hAnsi="Palatino Linotype" w:cs="Palatino Linotype"/>
          <w:b/>
          <w:bCs/>
          <w:sz w:val="24"/>
          <w:szCs w:val="24"/>
        </w:rPr>
        <w:t> 13868/INFOEM/IP/RR/2025</w:t>
      </w:r>
      <w:r>
        <w:rPr>
          <w:rFonts w:ascii="Palatino Linotype" w:eastAsia="Palatino Linotype" w:hAnsi="Palatino Linotype" w:cs="Palatino Linotype"/>
          <w:sz w:val="24"/>
          <w:szCs w:val="24"/>
        </w:rPr>
        <w:t>,</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promovido por</w:t>
      </w:r>
      <w:r>
        <w:rPr>
          <w:rFonts w:ascii="Palatino Linotype" w:eastAsia="Palatino Linotype" w:hAnsi="Palatino Linotype" w:cs="Palatino Linotype"/>
          <w:b/>
          <w:bCs/>
          <w:sz w:val="24"/>
          <w:szCs w:val="24"/>
        </w:rPr>
        <w:t xml:space="preserve">  una persona que no proporcionó datos de identificación</w:t>
      </w:r>
      <w:r>
        <w:rPr>
          <w:rFonts w:ascii="Palatino Linotype" w:eastAsia="Palatino Linotype" w:hAnsi="Palatino Linotype" w:cs="Palatino Linotype"/>
          <w:sz w:val="24"/>
          <w:szCs w:val="24"/>
        </w:rPr>
        <w:t xml:space="preserve">, a quien en lo sucesivo se le identificará como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Ayuntamiento de Chimalhuacán, </w:t>
      </w:r>
      <w:r>
        <w:rPr>
          <w:rFonts w:ascii="Palatino Linotype" w:eastAsia="Palatino Linotype" w:hAnsi="Palatino Linotype" w:cs="Palatino Linotype"/>
          <w:sz w:val="24"/>
          <w:szCs w:val="24"/>
        </w:rPr>
        <w:t>en adelante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se procede a dictar la presente resolución, con base en los siguientes:</w:t>
      </w:r>
    </w:p>
    <w:p w:rsidR="006E1BC6" w:rsidRDefault="006E1BC6">
      <w:pPr>
        <w:spacing w:line="360" w:lineRule="auto"/>
        <w:ind w:right="-989"/>
        <w:jc w:val="both"/>
        <w:rPr>
          <w:rFonts w:ascii="Palatino Linotype" w:eastAsia="Palatino Linotype" w:hAnsi="Palatino Linotype" w:cs="Palatino Linotype"/>
          <w:sz w:val="24"/>
          <w:szCs w:val="24"/>
        </w:rPr>
      </w:pPr>
    </w:p>
    <w:p w:rsidR="006E1BC6" w:rsidRDefault="00206D42">
      <w:pPr>
        <w:pStyle w:val="Ttulo1"/>
        <w:spacing w:before="0" w:line="360" w:lineRule="auto"/>
        <w:ind w:left="720" w:right="-989" w:hanging="720"/>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6E1BC6" w:rsidRDefault="006E1BC6">
      <w:pPr>
        <w:ind w:right="-989"/>
        <w:rPr>
          <w:rFonts w:ascii="Palatino Linotype" w:eastAsia="Palatino Linotype" w:hAnsi="Palatino Linotype" w:cs="Palatino Linotype"/>
          <w:sz w:val="24"/>
          <w:szCs w:val="24"/>
        </w:rPr>
      </w:pPr>
    </w:p>
    <w:p w:rsidR="006E1BC6" w:rsidRDefault="00206D42">
      <w:pPr>
        <w:numPr>
          <w:ilvl w:val="0"/>
          <w:numId w:val="1"/>
        </w:numPr>
        <w:pBdr>
          <w:top w:val="nil"/>
          <w:left w:val="nil"/>
          <w:bottom w:val="nil"/>
          <w:right w:val="nil"/>
          <w:between w:val="nil"/>
        </w:pBdr>
        <w:tabs>
          <w:tab w:val="left" w:pos="0"/>
        </w:tabs>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El</w:t>
      </w:r>
      <w:r>
        <w:rPr>
          <w:rFonts w:ascii="Palatino Linotype" w:eastAsia="Palatino Linotype" w:hAnsi="Palatino Linotype" w:cs="Palatino Linotype"/>
          <w:b/>
          <w:bCs/>
          <w:color w:val="000000"/>
          <w:sz w:val="24"/>
          <w:szCs w:val="24"/>
        </w:rPr>
        <w:t xml:space="preserve"> dieciocho de noviembre de dos mil veinticinco, </w:t>
      </w:r>
      <w:r>
        <w:rPr>
          <w:rFonts w:ascii="Palatino Linotype" w:eastAsia="Palatino Linotype" w:hAnsi="Palatino Linotype" w:cs="Palatino Linotype"/>
          <w:color w:val="000000"/>
          <w:sz w:val="24"/>
          <w:szCs w:val="24"/>
        </w:rPr>
        <w:t xml:space="preserve">se presentó 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vía SAIMEX, la solicitud de información pública registrada con el número</w:t>
      </w:r>
      <w:r>
        <w:rPr>
          <w:rFonts w:ascii="Palatino Linotype" w:eastAsia="Palatino Linotype" w:hAnsi="Palatino Linotype" w:cs="Palatino Linotype"/>
          <w:b/>
          <w:bCs/>
          <w:color w:val="000000"/>
          <w:sz w:val="24"/>
          <w:szCs w:val="24"/>
        </w:rPr>
        <w:t xml:space="preserve">  00243/CHIMALHU/IP/2025; </w:t>
      </w:r>
      <w:r>
        <w:rPr>
          <w:rFonts w:ascii="Palatino Linotype" w:eastAsia="Palatino Linotype" w:hAnsi="Palatino Linotype" w:cs="Palatino Linotype"/>
          <w:sz w:val="24"/>
          <w:szCs w:val="24"/>
        </w:rPr>
        <w:t xml:space="preserve">en la que </w:t>
      </w:r>
      <w:r>
        <w:rPr>
          <w:rFonts w:ascii="Palatino Linotype" w:eastAsia="Palatino Linotype" w:hAnsi="Palatino Linotype" w:cs="Palatino Linotype"/>
          <w:color w:val="000000"/>
          <w:sz w:val="24"/>
          <w:szCs w:val="24"/>
        </w:rPr>
        <w:t>se solicitó la siguiente información:</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pBdr>
          <w:top w:val="nil"/>
          <w:left w:val="nil"/>
          <w:bottom w:val="nil"/>
          <w:right w:val="nil"/>
          <w:between w:val="nil"/>
        </w:pBdr>
        <w:spacing w:after="0" w:line="240" w:lineRule="auto"/>
        <w:ind w:left="426"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“Solicitud para el mapeo con sus respectivos proyectos de desarrollo y características referente a la colonia Huatongo del Estado de México con dirección de referencia aproximada en ; Av. del Pozo &amp; C. San Lorenzo San Vicente, Col. Huatongo, Chimalhucan, C.P. 56338, Méx.| 19°24'17.5"N 98°54'52.5" Oeste ) elementos. A considerar - La Red de drenaje público - Extensión servicios - Detalle de posible Planeación Municipal, estatal y federal.” (Sic)</w:t>
      </w:r>
    </w:p>
    <w:p w:rsidR="006E1BC6" w:rsidRDefault="006E1BC6">
      <w:pPr>
        <w:pBdr>
          <w:top w:val="nil"/>
          <w:left w:val="nil"/>
          <w:bottom w:val="nil"/>
          <w:right w:val="nil"/>
          <w:between w:val="nil"/>
        </w:pBdr>
        <w:spacing w:after="0" w:line="240" w:lineRule="auto"/>
        <w:ind w:left="426" w:right="-989"/>
        <w:jc w:val="both"/>
        <w:rPr>
          <w:rFonts w:ascii="Palatino Linotype" w:eastAsia="Palatino Linotype" w:hAnsi="Palatino Linotype" w:cs="Palatino Linotype"/>
          <w:i/>
          <w:iCs/>
          <w:sz w:val="24"/>
          <w:szCs w:val="24"/>
        </w:rPr>
      </w:pPr>
    </w:p>
    <w:p w:rsidR="006E1BC6" w:rsidRDefault="006E1BC6">
      <w:pPr>
        <w:pBdr>
          <w:top w:val="nil"/>
          <w:left w:val="nil"/>
          <w:bottom w:val="nil"/>
          <w:right w:val="nil"/>
          <w:between w:val="nil"/>
        </w:pBdr>
        <w:spacing w:after="0" w:line="240" w:lineRule="auto"/>
        <w:ind w:left="426" w:right="-989"/>
        <w:jc w:val="both"/>
        <w:rPr>
          <w:rFonts w:ascii="Palatino Linotype" w:eastAsia="Palatino Linotype" w:hAnsi="Palatino Linotype" w:cs="Palatino Linotype"/>
          <w:i/>
          <w:iCs/>
          <w:sz w:val="24"/>
          <w:szCs w:val="24"/>
        </w:rPr>
      </w:pPr>
    </w:p>
    <w:p w:rsidR="006E1BC6" w:rsidRDefault="00206D42">
      <w:pPr>
        <w:numPr>
          <w:ilvl w:val="0"/>
          <w:numId w:val="3"/>
        </w:numPr>
        <w:ind w:right="-989"/>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Al archivo adjunto el archivo </w:t>
      </w:r>
      <w:r>
        <w:rPr>
          <w:rFonts w:ascii="Palatino Linotype" w:eastAsia="Palatino Linotype" w:hAnsi="Palatino Linotype" w:cs="Palatino Linotype"/>
          <w:sz w:val="24"/>
          <w:szCs w:val="24"/>
        </w:rPr>
        <w:t xml:space="preserve">A la solicitud, anexo el archivo </w:t>
      </w:r>
      <w:hyperlink r:id="rId8">
        <w:r>
          <w:rPr>
            <w:rFonts w:ascii="Palatino Linotype" w:eastAsia="Palatino Linotype" w:hAnsi="Palatino Linotype" w:cs="Palatino Linotype"/>
            <w:b/>
            <w:bCs/>
            <w:color w:val="000000"/>
            <w:sz w:val="24"/>
            <w:szCs w:val="24"/>
          </w:rPr>
          <w:t>s.fuga.col.huatongo.pdf</w:t>
        </w:r>
      </w:hyperlink>
      <w:r>
        <w:rPr>
          <w:rFonts w:ascii="Palatino Linotype" w:eastAsia="Palatino Linotype" w:hAnsi="Palatino Linotype" w:cs="Palatino Linotype"/>
          <w:sz w:val="24"/>
          <w:szCs w:val="24"/>
        </w:rPr>
        <w:t>, del que se desprenden dos placas fotográficas ilegibles.</w:t>
      </w:r>
    </w:p>
    <w:p w:rsidR="006E1BC6" w:rsidRDefault="00206D42">
      <w:pPr>
        <w:numPr>
          <w:ilvl w:val="0"/>
          <w:numId w:val="2"/>
        </w:numPr>
        <w:pBdr>
          <w:top w:val="nil"/>
          <w:left w:val="nil"/>
          <w:bottom w:val="nil"/>
          <w:right w:val="nil"/>
          <w:between w:val="nil"/>
        </w:pBdr>
        <w:spacing w:after="0" w:line="360" w:lineRule="auto"/>
        <w:ind w:left="851" w:right="-98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Se eligió como modalidad de entrega de la información: A través del </w:t>
      </w:r>
      <w:r>
        <w:rPr>
          <w:rFonts w:ascii="Palatino Linotype" w:eastAsia="Palatino Linotype" w:hAnsi="Palatino Linotype" w:cs="Palatino Linotype"/>
          <w:b/>
          <w:bCs/>
          <w:color w:val="000000"/>
          <w:sz w:val="24"/>
          <w:szCs w:val="24"/>
        </w:rPr>
        <w:t>SAIMEX.</w:t>
      </w:r>
    </w:p>
    <w:p w:rsidR="006E1BC6" w:rsidRDefault="006E1BC6">
      <w:pPr>
        <w:pBdr>
          <w:top w:val="nil"/>
          <w:left w:val="nil"/>
          <w:bottom w:val="nil"/>
          <w:right w:val="nil"/>
          <w:between w:val="nil"/>
        </w:pBdr>
        <w:tabs>
          <w:tab w:val="left" w:pos="0"/>
        </w:tabs>
        <w:spacing w:after="0" w:line="360" w:lineRule="auto"/>
        <w:ind w:right="-989"/>
        <w:jc w:val="both"/>
        <w:rPr>
          <w:rFonts w:ascii="Palatino Linotype" w:eastAsia="Palatino Linotype" w:hAnsi="Palatino Linotype" w:cs="Palatino Linotype"/>
          <w:i/>
          <w:iCs/>
          <w:color w:val="000000"/>
          <w:sz w:val="24"/>
          <w:szCs w:val="24"/>
        </w:rPr>
      </w:pPr>
    </w:p>
    <w:p w:rsidR="006E1BC6" w:rsidRDefault="00206D42">
      <w:pPr>
        <w:numPr>
          <w:ilvl w:val="0"/>
          <w:numId w:val="1"/>
        </w:numPr>
        <w:pBdr>
          <w:top w:val="nil"/>
          <w:left w:val="nil"/>
          <w:bottom w:val="nil"/>
          <w:right w:val="nil"/>
          <w:between w:val="nil"/>
        </w:pBdr>
        <w:tabs>
          <w:tab w:val="left" w:pos="0"/>
        </w:tabs>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dos de diciembre de dos mil veinticinco,</w:t>
      </w:r>
      <w:r>
        <w:rPr>
          <w:rFonts w:ascii="Palatino Linotype" w:eastAsia="Palatino Linotype" w:hAnsi="Palatino Linotype" w:cs="Palatino Linotype"/>
          <w:color w:val="000000"/>
          <w:sz w:val="24"/>
          <w:szCs w:val="24"/>
        </w:rPr>
        <w:t xml:space="preserv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dio respuesta a través de los archivos siguientes:</w:t>
      </w:r>
    </w:p>
    <w:p w:rsidR="006E1BC6" w:rsidRDefault="00206D42">
      <w:pPr>
        <w:numPr>
          <w:ilvl w:val="0"/>
          <w:numId w:val="4"/>
        </w:numPr>
        <w:pBdr>
          <w:top w:val="nil"/>
          <w:left w:val="nil"/>
          <w:bottom w:val="nil"/>
          <w:right w:val="nil"/>
          <w:between w:val="nil"/>
        </w:pBdr>
        <w:spacing w:after="0" w:line="240" w:lineRule="auto"/>
        <w:ind w:right="-98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SOLICITUD 243.pdf: </w:t>
      </w:r>
      <w:r>
        <w:rPr>
          <w:rFonts w:ascii="Palatino Linotype" w:eastAsia="Palatino Linotype" w:hAnsi="Palatino Linotype" w:cs="Palatino Linotype"/>
          <w:color w:val="000000"/>
          <w:sz w:val="24"/>
          <w:szCs w:val="24"/>
        </w:rPr>
        <w:t xml:space="preserve">Oficio firmado por el Director de Desarrollo Urbano, por el que </w:t>
      </w:r>
      <w:r>
        <w:rPr>
          <w:rFonts w:ascii="Palatino Linotype" w:eastAsia="Palatino Linotype" w:hAnsi="Palatino Linotype" w:cs="Palatino Linotype"/>
          <w:sz w:val="24"/>
          <w:szCs w:val="24"/>
        </w:rPr>
        <w:t>informó</w:t>
      </w:r>
      <w:r>
        <w:rPr>
          <w:rFonts w:ascii="Palatino Linotype" w:eastAsia="Palatino Linotype" w:hAnsi="Palatino Linotype" w:cs="Palatino Linotype"/>
          <w:color w:val="000000"/>
          <w:sz w:val="24"/>
          <w:szCs w:val="24"/>
        </w:rPr>
        <w:t xml:space="preserve"> lo siguiente:</w:t>
      </w:r>
    </w:p>
    <w:p w:rsidR="006E1BC6" w:rsidRDefault="006E1BC6">
      <w:pPr>
        <w:pBdr>
          <w:top w:val="nil"/>
          <w:left w:val="nil"/>
          <w:bottom w:val="nil"/>
          <w:right w:val="nil"/>
          <w:between w:val="nil"/>
        </w:pBdr>
        <w:spacing w:after="0" w:line="240" w:lineRule="auto"/>
        <w:ind w:left="720" w:right="-989"/>
        <w:jc w:val="both"/>
        <w:rPr>
          <w:rFonts w:ascii="Palatino Linotype" w:eastAsia="Palatino Linotype" w:hAnsi="Palatino Linotype" w:cs="Palatino Linotype"/>
          <w:color w:val="000000"/>
          <w:sz w:val="24"/>
          <w:szCs w:val="24"/>
        </w:rPr>
      </w:pPr>
    </w:p>
    <w:p w:rsidR="006E1BC6" w:rsidRDefault="00206D42">
      <w:pPr>
        <w:spacing w:line="240" w:lineRule="auto"/>
        <w:ind w:left="567" w:right="-98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Al respecto le informo que en relación a los proyectos de desarrollo y sus características en relación a la Colonia Huartongo de este municipio, se encuentra la Adecuación de la Infraestructura del Colector Huatongo, en Avenida Huatongo, entre Avenidad Pirules y Calle Moctezuma, Corte Huatongo. Chimalhuacán, Estado de México, proyecto que fue remitida la Dirección General de Infraestructura y Equipamiento dependiente de la Secretaria de Desarrollo Agrario, Territorial y Urbano ( Desarrollo Territorial)) misma que estará sujeta para su desarrollo, a la aprobación de los recursos económicos a través del Programa de Mejoramiento Urbano en su vertiente de infraestructura y equipamiento.</w:t>
      </w:r>
    </w:p>
    <w:p w:rsidR="006E1BC6" w:rsidRDefault="006E1BC6">
      <w:pPr>
        <w:spacing w:line="240" w:lineRule="auto"/>
        <w:ind w:left="567" w:right="-989"/>
        <w:jc w:val="both"/>
        <w:rPr>
          <w:rFonts w:ascii="Palatino Linotype" w:eastAsia="Palatino Linotype" w:hAnsi="Palatino Linotype" w:cs="Palatino Linotype"/>
          <w:i/>
          <w:iCs/>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Inconforme con lo anterior, el </w:t>
      </w:r>
      <w:r>
        <w:rPr>
          <w:rFonts w:ascii="Palatino Linotype" w:eastAsia="Palatino Linotype" w:hAnsi="Palatino Linotype" w:cs="Palatino Linotype"/>
          <w:b/>
          <w:bCs/>
          <w:color w:val="000000"/>
          <w:sz w:val="24"/>
          <w:szCs w:val="24"/>
        </w:rPr>
        <w:t>cinco de diciembre de dos mil veinticinco</w:t>
      </w:r>
      <w:r>
        <w:rPr>
          <w:rFonts w:ascii="Palatino Linotype" w:eastAsia="Palatino Linotype" w:hAnsi="Palatino Linotype" w:cs="Palatino Linotype"/>
          <w:color w:val="000000"/>
          <w:sz w:val="24"/>
          <w:szCs w:val="24"/>
        </w:rPr>
        <w:t xml:space="preserve">, el hoy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interpuso recurso de revisión en contra de la respuesta emitida por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manifestando las siguientes razones o motivos de inconformidad:</w:t>
      </w:r>
    </w:p>
    <w:p w:rsidR="006E1BC6" w:rsidRDefault="006E1BC6">
      <w:pPr>
        <w:pBdr>
          <w:top w:val="nil"/>
          <w:left w:val="nil"/>
          <w:bottom w:val="nil"/>
          <w:right w:val="nil"/>
          <w:between w:val="nil"/>
        </w:pBdr>
        <w:spacing w:after="0" w:line="276"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5"/>
        </w:numPr>
        <w:pBdr>
          <w:top w:val="nil"/>
          <w:left w:val="nil"/>
          <w:bottom w:val="nil"/>
          <w:right w:val="nil"/>
          <w:between w:val="nil"/>
        </w:pBdr>
        <w:spacing w:line="240" w:lineRule="auto"/>
        <w:ind w:left="993" w:right="-989" w:hanging="142"/>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ACTO IMPUGNADO</w:t>
      </w:r>
      <w:r>
        <w:rPr>
          <w:rFonts w:ascii="Palatino Linotype" w:eastAsia="Palatino Linotype" w:hAnsi="Palatino Linotype" w:cs="Palatino Linotype"/>
          <w:b/>
          <w:bCs/>
          <w:color w:val="000000"/>
          <w:sz w:val="24"/>
          <w:szCs w:val="24"/>
        </w:rPr>
        <w:tab/>
      </w:r>
    </w:p>
    <w:p w:rsidR="006E1BC6" w:rsidRDefault="00206D42">
      <w:pPr>
        <w:spacing w:line="240" w:lineRule="auto"/>
        <w:ind w:left="993" w:right="-989" w:hanging="14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Falta de implementación y coordinación y posibles actos en materia de corrupción</w:t>
      </w:r>
    </w:p>
    <w:p w:rsidR="006E1BC6" w:rsidRDefault="006E1BC6">
      <w:pPr>
        <w:spacing w:line="240" w:lineRule="auto"/>
        <w:ind w:left="993" w:right="-989" w:hanging="142"/>
        <w:jc w:val="both"/>
        <w:rPr>
          <w:rFonts w:ascii="Palatino Linotype" w:eastAsia="Palatino Linotype" w:hAnsi="Palatino Linotype" w:cs="Palatino Linotype"/>
          <w:sz w:val="24"/>
          <w:szCs w:val="24"/>
        </w:rPr>
      </w:pPr>
    </w:p>
    <w:p w:rsidR="006E1BC6" w:rsidRDefault="00206D42">
      <w:pPr>
        <w:numPr>
          <w:ilvl w:val="0"/>
          <w:numId w:val="5"/>
        </w:numPr>
        <w:pBdr>
          <w:top w:val="nil"/>
          <w:left w:val="nil"/>
          <w:bottom w:val="nil"/>
          <w:right w:val="nil"/>
          <w:between w:val="nil"/>
        </w:pBdr>
        <w:spacing w:line="240" w:lineRule="auto"/>
        <w:ind w:left="993" w:right="-989" w:hanging="142"/>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RAZONES O MOTIVOS DE LA INCONFORMIDAD</w:t>
      </w:r>
      <w:r>
        <w:rPr>
          <w:rFonts w:ascii="Palatino Linotype" w:eastAsia="Palatino Linotype" w:hAnsi="Palatino Linotype" w:cs="Palatino Linotype"/>
          <w:b/>
          <w:bCs/>
          <w:color w:val="000000"/>
          <w:sz w:val="24"/>
          <w:szCs w:val="24"/>
        </w:rPr>
        <w:tab/>
      </w:r>
    </w:p>
    <w:p w:rsidR="006E1BC6" w:rsidRDefault="00206D42">
      <w:pPr>
        <w:spacing w:line="240" w:lineRule="auto"/>
        <w:ind w:left="993" w:right="-989" w:hanging="14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El contexto no va de acorde a las motivaciones políticas del presupuesto asignado al municipio</w:t>
      </w:r>
    </w:p>
    <w:p w:rsidR="006E1BC6" w:rsidRDefault="006E1BC6">
      <w:pPr>
        <w:spacing w:line="360" w:lineRule="auto"/>
        <w:ind w:right="-989"/>
        <w:jc w:val="both"/>
        <w:rPr>
          <w:rFonts w:ascii="Palatino Linotype" w:eastAsia="Palatino Linotype" w:hAnsi="Palatino Linotype" w:cs="Palatino Linotype"/>
          <w:i/>
          <w:iCs/>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 xml:space="preserve">La Comisionada Ponente con fundamento en lo dispuesto por el artículo 185 fracción II de la ley de la materia, a través del acuerdo de admisión de </w:t>
      </w:r>
      <w:r>
        <w:rPr>
          <w:rFonts w:ascii="Palatino Linotype" w:eastAsia="Palatino Linotype" w:hAnsi="Palatino Linotype" w:cs="Palatino Linotype"/>
          <w:b/>
          <w:bCs/>
          <w:color w:val="000000"/>
          <w:sz w:val="24"/>
          <w:szCs w:val="24"/>
        </w:rPr>
        <w:t>dieciséis de diciembre de dos mil veinticinco</w:t>
      </w:r>
      <w:r>
        <w:rPr>
          <w:rFonts w:ascii="Palatino Linotype" w:eastAsia="Palatino Linotype" w:hAnsi="Palatino Linotype" w:cs="Palatino Linotype"/>
          <w:color w:val="000000"/>
          <w:sz w:val="24"/>
          <w:szCs w:val="24"/>
        </w:rPr>
        <w:t xml:space="preserve">, puso a disposición de las partes el expediente electrónico vía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a efecto de que en un plazo máximo de siete días </w:t>
      </w:r>
      <w:r>
        <w:rPr>
          <w:rFonts w:ascii="Palatino Linotype" w:eastAsia="Palatino Linotype" w:hAnsi="Palatino Linotype" w:cs="Palatino Linotype"/>
          <w:sz w:val="24"/>
          <w:szCs w:val="24"/>
        </w:rPr>
        <w:t>manifestara</w:t>
      </w:r>
      <w:r>
        <w:rPr>
          <w:rFonts w:ascii="Palatino Linotype" w:eastAsia="Palatino Linotype" w:hAnsi="Palatino Linotype" w:cs="Palatino Linotype"/>
          <w:color w:val="000000"/>
          <w:sz w:val="24"/>
          <w:szCs w:val="24"/>
        </w:rPr>
        <w:t xml:space="preserve"> lo que a su derecho conviniera, </w:t>
      </w:r>
      <w:r>
        <w:rPr>
          <w:rFonts w:ascii="Palatino Linotype" w:eastAsia="Palatino Linotype" w:hAnsi="Palatino Linotype" w:cs="Palatino Linotype"/>
          <w:sz w:val="24"/>
          <w:szCs w:val="24"/>
        </w:rPr>
        <w:t>ofreciera</w:t>
      </w:r>
      <w:r>
        <w:rPr>
          <w:rFonts w:ascii="Palatino Linotype" w:eastAsia="Palatino Linotype" w:hAnsi="Palatino Linotype" w:cs="Palatino Linotype"/>
          <w:color w:val="000000"/>
          <w:sz w:val="24"/>
          <w:szCs w:val="24"/>
        </w:rPr>
        <w:t xml:space="preserve"> pruebas y alegatos según corresponda a los casos concretos, y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presentará el Informe Justificado procedente.</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Las </w:t>
      </w:r>
      <w:r>
        <w:rPr>
          <w:rFonts w:ascii="Palatino Linotype" w:eastAsia="Palatino Linotype" w:hAnsi="Palatino Linotype" w:cs="Palatino Linotype"/>
          <w:b/>
          <w:bCs/>
          <w:color w:val="000000"/>
          <w:sz w:val="24"/>
          <w:szCs w:val="24"/>
        </w:rPr>
        <w:t xml:space="preserve">PARTES </w:t>
      </w:r>
      <w:r>
        <w:rPr>
          <w:rFonts w:ascii="Palatino Linotype" w:eastAsia="Palatino Linotype" w:hAnsi="Palatino Linotype" w:cs="Palatino Linotype"/>
          <w:color w:val="000000"/>
          <w:sz w:val="24"/>
          <w:szCs w:val="24"/>
        </w:rPr>
        <w:t>fueron omisas en realizar manifestación alguna que a su derecho conviniera y asistiera.</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bookmarkStart w:id="1" w:name="_heading=h.3znysh7" w:colFirst="0" w:colLast="0"/>
      <w:bookmarkEnd w:id="1"/>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dos de junio de dos mil veintiséis,</w:t>
      </w:r>
      <w:r>
        <w:rPr>
          <w:rFonts w:ascii="Palatino Linotype" w:eastAsia="Palatino Linotype" w:hAnsi="Palatino Linotype" w:cs="Palatino Linotype"/>
          <w:color w:val="000000"/>
          <w:sz w:val="24"/>
          <w:szCs w:val="24"/>
        </w:rPr>
        <w:t xml:space="preserve"> se notificó el acuerdo por el que se amplió el plazo para resolver el recurso de revisión que nos ocupa. </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 xml:space="preserve">Finalmente, mediante acuerdo de </w:t>
      </w:r>
      <w:r>
        <w:rPr>
          <w:rFonts w:ascii="Palatino Linotype" w:eastAsia="Palatino Linotype" w:hAnsi="Palatino Linotype" w:cs="Palatino Linotype"/>
          <w:b/>
          <w:bCs/>
          <w:color w:val="000000"/>
          <w:sz w:val="24"/>
          <w:szCs w:val="24"/>
        </w:rPr>
        <w:t xml:space="preserve">dos de junio de dos mil veintiséis, </w:t>
      </w:r>
      <w:r>
        <w:rPr>
          <w:rFonts w:ascii="Palatino Linotype" w:eastAsia="Palatino Linotype" w:hAnsi="Palatino Linotype" w:cs="Palatino Linotype"/>
          <w:color w:val="000000"/>
          <w:sz w:val="24"/>
          <w:szCs w:val="24"/>
        </w:rPr>
        <w:t>se  decretó el cierre de instrucción, por lo que no habiendo más que hacer constar, y</w:t>
      </w:r>
    </w:p>
    <w:p w:rsidR="006E1BC6" w:rsidRDefault="006E1BC6">
      <w:pPr>
        <w:pBdr>
          <w:top w:val="nil"/>
          <w:left w:val="nil"/>
          <w:bottom w:val="nil"/>
          <w:right w:val="nil"/>
          <w:between w:val="nil"/>
        </w:pBdr>
        <w:spacing w:after="0" w:line="360" w:lineRule="auto"/>
        <w:ind w:right="-989"/>
        <w:rPr>
          <w:rFonts w:ascii="Palatino Linotype" w:eastAsia="Palatino Linotype" w:hAnsi="Palatino Linotype" w:cs="Palatino Linotype"/>
          <w:b/>
          <w:bCs/>
          <w:color w:val="000000"/>
          <w:sz w:val="24"/>
          <w:szCs w:val="24"/>
        </w:rPr>
      </w:pPr>
    </w:p>
    <w:p w:rsidR="006E1BC6" w:rsidRDefault="00206D42">
      <w:pPr>
        <w:pBdr>
          <w:top w:val="nil"/>
          <w:left w:val="nil"/>
          <w:bottom w:val="nil"/>
          <w:right w:val="nil"/>
          <w:between w:val="nil"/>
        </w:pBdr>
        <w:spacing w:after="0" w:line="360" w:lineRule="auto"/>
        <w:ind w:right="-989"/>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 O N S I D E R A N D O</w:t>
      </w:r>
    </w:p>
    <w:p w:rsidR="006E1BC6" w:rsidRDefault="006E1BC6">
      <w:pPr>
        <w:pBdr>
          <w:top w:val="nil"/>
          <w:left w:val="nil"/>
          <w:bottom w:val="nil"/>
          <w:right w:val="nil"/>
          <w:between w:val="nil"/>
        </w:pBdr>
        <w:spacing w:after="0" w:line="360" w:lineRule="auto"/>
        <w:ind w:right="-989"/>
        <w:jc w:val="center"/>
        <w:rPr>
          <w:rFonts w:ascii="Palatino Linotype" w:eastAsia="Palatino Linotype" w:hAnsi="Palatino Linotype" w:cs="Palatino Linotype"/>
          <w:b/>
          <w:bCs/>
          <w:color w:val="000000"/>
          <w:sz w:val="24"/>
          <w:szCs w:val="24"/>
        </w:rPr>
      </w:pPr>
    </w:p>
    <w:p w:rsidR="006E1BC6" w:rsidRDefault="00206D42">
      <w:pPr>
        <w:pStyle w:val="Ttulo2"/>
        <w:spacing w:before="0" w:line="360" w:lineRule="auto"/>
        <w:ind w:right="-989"/>
        <w:rPr>
          <w:rFonts w:ascii="Palatino Linotype" w:eastAsia="Palatino Linotype" w:hAnsi="Palatino Linotype" w:cs="Palatino Linotype"/>
          <w:b/>
          <w:bCs/>
          <w:color w:val="000000"/>
          <w:sz w:val="24"/>
          <w:szCs w:val="24"/>
        </w:rPr>
      </w:pPr>
      <w:bookmarkStart w:id="2" w:name="_heading=h.2et92p0" w:colFirst="0" w:colLast="0"/>
      <w:bookmarkEnd w:id="2"/>
      <w:r>
        <w:rPr>
          <w:rFonts w:ascii="Palatino Linotype" w:eastAsia="Palatino Linotype" w:hAnsi="Palatino Linotype" w:cs="Palatino Linotype"/>
          <w:b/>
          <w:bCs/>
          <w:color w:val="000000"/>
          <w:sz w:val="24"/>
          <w:szCs w:val="24"/>
        </w:rPr>
        <w:t>PRIMERO. De la competencia</w:t>
      </w: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highlight w:val="white"/>
        </w:rPr>
      </w:pPr>
      <w:r>
        <w:rPr>
          <w:rFonts w:ascii="Palatino Linotype" w:eastAsia="Palatino Linotype" w:hAnsi="Palatino Linotype" w:cs="Palatino Linotype"/>
          <w:color w:val="000000"/>
          <w:sz w:val="24"/>
          <w:szCs w:val="24"/>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w:t>
      </w:r>
      <w:r>
        <w:rPr>
          <w:rFonts w:ascii="Palatino Linotype" w:eastAsia="Palatino Linotype" w:hAnsi="Palatino Linotype" w:cs="Palatino Linotype"/>
          <w:color w:val="000000"/>
          <w:sz w:val="24"/>
          <w:szCs w:val="24"/>
        </w:rPr>
        <w:lastRenderedPageBreak/>
        <w:t>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w:t>
      </w:r>
      <w:r>
        <w:rPr>
          <w:color w:val="000000"/>
          <w:sz w:val="24"/>
          <w:szCs w:val="24"/>
        </w:rPr>
        <w:t xml:space="preserve"> 7°, </w:t>
      </w:r>
      <w:r>
        <w:rPr>
          <w:rFonts w:ascii="Palatino Linotype" w:eastAsia="Palatino Linotype" w:hAnsi="Palatino Linotype" w:cs="Palatino Linotype"/>
          <w:color w:val="000000"/>
          <w:sz w:val="24"/>
          <w:szCs w:val="24"/>
        </w:rPr>
        <w:t>9°, fracciones I y XXIII y 11 del Reglamento Interior del Instituto de Transparencia, Acceso a la Información</w:t>
      </w:r>
      <w:r>
        <w:rPr>
          <w:rFonts w:ascii="Palatino Linotype" w:eastAsia="Palatino Linotype" w:hAnsi="Palatino Linotype" w:cs="Palatino Linotype"/>
          <w:sz w:val="24"/>
          <w:szCs w:val="24"/>
          <w:highlight w:val="white"/>
        </w:rPr>
        <w:t xml:space="preserve"> Pública y Protección de Datos Personales del Estado de México y Municipios.</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pStyle w:val="Ttulo2"/>
        <w:spacing w:before="0" w:line="360" w:lineRule="auto"/>
        <w:ind w:right="-989"/>
        <w:rPr>
          <w:rFonts w:ascii="Palatino Linotype" w:eastAsia="Palatino Linotype" w:hAnsi="Palatino Linotype" w:cs="Palatino Linotype"/>
          <w:b/>
          <w:bCs/>
          <w:color w:val="000000"/>
          <w:sz w:val="24"/>
          <w:szCs w:val="24"/>
        </w:rPr>
      </w:pPr>
      <w:bookmarkStart w:id="3" w:name="_heading=h.tyjcwt" w:colFirst="0" w:colLast="0"/>
      <w:bookmarkEnd w:id="3"/>
      <w:r>
        <w:rPr>
          <w:rFonts w:ascii="Palatino Linotype" w:eastAsia="Palatino Linotype" w:hAnsi="Palatino Linotype" w:cs="Palatino Linotype"/>
          <w:b/>
          <w:bCs/>
          <w:color w:val="000000"/>
          <w:sz w:val="24"/>
          <w:szCs w:val="24"/>
        </w:rPr>
        <w:t>SEGUNDO. De la oportunidad y procedencia.</w:t>
      </w: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medio de impugnación fue presentado a través del </w:t>
      </w:r>
      <w:r>
        <w:rPr>
          <w:rFonts w:ascii="Palatino Linotype" w:eastAsia="Palatino Linotype" w:hAnsi="Palatino Linotype" w:cs="Palatino Linotype"/>
          <w:b/>
          <w:bCs/>
          <w:color w:val="000000"/>
          <w:sz w:val="24"/>
          <w:szCs w:val="24"/>
        </w:rPr>
        <w:t>SAIMEX,</w:t>
      </w:r>
      <w:r>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entregó su respuesta el </w:t>
      </w:r>
      <w:r>
        <w:rPr>
          <w:rFonts w:ascii="Palatino Linotype" w:eastAsia="Palatino Linotype" w:hAnsi="Palatino Linotype" w:cs="Palatino Linotype"/>
          <w:b/>
          <w:bCs/>
          <w:color w:val="000000"/>
          <w:sz w:val="24"/>
          <w:szCs w:val="24"/>
        </w:rPr>
        <w:t>dos de diciembre de dos mil veinticinco</w:t>
      </w:r>
      <w:r>
        <w:rPr>
          <w:rFonts w:ascii="Palatino Linotype" w:eastAsia="Palatino Linotype" w:hAnsi="Palatino Linotype" w:cs="Palatino Linotype"/>
          <w:color w:val="000000"/>
          <w:sz w:val="24"/>
          <w:szCs w:val="24"/>
        </w:rPr>
        <w:t xml:space="preserve">, de tal forma que el plazo para interponer el recurso de revisión transcurrió del </w:t>
      </w:r>
      <w:r>
        <w:rPr>
          <w:rFonts w:ascii="Palatino Linotype" w:eastAsia="Palatino Linotype" w:hAnsi="Palatino Linotype" w:cs="Palatino Linotype"/>
          <w:b/>
          <w:bCs/>
          <w:color w:val="000000"/>
          <w:sz w:val="24"/>
          <w:szCs w:val="24"/>
        </w:rPr>
        <w:t>tres de diciembre al catorce de enero de dos mil veinticinco</w:t>
      </w:r>
      <w:r>
        <w:rPr>
          <w:rFonts w:ascii="Palatino Linotype" w:eastAsia="Palatino Linotype" w:hAnsi="Palatino Linotype" w:cs="Palatino Linotype"/>
          <w:color w:val="000000"/>
          <w:sz w:val="24"/>
          <w:szCs w:val="24"/>
        </w:rPr>
        <w:t xml:space="preserve">; en consecuencia, el ahora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presentó su inconformidad el </w:t>
      </w:r>
      <w:r>
        <w:rPr>
          <w:rFonts w:ascii="Palatino Linotype" w:eastAsia="Palatino Linotype" w:hAnsi="Palatino Linotype" w:cs="Palatino Linotype"/>
          <w:b/>
          <w:bCs/>
          <w:color w:val="000000"/>
          <w:sz w:val="24"/>
          <w:szCs w:val="24"/>
        </w:rPr>
        <w:t>cinco de diciembre de dos mil veinticinco</w:t>
      </w:r>
      <w:r>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E1BC6" w:rsidRDefault="00206D42">
      <w:pPr>
        <w:keepNext/>
        <w:keepLines/>
        <w:spacing w:before="240" w:line="360" w:lineRule="auto"/>
        <w:ind w:right="-989"/>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lastRenderedPageBreak/>
        <w:t>TERCERO. De las causales del sobreseimiento.</w:t>
      </w: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sz w:val="24"/>
          <w:szCs w:val="24"/>
          <w:u w:val="single"/>
        </w:rPr>
        <w:t>sobreseimiento</w:t>
      </w:r>
      <w:r>
        <w:rPr>
          <w:rFonts w:ascii="Palatino Linotype" w:eastAsia="Palatino Linotype" w:hAnsi="Palatino Linotype" w:cs="Palatino Linotype"/>
          <w:color w:val="000000"/>
          <w:sz w:val="24"/>
          <w:szCs w:val="24"/>
        </w:rPr>
        <w:t xml:space="preserve">; y, en su caso, ordenar la entrega de la información respecto a la falta de respuesta por parte del </w:t>
      </w:r>
      <w:r>
        <w:rPr>
          <w:rFonts w:ascii="Palatino Linotype" w:eastAsia="Palatino Linotype" w:hAnsi="Palatino Linotype" w:cs="Palatino Linotype"/>
          <w:b/>
          <w:bCs/>
          <w:color w:val="000000"/>
          <w:sz w:val="24"/>
          <w:szCs w:val="24"/>
        </w:rPr>
        <w:t>SUJETO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OBLIGADO</w:t>
      </w:r>
      <w:r>
        <w:rPr>
          <w:rFonts w:ascii="Palatino Linotype" w:eastAsia="Palatino Linotype" w:hAnsi="Palatino Linotype" w:cs="Palatino Linotype"/>
          <w:color w:val="000000"/>
          <w:sz w:val="24"/>
          <w:szCs w:val="24"/>
        </w:rPr>
        <w:t>.</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sz w:val="24"/>
          <w:szCs w:val="24"/>
        </w:rPr>
        <w:t>Ahora</w:t>
      </w:r>
      <w:r>
        <w:rPr>
          <w:rFonts w:ascii="Palatino Linotype" w:eastAsia="Palatino Linotype" w:hAnsi="Palatino Linotype" w:cs="Palatino Linotype"/>
          <w:color w:val="000000"/>
          <w:sz w:val="24"/>
          <w:szCs w:val="24"/>
        </w:rPr>
        <w:t xml:space="preserve"> bien, en el presente caso el recurrente solicitó lo siguiente:</w:t>
      </w:r>
    </w:p>
    <w:p w:rsidR="006E1BC6" w:rsidRDefault="00206D42">
      <w:pPr>
        <w:spacing w:before="240" w:after="240" w:line="240" w:lineRule="auto"/>
        <w:ind w:left="567" w:right="-989"/>
        <w:jc w:val="both"/>
        <w:rPr>
          <w:rFonts w:ascii="Palatino Linotype" w:eastAsia="Palatino Linotype" w:hAnsi="Palatino Linotype" w:cs="Palatino Linotype"/>
          <w:sz w:val="24"/>
          <w:szCs w:val="24"/>
        </w:rPr>
      </w:pPr>
      <w:r>
        <w:rPr>
          <w:rFonts w:ascii="Palatino Linotype" w:eastAsia="Palatino Linotype" w:hAnsi="Palatino Linotype" w:cs="Palatino Linotype"/>
          <w:i/>
          <w:iCs/>
          <w:color w:val="000000"/>
          <w:sz w:val="24"/>
          <w:szCs w:val="24"/>
        </w:rPr>
        <w:t>“Soli</w:t>
      </w:r>
      <w:bookmarkStart w:id="4" w:name="_GoBack"/>
      <w:bookmarkEnd w:id="4"/>
      <w:r>
        <w:rPr>
          <w:rFonts w:ascii="Palatino Linotype" w:eastAsia="Palatino Linotype" w:hAnsi="Palatino Linotype" w:cs="Palatino Linotype"/>
          <w:i/>
          <w:iCs/>
          <w:color w:val="000000"/>
          <w:sz w:val="24"/>
          <w:szCs w:val="24"/>
        </w:rPr>
        <w:t>citud para el mapeo con sus respectivos proyectos de desarrollo y características referente a la colonia Huatongo del Estado de México con dirección de referencia aproximada en ; Av. del Pozo &amp; C. San Lorenzo San Vicente, Col. Huatongo, Chimalhucan, C.P. 56338, Méx.| 19°24'17.5"N 98°54'52.5" Oeste ) elementos. A considerar - La Red de drenaje público - Extensión servicios - Detalle de posible Planeación Municipal, estatal y federal</w:t>
      </w:r>
      <w:r>
        <w:rPr>
          <w:rFonts w:ascii="Palatino Linotype" w:eastAsia="Palatino Linotype" w:hAnsi="Palatino Linotype" w:cs="Palatino Linotype"/>
          <w:sz w:val="24"/>
          <w:szCs w:val="24"/>
        </w:rPr>
        <w:t xml:space="preserve">.” </w:t>
      </w:r>
    </w:p>
    <w:p w:rsidR="006E1BC6" w:rsidRDefault="006E1BC6">
      <w:pPr>
        <w:spacing w:before="240" w:after="240" w:line="240" w:lineRule="auto"/>
        <w:ind w:left="567" w:right="-989"/>
        <w:jc w:val="both"/>
        <w:rPr>
          <w:rFonts w:ascii="Palatino Linotype" w:eastAsia="Palatino Linotype" w:hAnsi="Palatino Linotype" w:cs="Palatino Linotype"/>
          <w:i/>
          <w:iCs/>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 lo anterior,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dio respuesta como ya ha quedado referido en el numeral 2 del presente recurso; no obstante, se advierte que los motivos o razones de inconformidad no guardan relación con la solicitud de acceso a la información, ni con la respuesta emitida por el Sujeto Obligado, pues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se inconformo por “</w:t>
      </w:r>
      <w:r>
        <w:rPr>
          <w:rFonts w:ascii="Palatino Linotype" w:eastAsia="Palatino Linotype" w:hAnsi="Palatino Linotype" w:cs="Palatino Linotype"/>
          <w:i/>
          <w:iCs/>
          <w:color w:val="000000"/>
          <w:sz w:val="24"/>
          <w:szCs w:val="24"/>
        </w:rPr>
        <w:t xml:space="preserve">Falta de implementación y coordinación y posibles actos en materia de corrupción.” </w:t>
      </w:r>
      <w:r>
        <w:rPr>
          <w:rFonts w:ascii="Palatino Linotype" w:eastAsia="Palatino Linotype" w:hAnsi="Palatino Linotype" w:cs="Palatino Linotype"/>
          <w:color w:val="000000"/>
          <w:sz w:val="24"/>
          <w:szCs w:val="24"/>
        </w:rPr>
        <w:t>y como razones o motivos de inconformidad:</w:t>
      </w:r>
      <w:r>
        <w:rPr>
          <w:rFonts w:ascii="Palatino Linotype" w:eastAsia="Palatino Linotype" w:hAnsi="Palatino Linotype" w:cs="Palatino Linotype"/>
          <w:i/>
          <w:iCs/>
          <w:color w:val="000000"/>
          <w:sz w:val="24"/>
          <w:szCs w:val="24"/>
        </w:rPr>
        <w:t xml:space="preserve"> “El contexto no va de acorde a las motivaciones políticas del presupuesto asignado al municipio”</w:t>
      </w:r>
    </w:p>
    <w:p w:rsidR="006E1BC6" w:rsidRDefault="00206D42">
      <w:pPr>
        <w:numPr>
          <w:ilvl w:val="0"/>
          <w:numId w:val="1"/>
        </w:numPr>
        <w:spacing w:before="240" w:after="24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 xml:space="preserve">Luego entonces, del estudio de las constancias que integran el recurso de revisión no se advierte que los motivos de inconformidad guarden relación con la solicitud de información o bien con la relación. </w:t>
      </w: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En consecuencia de los anterior, resultan improcedentes los motivos de inconformidad hechos valer por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al no guardar relación con la </w:t>
      </w:r>
      <w:r>
        <w:rPr>
          <w:rFonts w:ascii="Palatino Linotype" w:eastAsia="Palatino Linotype" w:hAnsi="Palatino Linotype" w:cs="Palatino Linotype"/>
          <w:sz w:val="24"/>
          <w:szCs w:val="24"/>
        </w:rPr>
        <w:t>solicitud</w:t>
      </w:r>
      <w:r>
        <w:rPr>
          <w:rFonts w:ascii="Palatino Linotype" w:eastAsia="Palatino Linotype" w:hAnsi="Palatino Linotype" w:cs="Palatino Linotype"/>
          <w:color w:val="000000"/>
          <w:sz w:val="24"/>
          <w:szCs w:val="24"/>
        </w:rPr>
        <w:t xml:space="preserve"> de información y con la respuesta proporcionada por el </w:t>
      </w:r>
      <w:r>
        <w:rPr>
          <w:rFonts w:ascii="Palatino Linotype" w:eastAsia="Palatino Linotype" w:hAnsi="Palatino Linotype" w:cs="Palatino Linotype"/>
          <w:b/>
          <w:bCs/>
          <w:color w:val="000000"/>
          <w:sz w:val="24"/>
          <w:szCs w:val="24"/>
        </w:rPr>
        <w:t xml:space="preserve">SUJETO OBLIGADO. </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 Atento a lo anterior, debemos precisar que, para la interposición del recurso de revisión, los motivos de inconformidad deben tener relación con la solicitud o bien con la respuesta proporcionada para que se actualice alguna causal de procedencia. </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Sirve de sustento la Jurisprudencia No. 29 visible a foja 19 del Apéndice al Semanario Judicial de la Federación 1917-1995, </w:t>
      </w:r>
      <w:r>
        <w:rPr>
          <w:rFonts w:ascii="Palatino Linotype" w:eastAsia="Palatino Linotype" w:hAnsi="Palatino Linotype" w:cs="Palatino Linotype"/>
          <w:sz w:val="24"/>
          <w:szCs w:val="24"/>
        </w:rPr>
        <w:t>Tomo</w:t>
      </w:r>
      <w:r>
        <w:rPr>
          <w:rFonts w:ascii="Palatino Linotype" w:eastAsia="Palatino Linotype" w:hAnsi="Palatino Linotype" w:cs="Palatino Linotype"/>
          <w:color w:val="000000"/>
          <w:sz w:val="24"/>
          <w:szCs w:val="24"/>
        </w:rPr>
        <w:t xml:space="preserve"> VI, Materia Común, Primera Parte, Tesis de la Suprema Corte de Justicia, que contiene:</w:t>
      </w:r>
    </w:p>
    <w:p w:rsidR="006E1BC6" w:rsidRDefault="00206D42">
      <w:pPr>
        <w:shd w:val="clear" w:color="auto" w:fill="FFFFFF"/>
        <w:spacing w:after="240" w:line="360" w:lineRule="auto"/>
        <w:ind w:left="851"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AGRAVIOS EN LA REVISION. DEBEN ESTAR EN RELACION DIRECTA CON LOS FUNDAMENTOS Y CONSIDERACIONES DE LA SENTENCIA</w:t>
      </w:r>
      <w:r>
        <w:rPr>
          <w:rFonts w:ascii="Palatino Linotype" w:eastAsia="Palatino Linotype" w:hAnsi="Palatino Linotype" w:cs="Palatino Linotype"/>
          <w:i/>
          <w:iCs/>
          <w:color w:val="000000"/>
          <w:sz w:val="24"/>
          <w:szCs w:val="24"/>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 xml:space="preserve">Luego entonces, al no guardar relación los motivos de inconformidad hechos valer por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con la solicitud o bien, con la respuesta, no se configura causal de procedencia alguna, trayendo consigo que el recurso de revisión sea desechado por improcedente, de acuerdo a lo estipulado en el artículo 191 fracción III en relación con el 192 fracción IV de la citada  ley que refieren lo siguiente: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Artículo 191. El recurso será desechado por improcedente cuando:</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 Sea extemporáneo por haber transcurrido el plazo establecido en la presente Ley, a partir de la respuesta;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Se esté tramitando ante el Poder Judicial de la Federación algún recurso o medio de defensa interpuesto por el recurrente;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III. No actualice alguno de los supuestos previstos en la presente Ley;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IV. No se haya desahogado la prevención en los términos establecidos en la presente Ley;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 Se impugne la veracidad de la información proporcionada;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 Se trate de una consulta, o trámite en específico; y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VII. El recurrente amplíe su solicitud en el recurso de revisión, únicamente respecto de los nuevos contenidos.</w:t>
      </w:r>
    </w:p>
    <w:p w:rsidR="006E1BC6" w:rsidRDefault="006E1BC6">
      <w:pPr>
        <w:pBdr>
          <w:top w:val="nil"/>
          <w:left w:val="nil"/>
          <w:bottom w:val="nil"/>
          <w:right w:val="nil"/>
          <w:between w:val="nil"/>
        </w:pBdr>
        <w:tabs>
          <w:tab w:val="left" w:pos="567"/>
        </w:tabs>
        <w:spacing w:line="276" w:lineRule="auto"/>
        <w:ind w:right="-989"/>
        <w:jc w:val="both"/>
        <w:rPr>
          <w:rFonts w:ascii="Palatino Linotype" w:eastAsia="Palatino Linotype" w:hAnsi="Palatino Linotype" w:cs="Palatino Linotype"/>
          <w:color w:val="000000"/>
          <w:sz w:val="24"/>
          <w:szCs w:val="24"/>
        </w:rPr>
      </w:pP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Artículo 192. El recurso será sobreseído, en todo o en parte, cuando una vez admitido, se actualicen alguno de los siguientes supuestos:</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 El recurrente se desista expresamente del recurso;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El recurrente fallezca o, tratándose de personas jurídicas colectivas, se disuelva;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III. El sujeto obligado responsable del acto lo modifique o revoque de tal manera que el recurso de revisión quede sin materia;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 xml:space="preserve">IV. Admitido el recurso de revisión, aparezca alguna causal de improcedencia en los términos de la presente Ley; y </w:t>
      </w:r>
    </w:p>
    <w:p w:rsidR="006E1BC6" w:rsidRDefault="00206D42">
      <w:pPr>
        <w:pBdr>
          <w:top w:val="nil"/>
          <w:left w:val="nil"/>
          <w:bottom w:val="nil"/>
          <w:right w:val="nil"/>
          <w:between w:val="nil"/>
        </w:pBdr>
        <w:tabs>
          <w:tab w:val="left" w:pos="567"/>
        </w:tabs>
        <w:spacing w:line="276" w:lineRule="auto"/>
        <w:ind w:left="567" w:right="-98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V. Cuando por cualquier motivo quede sin materia el recurso.</w:t>
      </w:r>
    </w:p>
    <w:p w:rsidR="006E1BC6" w:rsidRDefault="006E1BC6">
      <w:pPr>
        <w:pBdr>
          <w:top w:val="nil"/>
          <w:left w:val="nil"/>
          <w:bottom w:val="nil"/>
          <w:right w:val="nil"/>
          <w:between w:val="nil"/>
        </w:pBdr>
        <w:tabs>
          <w:tab w:val="left" w:pos="567"/>
        </w:tabs>
        <w:spacing w:line="276" w:lineRule="auto"/>
        <w:ind w:right="-989"/>
        <w:jc w:val="both"/>
        <w:rPr>
          <w:rFonts w:ascii="Palatino Linotype" w:eastAsia="Palatino Linotype" w:hAnsi="Palatino Linotype" w:cs="Palatino Linotype"/>
          <w:i/>
          <w:iCs/>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Es así que, el presente recurso de revisión actualiza la causal de sobreseimiento establecida en el artículo 192, fracción IV, en relación con el artículo 191 fracción III, de la Ley de Transparencia y Acceso a la Información Pública del Estado de México y Municipios.</w:t>
      </w:r>
    </w:p>
    <w:p w:rsidR="006E1BC6" w:rsidRDefault="006E1BC6">
      <w:pPr>
        <w:pBdr>
          <w:top w:val="nil"/>
          <w:left w:val="nil"/>
          <w:bottom w:val="nil"/>
          <w:right w:val="nil"/>
          <w:between w:val="nil"/>
        </w:pBdr>
        <w:spacing w:after="0" w:line="360" w:lineRule="auto"/>
        <w:ind w:right="-989"/>
        <w:jc w:val="both"/>
        <w:rPr>
          <w:rFonts w:ascii="Palatino Linotype" w:eastAsia="Palatino Linotype" w:hAnsi="Palatino Linotype" w:cs="Palatino Linotype"/>
          <w:color w:val="000000"/>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No obstante, a efecto de no vulnerar los derechos del particular, este Órgano Garante deja a salvo sus derechos para que, si así lo desea, presente una nueva solicitud de acceso a la información requiriendo información que sea de su interés.</w:t>
      </w:r>
    </w:p>
    <w:p w:rsidR="006E1BC6" w:rsidRDefault="006E1BC6">
      <w:pPr>
        <w:pBdr>
          <w:top w:val="nil"/>
          <w:left w:val="nil"/>
          <w:bottom w:val="nil"/>
          <w:right w:val="nil"/>
          <w:between w:val="nil"/>
        </w:pBdr>
        <w:ind w:left="720" w:right="-989"/>
        <w:rPr>
          <w:rFonts w:ascii="Palatino Linotype" w:eastAsia="Palatino Linotype" w:hAnsi="Palatino Linotype" w:cs="Palatino Linotype"/>
          <w:color w:val="222222"/>
          <w:sz w:val="24"/>
          <w:szCs w:val="24"/>
        </w:rPr>
      </w:pPr>
    </w:p>
    <w:p w:rsidR="006E1BC6" w:rsidRDefault="00206D42">
      <w:pPr>
        <w:numPr>
          <w:ilvl w:val="0"/>
          <w:numId w:val="1"/>
        </w:numPr>
        <w:pBdr>
          <w:top w:val="nil"/>
          <w:left w:val="nil"/>
          <w:bottom w:val="nil"/>
          <w:right w:val="nil"/>
          <w:between w:val="nil"/>
        </w:pBdr>
        <w:spacing w:after="0" w:line="360" w:lineRule="auto"/>
        <w:ind w:left="0" w:right="-989" w:firstLine="0"/>
        <w:jc w:val="both"/>
        <w:rPr>
          <w:rFonts w:ascii="Palatino Linotype" w:eastAsia="Palatino Linotype" w:hAnsi="Palatino Linotype" w:cs="Palatino Linotype"/>
          <w:color w:val="000000"/>
        </w:rPr>
      </w:pPr>
      <w:bookmarkStart w:id="5" w:name="_heading=h.pzc4f049p7vz" w:colFirst="0" w:colLast="0"/>
      <w:bookmarkEnd w:id="5"/>
      <w:r>
        <w:rPr>
          <w:rFonts w:ascii="Palatino Linotype" w:eastAsia="Palatino Linotype" w:hAnsi="Palatino Linotype" w:cs="Palatino Linotype"/>
          <w:color w:val="222222"/>
          <w:sz w:val="24"/>
          <w:szCs w:val="24"/>
        </w:rPr>
        <w:t xml:space="preserve">Por lo anteriormente expuesto y fundado, este </w:t>
      </w:r>
      <w:r>
        <w:rPr>
          <w:rFonts w:ascii="Palatino Linotype" w:eastAsia="Palatino Linotype" w:hAnsi="Palatino Linotype" w:cs="Palatino Linotype"/>
          <w:b/>
          <w:bCs/>
          <w:color w:val="222222"/>
          <w:sz w:val="24"/>
          <w:szCs w:val="24"/>
        </w:rPr>
        <w:t>ÓRGANO GARANTE</w:t>
      </w:r>
      <w:r>
        <w:rPr>
          <w:rFonts w:ascii="Palatino Linotype" w:eastAsia="Palatino Linotype" w:hAnsi="Palatino Linotype" w:cs="Palatino Linotype"/>
          <w:color w:val="222222"/>
          <w:sz w:val="24"/>
          <w:szCs w:val="24"/>
        </w:rPr>
        <w:t xml:space="preserve"> emite los siguientes:</w:t>
      </w:r>
    </w:p>
    <w:p w:rsidR="006E1BC6" w:rsidRDefault="00206D42">
      <w:pPr>
        <w:pStyle w:val="Ttulo1"/>
        <w:spacing w:line="360" w:lineRule="auto"/>
        <w:ind w:right="-989"/>
        <w:jc w:val="center"/>
        <w:rPr>
          <w:rFonts w:ascii="Palatino Linotype" w:eastAsia="Palatino Linotype" w:hAnsi="Palatino Linotype" w:cs="Palatino Linotype"/>
          <w:b/>
          <w:bCs/>
          <w:color w:val="000000"/>
          <w:sz w:val="24"/>
          <w:szCs w:val="24"/>
        </w:rPr>
      </w:pPr>
      <w:bookmarkStart w:id="6" w:name="_heading=h.3dy6vkm" w:colFirst="0" w:colLast="0"/>
      <w:bookmarkEnd w:id="6"/>
      <w:r>
        <w:rPr>
          <w:rFonts w:ascii="Palatino Linotype" w:eastAsia="Palatino Linotype" w:hAnsi="Palatino Linotype" w:cs="Palatino Linotype"/>
          <w:b/>
          <w:bCs/>
          <w:color w:val="000000"/>
          <w:sz w:val="24"/>
          <w:szCs w:val="24"/>
        </w:rPr>
        <w:t>R E S O L U T I V O S</w:t>
      </w:r>
    </w:p>
    <w:p w:rsidR="006E1BC6" w:rsidRDefault="006E1BC6">
      <w:pPr>
        <w:ind w:right="-989"/>
        <w:rPr>
          <w:rFonts w:ascii="Palatino Linotype" w:eastAsia="Palatino Linotype" w:hAnsi="Palatino Linotype" w:cs="Palatino Linotype"/>
          <w:sz w:val="24"/>
          <w:szCs w:val="24"/>
        </w:rPr>
      </w:pPr>
    </w:p>
    <w:p w:rsidR="006E1BC6" w:rsidRDefault="00206D42">
      <w:pPr>
        <w:spacing w:after="240" w:line="360" w:lineRule="auto"/>
        <w:ind w:right="-989"/>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xml:space="preserve"> Se </w:t>
      </w:r>
      <w:r>
        <w:rPr>
          <w:rFonts w:ascii="Palatino Linotype" w:eastAsia="Palatino Linotype" w:hAnsi="Palatino Linotype" w:cs="Palatino Linotype"/>
          <w:b/>
          <w:bCs/>
          <w:sz w:val="24"/>
          <w:szCs w:val="24"/>
        </w:rPr>
        <w:t xml:space="preserve">SOBRESEE el </w:t>
      </w:r>
      <w:r>
        <w:rPr>
          <w:rFonts w:ascii="Palatino Linotype" w:eastAsia="Palatino Linotype" w:hAnsi="Palatino Linotype" w:cs="Palatino Linotype"/>
          <w:sz w:val="24"/>
          <w:szCs w:val="24"/>
        </w:rPr>
        <w:t xml:space="preserve">recurso de revisión número </w:t>
      </w:r>
      <w:r>
        <w:rPr>
          <w:rFonts w:ascii="Palatino Linotype" w:eastAsia="Palatino Linotype" w:hAnsi="Palatino Linotype" w:cs="Palatino Linotype"/>
          <w:b/>
          <w:bCs/>
          <w:sz w:val="24"/>
          <w:szCs w:val="24"/>
        </w:rPr>
        <w:t>13868/INFOEM/IP/RR/2025</w:t>
      </w:r>
      <w:r>
        <w:rPr>
          <w:rFonts w:ascii="Palatino Linotype" w:eastAsia="Palatino Linotype" w:hAnsi="Palatino Linotype" w:cs="Palatino Linotype"/>
          <w:sz w:val="24"/>
          <w:szCs w:val="24"/>
        </w:rPr>
        <w:t xml:space="preserve">, por improcedente conforme al artículo </w:t>
      </w:r>
      <w:r>
        <w:rPr>
          <w:rFonts w:ascii="Palatino Linotype" w:eastAsia="Palatino Linotype" w:hAnsi="Palatino Linotype" w:cs="Palatino Linotype"/>
          <w:b/>
          <w:bCs/>
          <w:sz w:val="24"/>
          <w:szCs w:val="24"/>
        </w:rPr>
        <w:t>192</w:t>
      </w:r>
      <w:r w:rsidR="004B2F86">
        <w:rPr>
          <w:rFonts w:ascii="Palatino Linotype" w:eastAsia="Palatino Linotype" w:hAnsi="Palatino Linotype" w:cs="Palatino Linotype"/>
          <w:b/>
          <w:bCs/>
          <w:sz w:val="24"/>
          <w:szCs w:val="24"/>
        </w:rPr>
        <w:t>,</w:t>
      </w:r>
      <w:r>
        <w:rPr>
          <w:rFonts w:ascii="Palatino Linotype" w:eastAsia="Palatino Linotype" w:hAnsi="Palatino Linotype" w:cs="Palatino Linotype"/>
          <w:b/>
          <w:bCs/>
          <w:sz w:val="24"/>
          <w:szCs w:val="24"/>
        </w:rPr>
        <w:t xml:space="preserve"> fracción IV</w:t>
      </w:r>
      <w:r>
        <w:rPr>
          <w:rFonts w:ascii="Palatino Linotype" w:eastAsia="Palatino Linotype" w:hAnsi="Palatino Linotype" w:cs="Palatino Linotype"/>
          <w:sz w:val="24"/>
          <w:szCs w:val="24"/>
        </w:rPr>
        <w:t xml:space="preserve">, en relación a la </w:t>
      </w:r>
      <w:r>
        <w:rPr>
          <w:rFonts w:ascii="Palatino Linotype" w:eastAsia="Palatino Linotype" w:hAnsi="Palatino Linotype" w:cs="Palatino Linotype"/>
          <w:b/>
          <w:bCs/>
          <w:sz w:val="24"/>
          <w:szCs w:val="24"/>
        </w:rPr>
        <w:t>fracción III</w:t>
      </w:r>
      <w:r w:rsidR="004B2F86">
        <w:rPr>
          <w:rFonts w:ascii="Palatino Linotype" w:eastAsia="Palatino Linotype" w:hAnsi="Palatino Linotype" w:cs="Palatino Linotype"/>
          <w:b/>
          <w:bCs/>
          <w:sz w:val="24"/>
          <w:szCs w:val="24"/>
        </w:rPr>
        <w:t>,</w:t>
      </w:r>
      <w:r>
        <w:rPr>
          <w:rFonts w:ascii="Palatino Linotype" w:eastAsia="Palatino Linotype" w:hAnsi="Palatino Linotype" w:cs="Palatino Linotype"/>
          <w:sz w:val="24"/>
          <w:szCs w:val="24"/>
        </w:rPr>
        <w:t xml:space="preserve"> del artículo </w:t>
      </w:r>
      <w:r>
        <w:rPr>
          <w:rFonts w:ascii="Palatino Linotype" w:eastAsia="Palatino Linotype" w:hAnsi="Palatino Linotype" w:cs="Palatino Linotype"/>
          <w:b/>
          <w:bCs/>
          <w:sz w:val="24"/>
          <w:szCs w:val="24"/>
        </w:rPr>
        <w:t>191</w:t>
      </w:r>
      <w:r>
        <w:rPr>
          <w:rFonts w:ascii="Palatino Linotype" w:eastAsia="Palatino Linotype" w:hAnsi="Palatino Linotype" w:cs="Palatino Linotype"/>
          <w:sz w:val="24"/>
          <w:szCs w:val="24"/>
        </w:rPr>
        <w:t xml:space="preserve">, de la Ley de Transparencia y Acceso a la Información Pública del Estado de México y Municipios, en términos del </w:t>
      </w:r>
      <w:r>
        <w:rPr>
          <w:rFonts w:ascii="Palatino Linotype" w:eastAsia="Palatino Linotype" w:hAnsi="Palatino Linotype" w:cs="Palatino Linotype"/>
          <w:b/>
          <w:bCs/>
          <w:sz w:val="24"/>
          <w:szCs w:val="24"/>
        </w:rPr>
        <w:t>Considerando TERCERO</w:t>
      </w:r>
      <w:r>
        <w:rPr>
          <w:rFonts w:ascii="Palatino Linotype" w:eastAsia="Palatino Linotype" w:hAnsi="Palatino Linotype" w:cs="Palatino Linotype"/>
          <w:sz w:val="24"/>
          <w:szCs w:val="24"/>
        </w:rPr>
        <w:t xml:space="preserve"> de la presente resolución.</w:t>
      </w:r>
    </w:p>
    <w:p w:rsidR="006E1BC6" w:rsidRDefault="004B2F86">
      <w:pPr>
        <w:pBdr>
          <w:top w:val="nil"/>
          <w:left w:val="nil"/>
          <w:bottom w:val="nil"/>
          <w:right w:val="nil"/>
          <w:between w:val="nil"/>
        </w:pBdr>
        <w:spacing w:after="240" w:line="360" w:lineRule="auto"/>
        <w:ind w:right="-989"/>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SEGUNDO. Notifíquese</w:t>
      </w:r>
      <w:r w:rsidR="00206D42">
        <w:rPr>
          <w:rFonts w:ascii="Palatino Linotype" w:eastAsia="Palatino Linotype" w:hAnsi="Palatino Linotype" w:cs="Palatino Linotype"/>
          <w:b/>
          <w:bCs/>
          <w:color w:val="000000"/>
          <w:sz w:val="24"/>
          <w:szCs w:val="24"/>
        </w:rPr>
        <w:t xml:space="preserve"> </w:t>
      </w:r>
      <w:r w:rsidR="00206D42">
        <w:rPr>
          <w:rFonts w:ascii="Palatino Linotype" w:eastAsia="Palatino Linotype" w:hAnsi="Palatino Linotype" w:cs="Palatino Linotype"/>
          <w:color w:val="000000"/>
          <w:sz w:val="24"/>
          <w:szCs w:val="24"/>
        </w:rPr>
        <w:t xml:space="preserve">a través del Sistema de Acceso a la Información Mexiquense </w:t>
      </w:r>
      <w:r w:rsidR="00206D42">
        <w:rPr>
          <w:rFonts w:ascii="Palatino Linotype" w:eastAsia="Palatino Linotype" w:hAnsi="Palatino Linotype" w:cs="Palatino Linotype"/>
          <w:b/>
          <w:bCs/>
          <w:color w:val="000000"/>
          <w:sz w:val="24"/>
          <w:szCs w:val="24"/>
        </w:rPr>
        <w:t xml:space="preserve">(SAIMEX) </w:t>
      </w:r>
      <w:r w:rsidR="00206D42">
        <w:rPr>
          <w:rFonts w:ascii="Palatino Linotype" w:eastAsia="Palatino Linotype" w:hAnsi="Palatino Linotype" w:cs="Palatino Linotype"/>
          <w:color w:val="000000"/>
          <w:sz w:val="24"/>
          <w:szCs w:val="24"/>
        </w:rPr>
        <w:t>la presente resolución al Titular de la Unidad de Transparencia del</w:t>
      </w:r>
      <w:r w:rsidR="00206D42">
        <w:rPr>
          <w:rFonts w:ascii="Palatino Linotype" w:eastAsia="Palatino Linotype" w:hAnsi="Palatino Linotype" w:cs="Palatino Linotype"/>
          <w:b/>
          <w:bCs/>
          <w:color w:val="000000"/>
          <w:sz w:val="24"/>
          <w:szCs w:val="24"/>
        </w:rPr>
        <w:t xml:space="preserve"> SUJETO OBLIGADO. </w:t>
      </w:r>
    </w:p>
    <w:p w:rsidR="006E1BC6" w:rsidRDefault="00206D42">
      <w:pPr>
        <w:pBdr>
          <w:top w:val="nil"/>
          <w:left w:val="nil"/>
          <w:bottom w:val="nil"/>
          <w:right w:val="nil"/>
          <w:between w:val="nil"/>
        </w:pBdr>
        <w:spacing w:after="240" w:line="360" w:lineRule="auto"/>
        <w:ind w:right="-989"/>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color w:val="000000"/>
          <w:sz w:val="24"/>
          <w:szCs w:val="24"/>
        </w:rPr>
        <w:lastRenderedPageBreak/>
        <w:t xml:space="preserve">TERCERO. Notifíquese al RECURRENTE </w:t>
      </w:r>
      <w:r>
        <w:rPr>
          <w:rFonts w:ascii="Palatino Linotype" w:eastAsia="Palatino Linotype" w:hAnsi="Palatino Linotype" w:cs="Palatino Linotype"/>
          <w:color w:val="222222"/>
          <w:sz w:val="24"/>
          <w:szCs w:val="24"/>
        </w:rPr>
        <w:t>la presente resolución</w:t>
      </w:r>
      <w:r w:rsidR="004B2F86">
        <w:rPr>
          <w:rFonts w:ascii="Palatino Linotype" w:eastAsia="Palatino Linotype" w:hAnsi="Palatino Linotype" w:cs="Palatino Linotype"/>
          <w:color w:val="222222"/>
          <w:sz w:val="24"/>
          <w:szCs w:val="24"/>
        </w:rPr>
        <w:t xml:space="preserve"> vía SAIMEX</w:t>
      </w:r>
      <w:r>
        <w:rPr>
          <w:rFonts w:ascii="Palatino Linotype" w:eastAsia="Palatino Linotype" w:hAnsi="Palatino Linotype" w:cs="Palatino Linotype"/>
          <w:color w:val="222222"/>
          <w:sz w:val="24"/>
          <w:szCs w:val="24"/>
        </w:rPr>
        <w:t>.</w:t>
      </w:r>
    </w:p>
    <w:p w:rsidR="006E1BC6" w:rsidRDefault="00206D42">
      <w:pPr>
        <w:pBdr>
          <w:top w:val="nil"/>
          <w:left w:val="nil"/>
          <w:bottom w:val="nil"/>
          <w:right w:val="nil"/>
          <w:between w:val="nil"/>
        </w:pBdr>
        <w:spacing w:after="240" w:line="360" w:lineRule="auto"/>
        <w:ind w:right="-98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CUARTO.</w:t>
      </w:r>
      <w:r>
        <w:rPr>
          <w:rFonts w:ascii="Palatino Linotype" w:eastAsia="Palatino Linotype" w:hAnsi="Palatino Linotype" w:cs="Palatino Linotype"/>
          <w:color w:val="000000"/>
          <w:sz w:val="24"/>
          <w:szCs w:val="24"/>
        </w:rPr>
        <w:t xml:space="preserve"> Se hace del conocimiento del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sz w:val="24"/>
          <w:szCs w:val="24"/>
        </w:rPr>
        <w:t>impugnar vía</w:t>
      </w:r>
      <w:r>
        <w:rPr>
          <w:rFonts w:ascii="Palatino Linotype" w:eastAsia="Palatino Linotype" w:hAnsi="Palatino Linotype" w:cs="Palatino Linotype"/>
          <w:color w:val="000000"/>
          <w:sz w:val="24"/>
          <w:szCs w:val="24"/>
        </w:rPr>
        <w:t xml:space="preserve"> juicio de amparo en los términos de las leyes aplicables.</w:t>
      </w:r>
    </w:p>
    <w:p w:rsidR="004B2F86" w:rsidRDefault="004B2F86">
      <w:pPr>
        <w:pBdr>
          <w:top w:val="nil"/>
          <w:left w:val="nil"/>
          <w:bottom w:val="nil"/>
          <w:right w:val="nil"/>
          <w:between w:val="nil"/>
        </w:pBdr>
        <w:spacing w:after="240" w:line="360" w:lineRule="auto"/>
        <w:ind w:right="-989"/>
        <w:jc w:val="both"/>
        <w:rPr>
          <w:rFonts w:ascii="Palatino Linotype" w:eastAsia="Palatino Linotype" w:hAnsi="Palatino Linotype" w:cs="Palatino Linotype"/>
          <w:color w:val="000000"/>
          <w:sz w:val="24"/>
          <w:szCs w:val="24"/>
        </w:rPr>
      </w:pPr>
    </w:p>
    <w:p w:rsidR="004B2F86" w:rsidRPr="004B2F86" w:rsidRDefault="004B2F86" w:rsidP="004B2F86">
      <w:pPr>
        <w:spacing w:before="240" w:after="240" w:line="360" w:lineRule="auto"/>
        <w:ind w:right="-992" w:firstLine="1"/>
        <w:jc w:val="both"/>
        <w:rPr>
          <w:rFonts w:ascii="Palatino Linotype" w:hAnsi="Palatino Linotype"/>
          <w:sz w:val="24"/>
        </w:rPr>
      </w:pPr>
      <w:bookmarkStart w:id="7" w:name="_Hlk99014733"/>
      <w:r w:rsidRPr="004B2F86">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4B2F86">
        <w:rPr>
          <w:rFonts w:ascii="Palatino Linotype" w:hAnsi="Palatino Linotype" w:cs="Palatino Linotype"/>
          <w:color w:val="000000" w:themeColor="text1"/>
          <w:sz w:val="24"/>
        </w:rPr>
        <w:t>ALEXIS TAPIA RAMÍREZ.</w:t>
      </w:r>
    </w:p>
    <w:bookmarkEnd w:id="7"/>
    <w:p w:rsidR="006E1BC6" w:rsidRDefault="006E1BC6">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p w:rsidR="00841C37" w:rsidRDefault="00841C37">
      <w:pPr>
        <w:spacing w:before="240" w:after="240" w:line="360" w:lineRule="auto"/>
        <w:ind w:right="-989"/>
        <w:jc w:val="both"/>
        <w:rPr>
          <w:rFonts w:ascii="Palatino Linotype" w:eastAsia="Palatino Linotype" w:hAnsi="Palatino Linotype" w:cs="Palatino Linotype"/>
          <w:sz w:val="24"/>
          <w:szCs w:val="24"/>
        </w:rPr>
      </w:pPr>
    </w:p>
    <w:sectPr w:rsidR="00841C37">
      <w:headerReference w:type="even" r:id="rId9"/>
      <w:headerReference w:type="default" r:id="rId10"/>
      <w:footerReference w:type="default" r:id="rId11"/>
      <w:headerReference w:type="first" r:id="rId12"/>
      <w:footerReference w:type="first" r:id="rId13"/>
      <w:pgSz w:w="12240" w:h="15840"/>
      <w:pgMar w:top="2268" w:right="175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F91" w:rsidRDefault="00937F91">
      <w:pPr>
        <w:spacing w:after="0" w:line="240" w:lineRule="auto"/>
      </w:pPr>
      <w:r>
        <w:separator/>
      </w:r>
    </w:p>
  </w:endnote>
  <w:endnote w:type="continuationSeparator" w:id="0">
    <w:p w:rsidR="00937F91" w:rsidRDefault="0093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B2D92336-7BAE-4B20-82A4-99C6867B4156}"/>
    <w:embedBold r:id="rId2" w:fontKey="{6D6DD473-1FC4-43A5-9E66-1850B42AD362}"/>
    <w:embedItalic r:id="rId3" w:fontKey="{71731AE3-3E3D-4304-A9A9-7F417FF2C4D0}"/>
    <w:embedBoldItalic r:id="rId4" w:fontKey="{38AD260E-5DE5-4B6D-868C-E7CC1706C394}"/>
  </w:font>
  <w:font w:name="Noto Sans Symbols">
    <w:altName w:val="Times New Roman"/>
    <w:charset w:val="00"/>
    <w:family w:val="auto"/>
    <w:pitch w:val="default"/>
    <w:embedRegular r:id="rId5" w:fontKey="{60704322-5F4D-4C1E-9C95-68BB497F7ED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A78D807-0784-4B53-93DE-042419BFAFB5}"/>
    <w:embedBold r:id="rId7" w:fontKey="{39F41FD5-01C8-4087-82F3-1D3CD2C6C15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BBFE5023-4A5B-4916-A3A0-FE0B0FB82436}"/>
  </w:font>
  <w:font w:name="Cambria">
    <w:panose1 w:val="02040503050406030204"/>
    <w:charset w:val="00"/>
    <w:family w:val="roman"/>
    <w:pitch w:val="variable"/>
    <w:sig w:usb0="E00006FF" w:usb1="420024FF" w:usb2="02000000" w:usb3="00000000" w:csb0="0000019F" w:csb1="00000000"/>
    <w:embedRegular r:id="rId9" w:fontKey="{85E50C94-F8CD-48FE-8FF2-1A7CA7AAFD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BC6" w:rsidRDefault="00206D42">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C46E6A">
      <w:rPr>
        <w:rFonts w:ascii="Palatino Linotype" w:eastAsia="Palatino Linotype" w:hAnsi="Palatino Linotype" w:cs="Palatino Linotype"/>
        <w:noProof/>
        <w:color w:val="000000"/>
      </w:rPr>
      <w:t>9</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C46E6A">
      <w:rPr>
        <w:rFonts w:ascii="Palatino Linotype" w:eastAsia="Palatino Linotype" w:hAnsi="Palatino Linotype" w:cs="Palatino Linotype"/>
        <w:noProof/>
        <w:color w:val="000000"/>
      </w:rPr>
      <w:t>10</w:t>
    </w:r>
    <w:r>
      <w:rPr>
        <w:rFonts w:ascii="Palatino Linotype" w:eastAsia="Palatino Linotype" w:hAnsi="Palatino Linotype" w:cs="Palatino Linotype"/>
        <w:color w:val="000000"/>
      </w:rPr>
      <w:fldChar w:fldCharType="end"/>
    </w:r>
  </w:p>
  <w:p w:rsidR="006E1BC6" w:rsidRDefault="006E1BC6">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BC6" w:rsidRDefault="00206D42">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C46E6A">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C46E6A">
      <w:rPr>
        <w:rFonts w:ascii="Palatino Linotype" w:eastAsia="Palatino Linotype" w:hAnsi="Palatino Linotype" w:cs="Palatino Linotype"/>
        <w:noProof/>
        <w:color w:val="000000"/>
      </w:rPr>
      <w:t>10</w:t>
    </w:r>
    <w:r>
      <w:rPr>
        <w:rFonts w:ascii="Palatino Linotype" w:eastAsia="Palatino Linotype" w:hAnsi="Palatino Linotype" w:cs="Palatino Linotype"/>
        <w:color w:val="000000"/>
      </w:rPr>
      <w:fldChar w:fldCharType="end"/>
    </w:r>
  </w:p>
  <w:p w:rsidR="006E1BC6" w:rsidRDefault="006E1BC6">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F91" w:rsidRDefault="00937F91">
      <w:pPr>
        <w:spacing w:after="0" w:line="240" w:lineRule="auto"/>
      </w:pPr>
      <w:r>
        <w:separator/>
      </w:r>
    </w:p>
  </w:footnote>
  <w:footnote w:type="continuationSeparator" w:id="0">
    <w:p w:rsidR="00937F91" w:rsidRDefault="00937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BC6" w:rsidRDefault="00937F91">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500" w:type="dxa"/>
      <w:tblInd w:w="3402" w:type="dxa"/>
      <w:tblLayout w:type="fixed"/>
      <w:tblLook w:val="0400" w:firstRow="0" w:lastRow="0" w:firstColumn="0" w:lastColumn="0" w:noHBand="0" w:noVBand="1"/>
    </w:tblPr>
    <w:tblGrid>
      <w:gridCol w:w="2970"/>
      <w:gridCol w:w="4530"/>
    </w:tblGrid>
    <w:tr w:rsidR="006E1BC6" w:rsidTr="00C46E6A">
      <w:trPr>
        <w:trHeight w:val="227"/>
      </w:trPr>
      <w:tc>
        <w:tcPr>
          <w:tcW w:w="2970" w:type="dxa"/>
          <w:vAlign w:val="center"/>
        </w:tcPr>
        <w:p w:rsidR="006E1BC6" w:rsidRDefault="00206D4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530" w:type="dxa"/>
          <w:vAlign w:val="center"/>
        </w:tcPr>
        <w:p w:rsidR="006E1BC6" w:rsidRDefault="00206D4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13868/INFOEM/IP/RR/2025</w:t>
          </w:r>
        </w:p>
      </w:tc>
    </w:tr>
    <w:tr w:rsidR="006E1BC6" w:rsidTr="00C46E6A">
      <w:trPr>
        <w:trHeight w:val="242"/>
      </w:trPr>
      <w:tc>
        <w:tcPr>
          <w:tcW w:w="2970" w:type="dxa"/>
          <w:vAlign w:val="center"/>
        </w:tcPr>
        <w:p w:rsidR="006E1BC6" w:rsidRDefault="00206D4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530" w:type="dxa"/>
          <w:vAlign w:val="center"/>
        </w:tcPr>
        <w:p w:rsidR="006E1BC6" w:rsidRDefault="00206D4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Ayuntamiento de Chimalhuacán</w:t>
          </w:r>
        </w:p>
      </w:tc>
    </w:tr>
    <w:tr w:rsidR="006E1BC6" w:rsidTr="00C46E6A">
      <w:trPr>
        <w:trHeight w:val="342"/>
      </w:trPr>
      <w:tc>
        <w:tcPr>
          <w:tcW w:w="2970" w:type="dxa"/>
          <w:vAlign w:val="center"/>
        </w:tcPr>
        <w:p w:rsidR="006E1BC6" w:rsidRDefault="00206D4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530" w:type="dxa"/>
          <w:vAlign w:val="center"/>
        </w:tcPr>
        <w:p w:rsidR="006E1BC6" w:rsidRDefault="00206D4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6E1BC6" w:rsidRDefault="00937F91">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80" w:type="dxa"/>
      <w:tblInd w:w="3261" w:type="dxa"/>
      <w:tblLayout w:type="fixed"/>
      <w:tblLook w:val="0400" w:firstRow="0" w:lastRow="0" w:firstColumn="0" w:lastColumn="0" w:noHBand="0" w:noVBand="1"/>
    </w:tblPr>
    <w:tblGrid>
      <w:gridCol w:w="2970"/>
      <w:gridCol w:w="4710"/>
    </w:tblGrid>
    <w:tr w:rsidR="006E1BC6" w:rsidTr="00C46E6A">
      <w:trPr>
        <w:trHeight w:val="227"/>
      </w:trPr>
      <w:tc>
        <w:tcPr>
          <w:tcW w:w="2970" w:type="dxa"/>
          <w:vAlign w:val="center"/>
        </w:tcPr>
        <w:p w:rsidR="006E1BC6" w:rsidRDefault="00206D42">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710" w:type="dxa"/>
          <w:vAlign w:val="center"/>
        </w:tcPr>
        <w:p w:rsidR="006E1BC6" w:rsidRDefault="00206D42">
          <w:pPr>
            <w:pBdr>
              <w:top w:val="nil"/>
              <w:left w:val="nil"/>
              <w:bottom w:val="nil"/>
              <w:right w:val="nil"/>
              <w:between w:val="nil"/>
            </w:pBdr>
            <w:tabs>
              <w:tab w:val="center" w:pos="4419"/>
              <w:tab w:val="right" w:pos="8838"/>
            </w:tabs>
            <w:spacing w:after="0" w:line="276" w:lineRule="auto"/>
            <w:ind w:right="-85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13868/INFOEM/IP/RR/2025</w:t>
          </w:r>
        </w:p>
      </w:tc>
    </w:tr>
    <w:tr w:rsidR="006E1BC6" w:rsidTr="00C46E6A">
      <w:trPr>
        <w:trHeight w:val="242"/>
      </w:trPr>
      <w:tc>
        <w:tcPr>
          <w:tcW w:w="2970" w:type="dxa"/>
          <w:vAlign w:val="center"/>
        </w:tcPr>
        <w:p w:rsidR="006E1BC6" w:rsidRDefault="00206D42">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4710" w:type="dxa"/>
        </w:tcPr>
        <w:p w:rsidR="006E1BC6" w:rsidRDefault="00206D42" w:rsidP="004B2F86">
          <w:pPr>
            <w:pBdr>
              <w:top w:val="nil"/>
              <w:left w:val="nil"/>
              <w:bottom w:val="nil"/>
              <w:right w:val="nil"/>
              <w:between w:val="nil"/>
            </w:pBdr>
            <w:tabs>
              <w:tab w:val="center" w:pos="4419"/>
              <w:tab w:val="right" w:pos="8838"/>
            </w:tabs>
            <w:spacing w:after="0" w:line="276" w:lineRule="auto"/>
            <w:ind w:right="-85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  </w:t>
          </w:r>
        </w:p>
      </w:tc>
    </w:tr>
    <w:tr w:rsidR="006E1BC6" w:rsidTr="00C46E6A">
      <w:trPr>
        <w:trHeight w:val="342"/>
      </w:trPr>
      <w:tc>
        <w:tcPr>
          <w:tcW w:w="2970" w:type="dxa"/>
          <w:vAlign w:val="center"/>
        </w:tcPr>
        <w:p w:rsidR="006E1BC6" w:rsidRDefault="00206D42">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710" w:type="dxa"/>
          <w:vAlign w:val="center"/>
        </w:tcPr>
        <w:p w:rsidR="006E1BC6" w:rsidRDefault="00206D42">
          <w:pPr>
            <w:pBdr>
              <w:top w:val="nil"/>
              <w:left w:val="nil"/>
              <w:bottom w:val="nil"/>
              <w:right w:val="nil"/>
              <w:between w:val="nil"/>
            </w:pBdr>
            <w:tabs>
              <w:tab w:val="center" w:pos="3339"/>
              <w:tab w:val="right" w:pos="8838"/>
            </w:tabs>
            <w:spacing w:after="0" w:line="276" w:lineRule="auto"/>
            <w:ind w:right="239"/>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Ayuntamiento de Chimalhuacán</w:t>
          </w:r>
        </w:p>
      </w:tc>
    </w:tr>
    <w:tr w:rsidR="006E1BC6" w:rsidTr="00C46E6A">
      <w:trPr>
        <w:trHeight w:val="342"/>
      </w:trPr>
      <w:tc>
        <w:tcPr>
          <w:tcW w:w="2970" w:type="dxa"/>
          <w:vAlign w:val="center"/>
        </w:tcPr>
        <w:p w:rsidR="006E1BC6" w:rsidRDefault="00206D42">
          <w:pPr>
            <w:spacing w:after="0" w:line="240" w:lineRule="auto"/>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710" w:type="dxa"/>
          <w:vAlign w:val="center"/>
        </w:tcPr>
        <w:p w:rsidR="006E1BC6" w:rsidRDefault="00206D42">
          <w:pPr>
            <w:pBdr>
              <w:top w:val="nil"/>
              <w:left w:val="nil"/>
              <w:bottom w:val="nil"/>
              <w:right w:val="nil"/>
              <w:between w:val="nil"/>
            </w:pBdr>
            <w:tabs>
              <w:tab w:val="center" w:pos="4419"/>
              <w:tab w:val="right" w:pos="8838"/>
            </w:tabs>
            <w:spacing w:after="0" w:line="276" w:lineRule="auto"/>
            <w:ind w:right="-85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6E1BC6" w:rsidRDefault="00937F91">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14B85"/>
    <w:multiLevelType w:val="multilevel"/>
    <w:tmpl w:val="0444F08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2B3711"/>
    <w:multiLevelType w:val="multilevel"/>
    <w:tmpl w:val="9F644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FC7827"/>
    <w:multiLevelType w:val="multilevel"/>
    <w:tmpl w:val="7BB40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09465D1"/>
    <w:multiLevelType w:val="multilevel"/>
    <w:tmpl w:val="93BE7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0A4B1C"/>
    <w:multiLevelType w:val="multilevel"/>
    <w:tmpl w:val="8112160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C6"/>
    <w:rsid w:val="00206D42"/>
    <w:rsid w:val="002B585E"/>
    <w:rsid w:val="004B2F86"/>
    <w:rsid w:val="006E1BC6"/>
    <w:rsid w:val="00841C37"/>
    <w:rsid w:val="00937F91"/>
    <w:rsid w:val="00AC6D72"/>
    <w:rsid w:val="00C46E6A"/>
    <w:rsid w:val="00FE20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53335CF-E5BF-49AB-8B7C-EC6ADA09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line="240"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4B2F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2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20733.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fVP+NZm6QVWoDwiEh5L+FObduA==">CgMxLjAyCGguZ2pkZ3hzMgloLjN6bnlzaDcyCWguMmV0OTJwMDIIaC50eWpjd3QyDmgucHpjNGYwNDlwN3Z6MgloLjNkeTZ2a204AHIhMThxOVN6OUwxbDJfV2cyMFZFZmRIeDF1ZHNBMlBLdVhS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2008</Words>
  <Characters>11044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2026-06-12T17:09:00Z</cp:lastPrinted>
  <dcterms:created xsi:type="dcterms:W3CDTF">2026-06-10T23:36:00Z</dcterms:created>
  <dcterms:modified xsi:type="dcterms:W3CDTF">2026-06-16T17:10:00Z</dcterms:modified>
</cp:coreProperties>
</file>