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360" w:lineRule="auto"/>
        <w:jc w:val="both"/>
        <w:rPr>
          <w:rFonts w:ascii="Palatino Linotype" w:cs="Palatino Linotype" w:eastAsia="Palatino Linotype" w:hAnsi="Palatino Linotype"/>
          <w:sz w:val="22"/>
          <w:szCs w:val="22"/>
        </w:rPr>
      </w:pPr>
      <w:bookmarkStart w:colFirst="0" w:colLast="0" w:name="_heading=h.gjdgxs" w:id="0"/>
      <w:bookmarkEnd w:id="0"/>
      <w:r w:rsidDel="00000000" w:rsidR="00000000" w:rsidRPr="00000000">
        <w:rPr>
          <w:rFonts w:ascii="Palatino Linotype" w:cs="Palatino Linotype" w:eastAsia="Palatino Linotype" w:hAnsi="Palatino Linotype"/>
          <w:sz w:val="22"/>
          <w:szCs w:val="22"/>
          <w:rtl w:val="0"/>
        </w:rPr>
        <w:t xml:space="preserve">Resolución del Pleno del Instituto de Transparencia, Acceso a la Información Pública y Protección de Datos Personales del Estado de México y Municipios, con domicilio en Metepec, Estado de México, de fecha veintiocho de enero de dos mil veintiséis. </w:t>
      </w:r>
    </w:p>
    <w:p w:rsidR="00000000" w:rsidDel="00000000" w:rsidP="00000000" w:rsidRDefault="00000000" w:rsidRPr="00000000" w14:paraId="00000002">
      <w:pPr>
        <w:spacing w:line="360" w:lineRule="auto"/>
        <w:jc w:val="both"/>
        <w:rPr>
          <w:rFonts w:ascii="Palatino Linotype" w:cs="Palatino Linotype" w:eastAsia="Palatino Linotype" w:hAnsi="Palatino Linotype"/>
          <w:b w:val="1"/>
          <w:bCs w:val="1"/>
          <w:sz w:val="22"/>
          <w:szCs w:val="22"/>
        </w:rPr>
      </w:pPr>
      <w:r w:rsidDel="00000000" w:rsidR="00000000" w:rsidRPr="00000000">
        <w:rPr>
          <w:rtl w:val="0"/>
        </w:rPr>
      </w:r>
    </w:p>
    <w:p w:rsidR="00000000" w:rsidDel="00000000" w:rsidP="00000000" w:rsidRDefault="00000000" w:rsidRPr="00000000" w14:paraId="00000003">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bCs w:val="1"/>
          <w:sz w:val="22"/>
          <w:szCs w:val="22"/>
          <w:rtl w:val="0"/>
        </w:rPr>
        <w:t xml:space="preserve">Visto </w:t>
      </w:r>
      <w:r w:rsidDel="00000000" w:rsidR="00000000" w:rsidRPr="00000000">
        <w:rPr>
          <w:rFonts w:ascii="Palatino Linotype" w:cs="Palatino Linotype" w:eastAsia="Palatino Linotype" w:hAnsi="Palatino Linotype"/>
          <w:sz w:val="22"/>
          <w:szCs w:val="22"/>
          <w:rtl w:val="0"/>
        </w:rPr>
        <w:t xml:space="preserve">el expediente relativo al recurso de revisión </w:t>
      </w:r>
      <w:r w:rsidDel="00000000" w:rsidR="00000000" w:rsidRPr="00000000">
        <w:rPr>
          <w:rFonts w:ascii="Palatino Linotype" w:cs="Palatino Linotype" w:eastAsia="Palatino Linotype" w:hAnsi="Palatino Linotype"/>
          <w:b w:val="1"/>
          <w:bCs w:val="1"/>
          <w:sz w:val="22"/>
          <w:szCs w:val="22"/>
          <w:rtl w:val="0"/>
        </w:rPr>
        <w:t xml:space="preserve">14329/INFOEM/IP/RR/2025</w:t>
      </w: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Fonts w:ascii="Palatino Linotype" w:cs="Palatino Linotype" w:eastAsia="Palatino Linotype" w:hAnsi="Palatino Linotype"/>
          <w:rtl w:val="0"/>
        </w:rPr>
        <w:t xml:space="preserve">interpuesto por</w:t>
      </w:r>
      <w:r w:rsidDel="00000000" w:rsidR="00000000" w:rsidRPr="00000000">
        <w:rPr>
          <w:rFonts w:ascii="Palatino Linotype" w:cs="Palatino Linotype" w:eastAsia="Palatino Linotype" w:hAnsi="Palatino Linotype"/>
          <w:b w:val="1"/>
          <w:bCs w:val="1"/>
          <w:sz w:val="21"/>
          <w:szCs w:val="21"/>
          <w:rtl w:val="0"/>
        </w:rPr>
        <w:t xml:space="preserve"> XXXXXX XXXXXXX XXXXXXX </w:t>
      </w:r>
      <w:r w:rsidDel="00000000" w:rsidR="00000000" w:rsidRPr="00000000">
        <w:rPr>
          <w:rFonts w:ascii="Palatino Linotype" w:cs="Palatino Linotype" w:eastAsia="Palatino Linotype" w:hAnsi="Palatino Linotype"/>
          <w:b w:val="1"/>
          <w:bCs w:val="1"/>
          <w:rtl w:val="0"/>
        </w:rPr>
        <w:t xml:space="preserve">,</w:t>
      </w:r>
      <w:r w:rsidDel="00000000" w:rsidR="00000000" w:rsidRPr="00000000">
        <w:rPr>
          <w:rFonts w:ascii="Palatino Linotype" w:cs="Palatino Linotype" w:eastAsia="Palatino Linotype" w:hAnsi="Palatino Linotype"/>
          <w:rtl w:val="0"/>
        </w:rPr>
        <w:t xml:space="preserve"> en lo sucesivo la parte </w:t>
      </w:r>
      <w:r w:rsidDel="00000000" w:rsidR="00000000" w:rsidRPr="00000000">
        <w:rPr>
          <w:rFonts w:ascii="Palatino Linotype" w:cs="Palatino Linotype" w:eastAsia="Palatino Linotype" w:hAnsi="Palatino Linotype"/>
          <w:b w:val="1"/>
          <w:bCs w:val="1"/>
          <w:rtl w:val="0"/>
        </w:rPr>
        <w:t xml:space="preserve">RECURRENTE</w:t>
      </w:r>
      <w:r w:rsidDel="00000000" w:rsidR="00000000" w:rsidRPr="00000000">
        <w:rPr>
          <w:rFonts w:ascii="Palatino Linotype" w:cs="Palatino Linotype" w:eastAsia="Palatino Linotype" w:hAnsi="Palatino Linotype"/>
          <w:b w:val="1"/>
          <w:bCs w:val="1"/>
          <w:sz w:val="22"/>
          <w:szCs w:val="22"/>
          <w:rtl w:val="0"/>
        </w:rPr>
        <w:t xml:space="preserve">, </w:t>
      </w:r>
      <w:r w:rsidDel="00000000" w:rsidR="00000000" w:rsidRPr="00000000">
        <w:rPr>
          <w:rFonts w:ascii="Palatino Linotype" w:cs="Palatino Linotype" w:eastAsia="Palatino Linotype" w:hAnsi="Palatino Linotype"/>
          <w:sz w:val="22"/>
          <w:szCs w:val="22"/>
          <w:rtl w:val="0"/>
        </w:rPr>
        <w:t xml:space="preserve">en contra de la falta de respuesta a la solicitud de acceso a la información con número de folio</w:t>
      </w:r>
      <w:r w:rsidDel="00000000" w:rsidR="00000000" w:rsidRPr="00000000">
        <w:rPr>
          <w:rFonts w:ascii="Verdana" w:cs="Verdana" w:eastAsia="Verdana" w:hAnsi="Verdana"/>
          <w:b w:val="1"/>
          <w:bCs w:val="1"/>
          <w:sz w:val="22"/>
          <w:szCs w:val="22"/>
          <w:rtl w:val="0"/>
        </w:rPr>
        <w:t xml:space="preserve"> </w:t>
      </w:r>
      <w:r w:rsidDel="00000000" w:rsidR="00000000" w:rsidRPr="00000000">
        <w:rPr>
          <w:rFonts w:ascii="Palatino Linotype" w:cs="Palatino Linotype" w:eastAsia="Palatino Linotype" w:hAnsi="Palatino Linotype"/>
          <w:b w:val="1"/>
          <w:bCs w:val="1"/>
          <w:sz w:val="22"/>
          <w:szCs w:val="22"/>
          <w:rtl w:val="0"/>
        </w:rPr>
        <w:t xml:space="preserve">01341/TEPOTZOT/IP/2025</w:t>
      </w:r>
      <w:r w:rsidDel="00000000" w:rsidR="00000000" w:rsidRPr="00000000">
        <w:rPr>
          <w:rFonts w:ascii="Palatino Linotype" w:cs="Palatino Linotype" w:eastAsia="Palatino Linotype" w:hAnsi="Palatino Linotype"/>
          <w:b w:val="1"/>
          <w:bCs w:val="1"/>
          <w:rtl w:val="0"/>
        </w:rPr>
        <w:t xml:space="preserve">, </w:t>
      </w:r>
      <w:r w:rsidDel="00000000" w:rsidR="00000000" w:rsidRPr="00000000">
        <w:rPr>
          <w:rFonts w:ascii="Palatino Linotype" w:cs="Palatino Linotype" w:eastAsia="Palatino Linotype" w:hAnsi="Palatino Linotype"/>
          <w:sz w:val="22"/>
          <w:szCs w:val="22"/>
          <w:rtl w:val="0"/>
        </w:rPr>
        <w:t xml:space="preserve">por parte del </w:t>
      </w:r>
      <w:r w:rsidDel="00000000" w:rsidR="00000000" w:rsidRPr="00000000">
        <w:rPr>
          <w:rFonts w:ascii="Palatino Linotype" w:cs="Palatino Linotype" w:eastAsia="Palatino Linotype" w:hAnsi="Palatino Linotype"/>
          <w:b w:val="1"/>
          <w:bCs w:val="1"/>
          <w:sz w:val="22"/>
          <w:szCs w:val="22"/>
          <w:rtl w:val="0"/>
        </w:rPr>
        <w:t xml:space="preserve">Ayuntamiento de Tepotzotlán,</w:t>
      </w:r>
      <w:r w:rsidDel="00000000" w:rsidR="00000000" w:rsidRPr="00000000">
        <w:rPr>
          <w:rFonts w:ascii="Palatino Linotype" w:cs="Palatino Linotype" w:eastAsia="Palatino Linotype" w:hAnsi="Palatino Linotype"/>
          <w:sz w:val="22"/>
          <w:szCs w:val="22"/>
          <w:rtl w:val="0"/>
        </w:rPr>
        <w:t xml:space="preserve"> en lo sucesivo el </w:t>
      </w:r>
      <w:r w:rsidDel="00000000" w:rsidR="00000000" w:rsidRPr="00000000">
        <w:rPr>
          <w:rFonts w:ascii="Palatino Linotype" w:cs="Palatino Linotype" w:eastAsia="Palatino Linotype" w:hAnsi="Palatino Linotype"/>
          <w:b w:val="1"/>
          <w:bCs w:val="1"/>
          <w:sz w:val="22"/>
          <w:szCs w:val="22"/>
          <w:rtl w:val="0"/>
        </w:rPr>
        <w:t xml:space="preserve">SUJETO OBLIGADO; </w:t>
      </w:r>
      <w:r w:rsidDel="00000000" w:rsidR="00000000" w:rsidRPr="00000000">
        <w:rPr>
          <w:rFonts w:ascii="Palatino Linotype" w:cs="Palatino Linotype" w:eastAsia="Palatino Linotype" w:hAnsi="Palatino Linotype"/>
          <w:sz w:val="22"/>
          <w:szCs w:val="22"/>
          <w:rtl w:val="0"/>
        </w:rPr>
        <w:t xml:space="preserve">se procede a dictar la presente resolución, con base en lo siguiente. </w:t>
      </w:r>
    </w:p>
    <w:p w:rsidR="00000000" w:rsidDel="00000000" w:rsidP="00000000" w:rsidRDefault="00000000" w:rsidRPr="00000000" w14:paraId="00000004">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05">
      <w:pPr>
        <w:numPr>
          <w:ilvl w:val="0"/>
          <w:numId w:val="5"/>
        </w:numPr>
        <w:pBdr>
          <w:top w:space="0" w:sz="0" w:val="nil"/>
          <w:left w:space="0" w:sz="0" w:val="nil"/>
          <w:bottom w:space="0" w:sz="0" w:val="nil"/>
          <w:right w:space="0" w:sz="0" w:val="nil"/>
          <w:between w:space="0" w:sz="0" w:val="nil"/>
        </w:pBdr>
        <w:spacing w:line="360" w:lineRule="auto"/>
        <w:ind w:left="1077" w:hanging="720"/>
        <w:jc w:val="center"/>
        <w:rPr>
          <w:rFonts w:ascii="Palatino Linotype" w:cs="Palatino Linotype" w:eastAsia="Palatino Linotype" w:hAnsi="Palatino Linotype"/>
          <w:b w:val="1"/>
          <w:bCs w:val="1"/>
          <w:sz w:val="22"/>
          <w:szCs w:val="22"/>
        </w:rPr>
      </w:pPr>
      <w:r w:rsidDel="00000000" w:rsidR="00000000" w:rsidRPr="00000000">
        <w:rPr>
          <w:rFonts w:ascii="Palatino Linotype" w:cs="Palatino Linotype" w:eastAsia="Palatino Linotype" w:hAnsi="Palatino Linotype"/>
          <w:b w:val="1"/>
          <w:bCs w:val="1"/>
          <w:sz w:val="22"/>
          <w:szCs w:val="22"/>
          <w:rtl w:val="0"/>
        </w:rPr>
        <w:t xml:space="preserve">A N T E C E D E N T E S:</w:t>
      </w:r>
    </w:p>
    <w:p w:rsidR="00000000" w:rsidDel="00000000" w:rsidP="00000000" w:rsidRDefault="00000000" w:rsidRPr="00000000" w14:paraId="00000006">
      <w:pPr>
        <w:pBdr>
          <w:top w:space="0" w:sz="0" w:val="nil"/>
          <w:left w:space="0" w:sz="0" w:val="nil"/>
          <w:bottom w:space="0" w:sz="0" w:val="nil"/>
          <w:right w:space="0" w:sz="0" w:val="nil"/>
          <w:between w:space="0" w:sz="0" w:val="nil"/>
        </w:pBdr>
        <w:spacing w:line="360" w:lineRule="auto"/>
        <w:ind w:left="1077" w:firstLine="0"/>
        <w:rPr>
          <w:rFonts w:ascii="Palatino Linotype" w:cs="Palatino Linotype" w:eastAsia="Palatino Linotype" w:hAnsi="Palatino Linotype"/>
          <w:b w:val="1"/>
          <w:bCs w:val="1"/>
          <w:sz w:val="22"/>
          <w:szCs w:val="22"/>
        </w:rPr>
      </w:pPr>
      <w:r w:rsidDel="00000000" w:rsidR="00000000" w:rsidRPr="00000000">
        <w:rPr>
          <w:rtl w:val="0"/>
        </w:rPr>
      </w:r>
    </w:p>
    <w:p w:rsidR="00000000" w:rsidDel="00000000" w:rsidP="00000000" w:rsidRDefault="00000000" w:rsidRPr="00000000" w14:paraId="00000007">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bCs w:val="1"/>
          <w:sz w:val="22"/>
          <w:szCs w:val="22"/>
          <w:rtl w:val="0"/>
        </w:rPr>
        <w:t xml:space="preserve">1. Solicitud de acceso a la información. </w:t>
      </w:r>
      <w:r w:rsidDel="00000000" w:rsidR="00000000" w:rsidRPr="00000000">
        <w:rPr>
          <w:rFonts w:ascii="Palatino Linotype" w:cs="Palatino Linotype" w:eastAsia="Palatino Linotype" w:hAnsi="Palatino Linotype"/>
          <w:sz w:val="22"/>
          <w:szCs w:val="22"/>
          <w:rtl w:val="0"/>
        </w:rPr>
        <w:t xml:space="preserve">Con fecha </w:t>
      </w:r>
      <w:r w:rsidDel="00000000" w:rsidR="00000000" w:rsidRPr="00000000">
        <w:rPr>
          <w:rFonts w:ascii="Palatino Linotype" w:cs="Palatino Linotype" w:eastAsia="Palatino Linotype" w:hAnsi="Palatino Linotype"/>
          <w:b w:val="1"/>
          <w:bCs w:val="1"/>
          <w:sz w:val="22"/>
          <w:szCs w:val="22"/>
          <w:rtl w:val="0"/>
        </w:rPr>
        <w:t xml:space="preserve">veintiuno de noviembre de dos mil veinticinco</w:t>
      </w:r>
      <w:r w:rsidDel="00000000" w:rsidR="00000000" w:rsidRPr="00000000">
        <w:rPr>
          <w:rFonts w:ascii="Palatino Linotype" w:cs="Palatino Linotype" w:eastAsia="Palatino Linotype" w:hAnsi="Palatino Linotype"/>
          <w:sz w:val="22"/>
          <w:szCs w:val="22"/>
          <w:rtl w:val="0"/>
        </w:rPr>
        <w:t xml:space="preserve">, la parte </w:t>
      </w:r>
      <w:r w:rsidDel="00000000" w:rsidR="00000000" w:rsidRPr="00000000">
        <w:rPr>
          <w:rFonts w:ascii="Palatino Linotype" w:cs="Palatino Linotype" w:eastAsia="Palatino Linotype" w:hAnsi="Palatino Linotype"/>
          <w:b w:val="1"/>
          <w:bCs w:val="1"/>
          <w:sz w:val="22"/>
          <w:szCs w:val="22"/>
          <w:rtl w:val="0"/>
        </w:rPr>
        <w:t xml:space="preserve">RECURRENTE </w:t>
      </w:r>
      <w:r w:rsidDel="00000000" w:rsidR="00000000" w:rsidRPr="00000000">
        <w:rPr>
          <w:rFonts w:ascii="Palatino Linotype" w:cs="Palatino Linotype" w:eastAsia="Palatino Linotype" w:hAnsi="Palatino Linotype"/>
          <w:sz w:val="22"/>
          <w:szCs w:val="22"/>
          <w:rtl w:val="0"/>
        </w:rPr>
        <w:t xml:space="preserve">formuló a través del Sistema de Acceso a la Información Mexiquense, en adelante </w:t>
      </w:r>
      <w:r w:rsidDel="00000000" w:rsidR="00000000" w:rsidRPr="00000000">
        <w:rPr>
          <w:rFonts w:ascii="Palatino Linotype" w:cs="Palatino Linotype" w:eastAsia="Palatino Linotype" w:hAnsi="Palatino Linotype"/>
          <w:b w:val="1"/>
          <w:bCs w:val="1"/>
          <w:sz w:val="22"/>
          <w:szCs w:val="22"/>
          <w:rtl w:val="0"/>
        </w:rPr>
        <w:t xml:space="preserve">SAIMEX,</w:t>
      </w:r>
      <w:r w:rsidDel="00000000" w:rsidR="00000000" w:rsidRPr="00000000">
        <w:rPr>
          <w:rFonts w:ascii="Palatino Linotype" w:cs="Palatino Linotype" w:eastAsia="Palatino Linotype" w:hAnsi="Palatino Linotype"/>
          <w:sz w:val="22"/>
          <w:szCs w:val="22"/>
          <w:rtl w:val="0"/>
        </w:rPr>
        <w:t xml:space="preserve"> solicitud de información al </w:t>
      </w:r>
      <w:r w:rsidDel="00000000" w:rsidR="00000000" w:rsidRPr="00000000">
        <w:rPr>
          <w:rFonts w:ascii="Palatino Linotype" w:cs="Palatino Linotype" w:eastAsia="Palatino Linotype" w:hAnsi="Palatino Linotype"/>
          <w:b w:val="1"/>
          <w:bCs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requiriéndole lo siguiente:</w:t>
      </w:r>
    </w:p>
    <w:p w:rsidR="00000000" w:rsidDel="00000000" w:rsidP="00000000" w:rsidRDefault="00000000" w:rsidRPr="00000000" w14:paraId="00000008">
      <w:pPr>
        <w:ind w:left="567" w:right="616" w:firstLine="0"/>
        <w:jc w:val="both"/>
        <w:rPr>
          <w:rFonts w:ascii="Palatino Linotype" w:cs="Palatino Linotype" w:eastAsia="Palatino Linotype" w:hAnsi="Palatino Linotype"/>
          <w:i w:val="1"/>
          <w:iCs w:val="1"/>
          <w:sz w:val="22"/>
          <w:szCs w:val="22"/>
        </w:rPr>
      </w:pPr>
      <w:r w:rsidDel="00000000" w:rsidR="00000000" w:rsidRPr="00000000">
        <w:rPr>
          <w:rtl w:val="0"/>
        </w:rPr>
      </w:r>
    </w:p>
    <w:p w:rsidR="00000000" w:rsidDel="00000000" w:rsidP="00000000" w:rsidRDefault="00000000" w:rsidRPr="00000000" w14:paraId="00000009">
      <w:pPr>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“Requiero el currículum vitae completo proporcionado por la actual Directora de Desarrollo Económico al momento de su contratación o nombramiento.” (Sic)</w:t>
      </w:r>
    </w:p>
    <w:p w:rsidR="00000000" w:rsidDel="00000000" w:rsidP="00000000" w:rsidRDefault="00000000" w:rsidRPr="00000000" w14:paraId="0000000A">
      <w:pPr>
        <w:spacing w:line="360" w:lineRule="auto"/>
        <w:jc w:val="both"/>
        <w:rPr>
          <w:rFonts w:ascii="Palatino Linotype" w:cs="Palatino Linotype" w:eastAsia="Palatino Linotype" w:hAnsi="Palatino Linotype"/>
          <w:b w:val="1"/>
          <w:bCs w:val="1"/>
          <w:sz w:val="22"/>
          <w:szCs w:val="22"/>
        </w:rPr>
      </w:pPr>
      <w:r w:rsidDel="00000000" w:rsidR="00000000" w:rsidRPr="00000000">
        <w:rPr>
          <w:rtl w:val="0"/>
        </w:rPr>
      </w:r>
    </w:p>
    <w:p w:rsidR="00000000" w:rsidDel="00000000" w:rsidP="00000000" w:rsidRDefault="00000000" w:rsidRPr="00000000" w14:paraId="0000000B">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bCs w:val="1"/>
          <w:sz w:val="22"/>
          <w:szCs w:val="22"/>
          <w:rtl w:val="0"/>
        </w:rPr>
        <w:t xml:space="preserve">Modalidad elegida para la entrega de la información: </w:t>
      </w:r>
      <w:r w:rsidDel="00000000" w:rsidR="00000000" w:rsidRPr="00000000">
        <w:rPr>
          <w:rFonts w:ascii="Palatino Linotype" w:cs="Palatino Linotype" w:eastAsia="Palatino Linotype" w:hAnsi="Palatino Linotype"/>
          <w:sz w:val="22"/>
          <w:szCs w:val="22"/>
          <w:rtl w:val="0"/>
        </w:rPr>
        <w:t xml:space="preserve">a través del SAIMEX.</w:t>
      </w:r>
    </w:p>
    <w:p w:rsidR="00000000" w:rsidDel="00000000" w:rsidP="00000000" w:rsidRDefault="00000000" w:rsidRPr="00000000" w14:paraId="0000000C">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0D">
      <w:pPr>
        <w:spacing w:line="360" w:lineRule="auto"/>
        <w:jc w:val="both"/>
        <w:rPr>
          <w:rFonts w:ascii="Palatino Linotype" w:cs="Palatino Linotype" w:eastAsia="Palatino Linotype" w:hAnsi="Palatino Linotype"/>
          <w:b w:val="1"/>
          <w:bCs w:val="1"/>
          <w:sz w:val="22"/>
          <w:szCs w:val="22"/>
        </w:rPr>
      </w:pPr>
      <w:r w:rsidDel="00000000" w:rsidR="00000000" w:rsidRPr="00000000">
        <w:rPr>
          <w:rFonts w:ascii="Palatino Linotype" w:cs="Palatino Linotype" w:eastAsia="Palatino Linotype" w:hAnsi="Palatino Linotype"/>
          <w:b w:val="1"/>
          <w:bCs w:val="1"/>
          <w:sz w:val="22"/>
          <w:szCs w:val="22"/>
          <w:rtl w:val="0"/>
        </w:rPr>
        <w:t xml:space="preserve">2. Respuesta. </w:t>
      </w:r>
      <w:r w:rsidDel="00000000" w:rsidR="00000000" w:rsidRPr="00000000">
        <w:rPr>
          <w:rFonts w:ascii="Palatino Linotype" w:cs="Palatino Linotype" w:eastAsia="Palatino Linotype" w:hAnsi="Palatino Linotype"/>
          <w:sz w:val="22"/>
          <w:szCs w:val="22"/>
          <w:rtl w:val="0"/>
        </w:rPr>
        <w:t xml:space="preserve">El </w:t>
      </w:r>
      <w:r w:rsidDel="00000000" w:rsidR="00000000" w:rsidRPr="00000000">
        <w:rPr>
          <w:rFonts w:ascii="Palatino Linotype" w:cs="Palatino Linotype" w:eastAsia="Palatino Linotype" w:hAnsi="Palatino Linotype"/>
          <w:b w:val="1"/>
          <w:bCs w:val="1"/>
          <w:sz w:val="22"/>
          <w:szCs w:val="22"/>
          <w:rtl w:val="0"/>
        </w:rPr>
        <w:t xml:space="preserve">SUJETO OBLIGADO </w:t>
      </w:r>
      <w:r w:rsidDel="00000000" w:rsidR="00000000" w:rsidRPr="00000000">
        <w:rPr>
          <w:rFonts w:ascii="Palatino Linotype" w:cs="Palatino Linotype" w:eastAsia="Palatino Linotype" w:hAnsi="Palatino Linotype"/>
          <w:sz w:val="22"/>
          <w:szCs w:val="22"/>
          <w:rtl w:val="0"/>
        </w:rPr>
        <w:t xml:space="preserve">fue omiso en proporcionar respuesta. </w:t>
      </w:r>
      <w:r w:rsidDel="00000000" w:rsidR="00000000" w:rsidRPr="00000000">
        <w:rPr>
          <w:rtl w:val="0"/>
        </w:rPr>
      </w:r>
    </w:p>
    <w:p w:rsidR="00000000" w:rsidDel="00000000" w:rsidP="00000000" w:rsidRDefault="00000000" w:rsidRPr="00000000" w14:paraId="0000000E">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0F">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bCs w:val="1"/>
          <w:sz w:val="22"/>
          <w:szCs w:val="22"/>
          <w:rtl w:val="0"/>
        </w:rPr>
        <w:t xml:space="preserve">3. Interposición del recurso de revisión. </w:t>
      </w:r>
      <w:r w:rsidDel="00000000" w:rsidR="00000000" w:rsidRPr="00000000">
        <w:rPr>
          <w:rFonts w:ascii="Palatino Linotype" w:cs="Palatino Linotype" w:eastAsia="Palatino Linotype" w:hAnsi="Palatino Linotype"/>
          <w:sz w:val="22"/>
          <w:szCs w:val="22"/>
          <w:rtl w:val="0"/>
        </w:rPr>
        <w:t xml:space="preserve">Inconforme la parte solicitante con la falta de respuesta del </w:t>
      </w:r>
      <w:r w:rsidDel="00000000" w:rsidR="00000000" w:rsidRPr="00000000">
        <w:rPr>
          <w:rFonts w:ascii="Palatino Linotype" w:cs="Palatino Linotype" w:eastAsia="Palatino Linotype" w:hAnsi="Palatino Linotype"/>
          <w:b w:val="1"/>
          <w:bCs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interpuso recurso de revisión a través del SAIMEX en fecha </w:t>
      </w:r>
      <w:r w:rsidDel="00000000" w:rsidR="00000000" w:rsidRPr="00000000">
        <w:rPr>
          <w:rFonts w:ascii="Palatino Linotype" w:cs="Palatino Linotype" w:eastAsia="Palatino Linotype" w:hAnsi="Palatino Linotype"/>
          <w:b w:val="1"/>
          <w:bCs w:val="1"/>
          <w:sz w:val="22"/>
          <w:szCs w:val="22"/>
          <w:rtl w:val="0"/>
        </w:rPr>
        <w:t xml:space="preserve">quince de diciembre de dos mil veinticinco</w:t>
      </w:r>
      <w:r w:rsidDel="00000000" w:rsidR="00000000" w:rsidRPr="00000000">
        <w:rPr>
          <w:rFonts w:ascii="Palatino Linotype" w:cs="Palatino Linotype" w:eastAsia="Palatino Linotype" w:hAnsi="Palatino Linotype"/>
          <w:sz w:val="22"/>
          <w:szCs w:val="22"/>
          <w:rtl w:val="0"/>
        </w:rPr>
        <w:t xml:space="preserve">, expresando lo siguiente:</w:t>
      </w:r>
    </w:p>
    <w:p w:rsidR="00000000" w:rsidDel="00000000" w:rsidP="00000000" w:rsidRDefault="00000000" w:rsidRPr="00000000" w14:paraId="00000010">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11">
      <w:pPr>
        <w:ind w:left="567" w:right="616" w:hanging="567"/>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sz w:val="22"/>
          <w:szCs w:val="22"/>
          <w:rtl w:val="0"/>
        </w:rPr>
        <w:t xml:space="preserve">a) Acto impugnado</w:t>
      </w:r>
      <w:r w:rsidDel="00000000" w:rsidR="00000000" w:rsidRPr="00000000">
        <w:rPr>
          <w:rFonts w:ascii="Palatino Linotype" w:cs="Palatino Linotype" w:eastAsia="Palatino Linotype" w:hAnsi="Palatino Linotype"/>
          <w:i w:val="1"/>
          <w:iCs w:val="1"/>
          <w:sz w:val="22"/>
          <w:szCs w:val="22"/>
          <w:rtl w:val="0"/>
        </w:rPr>
        <w:t xml:space="preserve">. “Requiero el currículum vitae completo proporcionado por la actual Directora de Desarrollo Económico al momento de su contratación o nombramiento.” (Sic)</w:t>
      </w:r>
    </w:p>
    <w:p w:rsidR="00000000" w:rsidDel="00000000" w:rsidP="00000000" w:rsidRDefault="00000000" w:rsidRPr="00000000" w14:paraId="00000012">
      <w:pPr>
        <w:spacing w:line="360" w:lineRule="auto"/>
        <w:ind w:left="567" w:right="616" w:firstLine="0"/>
        <w:rPr>
          <w:rFonts w:ascii="Palatino Linotype" w:cs="Palatino Linotype" w:eastAsia="Palatino Linotype" w:hAnsi="Palatino Linotype"/>
          <w:b w:val="1"/>
          <w:bCs w:val="1"/>
          <w:sz w:val="22"/>
          <w:szCs w:val="22"/>
        </w:rPr>
      </w:pPr>
      <w:r w:rsidDel="00000000" w:rsidR="00000000" w:rsidRPr="00000000">
        <w:rPr>
          <w:rtl w:val="0"/>
        </w:rPr>
      </w:r>
    </w:p>
    <w:p w:rsidR="00000000" w:rsidDel="00000000" w:rsidP="00000000" w:rsidRDefault="00000000" w:rsidRPr="00000000" w14:paraId="00000013">
      <w:pPr>
        <w:spacing w:line="360" w:lineRule="auto"/>
        <w:ind w:left="567"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sz w:val="22"/>
          <w:szCs w:val="22"/>
          <w:rtl w:val="0"/>
        </w:rPr>
        <w:t xml:space="preserve">b) Motivos de inconformidad. </w:t>
      </w:r>
      <w:r w:rsidDel="00000000" w:rsidR="00000000" w:rsidRPr="00000000">
        <w:rPr>
          <w:rFonts w:ascii="Palatino Linotype" w:cs="Palatino Linotype" w:eastAsia="Palatino Linotype" w:hAnsi="Palatino Linotype"/>
          <w:i w:val="1"/>
          <w:iCs w:val="1"/>
          <w:sz w:val="22"/>
          <w:szCs w:val="22"/>
          <w:rtl w:val="0"/>
        </w:rPr>
        <w:t xml:space="preserve">“El Ayuntamiento de Tepotzotlán vulnera mis derechos de acceso a la información al NO emitir respuesta en tiempo, NO fundar ni motivar una inexistencia, reserva o clasificación. NO proporcionar los documentos solicitados. NO orientar, turnar ni emitir ampliación justificada. La conducta del sujeto obligado constituye una obstrucción del derecho de acceso a la información, afectándome directamente como persona solicitante, al dejarme en estado de incertidumbre jurídica sin resolución válida. En términos del articulo 6 y 8 constitucional tengo derecho a realizar mi petición y tener acceso a la información pública, así mismo de conformidad al articulo 4, 11, 15, 92, 111, 112, 150, 151, 152, 160, 162, 176, 177, 178, 179, 180, de la Ley de Transparencia y Acceso a la Información Publica del Estado de México y Municipios se hace de su conocimiento que transcurrido el plazo para darme una respuesta el ayuntamiento hizo caso omiso y nunca contesto mi solicitud de información publica por lo que exijo una respuesta ya que se supone deben hacer una revisión exhaustiva para buscar los documentos públicos solicitados. Solicito respetuosamente que el INFOEM determine la omisión del Sujeto Obligado al no responder mi solicitud de información dentro del plazo legal, lo cual constituye una infracción conforme a los artículos de la Ley de Transparencia del Estado de México y Municipios. De igual forma solicito que se otorgue vista al Órgano Interno de Control del Ayuntamiento para que, conforme a los artículos 194, 195, 196, 200, 213, 214, 215, 222, 223 y 224 de la citada ley, así como 49, 50, 57 y 76–81 de la Ley de Responsabilidades Administrativas del Estado de México y Municipios, lleve a cabo el procedimiento correspondiente e imponga las sanciones, multas o apercibimientos que resulten aplicables contra el servidor público responsable de la omisión. Solicito también que el INFOEM aperciba a la Unidad de Transparencia del Ayuntamiento para que dé cumplimiento inmediato a la entrega de la información requerida. Solicito que, de conformidad con la ley, se impongan las sanciones correspondientes a los funcionarios responsables por incumplimiento de los plazos de respuesta. En caso de inexistencia (que debe ser demostrada), se requiera al Comité de Transparencia seguir el procedimiento de verificación. En caso de que la información solicitada contenga datos personales, clasificados o confidenciales, requiero que el sujeto obligado elabore y entregue versión pública debidamente testada garantizando mi derecho de acceso a la información sin afectar los datos protegidos. Se solicita que el testado sea estricto, proporcional y justificado, acompañado del acta del Comité de Transparencia donde conste la clasificación o determinación correspondiente. (Sic)</w:t>
      </w:r>
    </w:p>
    <w:p w:rsidR="00000000" w:rsidDel="00000000" w:rsidP="00000000" w:rsidRDefault="00000000" w:rsidRPr="00000000" w14:paraId="00000014">
      <w:pPr>
        <w:spacing w:line="360" w:lineRule="auto"/>
        <w:jc w:val="both"/>
        <w:rPr>
          <w:rFonts w:ascii="Palatino Linotype" w:cs="Palatino Linotype" w:eastAsia="Palatino Linotype" w:hAnsi="Palatino Linotype"/>
          <w:i w:val="1"/>
          <w:iCs w:val="1"/>
          <w:sz w:val="22"/>
          <w:szCs w:val="22"/>
        </w:rPr>
      </w:pPr>
      <w:r w:rsidDel="00000000" w:rsidR="00000000" w:rsidRPr="00000000">
        <w:rPr>
          <w:rtl w:val="0"/>
        </w:rPr>
      </w:r>
    </w:p>
    <w:p w:rsidR="00000000" w:rsidDel="00000000" w:rsidP="00000000" w:rsidRDefault="00000000" w:rsidRPr="00000000" w14:paraId="00000015">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bCs w:val="1"/>
          <w:sz w:val="22"/>
          <w:szCs w:val="22"/>
          <w:rtl w:val="0"/>
        </w:rPr>
        <w:t xml:space="preserve">4. Turno. </w:t>
      </w:r>
      <w:r w:rsidDel="00000000" w:rsidR="00000000" w:rsidRPr="00000000">
        <w:rPr>
          <w:rFonts w:ascii="Palatino Linotype" w:cs="Palatino Linotype" w:eastAsia="Palatino Linotype" w:hAnsi="Palatino Linotype"/>
          <w:sz w:val="22"/>
          <w:szCs w:val="22"/>
          <w:rtl w:val="0"/>
        </w:rPr>
        <w:t xml:space="preserve">De conformidad con el artículo 185 Fracción I de la Ley Transparencia y Acceso a la Información Pública, el recurso de revisión fue turnado a la Comisionada Ponente </w:t>
      </w:r>
      <w:r w:rsidDel="00000000" w:rsidR="00000000" w:rsidRPr="00000000">
        <w:rPr>
          <w:rFonts w:ascii="Palatino Linotype" w:cs="Palatino Linotype" w:eastAsia="Palatino Linotype" w:hAnsi="Palatino Linotype"/>
          <w:b w:val="1"/>
          <w:bCs w:val="1"/>
          <w:sz w:val="22"/>
          <w:szCs w:val="22"/>
          <w:rtl w:val="0"/>
        </w:rPr>
        <w:t xml:space="preserve">Guadalupe Ramírez Peña</w:t>
      </w:r>
      <w:r w:rsidDel="00000000" w:rsidR="00000000" w:rsidRPr="00000000">
        <w:rPr>
          <w:rFonts w:ascii="Palatino Linotype" w:cs="Palatino Linotype" w:eastAsia="Palatino Linotype" w:hAnsi="Palatino Linotype"/>
          <w:sz w:val="22"/>
          <w:szCs w:val="22"/>
          <w:rtl w:val="0"/>
        </w:rPr>
        <w:t xml:space="preserve">, a efecto de presentar al Pleno el proyecto de resolución correspondiente.</w:t>
      </w:r>
    </w:p>
    <w:p w:rsidR="00000000" w:rsidDel="00000000" w:rsidP="00000000" w:rsidRDefault="00000000" w:rsidRPr="00000000" w14:paraId="00000016">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17">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bCs w:val="1"/>
          <w:sz w:val="22"/>
          <w:szCs w:val="22"/>
          <w:rtl w:val="0"/>
        </w:rPr>
        <w:t xml:space="preserve">5. Admisión. </w:t>
      </w:r>
      <w:r w:rsidDel="00000000" w:rsidR="00000000" w:rsidRPr="00000000">
        <w:rPr>
          <w:rFonts w:ascii="Palatino Linotype" w:cs="Palatino Linotype" w:eastAsia="Palatino Linotype" w:hAnsi="Palatino Linotype"/>
          <w:sz w:val="22"/>
          <w:szCs w:val="22"/>
          <w:rtl w:val="0"/>
        </w:rPr>
        <w:t xml:space="preserve">En fecha </w:t>
      </w:r>
      <w:r w:rsidDel="00000000" w:rsidR="00000000" w:rsidRPr="00000000">
        <w:rPr>
          <w:rFonts w:ascii="Palatino Linotype" w:cs="Palatino Linotype" w:eastAsia="Palatino Linotype" w:hAnsi="Palatino Linotype"/>
          <w:b w:val="1"/>
          <w:bCs w:val="1"/>
          <w:sz w:val="22"/>
          <w:szCs w:val="22"/>
          <w:rtl w:val="0"/>
        </w:rPr>
        <w:t xml:space="preserve">dieciocho de diciembre de dos mil veinticinco</w:t>
      </w:r>
      <w:r w:rsidDel="00000000" w:rsidR="00000000" w:rsidRPr="00000000">
        <w:rPr>
          <w:rFonts w:ascii="Palatino Linotype" w:cs="Palatino Linotype" w:eastAsia="Palatino Linotype" w:hAnsi="Palatino Linotype"/>
          <w:sz w:val="22"/>
          <w:szCs w:val="22"/>
          <w:rtl w:val="0"/>
        </w:rPr>
        <w:t xml:space="preserve">, en términos de lo dispuesto en el artículo 185 fracciones I, II y IV de la Ley de Transparencia y Acceso a la Información Pública del Estado de México y Municipios, se admitió a trámite el recurso de revisión al rubro indicado.</w:t>
      </w:r>
    </w:p>
    <w:p w:rsidR="00000000" w:rsidDel="00000000" w:rsidP="00000000" w:rsidRDefault="00000000" w:rsidRPr="00000000" w14:paraId="00000018">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19">
      <w:pPr>
        <w:widowControl w:val="0"/>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bCs w:val="1"/>
          <w:sz w:val="22"/>
          <w:szCs w:val="22"/>
          <w:rtl w:val="0"/>
        </w:rPr>
        <w:t xml:space="preserve">6. Manifestaciones</w:t>
      </w:r>
      <w:r w:rsidDel="00000000" w:rsidR="00000000" w:rsidRPr="00000000">
        <w:rPr>
          <w:rFonts w:ascii="Palatino Linotype" w:cs="Palatino Linotype" w:eastAsia="Palatino Linotype" w:hAnsi="Palatino Linotype"/>
          <w:sz w:val="22"/>
          <w:szCs w:val="22"/>
          <w:rtl w:val="0"/>
        </w:rPr>
        <w:t xml:space="preserve">. Las partes fueron omisas en rendir manifestaciones, como se observa a continuación en la siguiente imagen. </w:t>
      </w:r>
    </w:p>
    <w:p w:rsidR="00000000" w:rsidDel="00000000" w:rsidP="00000000" w:rsidRDefault="00000000" w:rsidRPr="00000000" w14:paraId="0000001A">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Pr>
        <w:drawing>
          <wp:inline distB="0" distT="0" distL="0" distR="0">
            <wp:extent cx="5612130" cy="1610995"/>
            <wp:effectExtent b="0" l="0" r="0" t="0"/>
            <wp:docPr id="21"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5612130" cy="1610995"/>
                    </a:xfrm>
                    <a:prstGeom prst="rect"/>
                    <a:ln/>
                  </pic:spPr>
                </pic:pic>
              </a:graphicData>
            </a:graphic>
          </wp:inline>
        </w:drawing>
      </w:r>
      <w:r w:rsidDel="00000000" w:rsidR="00000000" w:rsidRPr="00000000">
        <w:rPr>
          <w:rFonts w:ascii="Palatino Linotype" w:cs="Palatino Linotype" w:eastAsia="Palatino Linotype" w:hAnsi="Palatino Linotype"/>
          <w:sz w:val="22"/>
          <w:szCs w:val="22"/>
          <w:rtl w:val="0"/>
        </w:rPr>
        <w:t xml:space="preserve"> </w:t>
      </w:r>
    </w:p>
    <w:p w:rsidR="00000000" w:rsidDel="00000000" w:rsidP="00000000" w:rsidRDefault="00000000" w:rsidRPr="00000000" w14:paraId="0000001B">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bCs w:val="1"/>
          <w:sz w:val="22"/>
          <w:szCs w:val="22"/>
          <w:rtl w:val="0"/>
        </w:rPr>
        <w:t xml:space="preserve">7. Cierre de instrucción. </w:t>
      </w:r>
      <w:r w:rsidDel="00000000" w:rsidR="00000000" w:rsidRPr="00000000">
        <w:rPr>
          <w:rFonts w:ascii="Palatino Linotype" w:cs="Palatino Linotype" w:eastAsia="Palatino Linotype" w:hAnsi="Palatino Linotype"/>
          <w:sz w:val="22"/>
          <w:szCs w:val="22"/>
          <w:rtl w:val="0"/>
        </w:rPr>
        <w:t xml:space="preserve">Una vez transcurrido el periodo otorgado a las partes para realizar sus manifestaciones y no habiendo documentos que integrar al expediente, con fecha </w:t>
      </w:r>
      <w:r w:rsidDel="00000000" w:rsidR="00000000" w:rsidRPr="00000000">
        <w:rPr>
          <w:rFonts w:ascii="Palatino Linotype" w:cs="Palatino Linotype" w:eastAsia="Palatino Linotype" w:hAnsi="Palatino Linotype"/>
          <w:b w:val="1"/>
          <w:bCs w:val="1"/>
          <w:sz w:val="22"/>
          <w:szCs w:val="22"/>
          <w:rtl w:val="0"/>
        </w:rPr>
        <w:t xml:space="preserve">veinte de enero de dos mil veintiséis</w:t>
      </w:r>
      <w:r w:rsidDel="00000000" w:rsidR="00000000" w:rsidRPr="00000000">
        <w:rPr>
          <w:rFonts w:ascii="Palatino Linotype" w:cs="Palatino Linotype" w:eastAsia="Palatino Linotype" w:hAnsi="Palatino Linotype"/>
          <w:sz w:val="22"/>
          <w:szCs w:val="22"/>
          <w:rtl w:val="0"/>
        </w:rPr>
        <w:t xml:space="preserve">, la Comisionada Ponente determinó el cierre de instrucción en términos de la fracción VI del artículo 185 de la Ley de Transparencia y Acceso a la Información Pública del Estado de México y Municipios.</w:t>
      </w:r>
    </w:p>
    <w:p w:rsidR="00000000" w:rsidDel="00000000" w:rsidP="00000000" w:rsidRDefault="00000000" w:rsidRPr="00000000" w14:paraId="0000001C">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1D">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razón de que fue debidamente sustanciado el expediente electrónico y no existe diligencia pendiente de desahogo, se emite la Resolución que conforme a Derecho proceda, de acuerdo con los siguientes: </w:t>
      </w:r>
    </w:p>
    <w:p w:rsidR="00000000" w:rsidDel="00000000" w:rsidP="00000000" w:rsidRDefault="00000000" w:rsidRPr="00000000" w14:paraId="0000001E">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1F">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20">
      <w:pPr>
        <w:widowControl w:val="0"/>
        <w:spacing w:line="360" w:lineRule="auto"/>
        <w:jc w:val="center"/>
        <w:rPr>
          <w:rFonts w:ascii="Palatino Linotype" w:cs="Palatino Linotype" w:eastAsia="Palatino Linotype" w:hAnsi="Palatino Linotype"/>
          <w:b w:val="1"/>
          <w:bCs w:val="1"/>
          <w:sz w:val="22"/>
          <w:szCs w:val="22"/>
        </w:rPr>
      </w:pPr>
      <w:r w:rsidDel="00000000" w:rsidR="00000000" w:rsidRPr="00000000">
        <w:rPr>
          <w:rFonts w:ascii="Palatino Linotype" w:cs="Palatino Linotype" w:eastAsia="Palatino Linotype" w:hAnsi="Palatino Linotype"/>
          <w:b w:val="1"/>
          <w:bCs w:val="1"/>
          <w:sz w:val="22"/>
          <w:szCs w:val="22"/>
          <w:rtl w:val="0"/>
        </w:rPr>
        <w:t xml:space="preserve">II. C O N S I D E R A N D O S</w:t>
      </w:r>
    </w:p>
    <w:p w:rsidR="00000000" w:rsidDel="00000000" w:rsidP="00000000" w:rsidRDefault="00000000" w:rsidRPr="00000000" w14:paraId="00000021">
      <w:pPr>
        <w:widowControl w:val="0"/>
        <w:pBdr>
          <w:top w:space="0" w:sz="0" w:val="nil"/>
          <w:left w:space="0" w:sz="0" w:val="nil"/>
          <w:bottom w:space="0" w:sz="0" w:val="nil"/>
          <w:right w:space="0" w:sz="0" w:val="nil"/>
          <w:between w:space="0" w:sz="0" w:val="nil"/>
        </w:pBdr>
        <w:spacing w:line="360" w:lineRule="auto"/>
        <w:ind w:left="1080" w:firstLine="0"/>
        <w:rPr>
          <w:rFonts w:ascii="Palatino Linotype" w:cs="Palatino Linotype" w:eastAsia="Palatino Linotype" w:hAnsi="Palatino Linotype"/>
          <w:b w:val="1"/>
          <w:bCs w:val="1"/>
          <w:sz w:val="22"/>
          <w:szCs w:val="22"/>
        </w:rPr>
      </w:pPr>
      <w:r w:rsidDel="00000000" w:rsidR="00000000" w:rsidRPr="00000000">
        <w:rPr>
          <w:rtl w:val="0"/>
        </w:rPr>
      </w:r>
    </w:p>
    <w:p w:rsidR="00000000" w:rsidDel="00000000" w:rsidP="00000000" w:rsidRDefault="00000000" w:rsidRPr="00000000" w14:paraId="00000022">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bCs w:val="1"/>
          <w:sz w:val="22"/>
          <w:szCs w:val="22"/>
          <w:rtl w:val="0"/>
        </w:rPr>
        <w:t xml:space="preserve">Primero. Competencia.</w:t>
      </w:r>
      <w:r w:rsidDel="00000000" w:rsidR="00000000" w:rsidRPr="00000000">
        <w:rPr>
          <w:rFonts w:ascii="Palatino Linotype" w:cs="Palatino Linotype" w:eastAsia="Palatino Linotype" w:hAnsi="Palatino Linotype"/>
          <w:sz w:val="22"/>
          <w:szCs w:val="22"/>
          <w:rtl w:val="0"/>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cuadragésimo cuarto, cuadragésimo quinto y cuadragésimo sexto, fracciones IV y V de la Constitución Política del Estado Libre y Soberano de México; transitorio Cuarto del Decreto número 198 de la “LXII” Legislatura del Estado de México; 1, 2, fracción II; 13, 29, 36, fracciones I y II; 176, 178, 179, 181 párrafo tercero y 185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rsidR="00000000" w:rsidDel="00000000" w:rsidP="00000000" w:rsidRDefault="00000000" w:rsidRPr="00000000" w14:paraId="00000023">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24">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bCs w:val="1"/>
          <w:sz w:val="22"/>
          <w:szCs w:val="22"/>
          <w:rtl w:val="0"/>
        </w:rPr>
        <w:t xml:space="preserve">Segundo. Oportunidad y Procedibilidad del Recurso de Revisión. </w:t>
      </w:r>
      <w:r w:rsidDel="00000000" w:rsidR="00000000" w:rsidRPr="00000000">
        <w:rPr>
          <w:rFonts w:ascii="Palatino Linotype" w:cs="Palatino Linotype" w:eastAsia="Palatino Linotype" w:hAnsi="Palatino Linotype"/>
          <w:sz w:val="22"/>
          <w:szCs w:val="22"/>
          <w:rtl w:val="0"/>
        </w:rPr>
        <w:t xml:space="preserve">Por cuanto hace a la oportunidad del recurso de revisión</w:t>
      </w:r>
      <w:r w:rsidDel="00000000" w:rsidR="00000000" w:rsidRPr="00000000">
        <w:rPr>
          <w:rFonts w:ascii="Palatino Linotype" w:cs="Palatino Linotype" w:eastAsia="Palatino Linotype" w:hAnsi="Palatino Linotype"/>
          <w:b w:val="1"/>
          <w:bCs w:val="1"/>
          <w:sz w:val="22"/>
          <w:szCs w:val="22"/>
          <w:rtl w:val="0"/>
        </w:rPr>
        <w:t xml:space="preserve"> </w:t>
      </w:r>
      <w:r w:rsidDel="00000000" w:rsidR="00000000" w:rsidRPr="00000000">
        <w:rPr>
          <w:rFonts w:ascii="Palatino Linotype" w:cs="Palatino Linotype" w:eastAsia="Palatino Linotype" w:hAnsi="Palatino Linotype"/>
          <w:sz w:val="22"/>
          <w:szCs w:val="22"/>
          <w:rtl w:val="0"/>
        </w:rPr>
        <w:t xml:space="preserve">es necesario considerar lo previsto en los artículos 163, párrafo primero; 166, penúltimo párrafo y 178, párrafo segundo; de la Ley de Transparencia y Acceso a la Información Pública del Estado de México y Municipios, de cuya interpretación se obtiene que el plazo que les asiste a los Sujetos Obligados para entregar la respuesta a una solicitud de información pública, es de quince días hábiles posteriores a la presentación de ésta; sin embargo, en aquellos casos en que transcurre el referido plazo de quince días hábiles sin que los Sujetos Obligados entreguen la respuesta a la solicitud de información, esta se considera negada; por lo que al solicitante le asiste el derecho para presentar el recurso de revisión en cualquier momento.</w:t>
      </w:r>
    </w:p>
    <w:p w:rsidR="00000000" w:rsidDel="00000000" w:rsidP="00000000" w:rsidRDefault="00000000" w:rsidRPr="00000000" w14:paraId="00000025">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26">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Derivado de lo anterior, se constituye la figura jurídica de la </w:t>
      </w:r>
      <w:r w:rsidDel="00000000" w:rsidR="00000000" w:rsidRPr="00000000">
        <w:rPr>
          <w:rFonts w:ascii="Palatino Linotype" w:cs="Palatino Linotype" w:eastAsia="Palatino Linotype" w:hAnsi="Palatino Linotype"/>
          <w:b w:val="1"/>
          <w:bCs w:val="1"/>
          <w:sz w:val="22"/>
          <w:szCs w:val="22"/>
          <w:rtl w:val="0"/>
        </w:rPr>
        <w:t xml:space="preserve">NEGATIVA FICTA</w:t>
      </w:r>
      <w:r w:rsidDel="00000000" w:rsidR="00000000" w:rsidRPr="00000000">
        <w:rPr>
          <w:rFonts w:ascii="Palatino Linotype" w:cs="Palatino Linotype" w:eastAsia="Palatino Linotype" w:hAnsi="Palatino Linotype"/>
          <w:sz w:val="22"/>
          <w:szCs w:val="22"/>
          <w:rtl w:val="0"/>
        </w:rPr>
        <w:t xml:space="preserve">, cuya esencia consiste en atribuir un efecto negativo al silencio de la autoridad administrativa frente a las instancias y solicitudes que hagan los particulares.</w:t>
      </w:r>
    </w:p>
    <w:p w:rsidR="00000000" w:rsidDel="00000000" w:rsidP="00000000" w:rsidRDefault="00000000" w:rsidRPr="00000000" w14:paraId="00000027">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28">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 tal manera, en el presente recurso de revisión se actualizó la negativa ficta por parte del </w:t>
      </w:r>
      <w:r w:rsidDel="00000000" w:rsidR="00000000" w:rsidRPr="00000000">
        <w:rPr>
          <w:rFonts w:ascii="Palatino Linotype" w:cs="Palatino Linotype" w:eastAsia="Palatino Linotype" w:hAnsi="Palatino Linotype"/>
          <w:b w:val="1"/>
          <w:bCs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al no haber respondido a la parte </w:t>
      </w:r>
      <w:r w:rsidDel="00000000" w:rsidR="00000000" w:rsidRPr="00000000">
        <w:rPr>
          <w:rFonts w:ascii="Palatino Linotype" w:cs="Palatino Linotype" w:eastAsia="Palatino Linotype" w:hAnsi="Palatino Linotype"/>
          <w:b w:val="1"/>
          <w:bCs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 en tiempo y forma en el plazo legal previsto para ello, en este sentido la falta de respuesta implica necesariamente que de modo fáctico se ha negado la información por razones desconocidas, pero que el hecho simple de no responder apareja una forma por omisión de negar el acceso a la información.</w:t>
      </w:r>
    </w:p>
    <w:p w:rsidR="00000000" w:rsidDel="00000000" w:rsidP="00000000" w:rsidRDefault="00000000" w:rsidRPr="00000000" w14:paraId="00000029">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2A">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Si a ello se le suma lo previsto en el párrafo segundo del artículo 178, párrafo segundo</w:t>
      </w:r>
      <w:r w:rsidDel="00000000" w:rsidR="00000000" w:rsidRPr="00000000">
        <w:rPr>
          <w:rFonts w:ascii="Palatino Linotype" w:cs="Palatino Linotype" w:eastAsia="Palatino Linotype" w:hAnsi="Palatino Linotype"/>
          <w:sz w:val="22"/>
          <w:szCs w:val="22"/>
          <w:vertAlign w:val="superscript"/>
        </w:rPr>
        <w:footnoteReference w:customMarkFollows="0" w:id="0"/>
      </w:r>
      <w:r w:rsidDel="00000000" w:rsidR="00000000" w:rsidRPr="00000000">
        <w:rPr>
          <w:rFonts w:ascii="Palatino Linotype" w:cs="Palatino Linotype" w:eastAsia="Palatino Linotype" w:hAnsi="Palatino Linotype"/>
          <w:sz w:val="22"/>
          <w:szCs w:val="22"/>
          <w:rtl w:val="0"/>
        </w:rPr>
        <w:t xml:space="preserve"> de la Ley de Transparencia y Acceso a la Información Pública vigente en la entidad.</w:t>
      </w:r>
    </w:p>
    <w:p w:rsidR="00000000" w:rsidDel="00000000" w:rsidP="00000000" w:rsidRDefault="00000000" w:rsidRPr="00000000" w14:paraId="0000002B">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2C">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Lo anterior encuentra sustento en el CRITERIO número 0001-15, aprobado por unanimidad del Pleno del Instituto de Transparencia, Acceso a la Información Pública y Protección de Datos Personales del Estado de México y Municipios, publicado en el Periódico Oficial del Estado de México “Gaceta del Gobierno”, el veintitrés de abril de dos mil quince, que establece:</w:t>
      </w:r>
    </w:p>
    <w:p w:rsidR="00000000" w:rsidDel="00000000" w:rsidP="00000000" w:rsidRDefault="00000000" w:rsidRPr="00000000" w14:paraId="0000002D">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2E">
      <w:pPr>
        <w:ind w:left="567" w:right="616" w:firstLine="0"/>
        <w:jc w:val="both"/>
        <w:rPr>
          <w:rFonts w:ascii="Palatino Linotype" w:cs="Palatino Linotype" w:eastAsia="Palatino Linotype" w:hAnsi="Palatino Linotype"/>
          <w:b w:val="1"/>
          <w:bCs w:val="1"/>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w:t>
      </w:r>
      <w:r w:rsidDel="00000000" w:rsidR="00000000" w:rsidRPr="00000000">
        <w:rPr>
          <w:rFonts w:ascii="Palatino Linotype" w:cs="Palatino Linotype" w:eastAsia="Palatino Linotype" w:hAnsi="Palatino Linotype"/>
          <w:b w:val="1"/>
          <w:bCs w:val="1"/>
          <w:i w:val="1"/>
          <w:iCs w:val="1"/>
          <w:sz w:val="22"/>
          <w:szCs w:val="22"/>
          <w:rtl w:val="0"/>
        </w:rPr>
        <w:t xml:space="preserve">CRITERIO 0001-15 NEGATIVA FICTA. PLAZO PARA INTERPONER EL RECURSO DE REVISIÓN TRATÁNDOSE DE</w:t>
      </w:r>
      <w:r w:rsidDel="00000000" w:rsidR="00000000" w:rsidRPr="00000000">
        <w:rPr>
          <w:rFonts w:ascii="Palatino Linotype" w:cs="Palatino Linotype" w:eastAsia="Palatino Linotype" w:hAnsi="Palatino Linotype"/>
          <w:i w:val="1"/>
          <w:iCs w:val="1"/>
          <w:sz w:val="22"/>
          <w:szCs w:val="22"/>
          <w:rtl w:val="0"/>
        </w:rPr>
        <w:t xml:space="preserve">. El artículo 48, párrafo tercero de la Ley de Transparencia y Acceso a la Información Pública del Estado de México y Municipios establece que, cuando no se entregue la respuesta a la solicitud dentro del plazo de 15 días establecidos en el artículo 46 de la Ley de la materia, se entenderá por negada la solicitud y podrá interponerse el recurso correspondiente. Por su parte, el artículo 72 del mismo ordenamiento legal establece el plazo de 15 días para interponer el recurso de revisión a partir del día siguiente al que tuvo conocimiento de la respuesta recaída a su solicitud, sin que se establezca excepción alguna tratándose de una falta de respuesta del sujeto obligado. Así, entonces, resulta evidente que, al no emitirse respuesta dentro del plazo establecido, se genera la ficción legal de una respuesta en sentido negativo; en el entendido de que el plazo para impugnar esa negativa podrá ser en cualquier tiempo y hasta en tanto no se dicte resolución expresa; es decir, mientras no haya respuesta por parte del Sujeto Obligado, momento a partir del cual deberá computarse el plazo previsto en el artículo 72 de la citada Ley.”</w:t>
      </w:r>
      <w:r w:rsidDel="00000000" w:rsidR="00000000" w:rsidRPr="00000000">
        <w:rPr>
          <w:rtl w:val="0"/>
        </w:rPr>
      </w:r>
    </w:p>
    <w:p w:rsidR="00000000" w:rsidDel="00000000" w:rsidP="00000000" w:rsidRDefault="00000000" w:rsidRPr="00000000" w14:paraId="0000002F">
      <w:pPr>
        <w:pBdr>
          <w:top w:space="0" w:sz="0" w:val="nil"/>
          <w:left w:space="0" w:sz="0" w:val="nil"/>
          <w:bottom w:space="0" w:sz="0" w:val="nil"/>
          <w:right w:space="0" w:sz="0" w:val="nil"/>
          <w:between w:space="0" w:sz="0" w:val="nil"/>
        </w:pBdr>
        <w:spacing w:line="360" w:lineRule="auto"/>
        <w:ind w:right="-147"/>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30">
      <w:pPr>
        <w:pBdr>
          <w:top w:space="0" w:sz="0" w:val="nil"/>
          <w:left w:space="0" w:sz="0" w:val="nil"/>
          <w:bottom w:space="0" w:sz="0" w:val="nil"/>
          <w:right w:space="0" w:sz="0" w:val="nil"/>
          <w:between w:space="0" w:sz="0" w:val="nil"/>
        </w:pBdr>
        <w:spacing w:line="360" w:lineRule="auto"/>
        <w:ind w:right="-147"/>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Además, una vez realizado el análisis del formato de interposición del recurso, se acreditan plenamente de todos y cada uno de los elementos formales exigidos por el artículo 180 de la Ley de Transparencia y Acceso a la Información Pública del Estado de México y Municipios, en atención a que fue presentado mediante el formato visible en </w:t>
      </w:r>
      <w:r w:rsidDel="00000000" w:rsidR="00000000" w:rsidRPr="00000000">
        <w:rPr>
          <w:rFonts w:ascii="Palatino Linotype" w:cs="Palatino Linotype" w:eastAsia="Palatino Linotype" w:hAnsi="Palatino Linotype"/>
          <w:b w:val="1"/>
          <w:bCs w:val="1"/>
          <w:sz w:val="22"/>
          <w:szCs w:val="22"/>
          <w:rtl w:val="0"/>
        </w:rPr>
        <w:t xml:space="preserve">EL</w:t>
      </w: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Fonts w:ascii="Palatino Linotype" w:cs="Palatino Linotype" w:eastAsia="Palatino Linotype" w:hAnsi="Palatino Linotype"/>
          <w:b w:val="1"/>
          <w:bCs w:val="1"/>
          <w:sz w:val="22"/>
          <w:szCs w:val="22"/>
          <w:rtl w:val="0"/>
        </w:rPr>
        <w:t xml:space="preserve">SAIMEX</w:t>
      </w:r>
      <w:r w:rsidDel="00000000" w:rsidR="00000000" w:rsidRPr="00000000">
        <w:rPr>
          <w:rFonts w:ascii="Palatino Linotype" w:cs="Palatino Linotype" w:eastAsia="Palatino Linotype" w:hAnsi="Palatino Linotype"/>
          <w:sz w:val="22"/>
          <w:szCs w:val="22"/>
          <w:rtl w:val="0"/>
        </w:rPr>
        <w:t xml:space="preserve">.</w:t>
      </w:r>
    </w:p>
    <w:p w:rsidR="00000000" w:rsidDel="00000000" w:rsidP="00000000" w:rsidRDefault="00000000" w:rsidRPr="00000000" w14:paraId="00000031">
      <w:pPr>
        <w:pBdr>
          <w:top w:space="0" w:sz="0" w:val="nil"/>
          <w:left w:space="0" w:sz="0" w:val="nil"/>
          <w:bottom w:space="0" w:sz="0" w:val="nil"/>
          <w:right w:space="0" w:sz="0" w:val="nil"/>
          <w:between w:space="0" w:sz="0" w:val="nil"/>
        </w:pBdr>
        <w:spacing w:line="360" w:lineRule="auto"/>
        <w:ind w:right="-147"/>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32">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Ahora bien, resulta procedente la interposición del recurso de revisión, según lo aducido por la parte </w:t>
      </w:r>
      <w:r w:rsidDel="00000000" w:rsidR="00000000" w:rsidRPr="00000000">
        <w:rPr>
          <w:rFonts w:ascii="Palatino Linotype" w:cs="Palatino Linotype" w:eastAsia="Palatino Linotype" w:hAnsi="Palatino Linotype"/>
          <w:b w:val="1"/>
          <w:bCs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 en términos del artículo 179, fracción VII del ordenamiento legal de la materia, que a la letra dice:</w:t>
      </w:r>
    </w:p>
    <w:p w:rsidR="00000000" w:rsidDel="00000000" w:rsidP="00000000" w:rsidRDefault="00000000" w:rsidRPr="00000000" w14:paraId="00000033">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34">
      <w:pPr>
        <w:ind w:left="567" w:right="61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i w:val="1"/>
          <w:iCs w:val="1"/>
          <w:sz w:val="22"/>
          <w:szCs w:val="22"/>
          <w:rtl w:val="0"/>
        </w:rPr>
        <w:t xml:space="preserve">“</w:t>
      </w:r>
      <w:r w:rsidDel="00000000" w:rsidR="00000000" w:rsidRPr="00000000">
        <w:rPr>
          <w:rFonts w:ascii="Palatino Linotype" w:cs="Palatino Linotype" w:eastAsia="Palatino Linotype" w:hAnsi="Palatino Linotype"/>
          <w:b w:val="1"/>
          <w:bCs w:val="1"/>
          <w:sz w:val="22"/>
          <w:szCs w:val="22"/>
          <w:rtl w:val="0"/>
        </w:rPr>
        <w:t xml:space="preserve">Artículo 179.</w:t>
      </w:r>
      <w:r w:rsidDel="00000000" w:rsidR="00000000" w:rsidRPr="00000000">
        <w:rPr>
          <w:rFonts w:ascii="Palatino Linotype" w:cs="Palatino Linotype" w:eastAsia="Palatino Linotype" w:hAnsi="Palatino Linotype"/>
          <w:i w:val="1"/>
          <w:iCs w:val="1"/>
          <w:sz w:val="22"/>
          <w:szCs w:val="22"/>
          <w:rtl w:val="0"/>
        </w:rPr>
        <w:t xml:space="preserve">El recurso de revisión es un medio de protección que la Ley otorga a los particulares, para hacer valer su derecho de acceso a la información pública, y procederá en contra de las siguientes causas: </w:t>
      </w:r>
      <w:r w:rsidDel="00000000" w:rsidR="00000000" w:rsidRPr="00000000">
        <w:rPr>
          <w:rFonts w:ascii="Palatino Linotype" w:cs="Palatino Linotype" w:eastAsia="Palatino Linotype" w:hAnsi="Palatino Linotype"/>
          <w:sz w:val="22"/>
          <w:szCs w:val="22"/>
          <w:rtl w:val="0"/>
        </w:rPr>
        <w:t xml:space="preserve"> </w:t>
      </w:r>
    </w:p>
    <w:p w:rsidR="00000000" w:rsidDel="00000000" w:rsidP="00000000" w:rsidRDefault="00000000" w:rsidRPr="00000000" w14:paraId="00000035">
      <w:pPr>
        <w:ind w:left="567" w:right="61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w:t>
      </w:r>
    </w:p>
    <w:p w:rsidR="00000000" w:rsidDel="00000000" w:rsidP="00000000" w:rsidRDefault="00000000" w:rsidRPr="00000000" w14:paraId="00000036">
      <w:pPr>
        <w:numPr>
          <w:ilvl w:val="0"/>
          <w:numId w:val="4"/>
        </w:numPr>
        <w:ind w:left="567"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La falta de respuesta a una solicitud de acceso a la información…</w:t>
      </w:r>
    </w:p>
    <w:p w:rsidR="00000000" w:rsidDel="00000000" w:rsidP="00000000" w:rsidRDefault="00000000" w:rsidRPr="00000000" w14:paraId="00000037">
      <w:pPr>
        <w:spacing w:line="360" w:lineRule="auto"/>
        <w:ind w:right="1041"/>
        <w:jc w:val="both"/>
        <w:rPr>
          <w:rFonts w:ascii="Palatino Linotype" w:cs="Palatino Linotype" w:eastAsia="Palatino Linotype" w:hAnsi="Palatino Linotype"/>
          <w:i w:val="1"/>
          <w:iCs w:val="1"/>
          <w:sz w:val="22"/>
          <w:szCs w:val="22"/>
        </w:rPr>
      </w:pPr>
      <w:r w:rsidDel="00000000" w:rsidR="00000000" w:rsidRPr="00000000">
        <w:rPr>
          <w:rtl w:val="0"/>
        </w:rPr>
      </w:r>
    </w:p>
    <w:p w:rsidR="00000000" w:rsidDel="00000000" w:rsidP="00000000" w:rsidRDefault="00000000" w:rsidRPr="00000000" w14:paraId="00000038">
      <w:pPr>
        <w:tabs>
          <w:tab w:val="left" w:leader="none" w:pos="8647"/>
        </w:tabs>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bCs w:val="1"/>
          <w:sz w:val="22"/>
          <w:szCs w:val="22"/>
          <w:rtl w:val="0"/>
        </w:rPr>
        <w:t xml:space="preserve">Tercero. Materia de la revisión. </w:t>
      </w:r>
      <w:r w:rsidDel="00000000" w:rsidR="00000000" w:rsidRPr="00000000">
        <w:rPr>
          <w:rFonts w:ascii="Palatino Linotype" w:cs="Palatino Linotype" w:eastAsia="Palatino Linotype" w:hAnsi="Palatino Linotype"/>
          <w:sz w:val="22"/>
          <w:szCs w:val="22"/>
          <w:rtl w:val="0"/>
        </w:rPr>
        <w:t xml:space="preserve">Este Organismo Garante procede del análisis de los agravios hechos valer por la parte </w:t>
      </w:r>
      <w:r w:rsidDel="00000000" w:rsidR="00000000" w:rsidRPr="00000000">
        <w:rPr>
          <w:rFonts w:ascii="Palatino Linotype" w:cs="Palatino Linotype" w:eastAsia="Palatino Linotype" w:hAnsi="Palatino Linotype"/>
          <w:b w:val="1"/>
          <w:bCs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 a fin de determinar si se violenta en perjuicio de este, el derecho de acceso a la información previsto en la Constitución Política de los Estados Unidos Mexicanos y en la Constitución Política del Estado Libre y Soberano de México. </w:t>
      </w:r>
    </w:p>
    <w:p w:rsidR="00000000" w:rsidDel="00000000" w:rsidP="00000000" w:rsidRDefault="00000000" w:rsidRPr="00000000" w14:paraId="00000039">
      <w:pPr>
        <w:tabs>
          <w:tab w:val="left" w:leader="none" w:pos="8647"/>
        </w:tabs>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3A">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bCs w:val="1"/>
          <w:sz w:val="22"/>
          <w:szCs w:val="22"/>
          <w:rtl w:val="0"/>
        </w:rPr>
        <w:t xml:space="preserve">Cuarto. Estudio del asunto. </w:t>
      </w:r>
      <w:r w:rsidDel="00000000" w:rsidR="00000000" w:rsidRPr="00000000">
        <w:rPr>
          <w:rFonts w:ascii="Palatino Linotype" w:cs="Palatino Linotype" w:eastAsia="Palatino Linotype" w:hAnsi="Palatino Linotype"/>
          <w:sz w:val="22"/>
          <w:szCs w:val="22"/>
          <w:rtl w:val="0"/>
        </w:rPr>
        <w:t xml:space="preserve">Una vez determinada la vía sobre la que versará el presente recurso, y previa revisión del expediente del recurso de revisión materia de la presente resolución, se advierte que el </w:t>
      </w:r>
      <w:r w:rsidDel="00000000" w:rsidR="00000000" w:rsidRPr="00000000">
        <w:rPr>
          <w:rFonts w:ascii="Palatino Linotype" w:cs="Palatino Linotype" w:eastAsia="Palatino Linotype" w:hAnsi="Palatino Linotype"/>
          <w:b w:val="1"/>
          <w:bCs w:val="1"/>
          <w:sz w:val="22"/>
          <w:szCs w:val="22"/>
          <w:rtl w:val="0"/>
        </w:rPr>
        <w:t xml:space="preserve">Sujeto Obligado </w:t>
      </w:r>
      <w:r w:rsidDel="00000000" w:rsidR="00000000" w:rsidRPr="00000000">
        <w:rPr>
          <w:rFonts w:ascii="Palatino Linotype" w:cs="Palatino Linotype" w:eastAsia="Palatino Linotype" w:hAnsi="Palatino Linotype"/>
          <w:sz w:val="22"/>
          <w:szCs w:val="22"/>
          <w:rtl w:val="0"/>
        </w:rPr>
        <w:t xml:space="preserve">no dio respuesta a la solicitud de información planteada por la parte </w:t>
      </w:r>
      <w:r w:rsidDel="00000000" w:rsidR="00000000" w:rsidRPr="00000000">
        <w:rPr>
          <w:rFonts w:ascii="Palatino Linotype" w:cs="Palatino Linotype" w:eastAsia="Palatino Linotype" w:hAnsi="Palatino Linotype"/>
          <w:b w:val="1"/>
          <w:bCs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 lo que se traduce como la configuración de la </w:t>
      </w:r>
      <w:r w:rsidDel="00000000" w:rsidR="00000000" w:rsidRPr="00000000">
        <w:rPr>
          <w:rFonts w:ascii="Palatino Linotype" w:cs="Palatino Linotype" w:eastAsia="Palatino Linotype" w:hAnsi="Palatino Linotype"/>
          <w:b w:val="1"/>
          <w:bCs w:val="1"/>
          <w:sz w:val="22"/>
          <w:szCs w:val="22"/>
          <w:rtl w:val="0"/>
        </w:rPr>
        <w:t xml:space="preserve">negativa ficta</w:t>
      </w:r>
      <w:r w:rsidDel="00000000" w:rsidR="00000000" w:rsidRPr="00000000">
        <w:rPr>
          <w:rFonts w:ascii="Palatino Linotype" w:cs="Palatino Linotype" w:eastAsia="Palatino Linotype" w:hAnsi="Palatino Linotype"/>
          <w:sz w:val="22"/>
          <w:szCs w:val="22"/>
          <w:rtl w:val="0"/>
        </w:rPr>
        <w:t xml:space="preserve">, situación que demuestra la existencia del acto impugnado y procedencia del motivo de inconformidad, que en términos generales consistente en que el </w:t>
      </w:r>
      <w:r w:rsidDel="00000000" w:rsidR="00000000" w:rsidRPr="00000000">
        <w:rPr>
          <w:rFonts w:ascii="Palatino Linotype" w:cs="Palatino Linotype" w:eastAsia="Palatino Linotype" w:hAnsi="Palatino Linotype"/>
          <w:b w:val="1"/>
          <w:bCs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no emitió respuesta a la solicitud de información, dentro del plazo legal previsto para ello.</w:t>
      </w:r>
    </w:p>
    <w:p w:rsidR="00000000" w:rsidDel="00000000" w:rsidP="00000000" w:rsidRDefault="00000000" w:rsidRPr="00000000" w14:paraId="0000003B">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3C">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Previo a exponer los argumentos que justifiquen la afirmación que antecede, es necesario precisar que, del análisis realizado a la solicitud formulada por la parte </w:t>
      </w:r>
      <w:r w:rsidDel="00000000" w:rsidR="00000000" w:rsidRPr="00000000">
        <w:rPr>
          <w:rFonts w:ascii="Palatino Linotype" w:cs="Palatino Linotype" w:eastAsia="Palatino Linotype" w:hAnsi="Palatino Linotype"/>
          <w:b w:val="1"/>
          <w:bCs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 se advierte que requirió al </w:t>
      </w:r>
      <w:r w:rsidDel="00000000" w:rsidR="00000000" w:rsidRPr="00000000">
        <w:rPr>
          <w:rFonts w:ascii="Palatino Linotype" w:cs="Palatino Linotype" w:eastAsia="Palatino Linotype" w:hAnsi="Palatino Linotype"/>
          <w:b w:val="1"/>
          <w:bCs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le proporcionara, información consistente en lo siguiente:</w:t>
      </w:r>
    </w:p>
    <w:p w:rsidR="00000000" w:rsidDel="00000000" w:rsidP="00000000" w:rsidRDefault="00000000" w:rsidRPr="00000000" w14:paraId="0000003D">
      <w:pPr>
        <w:pBdr>
          <w:top w:space="0" w:sz="0" w:val="nil"/>
          <w:left w:space="0" w:sz="0" w:val="nil"/>
          <w:bottom w:space="0" w:sz="0" w:val="nil"/>
          <w:right w:space="0" w:sz="0" w:val="nil"/>
          <w:between w:space="0" w:sz="0" w:val="nil"/>
        </w:pBdr>
        <w:ind w:left="567" w:right="616" w:firstLine="0"/>
        <w:jc w:val="both"/>
        <w:rPr>
          <w:rFonts w:ascii="Palatino Linotype" w:cs="Palatino Linotype" w:eastAsia="Palatino Linotype" w:hAnsi="Palatino Linotype"/>
          <w:i w:val="1"/>
          <w:iCs w:val="1"/>
          <w:sz w:val="22"/>
          <w:szCs w:val="22"/>
        </w:rPr>
      </w:pPr>
      <w:r w:rsidDel="00000000" w:rsidR="00000000" w:rsidRPr="00000000">
        <w:rPr>
          <w:rtl w:val="0"/>
        </w:rPr>
      </w:r>
    </w:p>
    <w:p w:rsidR="00000000" w:rsidDel="00000000" w:rsidP="00000000" w:rsidRDefault="00000000" w:rsidRPr="00000000" w14:paraId="0000003E">
      <w:pPr>
        <w:ind w:left="567"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 “Requiero el currículum vitae completo proporcionado por la actual Directora de Desarrollo Económico al momento de su contratación o nombramiento.” (Sic)</w:t>
      </w:r>
    </w:p>
    <w:p w:rsidR="00000000" w:rsidDel="00000000" w:rsidP="00000000" w:rsidRDefault="00000000" w:rsidRPr="00000000" w14:paraId="0000003F">
      <w:pPr>
        <w:pBdr>
          <w:top w:space="0" w:sz="0" w:val="nil"/>
          <w:left w:space="0" w:sz="0" w:val="nil"/>
          <w:bottom w:space="0" w:sz="0" w:val="nil"/>
          <w:right w:space="0" w:sz="0" w:val="nil"/>
          <w:between w:space="0" w:sz="0" w:val="nil"/>
        </w:pBdr>
        <w:ind w:left="567" w:right="616" w:firstLine="0"/>
        <w:jc w:val="both"/>
        <w:rPr>
          <w:rFonts w:ascii="Palatino Linotype" w:cs="Palatino Linotype" w:eastAsia="Palatino Linotype" w:hAnsi="Palatino Linotype"/>
          <w:i w:val="1"/>
          <w:iCs w:val="1"/>
          <w:sz w:val="22"/>
          <w:szCs w:val="22"/>
        </w:rPr>
      </w:pPr>
      <w:r w:rsidDel="00000000" w:rsidR="00000000" w:rsidRPr="00000000">
        <w:rPr>
          <w:rtl w:val="0"/>
        </w:rPr>
      </w:r>
    </w:p>
    <w:p w:rsidR="00000000" w:rsidDel="00000000" w:rsidP="00000000" w:rsidRDefault="00000000" w:rsidRPr="00000000" w14:paraId="00000040">
      <w:pPr>
        <w:pBdr>
          <w:top w:space="0" w:sz="0" w:val="nil"/>
          <w:left w:space="0" w:sz="0" w:val="nil"/>
          <w:bottom w:space="0" w:sz="0" w:val="nil"/>
          <w:right w:space="0" w:sz="0" w:val="nil"/>
          <w:between w:space="0" w:sz="0" w:val="nil"/>
        </w:pBdr>
        <w:spacing w:line="360" w:lineRule="auto"/>
        <w:ind w:left="720" w:firstLine="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41">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Precisado lo anterior, se procede al análisis del presente recurso, así como al contenido íntegro de las actuaciones que obran en el expediente electrónico, para así estar en posibilidad este Organismo Garante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artículo 8 de la Ley de Transparencia local.</w:t>
      </w:r>
    </w:p>
    <w:p w:rsidR="00000000" w:rsidDel="00000000" w:rsidP="00000000" w:rsidRDefault="00000000" w:rsidRPr="00000000" w14:paraId="00000042">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43">
      <w:pPr>
        <w:tabs>
          <w:tab w:val="left" w:leader="none" w:pos="709"/>
        </w:tabs>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primer lugar, es menester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rsidR="00000000" w:rsidDel="00000000" w:rsidP="00000000" w:rsidRDefault="00000000" w:rsidRPr="00000000" w14:paraId="00000044">
      <w:pPr>
        <w:tabs>
          <w:tab w:val="left" w:leader="none" w:pos="709"/>
        </w:tabs>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45">
      <w:pPr>
        <w:tabs>
          <w:tab w:val="left" w:leader="none" w:pos="709"/>
        </w:tabs>
        <w:spacing w:line="276" w:lineRule="auto"/>
        <w:ind w:left="567" w:right="851"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u w:val="single"/>
          <w:rtl w:val="0"/>
        </w:rPr>
        <w:t xml:space="preserve">“Artículo 1o. En los Estados Unidos Mexicanos todas las personas gozarán de los derechos humanos reconocidos en esta Constitución y en los tratados internacionales de los que el Estado Mexicano sea parte</w:t>
      </w:r>
      <w:r w:rsidDel="00000000" w:rsidR="00000000" w:rsidRPr="00000000">
        <w:rPr>
          <w:rFonts w:ascii="Palatino Linotype" w:cs="Palatino Linotype" w:eastAsia="Palatino Linotype" w:hAnsi="Palatino Linotype"/>
          <w:i w:val="1"/>
          <w:iCs w:val="1"/>
          <w:sz w:val="22"/>
          <w:szCs w:val="22"/>
          <w:rtl w:val="0"/>
        </w:rPr>
        <w:t xml:space="preserve">, así como de las garantías para su protección, cuyo ejercicio no podrá restringirse ni suspenderse, salvo en los casos y bajo las condiciones que esta Constitución establece.</w:t>
      </w:r>
    </w:p>
    <w:p w:rsidR="00000000" w:rsidDel="00000000" w:rsidP="00000000" w:rsidRDefault="00000000" w:rsidRPr="00000000" w14:paraId="00000046">
      <w:pPr>
        <w:tabs>
          <w:tab w:val="left" w:leader="none" w:pos="709"/>
        </w:tabs>
        <w:spacing w:line="276" w:lineRule="auto"/>
        <w:ind w:left="567" w:right="851" w:firstLine="0"/>
        <w:jc w:val="both"/>
        <w:rPr>
          <w:rFonts w:ascii="Palatino Linotype" w:cs="Palatino Linotype" w:eastAsia="Palatino Linotype" w:hAnsi="Palatino Linotype"/>
          <w:b w:val="1"/>
          <w:bCs w:val="1"/>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Las normas relativas a los derechos humanos se interpretarán de conformidad con esta Constitución y con los tratados internacionales de la materia favoreciendo en todo tiempo a las personas la protección más amplia.</w:t>
      </w:r>
    </w:p>
    <w:p w:rsidR="00000000" w:rsidDel="00000000" w:rsidP="00000000" w:rsidRDefault="00000000" w:rsidRPr="00000000" w14:paraId="00000047">
      <w:pPr>
        <w:tabs>
          <w:tab w:val="left" w:leader="none" w:pos="709"/>
        </w:tabs>
        <w:spacing w:line="276" w:lineRule="auto"/>
        <w:ind w:left="567" w:right="851"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u w:val="single"/>
          <w:rtl w:val="0"/>
        </w:rPr>
        <w:t xml:space="preserve">Todas las autoridades, en el ámbito de sus competencias, tienen la obligación de promover, respetar, proteger y garantizar los derechos humanos de conformidad con los principios de universalidad, interdependencia, indivisibilidad y progresividad.</w:t>
      </w:r>
      <w:r w:rsidDel="00000000" w:rsidR="00000000" w:rsidRPr="00000000">
        <w:rPr>
          <w:rFonts w:ascii="Palatino Linotype" w:cs="Palatino Linotype" w:eastAsia="Palatino Linotype" w:hAnsi="Palatino Linotype"/>
          <w:i w:val="1"/>
          <w:iCs w:val="1"/>
          <w:sz w:val="22"/>
          <w:szCs w:val="22"/>
          <w:rtl w:val="0"/>
        </w:rPr>
        <w:t xml:space="preserve"> En consecuencia, el Estado deberá prevenir, investigar, sancionar y reparar las violaciones a los derechos humanos, en los términos que establezca la ley</w:t>
      </w:r>
    </w:p>
    <w:p w:rsidR="00000000" w:rsidDel="00000000" w:rsidP="00000000" w:rsidRDefault="00000000" w:rsidRPr="00000000" w14:paraId="00000048">
      <w:pPr>
        <w:tabs>
          <w:tab w:val="left" w:leader="none" w:pos="709"/>
        </w:tabs>
        <w:spacing w:line="276" w:lineRule="auto"/>
        <w:ind w:left="567" w:right="851"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w:t>
      </w:r>
    </w:p>
    <w:p w:rsidR="00000000" w:rsidDel="00000000" w:rsidP="00000000" w:rsidRDefault="00000000" w:rsidRPr="00000000" w14:paraId="00000049">
      <w:pPr>
        <w:spacing w:line="276" w:lineRule="auto"/>
        <w:ind w:left="567" w:right="851"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“Artículo 6o.</w:t>
      </w:r>
      <w:r w:rsidDel="00000000" w:rsidR="00000000" w:rsidRPr="00000000">
        <w:rPr>
          <w:rtl w:val="0"/>
        </w:rPr>
      </w:r>
    </w:p>
    <w:p w:rsidR="00000000" w:rsidDel="00000000" w:rsidP="00000000" w:rsidRDefault="00000000" w:rsidRPr="00000000" w14:paraId="0000004A">
      <w:pPr>
        <w:spacing w:line="276" w:lineRule="auto"/>
        <w:ind w:left="567" w:right="851"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w:t>
      </w:r>
    </w:p>
    <w:p w:rsidR="00000000" w:rsidDel="00000000" w:rsidP="00000000" w:rsidRDefault="00000000" w:rsidRPr="00000000" w14:paraId="0000004B">
      <w:pPr>
        <w:spacing w:line="276" w:lineRule="auto"/>
        <w:ind w:left="567" w:right="851"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A. Para el ejercicio del derecho de acceso a la información, la Federación y </w:t>
      </w:r>
      <w:r w:rsidDel="00000000" w:rsidR="00000000" w:rsidRPr="00000000">
        <w:rPr>
          <w:rFonts w:ascii="Palatino Linotype" w:cs="Palatino Linotype" w:eastAsia="Palatino Linotype" w:hAnsi="Palatino Linotype"/>
          <w:b w:val="1"/>
          <w:bCs w:val="1"/>
          <w:i w:val="1"/>
          <w:iCs w:val="1"/>
          <w:sz w:val="22"/>
          <w:szCs w:val="22"/>
          <w:u w:val="single"/>
          <w:rtl w:val="0"/>
        </w:rPr>
        <w:t xml:space="preserve">las entidades federativas</w:t>
      </w:r>
      <w:r w:rsidDel="00000000" w:rsidR="00000000" w:rsidRPr="00000000">
        <w:rPr>
          <w:rFonts w:ascii="Palatino Linotype" w:cs="Palatino Linotype" w:eastAsia="Palatino Linotype" w:hAnsi="Palatino Linotype"/>
          <w:b w:val="1"/>
          <w:bCs w:val="1"/>
          <w:i w:val="1"/>
          <w:iCs w:val="1"/>
          <w:sz w:val="22"/>
          <w:szCs w:val="22"/>
          <w:rtl w:val="0"/>
        </w:rPr>
        <w:t xml:space="preserve">,</w:t>
      </w:r>
      <w:r w:rsidDel="00000000" w:rsidR="00000000" w:rsidRPr="00000000">
        <w:rPr>
          <w:rFonts w:ascii="Palatino Linotype" w:cs="Palatino Linotype" w:eastAsia="Palatino Linotype" w:hAnsi="Palatino Linotype"/>
          <w:i w:val="1"/>
          <w:iCs w:val="1"/>
          <w:sz w:val="22"/>
          <w:szCs w:val="22"/>
          <w:rtl w:val="0"/>
        </w:rPr>
        <w:t xml:space="preserve"> en el ámbito de sus respectivas competencias, se regirán por los siguientes principios y bases:</w:t>
      </w:r>
    </w:p>
    <w:p w:rsidR="00000000" w:rsidDel="00000000" w:rsidP="00000000" w:rsidRDefault="00000000" w:rsidRPr="00000000" w14:paraId="0000004C">
      <w:pPr>
        <w:spacing w:line="276" w:lineRule="auto"/>
        <w:ind w:left="567" w:right="851"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I. </w:t>
      </w:r>
      <w:r w:rsidDel="00000000" w:rsidR="00000000" w:rsidRPr="00000000">
        <w:rPr>
          <w:rFonts w:ascii="Palatino Linotype" w:cs="Palatino Linotype" w:eastAsia="Palatino Linotype" w:hAnsi="Palatino Linotype"/>
          <w:b w:val="1"/>
          <w:bCs w:val="1"/>
          <w:i w:val="1"/>
          <w:iCs w:val="1"/>
          <w:sz w:val="22"/>
          <w:szCs w:val="22"/>
          <w:u w:val="single"/>
          <w:rtl w:val="0"/>
        </w:rPr>
        <w:t xml:space="preserve">Toda la información en posesión de cualquier autoridad, entidad, órgano y organismo de los Poderes</w:t>
      </w:r>
      <w:r w:rsidDel="00000000" w:rsidR="00000000" w:rsidRPr="00000000">
        <w:rPr>
          <w:rFonts w:ascii="Palatino Linotype" w:cs="Palatino Linotype" w:eastAsia="Palatino Linotype" w:hAnsi="Palatino Linotype"/>
          <w:i w:val="1"/>
          <w:iCs w:val="1"/>
          <w:sz w:val="22"/>
          <w:szCs w:val="22"/>
          <w:rtl w:val="0"/>
        </w:rPr>
        <w:t xml:space="preserve"> Ejecutivo, Legislativo </w:t>
      </w:r>
      <w:r w:rsidDel="00000000" w:rsidR="00000000" w:rsidRPr="00000000">
        <w:rPr>
          <w:rFonts w:ascii="Palatino Linotype" w:cs="Palatino Linotype" w:eastAsia="Palatino Linotype" w:hAnsi="Palatino Linotype"/>
          <w:b w:val="1"/>
          <w:bCs w:val="1"/>
          <w:i w:val="1"/>
          <w:iCs w:val="1"/>
          <w:sz w:val="22"/>
          <w:szCs w:val="22"/>
          <w:u w:val="single"/>
          <w:rtl w:val="0"/>
        </w:rPr>
        <w:t xml:space="preserve">y Judicial</w:t>
      </w:r>
      <w:r w:rsidDel="00000000" w:rsidR="00000000" w:rsidRPr="00000000">
        <w:rPr>
          <w:rFonts w:ascii="Palatino Linotype" w:cs="Palatino Linotype" w:eastAsia="Palatino Linotype" w:hAnsi="Palatino Linotype"/>
          <w:i w:val="1"/>
          <w:iCs w:val="1"/>
          <w:sz w:val="22"/>
          <w:szCs w:val="22"/>
          <w:rtl w:val="0"/>
        </w:rPr>
        <w:t xml:space="preserve">, órganos autónomos, partidos políticos, fideicomisos y fondos públicos, así como de cualquier persona física, moral o sindicato que reciba y ejerza recursos públicos o realice actos de autoridad en el ámbito federal, estatal y municipal, </w:t>
      </w:r>
      <w:r w:rsidDel="00000000" w:rsidR="00000000" w:rsidRPr="00000000">
        <w:rPr>
          <w:rFonts w:ascii="Palatino Linotype" w:cs="Palatino Linotype" w:eastAsia="Palatino Linotype" w:hAnsi="Palatino Linotype"/>
          <w:b w:val="1"/>
          <w:bCs w:val="1"/>
          <w:i w:val="1"/>
          <w:iCs w:val="1"/>
          <w:sz w:val="22"/>
          <w:szCs w:val="22"/>
          <w:rtl w:val="0"/>
        </w:rPr>
        <w:t xml:space="preserve">es pública y sólo podrá ser reservada temporalmente por razones de interés público y seguridad nacional,</w:t>
      </w:r>
      <w:r w:rsidDel="00000000" w:rsidR="00000000" w:rsidRPr="00000000">
        <w:rPr>
          <w:rFonts w:ascii="Palatino Linotype" w:cs="Palatino Linotype" w:eastAsia="Palatino Linotype" w:hAnsi="Palatino Linotype"/>
          <w:i w:val="1"/>
          <w:iCs w:val="1"/>
          <w:sz w:val="22"/>
          <w:szCs w:val="22"/>
          <w:rtl w:val="0"/>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000000" w:rsidDel="00000000" w:rsidP="00000000" w:rsidRDefault="00000000" w:rsidRPr="00000000" w14:paraId="0000004D">
      <w:pPr>
        <w:spacing w:line="276" w:lineRule="auto"/>
        <w:ind w:left="567" w:right="851" w:firstLine="0"/>
        <w:jc w:val="both"/>
        <w:rPr>
          <w:rFonts w:ascii="Palatino Linotype" w:cs="Palatino Linotype" w:eastAsia="Palatino Linotype" w:hAnsi="Palatino Linotype"/>
          <w:b w:val="1"/>
          <w:bCs w:val="1"/>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II. La información que se refiere a la vida privada y los datos personales será protegida en los términos y con las excepciones que fijen las leyes.</w:t>
      </w:r>
    </w:p>
    <w:p w:rsidR="00000000" w:rsidDel="00000000" w:rsidP="00000000" w:rsidRDefault="00000000" w:rsidRPr="00000000" w14:paraId="0000004E">
      <w:pPr>
        <w:spacing w:line="276" w:lineRule="auto"/>
        <w:ind w:left="567" w:right="851"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III. </w:t>
      </w:r>
      <w:r w:rsidDel="00000000" w:rsidR="00000000" w:rsidRPr="00000000">
        <w:rPr>
          <w:rFonts w:ascii="Palatino Linotype" w:cs="Palatino Linotype" w:eastAsia="Palatino Linotype" w:hAnsi="Palatino Linotype"/>
          <w:b w:val="1"/>
          <w:bCs w:val="1"/>
          <w:i w:val="1"/>
          <w:iCs w:val="1"/>
          <w:sz w:val="22"/>
          <w:szCs w:val="22"/>
          <w:u w:val="single"/>
          <w:rtl w:val="0"/>
        </w:rPr>
        <w:t xml:space="preserve">Toda persona, sin necesidad de acreditar interés alguno o justificar su utilización, tendrá acceso gratuito a la información pública,</w:t>
      </w:r>
      <w:r w:rsidDel="00000000" w:rsidR="00000000" w:rsidRPr="00000000">
        <w:rPr>
          <w:rFonts w:ascii="Palatino Linotype" w:cs="Palatino Linotype" w:eastAsia="Palatino Linotype" w:hAnsi="Palatino Linotype"/>
          <w:i w:val="1"/>
          <w:iCs w:val="1"/>
          <w:sz w:val="22"/>
          <w:szCs w:val="22"/>
          <w:rtl w:val="0"/>
        </w:rPr>
        <w:t xml:space="preserve"> a sus datos personales o a la rectificación de éstos.</w:t>
      </w:r>
    </w:p>
    <w:p w:rsidR="00000000" w:rsidDel="00000000" w:rsidP="00000000" w:rsidRDefault="00000000" w:rsidRPr="00000000" w14:paraId="0000004F">
      <w:pPr>
        <w:spacing w:line="276" w:lineRule="auto"/>
        <w:ind w:left="567" w:right="851"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IV.</w:t>
      </w:r>
      <w:r w:rsidDel="00000000" w:rsidR="00000000" w:rsidRPr="00000000">
        <w:rPr>
          <w:rFonts w:ascii="Palatino Linotype" w:cs="Palatino Linotype" w:eastAsia="Palatino Linotype" w:hAnsi="Palatino Linotype"/>
          <w:i w:val="1"/>
          <w:iCs w:val="1"/>
          <w:sz w:val="22"/>
          <w:szCs w:val="22"/>
          <w:rtl w:val="0"/>
        </w:rPr>
        <w:t xml:space="preserve"> Se establecerán mecanismos de acceso a la información pública y procedimientos de revisión expeditos que se sustanciarán ante las instancias competentes en los términos que fija esta Constitución y las leyes.</w:t>
      </w:r>
    </w:p>
    <w:p w:rsidR="00000000" w:rsidDel="00000000" w:rsidP="00000000" w:rsidRDefault="00000000" w:rsidRPr="00000000" w14:paraId="00000050">
      <w:pPr>
        <w:spacing w:line="276" w:lineRule="auto"/>
        <w:ind w:left="567" w:right="851"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V. </w:t>
      </w:r>
      <w:r w:rsidDel="00000000" w:rsidR="00000000" w:rsidRPr="00000000">
        <w:rPr>
          <w:rFonts w:ascii="Palatino Linotype" w:cs="Palatino Linotype" w:eastAsia="Palatino Linotype" w:hAnsi="Palatino Linotype"/>
          <w:i w:val="1"/>
          <w:iCs w:val="1"/>
          <w:sz w:val="22"/>
          <w:szCs w:val="22"/>
          <w:rtl w:val="0"/>
        </w:rPr>
        <w:t xml:space="preserve">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rsidR="00000000" w:rsidDel="00000000" w:rsidP="00000000" w:rsidRDefault="00000000" w:rsidRPr="00000000" w14:paraId="00000051">
      <w:pPr>
        <w:spacing w:line="276" w:lineRule="auto"/>
        <w:ind w:left="567" w:right="851" w:firstLine="0"/>
        <w:jc w:val="both"/>
        <w:rPr>
          <w:rFonts w:ascii="Palatino Linotype" w:cs="Palatino Linotype" w:eastAsia="Palatino Linotype" w:hAnsi="Palatino Linotype"/>
          <w:b w:val="1"/>
          <w:bCs w:val="1"/>
          <w:i w:val="1"/>
          <w:iCs w:val="1"/>
          <w:sz w:val="22"/>
          <w:szCs w:val="22"/>
        </w:rPr>
      </w:pPr>
      <w:r w:rsidDel="00000000" w:rsidR="00000000" w:rsidRPr="00000000">
        <w:rPr>
          <w:rtl w:val="0"/>
        </w:rPr>
      </w:r>
    </w:p>
    <w:p w:rsidR="00000000" w:rsidDel="00000000" w:rsidP="00000000" w:rsidRDefault="00000000" w:rsidRPr="00000000" w14:paraId="00000052">
      <w:pPr>
        <w:spacing w:line="360" w:lineRule="auto"/>
        <w:ind w:left="567" w:right="851" w:firstLine="0"/>
        <w:jc w:val="both"/>
        <w:rPr>
          <w:rFonts w:ascii="Palatino Linotype" w:cs="Palatino Linotype" w:eastAsia="Palatino Linotype" w:hAnsi="Palatino Linotype"/>
          <w:i w:val="1"/>
          <w:iCs w:val="1"/>
          <w:sz w:val="22"/>
          <w:szCs w:val="22"/>
        </w:rPr>
      </w:pPr>
      <w:r w:rsidDel="00000000" w:rsidR="00000000" w:rsidRPr="00000000">
        <w:rPr>
          <w:rtl w:val="0"/>
        </w:rPr>
      </w:r>
    </w:p>
    <w:p w:rsidR="00000000" w:rsidDel="00000000" w:rsidP="00000000" w:rsidRDefault="00000000" w:rsidRPr="00000000" w14:paraId="00000053">
      <w:pPr>
        <w:tabs>
          <w:tab w:val="left" w:leader="none" w:pos="709"/>
        </w:tabs>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Así, de la interpretación sistémica de los numerales inmersos en el instrumento legal nacional, el derecho de acceso a la información es un derecho del cual goza toda persona sin discriminación alguna, el cual se ejerce ante los Poderes del Estado, entidades, dependencias o cualquiera persona física o moral que reciba y ejerza recursos públicos, siendo pública toda la información que posean con las excepciones enmarcadas, para lo cual queda demostrado que los Sujetos Obligados deben cumplir con dichos dispositivos legales.</w:t>
      </w:r>
    </w:p>
    <w:p w:rsidR="00000000" w:rsidDel="00000000" w:rsidP="00000000" w:rsidRDefault="00000000" w:rsidRPr="00000000" w14:paraId="00000054">
      <w:pPr>
        <w:tabs>
          <w:tab w:val="left" w:leader="none" w:pos="709"/>
        </w:tabs>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55">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ese orden de ideas, la Ley de Transparencia y Acceso a la Información Pública del Estado de México y Municipios, prevé en su artículo 23, lo siguiente:</w:t>
      </w:r>
    </w:p>
    <w:p w:rsidR="00000000" w:rsidDel="00000000" w:rsidP="00000000" w:rsidRDefault="00000000" w:rsidRPr="00000000" w14:paraId="00000056">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57">
      <w:pPr>
        <w:tabs>
          <w:tab w:val="left" w:leader="none" w:pos="7655"/>
        </w:tabs>
        <w:spacing w:line="276" w:lineRule="auto"/>
        <w:ind w:left="567"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w:t>
      </w:r>
      <w:r w:rsidDel="00000000" w:rsidR="00000000" w:rsidRPr="00000000">
        <w:rPr>
          <w:rFonts w:ascii="Palatino Linotype" w:cs="Palatino Linotype" w:eastAsia="Palatino Linotype" w:hAnsi="Palatino Linotype"/>
          <w:b w:val="1"/>
          <w:bCs w:val="1"/>
          <w:i w:val="1"/>
          <w:iCs w:val="1"/>
          <w:sz w:val="22"/>
          <w:szCs w:val="22"/>
          <w:rtl w:val="0"/>
        </w:rPr>
        <w:t xml:space="preserve">Artículo 23. Son sujetos obligados a transparentar y permitir el acceso a su información y proteger los datos personales que obren en su poder</w:t>
      </w:r>
      <w:r w:rsidDel="00000000" w:rsidR="00000000" w:rsidRPr="00000000">
        <w:rPr>
          <w:rFonts w:ascii="Palatino Linotype" w:cs="Palatino Linotype" w:eastAsia="Palatino Linotype" w:hAnsi="Palatino Linotype"/>
          <w:i w:val="1"/>
          <w:iCs w:val="1"/>
          <w:sz w:val="22"/>
          <w:szCs w:val="22"/>
          <w:rtl w:val="0"/>
        </w:rPr>
        <w:t xml:space="preserve">:</w:t>
      </w:r>
    </w:p>
    <w:p w:rsidR="00000000" w:rsidDel="00000000" w:rsidP="00000000" w:rsidRDefault="00000000" w:rsidRPr="00000000" w14:paraId="00000058">
      <w:pPr>
        <w:tabs>
          <w:tab w:val="left" w:leader="none" w:pos="7655"/>
        </w:tabs>
        <w:spacing w:line="276" w:lineRule="auto"/>
        <w:ind w:left="567" w:right="616" w:firstLine="0"/>
        <w:jc w:val="both"/>
        <w:rPr>
          <w:rFonts w:ascii="Palatino Linotype" w:cs="Palatino Linotype" w:eastAsia="Palatino Linotype" w:hAnsi="Palatino Linotype"/>
          <w:b w:val="1"/>
          <w:bCs w:val="1"/>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I.</w:t>
      </w:r>
      <w:r w:rsidDel="00000000" w:rsidR="00000000" w:rsidRPr="00000000">
        <w:rPr>
          <w:rFonts w:ascii="Palatino Linotype" w:cs="Palatino Linotype" w:eastAsia="Palatino Linotype" w:hAnsi="Palatino Linotype"/>
          <w:i w:val="1"/>
          <w:iCs w:val="1"/>
          <w:sz w:val="22"/>
          <w:szCs w:val="22"/>
          <w:rtl w:val="0"/>
        </w:rPr>
        <w:t xml:space="preserve"> El Poder Ejecutivo del Estado de México, las dependencias, organismos auxiliares,</w:t>
      </w:r>
      <w:r w:rsidDel="00000000" w:rsidR="00000000" w:rsidRPr="00000000">
        <w:rPr>
          <w:rFonts w:ascii="Palatino Linotype" w:cs="Palatino Linotype" w:eastAsia="Palatino Linotype" w:hAnsi="Palatino Linotype"/>
          <w:b w:val="1"/>
          <w:bCs w:val="1"/>
          <w:i w:val="1"/>
          <w:iCs w:val="1"/>
          <w:sz w:val="22"/>
          <w:szCs w:val="22"/>
          <w:rtl w:val="0"/>
        </w:rPr>
        <w:t xml:space="preserve"> </w:t>
      </w:r>
      <w:r w:rsidDel="00000000" w:rsidR="00000000" w:rsidRPr="00000000">
        <w:rPr>
          <w:rFonts w:ascii="Palatino Linotype" w:cs="Palatino Linotype" w:eastAsia="Palatino Linotype" w:hAnsi="Palatino Linotype"/>
          <w:i w:val="1"/>
          <w:iCs w:val="1"/>
          <w:sz w:val="22"/>
          <w:szCs w:val="22"/>
          <w:rtl w:val="0"/>
        </w:rPr>
        <w:t xml:space="preserve">órganos, entidades, fideicomisos y fondos públicos, así como la Procuraduría General de Justicia;</w:t>
      </w:r>
      <w:r w:rsidDel="00000000" w:rsidR="00000000" w:rsidRPr="00000000">
        <w:rPr>
          <w:rtl w:val="0"/>
        </w:rPr>
      </w:r>
    </w:p>
    <w:p w:rsidR="00000000" w:rsidDel="00000000" w:rsidP="00000000" w:rsidRDefault="00000000" w:rsidRPr="00000000" w14:paraId="00000059">
      <w:pPr>
        <w:tabs>
          <w:tab w:val="left" w:leader="none" w:pos="7655"/>
        </w:tabs>
        <w:spacing w:line="276" w:lineRule="auto"/>
        <w:ind w:left="567"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II.</w:t>
      </w:r>
      <w:r w:rsidDel="00000000" w:rsidR="00000000" w:rsidRPr="00000000">
        <w:rPr>
          <w:rFonts w:ascii="Palatino Linotype" w:cs="Palatino Linotype" w:eastAsia="Palatino Linotype" w:hAnsi="Palatino Linotype"/>
          <w:i w:val="1"/>
          <w:iCs w:val="1"/>
          <w:sz w:val="22"/>
          <w:szCs w:val="22"/>
          <w:rtl w:val="0"/>
        </w:rPr>
        <w:t xml:space="preserve"> El Poder Legislativo del Estado, los organismos, órganos y entidades de la Legislatura y sus dependencias;</w:t>
      </w:r>
    </w:p>
    <w:p w:rsidR="00000000" w:rsidDel="00000000" w:rsidP="00000000" w:rsidRDefault="00000000" w:rsidRPr="00000000" w14:paraId="0000005A">
      <w:pPr>
        <w:tabs>
          <w:tab w:val="left" w:leader="none" w:pos="7655"/>
        </w:tabs>
        <w:spacing w:line="276" w:lineRule="auto"/>
        <w:ind w:left="567"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III.</w:t>
      </w:r>
      <w:r w:rsidDel="00000000" w:rsidR="00000000" w:rsidRPr="00000000">
        <w:rPr>
          <w:rFonts w:ascii="Palatino Linotype" w:cs="Palatino Linotype" w:eastAsia="Palatino Linotype" w:hAnsi="Palatino Linotype"/>
          <w:i w:val="1"/>
          <w:iCs w:val="1"/>
          <w:sz w:val="22"/>
          <w:szCs w:val="22"/>
          <w:rtl w:val="0"/>
        </w:rPr>
        <w:t xml:space="preserve"> El Poder Judicial, sus organismos, órganos y entidades, así como el Consejo de la Judicatura del Estado;</w:t>
      </w:r>
    </w:p>
    <w:p w:rsidR="00000000" w:rsidDel="00000000" w:rsidP="00000000" w:rsidRDefault="00000000" w:rsidRPr="00000000" w14:paraId="0000005B">
      <w:pPr>
        <w:tabs>
          <w:tab w:val="left" w:leader="none" w:pos="7655"/>
        </w:tabs>
        <w:spacing w:line="276" w:lineRule="auto"/>
        <w:ind w:left="567" w:right="616" w:firstLine="0"/>
        <w:jc w:val="both"/>
        <w:rPr>
          <w:rFonts w:ascii="Palatino Linotype" w:cs="Palatino Linotype" w:eastAsia="Palatino Linotype" w:hAnsi="Palatino Linotype"/>
          <w:b w:val="1"/>
          <w:bCs w:val="1"/>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IV. Los ayuntamientos y las dependencias, organismos, órganos y entidades de la administración municipal;</w:t>
      </w:r>
    </w:p>
    <w:p w:rsidR="00000000" w:rsidDel="00000000" w:rsidP="00000000" w:rsidRDefault="00000000" w:rsidRPr="00000000" w14:paraId="0000005C">
      <w:pPr>
        <w:tabs>
          <w:tab w:val="left" w:leader="none" w:pos="7655"/>
        </w:tabs>
        <w:spacing w:line="276" w:lineRule="auto"/>
        <w:ind w:left="567"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V.</w:t>
      </w:r>
      <w:r w:rsidDel="00000000" w:rsidR="00000000" w:rsidRPr="00000000">
        <w:rPr>
          <w:rFonts w:ascii="Palatino Linotype" w:cs="Palatino Linotype" w:eastAsia="Palatino Linotype" w:hAnsi="Palatino Linotype"/>
          <w:i w:val="1"/>
          <w:iCs w:val="1"/>
          <w:sz w:val="22"/>
          <w:szCs w:val="22"/>
          <w:rtl w:val="0"/>
        </w:rPr>
        <w:t xml:space="preserve"> Los órganos autónomos;</w:t>
      </w:r>
    </w:p>
    <w:p w:rsidR="00000000" w:rsidDel="00000000" w:rsidP="00000000" w:rsidRDefault="00000000" w:rsidRPr="00000000" w14:paraId="0000005D">
      <w:pPr>
        <w:tabs>
          <w:tab w:val="left" w:leader="none" w:pos="7655"/>
        </w:tabs>
        <w:spacing w:line="276" w:lineRule="auto"/>
        <w:ind w:left="567"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VI.</w:t>
      </w:r>
      <w:r w:rsidDel="00000000" w:rsidR="00000000" w:rsidRPr="00000000">
        <w:rPr>
          <w:rFonts w:ascii="Palatino Linotype" w:cs="Palatino Linotype" w:eastAsia="Palatino Linotype" w:hAnsi="Palatino Linotype"/>
          <w:i w:val="1"/>
          <w:iCs w:val="1"/>
          <w:sz w:val="22"/>
          <w:szCs w:val="22"/>
          <w:rtl w:val="0"/>
        </w:rPr>
        <w:t xml:space="preserve"> Los tribunales administrativos y autoridades jurisdiccionales en materia laboral;</w:t>
      </w:r>
    </w:p>
    <w:p w:rsidR="00000000" w:rsidDel="00000000" w:rsidP="00000000" w:rsidRDefault="00000000" w:rsidRPr="00000000" w14:paraId="0000005E">
      <w:pPr>
        <w:tabs>
          <w:tab w:val="left" w:leader="none" w:pos="7655"/>
        </w:tabs>
        <w:spacing w:line="276" w:lineRule="auto"/>
        <w:ind w:left="567"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VII.</w:t>
      </w:r>
      <w:r w:rsidDel="00000000" w:rsidR="00000000" w:rsidRPr="00000000">
        <w:rPr>
          <w:rFonts w:ascii="Palatino Linotype" w:cs="Palatino Linotype" w:eastAsia="Palatino Linotype" w:hAnsi="Palatino Linotype"/>
          <w:i w:val="1"/>
          <w:iCs w:val="1"/>
          <w:sz w:val="22"/>
          <w:szCs w:val="22"/>
          <w:rtl w:val="0"/>
        </w:rPr>
        <w:t xml:space="preserve"> Los partidos políticos y agrupaciones políticas, en los términos de las disposiciones aplicables;</w:t>
      </w:r>
    </w:p>
    <w:p w:rsidR="00000000" w:rsidDel="00000000" w:rsidP="00000000" w:rsidRDefault="00000000" w:rsidRPr="00000000" w14:paraId="0000005F">
      <w:pPr>
        <w:tabs>
          <w:tab w:val="left" w:leader="none" w:pos="7655"/>
        </w:tabs>
        <w:spacing w:line="276" w:lineRule="auto"/>
        <w:ind w:left="567"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VIII.</w:t>
      </w:r>
      <w:r w:rsidDel="00000000" w:rsidR="00000000" w:rsidRPr="00000000">
        <w:rPr>
          <w:rFonts w:ascii="Palatino Linotype" w:cs="Palatino Linotype" w:eastAsia="Palatino Linotype" w:hAnsi="Palatino Linotype"/>
          <w:i w:val="1"/>
          <w:iCs w:val="1"/>
          <w:sz w:val="22"/>
          <w:szCs w:val="22"/>
          <w:rtl w:val="0"/>
        </w:rPr>
        <w:t xml:space="preserve"> Los fideicomisos y fondos públicos que cuenten con financiamiento público, parcial o total, o con participación de entidades de gobierno;</w:t>
      </w:r>
    </w:p>
    <w:p w:rsidR="00000000" w:rsidDel="00000000" w:rsidP="00000000" w:rsidRDefault="00000000" w:rsidRPr="00000000" w14:paraId="00000060">
      <w:pPr>
        <w:tabs>
          <w:tab w:val="left" w:leader="none" w:pos="7655"/>
        </w:tabs>
        <w:spacing w:line="276" w:lineRule="auto"/>
        <w:ind w:left="567"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IX.</w:t>
      </w:r>
      <w:r w:rsidDel="00000000" w:rsidR="00000000" w:rsidRPr="00000000">
        <w:rPr>
          <w:rFonts w:ascii="Palatino Linotype" w:cs="Palatino Linotype" w:eastAsia="Palatino Linotype" w:hAnsi="Palatino Linotype"/>
          <w:i w:val="1"/>
          <w:iCs w:val="1"/>
          <w:sz w:val="22"/>
          <w:szCs w:val="22"/>
          <w:rtl w:val="0"/>
        </w:rPr>
        <w:t xml:space="preserve"> Los sindicatos que reciban y/o ejerzan recursos públicos en el ámbito estatal y municipal;</w:t>
      </w:r>
    </w:p>
    <w:p w:rsidR="00000000" w:rsidDel="00000000" w:rsidP="00000000" w:rsidRDefault="00000000" w:rsidRPr="00000000" w14:paraId="00000061">
      <w:pPr>
        <w:tabs>
          <w:tab w:val="left" w:leader="none" w:pos="7655"/>
        </w:tabs>
        <w:spacing w:line="276" w:lineRule="auto"/>
        <w:ind w:left="567"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X.</w:t>
      </w:r>
      <w:r w:rsidDel="00000000" w:rsidR="00000000" w:rsidRPr="00000000">
        <w:rPr>
          <w:rFonts w:ascii="Palatino Linotype" w:cs="Palatino Linotype" w:eastAsia="Palatino Linotype" w:hAnsi="Palatino Linotype"/>
          <w:i w:val="1"/>
          <w:iCs w:val="1"/>
          <w:sz w:val="22"/>
          <w:szCs w:val="22"/>
          <w:rtl w:val="0"/>
        </w:rPr>
        <w:t xml:space="preserve"> Cualquier persona física o jurídico colectiva que reciba y ejerza recursos públicos en el ámbito estatal o municipal; y</w:t>
      </w:r>
    </w:p>
    <w:p w:rsidR="00000000" w:rsidDel="00000000" w:rsidP="00000000" w:rsidRDefault="00000000" w:rsidRPr="00000000" w14:paraId="00000062">
      <w:pPr>
        <w:tabs>
          <w:tab w:val="left" w:leader="none" w:pos="7655"/>
        </w:tabs>
        <w:spacing w:line="276" w:lineRule="auto"/>
        <w:ind w:left="567"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XI.</w:t>
      </w:r>
      <w:r w:rsidDel="00000000" w:rsidR="00000000" w:rsidRPr="00000000">
        <w:rPr>
          <w:rFonts w:ascii="Palatino Linotype" w:cs="Palatino Linotype" w:eastAsia="Palatino Linotype" w:hAnsi="Palatino Linotype"/>
          <w:i w:val="1"/>
          <w:iCs w:val="1"/>
          <w:sz w:val="22"/>
          <w:szCs w:val="22"/>
          <w:rtl w:val="0"/>
        </w:rPr>
        <w:t xml:space="preserve"> Cualquier otra autoridad, entidad, órgano u organismo de los poderes estatal o municipal, que reciba recursos públicos.</w:t>
      </w:r>
    </w:p>
    <w:p w:rsidR="00000000" w:rsidDel="00000000" w:rsidP="00000000" w:rsidRDefault="00000000" w:rsidRPr="00000000" w14:paraId="00000063">
      <w:pPr>
        <w:tabs>
          <w:tab w:val="left" w:leader="none" w:pos="7655"/>
        </w:tabs>
        <w:spacing w:line="276" w:lineRule="auto"/>
        <w:ind w:left="567"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rsidR="00000000" w:rsidDel="00000000" w:rsidP="00000000" w:rsidRDefault="00000000" w:rsidRPr="00000000" w14:paraId="00000064">
      <w:pPr>
        <w:tabs>
          <w:tab w:val="left" w:leader="none" w:pos="7655"/>
        </w:tabs>
        <w:spacing w:line="276" w:lineRule="auto"/>
        <w:ind w:left="567"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Los servidores públicos deberán transparentar sus acciones, así como garantizar y respetar el derecho de acceso a la información pública</w:t>
      </w:r>
      <w:r w:rsidDel="00000000" w:rsidR="00000000" w:rsidRPr="00000000">
        <w:rPr>
          <w:rFonts w:ascii="Palatino Linotype" w:cs="Palatino Linotype" w:eastAsia="Palatino Linotype" w:hAnsi="Palatino Linotype"/>
          <w:i w:val="1"/>
          <w:iCs w:val="1"/>
          <w:sz w:val="22"/>
          <w:szCs w:val="22"/>
          <w:rtl w:val="0"/>
        </w:rPr>
        <w:t xml:space="preserve">.”</w:t>
      </w:r>
    </w:p>
    <w:p w:rsidR="00000000" w:rsidDel="00000000" w:rsidP="00000000" w:rsidRDefault="00000000" w:rsidRPr="00000000" w14:paraId="00000065">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66">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Es así que, conforme a los preceptos legales citados, se desprende que el derecho de acceso a la información pública es un derecho individual que puede ser ejercido ante cualquier autoridad, entidad, órgano u organismo, tanto federales, como estatales, de la Ciudad de México o Municipales, con el fin de que los particulares conozcan toda aquella información que es considerada como pública. </w:t>
      </w:r>
    </w:p>
    <w:p w:rsidR="00000000" w:rsidDel="00000000" w:rsidP="00000000" w:rsidRDefault="00000000" w:rsidRPr="00000000" w14:paraId="00000067">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68">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esa tesitura, este Instituto no omite señalar que los Sujetos Obligados deben contar con un área responsable para la atención de las solicitudes de información, a la que se le denominará Unidad de Transparencia; asimismo, deben designar a un responsable para atender dicha Unidad, quien fungirá como enlace entre éstos y los solicitantes. </w:t>
      </w:r>
    </w:p>
    <w:p w:rsidR="00000000" w:rsidDel="00000000" w:rsidP="00000000" w:rsidRDefault="00000000" w:rsidRPr="00000000" w14:paraId="00000069">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6A">
      <w:pPr>
        <w:widowControl w:val="0"/>
        <w:tabs>
          <w:tab w:val="left" w:leader="none" w:pos="1276"/>
        </w:tabs>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Dicho lo anterior, se precisa que la ya mencionada Unidad de Transparencia es la encargada de tramitar internamente las solicitudes de información y tiene la responsabilidad de verificar, en cada caso, que la información no tenga el carácter de confidencial o reservada, en términos de los artículos 50 y 51 de la Ley de Transparencia y Acceso a la Información Pública del Estado de México y Municipios.</w:t>
      </w:r>
    </w:p>
    <w:p w:rsidR="00000000" w:rsidDel="00000000" w:rsidP="00000000" w:rsidRDefault="00000000" w:rsidRPr="00000000" w14:paraId="0000006B">
      <w:pPr>
        <w:widowControl w:val="0"/>
        <w:tabs>
          <w:tab w:val="left" w:leader="none" w:pos="1276"/>
        </w:tabs>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6C">
      <w:pPr>
        <w:widowControl w:val="0"/>
        <w:tabs>
          <w:tab w:val="left" w:leader="none" w:pos="1276"/>
        </w:tabs>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Por su parte, el artículo 53, fracciones II, IV y V de la Ley antes citada establece que las Unidades de Transparencia tienen, entre otras, las funciones de recibir, tramitar y dar respuesta a las solicitudes de acceso a la información; realizar, con efectividad, los trámites internos necesarios para la atención de las solicitudes de acceso a la información; así como, entregar, en su caso, a los particulares la información solicitada.</w:t>
      </w:r>
    </w:p>
    <w:p w:rsidR="00000000" w:rsidDel="00000000" w:rsidP="00000000" w:rsidRDefault="00000000" w:rsidRPr="00000000" w14:paraId="0000006D">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6E">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Asimismo, el diverso artículo 54 de la Ley de Transparencia y Acceso a la Información Pública del Estado de México y Municipios establece que cuando alguna área de los Sujetos Obligados se negara a colaborar con la Unidad de Transparencia, ésta dará aviso al superior jerárquico para que le ordene realizar sin demora las acciones conducentes y en caso de que persista la negativa de colaboración, hará del conocimiento de la autoridad competente para que se inicie, en su caso, el procedimiento de responsabilidad respectivo.</w:t>
      </w:r>
    </w:p>
    <w:p w:rsidR="00000000" w:rsidDel="00000000" w:rsidP="00000000" w:rsidRDefault="00000000" w:rsidRPr="00000000" w14:paraId="0000006F">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70">
      <w:pPr>
        <w:widowControl w:val="0"/>
        <w:tabs>
          <w:tab w:val="left" w:leader="none" w:pos="1276"/>
        </w:tabs>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 igual forma, el diverso artículo 59, fracciones I, II y III de la multicitada legislación Sustantiva, establece que los Servidores Públicos Habilitados deben localizar la información que le solicite la Unidad de Transparencia; proporcionar la misma y apoyarla en lo que ésta le solicite para el cumplimiento de sus funciones.</w:t>
      </w:r>
    </w:p>
    <w:p w:rsidR="00000000" w:rsidDel="00000000" w:rsidP="00000000" w:rsidRDefault="00000000" w:rsidRPr="00000000" w14:paraId="00000071">
      <w:pPr>
        <w:widowControl w:val="0"/>
        <w:tabs>
          <w:tab w:val="left" w:leader="none" w:pos="1276"/>
        </w:tabs>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72">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Finalmente, se destaca que de conformidad con el artículo 163 de la legislación en cita, se desprende que la Unidad de Transparencia debe notificar la respuesta a las solicitudes de acceso a la información, en el menor tiempo posible, que no podrá exceder de quince días hábiles, teniendo como excepción al plazo referido, una prórroga de hasta siete días hábiles adicionales, siempre y cuando existan razones fundadas y motivadas, las cuales deberán ser aprobadas por el Comité de Transparencia. Situación que en la especie no aconteció. </w:t>
      </w:r>
    </w:p>
    <w:p w:rsidR="00000000" w:rsidDel="00000000" w:rsidP="00000000" w:rsidRDefault="00000000" w:rsidRPr="00000000" w14:paraId="00000073">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74">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Sirve de sustento a lo anterior, el precepto legal en cita:</w:t>
      </w:r>
    </w:p>
    <w:p w:rsidR="00000000" w:rsidDel="00000000" w:rsidP="00000000" w:rsidRDefault="00000000" w:rsidRPr="00000000" w14:paraId="00000075">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76">
      <w:pPr>
        <w:spacing w:line="276" w:lineRule="auto"/>
        <w:ind w:left="567" w:right="902"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w:t>
      </w:r>
      <w:r w:rsidDel="00000000" w:rsidR="00000000" w:rsidRPr="00000000">
        <w:rPr>
          <w:rFonts w:ascii="Palatino Linotype" w:cs="Palatino Linotype" w:eastAsia="Palatino Linotype" w:hAnsi="Palatino Linotype"/>
          <w:b w:val="1"/>
          <w:bCs w:val="1"/>
          <w:i w:val="1"/>
          <w:iCs w:val="1"/>
          <w:sz w:val="22"/>
          <w:szCs w:val="22"/>
          <w:rtl w:val="0"/>
        </w:rPr>
        <w:t xml:space="preserve">Artículo 163. La Unidad de Transparencia deberá notificar la respuesta a la solicitud al interesado en el menor tiempo posible, que no podrá exceder de quince días hábiles</w:t>
      </w:r>
      <w:r w:rsidDel="00000000" w:rsidR="00000000" w:rsidRPr="00000000">
        <w:rPr>
          <w:rFonts w:ascii="Palatino Linotype" w:cs="Palatino Linotype" w:eastAsia="Palatino Linotype" w:hAnsi="Palatino Linotype"/>
          <w:i w:val="1"/>
          <w:iCs w:val="1"/>
          <w:sz w:val="22"/>
          <w:szCs w:val="22"/>
          <w:rtl w:val="0"/>
        </w:rPr>
        <w:t xml:space="preserve">, contados a partir del día siguiente a la presentación de aquélla. </w:t>
      </w:r>
    </w:p>
    <w:p w:rsidR="00000000" w:rsidDel="00000000" w:rsidP="00000000" w:rsidRDefault="00000000" w:rsidRPr="00000000" w14:paraId="00000077">
      <w:pPr>
        <w:spacing w:line="276" w:lineRule="auto"/>
        <w:ind w:left="567" w:right="902"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Excepcionalmente, el plazo referido en el párrafo anterior podrá ampliarse hasta por siete días hábiles más, siempre y cuando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w:t>
      </w:r>
    </w:p>
    <w:p w:rsidR="00000000" w:rsidDel="00000000" w:rsidP="00000000" w:rsidRDefault="00000000" w:rsidRPr="00000000" w14:paraId="00000078">
      <w:pPr>
        <w:spacing w:line="360" w:lineRule="auto"/>
        <w:ind w:left="851" w:right="902" w:firstLine="0"/>
        <w:jc w:val="both"/>
        <w:rPr>
          <w:rFonts w:ascii="Palatino Linotype" w:cs="Palatino Linotype" w:eastAsia="Palatino Linotype" w:hAnsi="Palatino Linotype"/>
          <w:i w:val="1"/>
          <w:iCs w:val="1"/>
          <w:sz w:val="22"/>
          <w:szCs w:val="22"/>
        </w:rPr>
      </w:pPr>
      <w:r w:rsidDel="00000000" w:rsidR="00000000" w:rsidRPr="00000000">
        <w:rPr>
          <w:rtl w:val="0"/>
        </w:rPr>
      </w:r>
    </w:p>
    <w:p w:rsidR="00000000" w:rsidDel="00000000" w:rsidP="00000000" w:rsidRDefault="00000000" w:rsidRPr="00000000" w14:paraId="00000079">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mérito de lo expuesto, es claro que en este caso el </w:t>
      </w:r>
      <w:r w:rsidDel="00000000" w:rsidR="00000000" w:rsidRPr="00000000">
        <w:rPr>
          <w:rFonts w:ascii="Palatino Linotype" w:cs="Palatino Linotype" w:eastAsia="Palatino Linotype" w:hAnsi="Palatino Linotype"/>
          <w:b w:val="1"/>
          <w:bCs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incumplió la normativa en la materia, puesto que no dio trámite ni respuesta a la solicitud de acceso a la información, limitando el derecho de acceso a la información, accionado por la persona solicitante.</w:t>
      </w:r>
    </w:p>
    <w:p w:rsidR="00000000" w:rsidDel="00000000" w:rsidP="00000000" w:rsidRDefault="00000000" w:rsidRPr="00000000" w14:paraId="0000007A">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7B">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Consecuentemente, este Instituto estima necesario reiterar que, de conformidad con el artículo 150 de la Ley de Transparencia y Acceso a la Información Pública del Estado de México y Municipios, el procedimiento de acceso a la información es la garantía primaria del derecho en cuestión y se rige por los principios de simplicidad, rapidez gratuidad del procedimiento, auxilio y orientación a los particulares; así como, atención adecuada a las personas con discapacidad y a los hablantes de lengua indígena con el objeto de otorgar la protección más amplia del derecho de las personas. </w:t>
      </w:r>
    </w:p>
    <w:p w:rsidR="00000000" w:rsidDel="00000000" w:rsidP="00000000" w:rsidRDefault="00000000" w:rsidRPr="00000000" w14:paraId="0000007C">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7D">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Aunado a lo anterior, este Instituto estima dable referir lo que dispone el artículo 172, último párrafo de la Ley de Transparencia y Acceso a la Información Pública del Estado de México y Municipios, el cual refiere que los argumentos para justificar cualquier negativa de acceso a la información deben recaer en </w:t>
      </w:r>
      <w:r w:rsidDel="00000000" w:rsidR="00000000" w:rsidRPr="00000000">
        <w:rPr>
          <w:rFonts w:ascii="Palatino Linotype" w:cs="Palatino Linotype" w:eastAsia="Palatino Linotype" w:hAnsi="Palatino Linotype"/>
          <w:b w:val="1"/>
          <w:bCs w:val="1"/>
          <w:sz w:val="22"/>
          <w:szCs w:val="22"/>
          <w:rtl w:val="0"/>
        </w:rPr>
        <w:t xml:space="preserve">el Sujeto Obligado</w:t>
      </w:r>
      <w:r w:rsidDel="00000000" w:rsidR="00000000" w:rsidRPr="00000000">
        <w:rPr>
          <w:rFonts w:ascii="Palatino Linotype" w:cs="Palatino Linotype" w:eastAsia="Palatino Linotype" w:hAnsi="Palatino Linotype"/>
          <w:sz w:val="22"/>
          <w:szCs w:val="22"/>
          <w:rtl w:val="0"/>
        </w:rPr>
        <w:t xml:space="preserve">; por lo que, en caso de no atender de manera positiva</w:t>
      </w:r>
      <w:r w:rsidDel="00000000" w:rsidR="00000000" w:rsidRPr="00000000">
        <w:rPr>
          <w:rFonts w:ascii="Palatino Linotype" w:cs="Palatino Linotype" w:eastAsia="Palatino Linotype" w:hAnsi="Palatino Linotype"/>
          <w:sz w:val="22"/>
          <w:szCs w:val="22"/>
          <w:vertAlign w:val="superscript"/>
        </w:rPr>
        <w:footnoteReference w:customMarkFollows="0" w:id="1"/>
      </w:r>
      <w:r w:rsidDel="00000000" w:rsidR="00000000" w:rsidRPr="00000000">
        <w:rPr>
          <w:rFonts w:ascii="Palatino Linotype" w:cs="Palatino Linotype" w:eastAsia="Palatino Linotype" w:hAnsi="Palatino Linotype"/>
          <w:sz w:val="22"/>
          <w:szCs w:val="22"/>
          <w:rtl w:val="0"/>
        </w:rPr>
        <w:t xml:space="preserve">, el requerimiento de información deberá manifestarse al respecto.</w:t>
      </w:r>
    </w:p>
    <w:p w:rsidR="00000000" w:rsidDel="00000000" w:rsidP="00000000" w:rsidRDefault="00000000" w:rsidRPr="00000000" w14:paraId="0000007E">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7F">
      <w:pPr>
        <w:numPr>
          <w:ilvl w:val="0"/>
          <w:numId w:val="3"/>
        </w:numPr>
        <w:pBdr>
          <w:top w:space="0" w:sz="0" w:val="nil"/>
          <w:left w:space="0" w:sz="0" w:val="nil"/>
          <w:bottom w:space="0" w:sz="0" w:val="nil"/>
          <w:right w:space="0" w:sz="0" w:val="nil"/>
          <w:between w:space="0" w:sz="0" w:val="nil"/>
        </w:pBdr>
        <w:spacing w:line="360" w:lineRule="auto"/>
        <w:ind w:left="720" w:hanging="360"/>
        <w:jc w:val="both"/>
        <w:rPr>
          <w:rFonts w:ascii="Palatino Linotype" w:cs="Palatino Linotype" w:eastAsia="Palatino Linotype" w:hAnsi="Palatino Linotype"/>
          <w:b w:val="1"/>
          <w:bCs w:val="1"/>
          <w:sz w:val="22"/>
          <w:szCs w:val="22"/>
        </w:rPr>
      </w:pPr>
      <w:r w:rsidDel="00000000" w:rsidR="00000000" w:rsidRPr="00000000">
        <w:rPr>
          <w:rFonts w:ascii="Palatino Linotype" w:cs="Palatino Linotype" w:eastAsia="Palatino Linotype" w:hAnsi="Palatino Linotype"/>
          <w:b w:val="1"/>
          <w:bCs w:val="1"/>
          <w:sz w:val="22"/>
          <w:szCs w:val="22"/>
          <w:rtl w:val="0"/>
        </w:rPr>
        <w:t xml:space="preserve">De la clasificación de la información.</w:t>
      </w:r>
    </w:p>
    <w:p w:rsidR="00000000" w:rsidDel="00000000" w:rsidP="00000000" w:rsidRDefault="00000000" w:rsidRPr="00000000" w14:paraId="00000080">
      <w:pPr>
        <w:pBdr>
          <w:top w:space="0" w:sz="0" w:val="nil"/>
          <w:left w:space="0" w:sz="0" w:val="nil"/>
          <w:bottom w:space="0" w:sz="0" w:val="nil"/>
          <w:right w:space="0" w:sz="0" w:val="nil"/>
          <w:between w:space="0" w:sz="0" w:val="nil"/>
        </w:pBdr>
        <w:spacing w:line="360" w:lineRule="auto"/>
        <w:ind w:left="720" w:firstLine="0"/>
        <w:jc w:val="both"/>
        <w:rPr>
          <w:rFonts w:ascii="Palatino Linotype" w:cs="Palatino Linotype" w:eastAsia="Palatino Linotype" w:hAnsi="Palatino Linotype"/>
          <w:b w:val="1"/>
          <w:bCs w:val="1"/>
          <w:sz w:val="22"/>
          <w:szCs w:val="22"/>
        </w:rPr>
      </w:pPr>
      <w:r w:rsidDel="00000000" w:rsidR="00000000" w:rsidRPr="00000000">
        <w:rPr>
          <w:rtl w:val="0"/>
        </w:rPr>
      </w:r>
    </w:p>
    <w:p w:rsidR="00000000" w:rsidDel="00000000" w:rsidP="00000000" w:rsidRDefault="00000000" w:rsidRPr="00000000" w14:paraId="00000081">
      <w:pPr>
        <w:spacing w:line="360" w:lineRule="auto"/>
        <w:ind w:right="51"/>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Ahora bien, en atención al sentido en que se resuelve el presente medio de impugnación, este Organismo Garante no omite señalar que, el derecho de acceso a la información puede ser restringido de manera excepcional por razones de interés público, en los términos de las causas legítimas y estrictamente necesarias previstas por la Ley, a través de la clasificación de la información como confidencial o reservada para permitir el acceso, como se desprende del artículo 91 de la Ley de la Materia que es del tenor literal siguiente:</w:t>
      </w:r>
    </w:p>
    <w:p w:rsidR="00000000" w:rsidDel="00000000" w:rsidP="00000000" w:rsidRDefault="00000000" w:rsidRPr="00000000" w14:paraId="00000082">
      <w:pPr>
        <w:spacing w:line="360" w:lineRule="auto"/>
        <w:ind w:right="51"/>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83">
      <w:pPr>
        <w:spacing w:line="276" w:lineRule="auto"/>
        <w:ind w:left="851" w:right="900"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“Artículo 91. </w:t>
      </w:r>
      <w:r w:rsidDel="00000000" w:rsidR="00000000" w:rsidRPr="00000000">
        <w:rPr>
          <w:rFonts w:ascii="Palatino Linotype" w:cs="Palatino Linotype" w:eastAsia="Palatino Linotype" w:hAnsi="Palatino Linotype"/>
          <w:i w:val="1"/>
          <w:iCs w:val="1"/>
          <w:sz w:val="22"/>
          <w:szCs w:val="22"/>
          <w:rtl w:val="0"/>
        </w:rPr>
        <w:t xml:space="preserve">El acceso a la información pública será restringido excepcionalmente, cuando ésta sea clasificada como reservada o confidencial.”</w:t>
      </w:r>
    </w:p>
    <w:p w:rsidR="00000000" w:rsidDel="00000000" w:rsidP="00000000" w:rsidRDefault="00000000" w:rsidRPr="00000000" w14:paraId="00000084">
      <w:pPr>
        <w:spacing w:line="360" w:lineRule="auto"/>
        <w:ind w:left="851" w:right="900" w:firstLine="0"/>
        <w:jc w:val="both"/>
        <w:rPr>
          <w:rFonts w:ascii="Palatino Linotype" w:cs="Palatino Linotype" w:eastAsia="Palatino Linotype" w:hAnsi="Palatino Linotype"/>
          <w:i w:val="1"/>
          <w:iCs w:val="1"/>
          <w:sz w:val="22"/>
          <w:szCs w:val="22"/>
        </w:rPr>
      </w:pPr>
      <w:r w:rsidDel="00000000" w:rsidR="00000000" w:rsidRPr="00000000">
        <w:rPr>
          <w:rtl w:val="0"/>
        </w:rPr>
      </w:r>
    </w:p>
    <w:p w:rsidR="00000000" w:rsidDel="00000000" w:rsidP="00000000" w:rsidRDefault="00000000" w:rsidRPr="00000000" w14:paraId="00000085">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Entendiéndose como información reservada aquella que se clasifica de manera temporal cuya divulgación pueda causar algún daño; y como información confidencial, la relacionada con los secretos bancario, fiduciario, industrial, comercial, fiscal, bursátil y postal, cuya titularidad corresponde a particulares, sujetos de derecho internacional o a Sujetos Obligados cuando no involucren el ejercicio de recursos públicos, así como la información privada contenida en documentos públicos o privados que refiera a la vida privada y/o los datos personales, que no son de acceso público. </w:t>
      </w:r>
    </w:p>
    <w:p w:rsidR="00000000" w:rsidDel="00000000" w:rsidP="00000000" w:rsidRDefault="00000000" w:rsidRPr="00000000" w14:paraId="00000086">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 manera que, la Ley de Transparencia y Acceso a la Información Pública del Estado de México y Municipios, en sus artículos 140 y 143 prevé los siguientes supuestos para clasificar la información como reservada o confidencial:</w:t>
      </w:r>
    </w:p>
    <w:p w:rsidR="00000000" w:rsidDel="00000000" w:rsidP="00000000" w:rsidRDefault="00000000" w:rsidRPr="00000000" w14:paraId="00000087">
      <w:pPr>
        <w:tabs>
          <w:tab w:val="left" w:leader="none" w:pos="567"/>
        </w:tabs>
        <w:spacing w:line="276" w:lineRule="auto"/>
        <w:ind w:left="567" w:right="616" w:firstLine="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88">
      <w:pPr>
        <w:tabs>
          <w:tab w:val="left" w:leader="none" w:pos="567"/>
        </w:tabs>
        <w:spacing w:line="276" w:lineRule="auto"/>
        <w:ind w:left="567"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“Artículo 140. </w:t>
      </w:r>
      <w:r w:rsidDel="00000000" w:rsidR="00000000" w:rsidRPr="00000000">
        <w:rPr>
          <w:rFonts w:ascii="Palatino Linotype" w:cs="Palatino Linotype" w:eastAsia="Palatino Linotype" w:hAnsi="Palatino Linotype"/>
          <w:i w:val="1"/>
          <w:iCs w:val="1"/>
          <w:sz w:val="22"/>
          <w:szCs w:val="22"/>
          <w:rtl w:val="0"/>
        </w:rPr>
        <w:t xml:space="preserve">El acceso a la información pública será restringido excepcionalmente, cuando por razones de interés público, ésta sea clasificada como reservada, conforme a los criterios siguientes:</w:t>
      </w:r>
    </w:p>
    <w:p w:rsidR="00000000" w:rsidDel="00000000" w:rsidP="00000000" w:rsidRDefault="00000000" w:rsidRPr="00000000" w14:paraId="00000089">
      <w:pPr>
        <w:tabs>
          <w:tab w:val="left" w:leader="none" w:pos="567"/>
        </w:tabs>
        <w:spacing w:line="276" w:lineRule="auto"/>
        <w:ind w:left="567"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I. </w:t>
      </w:r>
      <w:r w:rsidDel="00000000" w:rsidR="00000000" w:rsidRPr="00000000">
        <w:rPr>
          <w:rFonts w:ascii="Palatino Linotype" w:cs="Palatino Linotype" w:eastAsia="Palatino Linotype" w:hAnsi="Palatino Linotype"/>
          <w:i w:val="1"/>
          <w:iCs w:val="1"/>
          <w:sz w:val="22"/>
          <w:szCs w:val="22"/>
          <w:rtl w:val="0"/>
        </w:rPr>
        <w:t xml:space="preserve">Comprometa la seguridad pública y cuente con un propósito genuino y un efecto demostrable;</w:t>
      </w:r>
    </w:p>
    <w:p w:rsidR="00000000" w:rsidDel="00000000" w:rsidP="00000000" w:rsidRDefault="00000000" w:rsidRPr="00000000" w14:paraId="0000008A">
      <w:pPr>
        <w:tabs>
          <w:tab w:val="left" w:leader="none" w:pos="567"/>
        </w:tabs>
        <w:spacing w:line="276" w:lineRule="auto"/>
        <w:ind w:left="567"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II. </w:t>
      </w:r>
      <w:r w:rsidDel="00000000" w:rsidR="00000000" w:rsidRPr="00000000">
        <w:rPr>
          <w:rFonts w:ascii="Palatino Linotype" w:cs="Palatino Linotype" w:eastAsia="Palatino Linotype" w:hAnsi="Palatino Linotype"/>
          <w:i w:val="1"/>
          <w:iCs w:val="1"/>
          <w:sz w:val="22"/>
          <w:szCs w:val="22"/>
          <w:rtl w:val="0"/>
        </w:rPr>
        <w:t xml:space="preserve">Pueda menoscabar la conducción de las negociaciones y relaciones internacionales;</w:t>
      </w:r>
    </w:p>
    <w:p w:rsidR="00000000" w:rsidDel="00000000" w:rsidP="00000000" w:rsidRDefault="00000000" w:rsidRPr="00000000" w14:paraId="0000008B">
      <w:pPr>
        <w:tabs>
          <w:tab w:val="left" w:leader="none" w:pos="567"/>
        </w:tabs>
        <w:spacing w:line="276" w:lineRule="auto"/>
        <w:ind w:left="567"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III. </w:t>
      </w:r>
      <w:r w:rsidDel="00000000" w:rsidR="00000000" w:rsidRPr="00000000">
        <w:rPr>
          <w:rFonts w:ascii="Palatino Linotype" w:cs="Palatino Linotype" w:eastAsia="Palatino Linotype" w:hAnsi="Palatino Linotype"/>
          <w:i w:val="1"/>
          <w:iCs w:val="1"/>
          <w:sz w:val="22"/>
          <w:szCs w:val="22"/>
          <w:rtl w:val="0"/>
        </w:rPr>
        <w:t xml:space="preserve">Se entregue a la Entidad expresamente con ese carácter o el de confidencialidad por otro u otros sujetos de derecho internacional, excepto cuando se trate de violaciones graves de derechos humanos o delitos de lesa humanidad de conformidad con el derecho internacional;</w:t>
      </w:r>
    </w:p>
    <w:p w:rsidR="00000000" w:rsidDel="00000000" w:rsidP="00000000" w:rsidRDefault="00000000" w:rsidRPr="00000000" w14:paraId="0000008C">
      <w:pPr>
        <w:tabs>
          <w:tab w:val="left" w:leader="none" w:pos="567"/>
        </w:tabs>
        <w:spacing w:line="276" w:lineRule="auto"/>
        <w:ind w:left="567"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IV. </w:t>
      </w:r>
      <w:r w:rsidDel="00000000" w:rsidR="00000000" w:rsidRPr="00000000">
        <w:rPr>
          <w:rFonts w:ascii="Palatino Linotype" w:cs="Palatino Linotype" w:eastAsia="Palatino Linotype" w:hAnsi="Palatino Linotype"/>
          <w:i w:val="1"/>
          <w:iCs w:val="1"/>
          <w:sz w:val="22"/>
          <w:szCs w:val="22"/>
          <w:rtl w:val="0"/>
        </w:rPr>
        <w:t xml:space="preserve">Ponga en riesgo la vida, la seguridad o la salud de una persona física;</w:t>
      </w:r>
    </w:p>
    <w:p w:rsidR="00000000" w:rsidDel="00000000" w:rsidP="00000000" w:rsidRDefault="00000000" w:rsidRPr="00000000" w14:paraId="0000008D">
      <w:pPr>
        <w:tabs>
          <w:tab w:val="left" w:leader="none" w:pos="567"/>
        </w:tabs>
        <w:spacing w:line="276" w:lineRule="auto"/>
        <w:ind w:left="567"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V. </w:t>
      </w:r>
      <w:r w:rsidDel="00000000" w:rsidR="00000000" w:rsidRPr="00000000">
        <w:rPr>
          <w:rFonts w:ascii="Palatino Linotype" w:cs="Palatino Linotype" w:eastAsia="Palatino Linotype" w:hAnsi="Palatino Linotype"/>
          <w:i w:val="1"/>
          <w:iCs w:val="1"/>
          <w:sz w:val="22"/>
          <w:szCs w:val="22"/>
          <w:rtl w:val="0"/>
        </w:rPr>
        <w:t xml:space="preserve">Aquella cuya divulgación obstruya o pueda causar un serio perjuicio a:</w:t>
      </w:r>
    </w:p>
    <w:p w:rsidR="00000000" w:rsidDel="00000000" w:rsidP="00000000" w:rsidRDefault="00000000" w:rsidRPr="00000000" w14:paraId="0000008E">
      <w:pPr>
        <w:tabs>
          <w:tab w:val="left" w:leader="none" w:pos="567"/>
        </w:tabs>
        <w:spacing w:line="276" w:lineRule="auto"/>
        <w:ind w:left="567"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1. </w:t>
      </w:r>
      <w:r w:rsidDel="00000000" w:rsidR="00000000" w:rsidRPr="00000000">
        <w:rPr>
          <w:rFonts w:ascii="Palatino Linotype" w:cs="Palatino Linotype" w:eastAsia="Palatino Linotype" w:hAnsi="Palatino Linotype"/>
          <w:i w:val="1"/>
          <w:iCs w:val="1"/>
          <w:sz w:val="22"/>
          <w:szCs w:val="22"/>
          <w:rtl w:val="0"/>
        </w:rPr>
        <w:t xml:space="preserve">Las actividades de fiscalización, verificación, inspección, comprobación y auditoría sobre el cumplimiento de las Leyes; o </w:t>
      </w:r>
    </w:p>
    <w:p w:rsidR="00000000" w:rsidDel="00000000" w:rsidP="00000000" w:rsidRDefault="00000000" w:rsidRPr="00000000" w14:paraId="0000008F">
      <w:pPr>
        <w:tabs>
          <w:tab w:val="left" w:leader="none" w:pos="567"/>
        </w:tabs>
        <w:spacing w:line="276" w:lineRule="auto"/>
        <w:ind w:left="567"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2. </w:t>
      </w:r>
      <w:r w:rsidDel="00000000" w:rsidR="00000000" w:rsidRPr="00000000">
        <w:rPr>
          <w:rFonts w:ascii="Palatino Linotype" w:cs="Palatino Linotype" w:eastAsia="Palatino Linotype" w:hAnsi="Palatino Linotype"/>
          <w:i w:val="1"/>
          <w:iCs w:val="1"/>
          <w:sz w:val="22"/>
          <w:szCs w:val="22"/>
          <w:rtl w:val="0"/>
        </w:rPr>
        <w:t xml:space="preserve">La recaudación de las contribuciones.</w:t>
      </w:r>
    </w:p>
    <w:p w:rsidR="00000000" w:rsidDel="00000000" w:rsidP="00000000" w:rsidRDefault="00000000" w:rsidRPr="00000000" w14:paraId="00000090">
      <w:pPr>
        <w:tabs>
          <w:tab w:val="left" w:leader="none" w:pos="567"/>
        </w:tabs>
        <w:spacing w:line="276" w:lineRule="auto"/>
        <w:ind w:left="567"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VI. </w:t>
      </w:r>
      <w:r w:rsidDel="00000000" w:rsidR="00000000" w:rsidRPr="00000000">
        <w:rPr>
          <w:rFonts w:ascii="Palatino Linotype" w:cs="Palatino Linotype" w:eastAsia="Palatino Linotype" w:hAnsi="Palatino Linotype"/>
          <w:i w:val="1"/>
          <w:iCs w:val="1"/>
          <w:sz w:val="22"/>
          <w:szCs w:val="22"/>
          <w:rtl w:val="0"/>
        </w:rPr>
        <w:t xml:space="preserve">Pueda causar daño u obstruya la prevención o persecución de los delitos, altere el proceso de investigación de las carpetas de investigación, afecte o vulnere la conducción o los derechos del debido proceso en los procedimientos judiciales o administrativos, incluidos los de quejas, denuncias, inconformidades, responsabilidades administrativas y resarcitorias en tanto no hayan quedado firmes o afecte la administración de justicia o la seguridad de un denunciante, querellante o testigo, así como sus familias, en los términos de las disposiciones jurídicas aplicables;</w:t>
      </w:r>
    </w:p>
    <w:p w:rsidR="00000000" w:rsidDel="00000000" w:rsidP="00000000" w:rsidRDefault="00000000" w:rsidRPr="00000000" w14:paraId="00000091">
      <w:pPr>
        <w:tabs>
          <w:tab w:val="left" w:leader="none" w:pos="567"/>
        </w:tabs>
        <w:spacing w:line="276" w:lineRule="auto"/>
        <w:ind w:left="567"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VII. </w:t>
      </w:r>
      <w:r w:rsidDel="00000000" w:rsidR="00000000" w:rsidRPr="00000000">
        <w:rPr>
          <w:rFonts w:ascii="Palatino Linotype" w:cs="Palatino Linotype" w:eastAsia="Palatino Linotype" w:hAnsi="Palatino Linotype"/>
          <w:i w:val="1"/>
          <w:iCs w:val="1"/>
          <w:sz w:val="22"/>
          <w:szCs w:val="22"/>
          <w:rtl w:val="0"/>
        </w:rPr>
        <w:t xml:space="preserve">La que contengan las opiniones, recomendaciones o puntos de vista que formen parte del proceso deliberativo de los servidores públicos, hasta en tanto sea adoptada la decisión definitiva, la cual deberá estar documentada;</w:t>
      </w:r>
    </w:p>
    <w:p w:rsidR="00000000" w:rsidDel="00000000" w:rsidP="00000000" w:rsidRDefault="00000000" w:rsidRPr="00000000" w14:paraId="00000092">
      <w:pPr>
        <w:tabs>
          <w:tab w:val="left" w:leader="none" w:pos="567"/>
        </w:tabs>
        <w:spacing w:line="276" w:lineRule="auto"/>
        <w:ind w:left="567"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VIII</w:t>
      </w:r>
      <w:r w:rsidDel="00000000" w:rsidR="00000000" w:rsidRPr="00000000">
        <w:rPr>
          <w:rFonts w:ascii="Palatino Linotype" w:cs="Palatino Linotype" w:eastAsia="Palatino Linotype" w:hAnsi="Palatino Linotype"/>
          <w:i w:val="1"/>
          <w:iCs w:val="1"/>
          <w:sz w:val="22"/>
          <w:szCs w:val="22"/>
          <w:rtl w:val="0"/>
        </w:rPr>
        <w:t xml:space="preserve">. Vulnere la conducción de los expedientes judiciales o de los procedimientos administrativos seguidos en forma de juicio, en tanto no hayan quedado firmes</w:t>
      </w:r>
      <w:r w:rsidDel="00000000" w:rsidR="00000000" w:rsidRPr="00000000">
        <w:rPr>
          <w:rFonts w:ascii="Palatino Linotype" w:cs="Palatino Linotype" w:eastAsia="Palatino Linotype" w:hAnsi="Palatino Linotype"/>
          <w:b w:val="1"/>
          <w:bCs w:val="1"/>
          <w:i w:val="1"/>
          <w:iCs w:val="1"/>
          <w:sz w:val="22"/>
          <w:szCs w:val="22"/>
          <w:rtl w:val="0"/>
        </w:rPr>
        <w:t xml:space="preserve">;</w:t>
      </w:r>
      <w:r w:rsidDel="00000000" w:rsidR="00000000" w:rsidRPr="00000000">
        <w:rPr>
          <w:rtl w:val="0"/>
        </w:rPr>
      </w:r>
    </w:p>
    <w:p w:rsidR="00000000" w:rsidDel="00000000" w:rsidP="00000000" w:rsidRDefault="00000000" w:rsidRPr="00000000" w14:paraId="00000093">
      <w:pPr>
        <w:tabs>
          <w:tab w:val="left" w:leader="none" w:pos="567"/>
        </w:tabs>
        <w:spacing w:line="276" w:lineRule="auto"/>
        <w:ind w:left="567"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IX. </w:t>
      </w:r>
      <w:r w:rsidDel="00000000" w:rsidR="00000000" w:rsidRPr="00000000">
        <w:rPr>
          <w:rFonts w:ascii="Palatino Linotype" w:cs="Palatino Linotype" w:eastAsia="Palatino Linotype" w:hAnsi="Palatino Linotype"/>
          <w:i w:val="1"/>
          <w:iCs w:val="1"/>
          <w:sz w:val="22"/>
          <w:szCs w:val="22"/>
          <w:rtl w:val="0"/>
        </w:rPr>
        <w:t xml:space="preserve">Se encuentre contenida dentro de las investigaciones de hechos que la Ley señale como delitos y se tramiten ante el Ministerio Público;</w:t>
      </w:r>
    </w:p>
    <w:p w:rsidR="00000000" w:rsidDel="00000000" w:rsidP="00000000" w:rsidRDefault="00000000" w:rsidRPr="00000000" w14:paraId="00000094">
      <w:pPr>
        <w:tabs>
          <w:tab w:val="left" w:leader="none" w:pos="567"/>
        </w:tabs>
        <w:spacing w:line="276" w:lineRule="auto"/>
        <w:ind w:left="567"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X. </w:t>
      </w:r>
      <w:r w:rsidDel="00000000" w:rsidR="00000000" w:rsidRPr="00000000">
        <w:rPr>
          <w:rFonts w:ascii="Palatino Linotype" w:cs="Palatino Linotype" w:eastAsia="Palatino Linotype" w:hAnsi="Palatino Linotype"/>
          <w:i w:val="1"/>
          <w:iCs w:val="1"/>
          <w:sz w:val="22"/>
          <w:szCs w:val="22"/>
          <w:rtl w:val="0"/>
        </w:rPr>
        <w:t xml:space="preserve">El daño que pueda producirse con la publicación de la información sea mayor que el interés público de conocer la información de referencia, siempre que esté directamente relacionado con procesos o procedimientos administrativos o judiciales que no hayan quedado firmes;</w:t>
      </w:r>
    </w:p>
    <w:p w:rsidR="00000000" w:rsidDel="00000000" w:rsidP="00000000" w:rsidRDefault="00000000" w:rsidRPr="00000000" w14:paraId="00000095">
      <w:pPr>
        <w:tabs>
          <w:tab w:val="left" w:leader="none" w:pos="567"/>
        </w:tabs>
        <w:spacing w:line="276" w:lineRule="auto"/>
        <w:ind w:left="567"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Cuando se trate de información sobre estudios y proyectos cuya divulgación pueda causar daños al interés del Estado o suponga un riesgo para su realización, siempre que esté directamente relacionado con procesos o procedimientos administrativos o judiciales que no hayan quedado firmes; y</w:t>
      </w:r>
    </w:p>
    <w:p w:rsidR="00000000" w:rsidDel="00000000" w:rsidP="00000000" w:rsidRDefault="00000000" w:rsidRPr="00000000" w14:paraId="00000096">
      <w:pPr>
        <w:tabs>
          <w:tab w:val="left" w:leader="none" w:pos="567"/>
        </w:tabs>
        <w:spacing w:line="276" w:lineRule="auto"/>
        <w:ind w:left="567"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XI. </w:t>
      </w:r>
      <w:r w:rsidDel="00000000" w:rsidR="00000000" w:rsidRPr="00000000">
        <w:rPr>
          <w:rFonts w:ascii="Palatino Linotype" w:cs="Palatino Linotype" w:eastAsia="Palatino Linotype" w:hAnsi="Palatino Linotype"/>
          <w:i w:val="1"/>
          <w:iCs w:val="1"/>
          <w:sz w:val="22"/>
          <w:szCs w:val="22"/>
          <w:rtl w:val="0"/>
        </w:rPr>
        <w:t xml:space="preserve">Las que por disposición expresa de una ley tengan tal carácter, siempre que sean acordes con las bases, principios y disposiciones establecidos en esta Ley y no la contravengan; así como las previstas en tratados internacionales.</w:t>
      </w:r>
    </w:p>
    <w:p w:rsidR="00000000" w:rsidDel="00000000" w:rsidP="00000000" w:rsidRDefault="00000000" w:rsidRPr="00000000" w14:paraId="00000097">
      <w:pPr>
        <w:tabs>
          <w:tab w:val="left" w:leader="none" w:pos="567"/>
        </w:tabs>
        <w:spacing w:line="276" w:lineRule="auto"/>
        <w:ind w:left="567"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w:t>
      </w:r>
    </w:p>
    <w:p w:rsidR="00000000" w:rsidDel="00000000" w:rsidP="00000000" w:rsidRDefault="00000000" w:rsidRPr="00000000" w14:paraId="00000098">
      <w:pPr>
        <w:tabs>
          <w:tab w:val="left" w:leader="none" w:pos="567"/>
        </w:tabs>
        <w:spacing w:line="276" w:lineRule="auto"/>
        <w:ind w:left="567"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Artículo 143. </w:t>
      </w:r>
      <w:r w:rsidDel="00000000" w:rsidR="00000000" w:rsidRPr="00000000">
        <w:rPr>
          <w:rFonts w:ascii="Palatino Linotype" w:cs="Palatino Linotype" w:eastAsia="Palatino Linotype" w:hAnsi="Palatino Linotype"/>
          <w:i w:val="1"/>
          <w:iCs w:val="1"/>
          <w:sz w:val="22"/>
          <w:szCs w:val="22"/>
          <w:rtl w:val="0"/>
        </w:rPr>
        <w:t xml:space="preserve">Para los efectos de esta Ley se considera información confidencial, la clasificada como tal, de manera permanente, por su naturaleza, cuando:</w:t>
      </w:r>
    </w:p>
    <w:p w:rsidR="00000000" w:rsidDel="00000000" w:rsidP="00000000" w:rsidRDefault="00000000" w:rsidRPr="00000000" w14:paraId="00000099">
      <w:pPr>
        <w:tabs>
          <w:tab w:val="left" w:leader="none" w:pos="567"/>
        </w:tabs>
        <w:spacing w:line="276" w:lineRule="auto"/>
        <w:ind w:left="567"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I. </w:t>
      </w:r>
      <w:r w:rsidDel="00000000" w:rsidR="00000000" w:rsidRPr="00000000">
        <w:rPr>
          <w:rFonts w:ascii="Palatino Linotype" w:cs="Palatino Linotype" w:eastAsia="Palatino Linotype" w:hAnsi="Palatino Linotype"/>
          <w:i w:val="1"/>
          <w:iCs w:val="1"/>
          <w:sz w:val="22"/>
          <w:szCs w:val="22"/>
          <w:rtl w:val="0"/>
        </w:rPr>
        <w:t xml:space="preserve">Se refiera a la información privada y los datos personales concernientes a una persona física o jurídico colectiva identificada o identificable;</w:t>
      </w:r>
    </w:p>
    <w:p w:rsidR="00000000" w:rsidDel="00000000" w:rsidP="00000000" w:rsidRDefault="00000000" w:rsidRPr="00000000" w14:paraId="0000009A">
      <w:pPr>
        <w:tabs>
          <w:tab w:val="left" w:leader="none" w:pos="567"/>
        </w:tabs>
        <w:spacing w:line="276" w:lineRule="auto"/>
        <w:ind w:left="567"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II. </w:t>
      </w:r>
      <w:r w:rsidDel="00000000" w:rsidR="00000000" w:rsidRPr="00000000">
        <w:rPr>
          <w:rFonts w:ascii="Palatino Linotype" w:cs="Palatino Linotype" w:eastAsia="Palatino Linotype" w:hAnsi="Palatino Linotype"/>
          <w:i w:val="1"/>
          <w:iCs w:val="1"/>
          <w:sz w:val="22"/>
          <w:szCs w:val="22"/>
          <w:rtl w:val="0"/>
        </w:rPr>
        <w:t xml:space="preserve">Los secretos bancario, fiduciario, industrial, comercial, fiscal, bursátil y postal, cuya titularidad corresponda a particulares, sujetos de derecho internacional o a sujetos obligados cuando no involucren el ejercicio de recursos públicos; y</w:t>
      </w:r>
    </w:p>
    <w:p w:rsidR="00000000" w:rsidDel="00000000" w:rsidP="00000000" w:rsidRDefault="00000000" w:rsidRPr="00000000" w14:paraId="0000009B">
      <w:pPr>
        <w:tabs>
          <w:tab w:val="left" w:leader="none" w:pos="567"/>
        </w:tabs>
        <w:spacing w:line="276" w:lineRule="auto"/>
        <w:ind w:left="567"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III. </w:t>
      </w:r>
      <w:r w:rsidDel="00000000" w:rsidR="00000000" w:rsidRPr="00000000">
        <w:rPr>
          <w:rFonts w:ascii="Palatino Linotype" w:cs="Palatino Linotype" w:eastAsia="Palatino Linotype" w:hAnsi="Palatino Linotype"/>
          <w:i w:val="1"/>
          <w:iCs w:val="1"/>
          <w:sz w:val="22"/>
          <w:szCs w:val="22"/>
          <w:rtl w:val="0"/>
        </w:rPr>
        <w:t xml:space="preserve">La que presenten los particulares a los sujetos obligados, de conformidad con lo dispuesto por las leyes o los tratados internacionales.</w:t>
      </w:r>
    </w:p>
    <w:p w:rsidR="00000000" w:rsidDel="00000000" w:rsidP="00000000" w:rsidRDefault="00000000" w:rsidRPr="00000000" w14:paraId="0000009C">
      <w:pPr>
        <w:tabs>
          <w:tab w:val="left" w:leader="none" w:pos="567"/>
        </w:tabs>
        <w:spacing w:line="276" w:lineRule="auto"/>
        <w:ind w:left="567"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La información confidencial no estará sujeta a temporalidad alguna y sólo podrán tener acceso a ella los titulares de la misma, sus representantes y los servidores públicos facultados para ello.</w:t>
      </w:r>
    </w:p>
    <w:p w:rsidR="00000000" w:rsidDel="00000000" w:rsidP="00000000" w:rsidRDefault="00000000" w:rsidRPr="00000000" w14:paraId="0000009D">
      <w:pPr>
        <w:tabs>
          <w:tab w:val="left" w:leader="none" w:pos="567"/>
        </w:tabs>
        <w:spacing w:line="276" w:lineRule="auto"/>
        <w:ind w:left="567"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No se considerará confidencial la información que se encuentre en los registros públicos o en fuentes de acceso público, ni tampoco la que sea considerada por la presente ley como información pública.”</w:t>
      </w:r>
    </w:p>
    <w:p w:rsidR="00000000" w:rsidDel="00000000" w:rsidP="00000000" w:rsidRDefault="00000000" w:rsidRPr="00000000" w14:paraId="0000009E">
      <w:pPr>
        <w:tabs>
          <w:tab w:val="left" w:leader="none" w:pos="567"/>
        </w:tabs>
        <w:spacing w:line="276" w:lineRule="auto"/>
        <w:ind w:left="567" w:right="616" w:firstLine="0"/>
        <w:jc w:val="both"/>
        <w:rPr>
          <w:rFonts w:ascii="Palatino Linotype" w:cs="Palatino Linotype" w:eastAsia="Palatino Linotype" w:hAnsi="Palatino Linotype"/>
          <w:i w:val="1"/>
          <w:iCs w:val="1"/>
          <w:sz w:val="22"/>
          <w:szCs w:val="22"/>
        </w:rPr>
      </w:pPr>
      <w:r w:rsidDel="00000000" w:rsidR="00000000" w:rsidRPr="00000000">
        <w:rPr>
          <w:rtl w:val="0"/>
        </w:rPr>
      </w:r>
    </w:p>
    <w:p w:rsidR="00000000" w:rsidDel="00000000" w:rsidP="00000000" w:rsidRDefault="00000000" w:rsidRPr="00000000" w14:paraId="0000009F">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 este modo, conforme al artículo 132 de la Ley en la Materia Local, para clasificar la información se debe de atender a lo dispuesto por la normativa y aplicar, de manera estricta, las excepciones del derecho de acceso a la información y sólo podrán invocarlas cuando acrediten su procedencia, debiendo clasificar la información en el momento en que:</w:t>
      </w:r>
    </w:p>
    <w:p w:rsidR="00000000" w:rsidDel="00000000" w:rsidP="00000000" w:rsidRDefault="00000000" w:rsidRPr="00000000" w14:paraId="000000A0">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A1">
      <w:pPr>
        <w:numPr>
          <w:ilvl w:val="0"/>
          <w:numId w:val="2"/>
        </w:numPr>
        <w:tabs>
          <w:tab w:val="left" w:leader="none" w:pos="851"/>
        </w:tabs>
        <w:spacing w:line="360" w:lineRule="auto"/>
        <w:ind w:left="567"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Se reciba una solicitud de acceso a la información;</w:t>
      </w:r>
    </w:p>
    <w:p w:rsidR="00000000" w:rsidDel="00000000" w:rsidP="00000000" w:rsidRDefault="00000000" w:rsidRPr="00000000" w14:paraId="000000A2">
      <w:pPr>
        <w:numPr>
          <w:ilvl w:val="0"/>
          <w:numId w:val="2"/>
        </w:numPr>
        <w:tabs>
          <w:tab w:val="left" w:leader="none" w:pos="851"/>
        </w:tabs>
        <w:spacing w:line="360" w:lineRule="auto"/>
        <w:ind w:left="567"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Se determine mediante resolución de autoridad competente; y/o</w:t>
      </w:r>
    </w:p>
    <w:p w:rsidR="00000000" w:rsidDel="00000000" w:rsidP="00000000" w:rsidRDefault="00000000" w:rsidRPr="00000000" w14:paraId="000000A3">
      <w:pPr>
        <w:numPr>
          <w:ilvl w:val="0"/>
          <w:numId w:val="2"/>
        </w:numPr>
        <w:tabs>
          <w:tab w:val="left" w:leader="none" w:pos="851"/>
        </w:tabs>
        <w:spacing w:line="360" w:lineRule="auto"/>
        <w:ind w:left="567"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Se generen versiones públicas para dar cumplimiento a las obligaciones de transparencia previstas en la Ley.</w:t>
      </w:r>
    </w:p>
    <w:p w:rsidR="00000000" w:rsidDel="00000000" w:rsidP="00000000" w:rsidRDefault="00000000" w:rsidRPr="00000000" w14:paraId="000000A4">
      <w:pPr>
        <w:tabs>
          <w:tab w:val="left" w:leader="none" w:pos="851"/>
        </w:tabs>
        <w:spacing w:line="360" w:lineRule="auto"/>
        <w:ind w:left="567" w:firstLine="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A5">
      <w:pPr>
        <w:spacing w:line="360" w:lineRule="auto"/>
        <w:ind w:right="51"/>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ese sentido, es de precisar que la clasificación de la información no se da por el simple mandato de la Ley, sino que es necesario que el </w:t>
      </w:r>
      <w:r w:rsidDel="00000000" w:rsidR="00000000" w:rsidRPr="00000000">
        <w:rPr>
          <w:rFonts w:ascii="Palatino Linotype" w:cs="Palatino Linotype" w:eastAsia="Palatino Linotype" w:hAnsi="Palatino Linotype"/>
          <w:b w:val="1"/>
          <w:bCs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cuando clasifique algún documento o información, ya sea todo o en parte, atienda lo dispuesto por la Ley de la materia, siendo que dicha clasificación es un trabajo en conjunto tanto de los Servidores Públicos Habilitados, de las Unidades de Transparencia y del Comité de Transparencia del </w:t>
      </w:r>
      <w:r w:rsidDel="00000000" w:rsidR="00000000" w:rsidRPr="00000000">
        <w:rPr>
          <w:rFonts w:ascii="Palatino Linotype" w:cs="Palatino Linotype" w:eastAsia="Palatino Linotype" w:hAnsi="Palatino Linotype"/>
          <w:b w:val="1"/>
          <w:bCs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teniendo el deber los primeros de ellos de presentar ante la Unidad de Transparencia la propuesta de la clasificación de la información, para que luego esta se presente ante al Comité de Transparencia de así resultar procedente el proyecto de clasificación de la información y que finalmente sea este último quien apruebe, modifique o revoque la misma, como se desprende de los artículos 59 fracción V</w:t>
      </w:r>
      <w:r w:rsidDel="00000000" w:rsidR="00000000" w:rsidRPr="00000000">
        <w:rPr>
          <w:rFonts w:ascii="Palatino Linotype" w:cs="Palatino Linotype" w:eastAsia="Palatino Linotype" w:hAnsi="Palatino Linotype"/>
          <w:sz w:val="22"/>
          <w:szCs w:val="22"/>
          <w:vertAlign w:val="superscript"/>
        </w:rPr>
        <w:footnoteReference w:customMarkFollows="0" w:id="2"/>
      </w:r>
      <w:r w:rsidDel="00000000" w:rsidR="00000000" w:rsidRPr="00000000">
        <w:rPr>
          <w:rFonts w:ascii="Palatino Linotype" w:cs="Palatino Linotype" w:eastAsia="Palatino Linotype" w:hAnsi="Palatino Linotype"/>
          <w:sz w:val="22"/>
          <w:szCs w:val="22"/>
          <w:rtl w:val="0"/>
        </w:rPr>
        <w:t xml:space="preserve">, 53 fracción X</w:t>
      </w:r>
      <w:r w:rsidDel="00000000" w:rsidR="00000000" w:rsidRPr="00000000">
        <w:rPr>
          <w:rFonts w:ascii="Palatino Linotype" w:cs="Palatino Linotype" w:eastAsia="Palatino Linotype" w:hAnsi="Palatino Linotype"/>
          <w:sz w:val="22"/>
          <w:szCs w:val="22"/>
          <w:vertAlign w:val="superscript"/>
        </w:rPr>
        <w:footnoteReference w:customMarkFollows="0" w:id="3"/>
      </w:r>
      <w:r w:rsidDel="00000000" w:rsidR="00000000" w:rsidRPr="00000000">
        <w:rPr>
          <w:rFonts w:ascii="Palatino Linotype" w:cs="Palatino Linotype" w:eastAsia="Palatino Linotype" w:hAnsi="Palatino Linotype"/>
          <w:sz w:val="22"/>
          <w:szCs w:val="22"/>
          <w:rtl w:val="0"/>
        </w:rPr>
        <w:t xml:space="preserve">, y 49 fracciones II y VIII</w:t>
      </w:r>
      <w:r w:rsidDel="00000000" w:rsidR="00000000" w:rsidRPr="00000000">
        <w:rPr>
          <w:rFonts w:ascii="Palatino Linotype" w:cs="Palatino Linotype" w:eastAsia="Palatino Linotype" w:hAnsi="Palatino Linotype"/>
          <w:sz w:val="22"/>
          <w:szCs w:val="22"/>
          <w:vertAlign w:val="superscript"/>
        </w:rPr>
        <w:footnoteReference w:customMarkFollows="0" w:id="4"/>
      </w:r>
      <w:r w:rsidDel="00000000" w:rsidR="00000000" w:rsidRPr="00000000">
        <w:rPr>
          <w:rFonts w:ascii="Palatino Linotype" w:cs="Palatino Linotype" w:eastAsia="Palatino Linotype" w:hAnsi="Palatino Linotype"/>
          <w:sz w:val="22"/>
          <w:szCs w:val="22"/>
          <w:rtl w:val="0"/>
        </w:rPr>
        <w:t xml:space="preserve"> de la Ley de Transparencia y Acceso a la Información Pública del Estado de México y Municipios.</w:t>
      </w:r>
    </w:p>
    <w:p w:rsidR="00000000" w:rsidDel="00000000" w:rsidP="00000000" w:rsidRDefault="00000000" w:rsidRPr="00000000" w14:paraId="000000A6">
      <w:pPr>
        <w:spacing w:line="360" w:lineRule="auto"/>
        <w:ind w:right="51"/>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A7">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Bajo tales consideraciones, este Organismo Garante no omite señalar que, si el </w:t>
      </w:r>
      <w:r w:rsidDel="00000000" w:rsidR="00000000" w:rsidRPr="00000000">
        <w:rPr>
          <w:rFonts w:ascii="Palatino Linotype" w:cs="Palatino Linotype" w:eastAsia="Palatino Linotype" w:hAnsi="Palatino Linotype"/>
          <w:b w:val="1"/>
          <w:bCs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advierte que la información solicitada contiene </w:t>
      </w:r>
      <w:r w:rsidDel="00000000" w:rsidR="00000000" w:rsidRPr="00000000">
        <w:rPr>
          <w:rFonts w:ascii="Palatino Linotype" w:cs="Palatino Linotype" w:eastAsia="Palatino Linotype" w:hAnsi="Palatino Linotype"/>
          <w:b w:val="1"/>
          <w:bCs w:val="1"/>
          <w:sz w:val="22"/>
          <w:szCs w:val="22"/>
          <w:rtl w:val="0"/>
        </w:rPr>
        <w:t xml:space="preserve">datos personales</w:t>
      </w:r>
      <w:r w:rsidDel="00000000" w:rsidR="00000000" w:rsidRPr="00000000">
        <w:rPr>
          <w:rFonts w:ascii="Palatino Linotype" w:cs="Palatino Linotype" w:eastAsia="Palatino Linotype" w:hAnsi="Palatino Linotype"/>
          <w:sz w:val="22"/>
          <w:szCs w:val="22"/>
          <w:rtl w:val="0"/>
        </w:rPr>
        <w:t xml:space="preserve"> que sean susceptibles de ser </w:t>
      </w:r>
      <w:r w:rsidDel="00000000" w:rsidR="00000000" w:rsidRPr="00000000">
        <w:rPr>
          <w:rFonts w:ascii="Palatino Linotype" w:cs="Palatino Linotype" w:eastAsia="Palatino Linotype" w:hAnsi="Palatino Linotype"/>
          <w:b w:val="1"/>
          <w:bCs w:val="1"/>
          <w:sz w:val="22"/>
          <w:szCs w:val="22"/>
          <w:rtl w:val="0"/>
        </w:rPr>
        <w:t xml:space="preserve">clasificados como confidenciales, </w:t>
      </w:r>
      <w:r w:rsidDel="00000000" w:rsidR="00000000" w:rsidRPr="00000000">
        <w:rPr>
          <w:rFonts w:ascii="Palatino Linotype" w:cs="Palatino Linotype" w:eastAsia="Palatino Linotype" w:hAnsi="Palatino Linotype"/>
          <w:sz w:val="22"/>
          <w:szCs w:val="22"/>
          <w:rtl w:val="0"/>
        </w:rPr>
        <w:t xml:space="preserve">o, si por otro lado</w:t>
      </w:r>
      <w:r w:rsidDel="00000000" w:rsidR="00000000" w:rsidRPr="00000000">
        <w:rPr>
          <w:rFonts w:ascii="Palatino Linotype" w:cs="Palatino Linotype" w:eastAsia="Palatino Linotype" w:hAnsi="Palatino Linotype"/>
          <w:b w:val="1"/>
          <w:bCs w:val="1"/>
          <w:sz w:val="22"/>
          <w:szCs w:val="22"/>
          <w:rtl w:val="0"/>
        </w:rPr>
        <w:t xml:space="preserve">, por su propia y especial naturaleza,</w:t>
      </w:r>
      <w:r w:rsidDel="00000000" w:rsidR="00000000" w:rsidRPr="00000000">
        <w:rPr>
          <w:rFonts w:ascii="Palatino Linotype" w:cs="Palatino Linotype" w:eastAsia="Palatino Linotype" w:hAnsi="Palatino Linotype"/>
          <w:sz w:val="22"/>
          <w:szCs w:val="22"/>
          <w:rtl w:val="0"/>
        </w:rPr>
        <w:t xml:space="preserve"> encuadra en alguno de los </w:t>
      </w:r>
      <w:r w:rsidDel="00000000" w:rsidR="00000000" w:rsidRPr="00000000">
        <w:rPr>
          <w:rFonts w:ascii="Palatino Linotype" w:cs="Palatino Linotype" w:eastAsia="Palatino Linotype" w:hAnsi="Palatino Linotype"/>
          <w:b w:val="1"/>
          <w:bCs w:val="1"/>
          <w:sz w:val="22"/>
          <w:szCs w:val="22"/>
          <w:rtl w:val="0"/>
        </w:rPr>
        <w:t xml:space="preserve">supuestos de reserva o de confidencialidad en su totalidad</w:t>
      </w:r>
      <w:r w:rsidDel="00000000" w:rsidR="00000000" w:rsidRPr="00000000">
        <w:rPr>
          <w:rFonts w:ascii="Palatino Linotype" w:cs="Palatino Linotype" w:eastAsia="Palatino Linotype" w:hAnsi="Palatino Linotype"/>
          <w:sz w:val="22"/>
          <w:szCs w:val="22"/>
          <w:rtl w:val="0"/>
        </w:rPr>
        <w:t xml:space="preserve">, deberá emitir, un</w:t>
      </w:r>
      <w:r w:rsidDel="00000000" w:rsidR="00000000" w:rsidRPr="00000000">
        <w:rPr>
          <w:rFonts w:ascii="Palatino Linotype" w:cs="Palatino Linotype" w:eastAsia="Palatino Linotype" w:hAnsi="Palatino Linotype"/>
          <w:b w:val="1"/>
          <w:bCs w:val="1"/>
          <w:sz w:val="22"/>
          <w:szCs w:val="22"/>
          <w:rtl w:val="0"/>
        </w:rPr>
        <w:t xml:space="preserve"> Acuerdo de Clasificación </w:t>
      </w:r>
      <w:r w:rsidDel="00000000" w:rsidR="00000000" w:rsidRPr="00000000">
        <w:rPr>
          <w:rFonts w:ascii="Palatino Linotype" w:cs="Palatino Linotype" w:eastAsia="Palatino Linotype" w:hAnsi="Palatino Linotype"/>
          <w:sz w:val="22"/>
          <w:szCs w:val="22"/>
          <w:rtl w:val="0"/>
        </w:rPr>
        <w:t xml:space="preserve">debidamente fundado y motivado que</w:t>
      </w:r>
      <w:r w:rsidDel="00000000" w:rsidR="00000000" w:rsidRPr="00000000">
        <w:rPr>
          <w:rFonts w:ascii="Palatino Linotype" w:cs="Palatino Linotype" w:eastAsia="Palatino Linotype" w:hAnsi="Palatino Linotype"/>
          <w:b w:val="1"/>
          <w:bCs w:val="1"/>
          <w:sz w:val="22"/>
          <w:szCs w:val="22"/>
          <w:rtl w:val="0"/>
        </w:rPr>
        <w:t xml:space="preserve"> sustente la clasificación parcial, a través de la versión pública que emita,</w:t>
      </w:r>
      <w:r w:rsidDel="00000000" w:rsidR="00000000" w:rsidRPr="00000000">
        <w:rPr>
          <w:rFonts w:ascii="Palatino Linotype" w:cs="Palatino Linotype" w:eastAsia="Palatino Linotype" w:hAnsi="Palatino Linotype"/>
          <w:sz w:val="22"/>
          <w:szCs w:val="22"/>
          <w:rtl w:val="0"/>
        </w:rPr>
        <w:t xml:space="preserve"> o bien, la restricción total del derecho de acceso a la información.  </w:t>
      </w:r>
    </w:p>
    <w:p w:rsidR="00000000" w:rsidDel="00000000" w:rsidP="00000000" w:rsidRDefault="00000000" w:rsidRPr="00000000" w14:paraId="000000A8">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A9">
      <w:pPr>
        <w:numPr>
          <w:ilvl w:val="0"/>
          <w:numId w:val="3"/>
        </w:numPr>
        <w:pBdr>
          <w:top w:space="0" w:sz="0" w:val="nil"/>
          <w:left w:space="0" w:sz="0" w:val="nil"/>
          <w:bottom w:space="0" w:sz="0" w:val="nil"/>
          <w:right w:space="0" w:sz="0" w:val="nil"/>
          <w:between w:space="0" w:sz="0" w:val="nil"/>
        </w:pBdr>
        <w:spacing w:line="360" w:lineRule="auto"/>
        <w:ind w:left="720" w:hanging="36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bCs w:val="1"/>
          <w:sz w:val="22"/>
          <w:szCs w:val="22"/>
          <w:rtl w:val="0"/>
        </w:rPr>
        <w:t xml:space="preserve">De la clasificación parcial de la información.</w:t>
      </w:r>
      <w:r w:rsidDel="00000000" w:rsidR="00000000" w:rsidRPr="00000000">
        <w:rPr>
          <w:rtl w:val="0"/>
        </w:rPr>
      </w:r>
    </w:p>
    <w:p w:rsidR="00000000" w:rsidDel="00000000" w:rsidP="00000000" w:rsidRDefault="00000000" w:rsidRPr="00000000" w14:paraId="000000AA">
      <w:pPr>
        <w:pBdr>
          <w:top w:space="0" w:sz="0" w:val="nil"/>
          <w:left w:space="0" w:sz="0" w:val="nil"/>
          <w:bottom w:space="0" w:sz="0" w:val="nil"/>
          <w:right w:space="0" w:sz="0" w:val="nil"/>
          <w:between w:space="0" w:sz="0" w:val="nil"/>
        </w:pBdr>
        <w:spacing w:line="360" w:lineRule="auto"/>
        <w:ind w:left="720" w:firstLine="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AB">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Respecto de la elaboración de versiones públicas, debe mencionarse que dentro de los datos personales que pudieran contenerse se destacan los datos personales sensibles, los cuales son aquellos referentes de la esfera de su titular cuya utilización indebida pueda dar origen a discriminación o conlleve un riesgo grave para éste. De manera enunciativa más no limitativa, se consideran sensibles los datos personales que puedan revelar aspectos como origen racial o étnico, estado de salud física o mental, presente o futura, información genética, creencias religiosas, filosóficas y morales, opiniones políticas y preferencia sexual, de conformidad con el artículo 4, fracción XII de la Ley de Protección de Datos Personales en Posesión de Sujetos Obligados del Estado de México y Municipios.</w:t>
      </w:r>
    </w:p>
    <w:p w:rsidR="00000000" w:rsidDel="00000000" w:rsidP="00000000" w:rsidRDefault="00000000" w:rsidRPr="00000000" w14:paraId="000000AC">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AD">
      <w:pPr>
        <w:numPr>
          <w:ilvl w:val="0"/>
          <w:numId w:val="3"/>
        </w:numPr>
        <w:pBdr>
          <w:top w:space="0" w:sz="0" w:val="nil"/>
          <w:left w:space="0" w:sz="0" w:val="nil"/>
          <w:bottom w:space="0" w:sz="0" w:val="nil"/>
          <w:right w:space="0" w:sz="0" w:val="nil"/>
          <w:between w:space="0" w:sz="0" w:val="nil"/>
        </w:pBdr>
        <w:spacing w:line="360" w:lineRule="auto"/>
        <w:ind w:left="720" w:right="51" w:hanging="360"/>
        <w:jc w:val="both"/>
        <w:rPr>
          <w:rFonts w:ascii="Palatino Linotype" w:cs="Palatino Linotype" w:eastAsia="Palatino Linotype" w:hAnsi="Palatino Linotype"/>
          <w:b w:val="1"/>
          <w:bCs w:val="1"/>
          <w:sz w:val="22"/>
          <w:szCs w:val="22"/>
        </w:rPr>
      </w:pPr>
      <w:r w:rsidDel="00000000" w:rsidR="00000000" w:rsidRPr="00000000">
        <w:rPr>
          <w:rFonts w:ascii="Palatino Linotype" w:cs="Palatino Linotype" w:eastAsia="Palatino Linotype" w:hAnsi="Palatino Linotype"/>
          <w:b w:val="1"/>
          <w:bCs w:val="1"/>
          <w:sz w:val="22"/>
          <w:szCs w:val="22"/>
          <w:rtl w:val="0"/>
        </w:rPr>
        <w:t xml:space="preserve">De la clasificación de información como reservada.</w:t>
      </w:r>
    </w:p>
    <w:p w:rsidR="00000000" w:rsidDel="00000000" w:rsidP="00000000" w:rsidRDefault="00000000" w:rsidRPr="00000000" w14:paraId="000000AE">
      <w:pPr>
        <w:pBdr>
          <w:top w:space="0" w:sz="0" w:val="nil"/>
          <w:left w:space="0" w:sz="0" w:val="nil"/>
          <w:bottom w:space="0" w:sz="0" w:val="nil"/>
          <w:right w:space="0" w:sz="0" w:val="nil"/>
          <w:between w:space="0" w:sz="0" w:val="nil"/>
        </w:pBdr>
        <w:spacing w:line="360" w:lineRule="auto"/>
        <w:ind w:left="720" w:right="51" w:firstLine="0"/>
        <w:jc w:val="both"/>
        <w:rPr>
          <w:rFonts w:ascii="Palatino Linotype" w:cs="Palatino Linotype" w:eastAsia="Palatino Linotype" w:hAnsi="Palatino Linotype"/>
          <w:b w:val="1"/>
          <w:bCs w:val="1"/>
          <w:sz w:val="22"/>
          <w:szCs w:val="22"/>
        </w:rPr>
      </w:pPr>
      <w:r w:rsidDel="00000000" w:rsidR="00000000" w:rsidRPr="00000000">
        <w:rPr>
          <w:rtl w:val="0"/>
        </w:rPr>
      </w:r>
    </w:p>
    <w:p w:rsidR="00000000" w:rsidDel="00000000" w:rsidP="00000000" w:rsidRDefault="00000000" w:rsidRPr="00000000" w14:paraId="000000AF">
      <w:pPr>
        <w:spacing w:line="360" w:lineRule="auto"/>
        <w:ind w:right="51"/>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Por cuanto hace a la reserva y ampliación del plazo de reserva de la información, para motivar la clasificación se deberán de señalar las razones, motivos o circunstancias especiales que llevaron al </w:t>
      </w:r>
      <w:r w:rsidDel="00000000" w:rsidR="00000000" w:rsidRPr="00000000">
        <w:rPr>
          <w:rFonts w:ascii="Palatino Linotype" w:cs="Palatino Linotype" w:eastAsia="Palatino Linotype" w:hAnsi="Palatino Linotype"/>
          <w:b w:val="1"/>
          <w:bCs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a concluir que, el caso particular se ajusta al supuesto previsto por la norma legal invocada como fundamento; siendo que, además, en todo momento, se debe aplicar una prueba de daño, entendida esta como la responsabilidad de los Sujetos Obligados de demostrar, de manera fundada y motivada, que la divulgación de la información lesiona el interés debidamente protegido por la Ley y que el menoscabo o daño que puede producirse con la publicidad de la información, es mayor que el interés de conocerla; debiendo clasificarse como reservada.</w:t>
      </w:r>
    </w:p>
    <w:p w:rsidR="00000000" w:rsidDel="00000000" w:rsidP="00000000" w:rsidRDefault="00000000" w:rsidRPr="00000000" w14:paraId="000000B0">
      <w:pPr>
        <w:spacing w:line="360" w:lineRule="auto"/>
        <w:ind w:right="51"/>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B1">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otras palabras, para la clasificación de la información como reservada se deben establecer, de manera fundada y motivada, las hipótesis normativas aplicables al caso concreto y se analice la prueba de daño, misma que se encuentra prevista en el artículo 129 de la Ley de Transparencia y Acceso a la Información pública del Estado de México y Municipios, para lo cual, los Sujetos Obligados deberán considerar que: </w:t>
      </w:r>
    </w:p>
    <w:p w:rsidR="00000000" w:rsidDel="00000000" w:rsidP="00000000" w:rsidRDefault="00000000" w:rsidRPr="00000000" w14:paraId="000000B2">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B3">
      <w:pPr>
        <w:numPr>
          <w:ilvl w:val="0"/>
          <w:numId w:val="1"/>
        </w:numPr>
        <w:tabs>
          <w:tab w:val="left" w:leader="none" w:pos="851"/>
        </w:tabs>
        <w:spacing w:line="360" w:lineRule="auto"/>
        <w:ind w:left="567" w:firstLine="1.0000000000000142"/>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La divulgación de la información representa un </w:t>
      </w:r>
      <w:r w:rsidDel="00000000" w:rsidR="00000000" w:rsidRPr="00000000">
        <w:rPr>
          <w:rFonts w:ascii="Palatino Linotype" w:cs="Palatino Linotype" w:eastAsia="Palatino Linotype" w:hAnsi="Palatino Linotype"/>
          <w:b w:val="1"/>
          <w:bCs w:val="1"/>
          <w:sz w:val="22"/>
          <w:szCs w:val="22"/>
          <w:rtl w:val="0"/>
        </w:rPr>
        <w:t xml:space="preserve">riesgo real, demostrable e identificable del perjuicio significativo al interés público o a la seguridad pública</w:t>
      </w:r>
      <w:r w:rsidDel="00000000" w:rsidR="00000000" w:rsidRPr="00000000">
        <w:rPr>
          <w:rFonts w:ascii="Palatino Linotype" w:cs="Palatino Linotype" w:eastAsia="Palatino Linotype" w:hAnsi="Palatino Linotype"/>
          <w:sz w:val="22"/>
          <w:szCs w:val="22"/>
          <w:rtl w:val="0"/>
        </w:rPr>
        <w:t xml:space="preserve">;</w:t>
      </w:r>
    </w:p>
    <w:p w:rsidR="00000000" w:rsidDel="00000000" w:rsidP="00000000" w:rsidRDefault="00000000" w:rsidRPr="00000000" w14:paraId="000000B4">
      <w:pPr>
        <w:numPr>
          <w:ilvl w:val="0"/>
          <w:numId w:val="1"/>
        </w:numPr>
        <w:tabs>
          <w:tab w:val="left" w:leader="none" w:pos="851"/>
        </w:tabs>
        <w:spacing w:line="360" w:lineRule="auto"/>
        <w:ind w:left="567" w:firstLine="1.0000000000000142"/>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El riesgo de perjuicio que supondría la divulgación supera el interés público general de que se difunda; y,</w:t>
      </w:r>
    </w:p>
    <w:p w:rsidR="00000000" w:rsidDel="00000000" w:rsidP="00000000" w:rsidRDefault="00000000" w:rsidRPr="00000000" w14:paraId="000000B5">
      <w:pPr>
        <w:numPr>
          <w:ilvl w:val="0"/>
          <w:numId w:val="1"/>
        </w:numPr>
        <w:tabs>
          <w:tab w:val="left" w:leader="none" w:pos="851"/>
        </w:tabs>
        <w:spacing w:line="360" w:lineRule="auto"/>
        <w:ind w:left="567" w:firstLine="1.0000000000000142"/>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La limitación se adecua al principio de proporcionalidad y representa el medio menos restrictivo disponible para evitar el perjuicio. </w:t>
      </w:r>
    </w:p>
    <w:p w:rsidR="00000000" w:rsidDel="00000000" w:rsidP="00000000" w:rsidRDefault="00000000" w:rsidRPr="00000000" w14:paraId="000000B6">
      <w:pPr>
        <w:tabs>
          <w:tab w:val="left" w:leader="none" w:pos="851"/>
        </w:tabs>
        <w:spacing w:line="360" w:lineRule="auto"/>
        <w:ind w:left="568" w:firstLine="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B7">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Siendo pertinente aclarar que, la información que se clasifica bajo la premisa de reservada, </w:t>
      </w:r>
      <w:r w:rsidDel="00000000" w:rsidR="00000000" w:rsidRPr="00000000">
        <w:rPr>
          <w:rFonts w:ascii="Palatino Linotype" w:cs="Palatino Linotype" w:eastAsia="Palatino Linotype" w:hAnsi="Palatino Linotype"/>
          <w:b w:val="1"/>
          <w:bCs w:val="1"/>
          <w:sz w:val="22"/>
          <w:szCs w:val="22"/>
          <w:rtl w:val="0"/>
        </w:rPr>
        <w:t xml:space="preserve">no pierde el carácter de pública</w:t>
      </w:r>
      <w:r w:rsidDel="00000000" w:rsidR="00000000" w:rsidRPr="00000000">
        <w:rPr>
          <w:rFonts w:ascii="Palatino Linotype" w:cs="Palatino Linotype" w:eastAsia="Palatino Linotype" w:hAnsi="Palatino Linotype"/>
          <w:sz w:val="22"/>
          <w:szCs w:val="22"/>
          <w:rtl w:val="0"/>
        </w:rPr>
        <w:t xml:space="preserve">, sino que </w:t>
      </w:r>
      <w:r w:rsidDel="00000000" w:rsidR="00000000" w:rsidRPr="00000000">
        <w:rPr>
          <w:rFonts w:ascii="Palatino Linotype" w:cs="Palatino Linotype" w:eastAsia="Palatino Linotype" w:hAnsi="Palatino Linotype"/>
          <w:b w:val="1"/>
          <w:bCs w:val="1"/>
          <w:sz w:val="22"/>
          <w:szCs w:val="22"/>
          <w:rtl w:val="0"/>
        </w:rPr>
        <w:t xml:space="preserve">se reserva temporalmente</w:t>
      </w: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Fonts w:ascii="Palatino Linotype" w:cs="Palatino Linotype" w:eastAsia="Palatino Linotype" w:hAnsi="Palatino Linotype"/>
          <w:b w:val="1"/>
          <w:bCs w:val="1"/>
          <w:sz w:val="22"/>
          <w:szCs w:val="22"/>
          <w:rtl w:val="0"/>
        </w:rPr>
        <w:t xml:space="preserve">del conocimiento público</w:t>
      </w:r>
      <w:r w:rsidDel="00000000" w:rsidR="00000000" w:rsidRPr="00000000">
        <w:rPr>
          <w:rFonts w:ascii="Palatino Linotype" w:cs="Palatino Linotype" w:eastAsia="Palatino Linotype" w:hAnsi="Palatino Linotype"/>
          <w:sz w:val="22"/>
          <w:szCs w:val="22"/>
          <w:rtl w:val="0"/>
        </w:rPr>
        <w:t xml:space="preserve">, es decir, que, </w:t>
      </w:r>
      <w:r w:rsidDel="00000000" w:rsidR="00000000" w:rsidRPr="00000000">
        <w:rPr>
          <w:rFonts w:ascii="Palatino Linotype" w:cs="Palatino Linotype" w:eastAsia="Palatino Linotype" w:hAnsi="Palatino Linotype"/>
          <w:b w:val="1"/>
          <w:bCs w:val="1"/>
          <w:sz w:val="22"/>
          <w:szCs w:val="22"/>
          <w:rtl w:val="0"/>
        </w:rPr>
        <w:t xml:space="preserve">por un tiempo determinado</w:t>
      </w:r>
      <w:r w:rsidDel="00000000" w:rsidR="00000000" w:rsidRPr="00000000">
        <w:rPr>
          <w:rFonts w:ascii="Palatino Linotype" w:cs="Palatino Linotype" w:eastAsia="Palatino Linotype" w:hAnsi="Palatino Linotype"/>
          <w:sz w:val="22"/>
          <w:szCs w:val="22"/>
          <w:rtl w:val="0"/>
        </w:rPr>
        <w:t xml:space="preserve">, se conservará y custodiará la información de manera especial, y una vez transcurrido el plazo de reserva, el documento podrá divulgarse.</w:t>
      </w:r>
    </w:p>
    <w:p w:rsidR="00000000" w:rsidDel="00000000" w:rsidP="00000000" w:rsidRDefault="00000000" w:rsidRPr="00000000" w14:paraId="000000B8">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B9">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 tal manera, las limitaciones al acceso a la información deben sustentarse en una adecuada clasificación que debe distinguir y tomar en cuenta qué información puede generar un daño desproporcionado o innecesario a valores jurídicamente protegidos. </w:t>
      </w:r>
    </w:p>
    <w:p w:rsidR="00000000" w:rsidDel="00000000" w:rsidP="00000000" w:rsidRDefault="00000000" w:rsidRPr="00000000" w14:paraId="000000BA">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BB">
      <w:pPr>
        <w:numPr>
          <w:ilvl w:val="0"/>
          <w:numId w:val="3"/>
        </w:numPr>
        <w:pBdr>
          <w:top w:space="0" w:sz="0" w:val="nil"/>
          <w:left w:space="0" w:sz="0" w:val="nil"/>
          <w:bottom w:space="0" w:sz="0" w:val="nil"/>
          <w:right w:space="0" w:sz="0" w:val="nil"/>
          <w:between w:space="0" w:sz="0" w:val="nil"/>
        </w:pBdr>
        <w:tabs>
          <w:tab w:val="left" w:leader="none" w:pos="709"/>
        </w:tabs>
        <w:spacing w:line="360" w:lineRule="auto"/>
        <w:ind w:left="720" w:hanging="360"/>
        <w:jc w:val="both"/>
        <w:rPr>
          <w:rFonts w:ascii="Palatino Linotype" w:cs="Palatino Linotype" w:eastAsia="Palatino Linotype" w:hAnsi="Palatino Linotype"/>
          <w:b w:val="1"/>
          <w:bCs w:val="1"/>
          <w:sz w:val="22"/>
          <w:szCs w:val="22"/>
        </w:rPr>
      </w:pPr>
      <w:r w:rsidDel="00000000" w:rsidR="00000000" w:rsidRPr="00000000">
        <w:rPr>
          <w:rFonts w:ascii="Palatino Linotype" w:cs="Palatino Linotype" w:eastAsia="Palatino Linotype" w:hAnsi="Palatino Linotype"/>
          <w:b w:val="1"/>
          <w:bCs w:val="1"/>
          <w:sz w:val="22"/>
          <w:szCs w:val="22"/>
          <w:rtl w:val="0"/>
        </w:rPr>
        <w:t xml:space="preserve">De la clasificación de la información como totalmente confidencial.</w:t>
      </w:r>
    </w:p>
    <w:p w:rsidR="00000000" w:rsidDel="00000000" w:rsidP="00000000" w:rsidRDefault="00000000" w:rsidRPr="00000000" w14:paraId="000000BC">
      <w:pPr>
        <w:pBdr>
          <w:top w:space="0" w:sz="0" w:val="nil"/>
          <w:left w:space="0" w:sz="0" w:val="nil"/>
          <w:bottom w:space="0" w:sz="0" w:val="nil"/>
          <w:right w:space="0" w:sz="0" w:val="nil"/>
          <w:between w:space="0" w:sz="0" w:val="nil"/>
        </w:pBdr>
        <w:tabs>
          <w:tab w:val="left" w:leader="none" w:pos="709"/>
        </w:tabs>
        <w:spacing w:line="360" w:lineRule="auto"/>
        <w:ind w:left="720" w:firstLine="0"/>
        <w:jc w:val="both"/>
        <w:rPr>
          <w:rFonts w:ascii="Palatino Linotype" w:cs="Palatino Linotype" w:eastAsia="Palatino Linotype" w:hAnsi="Palatino Linotype"/>
          <w:b w:val="1"/>
          <w:bCs w:val="1"/>
          <w:sz w:val="22"/>
          <w:szCs w:val="22"/>
        </w:rPr>
      </w:pPr>
      <w:r w:rsidDel="00000000" w:rsidR="00000000" w:rsidRPr="00000000">
        <w:rPr>
          <w:rtl w:val="0"/>
        </w:rPr>
      </w:r>
    </w:p>
    <w:p w:rsidR="00000000" w:rsidDel="00000000" w:rsidP="00000000" w:rsidRDefault="00000000" w:rsidRPr="00000000" w14:paraId="000000BD">
      <w:pPr>
        <w:tabs>
          <w:tab w:val="left" w:leader="none" w:pos="709"/>
        </w:tabs>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Por cuanto hace a los documentos que por su propia y especial naturaleza sean de carácter privado, encuadran en el supuesto de información confidencial en su totalidad, bajo la premisa de que el derecho de acceso a la información pública tiene como limitante el respeto a la intimidad y a la vida privada de las personas, es por ello que este Instituto debe cuidar que los datos personales que obren en poder de los Sujetos Obligados estén protegidos, quienes deberán adoptar las medidas de seguridad administrativa, física y técnica necesarias para garantizar la integridad, confidencialidad y disponibilidad de los datos personales, considerando además, que conforme al principio de finalidad todo tratamiento de datos personales que efectúen los Sujetos Obligados deberá estar justificado en la Ley, lo anterior en términos de lo dispuesto por los artículos 6, 22, 38 y 43, de la Ley de Protección de Datos Personales en Posesión de los Sujetos Obligados del Estado de México y Municipios.</w:t>
      </w:r>
    </w:p>
    <w:p w:rsidR="00000000" w:rsidDel="00000000" w:rsidP="00000000" w:rsidRDefault="00000000" w:rsidRPr="00000000" w14:paraId="000000BE">
      <w:pPr>
        <w:tabs>
          <w:tab w:val="left" w:leader="none" w:pos="709"/>
        </w:tabs>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BF">
      <w:pPr>
        <w:spacing w:line="360" w:lineRule="auto"/>
        <w:ind w:right="51"/>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Asimismo, no obsta mencionar que el Acuerdo del Comité de Transparencia mediante el cual se clasifique la información como reservada o confidencial, de manera total o parcial debe emitirse siguiendo las formalidades previstas en la Ley de Transparencia y Acceso a la Información Pública del Estado de México y en los Lineamientos Generales en Materia de Clasificación y Desclasificación de la Información, así como para la Elaboración de Versiones Públicas</w:t>
      </w:r>
      <w:r w:rsidDel="00000000" w:rsidR="00000000" w:rsidRPr="00000000">
        <w:rPr>
          <w:rFonts w:ascii="Palatino Linotype" w:cs="Palatino Linotype" w:eastAsia="Palatino Linotype" w:hAnsi="Palatino Linotype"/>
          <w:sz w:val="22"/>
          <w:szCs w:val="22"/>
          <w:vertAlign w:val="superscript"/>
        </w:rPr>
        <w:footnoteReference w:customMarkFollows="0" w:id="5"/>
      </w:r>
      <w:r w:rsidDel="00000000" w:rsidR="00000000" w:rsidRPr="00000000">
        <w:rPr>
          <w:rFonts w:ascii="Palatino Linotype" w:cs="Palatino Linotype" w:eastAsia="Palatino Linotype" w:hAnsi="Palatino Linotype"/>
          <w:sz w:val="22"/>
          <w:szCs w:val="22"/>
          <w:rtl w:val="0"/>
        </w:rPr>
        <w:t xml:space="preserve">, de igual forma en dicho acuerdo se deben exponer de manera clara los fundamentos y razones que llevaron a la autoridad a clasificar la información, de lo contrario, implica dejar al solicitante en estado de incertidumbre, al no conocer o comprender las razones por las que se clasifica la documentación respectiva, es decir, si no se exponen de manera puntual las razones, de ello se estaría violentando el Derecho de Acceso a la Información del solicitante.</w:t>
      </w:r>
    </w:p>
    <w:p w:rsidR="00000000" w:rsidDel="00000000" w:rsidP="00000000" w:rsidRDefault="00000000" w:rsidRPr="00000000" w14:paraId="000000C0">
      <w:pPr>
        <w:spacing w:line="360" w:lineRule="auto"/>
        <w:ind w:right="51"/>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C1">
      <w:pPr>
        <w:numPr>
          <w:ilvl w:val="0"/>
          <w:numId w:val="3"/>
        </w:numPr>
        <w:pBdr>
          <w:top w:space="0" w:sz="0" w:val="nil"/>
          <w:left w:space="0" w:sz="0" w:val="nil"/>
          <w:bottom w:space="0" w:sz="0" w:val="nil"/>
          <w:right w:space="0" w:sz="0" w:val="nil"/>
          <w:between w:space="0" w:sz="0" w:val="nil"/>
        </w:pBdr>
        <w:spacing w:line="360" w:lineRule="auto"/>
        <w:ind w:left="720" w:right="51" w:hanging="36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bCs w:val="1"/>
          <w:sz w:val="22"/>
          <w:szCs w:val="22"/>
          <w:rtl w:val="0"/>
        </w:rPr>
        <w:t xml:space="preserve">De la declaratoria de inexistencia de la información</w:t>
      </w:r>
      <w:r w:rsidDel="00000000" w:rsidR="00000000" w:rsidRPr="00000000">
        <w:rPr>
          <w:rFonts w:ascii="Palatino Linotype" w:cs="Palatino Linotype" w:eastAsia="Palatino Linotype" w:hAnsi="Palatino Linotype"/>
          <w:sz w:val="22"/>
          <w:szCs w:val="22"/>
          <w:rtl w:val="0"/>
        </w:rPr>
        <w:t xml:space="preserve">.</w:t>
      </w:r>
    </w:p>
    <w:p w:rsidR="00000000" w:rsidDel="00000000" w:rsidP="00000000" w:rsidRDefault="00000000" w:rsidRPr="00000000" w14:paraId="000000C2">
      <w:pPr>
        <w:spacing w:line="360" w:lineRule="auto"/>
        <w:ind w:right="51"/>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C3">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Por otro lado, estima prudente señalar al </w:t>
      </w:r>
      <w:r w:rsidDel="00000000" w:rsidR="00000000" w:rsidRPr="00000000">
        <w:rPr>
          <w:rFonts w:ascii="Palatino Linotype" w:cs="Palatino Linotype" w:eastAsia="Palatino Linotype" w:hAnsi="Palatino Linotype"/>
          <w:b w:val="1"/>
          <w:bCs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que, en caso de que la información solicitada, debiera obrar en sus archivos y no cuente con ella, deberá entregar el Acuerdo del Comité de Transparencia, en donde conste la declaratoria de inexistencia de la misma.</w:t>
      </w:r>
    </w:p>
    <w:p w:rsidR="00000000" w:rsidDel="00000000" w:rsidP="00000000" w:rsidRDefault="00000000" w:rsidRPr="00000000" w14:paraId="000000C4">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C5">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Siendo importante resaltar que los artículos 18 y 19 de la Ley de Transparencia y Acceso a la Información Pública del Estado de México y Municipios establecen que los Sujetos Obligados deben documentar todo acto que derive del ejercicio de sus facultades, competencias o funciones y que se presume que la información debe existir si se refiere a dichas facultades, competencias y/o funciones.</w:t>
      </w:r>
    </w:p>
    <w:p w:rsidR="00000000" w:rsidDel="00000000" w:rsidP="00000000" w:rsidRDefault="00000000" w:rsidRPr="00000000" w14:paraId="000000C6">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C7">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tal caso, la declaratoria a que se ha hecho referencia deberá realizarse, conforme a lo dispuesto en los artículos 49, fracciones II y XIII, 169 y 170 de la Ley de Transparencia y Acceso a la Información Pública del Estado de México y Municipios, que establecen la forma en que los Sujetos Obligados deben dar curso a las Declaratorias de Inexistencia.</w:t>
      </w:r>
    </w:p>
    <w:p w:rsidR="00000000" w:rsidDel="00000000" w:rsidP="00000000" w:rsidRDefault="00000000" w:rsidRPr="00000000" w14:paraId="000000C8">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C9">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Resulta aplicable el criterio de interpretación en el orden administrativo número 0008-19 emitido por Acuerdo del Pleno del Instituto de Transparencia y Acceso a la Información Pública del Estado de México y Municipios, que a la letra dice:</w:t>
      </w:r>
    </w:p>
    <w:p w:rsidR="00000000" w:rsidDel="00000000" w:rsidP="00000000" w:rsidRDefault="00000000" w:rsidRPr="00000000" w14:paraId="000000CA">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CB">
      <w:pPr>
        <w:spacing w:line="276" w:lineRule="auto"/>
        <w:ind w:left="567" w:right="902"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“INEXISTENCIA DE LA INFORMACIÓN. SUPUESTOS PARA EMITIR LA RESOLUCIÓN DE LA. </w:t>
      </w:r>
      <w:r w:rsidDel="00000000" w:rsidR="00000000" w:rsidRPr="00000000">
        <w:rPr>
          <w:rFonts w:ascii="Palatino Linotype" w:cs="Palatino Linotype" w:eastAsia="Palatino Linotype" w:hAnsi="Palatino Linotype"/>
          <w:i w:val="1"/>
          <w:iCs w:val="1"/>
          <w:sz w:val="22"/>
          <w:szCs w:val="22"/>
          <w:rtl w:val="0"/>
        </w:rPr>
        <w:t xml:space="preserve">De conformidad con los artículos 19, párrafo tercero y 170 de la Ley de Transparencia y Acceso a la Información Pública del Estado de México y Municipios, el Comité de Transparencia deberá emitir un acuerdo de inexistencia de información debidamente fundado y motivado, para justificar por qué no obra en los archivos del Sujeto Obligado la información que deriva de las facultades, competencias y atribuciones que los ordenamientos jurídicos aplicables le otorgan, la cual debió generar, poseer y administrar. Por tanto, en términos de los numerales previamente citados, el referido acuerdo de inexistencia procede en los siguientes momentos: a) cuando no se generó, poseyó o administró el documento teniendo la obligación conforme a la presunción legal que deriva de las facultades, competencias y atribuciones que los ordenamientos jurídicos aplicables le otorgan; b) que habiendo sido generada, poseída o administrada, por algún motivo ya no se cuenta con la información solicitada; o bien, c) cuando el Sujeto Obligado fue omiso en ejercer una facultad, competencia o atribución inexcusable. Supuestos que, de actualizarse, deberán acreditarse con las exigencias legales contempladas en los numerales 49, fracción II, 169 y 170 de la Ley de Transparencia de la entidad, a través de una resolución del Comité de Transparencia del Sujeto Obligado que confirme la inexistencia de la información, acto jurídico que genera certeza jurídica al particular de que se realizó un criterio de búsqueda exhaustivo y razonable con la debida justificación de la falta de información y en su caso, las consecuencias de ello.”</w:t>
      </w:r>
    </w:p>
    <w:p w:rsidR="00000000" w:rsidDel="00000000" w:rsidP="00000000" w:rsidRDefault="00000000" w:rsidRPr="00000000" w14:paraId="000000CC">
      <w:pPr>
        <w:spacing w:line="360" w:lineRule="auto"/>
        <w:ind w:left="851" w:right="902" w:firstLine="0"/>
        <w:jc w:val="both"/>
        <w:rPr>
          <w:rFonts w:ascii="Palatino Linotype" w:cs="Palatino Linotype" w:eastAsia="Palatino Linotype" w:hAnsi="Palatino Linotype"/>
          <w:i w:val="1"/>
          <w:iCs w:val="1"/>
          <w:sz w:val="22"/>
          <w:szCs w:val="22"/>
        </w:rPr>
      </w:pPr>
      <w:r w:rsidDel="00000000" w:rsidR="00000000" w:rsidRPr="00000000">
        <w:rPr>
          <w:rtl w:val="0"/>
        </w:rPr>
      </w:r>
    </w:p>
    <w:p w:rsidR="00000000" w:rsidDel="00000000" w:rsidP="00000000" w:rsidRDefault="00000000" w:rsidRPr="00000000" w14:paraId="000000CD">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mérito de todo lo expuesto, ante lo </w:t>
      </w:r>
      <w:r w:rsidDel="00000000" w:rsidR="00000000" w:rsidRPr="00000000">
        <w:rPr>
          <w:rFonts w:ascii="Palatino Linotype" w:cs="Palatino Linotype" w:eastAsia="Palatino Linotype" w:hAnsi="Palatino Linotype"/>
          <w:b w:val="1"/>
          <w:bCs w:val="1"/>
          <w:sz w:val="22"/>
          <w:szCs w:val="22"/>
          <w:rtl w:val="0"/>
        </w:rPr>
        <w:t xml:space="preserve">FUNDADO</w:t>
      </w:r>
      <w:r w:rsidDel="00000000" w:rsidR="00000000" w:rsidRPr="00000000">
        <w:rPr>
          <w:rFonts w:ascii="Palatino Linotype" w:cs="Palatino Linotype" w:eastAsia="Palatino Linotype" w:hAnsi="Palatino Linotype"/>
          <w:sz w:val="22"/>
          <w:szCs w:val="22"/>
          <w:rtl w:val="0"/>
        </w:rPr>
        <w:t xml:space="preserve"> de las razones o motivos de inconformidad hechos valer por la parte Recurrente, este Instituto estima que lo dable es </w:t>
      </w:r>
      <w:r w:rsidDel="00000000" w:rsidR="00000000" w:rsidRPr="00000000">
        <w:rPr>
          <w:rFonts w:ascii="Palatino Linotype" w:cs="Palatino Linotype" w:eastAsia="Palatino Linotype" w:hAnsi="Palatino Linotype"/>
          <w:b w:val="1"/>
          <w:bCs w:val="1"/>
          <w:sz w:val="22"/>
          <w:szCs w:val="22"/>
          <w:rtl w:val="0"/>
        </w:rPr>
        <w:t xml:space="preserve">ORDENAR</w:t>
      </w:r>
      <w:r w:rsidDel="00000000" w:rsidR="00000000" w:rsidRPr="00000000">
        <w:rPr>
          <w:rFonts w:ascii="Palatino Linotype" w:cs="Palatino Linotype" w:eastAsia="Palatino Linotype" w:hAnsi="Palatino Linotype"/>
          <w:sz w:val="22"/>
          <w:szCs w:val="22"/>
          <w:rtl w:val="0"/>
        </w:rPr>
        <w:t xml:space="preserve"> al </w:t>
      </w:r>
      <w:r w:rsidDel="00000000" w:rsidR="00000000" w:rsidRPr="00000000">
        <w:rPr>
          <w:rFonts w:ascii="Palatino Linotype" w:cs="Palatino Linotype" w:eastAsia="Palatino Linotype" w:hAnsi="Palatino Linotype"/>
          <w:b w:val="1"/>
          <w:bCs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dé respuesta a la solicitud de acceso a la información, atendiendo lo señalado en el presente Considerando.</w:t>
      </w:r>
    </w:p>
    <w:p w:rsidR="00000000" w:rsidDel="00000000" w:rsidP="00000000" w:rsidRDefault="00000000" w:rsidRPr="00000000" w14:paraId="000000CE">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CF">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Finalmente, es de señalar que, como ya se mencionó el</w:t>
      </w:r>
      <w:r w:rsidDel="00000000" w:rsidR="00000000" w:rsidRPr="00000000">
        <w:rPr>
          <w:rFonts w:ascii="Palatino Linotype" w:cs="Palatino Linotype" w:eastAsia="Palatino Linotype" w:hAnsi="Palatino Linotype"/>
          <w:b w:val="1"/>
          <w:bCs w:val="1"/>
          <w:sz w:val="22"/>
          <w:szCs w:val="22"/>
          <w:rtl w:val="0"/>
        </w:rPr>
        <w:t xml:space="preserve"> Sujeto Obligado</w:t>
      </w:r>
      <w:r w:rsidDel="00000000" w:rsidR="00000000" w:rsidRPr="00000000">
        <w:rPr>
          <w:rFonts w:ascii="Palatino Linotype" w:cs="Palatino Linotype" w:eastAsia="Palatino Linotype" w:hAnsi="Palatino Linotype"/>
          <w:sz w:val="22"/>
          <w:szCs w:val="22"/>
          <w:rtl w:val="0"/>
        </w:rPr>
        <w:t xml:space="preserve">, omitió proporcionar la respuesta a la solicitud de acceso a la información pública, en el término contemplado en el ya citado artículo 163 de la Ley de la materia, razón por la que se ordena dar vista</w:t>
      </w:r>
      <w:r w:rsidDel="00000000" w:rsidR="00000000" w:rsidRPr="00000000">
        <w:rPr>
          <w:rFonts w:ascii="Palatino Linotype" w:cs="Palatino Linotype" w:eastAsia="Palatino Linotype" w:hAnsi="Palatino Linotype"/>
          <w:b w:val="1"/>
          <w:bCs w:val="1"/>
          <w:sz w:val="22"/>
          <w:szCs w:val="22"/>
          <w:rtl w:val="0"/>
        </w:rPr>
        <w:t xml:space="preserve"> </w:t>
      </w:r>
      <w:r w:rsidDel="00000000" w:rsidR="00000000" w:rsidRPr="00000000">
        <w:rPr>
          <w:rFonts w:ascii="Palatino Linotype" w:cs="Palatino Linotype" w:eastAsia="Palatino Linotype" w:hAnsi="Palatino Linotype"/>
          <w:sz w:val="22"/>
          <w:szCs w:val="22"/>
          <w:rtl w:val="0"/>
        </w:rPr>
        <w:t xml:space="preserve">a la Secretaría Técnica del Pleno de este Instituto para hacer del conocimiento del Órgano Interno de Control competente la presente resolución, a fin de que de conformidad con el artículo 190 de la Ley de Transparencia y Acceso a la Información Pública del Estado de México y Municipios se determine lo conducente.</w:t>
      </w:r>
    </w:p>
    <w:p w:rsidR="00000000" w:rsidDel="00000000" w:rsidP="00000000" w:rsidRDefault="00000000" w:rsidRPr="00000000" w14:paraId="000000D0">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D1">
      <w:pPr>
        <w:spacing w:line="360" w:lineRule="auto"/>
        <w:jc w:val="both"/>
        <w:rPr>
          <w:rFonts w:ascii="Palatino Linotype" w:cs="Palatino Linotype" w:eastAsia="Palatino Linotype" w:hAnsi="Palatino Linotype"/>
          <w:sz w:val="22"/>
          <w:szCs w:val="22"/>
        </w:rPr>
      </w:pPr>
      <w:bookmarkStart w:colFirst="0" w:colLast="0" w:name="_heading=h.ufldlg1z5cqe" w:id="1"/>
      <w:bookmarkEnd w:id="1"/>
      <w:r w:rsidDel="00000000" w:rsidR="00000000" w:rsidRPr="00000000">
        <w:rPr>
          <w:rFonts w:ascii="Palatino Linotype" w:cs="Palatino Linotype" w:eastAsia="Palatino Linotype" w:hAnsi="Palatino Linotype"/>
          <w:sz w:val="22"/>
          <w:szCs w:val="22"/>
          <w:rtl w:val="0"/>
        </w:rPr>
        <w:t xml:space="preserve">Así, con fundamento en lo prescrito en los artículos 5 párrafos cuadragésimo cuarto, cuadragésimo quinto y cuadragésimo sexto, fracciones IV y V de la Constitución Política del Estado Libre y Soberano de México; transitorio Cuarto del Decreto número 198 de la “LXII” Legislatura del Estado de México; 2, fracción II; 29, 36 fracciones I y II; 176, 178, 181, 185, fracción I, 186 y 188 de la Ley de Transparencia y Acceso a la Información Pública del Estado de México y Municipios, este Pleno:</w:t>
      </w:r>
    </w:p>
    <w:p w:rsidR="00000000" w:rsidDel="00000000" w:rsidP="00000000" w:rsidRDefault="00000000" w:rsidRPr="00000000" w14:paraId="000000D2">
      <w:pPr>
        <w:pBdr>
          <w:top w:space="0" w:sz="0" w:val="nil"/>
          <w:left w:space="0" w:sz="0" w:val="nil"/>
          <w:bottom w:space="0" w:sz="0" w:val="nil"/>
          <w:right w:space="0" w:sz="0" w:val="nil"/>
          <w:between w:space="0" w:sz="0" w:val="nil"/>
        </w:pBdr>
        <w:spacing w:line="360" w:lineRule="auto"/>
        <w:rPr>
          <w:rFonts w:ascii="Palatino Linotype" w:cs="Palatino Linotype" w:eastAsia="Palatino Linotype" w:hAnsi="Palatino Linotype"/>
          <w:b w:val="1"/>
          <w:bCs w:val="1"/>
          <w:sz w:val="22"/>
          <w:szCs w:val="22"/>
        </w:rPr>
      </w:pPr>
      <w:r w:rsidDel="00000000" w:rsidR="00000000" w:rsidRPr="00000000">
        <w:rPr>
          <w:rtl w:val="0"/>
        </w:rPr>
      </w:r>
    </w:p>
    <w:p w:rsidR="00000000" w:rsidDel="00000000" w:rsidP="00000000" w:rsidRDefault="00000000" w:rsidRPr="00000000" w14:paraId="000000D3">
      <w:pPr>
        <w:pBdr>
          <w:top w:space="0" w:sz="0" w:val="nil"/>
          <w:left w:space="0" w:sz="0" w:val="nil"/>
          <w:bottom w:space="0" w:sz="0" w:val="nil"/>
          <w:right w:space="0" w:sz="0" w:val="nil"/>
          <w:between w:space="0" w:sz="0" w:val="nil"/>
        </w:pBdr>
        <w:spacing w:line="360" w:lineRule="auto"/>
        <w:rPr>
          <w:rFonts w:ascii="Palatino Linotype" w:cs="Palatino Linotype" w:eastAsia="Palatino Linotype" w:hAnsi="Palatino Linotype"/>
          <w:b w:val="1"/>
          <w:bCs w:val="1"/>
          <w:sz w:val="22"/>
          <w:szCs w:val="22"/>
        </w:rPr>
      </w:pPr>
      <w:r w:rsidDel="00000000" w:rsidR="00000000" w:rsidRPr="00000000">
        <w:rPr>
          <w:rtl w:val="0"/>
        </w:rPr>
      </w:r>
    </w:p>
    <w:p w:rsidR="00000000" w:rsidDel="00000000" w:rsidP="00000000" w:rsidRDefault="00000000" w:rsidRPr="00000000" w14:paraId="000000D4">
      <w:pPr>
        <w:pBdr>
          <w:top w:space="0" w:sz="0" w:val="nil"/>
          <w:left w:space="0" w:sz="0" w:val="nil"/>
          <w:bottom w:space="0" w:sz="0" w:val="nil"/>
          <w:right w:space="0" w:sz="0" w:val="nil"/>
          <w:between w:space="0" w:sz="0" w:val="nil"/>
        </w:pBdr>
        <w:spacing w:line="360" w:lineRule="auto"/>
        <w:rPr>
          <w:rFonts w:ascii="Palatino Linotype" w:cs="Palatino Linotype" w:eastAsia="Palatino Linotype" w:hAnsi="Palatino Linotype"/>
          <w:b w:val="1"/>
          <w:bCs w:val="1"/>
          <w:sz w:val="22"/>
          <w:szCs w:val="22"/>
        </w:rPr>
      </w:pPr>
      <w:r w:rsidDel="00000000" w:rsidR="00000000" w:rsidRPr="00000000">
        <w:rPr>
          <w:rtl w:val="0"/>
        </w:rPr>
      </w:r>
    </w:p>
    <w:p w:rsidR="00000000" w:rsidDel="00000000" w:rsidP="00000000" w:rsidRDefault="00000000" w:rsidRPr="00000000" w14:paraId="000000D5">
      <w:pPr>
        <w:pBdr>
          <w:top w:space="0" w:sz="0" w:val="nil"/>
          <w:left w:space="0" w:sz="0" w:val="nil"/>
          <w:bottom w:space="0" w:sz="0" w:val="nil"/>
          <w:right w:space="0" w:sz="0" w:val="nil"/>
          <w:between w:space="0" w:sz="0" w:val="nil"/>
        </w:pBdr>
        <w:spacing w:line="360" w:lineRule="auto"/>
        <w:jc w:val="center"/>
        <w:rPr>
          <w:rFonts w:ascii="Palatino Linotype" w:cs="Palatino Linotype" w:eastAsia="Palatino Linotype" w:hAnsi="Palatino Linotype"/>
          <w:b w:val="1"/>
          <w:bCs w:val="1"/>
          <w:sz w:val="22"/>
          <w:szCs w:val="22"/>
        </w:rPr>
      </w:pPr>
      <w:r w:rsidDel="00000000" w:rsidR="00000000" w:rsidRPr="00000000">
        <w:rPr>
          <w:rFonts w:ascii="Palatino Linotype" w:cs="Palatino Linotype" w:eastAsia="Palatino Linotype" w:hAnsi="Palatino Linotype"/>
          <w:b w:val="1"/>
          <w:bCs w:val="1"/>
          <w:sz w:val="22"/>
          <w:szCs w:val="22"/>
          <w:rtl w:val="0"/>
        </w:rPr>
        <w:t xml:space="preserve">III. R E S U E L V E</w:t>
      </w:r>
    </w:p>
    <w:p w:rsidR="00000000" w:rsidDel="00000000" w:rsidP="00000000" w:rsidRDefault="00000000" w:rsidRPr="00000000" w14:paraId="000000D6">
      <w:pPr>
        <w:pBdr>
          <w:top w:space="0" w:sz="0" w:val="nil"/>
          <w:left w:space="0" w:sz="0" w:val="nil"/>
          <w:bottom w:space="0" w:sz="0" w:val="nil"/>
          <w:right w:space="0" w:sz="0" w:val="nil"/>
          <w:between w:space="0" w:sz="0" w:val="nil"/>
        </w:pBdr>
        <w:spacing w:line="360" w:lineRule="auto"/>
        <w:jc w:val="center"/>
        <w:rPr>
          <w:rFonts w:ascii="Palatino Linotype" w:cs="Palatino Linotype" w:eastAsia="Palatino Linotype" w:hAnsi="Palatino Linotype"/>
          <w:b w:val="1"/>
          <w:bCs w:val="1"/>
          <w:sz w:val="22"/>
          <w:szCs w:val="22"/>
        </w:rPr>
      </w:pPr>
      <w:r w:rsidDel="00000000" w:rsidR="00000000" w:rsidRPr="00000000">
        <w:rPr>
          <w:rtl w:val="0"/>
        </w:rPr>
      </w:r>
    </w:p>
    <w:p w:rsidR="00000000" w:rsidDel="00000000" w:rsidP="00000000" w:rsidRDefault="00000000" w:rsidRPr="00000000" w14:paraId="000000D7">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bCs w:val="1"/>
          <w:sz w:val="22"/>
          <w:szCs w:val="22"/>
          <w:rtl w:val="0"/>
        </w:rPr>
        <w:t xml:space="preserve">Primero. </w:t>
      </w:r>
      <w:r w:rsidDel="00000000" w:rsidR="00000000" w:rsidRPr="00000000">
        <w:rPr>
          <w:rFonts w:ascii="Palatino Linotype" w:cs="Palatino Linotype" w:eastAsia="Palatino Linotype" w:hAnsi="Palatino Linotype"/>
          <w:sz w:val="22"/>
          <w:szCs w:val="22"/>
          <w:rtl w:val="0"/>
        </w:rPr>
        <w:t xml:space="preserve">Resultan </w:t>
      </w:r>
      <w:r w:rsidDel="00000000" w:rsidR="00000000" w:rsidRPr="00000000">
        <w:rPr>
          <w:rFonts w:ascii="Palatino Linotype" w:cs="Palatino Linotype" w:eastAsia="Palatino Linotype" w:hAnsi="Palatino Linotype"/>
          <w:b w:val="1"/>
          <w:bCs w:val="1"/>
          <w:sz w:val="22"/>
          <w:szCs w:val="22"/>
          <w:rtl w:val="0"/>
        </w:rPr>
        <w:t xml:space="preserve">FUNDADOS</w:t>
      </w:r>
      <w:r w:rsidDel="00000000" w:rsidR="00000000" w:rsidRPr="00000000">
        <w:rPr>
          <w:rFonts w:ascii="Palatino Linotype" w:cs="Palatino Linotype" w:eastAsia="Palatino Linotype" w:hAnsi="Palatino Linotype"/>
          <w:sz w:val="22"/>
          <w:szCs w:val="22"/>
          <w:rtl w:val="0"/>
        </w:rPr>
        <w:t xml:space="preserve"> los motivos de inconformidad de la parte </w:t>
      </w:r>
      <w:r w:rsidDel="00000000" w:rsidR="00000000" w:rsidRPr="00000000">
        <w:rPr>
          <w:rFonts w:ascii="Palatino Linotype" w:cs="Palatino Linotype" w:eastAsia="Palatino Linotype" w:hAnsi="Palatino Linotype"/>
          <w:b w:val="1"/>
          <w:bCs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 en términos del </w:t>
      </w:r>
      <w:r w:rsidDel="00000000" w:rsidR="00000000" w:rsidRPr="00000000">
        <w:rPr>
          <w:rFonts w:ascii="Palatino Linotype" w:cs="Palatino Linotype" w:eastAsia="Palatino Linotype" w:hAnsi="Palatino Linotype"/>
          <w:b w:val="1"/>
          <w:bCs w:val="1"/>
          <w:sz w:val="22"/>
          <w:szCs w:val="22"/>
          <w:rtl w:val="0"/>
        </w:rPr>
        <w:t xml:space="preserve">Considerando Cuarto</w:t>
      </w:r>
      <w:r w:rsidDel="00000000" w:rsidR="00000000" w:rsidRPr="00000000">
        <w:rPr>
          <w:rFonts w:ascii="Palatino Linotype" w:cs="Palatino Linotype" w:eastAsia="Palatino Linotype" w:hAnsi="Palatino Linotype"/>
          <w:sz w:val="22"/>
          <w:szCs w:val="22"/>
          <w:rtl w:val="0"/>
        </w:rPr>
        <w:t xml:space="preserve"> de la presente resolución.</w:t>
      </w:r>
    </w:p>
    <w:p w:rsidR="00000000" w:rsidDel="00000000" w:rsidP="00000000" w:rsidRDefault="00000000" w:rsidRPr="00000000" w14:paraId="000000D8">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D9">
      <w:pPr>
        <w:spacing w:line="360" w:lineRule="auto"/>
        <w:jc w:val="both"/>
        <w:rPr>
          <w:rFonts w:ascii="Palatino Linotype" w:cs="Palatino Linotype" w:eastAsia="Palatino Linotype" w:hAnsi="Palatino Linotype"/>
          <w:sz w:val="22"/>
          <w:szCs w:val="22"/>
        </w:rPr>
      </w:pPr>
      <w:bookmarkStart w:colFirst="0" w:colLast="0" w:name="_heading=h.3dy6vkm" w:id="2"/>
      <w:bookmarkEnd w:id="2"/>
      <w:r w:rsidDel="00000000" w:rsidR="00000000" w:rsidRPr="00000000">
        <w:rPr>
          <w:rFonts w:ascii="Palatino Linotype" w:cs="Palatino Linotype" w:eastAsia="Palatino Linotype" w:hAnsi="Palatino Linotype"/>
          <w:b w:val="1"/>
          <w:bCs w:val="1"/>
          <w:sz w:val="22"/>
          <w:szCs w:val="22"/>
          <w:rtl w:val="0"/>
        </w:rPr>
        <w:t xml:space="preserve">Segundo.</w:t>
      </w:r>
      <w:r w:rsidDel="00000000" w:rsidR="00000000" w:rsidRPr="00000000">
        <w:rPr>
          <w:rFonts w:ascii="Palatino Linotype" w:cs="Palatino Linotype" w:eastAsia="Palatino Linotype" w:hAnsi="Palatino Linotype"/>
          <w:sz w:val="22"/>
          <w:szCs w:val="22"/>
          <w:rtl w:val="0"/>
        </w:rPr>
        <w:t xml:space="preserve"> Se</w:t>
      </w:r>
      <w:r w:rsidDel="00000000" w:rsidR="00000000" w:rsidRPr="00000000">
        <w:rPr>
          <w:rFonts w:ascii="Palatino Linotype" w:cs="Palatino Linotype" w:eastAsia="Palatino Linotype" w:hAnsi="Palatino Linotype"/>
          <w:b w:val="1"/>
          <w:bCs w:val="1"/>
          <w:sz w:val="22"/>
          <w:szCs w:val="22"/>
          <w:rtl w:val="0"/>
        </w:rPr>
        <w:t xml:space="preserve"> Ordena </w:t>
      </w:r>
      <w:r w:rsidDel="00000000" w:rsidR="00000000" w:rsidRPr="00000000">
        <w:rPr>
          <w:rFonts w:ascii="Palatino Linotype" w:cs="Palatino Linotype" w:eastAsia="Palatino Linotype" w:hAnsi="Palatino Linotype"/>
          <w:sz w:val="22"/>
          <w:szCs w:val="22"/>
          <w:rtl w:val="0"/>
        </w:rPr>
        <w:t xml:space="preserve">al </w:t>
      </w:r>
      <w:r w:rsidDel="00000000" w:rsidR="00000000" w:rsidRPr="00000000">
        <w:rPr>
          <w:rFonts w:ascii="Palatino Linotype" w:cs="Palatino Linotype" w:eastAsia="Palatino Linotype" w:hAnsi="Palatino Linotype"/>
          <w:b w:val="1"/>
          <w:bCs w:val="1"/>
          <w:sz w:val="22"/>
          <w:szCs w:val="22"/>
          <w:rtl w:val="0"/>
        </w:rPr>
        <w:t xml:space="preserve">Sujeto Obligado </w:t>
      </w:r>
      <w:r w:rsidDel="00000000" w:rsidR="00000000" w:rsidRPr="00000000">
        <w:rPr>
          <w:rFonts w:ascii="Palatino Linotype" w:cs="Palatino Linotype" w:eastAsia="Palatino Linotype" w:hAnsi="Palatino Linotype"/>
          <w:sz w:val="22"/>
          <w:szCs w:val="22"/>
          <w:rtl w:val="0"/>
        </w:rPr>
        <w:t xml:space="preserve">dé trámite, vía </w:t>
      </w:r>
      <w:r w:rsidDel="00000000" w:rsidR="00000000" w:rsidRPr="00000000">
        <w:rPr>
          <w:rFonts w:ascii="Palatino Linotype" w:cs="Palatino Linotype" w:eastAsia="Palatino Linotype" w:hAnsi="Palatino Linotype"/>
          <w:b w:val="1"/>
          <w:bCs w:val="1"/>
          <w:sz w:val="22"/>
          <w:szCs w:val="22"/>
          <w:rtl w:val="0"/>
        </w:rPr>
        <w:t xml:space="preserve">Sistema de Acceso a la Información Mexiquense </w:t>
      </w:r>
      <w:r w:rsidDel="00000000" w:rsidR="00000000" w:rsidRPr="00000000">
        <w:rPr>
          <w:rFonts w:ascii="Palatino Linotype" w:cs="Palatino Linotype" w:eastAsia="Palatino Linotype" w:hAnsi="Palatino Linotype"/>
          <w:sz w:val="22"/>
          <w:szCs w:val="22"/>
          <w:rtl w:val="0"/>
        </w:rPr>
        <w:t xml:space="preserve">a la solicitud de acceso a la información pública </w:t>
      </w:r>
      <w:r w:rsidDel="00000000" w:rsidR="00000000" w:rsidRPr="00000000">
        <w:rPr>
          <w:rFonts w:ascii="Palatino Linotype" w:cs="Palatino Linotype" w:eastAsia="Palatino Linotype" w:hAnsi="Palatino Linotype"/>
          <w:b w:val="1"/>
          <w:bCs w:val="1"/>
          <w:sz w:val="22"/>
          <w:szCs w:val="22"/>
          <w:rtl w:val="0"/>
        </w:rPr>
        <w:t xml:space="preserve">01341/TEPOTZOT/IP/2025 </w:t>
      </w:r>
      <w:r w:rsidDel="00000000" w:rsidR="00000000" w:rsidRPr="00000000">
        <w:rPr>
          <w:rFonts w:ascii="Palatino Linotype" w:cs="Palatino Linotype" w:eastAsia="Palatino Linotype" w:hAnsi="Palatino Linotype"/>
          <w:sz w:val="22"/>
          <w:szCs w:val="22"/>
          <w:rtl w:val="0"/>
        </w:rPr>
        <w:t xml:space="preserve">que dio origen al recurso de revisión </w:t>
      </w:r>
      <w:r w:rsidDel="00000000" w:rsidR="00000000" w:rsidRPr="00000000">
        <w:rPr>
          <w:rFonts w:ascii="Palatino Linotype" w:cs="Palatino Linotype" w:eastAsia="Palatino Linotype" w:hAnsi="Palatino Linotype"/>
          <w:b w:val="1"/>
          <w:bCs w:val="1"/>
          <w:sz w:val="22"/>
          <w:szCs w:val="22"/>
          <w:rtl w:val="0"/>
        </w:rPr>
        <w:t xml:space="preserve">14329/INFOEM/IP/RR/2025 </w:t>
      </w:r>
      <w:r w:rsidDel="00000000" w:rsidR="00000000" w:rsidRPr="00000000">
        <w:rPr>
          <w:rFonts w:ascii="Palatino Linotype" w:cs="Palatino Linotype" w:eastAsia="Palatino Linotype" w:hAnsi="Palatino Linotype"/>
          <w:sz w:val="22"/>
          <w:szCs w:val="22"/>
          <w:rtl w:val="0"/>
        </w:rPr>
        <w:t xml:space="preserve">en términos del </w:t>
      </w:r>
      <w:r w:rsidDel="00000000" w:rsidR="00000000" w:rsidRPr="00000000">
        <w:rPr>
          <w:rFonts w:ascii="Palatino Linotype" w:cs="Palatino Linotype" w:eastAsia="Palatino Linotype" w:hAnsi="Palatino Linotype"/>
          <w:b w:val="1"/>
          <w:bCs w:val="1"/>
          <w:sz w:val="22"/>
          <w:szCs w:val="22"/>
          <w:rtl w:val="0"/>
        </w:rPr>
        <w:t xml:space="preserve">Considerando Cuarto</w:t>
      </w:r>
      <w:r w:rsidDel="00000000" w:rsidR="00000000" w:rsidRPr="00000000">
        <w:rPr>
          <w:rFonts w:ascii="Palatino Linotype" w:cs="Palatino Linotype" w:eastAsia="Palatino Linotype" w:hAnsi="Palatino Linotype"/>
          <w:sz w:val="22"/>
          <w:szCs w:val="22"/>
          <w:rtl w:val="0"/>
        </w:rPr>
        <w:t xml:space="preserve"> de esta resolución y emita respuesta, debiendo observar las excepciones contenidas en la Ley de Transparencia y Acceso a la Información Pública del Estado de México y Municipios.</w:t>
      </w:r>
    </w:p>
    <w:p w:rsidR="00000000" w:rsidDel="00000000" w:rsidP="00000000" w:rsidRDefault="00000000" w:rsidRPr="00000000" w14:paraId="000000DA">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DB">
      <w:pPr>
        <w:spacing w:line="360" w:lineRule="auto"/>
        <w:ind w:right="49"/>
        <w:jc w:val="both"/>
        <w:rPr>
          <w:rFonts w:ascii="Palatino Linotype" w:cs="Palatino Linotype" w:eastAsia="Palatino Linotype" w:hAnsi="Palatino Linotype"/>
          <w:sz w:val="22"/>
          <w:szCs w:val="22"/>
        </w:rPr>
      </w:pPr>
      <w:bookmarkStart w:colFirst="0" w:colLast="0" w:name="_heading=h.3znysh7" w:id="3"/>
      <w:bookmarkEnd w:id="3"/>
      <w:r w:rsidDel="00000000" w:rsidR="00000000" w:rsidRPr="00000000">
        <w:rPr>
          <w:rFonts w:ascii="Palatino Linotype" w:cs="Palatino Linotype" w:eastAsia="Palatino Linotype" w:hAnsi="Palatino Linotype"/>
          <w:b w:val="1"/>
          <w:bCs w:val="1"/>
          <w:sz w:val="22"/>
          <w:szCs w:val="22"/>
          <w:rtl w:val="0"/>
        </w:rPr>
        <w:t xml:space="preserve">Tercero.</w:t>
      </w: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Fonts w:ascii="Palatino Linotype" w:cs="Palatino Linotype" w:eastAsia="Palatino Linotype" w:hAnsi="Palatino Linotype"/>
          <w:b w:val="1"/>
          <w:bCs w:val="1"/>
          <w:sz w:val="22"/>
          <w:szCs w:val="22"/>
          <w:rtl w:val="0"/>
        </w:rPr>
        <w:t xml:space="preserve">Notifíquese vía Sistema de Acceso a la Información Mexiquense </w:t>
      </w:r>
      <w:r w:rsidDel="00000000" w:rsidR="00000000" w:rsidRPr="00000000">
        <w:rPr>
          <w:rFonts w:ascii="Palatino Linotype" w:cs="Palatino Linotype" w:eastAsia="Palatino Linotype" w:hAnsi="Palatino Linotype"/>
          <w:sz w:val="22"/>
          <w:szCs w:val="22"/>
          <w:rtl w:val="0"/>
        </w:rPr>
        <w:t xml:space="preserve">la presente resolución al T</w:t>
      </w:r>
      <w:r w:rsidDel="00000000" w:rsidR="00000000" w:rsidRPr="00000000">
        <w:rPr>
          <w:rFonts w:ascii="Palatino Linotype" w:cs="Palatino Linotype" w:eastAsia="Palatino Linotype" w:hAnsi="Palatino Linotype"/>
          <w:b w:val="1"/>
          <w:bCs w:val="1"/>
          <w:sz w:val="22"/>
          <w:szCs w:val="22"/>
          <w:rtl w:val="0"/>
        </w:rPr>
        <w:t xml:space="preserve">itular de la Unidad de Transparencia </w:t>
      </w:r>
      <w:r w:rsidDel="00000000" w:rsidR="00000000" w:rsidRPr="00000000">
        <w:rPr>
          <w:rFonts w:ascii="Palatino Linotype" w:cs="Palatino Linotype" w:eastAsia="Palatino Linotype" w:hAnsi="Palatino Linotype"/>
          <w:sz w:val="22"/>
          <w:szCs w:val="22"/>
          <w:rtl w:val="0"/>
        </w:rPr>
        <w:t xml:space="preserve">del </w:t>
      </w:r>
      <w:r w:rsidDel="00000000" w:rsidR="00000000" w:rsidRPr="00000000">
        <w:rPr>
          <w:rFonts w:ascii="Palatino Linotype" w:cs="Palatino Linotype" w:eastAsia="Palatino Linotype" w:hAnsi="Palatino Linotype"/>
          <w:b w:val="1"/>
          <w:bCs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rsidR="00000000" w:rsidDel="00000000" w:rsidP="00000000" w:rsidRDefault="00000000" w:rsidRPr="00000000" w14:paraId="000000DC">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DD">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bCs w:val="1"/>
          <w:sz w:val="22"/>
          <w:szCs w:val="22"/>
          <w:rtl w:val="0"/>
        </w:rPr>
        <w:t xml:space="preserve">Cuarto. Notifíquese</w:t>
      </w:r>
      <w:r w:rsidDel="00000000" w:rsidR="00000000" w:rsidRPr="00000000">
        <w:rPr>
          <w:rFonts w:ascii="Palatino Linotype" w:cs="Palatino Linotype" w:eastAsia="Palatino Linotype" w:hAnsi="Palatino Linotype"/>
          <w:sz w:val="22"/>
          <w:szCs w:val="22"/>
          <w:rtl w:val="0"/>
        </w:rPr>
        <w:t xml:space="preserve">,</w:t>
      </w:r>
      <w:r w:rsidDel="00000000" w:rsidR="00000000" w:rsidRPr="00000000">
        <w:rPr>
          <w:rFonts w:ascii="Palatino Linotype" w:cs="Palatino Linotype" w:eastAsia="Palatino Linotype" w:hAnsi="Palatino Linotype"/>
          <w:b w:val="1"/>
          <w:bCs w:val="1"/>
          <w:sz w:val="22"/>
          <w:szCs w:val="22"/>
          <w:rtl w:val="0"/>
        </w:rPr>
        <w:t xml:space="preserve"> </w:t>
      </w:r>
      <w:r w:rsidDel="00000000" w:rsidR="00000000" w:rsidRPr="00000000">
        <w:rPr>
          <w:rFonts w:ascii="Palatino Linotype" w:cs="Palatino Linotype" w:eastAsia="Palatino Linotype" w:hAnsi="Palatino Linotype"/>
          <w:sz w:val="22"/>
          <w:szCs w:val="22"/>
          <w:rtl w:val="0"/>
        </w:rPr>
        <w:t xml:space="preserve">vía </w:t>
      </w:r>
      <w:r w:rsidDel="00000000" w:rsidR="00000000" w:rsidRPr="00000000">
        <w:rPr>
          <w:rFonts w:ascii="Palatino Linotype" w:cs="Palatino Linotype" w:eastAsia="Palatino Linotype" w:hAnsi="Palatino Linotype"/>
          <w:b w:val="1"/>
          <w:bCs w:val="1"/>
          <w:sz w:val="22"/>
          <w:szCs w:val="22"/>
          <w:rtl w:val="0"/>
        </w:rPr>
        <w:t xml:space="preserve">Sistema de Acceso a la Información Mexiquense</w:t>
      </w:r>
      <w:r w:rsidDel="00000000" w:rsidR="00000000" w:rsidRPr="00000000">
        <w:rPr>
          <w:rFonts w:ascii="Palatino Linotype" w:cs="Palatino Linotype" w:eastAsia="Palatino Linotype" w:hAnsi="Palatino Linotype"/>
          <w:sz w:val="22"/>
          <w:szCs w:val="22"/>
          <w:rtl w:val="0"/>
        </w:rPr>
        <w:t xml:space="preserve">, a la parte </w:t>
      </w:r>
      <w:r w:rsidDel="00000000" w:rsidR="00000000" w:rsidRPr="00000000">
        <w:rPr>
          <w:rFonts w:ascii="Palatino Linotype" w:cs="Palatino Linotype" w:eastAsia="Palatino Linotype" w:hAnsi="Palatino Linotype"/>
          <w:b w:val="1"/>
          <w:bCs w:val="1"/>
          <w:sz w:val="22"/>
          <w:szCs w:val="22"/>
          <w:rtl w:val="0"/>
        </w:rPr>
        <w:t xml:space="preserve">Recurrente </w:t>
      </w:r>
      <w:r w:rsidDel="00000000" w:rsidR="00000000" w:rsidRPr="00000000">
        <w:rPr>
          <w:rFonts w:ascii="Palatino Linotype" w:cs="Palatino Linotype" w:eastAsia="Palatino Linotype" w:hAnsi="Palatino Linotype"/>
          <w:sz w:val="22"/>
          <w:szCs w:val="22"/>
          <w:rtl w:val="0"/>
        </w:rPr>
        <w:t xml:space="preserve">la presente resolución, así como, que de conformidad con lo establecido en el artículo 196 de la Ley de Transparencia y Acceso a la Información Pública del Estado de México y Municipios, en caso de que considere que le causa algún perjuicio podrá impugnarla vía Juicio de Amparo en los términos de las leyes aplicables.</w:t>
      </w:r>
    </w:p>
    <w:p w:rsidR="00000000" w:rsidDel="00000000" w:rsidP="00000000" w:rsidRDefault="00000000" w:rsidRPr="00000000" w14:paraId="000000DE">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DF">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bCs w:val="1"/>
          <w:sz w:val="22"/>
          <w:szCs w:val="22"/>
          <w:rtl w:val="0"/>
        </w:rPr>
        <w:t xml:space="preserve">Quinto. Notifíquese </w:t>
      </w:r>
      <w:r w:rsidDel="00000000" w:rsidR="00000000" w:rsidRPr="00000000">
        <w:rPr>
          <w:rFonts w:ascii="Palatino Linotype" w:cs="Palatino Linotype" w:eastAsia="Palatino Linotype" w:hAnsi="Palatino Linotype"/>
          <w:sz w:val="22"/>
          <w:szCs w:val="22"/>
          <w:rtl w:val="0"/>
        </w:rPr>
        <w:t xml:space="preserve">a la parte </w:t>
      </w:r>
      <w:r w:rsidDel="00000000" w:rsidR="00000000" w:rsidRPr="00000000">
        <w:rPr>
          <w:rFonts w:ascii="Palatino Linotype" w:cs="Palatino Linotype" w:eastAsia="Palatino Linotype" w:hAnsi="Palatino Linotype"/>
          <w:b w:val="1"/>
          <w:bCs w:val="1"/>
          <w:sz w:val="22"/>
          <w:szCs w:val="22"/>
          <w:rtl w:val="0"/>
        </w:rPr>
        <w:t xml:space="preserve">Recurrente </w:t>
      </w:r>
      <w:r w:rsidDel="00000000" w:rsidR="00000000" w:rsidRPr="00000000">
        <w:rPr>
          <w:rFonts w:ascii="Palatino Linotype" w:cs="Palatino Linotype" w:eastAsia="Palatino Linotype" w:hAnsi="Palatino Linotype"/>
          <w:sz w:val="22"/>
          <w:szCs w:val="22"/>
          <w:rtl w:val="0"/>
        </w:rPr>
        <w:t xml:space="preserve">que la respuesta que dé el </w:t>
      </w:r>
      <w:r w:rsidDel="00000000" w:rsidR="00000000" w:rsidRPr="00000000">
        <w:rPr>
          <w:rFonts w:ascii="Palatino Linotype" w:cs="Palatino Linotype" w:eastAsia="Palatino Linotype" w:hAnsi="Palatino Linotype"/>
          <w:b w:val="1"/>
          <w:bCs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derivada de la presente resolución es susceptible de ser impugnadas nuevamente, mediante recurso de revisión, ante el Instituto, en términos del artículo 179, último párrafo de la Ley de Transparencia y Acceso a la Información Pública del Estado de México y Municipios.</w:t>
      </w:r>
    </w:p>
    <w:p w:rsidR="00000000" w:rsidDel="00000000" w:rsidP="00000000" w:rsidRDefault="00000000" w:rsidRPr="00000000" w14:paraId="000000E0">
      <w:pPr>
        <w:spacing w:line="360" w:lineRule="auto"/>
        <w:jc w:val="both"/>
        <w:rPr>
          <w:rFonts w:ascii="Palatino Linotype" w:cs="Palatino Linotype" w:eastAsia="Palatino Linotype" w:hAnsi="Palatino Linotype"/>
          <w:b w:val="1"/>
          <w:bCs w:val="1"/>
          <w:sz w:val="22"/>
          <w:szCs w:val="22"/>
        </w:rPr>
      </w:pPr>
      <w:r w:rsidDel="00000000" w:rsidR="00000000" w:rsidRPr="00000000">
        <w:rPr>
          <w:rtl w:val="0"/>
        </w:rPr>
      </w:r>
    </w:p>
    <w:p w:rsidR="00000000" w:rsidDel="00000000" w:rsidP="00000000" w:rsidRDefault="00000000" w:rsidRPr="00000000" w14:paraId="000000E1">
      <w:pPr>
        <w:spacing w:line="360" w:lineRule="auto"/>
        <w:jc w:val="both"/>
        <w:rPr>
          <w:rFonts w:ascii="Palatino Linotype" w:cs="Palatino Linotype" w:eastAsia="Palatino Linotype" w:hAnsi="Palatino Linotype"/>
          <w:b w:val="1"/>
          <w:bCs w:val="1"/>
          <w:sz w:val="22"/>
          <w:szCs w:val="22"/>
        </w:rPr>
      </w:pPr>
      <w:r w:rsidDel="00000000" w:rsidR="00000000" w:rsidRPr="00000000">
        <w:rPr>
          <w:rFonts w:ascii="Palatino Linotype" w:cs="Palatino Linotype" w:eastAsia="Palatino Linotype" w:hAnsi="Palatino Linotype"/>
          <w:b w:val="1"/>
          <w:bCs w:val="1"/>
          <w:sz w:val="22"/>
          <w:szCs w:val="22"/>
          <w:rtl w:val="0"/>
        </w:rPr>
        <w:t xml:space="preserve">Sexto. Gírese </w:t>
      </w:r>
      <w:r w:rsidDel="00000000" w:rsidR="00000000" w:rsidRPr="00000000">
        <w:rPr>
          <w:rFonts w:ascii="Palatino Linotype" w:cs="Palatino Linotype" w:eastAsia="Palatino Linotype" w:hAnsi="Palatino Linotype"/>
          <w:sz w:val="22"/>
          <w:szCs w:val="22"/>
          <w:rtl w:val="0"/>
        </w:rPr>
        <w:t xml:space="preserve">oficio a la </w:t>
      </w:r>
      <w:r w:rsidDel="00000000" w:rsidR="00000000" w:rsidRPr="00000000">
        <w:rPr>
          <w:rFonts w:ascii="Palatino Linotype" w:cs="Palatino Linotype" w:eastAsia="Palatino Linotype" w:hAnsi="Palatino Linotype"/>
          <w:b w:val="1"/>
          <w:bCs w:val="1"/>
          <w:sz w:val="22"/>
          <w:szCs w:val="22"/>
          <w:rtl w:val="0"/>
        </w:rPr>
        <w:t xml:space="preserve">Secretaría Técnica del Pleno</w:t>
      </w:r>
      <w:r w:rsidDel="00000000" w:rsidR="00000000" w:rsidRPr="00000000">
        <w:rPr>
          <w:rFonts w:ascii="Palatino Linotype" w:cs="Palatino Linotype" w:eastAsia="Palatino Linotype" w:hAnsi="Palatino Linotype"/>
          <w:sz w:val="22"/>
          <w:szCs w:val="22"/>
          <w:rtl w:val="0"/>
        </w:rPr>
        <w:t xml:space="preserve"> de este Instituto para hacer del conocimiento del Órgano Interno de Control competente la presente resolución, a fin de que de conformidad con el artículo 190 de la Ley de Transparencia y Acceso a la Información Pública del Estado de México y Municipios se determine lo conducente, en términos de lo señalado en el Considerando Cuarto</w:t>
      </w:r>
      <w:r w:rsidDel="00000000" w:rsidR="00000000" w:rsidRPr="00000000">
        <w:rPr>
          <w:rFonts w:ascii="Palatino Linotype" w:cs="Palatino Linotype" w:eastAsia="Palatino Linotype" w:hAnsi="Palatino Linotype"/>
          <w:b w:val="1"/>
          <w:bCs w:val="1"/>
          <w:sz w:val="22"/>
          <w:szCs w:val="22"/>
          <w:rtl w:val="0"/>
        </w:rPr>
        <w:t xml:space="preserve"> </w:t>
      </w:r>
      <w:r w:rsidDel="00000000" w:rsidR="00000000" w:rsidRPr="00000000">
        <w:rPr>
          <w:rFonts w:ascii="Palatino Linotype" w:cs="Palatino Linotype" w:eastAsia="Palatino Linotype" w:hAnsi="Palatino Linotype"/>
          <w:sz w:val="22"/>
          <w:szCs w:val="22"/>
          <w:rtl w:val="0"/>
        </w:rPr>
        <w:t xml:space="preserve">de la presente resolución.</w:t>
      </w:r>
      <w:r w:rsidDel="00000000" w:rsidR="00000000" w:rsidRPr="00000000">
        <w:rPr>
          <w:rFonts w:ascii="Palatino Linotype" w:cs="Palatino Linotype" w:eastAsia="Palatino Linotype" w:hAnsi="Palatino Linotype"/>
          <w:b w:val="1"/>
          <w:bCs w:val="1"/>
          <w:sz w:val="22"/>
          <w:szCs w:val="22"/>
          <w:rtl w:val="0"/>
        </w:rPr>
        <w:t xml:space="preserve"> </w:t>
      </w:r>
    </w:p>
    <w:p w:rsidR="00000000" w:rsidDel="00000000" w:rsidP="00000000" w:rsidRDefault="00000000" w:rsidRPr="00000000" w14:paraId="000000E2">
      <w:pPr>
        <w:spacing w:line="360" w:lineRule="auto"/>
        <w:jc w:val="both"/>
        <w:rPr>
          <w:rFonts w:ascii="Palatino Linotype" w:cs="Palatino Linotype" w:eastAsia="Palatino Linotype" w:hAnsi="Palatino Linotype"/>
          <w:sz w:val="22"/>
          <w:szCs w:val="22"/>
        </w:rPr>
      </w:pPr>
      <w:bookmarkStart w:colFirst="0" w:colLast="0" w:name="_heading=h.ibiie51sawl6" w:id="4"/>
      <w:bookmarkEnd w:id="4"/>
      <w:r w:rsidDel="00000000" w:rsidR="00000000" w:rsidRPr="00000000">
        <w:rPr>
          <w:rtl w:val="0"/>
        </w:rPr>
      </w:r>
    </w:p>
    <w:p w:rsidR="00000000" w:rsidDel="00000000" w:rsidP="00000000" w:rsidRDefault="00000000" w:rsidRPr="00000000" w14:paraId="000000E3">
      <w:pPr>
        <w:spacing w:line="360" w:lineRule="auto"/>
        <w:ind w:right="49"/>
        <w:jc w:val="both"/>
        <w:rPr>
          <w:rFonts w:ascii="Palatino Linotype" w:cs="Palatino Linotype" w:eastAsia="Palatino Linotype" w:hAnsi="Palatino Linotype"/>
          <w:sz w:val="22"/>
          <w:szCs w:val="22"/>
        </w:rPr>
        <w:sectPr>
          <w:headerReference r:id="rId9" w:type="default"/>
          <w:headerReference r:id="rId10" w:type="first"/>
          <w:footerReference r:id="rId11" w:type="default"/>
          <w:footerReference r:id="rId12" w:type="first"/>
          <w:pgSz w:h="15840" w:w="12240" w:orient="portrait"/>
          <w:pgMar w:bottom="1701" w:top="1985" w:left="1701" w:right="1701" w:header="709" w:footer="709"/>
          <w:pgNumType w:start="1"/>
          <w:titlePg w:val="1"/>
        </w:sectPr>
      </w:pPr>
      <w:bookmarkStart w:colFirst="0" w:colLast="0" w:name="_heading=h.1fob9te" w:id="5"/>
      <w:bookmarkEnd w:id="5"/>
      <w:r w:rsidDel="00000000" w:rsidR="00000000" w:rsidRPr="00000000">
        <w:rPr>
          <w:rFonts w:ascii="Palatino Linotype" w:cs="Palatino Linotype" w:eastAsia="Palatino Linotype" w:hAnsi="Palatino Linotype"/>
          <w:sz w:val="22"/>
          <w:szCs w:val="22"/>
          <w:rtl w:val="0"/>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(AUSENCIA JUSTIFICADA), SHARON CRISTINA MORALES MARTÍNEZ, LUIS GUSTAVO PARRA NORIEGA Y GUADALUPE RAMÍREZ PEÑA; EN LA TERCERA SESIÓN ORDINARIA CELEBRADA EL VEINTIOCHO DE ENERO DE DOS MIL VEINTISÉIS, ANTE EL SECRETARIO TÉCNICO DEL PLENO ALEXIS TAPIA RAMÍREZ.</w:t>
      </w:r>
    </w:p>
    <w:p w:rsidR="00000000" w:rsidDel="00000000" w:rsidP="00000000" w:rsidRDefault="00000000" w:rsidRPr="00000000" w14:paraId="000000E4">
      <w:pPr>
        <w:rPr>
          <w:sz w:val="22"/>
          <w:szCs w:val="22"/>
        </w:rPr>
      </w:pPr>
      <w:r w:rsidDel="00000000" w:rsidR="00000000" w:rsidRPr="00000000">
        <w:rPr>
          <w:rtl w:val="0"/>
        </w:rPr>
      </w:r>
    </w:p>
    <w:sectPr>
      <w:headerReference r:id="rId13" w:type="first"/>
      <w:type w:val="nextPage"/>
      <w:pgSz w:h="15840" w:w="12240" w:orient="portrait"/>
      <w:pgMar w:bottom="1701" w:top="1985" w:left="1701" w:right="1701" w:header="709" w:footer="709"/>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Verdana"/>
  <w:font w:name="Calibri"/>
  <w:font w:name="Arial"/>
  <w:font w:name="Courier New"/>
  <w:font w:name="Palatino Linotyp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07">
    <w:pPr>
      <w:pBdr>
        <w:top w:space="0" w:sz="0" w:val="nil"/>
        <w:left w:space="0" w:sz="0" w:val="nil"/>
        <w:bottom w:space="0" w:sz="0" w:val="nil"/>
        <w:right w:space="0" w:sz="0" w:val="nil"/>
        <w:between w:space="0" w:sz="0" w:val="nil"/>
      </w:pBdr>
      <w:tabs>
        <w:tab w:val="center" w:leader="none" w:pos="4252"/>
        <w:tab w:val="right" w:leader="none" w:pos="8504"/>
      </w:tabs>
      <w:jc w:val="right"/>
      <w:rPr>
        <w:rFonts w:ascii="Arial" w:cs="Arial" w:eastAsia="Arial" w:hAnsi="Arial"/>
        <w:color w:val="000000"/>
        <w:sz w:val="20"/>
        <w:szCs w:val="20"/>
      </w:rPr>
    </w:pPr>
    <w:r w:rsidDel="00000000" w:rsidR="00000000" w:rsidRPr="00000000">
      <w:rPr>
        <w:rFonts w:ascii="Arial" w:cs="Arial" w:eastAsia="Arial" w:hAnsi="Arial"/>
        <w:b w:val="1"/>
        <w:bCs w:val="1"/>
        <w:color w:val="000000"/>
        <w:sz w:val="20"/>
        <w:szCs w:val="20"/>
        <w:rtl w:val="0"/>
      </w:rPr>
      <w:t xml:space="preserve">Página </w:t>
    </w:r>
    <w:r w:rsidDel="00000000" w:rsidR="00000000" w:rsidRPr="00000000">
      <w:rPr>
        <w:rFonts w:ascii="Arial" w:cs="Arial" w:eastAsia="Arial" w:hAnsi="Arial"/>
        <w:b w:val="1"/>
        <w:bCs w:val="1"/>
        <w:color w:val="000000"/>
        <w:sz w:val="20"/>
        <w:szCs w:val="20"/>
      </w:rPr>
      <w:fldChar w:fldCharType="begin"/>
      <w:instrText xml:space="preserve">PAGE</w:instrText>
      <w:fldChar w:fldCharType="separate"/>
      <w:fldChar w:fldCharType="end"/>
    </w:r>
    <w:r w:rsidDel="00000000" w:rsidR="00000000" w:rsidRPr="00000000">
      <w:rPr>
        <w:rFonts w:ascii="Arial" w:cs="Arial" w:eastAsia="Arial" w:hAnsi="Arial"/>
        <w:color w:val="000000"/>
        <w:sz w:val="20"/>
        <w:szCs w:val="20"/>
        <w:rtl w:val="0"/>
      </w:rPr>
      <w:t xml:space="preserve"> de </w:t>
    </w:r>
    <w:r w:rsidDel="00000000" w:rsidR="00000000" w:rsidRPr="00000000">
      <w:rPr>
        <w:rFonts w:ascii="Arial" w:cs="Arial" w:eastAsia="Arial" w:hAnsi="Arial"/>
        <w:b w:val="1"/>
        <w:bCs w:val="1"/>
        <w:color w:val="000000"/>
        <w:sz w:val="20"/>
        <w:szCs w:val="20"/>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108">
    <w:pPr>
      <w:pBdr>
        <w:top w:space="0" w:sz="0" w:val="nil"/>
        <w:left w:space="0" w:sz="0" w:val="nil"/>
        <w:bottom w:space="0" w:sz="0" w:val="nil"/>
        <w:right w:space="0" w:sz="0" w:val="nil"/>
        <w:between w:space="0" w:sz="0" w:val="nil"/>
      </w:pBdr>
      <w:tabs>
        <w:tab w:val="center" w:leader="none" w:pos="4252"/>
        <w:tab w:val="right" w:leader="none" w:pos="8504"/>
      </w:tabs>
      <w:rPr>
        <w:color w:val="000000"/>
      </w:rPr>
    </w:pPr>
    <w:r w:rsidDel="00000000" w:rsidR="00000000" w:rsidRPr="00000000">
      <w:rPr>
        <w:rtl w:val="0"/>
      </w:rPr>
    </w:r>
  </w:p>
  <w:p w:rsidR="00000000" w:rsidDel="00000000" w:rsidP="00000000" w:rsidRDefault="00000000" w:rsidRPr="00000000" w14:paraId="00000109">
    <w:pPr>
      <w:pBdr>
        <w:top w:space="0" w:sz="0" w:val="nil"/>
        <w:left w:space="0" w:sz="0" w:val="nil"/>
        <w:bottom w:space="0" w:sz="0" w:val="nil"/>
        <w:right w:space="0" w:sz="0" w:val="nil"/>
        <w:between w:space="0" w:sz="0" w:val="nil"/>
      </w:pBdr>
      <w:tabs>
        <w:tab w:val="center" w:leader="none" w:pos="4252"/>
        <w:tab w:val="right" w:leader="none" w:pos="8504"/>
      </w:tabs>
      <w:ind w:firstLine="708"/>
      <w:rPr>
        <w:rFonts w:ascii="Calibri" w:cs="Calibri" w:eastAsia="Calibri" w:hAnsi="Calibri"/>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0A">
    <w:pPr>
      <w:pBdr>
        <w:top w:space="0" w:sz="0" w:val="nil"/>
        <w:left w:space="0" w:sz="0" w:val="nil"/>
        <w:bottom w:space="0" w:sz="0" w:val="nil"/>
        <w:right w:space="0" w:sz="0" w:val="nil"/>
        <w:between w:space="0" w:sz="0" w:val="nil"/>
      </w:pBdr>
      <w:tabs>
        <w:tab w:val="center" w:leader="none" w:pos="4252"/>
        <w:tab w:val="right" w:leader="none" w:pos="8504"/>
      </w:tabs>
      <w:jc w:val="right"/>
      <w:rPr>
        <w:rFonts w:ascii="Arial" w:cs="Arial" w:eastAsia="Arial" w:hAnsi="Arial"/>
        <w:color w:val="000000"/>
        <w:sz w:val="20"/>
        <w:szCs w:val="20"/>
      </w:rPr>
    </w:pPr>
    <w:r w:rsidDel="00000000" w:rsidR="00000000" w:rsidRPr="00000000">
      <w:rPr>
        <w:rFonts w:ascii="Arial" w:cs="Arial" w:eastAsia="Arial" w:hAnsi="Arial"/>
        <w:b w:val="1"/>
        <w:bCs w:val="1"/>
        <w:color w:val="000000"/>
        <w:sz w:val="20"/>
        <w:szCs w:val="20"/>
        <w:rtl w:val="0"/>
      </w:rPr>
      <w:t xml:space="preserve">Página </w:t>
    </w:r>
    <w:r w:rsidDel="00000000" w:rsidR="00000000" w:rsidRPr="00000000">
      <w:rPr>
        <w:rFonts w:ascii="Arial" w:cs="Arial" w:eastAsia="Arial" w:hAnsi="Arial"/>
        <w:b w:val="1"/>
        <w:bCs w:val="1"/>
        <w:color w:val="000000"/>
        <w:sz w:val="20"/>
        <w:szCs w:val="20"/>
      </w:rPr>
      <w:fldChar w:fldCharType="begin"/>
      <w:instrText xml:space="preserve">PAGE</w:instrText>
      <w:fldChar w:fldCharType="separate"/>
      <w:fldChar w:fldCharType="end"/>
    </w:r>
    <w:r w:rsidDel="00000000" w:rsidR="00000000" w:rsidRPr="00000000">
      <w:rPr>
        <w:rFonts w:ascii="Arial" w:cs="Arial" w:eastAsia="Arial" w:hAnsi="Arial"/>
        <w:color w:val="000000"/>
        <w:sz w:val="20"/>
        <w:szCs w:val="20"/>
        <w:rtl w:val="0"/>
      </w:rPr>
      <w:t xml:space="preserve"> de </w:t>
    </w:r>
    <w:r w:rsidDel="00000000" w:rsidR="00000000" w:rsidRPr="00000000">
      <w:rPr>
        <w:rFonts w:ascii="Arial" w:cs="Arial" w:eastAsia="Arial" w:hAnsi="Arial"/>
        <w:b w:val="1"/>
        <w:bCs w:val="1"/>
        <w:color w:val="000000"/>
        <w:sz w:val="20"/>
        <w:szCs w:val="20"/>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10B">
    <w:pPr>
      <w:pBdr>
        <w:top w:space="0" w:sz="0" w:val="nil"/>
        <w:left w:space="0" w:sz="0" w:val="nil"/>
        <w:bottom w:space="0" w:sz="0" w:val="nil"/>
        <w:right w:space="0" w:sz="0" w:val="nil"/>
        <w:between w:space="0" w:sz="0" w:val="nil"/>
      </w:pBdr>
      <w:tabs>
        <w:tab w:val="center" w:leader="none" w:pos="4252"/>
        <w:tab w:val="right" w:leader="none" w:pos="8504"/>
      </w:tabs>
      <w:rPr>
        <w:rFonts w:ascii="Calibri" w:cs="Calibri" w:eastAsia="Calibri" w:hAnsi="Calibri"/>
        <w:color w:val="000000"/>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0E5">
      <w:pPr>
        <w:spacing w:before="240" w:lineRule="auto"/>
        <w:jc w:val="both"/>
        <w:rPr>
          <w:rFonts w:ascii="Palatino Linotype" w:cs="Palatino Linotype" w:eastAsia="Palatino Linotype" w:hAnsi="Palatino Linotype"/>
          <w:sz w:val="16"/>
          <w:szCs w:val="16"/>
        </w:rPr>
      </w:pPr>
      <w:r w:rsidDel="00000000" w:rsidR="00000000" w:rsidRPr="00000000">
        <w:rPr>
          <w:rStyle w:val="FootnoteReference"/>
          <w:vertAlign w:val="superscript"/>
        </w:rPr>
        <w:footnoteRef/>
      </w:r>
      <w:r w:rsidDel="00000000" w:rsidR="00000000" w:rsidRPr="00000000">
        <w:rPr>
          <w:rFonts w:ascii="Palatino Linotype" w:cs="Palatino Linotype" w:eastAsia="Palatino Linotype" w:hAnsi="Palatino Linotype"/>
          <w:sz w:val="16"/>
          <w:szCs w:val="16"/>
          <w:rtl w:val="0"/>
        </w:rPr>
        <w:t xml:space="preserve">“Artículo 178.</w:t>
      </w:r>
    </w:p>
    <w:p w:rsidR="00000000" w:rsidDel="00000000" w:rsidP="00000000" w:rsidRDefault="00000000" w:rsidRPr="00000000" w14:paraId="000000E6">
      <w:pPr>
        <w:jc w:val="both"/>
        <w:rPr>
          <w:rFonts w:ascii="Palatino Linotype" w:cs="Palatino Linotype" w:eastAsia="Palatino Linotype" w:hAnsi="Palatino Linotype"/>
          <w:sz w:val="16"/>
          <w:szCs w:val="16"/>
        </w:rPr>
      </w:pPr>
      <w:r w:rsidDel="00000000" w:rsidR="00000000" w:rsidRPr="00000000">
        <w:rPr>
          <w:rFonts w:ascii="Palatino Linotype" w:cs="Palatino Linotype" w:eastAsia="Palatino Linotype" w:hAnsi="Palatino Linotype"/>
          <w:sz w:val="16"/>
          <w:szCs w:val="16"/>
          <w:rtl w:val="0"/>
        </w:rPr>
        <w:t xml:space="preserve">…</w:t>
      </w:r>
    </w:p>
    <w:p w:rsidR="00000000" w:rsidDel="00000000" w:rsidP="00000000" w:rsidRDefault="00000000" w:rsidRPr="00000000" w14:paraId="000000E7">
      <w:pPr>
        <w:spacing w:after="240" w:lineRule="auto"/>
        <w:jc w:val="both"/>
        <w:rPr/>
      </w:pPr>
      <w:r w:rsidDel="00000000" w:rsidR="00000000" w:rsidRPr="00000000">
        <w:rPr>
          <w:rFonts w:ascii="Palatino Linotype" w:cs="Palatino Linotype" w:eastAsia="Palatino Linotype" w:hAnsi="Palatino Linotype"/>
          <w:sz w:val="16"/>
          <w:szCs w:val="16"/>
          <w:rtl w:val="0"/>
        </w:rPr>
        <w:t xml:space="preserve">A falta de respuesta del sujeto obligado, dentro de los plazos establecidos en esta Ley, a una solicitud de acceso a la información pública, el recurso podrá ser interpuesto en cualquier momento, acompañado con el documento que pruebe la fecha en que presentó la solicitud…”(Sic)</w:t>
      </w:r>
      <w:r w:rsidDel="00000000" w:rsidR="00000000" w:rsidRPr="00000000">
        <w:rPr>
          <w:rtl w:val="0"/>
        </w:rPr>
      </w:r>
    </w:p>
  </w:footnote>
  <w:footnote w:id="1">
    <w:p w:rsidR="00000000" w:rsidDel="00000000" w:rsidP="00000000" w:rsidRDefault="00000000" w:rsidRPr="00000000" w14:paraId="000000E8">
      <w:pPr>
        <w:pBdr>
          <w:top w:space="0" w:sz="0" w:val="nil"/>
          <w:left w:space="0" w:sz="0" w:val="nil"/>
          <w:bottom w:space="0" w:sz="0" w:val="nil"/>
          <w:right w:space="0" w:sz="0" w:val="nil"/>
          <w:between w:space="0" w:sz="0" w:val="nil"/>
        </w:pBdr>
        <w:jc w:val="both"/>
        <w:rPr>
          <w:rFonts w:ascii="Palatino Linotype" w:cs="Palatino Linotype" w:eastAsia="Palatino Linotype" w:hAnsi="Palatino Linotype"/>
          <w:color w:val="000000"/>
          <w:sz w:val="16"/>
          <w:szCs w:val="16"/>
        </w:rPr>
      </w:pPr>
      <w:r w:rsidDel="00000000" w:rsidR="00000000" w:rsidRPr="00000000">
        <w:rPr>
          <w:rStyle w:val="FootnoteReference"/>
          <w:vertAlign w:val="superscript"/>
        </w:rPr>
        <w:footnoteRef/>
      </w:r>
      <w:r w:rsidDel="00000000" w:rsidR="00000000" w:rsidRPr="00000000">
        <w:rPr>
          <w:rFonts w:ascii="Palatino Linotype" w:cs="Palatino Linotype" w:eastAsia="Palatino Linotype" w:hAnsi="Palatino Linotype"/>
          <w:color w:val="000000"/>
          <w:sz w:val="16"/>
          <w:szCs w:val="16"/>
          <w:rtl w:val="0"/>
        </w:rPr>
        <w:t xml:space="preserve"> Al encontrarse en algún supuesto restrictivo, previsto en la normatividad aplicable.</w:t>
      </w:r>
    </w:p>
  </w:footnote>
  <w:footnote w:id="2">
    <w:p w:rsidR="00000000" w:rsidDel="00000000" w:rsidP="00000000" w:rsidRDefault="00000000" w:rsidRPr="00000000" w14:paraId="000000E9">
      <w:pPr>
        <w:pBdr>
          <w:top w:space="0" w:sz="0" w:val="nil"/>
          <w:left w:space="0" w:sz="0" w:val="nil"/>
          <w:bottom w:space="0" w:sz="0" w:val="nil"/>
          <w:right w:space="0" w:sz="0" w:val="nil"/>
          <w:between w:space="0" w:sz="0" w:val="nil"/>
        </w:pBdr>
        <w:jc w:val="both"/>
        <w:rPr>
          <w:rFonts w:ascii="Palatino Linotype" w:cs="Palatino Linotype" w:eastAsia="Palatino Linotype" w:hAnsi="Palatino Linotype"/>
          <w:color w:val="000000"/>
          <w:sz w:val="16"/>
          <w:szCs w:val="16"/>
        </w:rPr>
      </w:pPr>
      <w:r w:rsidDel="00000000" w:rsidR="00000000" w:rsidRPr="00000000">
        <w:rPr>
          <w:rStyle w:val="FootnoteReference"/>
          <w:vertAlign w:val="superscript"/>
        </w:rPr>
        <w:footnoteRef/>
      </w:r>
      <w:r w:rsidDel="00000000" w:rsidR="00000000" w:rsidRPr="00000000">
        <w:rPr>
          <w:rFonts w:ascii="Palatino Linotype" w:cs="Palatino Linotype" w:eastAsia="Palatino Linotype" w:hAnsi="Palatino Linotype"/>
          <w:color w:val="000000"/>
          <w:sz w:val="16"/>
          <w:szCs w:val="16"/>
          <w:rtl w:val="0"/>
        </w:rPr>
        <w:t xml:space="preserve"> Artículo 59. Los servidores públicos habilitados tendrán las funciones siguientes:</w:t>
      </w:r>
    </w:p>
    <w:p w:rsidR="00000000" w:rsidDel="00000000" w:rsidP="00000000" w:rsidRDefault="00000000" w:rsidRPr="00000000" w14:paraId="000000EA">
      <w:pPr>
        <w:pBdr>
          <w:top w:space="0" w:sz="0" w:val="nil"/>
          <w:left w:space="0" w:sz="0" w:val="nil"/>
          <w:bottom w:space="0" w:sz="0" w:val="nil"/>
          <w:right w:space="0" w:sz="0" w:val="nil"/>
          <w:between w:space="0" w:sz="0" w:val="nil"/>
        </w:pBdr>
        <w:jc w:val="both"/>
        <w:rPr>
          <w:rFonts w:ascii="Palatino Linotype" w:cs="Palatino Linotype" w:eastAsia="Palatino Linotype" w:hAnsi="Palatino Linotype"/>
          <w:color w:val="000000"/>
          <w:sz w:val="16"/>
          <w:szCs w:val="16"/>
        </w:rPr>
      </w:pPr>
      <w:r w:rsidDel="00000000" w:rsidR="00000000" w:rsidRPr="00000000">
        <w:rPr>
          <w:rFonts w:ascii="Palatino Linotype" w:cs="Palatino Linotype" w:eastAsia="Palatino Linotype" w:hAnsi="Palatino Linotype"/>
          <w:color w:val="000000"/>
          <w:sz w:val="16"/>
          <w:szCs w:val="16"/>
          <w:rtl w:val="0"/>
        </w:rPr>
        <w:t xml:space="preserve">V. Integrar y presentar al responsable de la Unidad de Transparencia la propuesta de clasificación de información, la cual tendrá los fundamentos y argumentos en que se basa dicha propuesta;</w:t>
      </w:r>
    </w:p>
  </w:footnote>
  <w:footnote w:id="3">
    <w:p w:rsidR="00000000" w:rsidDel="00000000" w:rsidP="00000000" w:rsidRDefault="00000000" w:rsidRPr="00000000" w14:paraId="000000EB">
      <w:pPr>
        <w:pBdr>
          <w:top w:space="0" w:sz="0" w:val="nil"/>
          <w:left w:space="0" w:sz="0" w:val="nil"/>
          <w:bottom w:space="0" w:sz="0" w:val="nil"/>
          <w:right w:space="0" w:sz="0" w:val="nil"/>
          <w:between w:space="0" w:sz="0" w:val="nil"/>
        </w:pBdr>
        <w:jc w:val="both"/>
        <w:rPr>
          <w:rFonts w:ascii="Palatino Linotype" w:cs="Palatino Linotype" w:eastAsia="Palatino Linotype" w:hAnsi="Palatino Linotype"/>
          <w:color w:val="000000"/>
          <w:sz w:val="16"/>
          <w:szCs w:val="16"/>
        </w:rPr>
      </w:pPr>
      <w:r w:rsidDel="00000000" w:rsidR="00000000" w:rsidRPr="00000000">
        <w:rPr>
          <w:rStyle w:val="FootnoteReference"/>
          <w:vertAlign w:val="superscript"/>
        </w:rPr>
        <w:footnoteRef/>
      </w:r>
      <w:r w:rsidDel="00000000" w:rsidR="00000000" w:rsidRPr="00000000">
        <w:rPr>
          <w:rFonts w:ascii="Palatino Linotype" w:cs="Palatino Linotype" w:eastAsia="Palatino Linotype" w:hAnsi="Palatino Linotype"/>
          <w:color w:val="000000"/>
          <w:sz w:val="16"/>
          <w:szCs w:val="16"/>
          <w:rtl w:val="0"/>
        </w:rPr>
        <w:t xml:space="preserve"> Artículo 53. Las Unidades de Transparencia tendrán las siguientes funciones:</w:t>
      </w:r>
    </w:p>
    <w:p w:rsidR="00000000" w:rsidDel="00000000" w:rsidP="00000000" w:rsidRDefault="00000000" w:rsidRPr="00000000" w14:paraId="000000EC">
      <w:pPr>
        <w:pBdr>
          <w:top w:space="0" w:sz="0" w:val="nil"/>
          <w:left w:space="0" w:sz="0" w:val="nil"/>
          <w:bottom w:space="0" w:sz="0" w:val="nil"/>
          <w:right w:space="0" w:sz="0" w:val="nil"/>
          <w:between w:space="0" w:sz="0" w:val="nil"/>
        </w:pBdr>
        <w:jc w:val="both"/>
        <w:rPr>
          <w:rFonts w:ascii="Palatino Linotype" w:cs="Palatino Linotype" w:eastAsia="Palatino Linotype" w:hAnsi="Palatino Linotype"/>
          <w:color w:val="000000"/>
          <w:sz w:val="16"/>
          <w:szCs w:val="16"/>
        </w:rPr>
      </w:pPr>
      <w:r w:rsidDel="00000000" w:rsidR="00000000" w:rsidRPr="00000000">
        <w:rPr>
          <w:rFonts w:ascii="Palatino Linotype" w:cs="Palatino Linotype" w:eastAsia="Palatino Linotype" w:hAnsi="Palatino Linotype"/>
          <w:color w:val="000000"/>
          <w:sz w:val="16"/>
          <w:szCs w:val="16"/>
          <w:rtl w:val="0"/>
        </w:rPr>
        <w:t xml:space="preserve">X. Presentar ante el Comité, el proyecto de clasificación de información;</w:t>
      </w:r>
    </w:p>
  </w:footnote>
  <w:footnote w:id="4">
    <w:p w:rsidR="00000000" w:rsidDel="00000000" w:rsidP="00000000" w:rsidRDefault="00000000" w:rsidRPr="00000000" w14:paraId="000000ED">
      <w:pPr>
        <w:pBdr>
          <w:top w:space="0" w:sz="0" w:val="nil"/>
          <w:left w:space="0" w:sz="0" w:val="nil"/>
          <w:bottom w:space="0" w:sz="0" w:val="nil"/>
          <w:right w:space="0" w:sz="0" w:val="nil"/>
          <w:between w:space="0" w:sz="0" w:val="nil"/>
        </w:pBdr>
        <w:jc w:val="both"/>
        <w:rPr>
          <w:rFonts w:ascii="Palatino Linotype" w:cs="Palatino Linotype" w:eastAsia="Palatino Linotype" w:hAnsi="Palatino Linotype"/>
          <w:color w:val="000000"/>
          <w:sz w:val="16"/>
          <w:szCs w:val="16"/>
        </w:rPr>
      </w:pPr>
      <w:r w:rsidDel="00000000" w:rsidR="00000000" w:rsidRPr="00000000">
        <w:rPr>
          <w:rStyle w:val="FootnoteReference"/>
          <w:vertAlign w:val="superscript"/>
        </w:rPr>
        <w:footnoteRef/>
      </w:r>
      <w:r w:rsidDel="00000000" w:rsidR="00000000" w:rsidRPr="00000000">
        <w:rPr>
          <w:rFonts w:ascii="Palatino Linotype" w:cs="Palatino Linotype" w:eastAsia="Palatino Linotype" w:hAnsi="Palatino Linotype"/>
          <w:color w:val="000000"/>
          <w:sz w:val="16"/>
          <w:szCs w:val="16"/>
          <w:rtl w:val="0"/>
        </w:rPr>
        <w:t xml:space="preserve"> Artículo 49. Los Comités de Transparencia tendrán las siguientes atribuciones:</w:t>
      </w:r>
    </w:p>
    <w:p w:rsidR="00000000" w:rsidDel="00000000" w:rsidP="00000000" w:rsidRDefault="00000000" w:rsidRPr="00000000" w14:paraId="000000EE">
      <w:pPr>
        <w:pBdr>
          <w:top w:space="0" w:sz="0" w:val="nil"/>
          <w:left w:space="0" w:sz="0" w:val="nil"/>
          <w:bottom w:space="0" w:sz="0" w:val="nil"/>
          <w:right w:space="0" w:sz="0" w:val="nil"/>
          <w:between w:space="0" w:sz="0" w:val="nil"/>
        </w:pBdr>
        <w:jc w:val="both"/>
        <w:rPr>
          <w:rFonts w:ascii="Palatino Linotype" w:cs="Palatino Linotype" w:eastAsia="Palatino Linotype" w:hAnsi="Palatino Linotype"/>
          <w:color w:val="000000"/>
          <w:sz w:val="16"/>
          <w:szCs w:val="16"/>
        </w:rPr>
      </w:pPr>
      <w:r w:rsidDel="00000000" w:rsidR="00000000" w:rsidRPr="00000000">
        <w:rPr>
          <w:rFonts w:ascii="Palatino Linotype" w:cs="Palatino Linotype" w:eastAsia="Palatino Linotype" w:hAnsi="Palatino Linotype"/>
          <w:color w:val="000000"/>
          <w:sz w:val="16"/>
          <w:szCs w:val="16"/>
          <w:rtl w:val="0"/>
        </w:rPr>
        <w:t xml:space="preserve">II. Confirmar, modificar o revocar las determinaciones que en materia de ampliación del plazo de respuesta, clasificación de la información y declaración de inexistencia o de incompetencia realicen los titulares de las áreas de los sujetos obligados;</w:t>
      </w:r>
    </w:p>
    <w:p w:rsidR="00000000" w:rsidDel="00000000" w:rsidP="00000000" w:rsidRDefault="00000000" w:rsidRPr="00000000" w14:paraId="000000EF">
      <w:pPr>
        <w:pBdr>
          <w:top w:space="0" w:sz="0" w:val="nil"/>
          <w:left w:space="0" w:sz="0" w:val="nil"/>
          <w:bottom w:space="0" w:sz="0" w:val="nil"/>
          <w:right w:space="0" w:sz="0" w:val="nil"/>
          <w:between w:space="0" w:sz="0" w:val="nil"/>
        </w:pBdr>
        <w:jc w:val="both"/>
        <w:rPr>
          <w:rFonts w:ascii="Palatino Linotype" w:cs="Palatino Linotype" w:eastAsia="Palatino Linotype" w:hAnsi="Palatino Linotype"/>
          <w:color w:val="000000"/>
          <w:sz w:val="16"/>
          <w:szCs w:val="16"/>
        </w:rPr>
      </w:pPr>
      <w:r w:rsidDel="00000000" w:rsidR="00000000" w:rsidRPr="00000000">
        <w:rPr>
          <w:rFonts w:ascii="Palatino Linotype" w:cs="Palatino Linotype" w:eastAsia="Palatino Linotype" w:hAnsi="Palatino Linotype"/>
          <w:color w:val="000000"/>
          <w:sz w:val="16"/>
          <w:szCs w:val="16"/>
          <w:rtl w:val="0"/>
        </w:rPr>
        <w:t xml:space="preserve">VIII. Aprobar, modificar o revocar la clasificación de la información;</w:t>
      </w:r>
    </w:p>
  </w:footnote>
  <w:footnote w:id="5">
    <w:p w:rsidR="00000000" w:rsidDel="00000000" w:rsidP="00000000" w:rsidRDefault="00000000" w:rsidRPr="00000000" w14:paraId="000000F0">
      <w:pPr>
        <w:pBdr>
          <w:top w:space="0" w:sz="0" w:val="nil"/>
          <w:left w:space="0" w:sz="0" w:val="nil"/>
          <w:bottom w:space="0" w:sz="0" w:val="nil"/>
          <w:right w:space="0" w:sz="0" w:val="nil"/>
          <w:between w:space="0" w:sz="0" w:val="nil"/>
        </w:pBdr>
        <w:jc w:val="both"/>
        <w:rPr>
          <w:rFonts w:ascii="Palatino Linotype" w:cs="Palatino Linotype" w:eastAsia="Palatino Linotype" w:hAnsi="Palatino Linotype"/>
          <w:color w:val="000000"/>
          <w:sz w:val="16"/>
          <w:szCs w:val="16"/>
        </w:rPr>
      </w:pPr>
      <w:r w:rsidDel="00000000" w:rsidR="00000000" w:rsidRPr="00000000">
        <w:rPr>
          <w:rStyle w:val="FootnoteReference"/>
          <w:vertAlign w:val="superscript"/>
        </w:rPr>
        <w:footnoteRef/>
      </w:r>
      <w:r w:rsidDel="00000000" w:rsidR="00000000" w:rsidRPr="00000000">
        <w:rPr>
          <w:rFonts w:ascii="Palatino Linotype" w:cs="Palatino Linotype" w:eastAsia="Palatino Linotype" w:hAnsi="Palatino Linotype"/>
          <w:color w:val="000000"/>
          <w:sz w:val="16"/>
          <w:szCs w:val="16"/>
          <w:rtl w:val="0"/>
        </w:rPr>
        <w:t xml:space="preserve"> Publicados en el Diario Oficial de la Federación en fecha quince de abril del año dos mil dieciséis, mediante Acuerdo del Consejo Nacional del Sistema Nacional de Transparencia, Acceso a la Información Pública y Protección de Datos Personales.</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F1">
    <w:pPr>
      <w:widowControl w:val="0"/>
      <w:pBdr>
        <w:top w:space="0" w:sz="0" w:val="nil"/>
        <w:left w:space="0" w:sz="0" w:val="nil"/>
        <w:bottom w:space="0" w:sz="0" w:val="nil"/>
        <w:right w:space="0" w:sz="0" w:val="nil"/>
        <w:between w:space="0" w:sz="0" w:val="nil"/>
      </w:pBdr>
      <w:spacing w:line="276" w:lineRule="auto"/>
      <w:rPr>
        <w:rFonts w:ascii="Calibri" w:cs="Calibri" w:eastAsia="Calibri" w:hAnsi="Calibri"/>
        <w:color w:val="000000"/>
      </w:rPr>
    </w:pPr>
    <w:r w:rsidDel="00000000" w:rsidR="00000000" w:rsidRPr="00000000">
      <w:rPr>
        <w:rtl w:val="0"/>
      </w:rPr>
    </w:r>
  </w:p>
  <w:tbl>
    <w:tblPr>
      <w:tblStyle w:val="Table1"/>
      <w:tblW w:w="5528.0" w:type="dxa"/>
      <w:jc w:val="left"/>
      <w:tblInd w:w="3261.0" w:type="dxa"/>
      <w:tblLayout w:type="fixed"/>
      <w:tblLook w:val="0400"/>
    </w:tblPr>
    <w:tblGrid>
      <w:gridCol w:w="2552"/>
      <w:gridCol w:w="2976"/>
      <w:tblGridChange w:id="0">
        <w:tblGrid>
          <w:gridCol w:w="2552"/>
          <w:gridCol w:w="2976"/>
        </w:tblGrid>
      </w:tblGridChange>
    </w:tblGrid>
    <w:tr>
      <w:trPr>
        <w:cantSplit w:val="0"/>
        <w:tblHeader w:val="0"/>
      </w:trPr>
      <w:tc>
        <w:tcPr>
          <w:vAlign w:val="center"/>
        </w:tcPr>
        <w:p w:rsidR="00000000" w:rsidDel="00000000" w:rsidP="00000000" w:rsidRDefault="00000000" w:rsidRPr="00000000" w14:paraId="000000F2">
          <w:pPr>
            <w:rPr>
              <w:rFonts w:ascii="Palatino Linotype" w:cs="Palatino Linotype" w:eastAsia="Palatino Linotype" w:hAnsi="Palatino Linotype"/>
              <w:b w:val="1"/>
              <w:bCs w:val="1"/>
              <w:sz w:val="21"/>
              <w:szCs w:val="21"/>
            </w:rPr>
          </w:pPr>
          <w:r w:rsidDel="00000000" w:rsidR="00000000" w:rsidRPr="00000000">
            <w:rPr>
              <w:rFonts w:ascii="Palatino Linotype" w:cs="Palatino Linotype" w:eastAsia="Palatino Linotype" w:hAnsi="Palatino Linotype"/>
              <w:b w:val="1"/>
              <w:bCs w:val="1"/>
              <w:sz w:val="21"/>
              <w:szCs w:val="21"/>
              <w:rtl w:val="0"/>
            </w:rPr>
            <w:t xml:space="preserve">Recurso de Revisión:</w:t>
          </w:r>
        </w:p>
      </w:tc>
      <w:tc>
        <w:tcPr>
          <w:vAlign w:val="center"/>
        </w:tcPr>
        <w:p w:rsidR="00000000" w:rsidDel="00000000" w:rsidP="00000000" w:rsidRDefault="00000000" w:rsidRPr="00000000" w14:paraId="000000F3">
          <w:pPr>
            <w:jc w:val="both"/>
            <w:rPr>
              <w:rFonts w:ascii="Palatino Linotype" w:cs="Palatino Linotype" w:eastAsia="Palatino Linotype" w:hAnsi="Palatino Linotype"/>
              <w:b w:val="1"/>
              <w:bCs w:val="1"/>
              <w:sz w:val="21"/>
              <w:szCs w:val="21"/>
            </w:rPr>
          </w:pPr>
          <w:r w:rsidDel="00000000" w:rsidR="00000000" w:rsidRPr="00000000">
            <w:rPr>
              <w:rFonts w:ascii="Palatino Linotype" w:cs="Palatino Linotype" w:eastAsia="Palatino Linotype" w:hAnsi="Palatino Linotype"/>
              <w:b w:val="1"/>
              <w:bCs w:val="1"/>
              <w:sz w:val="21"/>
              <w:szCs w:val="21"/>
              <w:rtl w:val="0"/>
            </w:rPr>
            <w:t xml:space="preserve">14329/INFOEM/IP/RR/2025 </w:t>
          </w:r>
        </w:p>
      </w:tc>
    </w:tr>
    <w:tr>
      <w:trPr>
        <w:cantSplit w:val="0"/>
        <w:trHeight w:val="228" w:hRule="atLeast"/>
        <w:tblHeader w:val="0"/>
      </w:trPr>
      <w:tc>
        <w:tcPr>
          <w:shd w:fill="auto" w:val="clear"/>
          <w:vAlign w:val="center"/>
        </w:tcPr>
        <w:p w:rsidR="00000000" w:rsidDel="00000000" w:rsidP="00000000" w:rsidRDefault="00000000" w:rsidRPr="00000000" w14:paraId="000000F4">
          <w:pPr>
            <w:rPr>
              <w:rFonts w:ascii="Palatino Linotype" w:cs="Palatino Linotype" w:eastAsia="Palatino Linotype" w:hAnsi="Palatino Linotype"/>
              <w:b w:val="1"/>
              <w:bCs w:val="1"/>
              <w:sz w:val="21"/>
              <w:szCs w:val="21"/>
            </w:rPr>
          </w:pPr>
          <w:r w:rsidDel="00000000" w:rsidR="00000000" w:rsidRPr="00000000">
            <w:rPr>
              <w:rFonts w:ascii="Palatino Linotype" w:cs="Palatino Linotype" w:eastAsia="Palatino Linotype" w:hAnsi="Palatino Linotype"/>
              <w:b w:val="1"/>
              <w:bCs w:val="1"/>
              <w:sz w:val="21"/>
              <w:szCs w:val="21"/>
              <w:rtl w:val="0"/>
            </w:rPr>
            <w:t xml:space="preserve">Sujeto obligado:</w:t>
          </w:r>
        </w:p>
        <w:p w:rsidR="00000000" w:rsidDel="00000000" w:rsidP="00000000" w:rsidRDefault="00000000" w:rsidRPr="00000000" w14:paraId="000000F5">
          <w:pPr>
            <w:rPr>
              <w:rFonts w:ascii="Palatino Linotype" w:cs="Palatino Linotype" w:eastAsia="Palatino Linotype" w:hAnsi="Palatino Linotype"/>
              <w:b w:val="1"/>
              <w:bCs w:val="1"/>
              <w:sz w:val="21"/>
              <w:szCs w:val="21"/>
            </w:rPr>
          </w:pPr>
          <w:r w:rsidDel="00000000" w:rsidR="00000000" w:rsidRPr="00000000">
            <w:rPr>
              <w:rtl w:val="0"/>
            </w:rPr>
          </w:r>
        </w:p>
      </w:tc>
      <w:tc>
        <w:tcPr>
          <w:shd w:fill="auto" w:val="clear"/>
          <w:vAlign w:val="center"/>
        </w:tcPr>
        <w:p w:rsidR="00000000" w:rsidDel="00000000" w:rsidP="00000000" w:rsidRDefault="00000000" w:rsidRPr="00000000" w14:paraId="000000F6">
          <w:pPr>
            <w:jc w:val="both"/>
            <w:rPr>
              <w:rFonts w:ascii="Palatino Linotype" w:cs="Palatino Linotype" w:eastAsia="Palatino Linotype" w:hAnsi="Palatino Linotype"/>
              <w:b w:val="1"/>
              <w:bCs w:val="1"/>
              <w:sz w:val="21"/>
              <w:szCs w:val="21"/>
            </w:rPr>
          </w:pPr>
          <w:r w:rsidDel="00000000" w:rsidR="00000000" w:rsidRPr="00000000">
            <w:rPr>
              <w:rFonts w:ascii="Palatino Linotype" w:cs="Palatino Linotype" w:eastAsia="Palatino Linotype" w:hAnsi="Palatino Linotype"/>
              <w:b w:val="1"/>
              <w:bCs w:val="1"/>
              <w:sz w:val="21"/>
              <w:szCs w:val="21"/>
              <w:rtl w:val="0"/>
            </w:rPr>
            <w:t xml:space="preserve">Ayuntamiento de Tepotzotlán</w:t>
          </w:r>
        </w:p>
      </w:tc>
    </w:tr>
    <w:tr>
      <w:trPr>
        <w:cantSplit w:val="0"/>
        <w:tblHeader w:val="0"/>
      </w:trPr>
      <w:tc>
        <w:tcPr>
          <w:vAlign w:val="center"/>
        </w:tcPr>
        <w:p w:rsidR="00000000" w:rsidDel="00000000" w:rsidP="00000000" w:rsidRDefault="00000000" w:rsidRPr="00000000" w14:paraId="000000F7">
          <w:pPr>
            <w:rPr>
              <w:rFonts w:ascii="Palatino Linotype" w:cs="Palatino Linotype" w:eastAsia="Palatino Linotype" w:hAnsi="Palatino Linotype"/>
              <w:b w:val="1"/>
              <w:bCs w:val="1"/>
              <w:sz w:val="21"/>
              <w:szCs w:val="21"/>
            </w:rPr>
          </w:pPr>
          <w:r w:rsidDel="00000000" w:rsidR="00000000" w:rsidRPr="00000000">
            <w:rPr>
              <w:rFonts w:ascii="Palatino Linotype" w:cs="Palatino Linotype" w:eastAsia="Palatino Linotype" w:hAnsi="Palatino Linotype"/>
              <w:b w:val="1"/>
              <w:bCs w:val="1"/>
              <w:sz w:val="21"/>
              <w:szCs w:val="21"/>
              <w:rtl w:val="0"/>
            </w:rPr>
            <w:t xml:space="preserve">Comisionada ponente:</w:t>
          </w:r>
        </w:p>
      </w:tc>
      <w:tc>
        <w:tcPr>
          <w:vAlign w:val="center"/>
        </w:tcPr>
        <w:p w:rsidR="00000000" w:rsidDel="00000000" w:rsidP="00000000" w:rsidRDefault="00000000" w:rsidRPr="00000000" w14:paraId="000000F8">
          <w:pPr>
            <w:ind w:right="-533"/>
            <w:jc w:val="both"/>
            <w:rPr>
              <w:rFonts w:ascii="Palatino Linotype" w:cs="Palatino Linotype" w:eastAsia="Palatino Linotype" w:hAnsi="Palatino Linotype"/>
              <w:b w:val="1"/>
              <w:bCs w:val="1"/>
              <w:sz w:val="21"/>
              <w:szCs w:val="21"/>
            </w:rPr>
          </w:pPr>
          <w:r w:rsidDel="00000000" w:rsidR="00000000" w:rsidRPr="00000000">
            <w:rPr>
              <w:rFonts w:ascii="Palatino Linotype" w:cs="Palatino Linotype" w:eastAsia="Palatino Linotype" w:hAnsi="Palatino Linotype"/>
              <w:b w:val="1"/>
              <w:bCs w:val="1"/>
              <w:sz w:val="21"/>
              <w:szCs w:val="21"/>
              <w:rtl w:val="0"/>
            </w:rPr>
            <w:t xml:space="preserve">Guadalupe Ramírez Peña.</w:t>
          </w:r>
        </w:p>
      </w:tc>
    </w:tr>
  </w:tbl>
  <w:p w:rsidR="00000000" w:rsidDel="00000000" w:rsidP="00000000" w:rsidRDefault="00000000" w:rsidRPr="00000000" w14:paraId="000000F9">
    <w:pPr>
      <w:pBdr>
        <w:top w:space="0" w:sz="0" w:val="nil"/>
        <w:left w:space="0" w:sz="0" w:val="nil"/>
        <w:bottom w:space="0" w:sz="0" w:val="nil"/>
        <w:right w:space="0" w:sz="0" w:val="nil"/>
        <w:between w:space="0" w:sz="0" w:val="nil"/>
      </w:pBdr>
      <w:tabs>
        <w:tab w:val="center" w:leader="none" w:pos="4252"/>
        <w:tab w:val="right" w:leader="none" w:pos="8504"/>
        <w:tab w:val="left" w:leader="none" w:pos="2326"/>
      </w:tabs>
      <w:rPr>
        <w:rFonts w:ascii="Calibri" w:cs="Calibri" w:eastAsia="Calibri" w:hAnsi="Calibri"/>
        <w:color w:val="000000"/>
      </w:rPr>
    </w:pPr>
    <w:r w:rsidDel="00000000" w:rsidR="00000000" w:rsidRPr="00000000">
      <w:rPr>
        <w:rFonts w:ascii="Calibri" w:cs="Calibri" w:eastAsia="Calibri" w:hAnsi="Calibri"/>
        <w:color w:val="000000"/>
        <w:rtl w:val="0"/>
      </w:rPr>
      <w:tab/>
    </w:r>
    <w:r w:rsidDel="00000000" w:rsidR="00000000" w:rsidRPr="00000000">
      <w:drawing>
        <wp:anchor allowOverlap="1" behindDoc="1" distB="0" distT="0" distL="0" distR="0" hidden="0" layoutInCell="1" locked="0" relativeHeight="0" simplePos="0">
          <wp:simplePos x="0" y="0"/>
          <wp:positionH relativeFrom="column">
            <wp:posOffset>-689272</wp:posOffset>
          </wp:positionH>
          <wp:positionV relativeFrom="paragraph">
            <wp:posOffset>-1171011</wp:posOffset>
          </wp:positionV>
          <wp:extent cx="7635875" cy="9943465"/>
          <wp:effectExtent b="0" l="0" r="0" t="0"/>
          <wp:wrapNone/>
          <wp:docPr id="22" name="image2.jpg"/>
          <a:graphic>
            <a:graphicData uri="http://schemas.openxmlformats.org/drawingml/2006/picture">
              <pic:pic>
                <pic:nvPicPr>
                  <pic:cNvPr id="0" name="image2.jpg"/>
                  <pic:cNvPicPr preferRelativeResize="0"/>
                </pic:nvPicPr>
                <pic:blipFill>
                  <a:blip r:embed="rId1"/>
                  <a:srcRect b="0" l="0" r="0" t="0"/>
                  <a:stretch>
                    <a:fillRect/>
                  </a:stretch>
                </pic:blipFill>
                <pic:spPr>
                  <a:xfrm>
                    <a:off x="0" y="0"/>
                    <a:ext cx="7635875" cy="9943465"/>
                  </a:xfrm>
                  <a:prstGeom prst="rect"/>
                  <a:ln/>
                </pic:spPr>
              </pic:pic>
            </a:graphicData>
          </a:graphic>
        </wp:anchor>
      </w:drawing>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FA">
    <w:pPr>
      <w:pBdr>
        <w:top w:space="0" w:sz="0" w:val="nil"/>
        <w:left w:space="0" w:sz="0" w:val="nil"/>
        <w:bottom w:space="0" w:sz="0" w:val="nil"/>
        <w:right w:space="0" w:sz="0" w:val="nil"/>
        <w:between w:space="0" w:sz="0" w:val="nil"/>
      </w:pBdr>
      <w:tabs>
        <w:tab w:val="center" w:leader="none" w:pos="4252"/>
        <w:tab w:val="right" w:leader="none" w:pos="8504"/>
      </w:tabs>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                                  </w:t>
    </w:r>
  </w:p>
  <w:tbl>
    <w:tblPr>
      <w:tblStyle w:val="Table2"/>
      <w:tblW w:w="6238.0" w:type="dxa"/>
      <w:jc w:val="left"/>
      <w:tblInd w:w="3119.0" w:type="dxa"/>
      <w:tblLayout w:type="fixed"/>
      <w:tblLook w:val="0400"/>
    </w:tblPr>
    <w:tblGrid>
      <w:gridCol w:w="2551"/>
      <w:gridCol w:w="3687"/>
      <w:tblGridChange w:id="0">
        <w:tblGrid>
          <w:gridCol w:w="2551"/>
          <w:gridCol w:w="3687"/>
        </w:tblGrid>
      </w:tblGridChange>
    </w:tblGrid>
    <w:tr>
      <w:trPr>
        <w:cantSplit w:val="0"/>
        <w:tblHeader w:val="0"/>
      </w:trPr>
      <w:tc>
        <w:tcPr>
          <w:vAlign w:val="center"/>
        </w:tcPr>
        <w:p w:rsidR="00000000" w:rsidDel="00000000" w:rsidP="00000000" w:rsidRDefault="00000000" w:rsidRPr="00000000" w14:paraId="000000FB">
          <w:pPr>
            <w:rPr>
              <w:rFonts w:ascii="Palatino Linotype" w:cs="Palatino Linotype" w:eastAsia="Palatino Linotype" w:hAnsi="Palatino Linotype"/>
              <w:b w:val="1"/>
              <w:bCs w:val="1"/>
              <w:sz w:val="21"/>
              <w:szCs w:val="21"/>
            </w:rPr>
          </w:pPr>
          <w:r w:rsidDel="00000000" w:rsidR="00000000" w:rsidRPr="00000000">
            <w:rPr>
              <w:rFonts w:ascii="Palatino Linotype" w:cs="Palatino Linotype" w:eastAsia="Palatino Linotype" w:hAnsi="Palatino Linotype"/>
              <w:b w:val="1"/>
              <w:bCs w:val="1"/>
              <w:sz w:val="21"/>
              <w:szCs w:val="21"/>
              <w:rtl w:val="0"/>
            </w:rPr>
            <w:t xml:space="preserve">Recurso de Revisión:</w:t>
          </w:r>
        </w:p>
      </w:tc>
      <w:tc>
        <w:tcPr>
          <w:vAlign w:val="center"/>
        </w:tcPr>
        <w:p w:rsidR="00000000" w:rsidDel="00000000" w:rsidP="00000000" w:rsidRDefault="00000000" w:rsidRPr="00000000" w14:paraId="000000FC">
          <w:pPr>
            <w:jc w:val="both"/>
            <w:rPr>
              <w:rFonts w:ascii="Palatino Linotype" w:cs="Palatino Linotype" w:eastAsia="Palatino Linotype" w:hAnsi="Palatino Linotype"/>
              <w:b w:val="1"/>
              <w:bCs w:val="1"/>
              <w:sz w:val="21"/>
              <w:szCs w:val="21"/>
            </w:rPr>
          </w:pPr>
          <w:r w:rsidDel="00000000" w:rsidR="00000000" w:rsidRPr="00000000">
            <w:rPr>
              <w:rFonts w:ascii="Palatino Linotype" w:cs="Palatino Linotype" w:eastAsia="Palatino Linotype" w:hAnsi="Palatino Linotype"/>
              <w:b w:val="1"/>
              <w:bCs w:val="1"/>
              <w:sz w:val="21"/>
              <w:szCs w:val="21"/>
              <w:rtl w:val="0"/>
            </w:rPr>
            <w:t xml:space="preserve">14329/INFOEM/IP/RR/2025</w:t>
          </w:r>
        </w:p>
      </w:tc>
    </w:tr>
    <w:tr>
      <w:trPr>
        <w:cantSplit w:val="0"/>
        <w:tblHeader w:val="0"/>
      </w:trPr>
      <w:tc>
        <w:tcPr>
          <w:vAlign w:val="center"/>
        </w:tcPr>
        <w:p w:rsidR="00000000" w:rsidDel="00000000" w:rsidP="00000000" w:rsidRDefault="00000000" w:rsidRPr="00000000" w14:paraId="000000FD">
          <w:pPr>
            <w:ind w:left="35" w:hanging="35"/>
            <w:rPr>
              <w:rFonts w:ascii="Palatino Linotype" w:cs="Palatino Linotype" w:eastAsia="Palatino Linotype" w:hAnsi="Palatino Linotype"/>
              <w:b w:val="1"/>
              <w:bCs w:val="1"/>
              <w:sz w:val="21"/>
              <w:szCs w:val="21"/>
            </w:rPr>
          </w:pPr>
          <w:r w:rsidDel="00000000" w:rsidR="00000000" w:rsidRPr="00000000">
            <w:rPr>
              <w:rFonts w:ascii="Palatino Linotype" w:cs="Palatino Linotype" w:eastAsia="Palatino Linotype" w:hAnsi="Palatino Linotype"/>
              <w:b w:val="1"/>
              <w:bCs w:val="1"/>
              <w:sz w:val="21"/>
              <w:szCs w:val="21"/>
              <w:rtl w:val="0"/>
            </w:rPr>
            <w:t xml:space="preserve">Recurrente:</w:t>
          </w:r>
          <w:r w:rsidDel="00000000" w:rsidR="00000000" w:rsidRPr="00000000">
            <w:drawing>
              <wp:anchor allowOverlap="1" behindDoc="1" distB="0" distT="0" distL="0" distR="0" hidden="0" layoutInCell="1" locked="0" relativeHeight="0" simplePos="0">
                <wp:simplePos x="0" y="0"/>
                <wp:positionH relativeFrom="column">
                  <wp:posOffset>-2834004</wp:posOffset>
                </wp:positionH>
                <wp:positionV relativeFrom="paragraph">
                  <wp:posOffset>-479424</wp:posOffset>
                </wp:positionV>
                <wp:extent cx="7635875" cy="9943465"/>
                <wp:effectExtent b="0" l="0" r="0" t="0"/>
                <wp:wrapNone/>
                <wp:docPr id="20" name="image2.jpg"/>
                <a:graphic>
                  <a:graphicData uri="http://schemas.openxmlformats.org/drawingml/2006/picture">
                    <pic:pic>
                      <pic:nvPicPr>
                        <pic:cNvPr id="0" name="image2.jpg"/>
                        <pic:cNvPicPr preferRelativeResize="0"/>
                      </pic:nvPicPr>
                      <pic:blipFill>
                        <a:blip r:embed="rId1"/>
                        <a:srcRect b="0" l="0" r="0" t="0"/>
                        <a:stretch>
                          <a:fillRect/>
                        </a:stretch>
                      </pic:blipFill>
                      <pic:spPr>
                        <a:xfrm>
                          <a:off x="0" y="0"/>
                          <a:ext cx="7635875" cy="9943465"/>
                        </a:xfrm>
                        <a:prstGeom prst="rect"/>
                        <a:ln/>
                      </pic:spPr>
                    </pic:pic>
                  </a:graphicData>
                </a:graphic>
              </wp:anchor>
            </w:drawing>
          </w:r>
        </w:p>
      </w:tc>
      <w:tc>
        <w:tcPr>
          <w:vAlign w:val="center"/>
        </w:tcPr>
        <w:p w:rsidR="00000000" w:rsidDel="00000000" w:rsidP="00000000" w:rsidRDefault="00000000" w:rsidRPr="00000000" w14:paraId="000000FE">
          <w:pPr>
            <w:ind w:right="452"/>
            <w:jc w:val="both"/>
            <w:rPr>
              <w:rFonts w:ascii="Palatino Linotype" w:cs="Palatino Linotype" w:eastAsia="Palatino Linotype" w:hAnsi="Palatino Linotype"/>
              <w:b w:val="1"/>
              <w:bCs w:val="1"/>
              <w:sz w:val="21"/>
              <w:szCs w:val="21"/>
            </w:rPr>
          </w:pPr>
          <w:r w:rsidDel="00000000" w:rsidR="00000000" w:rsidRPr="00000000">
            <w:rPr>
              <w:rFonts w:ascii="Palatino Linotype" w:cs="Palatino Linotype" w:eastAsia="Palatino Linotype" w:hAnsi="Palatino Linotype"/>
              <w:b w:val="1"/>
              <w:bCs w:val="1"/>
              <w:sz w:val="21"/>
              <w:szCs w:val="21"/>
              <w:rtl w:val="0"/>
            </w:rPr>
            <w:t xml:space="preserve">XXXXXX XXXXXXX XXXXXXX</w:t>
          </w:r>
        </w:p>
      </w:tc>
    </w:tr>
    <w:tr>
      <w:trPr>
        <w:cantSplit w:val="0"/>
        <w:trHeight w:val="228" w:hRule="atLeast"/>
        <w:tblHeader w:val="0"/>
      </w:trPr>
      <w:tc>
        <w:tcPr>
          <w:vAlign w:val="center"/>
        </w:tcPr>
        <w:p w:rsidR="00000000" w:rsidDel="00000000" w:rsidP="00000000" w:rsidRDefault="00000000" w:rsidRPr="00000000" w14:paraId="000000FF">
          <w:pPr>
            <w:rPr>
              <w:rFonts w:ascii="Palatino Linotype" w:cs="Palatino Linotype" w:eastAsia="Palatino Linotype" w:hAnsi="Palatino Linotype"/>
              <w:b w:val="1"/>
              <w:bCs w:val="1"/>
              <w:sz w:val="21"/>
              <w:szCs w:val="21"/>
            </w:rPr>
          </w:pPr>
          <w:r w:rsidDel="00000000" w:rsidR="00000000" w:rsidRPr="00000000">
            <w:rPr>
              <w:rFonts w:ascii="Palatino Linotype" w:cs="Palatino Linotype" w:eastAsia="Palatino Linotype" w:hAnsi="Palatino Linotype"/>
              <w:b w:val="1"/>
              <w:bCs w:val="1"/>
              <w:sz w:val="21"/>
              <w:szCs w:val="21"/>
              <w:rtl w:val="0"/>
            </w:rPr>
            <w:t xml:space="preserve">Sujeto obligado:</w:t>
          </w:r>
        </w:p>
        <w:p w:rsidR="00000000" w:rsidDel="00000000" w:rsidP="00000000" w:rsidRDefault="00000000" w:rsidRPr="00000000" w14:paraId="00000100">
          <w:pPr>
            <w:rPr>
              <w:rFonts w:ascii="Palatino Linotype" w:cs="Palatino Linotype" w:eastAsia="Palatino Linotype" w:hAnsi="Palatino Linotype"/>
              <w:b w:val="1"/>
              <w:bCs w:val="1"/>
              <w:sz w:val="21"/>
              <w:szCs w:val="21"/>
            </w:rPr>
          </w:pPr>
          <w:r w:rsidDel="00000000" w:rsidR="00000000" w:rsidRPr="00000000">
            <w:rPr>
              <w:rtl w:val="0"/>
            </w:rPr>
          </w:r>
        </w:p>
      </w:tc>
      <w:tc>
        <w:tcPr>
          <w:vAlign w:val="center"/>
        </w:tcPr>
        <w:p w:rsidR="00000000" w:rsidDel="00000000" w:rsidP="00000000" w:rsidRDefault="00000000" w:rsidRPr="00000000" w14:paraId="00000101">
          <w:pPr>
            <w:ind w:right="452"/>
            <w:jc w:val="both"/>
            <w:rPr>
              <w:rFonts w:ascii="Palatino Linotype" w:cs="Palatino Linotype" w:eastAsia="Palatino Linotype" w:hAnsi="Palatino Linotype"/>
              <w:b w:val="1"/>
              <w:bCs w:val="1"/>
              <w:sz w:val="21"/>
              <w:szCs w:val="21"/>
            </w:rPr>
          </w:pPr>
          <w:r w:rsidDel="00000000" w:rsidR="00000000" w:rsidRPr="00000000">
            <w:rPr>
              <w:rFonts w:ascii="Palatino Linotype" w:cs="Palatino Linotype" w:eastAsia="Palatino Linotype" w:hAnsi="Palatino Linotype"/>
              <w:b w:val="1"/>
              <w:bCs w:val="1"/>
              <w:sz w:val="21"/>
              <w:szCs w:val="21"/>
              <w:rtl w:val="0"/>
            </w:rPr>
            <w:t xml:space="preserve">Ayuntamiento de Tepotzotlán</w:t>
          </w:r>
        </w:p>
      </w:tc>
    </w:tr>
    <w:tr>
      <w:trPr>
        <w:cantSplit w:val="0"/>
        <w:tblHeader w:val="0"/>
      </w:trPr>
      <w:tc>
        <w:tcPr>
          <w:vAlign w:val="center"/>
        </w:tcPr>
        <w:p w:rsidR="00000000" w:rsidDel="00000000" w:rsidP="00000000" w:rsidRDefault="00000000" w:rsidRPr="00000000" w14:paraId="00000102">
          <w:pPr>
            <w:rPr>
              <w:rFonts w:ascii="Palatino Linotype" w:cs="Palatino Linotype" w:eastAsia="Palatino Linotype" w:hAnsi="Palatino Linotype"/>
              <w:b w:val="1"/>
              <w:bCs w:val="1"/>
              <w:sz w:val="21"/>
              <w:szCs w:val="21"/>
            </w:rPr>
          </w:pPr>
          <w:r w:rsidDel="00000000" w:rsidR="00000000" w:rsidRPr="00000000">
            <w:rPr>
              <w:rFonts w:ascii="Palatino Linotype" w:cs="Palatino Linotype" w:eastAsia="Palatino Linotype" w:hAnsi="Palatino Linotype"/>
              <w:b w:val="1"/>
              <w:bCs w:val="1"/>
              <w:sz w:val="21"/>
              <w:szCs w:val="21"/>
              <w:rtl w:val="0"/>
            </w:rPr>
            <w:t xml:space="preserve">Comisionada ponente:</w:t>
          </w:r>
        </w:p>
      </w:tc>
      <w:tc>
        <w:tcPr>
          <w:vAlign w:val="center"/>
        </w:tcPr>
        <w:p w:rsidR="00000000" w:rsidDel="00000000" w:rsidP="00000000" w:rsidRDefault="00000000" w:rsidRPr="00000000" w14:paraId="00000103">
          <w:pPr>
            <w:ind w:right="-533"/>
            <w:jc w:val="both"/>
            <w:rPr>
              <w:rFonts w:ascii="Palatino Linotype" w:cs="Palatino Linotype" w:eastAsia="Palatino Linotype" w:hAnsi="Palatino Linotype"/>
              <w:b w:val="1"/>
              <w:bCs w:val="1"/>
              <w:sz w:val="21"/>
              <w:szCs w:val="21"/>
            </w:rPr>
          </w:pPr>
          <w:r w:rsidDel="00000000" w:rsidR="00000000" w:rsidRPr="00000000">
            <w:rPr>
              <w:rFonts w:ascii="Palatino Linotype" w:cs="Palatino Linotype" w:eastAsia="Palatino Linotype" w:hAnsi="Palatino Linotype"/>
              <w:b w:val="1"/>
              <w:bCs w:val="1"/>
              <w:sz w:val="21"/>
              <w:szCs w:val="21"/>
              <w:rtl w:val="0"/>
            </w:rPr>
            <w:t xml:space="preserve">Guadalupe Ramírez Peña</w:t>
          </w:r>
        </w:p>
      </w:tc>
    </w:tr>
  </w:tbl>
  <w:p w:rsidR="00000000" w:rsidDel="00000000" w:rsidP="00000000" w:rsidRDefault="00000000" w:rsidRPr="00000000" w14:paraId="00000104">
    <w:pPr>
      <w:pBdr>
        <w:top w:space="0" w:sz="0" w:val="nil"/>
        <w:left w:space="0" w:sz="0" w:val="nil"/>
        <w:bottom w:space="0" w:sz="0" w:val="nil"/>
        <w:right w:space="0" w:sz="0" w:val="nil"/>
        <w:between w:space="0" w:sz="0" w:val="nil"/>
      </w:pBdr>
      <w:tabs>
        <w:tab w:val="center" w:leader="none" w:pos="4252"/>
        <w:tab w:val="right" w:leader="none" w:pos="8504"/>
      </w:tabs>
      <w:rPr>
        <w:rFonts w:ascii="Calibri" w:cs="Calibri" w:eastAsia="Calibri" w:hAnsi="Calibri"/>
        <w:color w:val="000000"/>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05">
    <w:pPr>
      <w:pBdr>
        <w:top w:space="0" w:sz="0" w:val="nil"/>
        <w:left w:space="0" w:sz="0" w:val="nil"/>
        <w:bottom w:space="0" w:sz="0" w:val="nil"/>
        <w:right w:space="0" w:sz="0" w:val="nil"/>
        <w:between w:space="0" w:sz="0" w:val="nil"/>
      </w:pBdr>
      <w:tabs>
        <w:tab w:val="center" w:leader="none" w:pos="4252"/>
        <w:tab w:val="right" w:leader="none" w:pos="8504"/>
      </w:tabs>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                                  </w:t>
    </w:r>
  </w:p>
  <w:p w:rsidR="00000000" w:rsidDel="00000000" w:rsidP="00000000" w:rsidRDefault="00000000" w:rsidRPr="00000000" w14:paraId="00000106">
    <w:pPr>
      <w:pBdr>
        <w:top w:space="0" w:sz="0" w:val="nil"/>
        <w:left w:space="0" w:sz="0" w:val="nil"/>
        <w:bottom w:space="0" w:sz="0" w:val="nil"/>
        <w:right w:space="0" w:sz="0" w:val="nil"/>
        <w:between w:space="0" w:sz="0" w:val="nil"/>
      </w:pBdr>
      <w:tabs>
        <w:tab w:val="center" w:leader="none" w:pos="4252"/>
        <w:tab w:val="right" w:leader="none" w:pos="8504"/>
      </w:tabs>
      <w:rPr>
        <w:rFonts w:ascii="Calibri" w:cs="Calibri" w:eastAsia="Calibri" w:hAnsi="Calibri"/>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7"/>
      <w:numFmt w:val="upperRoman"/>
      <w:lvlText w:val="%1."/>
      <w:lvlJc w:val="left"/>
      <w:pPr>
        <w:ind w:left="1080" w:hanging="720"/>
      </w:pPr>
      <w:rPr>
        <w:b w:val="1"/>
        <w:bCs w:val="1"/>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
    <w:lvl w:ilvl="0">
      <w:start w:val="1"/>
      <w:numFmt w:val="upperRoman"/>
      <w:lvlText w:val="%1."/>
      <w:lvlJc w:val="left"/>
      <w:pPr>
        <w:ind w:left="1080" w:hanging="72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s"/>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120" w:before="480" w:lineRule="auto"/>
    </w:pPr>
    <w:rPr>
      <w:b w:val="1"/>
      <w:bCs w:val="1"/>
      <w:sz w:val="48"/>
      <w:szCs w:val="48"/>
    </w:rPr>
  </w:style>
  <w:style w:type="paragraph" w:styleId="Heading2">
    <w:name w:val="heading 2"/>
    <w:basedOn w:val="Normal"/>
    <w:next w:val="Normal"/>
    <w:pPr>
      <w:keepNext w:val="1"/>
      <w:keepLines w:val="1"/>
      <w:spacing w:after="80" w:before="360" w:lineRule="auto"/>
    </w:pPr>
    <w:rPr>
      <w:b w:val="1"/>
      <w:bCs w:val="1"/>
      <w:sz w:val="36"/>
      <w:szCs w:val="36"/>
    </w:rPr>
  </w:style>
  <w:style w:type="paragraph" w:styleId="Heading3">
    <w:name w:val="heading 3"/>
    <w:basedOn w:val="Normal"/>
    <w:next w:val="Normal"/>
    <w:pPr>
      <w:keepNext w:val="1"/>
      <w:keepLines w:val="1"/>
      <w:spacing w:after="80" w:before="280" w:lineRule="auto"/>
    </w:pPr>
    <w:rPr>
      <w:b w:val="1"/>
      <w:bCs w:val="1"/>
      <w:sz w:val="28"/>
      <w:szCs w:val="28"/>
    </w:rPr>
  </w:style>
  <w:style w:type="paragraph" w:styleId="Heading4">
    <w:name w:val="heading 4"/>
    <w:basedOn w:val="Normal"/>
    <w:next w:val="Normal"/>
    <w:pPr>
      <w:keepNext w:val="1"/>
      <w:keepLines w:val="1"/>
      <w:spacing w:after="40" w:before="240" w:lineRule="auto"/>
    </w:pPr>
    <w:rPr>
      <w:b w:val="1"/>
      <w:bCs w:val="1"/>
    </w:rPr>
  </w:style>
  <w:style w:type="paragraph" w:styleId="Heading5">
    <w:name w:val="heading 5"/>
    <w:basedOn w:val="Normal"/>
    <w:next w:val="Normal"/>
    <w:pPr>
      <w:keepNext w:val="1"/>
      <w:keepLines w:val="1"/>
      <w:spacing w:after="40" w:before="220" w:lineRule="auto"/>
    </w:pPr>
    <w:rPr>
      <w:b w:val="1"/>
      <w:bCs w:val="1"/>
      <w:sz w:val="22"/>
      <w:szCs w:val="22"/>
    </w:rPr>
  </w:style>
  <w:style w:type="paragraph" w:styleId="Heading6">
    <w:name w:val="heading 6"/>
    <w:basedOn w:val="Normal"/>
    <w:next w:val="Normal"/>
    <w:pPr>
      <w:keepNext w:val="1"/>
      <w:keepLines w:val="1"/>
      <w:spacing w:after="40" w:before="200" w:lineRule="auto"/>
    </w:pPr>
    <w:rPr>
      <w:b w:val="1"/>
      <w:bCs w:val="1"/>
      <w:sz w:val="20"/>
      <w:szCs w:val="20"/>
    </w:rPr>
  </w:style>
  <w:style w:type="paragraph" w:styleId="Title">
    <w:name w:val="Title"/>
    <w:basedOn w:val="Normal"/>
    <w:next w:val="Normal"/>
    <w:pPr>
      <w:keepNext w:val="1"/>
      <w:keepLines w:val="1"/>
      <w:spacing w:after="120" w:before="480" w:lineRule="auto"/>
    </w:pPr>
    <w:rPr>
      <w:b w:val="1"/>
      <w:bCs w:val="1"/>
      <w:sz w:val="72"/>
      <w:szCs w:val="72"/>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Normal"/>
    <w:tblPr>
      <w:tblCellMar>
        <w:top w:w="100.0" w:type="dxa"/>
        <w:left w:w="100.0" w:type="dxa"/>
        <w:bottom w:w="100.0" w:type="dxa"/>
        <w:right w:w="100.0" w:type="dxa"/>
      </w:tblCellMar>
    </w:tblPr>
  </w:style>
  <w:style w:type="table" w:styleId="TableNormal0" w:customStyle="1">
    <w:name w:val="Table Normal"/>
    <w:tblPr>
      <w:tblCellMar>
        <w:top w:w="0.0" w:type="dxa"/>
        <w:left w:w="0.0" w:type="dxa"/>
        <w:bottom w:w="0.0" w:type="dxa"/>
        <w:right w:w="0.0" w:type="dxa"/>
      </w:tblCellMar>
    </w:tblPr>
  </w:style>
  <w:style w:type="table" w:styleId="TableNormal1" w:customStyle="1">
    <w:name w:val="Table Normal"/>
    <w:tblPr>
      <w:tblCellMar>
        <w:top w:w="0.0" w:type="dxa"/>
        <w:left w:w="0.0" w:type="dxa"/>
        <w:bottom w:w="0.0" w:type="dxa"/>
        <w:right w:w="0.0" w:type="dxa"/>
      </w:tblCellMar>
    </w:tblPr>
  </w:style>
  <w:style w:type="table" w:styleId="TableNormal2" w:customStyle="1">
    <w:name w:val="Table Normal"/>
    <w:tblPr>
      <w:tblCellMar>
        <w:top w:w="0.0" w:type="dxa"/>
        <w:left w:w="0.0" w:type="dxa"/>
        <w:bottom w:w="0.0" w:type="dxa"/>
        <w:right w:w="0.0" w:type="dxa"/>
      </w:tblCellMar>
    </w:tblPr>
  </w:style>
  <w:style w:type="paragraph" w:styleId="Encabezado">
    <w:name w:val="header"/>
    <w:basedOn w:val="Normal"/>
    <w:link w:val="EncabezadoCar"/>
    <w:uiPriority w:val="99"/>
    <w:unhideWhenUsed w:val="1"/>
    <w:rsid w:val="00591A48"/>
    <w:pPr>
      <w:tabs>
        <w:tab w:val="center" w:pos="4252"/>
        <w:tab w:val="right" w:pos="8504"/>
      </w:tabs>
    </w:pPr>
    <w:rPr>
      <w:rFonts w:asciiTheme="minorHAnsi" w:cstheme="minorBidi" w:eastAsiaTheme="minorEastAsia" w:hAnsiTheme="minorHAnsi"/>
      <w:lang w:val="es-ES_tradnl"/>
    </w:rPr>
  </w:style>
  <w:style w:type="character" w:styleId="EncabezadoCar" w:customStyle="1">
    <w:name w:val="Encabezado Car"/>
    <w:basedOn w:val="Fuentedeprrafopredeter"/>
    <w:link w:val="Encabezado"/>
    <w:uiPriority w:val="99"/>
    <w:rsid w:val="00591A48"/>
    <w:rPr>
      <w:rFonts w:eastAsiaTheme="minorEastAsia"/>
      <w:sz w:val="24"/>
      <w:szCs w:val="24"/>
      <w:lang w:eastAsia="es-ES" w:val="es-ES_tradnl"/>
    </w:rPr>
  </w:style>
  <w:style w:type="paragraph" w:styleId="Piedepgina">
    <w:name w:val="footer"/>
    <w:basedOn w:val="Normal"/>
    <w:link w:val="PiedepginaCar"/>
    <w:uiPriority w:val="99"/>
    <w:unhideWhenUsed w:val="1"/>
    <w:rsid w:val="00591A48"/>
    <w:pPr>
      <w:tabs>
        <w:tab w:val="center" w:pos="4252"/>
        <w:tab w:val="right" w:pos="8504"/>
      </w:tabs>
    </w:pPr>
    <w:rPr>
      <w:rFonts w:asciiTheme="minorHAnsi" w:cstheme="minorBidi" w:eastAsiaTheme="minorEastAsia" w:hAnsiTheme="minorHAnsi"/>
      <w:lang w:val="es-ES_tradnl"/>
    </w:rPr>
  </w:style>
  <w:style w:type="character" w:styleId="PiedepginaCar" w:customStyle="1">
    <w:name w:val="Pie de página Car"/>
    <w:basedOn w:val="Fuentedeprrafopredeter"/>
    <w:link w:val="Piedepgina"/>
    <w:uiPriority w:val="99"/>
    <w:rsid w:val="00591A48"/>
    <w:rPr>
      <w:rFonts w:eastAsiaTheme="minorEastAsia"/>
      <w:sz w:val="24"/>
      <w:szCs w:val="24"/>
      <w:lang w:eastAsia="es-ES" w:val="es-ES_tradnl"/>
    </w:rPr>
  </w:style>
  <w:style w:type="character" w:styleId="PrrafodelistaCar" w:customStyle="1">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val="1"/>
    <w:locked w:val="1"/>
    <w:rsid w:val="00591A48"/>
    <w:rPr>
      <w:rFonts w:ascii="Times New Roman" w:cs="Times New Roman" w:eastAsia="Times New Roman" w:hAnsi="Times New Roman"/>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val="1"/>
    <w:rsid w:val="00591A48"/>
    <w:pPr>
      <w:ind w:left="708"/>
    </w:pPr>
    <w:rPr>
      <w:sz w:val="22"/>
      <w:szCs w:val="22"/>
      <w:lang w:eastAsia="en-US" w:val="es-MX"/>
    </w:rPr>
  </w:style>
  <w:style w:type="table" w:styleId="Tablaconcuadrcula">
    <w:name w:val="Table Grid"/>
    <w:basedOn w:val="Tablanormal"/>
    <w:uiPriority w:val="59"/>
    <w:rsid w:val="00591A48"/>
    <w:rPr>
      <w:rFonts w:eastAsiaTheme="minorEastAsia"/>
      <w:lang w:eastAsia="es-ES" w:val="es-ES_tradnl"/>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normaltextrun" w:customStyle="1">
    <w:name w:val="normaltextrun"/>
    <w:basedOn w:val="Fuentedeprrafopredeter"/>
    <w:rsid w:val="00591A48"/>
  </w:style>
  <w:style w:type="character" w:styleId="apple-converted-space" w:customStyle="1">
    <w:name w:val="apple-converted-space"/>
    <w:basedOn w:val="Fuentedeprrafopredeter"/>
    <w:rsid w:val="00591A48"/>
  </w:style>
  <w:style w:type="character" w:styleId="Hipervnculo">
    <w:name w:val="Hyperlink"/>
    <w:basedOn w:val="Fuentedeprrafopredeter"/>
    <w:uiPriority w:val="99"/>
    <w:unhideWhenUsed w:val="1"/>
    <w:rsid w:val="00591A48"/>
    <w:rPr>
      <w:color w:val="0000ff"/>
      <w:u w:val="single"/>
    </w:rPr>
  </w:style>
  <w:style w:type="paragraph" w:styleId="NormalWeb">
    <w:name w:val="Normal (Web)"/>
    <w:basedOn w:val="Normal"/>
    <w:uiPriority w:val="99"/>
    <w:unhideWhenUsed w:val="1"/>
    <w:rsid w:val="00591A48"/>
    <w:pPr>
      <w:spacing w:after="100" w:afterAutospacing="1" w:before="100" w:beforeAutospacing="1"/>
    </w:pPr>
    <w:rPr>
      <w:lang w:val="es-MX"/>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val="1"/>
    <w:qFormat w:val="1"/>
    <w:rsid w:val="00591A48"/>
    <w:rPr>
      <w:rFonts w:asciiTheme="minorHAnsi" w:cstheme="minorBidi" w:eastAsiaTheme="minorHAnsi" w:hAnsiTheme="minorHAnsi"/>
      <w:sz w:val="20"/>
      <w:szCs w:val="20"/>
      <w:lang w:eastAsia="en-US" w:val="es-MX"/>
    </w:rPr>
  </w:style>
  <w:style w:type="character" w:styleId="TextonotapieCar" w:customStyle="1">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qFormat w:val="1"/>
    <w:rsid w:val="00591A48"/>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nhideWhenUsed w:val="1"/>
    <w:qFormat w:val="1"/>
    <w:rsid w:val="00591A48"/>
    <w:rPr>
      <w:vertAlign w:val="superscript"/>
    </w:rPr>
  </w:style>
  <w:style w:type="character" w:styleId="Refdecomentario">
    <w:name w:val="annotation reference"/>
    <w:basedOn w:val="Fuentedeprrafopredeter"/>
    <w:uiPriority w:val="99"/>
    <w:semiHidden w:val="1"/>
    <w:unhideWhenUsed w:val="1"/>
    <w:rsid w:val="00D33422"/>
    <w:rPr>
      <w:sz w:val="16"/>
      <w:szCs w:val="16"/>
    </w:rPr>
  </w:style>
  <w:style w:type="paragraph" w:styleId="Textocomentario">
    <w:name w:val="annotation text"/>
    <w:basedOn w:val="Normal"/>
    <w:link w:val="TextocomentarioCar"/>
    <w:uiPriority w:val="99"/>
    <w:semiHidden w:val="1"/>
    <w:unhideWhenUsed w:val="1"/>
    <w:rsid w:val="00D33422"/>
    <w:rPr>
      <w:sz w:val="20"/>
      <w:szCs w:val="20"/>
    </w:rPr>
  </w:style>
  <w:style w:type="character" w:styleId="TextocomentarioCar" w:customStyle="1">
    <w:name w:val="Texto comentario Car"/>
    <w:basedOn w:val="Fuentedeprrafopredeter"/>
    <w:link w:val="Textocomentario"/>
    <w:uiPriority w:val="99"/>
    <w:semiHidden w:val="1"/>
    <w:rsid w:val="00D33422"/>
    <w:rPr>
      <w:rFonts w:ascii="Times New Roman" w:cs="Times New Roman" w:eastAsia="Times New Roman" w:hAnsi="Times New Roman"/>
      <w:sz w:val="20"/>
      <w:szCs w:val="20"/>
      <w:lang w:eastAsia="es-ES" w:val="es-ES"/>
    </w:rPr>
  </w:style>
  <w:style w:type="paragraph" w:styleId="Asuntodelcomentario">
    <w:name w:val="annotation subject"/>
    <w:basedOn w:val="Textocomentario"/>
    <w:next w:val="Textocomentario"/>
    <w:link w:val="AsuntodelcomentarioCar"/>
    <w:uiPriority w:val="99"/>
    <w:semiHidden w:val="1"/>
    <w:unhideWhenUsed w:val="1"/>
    <w:rsid w:val="00D33422"/>
    <w:rPr>
      <w:b w:val="1"/>
      <w:bCs w:val="1"/>
    </w:rPr>
  </w:style>
  <w:style w:type="character" w:styleId="AsuntodelcomentarioCar" w:customStyle="1">
    <w:name w:val="Asunto del comentario Car"/>
    <w:basedOn w:val="TextocomentarioCar"/>
    <w:link w:val="Asuntodelcomentario"/>
    <w:uiPriority w:val="99"/>
    <w:semiHidden w:val="1"/>
    <w:rsid w:val="00D33422"/>
    <w:rPr>
      <w:rFonts w:ascii="Times New Roman" w:cs="Times New Roman" w:eastAsia="Times New Roman" w:hAnsi="Times New Roman"/>
      <w:b w:val="1"/>
      <w:bCs w:val="1"/>
      <w:sz w:val="20"/>
      <w:szCs w:val="20"/>
      <w:lang w:eastAsia="es-ES" w:val="es-ES"/>
    </w:rPr>
  </w:style>
  <w:style w:type="paragraph" w:styleId="Textodeglobo">
    <w:name w:val="Balloon Text"/>
    <w:basedOn w:val="Normal"/>
    <w:link w:val="TextodegloboCar"/>
    <w:uiPriority w:val="99"/>
    <w:semiHidden w:val="1"/>
    <w:unhideWhenUsed w:val="1"/>
    <w:rsid w:val="00D33422"/>
    <w:rPr>
      <w:rFonts w:ascii="Segoe UI" w:cs="Segoe UI" w:hAnsi="Segoe UI"/>
      <w:sz w:val="18"/>
      <w:szCs w:val="18"/>
    </w:rPr>
  </w:style>
  <w:style w:type="character" w:styleId="TextodegloboCar" w:customStyle="1">
    <w:name w:val="Texto de globo Car"/>
    <w:basedOn w:val="Fuentedeprrafopredeter"/>
    <w:link w:val="Textodeglobo"/>
    <w:uiPriority w:val="99"/>
    <w:semiHidden w:val="1"/>
    <w:rsid w:val="00D33422"/>
    <w:rPr>
      <w:rFonts w:ascii="Segoe UI" w:cs="Segoe UI" w:eastAsia="Times New Roman" w:hAnsi="Segoe UI"/>
      <w:sz w:val="18"/>
      <w:szCs w:val="18"/>
      <w:lang w:eastAsia="es-ES" w:val="es-ES"/>
    </w:rPr>
  </w:style>
  <w:style w:type="paragraph" w:styleId="paragraph" w:customStyle="1">
    <w:name w:val="paragraph"/>
    <w:basedOn w:val="Normal"/>
    <w:rsid w:val="00225930"/>
    <w:pPr>
      <w:spacing w:after="100" w:afterAutospacing="1" w:before="100" w:beforeAutospacing="1"/>
    </w:pPr>
    <w:rPr>
      <w:lang w:val="es-MX"/>
    </w:rPr>
  </w:style>
  <w:style w:type="table" w:styleId="a" w:customStyle="1">
    <w:basedOn w:val="TableNormal2"/>
    <w:tblPr>
      <w:tblStyleRowBandSize w:val="1"/>
      <w:tblStyleColBandSize w:val="1"/>
      <w:tblCellMar>
        <w:left w:w="115.0" w:type="dxa"/>
        <w:right w:w="115.0" w:type="dxa"/>
      </w:tblCellMar>
    </w:tblPr>
  </w:style>
  <w:style w:type="table" w:styleId="a0" w:customStyle="1">
    <w:basedOn w:val="TableNormal2"/>
    <w:tblPr>
      <w:tblStyleRowBandSize w:val="1"/>
      <w:tblStyleColBandSize w:val="1"/>
      <w:tblCellMar>
        <w:left w:w="115.0" w:type="dxa"/>
        <w:right w:w="115.0" w:type="dxa"/>
      </w:tblCellMar>
    </w:tblPr>
  </w:style>
  <w:style w:type="table" w:styleId="a1" w:customStyle="1">
    <w:basedOn w:val="TableNormal2"/>
    <w:tblPr>
      <w:tblStyleRowBandSize w:val="1"/>
      <w:tblStyleColBandSize w:val="1"/>
      <w:tblCellMar>
        <w:left w:w="115.0" w:type="dxa"/>
        <w:right w:w="115.0" w:type="dxa"/>
      </w:tblCellMar>
    </w:tblPr>
  </w:style>
  <w:style w:type="table" w:styleId="a2" w:customStyle="1">
    <w:basedOn w:val="TableNormal2"/>
    <w:tblPr>
      <w:tblStyleRowBandSize w:val="1"/>
      <w:tblStyleColBandSize w:val="1"/>
      <w:tblCellMar>
        <w:left w:w="115.0" w:type="dxa"/>
        <w:right w:w="115.0" w:type="dxa"/>
      </w:tblCellMar>
    </w:tblPr>
  </w:style>
  <w:style w:type="paragraph" w:styleId="Textoindependiente">
    <w:name w:val="Body Text"/>
    <w:basedOn w:val="Normal"/>
    <w:link w:val="TextoindependienteCar"/>
    <w:uiPriority w:val="99"/>
    <w:unhideWhenUsed w:val="1"/>
    <w:rsid w:val="00AA0915"/>
    <w:pPr>
      <w:spacing w:after="120"/>
    </w:pPr>
  </w:style>
  <w:style w:type="character" w:styleId="TextoindependienteCar" w:customStyle="1">
    <w:name w:val="Texto independiente Car"/>
    <w:basedOn w:val="Fuentedeprrafopredeter"/>
    <w:link w:val="Textoindependiente"/>
    <w:uiPriority w:val="99"/>
    <w:rsid w:val="00AA0915"/>
  </w:style>
  <w:style w:type="table" w:styleId="a3" w:customStyle="1">
    <w:basedOn w:val="TableNormal1"/>
    <w:tblPr>
      <w:tblStyleRowBandSize w:val="1"/>
      <w:tblStyleColBandSize w:val="1"/>
      <w:tblCellMar>
        <w:left w:w="115.0" w:type="dxa"/>
        <w:right w:w="115.0" w:type="dxa"/>
      </w:tblCellMar>
    </w:tblPr>
  </w:style>
  <w:style w:type="table" w:styleId="a4" w:customStyle="1">
    <w:basedOn w:val="TableNormal1"/>
    <w:tblPr>
      <w:tblStyleRowBandSize w:val="1"/>
      <w:tblStyleColBandSize w:val="1"/>
      <w:tblCellMar>
        <w:left w:w="115.0" w:type="dxa"/>
        <w:right w:w="115.0" w:type="dxa"/>
      </w:tblCellMar>
    </w:tblPr>
  </w:style>
  <w:style w:type="table" w:styleId="a5" w:customStyle="1">
    <w:basedOn w:val="TableNormal1"/>
    <w:tblPr>
      <w:tblStyleRowBandSize w:val="1"/>
      <w:tblStyleColBandSize w:val="1"/>
      <w:tblCellMar>
        <w:left w:w="115.0" w:type="dxa"/>
        <w:right w:w="115.0" w:type="dxa"/>
      </w:tblCellMar>
    </w:tblPr>
  </w:style>
  <w:style w:type="paragraph" w:styleId="Sinespaciado">
    <w:name w:val="No Spacing"/>
    <w:aliases w:val="Francesa,INAI"/>
    <w:link w:val="SinespaciadoCar"/>
    <w:uiPriority w:val="1"/>
    <w:qFormat w:val="1"/>
    <w:rsid w:val="0085765F"/>
    <w:rPr>
      <w:lang w:eastAsia="es-ES" w:val="es-MX"/>
    </w:rPr>
  </w:style>
  <w:style w:type="character" w:styleId="SinespaciadoCar" w:customStyle="1">
    <w:name w:val="Sin espaciado Car"/>
    <w:aliases w:val="Francesa Car,INAI Car"/>
    <w:link w:val="Sinespaciado"/>
    <w:uiPriority w:val="1"/>
    <w:locked w:val="1"/>
    <w:rsid w:val="0085765F"/>
    <w:rPr>
      <w:lang w:eastAsia="es-ES" w:val="es-MX"/>
    </w:rPr>
  </w:style>
  <w:style w:type="table" w:styleId="a6" w:customStyle="1">
    <w:basedOn w:val="TableNormal0"/>
    <w:tblPr>
      <w:tblStyleRowBandSize w:val="1"/>
      <w:tblStyleColBandSize w:val="1"/>
      <w:tblCellMar>
        <w:left w:w="115.0" w:type="dxa"/>
        <w:right w:w="115.0" w:type="dxa"/>
      </w:tblCellMar>
    </w:tblPr>
  </w:style>
  <w:style w:type="table" w:styleId="a7" w:customStyle="1">
    <w:basedOn w:val="TableNormal0"/>
    <w:tblPr>
      <w:tblStyleRowBandSize w:val="1"/>
      <w:tblStyleColBandSize w:val="1"/>
      <w:tblCellMar>
        <w:left w:w="115.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footer" Target="footer1.xml"/><Relationship Id="rId10" Type="http://schemas.openxmlformats.org/officeDocument/2006/relationships/header" Target="header2.xml"/><Relationship Id="rId13" Type="http://schemas.openxmlformats.org/officeDocument/2006/relationships/header" Target="header3.xml"/><Relationship Id="rId12" Type="http://schemas.openxmlformats.org/officeDocument/2006/relationships/footer" Target="foot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1.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PalatinoLinotype-regular.ttf"/><Relationship Id="rId2" Type="http://schemas.openxmlformats.org/officeDocument/2006/relationships/font" Target="fonts/PalatinoLinotype-bold.ttf"/><Relationship Id="rId3" Type="http://schemas.openxmlformats.org/officeDocument/2006/relationships/font" Target="fonts/PalatinoLinotype-italic.ttf"/><Relationship Id="rId4" Type="http://schemas.openxmlformats.org/officeDocument/2006/relationships/font" Target="fonts/PalatinoLinotype-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SmP4wAVXGgMJqtDBsT84xqFEdJA==">CgMxLjAyCGguZ2pkZ3hzMg5oLnVmbGRsZzF6NWNxZTIJaC4zZHk2dmttMgloLjN6bnlzaDcyDmguaWJpaWU1MXNhd2w2MgloLjFmb2I5dGU4AHIhMXVfamJqeksyMnF6MzBaMmZzRHBFZlpIei1IbWJJaDBp</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2026-03-23T17:41:00Z</dcterms:created>
  <dc:creator>Usuario de Windows</dc:creator>
</cp:coreProperties>
</file>