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6FD" w:rsidRDefault="009636D3">
      <w:pPr>
        <w:tabs>
          <w:tab w:val="left" w:pos="0"/>
        </w:tabs>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rPr>
        <w:t>diez (10) de junio de dos mil veintiséis.</w:t>
      </w:r>
      <w:r>
        <w:rPr>
          <w:rFonts w:ascii="Palatino Linotype" w:eastAsia="Palatino Linotype" w:hAnsi="Palatino Linotype" w:cs="Palatino Linotype"/>
        </w:rPr>
        <w:t xml:space="preserve"> </w:t>
      </w:r>
    </w:p>
    <w:p w:rsidR="005A06FD" w:rsidRDefault="005A06FD">
      <w:pPr>
        <w:tabs>
          <w:tab w:val="left" w:pos="0"/>
        </w:tabs>
        <w:spacing w:line="360" w:lineRule="auto"/>
        <w:jc w:val="both"/>
        <w:rPr>
          <w:rFonts w:ascii="Palatino Linotype" w:eastAsia="Palatino Linotype" w:hAnsi="Palatino Linotype" w:cs="Palatino Linotype"/>
        </w:rPr>
      </w:pPr>
    </w:p>
    <w:p w:rsidR="005A06FD" w:rsidRDefault="009636D3">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VISTO</w:t>
      </w:r>
      <w:r>
        <w:rPr>
          <w:rFonts w:ascii="Palatino Linotype" w:eastAsia="Palatino Linotype" w:hAnsi="Palatino Linotype" w:cs="Palatino Linotype"/>
          <w:color w:val="000000"/>
        </w:rPr>
        <w:t xml:space="preserve"> el expediente electrónico formado con motivo del recurso de revisión </w:t>
      </w:r>
      <w:r>
        <w:rPr>
          <w:rFonts w:ascii="Palatino Linotype" w:eastAsia="Palatino Linotype" w:hAnsi="Palatino Linotype" w:cs="Palatino Linotype"/>
          <w:b/>
          <w:bCs/>
          <w:color w:val="000000"/>
        </w:rPr>
        <w:t xml:space="preserve">03308/INFOEM/IP/RR/2026, </w:t>
      </w:r>
      <w:r>
        <w:rPr>
          <w:rFonts w:ascii="Palatino Linotype" w:eastAsia="Palatino Linotype" w:hAnsi="Palatino Linotype" w:cs="Palatino Linotype"/>
          <w:color w:val="000000"/>
        </w:rPr>
        <w:t xml:space="preserve">promovido por </w:t>
      </w:r>
      <w:r w:rsidR="000519D5">
        <w:rPr>
          <w:rFonts w:ascii="Palatino Linotype" w:eastAsia="Palatino Linotype" w:hAnsi="Palatino Linotype" w:cs="Palatino Linotype"/>
          <w:b/>
          <w:bCs/>
          <w:color w:val="000000"/>
        </w:rPr>
        <w:t>XXXX</w:t>
      </w:r>
      <w:r>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en con</w:t>
      </w:r>
      <w:r w:rsidR="00566816">
        <w:rPr>
          <w:rFonts w:ascii="Palatino Linotype" w:eastAsia="Palatino Linotype" w:hAnsi="Palatino Linotype" w:cs="Palatino Linotype"/>
          <w:color w:val="000000"/>
        </w:rPr>
        <w:t>tra de la respuesta</w:t>
      </w:r>
      <w:r>
        <w:rPr>
          <w:rFonts w:ascii="Palatino Linotype" w:eastAsia="Palatino Linotype" w:hAnsi="Palatino Linotype" w:cs="Palatino Linotype"/>
          <w:color w:val="000000"/>
        </w:rPr>
        <w:t xml:space="preserve"> del </w:t>
      </w:r>
      <w:r>
        <w:rPr>
          <w:rFonts w:ascii="Palatino Linotype" w:eastAsia="Palatino Linotype" w:hAnsi="Palatino Linotype" w:cs="Palatino Linotype"/>
          <w:b/>
          <w:bCs/>
          <w:color w:val="000000"/>
        </w:rPr>
        <w:t>Ayuntamiento de Tultitlán</w:t>
      </w:r>
      <w:r>
        <w:rPr>
          <w:rFonts w:ascii="Palatino Linotype" w:eastAsia="Palatino Linotype" w:hAnsi="Palatino Linotype" w:cs="Palatino Linotype"/>
          <w:color w:val="000000"/>
        </w:rPr>
        <w:t xml:space="preserve">, en </w:t>
      </w:r>
      <w:r>
        <w:rPr>
          <w:rFonts w:ascii="Palatino Linotype" w:eastAsia="Palatino Linotype" w:hAnsi="Palatino Linotype" w:cs="Palatino Linotype"/>
        </w:rPr>
        <w:t xml:space="preserve">adelante </w:t>
      </w:r>
      <w:r>
        <w:rPr>
          <w:rFonts w:ascii="Palatino Linotype" w:eastAsia="Palatino Linotype" w:hAnsi="Palatino Linotype" w:cs="Palatino Linotype"/>
          <w:b/>
          <w:bCs/>
          <w:color w:val="000000"/>
        </w:rPr>
        <w:t>EL SUJETO OBLIGADO</w:t>
      </w:r>
      <w:r>
        <w:rPr>
          <w:rFonts w:ascii="Palatino Linotype" w:eastAsia="Palatino Linotype" w:hAnsi="Palatino Linotype" w:cs="Palatino Linotype"/>
          <w:color w:val="000000"/>
        </w:rPr>
        <w:t>, se procede a dictar la presente resolución, con base en los siguientes:</w:t>
      </w:r>
    </w:p>
    <w:p w:rsidR="005A06FD" w:rsidRDefault="005A06FD">
      <w:pPr>
        <w:spacing w:line="360" w:lineRule="auto"/>
        <w:jc w:val="both"/>
        <w:rPr>
          <w:rFonts w:ascii="Palatino Linotype" w:eastAsia="Palatino Linotype" w:hAnsi="Palatino Linotype" w:cs="Palatino Linotype"/>
        </w:rPr>
      </w:pPr>
    </w:p>
    <w:p w:rsidR="005A06FD" w:rsidRDefault="009636D3">
      <w:pPr>
        <w:keepNext/>
        <w:keepLines/>
        <w:tabs>
          <w:tab w:val="left" w:pos="0"/>
        </w:tabs>
        <w:spacing w:line="360" w:lineRule="auto"/>
        <w:jc w:val="center"/>
        <w:rPr>
          <w:rFonts w:ascii="Palatino Linotype" w:eastAsia="Palatino Linotype" w:hAnsi="Palatino Linotype" w:cs="Palatino Linotype"/>
          <w:b/>
          <w:bCs/>
        </w:rPr>
      </w:pPr>
      <w:bookmarkStart w:id="0" w:name="_heading=h.ul06o4p8onpm" w:colFirst="0" w:colLast="0"/>
      <w:bookmarkEnd w:id="0"/>
      <w:r>
        <w:rPr>
          <w:rFonts w:ascii="Palatino Linotype" w:eastAsia="Palatino Linotype" w:hAnsi="Palatino Linotype" w:cs="Palatino Linotype"/>
          <w:b/>
          <w:bCs/>
        </w:rPr>
        <w:t>A N T E C E D E N T E S</w:t>
      </w:r>
    </w:p>
    <w:p w:rsidR="005A06FD" w:rsidRDefault="005A06FD">
      <w:pPr>
        <w:keepNext/>
        <w:keepLines/>
        <w:tabs>
          <w:tab w:val="left" w:pos="0"/>
        </w:tabs>
        <w:spacing w:line="360" w:lineRule="auto"/>
        <w:jc w:val="center"/>
        <w:rPr>
          <w:rFonts w:ascii="Palatino Linotype" w:eastAsia="Palatino Linotype" w:hAnsi="Palatino Linotype" w:cs="Palatino Linotype"/>
          <w:b/>
          <w:bCs/>
        </w:rPr>
      </w:pPr>
    </w:p>
    <w:p w:rsidR="005A06FD" w:rsidRDefault="009636D3">
      <w:pPr>
        <w:numPr>
          <w:ilvl w:val="0"/>
          <w:numId w:val="1"/>
        </w:numPr>
        <w:tabs>
          <w:tab w:val="left" w:pos="0"/>
        </w:tabs>
        <w:spacing w:line="360" w:lineRule="auto"/>
        <w:ind w:left="0"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veintiséis de febrero de dos mil veintiséis</w:t>
      </w:r>
      <w:r>
        <w:rPr>
          <w:rFonts w:ascii="Palatino Linotype" w:eastAsia="Palatino Linotype" w:hAnsi="Palatino Linotype" w:cs="Palatino Linotype"/>
        </w:rPr>
        <w:t>, el</w:t>
      </w:r>
      <w:r>
        <w:rPr>
          <w:rFonts w:ascii="Palatino Linotype" w:eastAsia="Palatino Linotype" w:hAnsi="Palatino Linotype" w:cs="Palatino Linotype"/>
          <w:b/>
          <w:bCs/>
        </w:rPr>
        <w:t xml:space="preserve"> </w:t>
      </w:r>
      <w:r>
        <w:rPr>
          <w:rFonts w:ascii="Palatino Linotype" w:eastAsia="Palatino Linotype" w:hAnsi="Palatino Linotype" w:cs="Palatino Linotype"/>
        </w:rPr>
        <w:t>solicitante</w:t>
      </w:r>
      <w:r>
        <w:rPr>
          <w:rFonts w:ascii="Palatino Linotype" w:eastAsia="Palatino Linotype" w:hAnsi="Palatino Linotype" w:cs="Palatino Linotype"/>
          <w:b/>
          <w:bCs/>
        </w:rPr>
        <w:t xml:space="preserve"> </w:t>
      </w:r>
      <w:r>
        <w:rPr>
          <w:rFonts w:ascii="Palatino Linotype" w:eastAsia="Palatino Linotype" w:hAnsi="Palatino Linotype" w:cs="Palatino Linotype"/>
        </w:rPr>
        <w:t>presentó</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través del Sistema de Acceso a la Información Mexiquense (SAIMEX), la solicitud de información pública registrada con el número </w:t>
      </w:r>
      <w:r>
        <w:rPr>
          <w:rFonts w:ascii="Palatino Linotype" w:eastAsia="Palatino Linotype" w:hAnsi="Palatino Linotype" w:cs="Palatino Linotype"/>
          <w:b/>
          <w:bCs/>
        </w:rPr>
        <w:t>00033/TULTITLA/IP/2026</w:t>
      </w:r>
      <w:r>
        <w:rPr>
          <w:rFonts w:ascii="Palatino Linotype" w:eastAsia="Palatino Linotype" w:hAnsi="Palatino Linotype" w:cs="Palatino Linotype"/>
        </w:rPr>
        <w:t>, en la que se solicitó:</w:t>
      </w:r>
    </w:p>
    <w:p w:rsidR="005A06FD" w:rsidRDefault="005A06FD">
      <w:pPr>
        <w:pBdr>
          <w:top w:val="nil"/>
          <w:left w:val="nil"/>
          <w:bottom w:val="nil"/>
          <w:right w:val="nil"/>
          <w:between w:val="nil"/>
        </w:pBdr>
        <w:spacing w:line="360" w:lineRule="auto"/>
        <w:ind w:left="567" w:right="567"/>
        <w:jc w:val="both"/>
        <w:rPr>
          <w:rFonts w:ascii="Palatino Linotype" w:eastAsia="Palatino Linotype" w:hAnsi="Palatino Linotype" w:cs="Palatino Linotype"/>
          <w:b/>
          <w:bCs/>
          <w:i/>
          <w:iCs/>
          <w:color w:val="000000"/>
        </w:rPr>
      </w:pPr>
    </w:p>
    <w:p w:rsidR="005A06FD" w:rsidRDefault="00566816">
      <w:pPr>
        <w:pBdr>
          <w:top w:val="nil"/>
          <w:left w:val="nil"/>
          <w:bottom w:val="nil"/>
          <w:right w:val="nil"/>
          <w:between w:val="nil"/>
        </w:pBdr>
        <w:ind w:left="567" w:right="56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rPr>
        <w:t>00033/TULTITLA/IP/2026</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“Por medio de la presente, solicito una base de datos (en formato abierto como xls o cvs.) con la siguiente información de incidencia delictiva o reporte de incidentes, eventos o cualquier registro o documento con el que cuente el sujeto obligado que contenga la siguiente información: TIPO DE INCIDENTE O EVENTO (es decir hechos presuntamente constitutivos de delito y/o falta administrativa, o situación reportada, cualquiera que esta sea, especificando si el hecho fue con o sin violencia) HORA DEL INCIDENTE O EVENTO FECHA ( dd/mm/aaaa) DEL INCIDENTE O EVENTO LUGAR DEL INCIDENTE O EVENTO UBICACIÓN DEL INCIDENTE O EVENTO LAS COORDENADAS GEOGRÁFICAS DEL INCIDENTE O EVENTO. ESTABLECIDAS EN LA SECCIÓN “LUGAR DE LA INTERVENCIÓN” DEL INFORME POLICIAL HOMOLOGADO </w:t>
      </w:r>
      <w:r>
        <w:rPr>
          <w:rFonts w:ascii="Palatino Linotype" w:eastAsia="Palatino Linotype" w:hAnsi="Palatino Linotype" w:cs="Palatino Linotype"/>
          <w:i/>
          <w:iCs/>
          <w:color w:val="000000"/>
        </w:rPr>
        <w:lastRenderedPageBreak/>
        <w:t xml:space="preserve">PARA 1) HECHOS PROBABLEMENTE DELICTIVOS O PARA 2) JUSTICIA CÍVICA SEGÚN CORRESPONDA AL TIPO DE INCIDENTE. Solicito explícitamente que la información se encuentre desglosada y particularizada por tipo de incidente, por lo que cada uno debe contener su hora, fecha, lugar, ubicación y coordenadas geográficas que le corresponde. Requiero se proporcione la información correspondiente al periodo del 1/9/25 Me permito mencionar que aun cuando existe información pública relacionada a la de mi solicitud en la página e información que se proporciona por el Secretariado Ejecutivo Del Sistema Nacional De Seguridad Pública, la contenida en la misma no se encuentra desglosada con el detalle con la que un servidor está solicitando, principalmente por lo que se refiere a la georreferencia y coordenada del incidente o evento. Por lo que solicito que verifiquen en sus bases de datos la información solicitada y me sea proporcionada en el formato solicitado. La información que solicito no puede ser considerada información confidencial, en virtud de que en la presente solicitud no se requieren nombres, domicilios ni otros datos personales, por lo que no procede la causal de confidencialidad. Incluso si algún registro contuviera datos personales de manera incidental, el sujeto obligado debe, conforme al artículo 120 de la Ley General de Transparencia y Acceso a la Información Pública (LGTAIP), entregar la información en versión pública, testando las partes confidenciales y proporcionando el resto de la información. Asimismo, la información solicitada tampoco puede clasificarse como reservada, pues no encuadra en las causales previstas en el artículo 112 de la LGTAIP ni supera la estricta prueba de daño que exige su artículo 107. Para reservarla, la autoridad tendría que demostrar que su divulgación genera un riesgo real, demostrable e identificable de perjuicio significativo, que dicho riesgo es mayor al interés público en conocerla, y además probar que no existe un medio menos restrictivo y que la medida es proporcional. Este no es el caso: los datos estadísticos y georreferenciados de incidencias delictivas no comprometen investigaciones ni la seguridad pública. Como prueba de lo anterior, mencionó que múltiples sujetos obligados ya publican información semejante sin afectar sus funciones, como lo demuestra la Plataforma de Seguridad del estado de Jalisco (https://iieg.gob.mx/plataforma_seguridad/#/plataforma) y las instancias de seguridad de la Ciudad de México (https://datos.cdmx.gob.mx/dataset/?groups=justicia-y-seguridad). En conclusión, la LGTAIP respalda plenamente la entrega de la información solicitada. Al no contener datos personales ni encuadrar en causales de reserva, la información debe proporcionarse en los términos requeridos, aplicando en su caso la figura de versión pública para conciliar el derecho de acceso a la información con la protección de datos estrictamente confidenciales. Previamente realicé una Solicitud de Acceso a la Información similar a este Sujeto Obligado donde me entregó la información solicitada. Por lo anterior, únicamente estoy solicitando una actualización a la información previamente compartida. Los datos de </w:t>
      </w:r>
      <w:r>
        <w:rPr>
          <w:rFonts w:ascii="Palatino Linotype" w:eastAsia="Palatino Linotype" w:hAnsi="Palatino Linotype" w:cs="Palatino Linotype"/>
          <w:i/>
          <w:iCs/>
          <w:color w:val="000000"/>
        </w:rPr>
        <w:lastRenderedPageBreak/>
        <w:t>la solicitud previa son los siguientes: Sujeto Obligado: Tultitlán No de folio PNT: 00278/TULTITLA/IP/2025 Fecha de Solicitud: 8/10/25”. (Sic.)</w:t>
      </w:r>
    </w:p>
    <w:p w:rsidR="005A06FD" w:rsidRDefault="005A06FD">
      <w:pPr>
        <w:pBdr>
          <w:top w:val="nil"/>
          <w:left w:val="nil"/>
          <w:bottom w:val="nil"/>
          <w:right w:val="nil"/>
          <w:between w:val="nil"/>
        </w:pBdr>
        <w:spacing w:line="360" w:lineRule="auto"/>
        <w:ind w:left="567" w:right="567"/>
        <w:jc w:val="both"/>
        <w:rPr>
          <w:rFonts w:ascii="Palatino Linotype" w:eastAsia="Palatino Linotype" w:hAnsi="Palatino Linotype" w:cs="Palatino Linotype"/>
          <w:i/>
          <w:iCs/>
          <w:color w:val="000000"/>
        </w:rPr>
      </w:pPr>
    </w:p>
    <w:p w:rsidR="005A06FD" w:rsidRDefault="009636D3">
      <w:pPr>
        <w:numPr>
          <w:ilvl w:val="0"/>
          <w:numId w:val="1"/>
        </w:numPr>
        <w:pBdr>
          <w:top w:val="nil"/>
          <w:left w:val="nil"/>
          <w:bottom w:val="nil"/>
          <w:right w:val="nil"/>
          <w:between w:val="nil"/>
        </w:pBdr>
        <w:spacing w:line="360" w:lineRule="auto"/>
        <w:ind w:left="0" w:firstLine="0"/>
        <w:jc w:val="both"/>
        <w:rPr>
          <w:color w:val="000000"/>
        </w:rPr>
      </w:pPr>
      <w:r>
        <w:rPr>
          <w:rFonts w:ascii="Palatino Linotype" w:eastAsia="Palatino Linotype" w:hAnsi="Palatino Linotype" w:cs="Palatino Linotype"/>
          <w:color w:val="000000"/>
        </w:rPr>
        <w:t>Se hace constar que se señaló como modalidad de entrega de la información a través de SAIMEX.</w:t>
      </w:r>
    </w:p>
    <w:p w:rsidR="005A06FD" w:rsidRDefault="005A06FD">
      <w:pPr>
        <w:spacing w:line="360" w:lineRule="auto"/>
        <w:rPr>
          <w:rFonts w:ascii="Palatino Linotype" w:eastAsia="Palatino Linotype" w:hAnsi="Palatino Linotype" w:cs="Palatino Linotype"/>
        </w:rPr>
      </w:pPr>
    </w:p>
    <w:p w:rsidR="005A06FD" w:rsidRDefault="009636D3">
      <w:pPr>
        <w:numPr>
          <w:ilvl w:val="0"/>
          <w:numId w:val="1"/>
        </w:numPr>
        <w:tabs>
          <w:tab w:val="left" w:pos="0"/>
        </w:tabs>
        <w:spacing w:line="360" w:lineRule="auto"/>
        <w:ind w:left="0" w:right="34"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doce de marzo de dos mil veintiséis</w:t>
      </w:r>
      <w:r>
        <w:rPr>
          <w:rFonts w:ascii="Palatino Linotype" w:eastAsia="Palatino Linotype" w:hAnsi="Palatino Linotype" w:cs="Palatino Linotype"/>
        </w:rPr>
        <w:t>, el Sujeto Obligado dio respuesta a la solicitud de información en el mismo sentido:</w:t>
      </w:r>
    </w:p>
    <w:p w:rsidR="005A06FD" w:rsidRDefault="009636D3">
      <w:pPr>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5A06FD" w:rsidRDefault="005A06FD">
      <w:pPr>
        <w:ind w:left="567" w:right="567"/>
        <w:jc w:val="both"/>
        <w:rPr>
          <w:rFonts w:ascii="Palatino Linotype" w:eastAsia="Palatino Linotype" w:hAnsi="Palatino Linotype" w:cs="Palatino Linotype"/>
          <w:i/>
          <w:iCs/>
        </w:rPr>
      </w:pPr>
    </w:p>
    <w:p w:rsidR="005A06FD" w:rsidRDefault="009636D3">
      <w:pPr>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rPr>
        <w:t>POR ESTE MEDIO RECIBA UN CORDIAL SALUDO AL TIEMPO QUE OFREZCO RESPUESTA A SU SOLICITUD DE INFORMACIÓN INGRESADA POR MEDIO DE ESTA PLATAFORMA DE ACCESO A LA INFORMACIÓN MEXIQUENSE (SAIMEX) CON EL FOLIO 00033/TULTITLA/IP/2026 CON ATENCIÓN DE LA DIRECCIÓN DE SEGURIDAD CIUDADANA Y VIALIDAD (SOPORTE DOCUMENTAL ANEXO A LA PRESENTE). SIN MÁS POR EL MOMENTO QUEDO A SUS ORDENES EN EL TELEFONO 26208900 EXTENSIÓN 1106. (Sic)</w:t>
      </w:r>
    </w:p>
    <w:p w:rsidR="005A06FD" w:rsidRDefault="005A06FD">
      <w:pPr>
        <w:tabs>
          <w:tab w:val="left" w:pos="0"/>
        </w:tabs>
        <w:spacing w:line="360" w:lineRule="auto"/>
        <w:ind w:right="34"/>
        <w:jc w:val="both"/>
        <w:rPr>
          <w:rFonts w:ascii="Palatino Linotype" w:eastAsia="Palatino Linotype" w:hAnsi="Palatino Linotype" w:cs="Palatino Linotype"/>
        </w:rPr>
      </w:pPr>
      <w:bookmarkStart w:id="1" w:name="_heading=h.7r1yhof5lel5" w:colFirst="0" w:colLast="0"/>
      <w:bookmarkEnd w:id="1"/>
    </w:p>
    <w:p w:rsidR="005A06FD" w:rsidRDefault="009636D3">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Se adjuntó el archivo electrónico denominado </w:t>
      </w:r>
      <w:hyperlink r:id="rId8">
        <w:r>
          <w:rPr>
            <w:rFonts w:ascii="Palatino Linotype" w:eastAsia="Palatino Linotype" w:hAnsi="Palatino Linotype" w:cs="Palatino Linotype"/>
            <w:b/>
            <w:bCs/>
            <w:color w:val="000000"/>
          </w:rPr>
          <w:t xml:space="preserve">SOL.0033 SEG. </w:t>
        </w:r>
      </w:hyperlink>
      <w:hyperlink r:id="rId9">
        <w:r>
          <w:rPr>
            <w:rFonts w:ascii="Palatino Linotype" w:eastAsia="Palatino Linotype" w:hAnsi="Palatino Linotype" w:cs="Palatino Linotype"/>
            <w:b/>
            <w:bCs/>
            <w:color w:val="000000"/>
          </w:rPr>
          <w:t>CIUD</w:t>
        </w:r>
      </w:hyperlink>
      <w:hyperlink r:id="rId10">
        <w:r>
          <w:rPr>
            <w:rFonts w:ascii="Palatino Linotype" w:eastAsia="Palatino Linotype" w:hAnsi="Palatino Linotype" w:cs="Palatino Linotype"/>
            <w:b/>
            <w:bCs/>
            <w:color w:val="000000"/>
          </w:rPr>
          <w:t>. Y VIALIDAD.pdf</w:t>
        </w:r>
      </w:hyperlink>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del cual se advierten los siguientes oficios:</w:t>
      </w:r>
      <w:r>
        <w:rPr>
          <w:rFonts w:ascii="Palatino Linotype" w:eastAsia="Palatino Linotype" w:hAnsi="Palatino Linotype" w:cs="Palatino Linotype"/>
          <w:b/>
          <w:bCs/>
          <w:color w:val="000000"/>
        </w:rPr>
        <w:t xml:space="preserve"> </w:t>
      </w:r>
    </w:p>
    <w:p w:rsidR="005A06FD" w:rsidRDefault="009636D3">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Oficio DSCYV/CCJ/1667/2026 de fecha cuatro de marzo de dos mil veintiséis, signado por la Coordinadora de Control Jurídico de la Dirección de Seguridad Ciudadana y Vialidad; así como, por el Director de Seguridad Ciudadana y Vialidad, a través del cual informan que la información fue requerida al Jefe del Departamento de Plataforma México por ser el área que cuenta con la posesión de información, autoridad que brindó respuesta a través del oficio DSCYV/UMCC/1317/2026, a través del cual refiere que su función es informar a la </w:t>
      </w:r>
      <w:r>
        <w:rPr>
          <w:rFonts w:ascii="Palatino Linotype" w:eastAsia="Palatino Linotype" w:hAnsi="Palatino Linotype" w:cs="Palatino Linotype"/>
        </w:rPr>
        <w:lastRenderedPageBreak/>
        <w:t>Secretaría</w:t>
      </w:r>
      <w:r>
        <w:rPr>
          <w:rFonts w:ascii="Palatino Linotype" w:eastAsia="Palatino Linotype" w:hAnsi="Palatino Linotype" w:cs="Palatino Linotype"/>
          <w:color w:val="000000"/>
        </w:rPr>
        <w:t xml:space="preserve"> Ejecutiva del Sistema Nacional de Seguridad Pública sobre las detenciones y eventos relevantes, sin embargo dicha Unidad no cuenta con el acceso técnico ni con las atribuciones administrativas para descargar el procedimiento de base de datos o la generación de reportes estadísticos de la información capturada, sugiriendo que la información requerida sea gestionada al Secretariado ejecutivo o del Sistema Estatal de Seguridad Pública, a través de la Dirección General del Centro de información y Estadística, toda vez que la autoridad que cuenta con las herramientas para la entrega de base de datos.</w:t>
      </w:r>
    </w:p>
    <w:p w:rsidR="005A06FD" w:rsidRDefault="005A06FD">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5A06FD" w:rsidRDefault="009636D3">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Oficio DSCYV/CCJ/MEDM/1317/2026 con fecha tres de marzo de dos mil veintiséis, documento que no fue digitalizado de manera correcta, toda vez que se encuentra incompleta.</w:t>
      </w:r>
    </w:p>
    <w:p w:rsidR="005A06FD" w:rsidRDefault="005A06FD">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5A06FD" w:rsidRDefault="009636D3">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Oficio DSCyV/UMCC/024/2026 de fecha tres de marzo de dos mil veintiséis, signado por el Jefe de Unidad de Mando, Comando y Comunicación, por medio del cual informa que a pesar de que esa Unidad Administrativa es la encargada de la captura de información en la Plataforma México, cumpliendo con la obligación de informar a la Secretaría Ejecutiva del Sistema Nacional de Seguridad Pública sobre las detenciones y eventos relevantes, dicha información se limita estrictamente al ingreso de datos de manera individual y cronológica; por tanto esa Unidad no cuenta con el acceso técnico, ni con las atribuciones administrativas para realizar la descarga, procedimiento de base de datos o la generación de reportes estadísticos ya que los datos se quedan bajo resguardo de las instancias federales y estatales </w:t>
      </w:r>
      <w:r>
        <w:rPr>
          <w:rFonts w:ascii="Palatino Linotype" w:eastAsia="Palatino Linotype" w:hAnsi="Palatino Linotype" w:cs="Palatino Linotype"/>
          <w:color w:val="000000"/>
        </w:rPr>
        <w:lastRenderedPageBreak/>
        <w:t>correspondientes, situación por la que quedan imposibilitados de entregar la información en los términos requeridos.</w:t>
      </w:r>
    </w:p>
    <w:p w:rsidR="005A06FD" w:rsidRDefault="005A06FD">
      <w:pPr>
        <w:pBdr>
          <w:top w:val="nil"/>
          <w:left w:val="nil"/>
          <w:bottom w:val="nil"/>
          <w:right w:val="nil"/>
          <w:between w:val="nil"/>
        </w:pBdr>
        <w:spacing w:line="360" w:lineRule="auto"/>
        <w:ind w:left="720"/>
        <w:rPr>
          <w:rFonts w:ascii="Palatino Linotype" w:eastAsia="Palatino Linotype" w:hAnsi="Palatino Linotype" w:cs="Palatino Linotype"/>
          <w:b/>
          <w:bCs/>
          <w:color w:val="000000"/>
        </w:rPr>
      </w:pPr>
    </w:p>
    <w:p w:rsidR="005A06FD" w:rsidRDefault="009636D3">
      <w:pPr>
        <w:numPr>
          <w:ilvl w:val="0"/>
          <w:numId w:val="1"/>
        </w:numPr>
        <w:pBdr>
          <w:top w:val="nil"/>
          <w:left w:val="nil"/>
          <w:bottom w:val="nil"/>
          <w:right w:val="nil"/>
          <w:between w:val="nil"/>
        </w:pBdr>
        <w:spacing w:line="360" w:lineRule="auto"/>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diecisiete de marzo de dos mil veintiséis</w:t>
      </w:r>
      <w:r>
        <w:rPr>
          <w:rFonts w:ascii="Palatino Linotype" w:eastAsia="Palatino Linotype" w:hAnsi="Palatino Linotype" w:cs="Palatino Linotype"/>
          <w:color w:val="000000"/>
        </w:rPr>
        <w:t xml:space="preserve">, el solicitante interpuso recurso de revisión en la solicitud de información </w:t>
      </w:r>
      <w:r>
        <w:rPr>
          <w:rFonts w:ascii="Palatino Linotype" w:eastAsia="Palatino Linotype" w:hAnsi="Palatino Linotype" w:cs="Palatino Linotype"/>
          <w:b/>
          <w:bCs/>
          <w:color w:val="000000"/>
        </w:rPr>
        <w:t xml:space="preserve">00033/TULTITLA/IP/2026 </w:t>
      </w:r>
      <w:r>
        <w:rPr>
          <w:rFonts w:ascii="Palatino Linotype" w:eastAsia="Palatino Linotype" w:hAnsi="Palatino Linotype" w:cs="Palatino Linotype"/>
          <w:color w:val="000000"/>
        </w:rPr>
        <w:t xml:space="preserve">en contra de la respuesta emitida 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señalando las siguientes razones o motivos de inconformidad:</w:t>
      </w:r>
    </w:p>
    <w:p w:rsidR="005A06FD" w:rsidRDefault="005A06FD">
      <w:pPr>
        <w:pBdr>
          <w:top w:val="nil"/>
          <w:left w:val="nil"/>
          <w:bottom w:val="nil"/>
          <w:right w:val="nil"/>
          <w:between w:val="nil"/>
        </w:pBdr>
        <w:spacing w:line="360" w:lineRule="auto"/>
        <w:ind w:left="360"/>
        <w:jc w:val="both"/>
        <w:rPr>
          <w:rFonts w:ascii="Palatino Linotype" w:eastAsia="Palatino Linotype" w:hAnsi="Palatino Linotype" w:cs="Palatino Linotype"/>
          <w:color w:val="000000"/>
        </w:rPr>
      </w:pPr>
    </w:p>
    <w:p w:rsidR="005A06FD" w:rsidRDefault="009636D3">
      <w:pPr>
        <w:numPr>
          <w:ilvl w:val="0"/>
          <w:numId w:val="8"/>
        </w:numPr>
        <w:pBdr>
          <w:top w:val="nil"/>
          <w:left w:val="nil"/>
          <w:bottom w:val="nil"/>
          <w:right w:val="nil"/>
          <w:between w:val="nil"/>
        </w:pBdr>
        <w:spacing w:line="360" w:lineRule="auto"/>
        <w:ind w:right="53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Acto Impugnado</w:t>
      </w:r>
    </w:p>
    <w:p w:rsidR="005A06FD" w:rsidRDefault="009636D3">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información no corresponde a lo solicitado. La supuesta incompetencia manifestada.”(Sic.)</w:t>
      </w:r>
    </w:p>
    <w:p w:rsidR="005A06FD" w:rsidRDefault="005A06FD">
      <w:pPr>
        <w:pBdr>
          <w:top w:val="nil"/>
          <w:left w:val="nil"/>
          <w:bottom w:val="nil"/>
          <w:right w:val="nil"/>
          <w:between w:val="nil"/>
        </w:pBdr>
        <w:spacing w:line="360" w:lineRule="auto"/>
        <w:ind w:left="567" w:right="539"/>
        <w:jc w:val="both"/>
        <w:rPr>
          <w:rFonts w:ascii="Palatino Linotype" w:eastAsia="Palatino Linotype" w:hAnsi="Palatino Linotype" w:cs="Palatino Linotype"/>
          <w:i/>
          <w:iCs/>
          <w:color w:val="000000"/>
        </w:rPr>
      </w:pPr>
    </w:p>
    <w:p w:rsidR="005A06FD" w:rsidRDefault="009636D3">
      <w:pPr>
        <w:numPr>
          <w:ilvl w:val="0"/>
          <w:numId w:val="9"/>
        </w:numPr>
        <w:pBdr>
          <w:top w:val="nil"/>
          <w:left w:val="nil"/>
          <w:bottom w:val="nil"/>
          <w:right w:val="nil"/>
          <w:between w:val="nil"/>
        </w:pBdr>
        <w:spacing w:line="360" w:lineRule="auto"/>
        <w:ind w:right="53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Razones o Motivos de la Inconformidad</w:t>
      </w:r>
    </w:p>
    <w:p w:rsidR="005A06FD" w:rsidRDefault="009636D3">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primer lugar, el oficio de respuesta señala que el servidor público no tiene facultades para la descarga de la información que se carga en el Secretariado Ejecutivo, lo cual no puede constar como respuesta del sujeto obligado, ya que si ese no era el funcionario público que no tiene facultades, deberá haber otro que sí pueda contestar el requerimiento dentro del sujeto obligado. bastaría con solo ver su organigrama. En segundo término la información que pretendía entregar (del secretariado ejecutivo) no corresponde a lo solicitado ya que ante esa autoridad se entrega estadística y eso no es lo que se está requiriendo desde la solicitud inicial.”(Sic.)</w:t>
      </w:r>
    </w:p>
    <w:p w:rsidR="005A06FD" w:rsidRDefault="005A06FD">
      <w:pPr>
        <w:pBdr>
          <w:top w:val="nil"/>
          <w:left w:val="nil"/>
          <w:bottom w:val="nil"/>
          <w:right w:val="nil"/>
          <w:between w:val="nil"/>
        </w:pBdr>
        <w:spacing w:line="360" w:lineRule="auto"/>
        <w:ind w:left="567" w:right="539"/>
        <w:jc w:val="both"/>
        <w:rPr>
          <w:rFonts w:ascii="Palatino Linotype" w:eastAsia="Palatino Linotype" w:hAnsi="Palatino Linotype" w:cs="Palatino Linotype"/>
          <w:i/>
          <w:iCs/>
          <w:color w:val="000000"/>
        </w:rPr>
      </w:pPr>
    </w:p>
    <w:p w:rsidR="005A06FD" w:rsidRDefault="009636D3">
      <w:pPr>
        <w:numPr>
          <w:ilvl w:val="0"/>
          <w:numId w:val="1"/>
        </w:numPr>
        <w:spacing w:line="360" w:lineRule="auto"/>
        <w:ind w:left="0" w:firstLine="0"/>
        <w:jc w:val="both"/>
        <w:rPr>
          <w:color w:val="000000"/>
        </w:rPr>
      </w:pPr>
      <w:r>
        <w:rPr>
          <w:rFonts w:ascii="Palatino Linotype" w:eastAsia="Palatino Linotype" w:hAnsi="Palatino Linotype" w:cs="Palatino Linotype"/>
        </w:rPr>
        <w:t xml:space="preserve">Se registró el recurso de revisión bajo el número de expediente </w:t>
      </w:r>
      <w:r>
        <w:rPr>
          <w:rFonts w:ascii="Palatino Linotype" w:eastAsia="Palatino Linotype" w:hAnsi="Palatino Linotype" w:cs="Palatino Linotype"/>
          <w:b/>
          <w:bCs/>
          <w:color w:val="000000"/>
        </w:rPr>
        <w:t>03308/INFOEM/IP/RR/2026</w:t>
      </w:r>
      <w:r>
        <w:rPr>
          <w:rFonts w:ascii="Palatino Linotype" w:eastAsia="Palatino Linotype" w:hAnsi="Palatino Linotype" w:cs="Palatino Linotype"/>
        </w:rPr>
        <w:t xml:space="preserve">, asimismo con fundamento en lo dispuesto por el artículo 185 fracción I de la Ley de Transparencia y Acceso a la Información Pública del Estado de México y Municipios se turna a la </w:t>
      </w:r>
      <w:r>
        <w:rPr>
          <w:rFonts w:ascii="Palatino Linotype" w:eastAsia="Palatino Linotype" w:hAnsi="Palatino Linotype" w:cs="Palatino Linotype"/>
          <w:b/>
          <w:bCs/>
        </w:rPr>
        <w:t xml:space="preserve">Comisionada María del Rosario Mejía Ayala </w:t>
      </w:r>
      <w:r>
        <w:rPr>
          <w:rFonts w:ascii="Palatino Linotype" w:eastAsia="Palatino Linotype" w:hAnsi="Palatino Linotype" w:cs="Palatino Linotype"/>
        </w:rPr>
        <w:t>con el objeto de su análisis.</w:t>
      </w:r>
    </w:p>
    <w:p w:rsidR="005A06FD" w:rsidRDefault="005A06FD">
      <w:pPr>
        <w:spacing w:line="360" w:lineRule="auto"/>
        <w:jc w:val="both"/>
        <w:rPr>
          <w:rFonts w:ascii="Palatino Linotype" w:eastAsia="Palatino Linotype" w:hAnsi="Palatino Linotype" w:cs="Palatino Linotype"/>
          <w:i/>
          <w:iCs/>
          <w:color w:val="000000"/>
        </w:rPr>
      </w:pPr>
    </w:p>
    <w:p w:rsidR="005A06FD" w:rsidRDefault="009636D3">
      <w:pPr>
        <w:numPr>
          <w:ilvl w:val="0"/>
          <w:numId w:val="1"/>
        </w:numPr>
        <w:pBdr>
          <w:top w:val="nil"/>
          <w:left w:val="nil"/>
          <w:bottom w:val="nil"/>
          <w:right w:val="nil"/>
          <w:between w:val="nil"/>
        </w:pBdr>
        <w:tabs>
          <w:tab w:val="left" w:pos="0"/>
          <w:tab w:val="left" w:pos="567"/>
        </w:tabs>
        <w:spacing w:line="360" w:lineRule="auto"/>
        <w:ind w:left="0" w:right="-144" w:firstLine="0"/>
        <w:jc w:val="both"/>
        <w:rPr>
          <w:color w:val="000000"/>
        </w:rPr>
      </w:pPr>
      <w:r>
        <w:rPr>
          <w:rFonts w:ascii="Palatino Linotype" w:eastAsia="Palatino Linotype" w:hAnsi="Palatino Linotype" w:cs="Palatino Linotype"/>
          <w:color w:val="000000"/>
        </w:rPr>
        <w:lastRenderedPageBreak/>
        <w:t xml:space="preserve">La Comisionada Ponente con fundamento en lo dispuesto por el artículo 185 fracción II de la ley de la materia, a través del acuerdo de admisión </w:t>
      </w:r>
      <w:r>
        <w:rPr>
          <w:rFonts w:ascii="Palatino Linotype" w:eastAsia="Palatino Linotype" w:hAnsi="Palatino Linotype" w:cs="Palatino Linotype"/>
          <w:b/>
          <w:bCs/>
          <w:color w:val="000000"/>
        </w:rPr>
        <w:t>de fecha diecinueve de marzo de dos mil veintiséis,</w:t>
      </w:r>
      <w:r>
        <w:rPr>
          <w:rFonts w:ascii="Palatino Linotype" w:eastAsia="Palatino Linotype" w:hAnsi="Palatino Linotype" w:cs="Palatino Linotype"/>
          <w:color w:val="000000"/>
        </w:rPr>
        <w:t xml:space="preserve"> puso a disposición de las partes el expediente electrónico vía Sistema de Acceso a la Información Mexiquense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de esta forma para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presentará el Informe Justificado procedente.</w:t>
      </w:r>
    </w:p>
    <w:p w:rsidR="005A06FD" w:rsidRDefault="005A06FD">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5A06FD" w:rsidRDefault="009636D3">
      <w:pPr>
        <w:numPr>
          <w:ilvl w:val="0"/>
          <w:numId w:val="1"/>
        </w:numPr>
        <w:pBdr>
          <w:top w:val="nil"/>
          <w:left w:val="nil"/>
          <w:bottom w:val="nil"/>
          <w:right w:val="nil"/>
          <w:between w:val="nil"/>
        </w:pBdr>
        <w:tabs>
          <w:tab w:val="left" w:pos="0"/>
        </w:tabs>
        <w:spacing w:line="360" w:lineRule="auto"/>
        <w:ind w:left="0" w:right="-144"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veinte de abril de dos mil veintiséis,</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a través del documento denominado “</w:t>
      </w:r>
      <w:r>
        <w:rPr>
          <w:rFonts w:ascii="Palatino Linotype" w:eastAsia="Palatino Linotype" w:hAnsi="Palatino Linotype" w:cs="Palatino Linotype"/>
          <w:b/>
          <w:bCs/>
          <w:i/>
          <w:iCs/>
          <w:color w:val="000000"/>
        </w:rPr>
        <w:t>RPTA RR FOL 00033-2026. pdf</w:t>
      </w:r>
      <w:r>
        <w:rPr>
          <w:rFonts w:ascii="Palatino Linotype" w:eastAsia="Palatino Linotype" w:hAnsi="Palatino Linotype" w:cs="Palatino Linotype"/>
          <w:color w:val="000000"/>
        </w:rPr>
        <w:t xml:space="preserve">”, rindió </w:t>
      </w:r>
      <w:r>
        <w:rPr>
          <w:rFonts w:ascii="Palatino Linotype" w:eastAsia="Palatino Linotype" w:hAnsi="Palatino Linotype" w:cs="Palatino Linotype"/>
        </w:rPr>
        <w:t>el informe</w:t>
      </w:r>
      <w:r>
        <w:rPr>
          <w:rFonts w:ascii="Palatino Linotype" w:eastAsia="Palatino Linotype" w:hAnsi="Palatino Linotype" w:cs="Palatino Linotype"/>
          <w:color w:val="000000"/>
        </w:rPr>
        <w:t xml:space="preserve"> justificado correspondiente, mediante el cual refiere que la información requerida por el particular, hace alusión a ciertas especificaciones para la entrega de la información, por </w:t>
      </w:r>
      <w:r>
        <w:rPr>
          <w:rFonts w:ascii="Palatino Linotype" w:eastAsia="Palatino Linotype" w:hAnsi="Palatino Linotype" w:cs="Palatino Linotype"/>
        </w:rPr>
        <w:t>tanto</w:t>
      </w:r>
      <w:r>
        <w:rPr>
          <w:rFonts w:ascii="Palatino Linotype" w:eastAsia="Palatino Linotype" w:hAnsi="Palatino Linotype" w:cs="Palatino Linotype"/>
          <w:color w:val="000000"/>
        </w:rPr>
        <w:t xml:space="preserve"> no es viable, no obstante precisa que la información demandada, obra en el Informe Policial Homologado, empero no cumple con las especificaciones solicitadas; no omite mencionar que el contenido de tal documento es capturado e ingresado a la plataforma, por tanto forma parte de la base de datos del Sistema Nacional de Información; así como en los registros nacionales, además agrega que la información contenida en ellos en materia de detenciones, información criminal, personal de seguridad pública y demás necesaria para la operación del Sistema Nacional de Información, resulta ser información clasificada como reservada, por lo que no resulta procedente proporcionar al particular los comprobantes del Informe Policial Homologado que tiene bajo su resguardo el Jefe de la Unidad de Mando, Comando y comunicación adscrito a la Dirección de Seguridad Ciudadana y Vialidad del Ayuntamiento de Tultitlán. </w:t>
      </w:r>
    </w:p>
    <w:p w:rsidR="005A06FD" w:rsidRDefault="005A06FD">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5A06FD" w:rsidRDefault="009636D3">
      <w:pPr>
        <w:numPr>
          <w:ilvl w:val="0"/>
          <w:numId w:val="1"/>
        </w:numPr>
        <w:spacing w:line="360" w:lineRule="auto"/>
        <w:ind w:left="0" w:firstLine="0"/>
        <w:jc w:val="both"/>
        <w:rPr>
          <w:color w:val="000000"/>
        </w:rPr>
      </w:pPr>
      <w:r>
        <w:rPr>
          <w:rFonts w:ascii="Palatino Linotype" w:eastAsia="Palatino Linotype" w:hAnsi="Palatino Linotype" w:cs="Palatino Linotype"/>
        </w:rPr>
        <w:t xml:space="preserve">De lo anterior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dejó de realizar manifestaciones que a su derecho conviniera y asistiera, respectivamente en el recurso de revisión. </w:t>
      </w:r>
    </w:p>
    <w:p w:rsidR="005A06FD" w:rsidRDefault="005A06FD">
      <w:pPr>
        <w:pBdr>
          <w:top w:val="nil"/>
          <w:left w:val="nil"/>
          <w:bottom w:val="nil"/>
          <w:right w:val="nil"/>
          <w:between w:val="nil"/>
        </w:pBdr>
        <w:spacing w:line="360" w:lineRule="auto"/>
        <w:ind w:left="720"/>
        <w:rPr>
          <w:rFonts w:ascii="Palatino Linotype" w:eastAsia="Palatino Linotype" w:hAnsi="Palatino Linotype" w:cs="Palatino Linotype"/>
          <w:i/>
          <w:iCs/>
          <w:color w:val="000000"/>
        </w:rPr>
      </w:pPr>
    </w:p>
    <w:p w:rsidR="005A06FD" w:rsidRDefault="009636D3">
      <w:pPr>
        <w:numPr>
          <w:ilvl w:val="0"/>
          <w:numId w:val="1"/>
        </w:numPr>
        <w:pBdr>
          <w:top w:val="nil"/>
          <w:left w:val="nil"/>
          <w:bottom w:val="nil"/>
          <w:right w:val="nil"/>
          <w:between w:val="nil"/>
        </w:pBdr>
        <w:tabs>
          <w:tab w:val="left" w:pos="0"/>
          <w:tab w:val="left" w:pos="567"/>
        </w:tabs>
        <w:spacing w:line="360" w:lineRule="auto"/>
        <w:ind w:left="0" w:right="-28"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lastRenderedPageBreak/>
        <w:t xml:space="preserve">El </w:t>
      </w:r>
      <w:r>
        <w:rPr>
          <w:rFonts w:ascii="Palatino Linotype" w:eastAsia="Palatino Linotype" w:hAnsi="Palatino Linotype" w:cs="Palatino Linotype"/>
          <w:b/>
          <w:bCs/>
          <w:color w:val="000000"/>
        </w:rPr>
        <w:t>uno de junio de dos mil veintiséis</w:t>
      </w:r>
      <w:r>
        <w:rPr>
          <w:rFonts w:ascii="Palatino Linotype" w:eastAsia="Palatino Linotype" w:hAnsi="Palatino Linotype" w:cs="Palatino Linotype"/>
          <w:color w:val="000000"/>
        </w:rPr>
        <w:t>, se notificó el acuerdo mediante el cual se amplió el plazo para emitir resolución por un término de 15 días adicionales.</w:t>
      </w:r>
    </w:p>
    <w:p w:rsidR="005A06FD" w:rsidRDefault="005A06FD">
      <w:pPr>
        <w:spacing w:line="360" w:lineRule="auto"/>
        <w:jc w:val="both"/>
        <w:rPr>
          <w:rFonts w:ascii="Palatino Linotype" w:eastAsia="Palatino Linotype" w:hAnsi="Palatino Linotype" w:cs="Palatino Linotype"/>
          <w:i/>
          <w:iCs/>
          <w:color w:val="000000"/>
        </w:rPr>
      </w:pPr>
    </w:p>
    <w:p w:rsidR="005A06FD" w:rsidRDefault="009636D3">
      <w:pPr>
        <w:numPr>
          <w:ilvl w:val="0"/>
          <w:numId w:val="1"/>
        </w:numPr>
        <w:spacing w:line="360" w:lineRule="auto"/>
        <w:ind w:left="0" w:firstLine="0"/>
        <w:jc w:val="both"/>
        <w:rPr>
          <w:color w:val="000000"/>
        </w:rPr>
      </w:pPr>
      <w:r>
        <w:rPr>
          <w:rFonts w:ascii="Palatino Linotype" w:eastAsia="Palatino Linotype" w:hAnsi="Palatino Linotype" w:cs="Palatino Linotype"/>
        </w:rPr>
        <w:t xml:space="preserve">Finalmente, la Comisionada Ponente mediante acuerdo del </w:t>
      </w:r>
      <w:r>
        <w:rPr>
          <w:rFonts w:ascii="Palatino Linotype" w:eastAsia="Palatino Linotype" w:hAnsi="Palatino Linotype" w:cs="Palatino Linotype"/>
          <w:b/>
          <w:bCs/>
        </w:rPr>
        <w:t>nueve de junio de dos mil veintiséis</w:t>
      </w:r>
      <w:r>
        <w:rPr>
          <w:rFonts w:ascii="Palatino Linotype" w:eastAsia="Palatino Linotype" w:hAnsi="Palatino Linotype" w:cs="Palatino Linotype"/>
        </w:rPr>
        <w:t>, decretó el cierre de instrucción del expediente, por lo que no habiendo más que hacer constar, y</w:t>
      </w:r>
      <w:r>
        <w:rPr>
          <w:rFonts w:ascii="Palatino Linotype" w:eastAsia="Palatino Linotype" w:hAnsi="Palatino Linotype" w:cs="Palatino Linotype"/>
          <w:color w:val="000000"/>
        </w:rPr>
        <w:t xml:space="preserve">. </w:t>
      </w:r>
    </w:p>
    <w:p w:rsidR="005A06FD" w:rsidRDefault="005A06FD">
      <w:pPr>
        <w:spacing w:line="360" w:lineRule="auto"/>
        <w:jc w:val="both"/>
        <w:rPr>
          <w:rFonts w:ascii="Palatino Linotype" w:eastAsia="Palatino Linotype" w:hAnsi="Palatino Linotype" w:cs="Palatino Linotype"/>
          <w:b/>
          <w:bCs/>
        </w:rPr>
      </w:pPr>
    </w:p>
    <w:p w:rsidR="005A06FD" w:rsidRDefault="009636D3">
      <w:pPr>
        <w:keepNext/>
        <w:keepLines/>
        <w:spacing w:line="360" w:lineRule="auto"/>
        <w:jc w:val="center"/>
        <w:rPr>
          <w:rFonts w:ascii="Palatino Linotype" w:eastAsia="Palatino Linotype" w:hAnsi="Palatino Linotype" w:cs="Palatino Linotype"/>
          <w:b/>
          <w:bCs/>
        </w:rPr>
      </w:pPr>
      <w:bookmarkStart w:id="2" w:name="_heading=h.71nfhehn45ma" w:colFirst="0" w:colLast="0"/>
      <w:bookmarkEnd w:id="2"/>
      <w:r>
        <w:rPr>
          <w:rFonts w:ascii="Palatino Linotype" w:eastAsia="Palatino Linotype" w:hAnsi="Palatino Linotype" w:cs="Palatino Linotype"/>
          <w:b/>
          <w:bCs/>
        </w:rPr>
        <w:t>C O N S I D E R A N D O</w:t>
      </w:r>
    </w:p>
    <w:p w:rsidR="005A06FD" w:rsidRDefault="005A06FD">
      <w:pPr>
        <w:keepNext/>
        <w:keepLines/>
        <w:spacing w:line="360" w:lineRule="auto"/>
        <w:jc w:val="center"/>
        <w:rPr>
          <w:rFonts w:ascii="Palatino Linotype" w:eastAsia="Palatino Linotype" w:hAnsi="Palatino Linotype" w:cs="Palatino Linotype"/>
          <w:b/>
          <w:bCs/>
        </w:rPr>
      </w:pPr>
    </w:p>
    <w:p w:rsidR="005A06FD" w:rsidRDefault="009636D3">
      <w:pPr>
        <w:keepNext/>
        <w:keepLines/>
        <w:spacing w:line="360" w:lineRule="auto"/>
        <w:rPr>
          <w:rFonts w:ascii="Palatino Linotype" w:eastAsia="Palatino Linotype" w:hAnsi="Palatino Linotype" w:cs="Palatino Linotype"/>
          <w:b/>
          <w:bCs/>
        </w:rPr>
      </w:pPr>
      <w:bookmarkStart w:id="3" w:name="_heading=h.m42agr4y791n" w:colFirst="0" w:colLast="0"/>
      <w:bookmarkEnd w:id="3"/>
      <w:r>
        <w:rPr>
          <w:rFonts w:ascii="Palatino Linotype" w:eastAsia="Palatino Linotype" w:hAnsi="Palatino Linotype" w:cs="Palatino Linotype"/>
          <w:b/>
          <w:bCs/>
        </w:rPr>
        <w:t>PRIMERO. De la competencia.</w:t>
      </w:r>
    </w:p>
    <w:p w:rsidR="005A06FD" w:rsidRDefault="009636D3">
      <w:pPr>
        <w:numPr>
          <w:ilvl w:val="0"/>
          <w:numId w:val="1"/>
        </w:numPr>
        <w:pBdr>
          <w:top w:val="nil"/>
          <w:left w:val="nil"/>
          <w:bottom w:val="nil"/>
          <w:right w:val="nil"/>
          <w:between w:val="nil"/>
        </w:pBdr>
        <w:spacing w:before="240" w:after="240" w:line="360" w:lineRule="auto"/>
        <w:ind w:left="0" w:firstLine="0"/>
        <w:jc w:val="both"/>
        <w:rPr>
          <w:color w:val="000000"/>
        </w:rPr>
      </w:pPr>
      <w:r>
        <w:rPr>
          <w:rFonts w:ascii="Palatino Linotype" w:eastAsia="Palatino Linotype" w:hAnsi="Palatino Linotype" w:cs="Palatino Linotype"/>
          <w:color w:val="000000"/>
          <w:highlight w:val="white"/>
        </w:rPr>
        <w:t>Este Instituto de Transparencia, Acceso a la Información Pública y Protección de Datos Personales del Estado de México y Municipios, es competente para conocer y resolver del presente recurso de conformidad con el artículo: 6, apartado A, fracción IV de la </w:t>
      </w:r>
      <w:r>
        <w:rPr>
          <w:rFonts w:ascii="Palatino Linotype" w:eastAsia="Palatino Linotype" w:hAnsi="Palatino Linotype" w:cs="Palatino Linotype"/>
          <w:b/>
          <w:bCs/>
          <w:color w:val="000000"/>
          <w:highlight w:val="white"/>
        </w:rPr>
        <w:t>Constitución Política de los Estados Unidos Mexicanos</w:t>
      </w:r>
      <w:r>
        <w:rPr>
          <w:rFonts w:ascii="Palatino Linotype" w:eastAsia="Palatino Linotype" w:hAnsi="Palatino Linotype" w:cs="Palatino Linotype"/>
          <w:color w:val="000000"/>
          <w:highlight w:val="white"/>
        </w:rPr>
        <w:t>; 5, párrafos trigésimo segundo, trigésimo tercero y trigésimo cuarto fracciones IV y V de la </w:t>
      </w:r>
      <w:r>
        <w:rPr>
          <w:rFonts w:ascii="Palatino Linotype" w:eastAsia="Palatino Linotype" w:hAnsi="Palatino Linotype" w:cs="Palatino Linotype"/>
          <w:b/>
          <w:bCs/>
          <w:color w:val="000000"/>
          <w:highlight w:val="white"/>
        </w:rPr>
        <w:t>Constitución Política del Estado Libre y Soberano de México</w:t>
      </w:r>
      <w:r>
        <w:rPr>
          <w:rFonts w:ascii="Palatino Linotype" w:eastAsia="Palatino Linotype" w:hAnsi="Palatino Linotype" w:cs="Palatino Linotype"/>
          <w:color w:val="000000"/>
          <w:highlight w:val="white"/>
        </w:rPr>
        <w:t>; artículos 1, 2 fracción II, 13, 29, 36 fracciones I y II, 176, 178, 179, 181 párrafo tercero y 185 de la </w:t>
      </w:r>
      <w:r>
        <w:rPr>
          <w:rFonts w:ascii="Palatino Linotype" w:eastAsia="Palatino Linotype" w:hAnsi="Palatino Linotype" w:cs="Palatino Linotype"/>
          <w:b/>
          <w:bCs/>
          <w:color w:val="000000"/>
          <w:highlight w:val="white"/>
        </w:rPr>
        <w:t>Ley de Transparencia y Acceso a la Información Pública del Estado de México y Municipios</w:t>
      </w:r>
      <w:r>
        <w:rPr>
          <w:rFonts w:ascii="Palatino Linotype" w:eastAsia="Palatino Linotype" w:hAnsi="Palatino Linotype" w:cs="Palatino Linotype"/>
          <w:color w:val="000000"/>
          <w:highlight w:val="white"/>
        </w:rPr>
        <w:t>; y 7, 9 fracciones I y XXIII, y 11 del </w:t>
      </w:r>
      <w:r>
        <w:rPr>
          <w:rFonts w:ascii="Palatino Linotype" w:eastAsia="Palatino Linotype" w:hAnsi="Palatino Linotype" w:cs="Palatino Linotype"/>
          <w:b/>
          <w:bCs/>
          <w:color w:val="000000"/>
          <w:highlight w:val="white"/>
        </w:rPr>
        <w:t>Reglamento Interior del Instituto de Transparencia, Acceso a la Información Pública y Protección de Datos Personales del Estado de México y Municipios</w:t>
      </w:r>
      <w:r>
        <w:rPr>
          <w:rFonts w:ascii="Palatino Linotype" w:eastAsia="Palatino Linotype" w:hAnsi="Palatino Linotype" w:cs="Palatino Linotype"/>
          <w:color w:val="000000"/>
          <w:highlight w:val="white"/>
        </w:rPr>
        <w:t>.</w:t>
      </w:r>
    </w:p>
    <w:p w:rsidR="005A06FD" w:rsidRDefault="009636D3">
      <w:pPr>
        <w:keepNext/>
        <w:keepLines/>
        <w:spacing w:line="360" w:lineRule="auto"/>
        <w:rPr>
          <w:rFonts w:ascii="Palatino Linotype" w:eastAsia="Palatino Linotype" w:hAnsi="Palatino Linotype" w:cs="Palatino Linotype"/>
          <w:b/>
          <w:bCs/>
        </w:rPr>
      </w:pPr>
      <w:bookmarkStart w:id="4" w:name="_heading=h.b8sdnjm2yt11" w:colFirst="0" w:colLast="0"/>
      <w:bookmarkEnd w:id="4"/>
      <w:r>
        <w:rPr>
          <w:rFonts w:ascii="Palatino Linotype" w:eastAsia="Palatino Linotype" w:hAnsi="Palatino Linotype" w:cs="Palatino Linotype"/>
          <w:b/>
          <w:bCs/>
        </w:rPr>
        <w:t>SEGUNDO. De la oportunidad y procedencia.</w:t>
      </w:r>
    </w:p>
    <w:p w:rsidR="005A06FD" w:rsidRDefault="009636D3">
      <w:pPr>
        <w:numPr>
          <w:ilvl w:val="0"/>
          <w:numId w:val="1"/>
        </w:numPr>
        <w:spacing w:line="360" w:lineRule="auto"/>
        <w:ind w:left="0" w:right="48" w:firstLine="0"/>
        <w:jc w:val="both"/>
      </w:pPr>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w:t>
      </w:r>
      <w:r>
        <w:rPr>
          <w:rFonts w:ascii="Palatino Linotype" w:eastAsia="Palatino Linotype" w:hAnsi="Palatino Linotype" w:cs="Palatino Linotype"/>
        </w:rPr>
        <w:lastRenderedPageBreak/>
        <w:t xml:space="preserve">respuesta el día </w:t>
      </w:r>
      <w:r>
        <w:rPr>
          <w:rFonts w:ascii="Palatino Linotype" w:eastAsia="Palatino Linotype" w:hAnsi="Palatino Linotype" w:cs="Palatino Linotype"/>
          <w:b/>
          <w:bCs/>
        </w:rPr>
        <w:t>doce de marzo de dos mil veintiséis</w:t>
      </w:r>
      <w:r>
        <w:rPr>
          <w:rFonts w:ascii="Palatino Linotype" w:eastAsia="Palatino Linotype" w:hAnsi="Palatino Linotype" w:cs="Palatino Linotype"/>
        </w:rPr>
        <w:t xml:space="preserve">, de tal forma que el plazo para interponer el recurso transcurrió del </w:t>
      </w:r>
      <w:r>
        <w:rPr>
          <w:rFonts w:ascii="Palatino Linotype" w:eastAsia="Palatino Linotype" w:hAnsi="Palatino Linotype" w:cs="Palatino Linotype"/>
          <w:b/>
          <w:bCs/>
        </w:rPr>
        <w:t>trece de marzo al trece de abril de dos mil veintiséis</w:t>
      </w:r>
      <w:r>
        <w:rPr>
          <w:rFonts w:ascii="Palatino Linotype" w:eastAsia="Palatino Linotype" w:hAnsi="Palatino Linotype" w:cs="Palatino Linotype"/>
        </w:rPr>
        <w:t xml:space="preserve">, de acuerdo al calendario oficial del Instituto de Transparencia del Estado de México y Municipios; en consecuencia, si el particular presentó sus inconformidad el día </w:t>
      </w:r>
      <w:r>
        <w:rPr>
          <w:rFonts w:ascii="Palatino Linotype" w:eastAsia="Palatino Linotype" w:hAnsi="Palatino Linotype" w:cs="Palatino Linotype"/>
          <w:b/>
          <w:bCs/>
        </w:rPr>
        <w:t>diecisiete de marzo de dos mil veintiséis</w:t>
      </w:r>
      <w:r>
        <w:rPr>
          <w:rFonts w:ascii="Palatino Linotype" w:eastAsia="Palatino Linotype" w:hAnsi="Palatino Linotype" w:cs="Palatino Linotype"/>
        </w:rPr>
        <w:t xml:space="preserv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rsidR="005A06FD" w:rsidRDefault="005A06FD">
      <w:pPr>
        <w:spacing w:line="360" w:lineRule="auto"/>
        <w:ind w:right="48"/>
        <w:jc w:val="both"/>
        <w:rPr>
          <w:rFonts w:ascii="Palatino Linotype" w:eastAsia="Palatino Linotype" w:hAnsi="Palatino Linotype" w:cs="Palatino Linotype"/>
        </w:rPr>
      </w:pPr>
    </w:p>
    <w:p w:rsidR="005A06FD" w:rsidRPr="003F674E" w:rsidRDefault="009636D3">
      <w:pPr>
        <w:numPr>
          <w:ilvl w:val="0"/>
          <w:numId w:val="1"/>
        </w:numPr>
        <w:spacing w:line="360" w:lineRule="auto"/>
        <w:ind w:left="0" w:right="49" w:firstLine="0"/>
        <w:jc w:val="both"/>
        <w:rPr>
          <w:rFonts w:ascii="Palatino Linotype" w:eastAsia="Palatino Linotype" w:hAnsi="Palatino Linotype" w:cs="Palatino Linotype"/>
          <w:b/>
          <w:bCs/>
        </w:rPr>
      </w:pPr>
      <w:r>
        <w:rPr>
          <w:rFonts w:ascii="Palatino Linotype" w:eastAsia="Palatino Linotype" w:hAnsi="Palatino Linotype" w:cs="Palatino Linotype"/>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3F674E" w:rsidRDefault="003F674E" w:rsidP="003F674E">
      <w:pPr>
        <w:spacing w:line="360" w:lineRule="auto"/>
        <w:ind w:right="49"/>
        <w:jc w:val="both"/>
        <w:rPr>
          <w:rFonts w:ascii="Palatino Linotype" w:eastAsia="Palatino Linotype" w:hAnsi="Palatino Linotype" w:cs="Palatino Linotype"/>
          <w:b/>
          <w:bCs/>
        </w:rPr>
      </w:pPr>
    </w:p>
    <w:p w:rsidR="005A06FD" w:rsidRDefault="009636D3">
      <w:pPr>
        <w:keepNext/>
        <w:keepLines/>
        <w:spacing w:line="360" w:lineRule="auto"/>
        <w:ind w:right="48"/>
        <w:rPr>
          <w:rFonts w:ascii="Palatino Linotype" w:eastAsia="Palatino Linotype" w:hAnsi="Palatino Linotype" w:cs="Palatino Linotype"/>
          <w:b/>
          <w:bCs/>
        </w:rPr>
      </w:pPr>
      <w:bookmarkStart w:id="5" w:name="_heading=h.xwxu31bgy492" w:colFirst="0" w:colLast="0"/>
      <w:bookmarkEnd w:id="5"/>
      <w:r>
        <w:rPr>
          <w:rFonts w:ascii="Palatino Linotype" w:eastAsia="Palatino Linotype" w:hAnsi="Palatino Linotype" w:cs="Palatino Linotype"/>
          <w:b/>
          <w:bCs/>
        </w:rPr>
        <w:t>TERCERO. Planteamiento de la Litis.</w:t>
      </w:r>
    </w:p>
    <w:p w:rsidR="005A06FD" w:rsidRDefault="009636D3">
      <w:pPr>
        <w:numPr>
          <w:ilvl w:val="0"/>
          <w:numId w:val="1"/>
        </w:numPr>
        <w:pBdr>
          <w:top w:val="nil"/>
          <w:left w:val="nil"/>
          <w:bottom w:val="nil"/>
          <w:right w:val="nil"/>
          <w:between w:val="nil"/>
        </w:pBdr>
        <w:spacing w:line="360" w:lineRule="auto"/>
        <w:ind w:left="0" w:right="48" w:firstLine="0"/>
        <w:jc w:val="both"/>
        <w:rPr>
          <w:color w:val="000000"/>
        </w:rPr>
      </w:pPr>
      <w:r>
        <w:rPr>
          <w:rFonts w:ascii="Palatino Linotype" w:eastAsia="Palatino Linotype" w:hAnsi="Palatino Linotype" w:cs="Palatino Linotype"/>
          <w:color w:val="000000"/>
        </w:rPr>
        <w:t xml:space="preserve">El particular solicitó del </w:t>
      </w:r>
      <w:r>
        <w:rPr>
          <w:rFonts w:ascii="Palatino Linotype" w:eastAsia="Palatino Linotype" w:hAnsi="Palatino Linotype" w:cs="Palatino Linotype"/>
          <w:b/>
          <w:bCs/>
          <w:color w:val="000000"/>
        </w:rPr>
        <w:t xml:space="preserve">uno de septiembre de dos mil veinticinco, </w:t>
      </w:r>
      <w:r>
        <w:rPr>
          <w:rFonts w:ascii="Palatino Linotype" w:eastAsia="Palatino Linotype" w:hAnsi="Palatino Linotype" w:cs="Palatino Linotype"/>
          <w:color w:val="000000"/>
        </w:rPr>
        <w:t xml:space="preserve">en </w:t>
      </w:r>
      <w:r>
        <w:rPr>
          <w:rFonts w:ascii="Palatino Linotype" w:eastAsia="Palatino Linotype" w:hAnsi="Palatino Linotype" w:cs="Palatino Linotype"/>
          <w:b/>
          <w:bCs/>
          <w:color w:val="000000"/>
        </w:rPr>
        <w:t>formato xls. o cvs.</w:t>
      </w:r>
      <w:r>
        <w:rPr>
          <w:rFonts w:ascii="Palatino Linotype" w:eastAsia="Palatino Linotype" w:hAnsi="Palatino Linotype" w:cs="Palatino Linotype"/>
          <w:color w:val="000000"/>
        </w:rPr>
        <w:t xml:space="preserve">, la información </w:t>
      </w:r>
      <w:r>
        <w:rPr>
          <w:rFonts w:ascii="Palatino Linotype" w:eastAsia="Palatino Linotype" w:hAnsi="Palatino Linotype" w:cs="Palatino Linotype"/>
          <w:b/>
          <w:bCs/>
          <w:color w:val="000000"/>
        </w:rPr>
        <w:t>estadística</w:t>
      </w:r>
      <w:r>
        <w:rPr>
          <w:rFonts w:ascii="Palatino Linotype" w:eastAsia="Palatino Linotype" w:hAnsi="Palatino Linotype" w:cs="Palatino Linotype"/>
          <w:color w:val="000000"/>
        </w:rPr>
        <w:t xml:space="preserve"> de incidencia delictiva, desagregada con el siguiente nivel: </w:t>
      </w:r>
    </w:p>
    <w:p w:rsidR="005A06FD" w:rsidRDefault="009636D3">
      <w:pPr>
        <w:numPr>
          <w:ilvl w:val="0"/>
          <w:numId w:val="2"/>
        </w:numPr>
        <w:pBdr>
          <w:top w:val="nil"/>
          <w:left w:val="nil"/>
          <w:bottom w:val="nil"/>
          <w:right w:val="nil"/>
          <w:between w:val="nil"/>
        </w:pBdr>
        <w:spacing w:line="360" w:lineRule="auto"/>
        <w:ind w:left="567" w:right="822"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Tipo de incidente o evento (hechos presuntamente constitutivos de delito y/o falta administrativa, o situación reportada, cualquiera que esta sea, especificando si el hecho fue con o sin violencia)</w:t>
      </w:r>
    </w:p>
    <w:p w:rsidR="005A06FD" w:rsidRDefault="009636D3">
      <w:pPr>
        <w:numPr>
          <w:ilvl w:val="0"/>
          <w:numId w:val="2"/>
        </w:numPr>
        <w:pBdr>
          <w:top w:val="nil"/>
          <w:left w:val="nil"/>
          <w:bottom w:val="nil"/>
          <w:right w:val="nil"/>
          <w:between w:val="nil"/>
        </w:pBdr>
        <w:spacing w:line="360" w:lineRule="auto"/>
        <w:ind w:left="567" w:right="822"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Hora del incidente o evento</w:t>
      </w:r>
    </w:p>
    <w:p w:rsidR="005A06FD" w:rsidRDefault="009636D3">
      <w:pPr>
        <w:numPr>
          <w:ilvl w:val="0"/>
          <w:numId w:val="2"/>
        </w:numPr>
        <w:pBdr>
          <w:top w:val="nil"/>
          <w:left w:val="nil"/>
          <w:bottom w:val="nil"/>
          <w:right w:val="nil"/>
          <w:between w:val="nil"/>
        </w:pBdr>
        <w:spacing w:line="360" w:lineRule="auto"/>
        <w:ind w:left="567" w:right="822"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Fecha del incidente o evento</w:t>
      </w:r>
    </w:p>
    <w:p w:rsidR="005A06FD" w:rsidRDefault="009636D3">
      <w:pPr>
        <w:numPr>
          <w:ilvl w:val="0"/>
          <w:numId w:val="2"/>
        </w:numPr>
        <w:pBdr>
          <w:top w:val="nil"/>
          <w:left w:val="nil"/>
          <w:bottom w:val="nil"/>
          <w:right w:val="nil"/>
          <w:between w:val="nil"/>
        </w:pBdr>
        <w:spacing w:line="360" w:lineRule="auto"/>
        <w:ind w:left="567" w:right="822"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Lugar del incidente o evento</w:t>
      </w:r>
    </w:p>
    <w:p w:rsidR="005A06FD" w:rsidRDefault="009636D3">
      <w:pPr>
        <w:numPr>
          <w:ilvl w:val="0"/>
          <w:numId w:val="2"/>
        </w:numPr>
        <w:pBdr>
          <w:top w:val="nil"/>
          <w:left w:val="nil"/>
          <w:bottom w:val="nil"/>
          <w:right w:val="nil"/>
          <w:between w:val="nil"/>
        </w:pBdr>
        <w:spacing w:line="360" w:lineRule="auto"/>
        <w:ind w:left="567" w:right="822"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Ubicación del incidente o evento </w:t>
      </w:r>
    </w:p>
    <w:p w:rsidR="005A06FD" w:rsidRDefault="009636D3">
      <w:pPr>
        <w:numPr>
          <w:ilvl w:val="0"/>
          <w:numId w:val="2"/>
        </w:numPr>
        <w:pBdr>
          <w:top w:val="nil"/>
          <w:left w:val="nil"/>
          <w:bottom w:val="nil"/>
          <w:right w:val="nil"/>
          <w:between w:val="nil"/>
        </w:pBdr>
        <w:spacing w:line="360" w:lineRule="auto"/>
        <w:ind w:left="567" w:right="822"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Las coordenadas geográficas del incidente o evento</w:t>
      </w:r>
    </w:p>
    <w:p w:rsidR="005A06FD" w:rsidRDefault="005A06FD">
      <w:pPr>
        <w:pBdr>
          <w:top w:val="nil"/>
          <w:left w:val="nil"/>
          <w:bottom w:val="nil"/>
          <w:right w:val="nil"/>
          <w:between w:val="nil"/>
        </w:pBdr>
        <w:spacing w:line="360" w:lineRule="auto"/>
        <w:ind w:right="48"/>
        <w:jc w:val="both"/>
        <w:rPr>
          <w:rFonts w:ascii="Palatino Linotype" w:eastAsia="Palatino Linotype" w:hAnsi="Palatino Linotype" w:cs="Palatino Linotype"/>
          <w:i/>
          <w:iCs/>
          <w:color w:val="000000"/>
        </w:rPr>
      </w:pPr>
    </w:p>
    <w:p w:rsidR="005A06FD" w:rsidRDefault="009636D3">
      <w:pPr>
        <w:numPr>
          <w:ilvl w:val="0"/>
          <w:numId w:val="1"/>
        </w:numPr>
        <w:pBdr>
          <w:top w:val="nil"/>
          <w:left w:val="nil"/>
          <w:bottom w:val="nil"/>
          <w:right w:val="nil"/>
          <w:between w:val="nil"/>
        </w:pBdr>
        <w:spacing w:line="360" w:lineRule="auto"/>
        <w:ind w:left="0" w:firstLine="0"/>
        <w:jc w:val="both"/>
        <w:rPr>
          <w:color w:val="000000"/>
        </w:rPr>
      </w:pPr>
      <w:r>
        <w:rPr>
          <w:rFonts w:ascii="Palatino Linotype" w:eastAsia="Palatino Linotype" w:hAnsi="Palatino Linotype" w:cs="Palatino Linotype"/>
          <w:color w:val="000000"/>
        </w:rPr>
        <w:lastRenderedPageBreak/>
        <w:t xml:space="preserve">En consecuencia,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brindó respuesta en términos del numeral tres de la presente resolución.</w:t>
      </w:r>
    </w:p>
    <w:p w:rsidR="005A06FD" w:rsidRDefault="005A06FD">
      <w:pPr>
        <w:pBdr>
          <w:top w:val="nil"/>
          <w:left w:val="nil"/>
          <w:bottom w:val="nil"/>
          <w:right w:val="nil"/>
          <w:between w:val="nil"/>
        </w:pBdr>
        <w:spacing w:line="360" w:lineRule="auto"/>
        <w:ind w:right="48"/>
        <w:jc w:val="both"/>
        <w:rPr>
          <w:rFonts w:ascii="Palatino Linotype" w:eastAsia="Palatino Linotype" w:hAnsi="Palatino Linotype" w:cs="Palatino Linotype"/>
          <w:b/>
          <w:bCs/>
          <w:i/>
          <w:iCs/>
          <w:color w:val="000000"/>
        </w:rPr>
      </w:pPr>
    </w:p>
    <w:p w:rsidR="005A06FD" w:rsidRDefault="009636D3">
      <w:pPr>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Posteriormente,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interpuso el recurso de revisión 0</w:t>
      </w:r>
      <w:r>
        <w:rPr>
          <w:rFonts w:ascii="Palatino Linotype" w:eastAsia="Palatino Linotype" w:hAnsi="Palatino Linotype" w:cs="Palatino Linotype"/>
          <w:b/>
          <w:bCs/>
          <w:color w:val="000000"/>
        </w:rPr>
        <w:t xml:space="preserve">3308/INFOEM/IP/RR/2026 </w:t>
      </w:r>
      <w:r>
        <w:rPr>
          <w:rFonts w:ascii="Palatino Linotype" w:eastAsia="Palatino Linotype" w:hAnsi="Palatino Linotype" w:cs="Palatino Linotype"/>
          <w:color w:val="000000"/>
        </w:rPr>
        <w:t xml:space="preserve">en el que señaló su inconformidad por la </w:t>
      </w:r>
      <w:r>
        <w:rPr>
          <w:rFonts w:ascii="Palatino Linotype" w:eastAsia="Palatino Linotype" w:hAnsi="Palatino Linotype" w:cs="Palatino Linotype"/>
          <w:b/>
          <w:bCs/>
          <w:color w:val="000000"/>
        </w:rPr>
        <w:t xml:space="preserve">entrega de información que no </w:t>
      </w:r>
      <w:r>
        <w:rPr>
          <w:rFonts w:ascii="Palatino Linotype" w:eastAsia="Palatino Linotype" w:hAnsi="Palatino Linotype" w:cs="Palatino Linotype"/>
          <w:b/>
          <w:bCs/>
        </w:rPr>
        <w:t>correspondía</w:t>
      </w:r>
      <w:r>
        <w:rPr>
          <w:rFonts w:ascii="Palatino Linotype" w:eastAsia="Palatino Linotype" w:hAnsi="Palatino Linotype" w:cs="Palatino Linotype"/>
          <w:b/>
          <w:bCs/>
          <w:color w:val="000000"/>
        </w:rPr>
        <w:t xml:space="preserve"> con lo solicitado. </w:t>
      </w:r>
    </w:p>
    <w:p w:rsidR="005A06FD" w:rsidRDefault="005A06FD">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5A06FD" w:rsidRDefault="009636D3">
      <w:pPr>
        <w:numPr>
          <w:ilvl w:val="0"/>
          <w:numId w:val="1"/>
        </w:numPr>
        <w:pBdr>
          <w:top w:val="nil"/>
          <w:left w:val="nil"/>
          <w:bottom w:val="nil"/>
          <w:right w:val="nil"/>
          <w:between w:val="nil"/>
        </w:pBdr>
        <w:spacing w:line="360" w:lineRule="auto"/>
        <w:ind w:left="0" w:right="48" w:firstLine="0"/>
        <w:jc w:val="both"/>
        <w:rPr>
          <w:color w:val="000000"/>
        </w:rPr>
      </w:pPr>
      <w:r>
        <w:rPr>
          <w:rFonts w:ascii="Palatino Linotype" w:eastAsia="Palatino Linotype" w:hAnsi="Palatino Linotype" w:cs="Palatino Linotype"/>
          <w:color w:val="000000"/>
        </w:rPr>
        <w:t xml:space="preserve">En dichas condiciones,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Pr>
          <w:rFonts w:ascii="Palatino Linotype" w:eastAsia="Palatino Linotype" w:hAnsi="Palatino Linotype" w:cs="Palatino Linotype"/>
          <w:b/>
          <w:bCs/>
          <w:color w:val="000000"/>
        </w:rPr>
        <w:t xml:space="preserve">fracción VI </w:t>
      </w:r>
      <w:r>
        <w:rPr>
          <w:rFonts w:ascii="Palatino Linotype" w:eastAsia="Palatino Linotype" w:hAnsi="Palatino Linotype" w:cs="Palatino Linotype"/>
          <w:color w:val="000000"/>
        </w:rPr>
        <w:t>de la Ley</w:t>
      </w:r>
      <w:r>
        <w:rPr>
          <w:rFonts w:ascii="Palatino Linotype" w:eastAsia="Palatino Linotype" w:hAnsi="Palatino Linotype" w:cs="Palatino Linotype"/>
          <w:b/>
          <w:bCs/>
          <w:color w:val="000000"/>
        </w:rPr>
        <w:t xml:space="preserve"> de Transparencia y Acceso a la Información Pública del Estado de </w:t>
      </w:r>
      <w:r>
        <w:rPr>
          <w:rFonts w:ascii="Palatino Linotype" w:eastAsia="Palatino Linotype" w:hAnsi="Palatino Linotype" w:cs="Palatino Linotype"/>
          <w:color w:val="000000"/>
        </w:rPr>
        <w:t>México</w:t>
      </w:r>
      <w:r>
        <w:rPr>
          <w:rFonts w:ascii="Palatino Linotype" w:eastAsia="Palatino Linotype" w:hAnsi="Palatino Linotype" w:cs="Palatino Linotype"/>
          <w:b/>
          <w:bCs/>
          <w:color w:val="000000"/>
        </w:rPr>
        <w:t xml:space="preserve"> y Municipios</w:t>
      </w:r>
      <w:r>
        <w:rPr>
          <w:rFonts w:ascii="Palatino Linotype" w:eastAsia="Palatino Linotype" w:hAnsi="Palatino Linotype" w:cs="Palatino Linotype"/>
          <w:color w:val="000000"/>
        </w:rPr>
        <w:t xml:space="preserve">; fracción que determina la hipótesis jurídica relativa a </w:t>
      </w:r>
      <w:r>
        <w:rPr>
          <w:rFonts w:ascii="Palatino Linotype" w:eastAsia="Palatino Linotype" w:hAnsi="Palatino Linotype" w:cs="Palatino Linotype"/>
          <w:b/>
          <w:bCs/>
          <w:color w:val="000000"/>
        </w:rPr>
        <w:t xml:space="preserve">la entrega de la información que no corresponde con lo solicitado </w:t>
      </w:r>
      <w:r>
        <w:rPr>
          <w:rFonts w:ascii="Palatino Linotype" w:eastAsia="Palatino Linotype" w:hAnsi="Palatino Linotype" w:cs="Palatino Linotype"/>
          <w:color w:val="000000"/>
        </w:rPr>
        <w:t xml:space="preserve">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contexto del cual se dolió </w:t>
      </w:r>
      <w:r>
        <w:rPr>
          <w:rFonts w:ascii="Palatino Linotype" w:eastAsia="Palatino Linotype" w:hAnsi="Palatino Linotype" w:cs="Palatino Linotype"/>
          <w:b/>
          <w:bCs/>
          <w:color w:val="000000"/>
        </w:rPr>
        <w:t xml:space="preserve">EL RECURRENTE </w:t>
      </w:r>
      <w:r>
        <w:rPr>
          <w:rFonts w:ascii="Palatino Linotype" w:eastAsia="Palatino Linotype" w:hAnsi="Palatino Linotype" w:cs="Palatino Linotype"/>
          <w:color w:val="000000"/>
        </w:rPr>
        <w:t>al momento de interponer su inconformidad.</w:t>
      </w:r>
    </w:p>
    <w:p w:rsidR="005A06FD" w:rsidRDefault="005A06FD">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5A06FD" w:rsidRDefault="009636D3">
      <w:pPr>
        <w:pStyle w:val="Ttulo1"/>
        <w:spacing w:before="0" w:line="360" w:lineRule="auto"/>
        <w:rPr>
          <w:rFonts w:ascii="Palatino Linotype" w:eastAsia="Palatino Linotype" w:hAnsi="Palatino Linotype" w:cs="Palatino Linotype"/>
          <w:b/>
          <w:bCs/>
          <w:color w:val="000000"/>
          <w:sz w:val="24"/>
          <w:szCs w:val="24"/>
        </w:rPr>
      </w:pPr>
      <w:bookmarkStart w:id="6" w:name="_heading=h.hxg8x6rsqgct" w:colFirst="0" w:colLast="0"/>
      <w:bookmarkEnd w:id="6"/>
      <w:r>
        <w:rPr>
          <w:rFonts w:ascii="Palatino Linotype" w:eastAsia="Palatino Linotype" w:hAnsi="Palatino Linotype" w:cs="Palatino Linotype"/>
          <w:b/>
          <w:bCs/>
          <w:color w:val="000000"/>
          <w:sz w:val="24"/>
          <w:szCs w:val="24"/>
        </w:rPr>
        <w:t>CUARTO. Del estudio y resolución del recurso de revisión.</w:t>
      </w:r>
    </w:p>
    <w:p w:rsidR="005A06FD" w:rsidRDefault="009636D3">
      <w:pPr>
        <w:keepNext/>
        <w:keepLines/>
        <w:numPr>
          <w:ilvl w:val="0"/>
          <w:numId w:val="7"/>
        </w:numPr>
        <w:spacing w:after="240" w:line="360" w:lineRule="auto"/>
        <w:ind w:left="786"/>
        <w:rPr>
          <w:rFonts w:ascii="Palatino Linotype" w:eastAsia="Palatino Linotype" w:hAnsi="Palatino Linotype" w:cs="Palatino Linotype"/>
          <w:b/>
          <w:bCs/>
        </w:rPr>
      </w:pPr>
      <w:r>
        <w:rPr>
          <w:rFonts w:ascii="Palatino Linotype" w:eastAsia="Palatino Linotype" w:hAnsi="Palatino Linotype" w:cs="Palatino Linotype"/>
          <w:b/>
          <w:bCs/>
        </w:rPr>
        <w:t>Del derecho de acceso a la información.</w:t>
      </w:r>
    </w:p>
    <w:p w:rsidR="005A06FD" w:rsidRDefault="009636D3">
      <w:pPr>
        <w:numPr>
          <w:ilvl w:val="0"/>
          <w:numId w:val="1"/>
        </w:numPr>
        <w:pBdr>
          <w:top w:val="nil"/>
          <w:left w:val="nil"/>
          <w:bottom w:val="nil"/>
          <w:right w:val="nil"/>
          <w:between w:val="nil"/>
        </w:pBdr>
        <w:spacing w:line="360" w:lineRule="auto"/>
        <w:ind w:left="0" w:firstLine="0"/>
        <w:jc w:val="both"/>
        <w:rPr>
          <w:color w:val="000000"/>
        </w:rPr>
      </w:pPr>
      <w:r>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A06FD" w:rsidRDefault="009636D3">
      <w:pPr>
        <w:numPr>
          <w:ilvl w:val="0"/>
          <w:numId w:val="1"/>
        </w:numPr>
        <w:pBdr>
          <w:top w:val="nil"/>
          <w:left w:val="nil"/>
          <w:bottom w:val="nil"/>
          <w:right w:val="nil"/>
          <w:between w:val="nil"/>
        </w:pBdr>
        <w:spacing w:line="360" w:lineRule="auto"/>
        <w:ind w:left="0" w:firstLine="0"/>
        <w:jc w:val="both"/>
        <w:rPr>
          <w:color w:val="000000"/>
        </w:rPr>
      </w:pPr>
      <w:r>
        <w:rPr>
          <w:rFonts w:ascii="Palatino Linotype" w:eastAsia="Palatino Linotype" w:hAnsi="Palatino Linotype" w:cs="Palatino Linotype"/>
          <w:color w:val="000000"/>
        </w:rPr>
        <w:t xml:space="preserve">Definiendo el Derecho de Acceso a la Información Pública como: </w:t>
      </w:r>
      <w:r>
        <w:rPr>
          <w:rFonts w:ascii="Palatino Linotype" w:eastAsia="Palatino Linotype" w:hAnsi="Palatino Linotype" w:cs="Palatino Linotype"/>
          <w:i/>
          <w:iCs/>
          <w:color w:val="000000"/>
        </w:rPr>
        <w:t>La igualdad de oportunidades para recibir, buscar e impartir información</w:t>
      </w:r>
      <w:r>
        <w:rPr>
          <w:rFonts w:ascii="Palatino Linotype" w:eastAsia="Palatino Linotype" w:hAnsi="Palatino Linotype" w:cs="Palatino Linotype"/>
          <w:i/>
          <w:iCs/>
          <w:color w:val="000000"/>
          <w:vertAlign w:val="superscript"/>
        </w:rPr>
        <w:footnoteReference w:id="1"/>
      </w:r>
      <w:r>
        <w:rPr>
          <w:rFonts w:ascii="Palatino Linotype" w:eastAsia="Palatino Linotype" w:hAnsi="Palatino Linotype" w:cs="Palatino Linotype"/>
          <w:i/>
          <w:iCs/>
          <w:color w:val="000000"/>
        </w:rPr>
        <w:t xml:space="preserve">en posesión de cualquier autoridad, entidad, </w:t>
      </w:r>
      <w:r>
        <w:rPr>
          <w:rFonts w:ascii="Palatino Linotype" w:eastAsia="Palatino Linotype" w:hAnsi="Palatino Linotype" w:cs="Palatino Linotype"/>
          <w:i/>
          <w:iCs/>
          <w:color w:val="000000"/>
        </w:rPr>
        <w:lastRenderedPageBreak/>
        <w:t>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i/>
          <w:iCs/>
          <w:color w:val="000000"/>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color w:val="000000"/>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color w:val="000000"/>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A06FD" w:rsidRDefault="009636D3">
      <w:pPr>
        <w:numPr>
          <w:ilvl w:val="0"/>
          <w:numId w:val="1"/>
        </w:numPr>
        <w:spacing w:line="360" w:lineRule="auto"/>
        <w:ind w:left="0" w:right="49" w:firstLine="0"/>
        <w:jc w:val="both"/>
      </w:pPr>
      <w:r>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5A06FD" w:rsidRDefault="009636D3">
      <w:pPr>
        <w:tabs>
          <w:tab w:val="left" w:pos="7655"/>
        </w:tabs>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rsidR="005A06FD" w:rsidRDefault="009636D3">
      <w:pPr>
        <w:tabs>
          <w:tab w:val="left" w:pos="7655"/>
        </w:tabs>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A06FD" w:rsidRDefault="009636D3">
      <w:pPr>
        <w:tabs>
          <w:tab w:val="left" w:pos="7655"/>
        </w:tabs>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rPr>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5A06FD" w:rsidRDefault="009636D3">
      <w:pPr>
        <w:tabs>
          <w:tab w:val="left" w:pos="7655"/>
        </w:tabs>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rPr>
        <w:t>”.</w:t>
      </w:r>
    </w:p>
    <w:p w:rsidR="005A06FD" w:rsidRDefault="005A06FD">
      <w:pPr>
        <w:spacing w:line="360" w:lineRule="auto"/>
        <w:jc w:val="both"/>
        <w:rPr>
          <w:rFonts w:ascii="Palatino Linotype" w:eastAsia="Palatino Linotype" w:hAnsi="Palatino Linotype" w:cs="Palatino Linotype"/>
        </w:rPr>
      </w:pPr>
    </w:p>
    <w:p w:rsidR="005A06FD" w:rsidRDefault="009636D3">
      <w:pPr>
        <w:numPr>
          <w:ilvl w:val="0"/>
          <w:numId w:val="1"/>
        </w:numPr>
        <w:spacing w:line="360" w:lineRule="auto"/>
        <w:ind w:left="0" w:right="49" w:firstLine="0"/>
        <w:jc w:val="both"/>
      </w:pPr>
      <w:r>
        <w:rPr>
          <w:rFonts w:ascii="Palatino Linotype" w:eastAsia="Palatino Linotype" w:hAnsi="Palatino Linotype" w:cs="Palatino Linotype"/>
        </w:rPr>
        <w:t xml:space="preserve">Por lo anterior, se deduce que el Derecho de Acceso a la Información Pública es un Derecho Humano de Fuente Internacional y Constitucionalmente reconocido. Además del </w:t>
      </w:r>
      <w:r>
        <w:rPr>
          <w:rFonts w:ascii="Palatino Linotype" w:eastAsia="Palatino Linotype" w:hAnsi="Palatino Linotype" w:cs="Palatino Linotype"/>
        </w:rPr>
        <w:lastRenderedPageBreak/>
        <w:t>derecho, también se reconocen garantías para su protección, lo que vincula con el mandato del párrafo tercero del mismo artículo.</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A06FD" w:rsidRDefault="009636D3">
      <w:pPr>
        <w:numPr>
          <w:ilvl w:val="0"/>
          <w:numId w:val="1"/>
        </w:numPr>
        <w:spacing w:line="360" w:lineRule="auto"/>
        <w:ind w:left="0" w:right="49" w:firstLine="0"/>
        <w:jc w:val="both"/>
      </w:pPr>
      <w:r>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5A06FD" w:rsidRDefault="009636D3">
      <w:pPr>
        <w:spacing w:after="240"/>
        <w:ind w:left="567" w:right="56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rsidR="005A06FD" w:rsidRDefault="009636D3">
      <w:pPr>
        <w:spacing w:before="240" w:after="240"/>
        <w:ind w:left="567" w:right="56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p>
    <w:p w:rsidR="005A06FD" w:rsidRDefault="009636D3">
      <w:pPr>
        <w:spacing w:before="240" w:after="240"/>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A06FD" w:rsidRDefault="009636D3">
      <w:pPr>
        <w:spacing w:before="240" w:after="240"/>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5A06FD" w:rsidRDefault="009636D3">
      <w:pPr>
        <w:spacing w:before="240" w:after="240"/>
        <w:ind w:left="567" w:right="56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rsidR="005A06FD" w:rsidRDefault="009636D3">
      <w:pPr>
        <w:spacing w:before="240" w:after="240"/>
        <w:ind w:left="567" w:right="567"/>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5A06FD" w:rsidRDefault="005A06FD">
      <w:pPr>
        <w:tabs>
          <w:tab w:val="left" w:pos="567"/>
        </w:tabs>
        <w:spacing w:before="240"/>
        <w:ind w:left="567" w:right="567"/>
        <w:jc w:val="both"/>
        <w:rPr>
          <w:rFonts w:ascii="Palatino Linotype" w:eastAsia="Palatino Linotype" w:hAnsi="Palatino Linotype" w:cs="Palatino Linotype"/>
          <w:b/>
          <w:bCs/>
          <w:i/>
          <w:iCs/>
        </w:rPr>
      </w:pPr>
    </w:p>
    <w:p w:rsidR="005A06FD" w:rsidRDefault="009636D3">
      <w:pPr>
        <w:spacing w:after="240"/>
        <w:ind w:left="567" w:right="56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rsidR="005A06FD" w:rsidRDefault="009636D3">
      <w:pPr>
        <w:spacing w:before="240" w:after="240"/>
        <w:ind w:left="567" w:right="56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w:t>
      </w:r>
    </w:p>
    <w:p w:rsidR="005A06FD" w:rsidRDefault="009636D3">
      <w:pPr>
        <w:spacing w:before="240" w:after="240"/>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w:t>
      </w:r>
    </w:p>
    <w:p w:rsidR="005A06FD" w:rsidRDefault="009636D3">
      <w:pPr>
        <w:spacing w:before="240" w:after="240"/>
        <w:ind w:left="567" w:right="567"/>
        <w:jc w:val="both"/>
        <w:rPr>
          <w:rFonts w:ascii="Palatino Linotype" w:eastAsia="Palatino Linotype" w:hAnsi="Palatino Linotype" w:cs="Palatino Linotype"/>
          <w:i/>
          <w:iCs/>
        </w:rPr>
      </w:pPr>
      <w:r>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rsidR="005A06FD" w:rsidRDefault="009636D3">
      <w:pPr>
        <w:spacing w:before="240" w:after="240"/>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5A06FD" w:rsidRDefault="009636D3">
      <w:pPr>
        <w:spacing w:before="240" w:after="240"/>
        <w:ind w:left="567" w:right="567"/>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rsidR="005A06FD" w:rsidRDefault="009636D3">
      <w:pPr>
        <w:spacing w:before="240" w:after="240"/>
        <w:ind w:left="567" w:right="567"/>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5A06FD" w:rsidRDefault="005A06FD">
      <w:pPr>
        <w:spacing w:before="240" w:after="240"/>
        <w:ind w:left="567" w:right="567"/>
        <w:jc w:val="both"/>
        <w:rPr>
          <w:rFonts w:ascii="Palatino Linotype" w:eastAsia="Palatino Linotype" w:hAnsi="Palatino Linotype" w:cs="Palatino Linotype"/>
          <w:i/>
          <w:iCs/>
        </w:rPr>
      </w:pPr>
    </w:p>
    <w:p w:rsidR="005A06FD" w:rsidRDefault="009636D3">
      <w:pPr>
        <w:numPr>
          <w:ilvl w:val="0"/>
          <w:numId w:val="1"/>
        </w:numPr>
        <w:spacing w:before="240" w:line="360" w:lineRule="auto"/>
        <w:ind w:left="0" w:right="49" w:firstLine="0"/>
        <w:jc w:val="both"/>
      </w:pPr>
      <w:r>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rsidR="005A06FD" w:rsidRDefault="005A06FD">
      <w:pPr>
        <w:spacing w:before="240" w:line="360" w:lineRule="auto"/>
        <w:ind w:right="49"/>
        <w:jc w:val="both"/>
        <w:rPr>
          <w:rFonts w:ascii="Palatino Linotype" w:eastAsia="Palatino Linotype" w:hAnsi="Palatino Linotype" w:cs="Palatino Linotype"/>
        </w:rPr>
      </w:pPr>
    </w:p>
    <w:p w:rsidR="005A06FD" w:rsidRDefault="009636D3">
      <w:pPr>
        <w:numPr>
          <w:ilvl w:val="0"/>
          <w:numId w:val="1"/>
        </w:numPr>
        <w:spacing w:line="360" w:lineRule="auto"/>
        <w:ind w:left="0" w:right="49" w:firstLine="0"/>
        <w:jc w:val="both"/>
      </w:pPr>
      <w:r>
        <w:rPr>
          <w:rFonts w:ascii="Palatino Linotype" w:eastAsia="Palatino Linotype" w:hAnsi="Palatino Linotype" w:cs="Palatino Linotype"/>
        </w:rPr>
        <w:t xml:space="preserve">El 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rsidR="005A06FD" w:rsidRDefault="009636D3">
      <w:pPr>
        <w:numPr>
          <w:ilvl w:val="0"/>
          <w:numId w:val="1"/>
        </w:numPr>
        <w:spacing w:line="360" w:lineRule="auto"/>
        <w:ind w:left="0" w:right="49" w:firstLine="0"/>
        <w:jc w:val="both"/>
      </w:pPr>
      <w:r>
        <w:rPr>
          <w:rFonts w:ascii="Palatino Linotype" w:eastAsia="Palatino Linotype" w:hAnsi="Palatino Linotype" w:cs="Palatino Linotype"/>
        </w:rPr>
        <w:lastRenderedPageBreak/>
        <w:t xml:space="preserve">Así 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5A06FD" w:rsidRDefault="005A06FD">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5A06FD" w:rsidRDefault="009636D3">
      <w:pPr>
        <w:keepNext/>
        <w:keepLines/>
        <w:spacing w:after="240" w:line="360" w:lineRule="auto"/>
        <w:rPr>
          <w:rFonts w:ascii="Palatino Linotype" w:eastAsia="Palatino Linotype" w:hAnsi="Palatino Linotype" w:cs="Palatino Linotype"/>
          <w:b/>
          <w:bCs/>
        </w:rPr>
      </w:pPr>
      <w:r>
        <w:rPr>
          <w:rFonts w:ascii="Palatino Linotype" w:eastAsia="Palatino Linotype" w:hAnsi="Palatino Linotype" w:cs="Palatino Linotype"/>
          <w:b/>
          <w:bCs/>
        </w:rPr>
        <w:t>II. De la información solicitada y la respuesta del SUJETO OBLIGADO</w:t>
      </w:r>
    </w:p>
    <w:p w:rsidR="005A06FD" w:rsidRDefault="009636D3">
      <w:pPr>
        <w:numPr>
          <w:ilvl w:val="0"/>
          <w:numId w:val="1"/>
        </w:numPr>
        <w:pBdr>
          <w:top w:val="nil"/>
          <w:left w:val="nil"/>
          <w:bottom w:val="nil"/>
          <w:right w:val="nil"/>
          <w:between w:val="nil"/>
        </w:pBdr>
        <w:spacing w:line="360" w:lineRule="auto"/>
        <w:ind w:left="0" w:firstLine="0"/>
        <w:jc w:val="both"/>
        <w:rPr>
          <w:color w:val="000000"/>
        </w:rPr>
      </w:pPr>
      <w:r>
        <w:rPr>
          <w:rFonts w:ascii="Palatino Linotype" w:eastAsia="Palatino Linotype" w:hAnsi="Palatino Linotype" w:cs="Palatino Linotype"/>
          <w:color w:val="000000"/>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A06FD" w:rsidRDefault="009636D3">
      <w:pPr>
        <w:numPr>
          <w:ilvl w:val="0"/>
          <w:numId w:val="1"/>
        </w:numPr>
        <w:pBdr>
          <w:top w:val="nil"/>
          <w:left w:val="nil"/>
          <w:bottom w:val="nil"/>
          <w:right w:val="nil"/>
          <w:between w:val="nil"/>
        </w:pBdr>
        <w:spacing w:line="360" w:lineRule="auto"/>
        <w:ind w:left="0" w:right="48" w:firstLine="0"/>
        <w:jc w:val="both"/>
        <w:rPr>
          <w:color w:val="000000"/>
        </w:rPr>
      </w:pPr>
      <w:r>
        <w:rPr>
          <w:rFonts w:ascii="Palatino Linotype" w:eastAsia="Palatino Linotype" w:hAnsi="Palatino Linotype" w:cs="Palatino Linotype"/>
          <w:color w:val="000000"/>
        </w:rPr>
        <w:t xml:space="preserve">Para efectos de estudio es conveniente reiterar que el solicitante requirió del </w:t>
      </w:r>
      <w:r>
        <w:rPr>
          <w:rFonts w:ascii="Palatino Linotype" w:eastAsia="Palatino Linotype" w:hAnsi="Palatino Linotype" w:cs="Palatino Linotype"/>
          <w:b/>
          <w:bCs/>
          <w:color w:val="000000"/>
        </w:rPr>
        <w:t xml:space="preserve">uno de septiembre de dos mil veinticinco </w:t>
      </w:r>
      <w:r>
        <w:rPr>
          <w:rFonts w:ascii="Palatino Linotype" w:eastAsia="Palatino Linotype" w:hAnsi="Palatino Linotype" w:cs="Palatino Linotype"/>
          <w:color w:val="000000"/>
        </w:rPr>
        <w:t xml:space="preserve">en </w:t>
      </w:r>
      <w:r>
        <w:rPr>
          <w:rFonts w:ascii="Palatino Linotype" w:eastAsia="Palatino Linotype" w:hAnsi="Palatino Linotype" w:cs="Palatino Linotype"/>
          <w:b/>
          <w:bCs/>
          <w:color w:val="000000"/>
        </w:rPr>
        <w:t>formato xls. o cvs.</w:t>
      </w:r>
      <w:r>
        <w:rPr>
          <w:rFonts w:ascii="Palatino Linotype" w:eastAsia="Palatino Linotype" w:hAnsi="Palatino Linotype" w:cs="Palatino Linotype"/>
          <w:color w:val="000000"/>
        </w:rPr>
        <w:t xml:space="preserve">, la información </w:t>
      </w:r>
      <w:r>
        <w:rPr>
          <w:rFonts w:ascii="Palatino Linotype" w:eastAsia="Palatino Linotype" w:hAnsi="Palatino Linotype" w:cs="Palatino Linotype"/>
          <w:b/>
          <w:bCs/>
          <w:color w:val="000000"/>
        </w:rPr>
        <w:t>estadística</w:t>
      </w:r>
      <w:r>
        <w:rPr>
          <w:rFonts w:ascii="Palatino Linotype" w:eastAsia="Palatino Linotype" w:hAnsi="Palatino Linotype" w:cs="Palatino Linotype"/>
          <w:color w:val="000000"/>
        </w:rPr>
        <w:t xml:space="preserve"> de incidencia delictiva, desagregada con el siguiente nivel:</w:t>
      </w:r>
      <w:r>
        <w:rPr>
          <w:rFonts w:ascii="Palatino Linotype" w:eastAsia="Palatino Linotype" w:hAnsi="Palatino Linotype" w:cs="Palatino Linotype"/>
          <w:color w:val="FF0000"/>
        </w:rPr>
        <w:t xml:space="preserve"> </w:t>
      </w:r>
    </w:p>
    <w:p w:rsidR="005A06FD" w:rsidRDefault="009636D3">
      <w:pPr>
        <w:pBdr>
          <w:top w:val="nil"/>
          <w:left w:val="nil"/>
          <w:bottom w:val="nil"/>
          <w:right w:val="nil"/>
          <w:between w:val="nil"/>
        </w:pBdr>
        <w:spacing w:line="360" w:lineRule="auto"/>
        <w:ind w:left="567" w:right="822"/>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 Tipo de incidente o evento (hechos presuntamente constitutivos de delito y/o falta administrativa, o situación reportada, cualquiera que esta sea, especificando si el hecho fue con o sin violencia)</w:t>
      </w:r>
    </w:p>
    <w:p w:rsidR="005A06FD" w:rsidRDefault="009636D3">
      <w:pPr>
        <w:pBdr>
          <w:top w:val="nil"/>
          <w:left w:val="nil"/>
          <w:bottom w:val="nil"/>
          <w:right w:val="nil"/>
          <w:between w:val="nil"/>
        </w:pBdr>
        <w:spacing w:line="360" w:lineRule="auto"/>
        <w:ind w:left="567" w:right="822"/>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b) Hora del incidente o evento</w:t>
      </w:r>
    </w:p>
    <w:p w:rsidR="005A06FD" w:rsidRDefault="009636D3">
      <w:pPr>
        <w:pBdr>
          <w:top w:val="nil"/>
          <w:left w:val="nil"/>
          <w:bottom w:val="nil"/>
          <w:right w:val="nil"/>
          <w:between w:val="nil"/>
        </w:pBdr>
        <w:spacing w:line="360" w:lineRule="auto"/>
        <w:ind w:left="567" w:right="822"/>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 Fecha del incidente o evento</w:t>
      </w:r>
    </w:p>
    <w:p w:rsidR="005A06FD" w:rsidRDefault="009636D3">
      <w:pPr>
        <w:pBdr>
          <w:top w:val="nil"/>
          <w:left w:val="nil"/>
          <w:bottom w:val="nil"/>
          <w:right w:val="nil"/>
          <w:between w:val="nil"/>
        </w:pBdr>
        <w:spacing w:line="360" w:lineRule="auto"/>
        <w:ind w:left="567" w:right="822"/>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 Lugar del incidente o evento</w:t>
      </w:r>
    </w:p>
    <w:p w:rsidR="005A06FD" w:rsidRDefault="009636D3">
      <w:pPr>
        <w:pBdr>
          <w:top w:val="nil"/>
          <w:left w:val="nil"/>
          <w:bottom w:val="nil"/>
          <w:right w:val="nil"/>
          <w:between w:val="nil"/>
        </w:pBdr>
        <w:spacing w:line="360" w:lineRule="auto"/>
        <w:ind w:left="567" w:right="822"/>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e) Ubicación del incidente o evento </w:t>
      </w:r>
    </w:p>
    <w:p w:rsidR="005A06FD" w:rsidRDefault="009636D3">
      <w:pPr>
        <w:pBdr>
          <w:top w:val="nil"/>
          <w:left w:val="nil"/>
          <w:bottom w:val="nil"/>
          <w:right w:val="nil"/>
          <w:between w:val="nil"/>
        </w:pBdr>
        <w:spacing w:line="360" w:lineRule="auto"/>
        <w:ind w:left="567" w:right="822"/>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f) Las coordenadas geográficas del incidente o evento</w:t>
      </w:r>
    </w:p>
    <w:p w:rsidR="005A06FD" w:rsidRDefault="005A06FD">
      <w:pPr>
        <w:pBdr>
          <w:top w:val="nil"/>
          <w:left w:val="nil"/>
          <w:bottom w:val="nil"/>
          <w:right w:val="nil"/>
          <w:between w:val="nil"/>
        </w:pBdr>
        <w:spacing w:line="360" w:lineRule="auto"/>
        <w:ind w:right="48"/>
        <w:jc w:val="both"/>
        <w:rPr>
          <w:rFonts w:ascii="Palatino Linotype" w:eastAsia="Palatino Linotype" w:hAnsi="Palatino Linotype" w:cs="Palatino Linotype"/>
          <w:i/>
          <w:iCs/>
          <w:color w:val="000000"/>
        </w:rPr>
      </w:pPr>
    </w:p>
    <w:p w:rsidR="005A06FD" w:rsidRDefault="009636D3">
      <w:pPr>
        <w:numPr>
          <w:ilvl w:val="0"/>
          <w:numId w:val="1"/>
        </w:numPr>
        <w:pBdr>
          <w:top w:val="nil"/>
          <w:left w:val="nil"/>
          <w:bottom w:val="nil"/>
          <w:right w:val="nil"/>
          <w:between w:val="nil"/>
        </w:pBdr>
        <w:spacing w:line="360" w:lineRule="auto"/>
        <w:ind w:left="0" w:firstLine="0"/>
        <w:jc w:val="both"/>
        <w:rPr>
          <w:color w:val="000000"/>
        </w:rPr>
      </w:pPr>
      <w:r>
        <w:rPr>
          <w:rFonts w:ascii="Palatino Linotype" w:eastAsia="Palatino Linotype" w:hAnsi="Palatino Linotype" w:cs="Palatino Linotype"/>
          <w:color w:val="000000"/>
        </w:rPr>
        <w:t xml:space="preserve">De lo anterior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en un primer momento refirió</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que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la información requerida se encuentra en posesión de la Secretaría Ejecutiva del Sistema Nacional de Seguridad Pública a través de la Dirección General del Centro de Información y Estadística, toda vez que la función de la Unidad de Mando, Comando y Comunicación solo es informar a la Secretaría Ejecutiva del Sistema Nacional de Seguridad Pública sobre las detenciones y eventos relevantes, precisando que dicha información se limita estrictamente al ingreso de datos de manera individual y cronológica, por lo que no cuenta con el acceso técnico, ni mucho menos con las atribuciones administrativas para realizar la descarga, procesamiento de base de datos o la generación de reportes estadísticos, ya que los datos se encuentran bajo resguardo de las instancias federales y estatales correspondientes, situación que imposibilita la entrega de la información requerida por el particular.</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A06FD" w:rsidRDefault="009636D3">
      <w:pPr>
        <w:numPr>
          <w:ilvl w:val="0"/>
          <w:numId w:val="1"/>
        </w:numPr>
        <w:pBdr>
          <w:top w:val="nil"/>
          <w:left w:val="nil"/>
          <w:bottom w:val="nil"/>
          <w:right w:val="nil"/>
          <w:between w:val="nil"/>
        </w:pBdr>
        <w:tabs>
          <w:tab w:val="left" w:pos="0"/>
        </w:tabs>
        <w:spacing w:line="360" w:lineRule="auto"/>
        <w:ind w:left="0" w:right="113" w:firstLine="0"/>
        <w:jc w:val="both"/>
        <w:rPr>
          <w:color w:val="000000"/>
        </w:rPr>
      </w:pPr>
      <w:r>
        <w:rPr>
          <w:rFonts w:ascii="Palatino Linotype" w:eastAsia="Palatino Linotype" w:hAnsi="Palatino Linotype" w:cs="Palatino Linotype"/>
        </w:rPr>
        <w:t xml:space="preserve">No obstante, mediante un acto jurídico posterior como lo es el informe justificado,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refirió que</w:t>
      </w:r>
      <w:r>
        <w:rPr>
          <w:rFonts w:ascii="Palatino Linotype" w:eastAsia="Palatino Linotype" w:hAnsi="Palatino Linotype" w:cs="Palatino Linotype"/>
          <w:color w:val="000000"/>
        </w:rPr>
        <w:t xml:space="preserve"> la información requerida por el particular, hace alusión a ciertas especificaciones para la entrega de la información, por </w:t>
      </w:r>
      <w:r>
        <w:rPr>
          <w:rFonts w:ascii="Palatino Linotype" w:eastAsia="Palatino Linotype" w:hAnsi="Palatino Linotype" w:cs="Palatino Linotype"/>
        </w:rPr>
        <w:t>tanto</w:t>
      </w:r>
      <w:r>
        <w:rPr>
          <w:rFonts w:ascii="Palatino Linotype" w:eastAsia="Palatino Linotype" w:hAnsi="Palatino Linotype" w:cs="Palatino Linotype"/>
          <w:color w:val="000000"/>
        </w:rPr>
        <w:t xml:space="preserve"> no es viable, no obstante precisa que la información demandada, obra en el Informe Policial Homologado, empero no cumple con las especificaciones solicitadas; así mismo  refiere que el contenido del documento es capturado e ingresado a la plataforma, por tanto forma parte de la base de datos del Sistema Nacional de Información; así como en los registros nacionales, agregando que la información en materia de detenciones, información criminal, personal de seguridad pública y demás necesaria para la operación del Sistema Nacional de Información, resulta ser información clasificada como reservada, por lo que no resulta procedente proporcionar al particular los comprobantes del Informe Policial Homologado que tiene bajo su resguardo el Jefe de la </w:t>
      </w:r>
      <w:r>
        <w:rPr>
          <w:rFonts w:ascii="Palatino Linotype" w:eastAsia="Palatino Linotype" w:hAnsi="Palatino Linotype" w:cs="Palatino Linotype"/>
          <w:color w:val="000000"/>
        </w:rPr>
        <w:lastRenderedPageBreak/>
        <w:t xml:space="preserve">Unidad de Mando, Comando y Comunicación adscrito a la Dirección de Seguridad Ciudadana y Vialidad del Ayuntamiento de Tultitlán. </w:t>
      </w:r>
    </w:p>
    <w:p w:rsidR="005A06FD" w:rsidRDefault="005A06FD">
      <w:pPr>
        <w:pBdr>
          <w:top w:val="nil"/>
          <w:left w:val="nil"/>
          <w:bottom w:val="nil"/>
          <w:right w:val="nil"/>
          <w:between w:val="nil"/>
        </w:pBdr>
        <w:tabs>
          <w:tab w:val="left" w:pos="0"/>
        </w:tabs>
        <w:spacing w:line="360" w:lineRule="auto"/>
        <w:ind w:right="113"/>
        <w:jc w:val="both"/>
        <w:rPr>
          <w:rFonts w:ascii="Palatino Linotype" w:eastAsia="Palatino Linotype" w:hAnsi="Palatino Linotype" w:cs="Palatino Linotype"/>
          <w:color w:val="000000"/>
        </w:rPr>
      </w:pPr>
    </w:p>
    <w:p w:rsidR="005A06FD" w:rsidRDefault="009636D3">
      <w:pPr>
        <w:numPr>
          <w:ilvl w:val="0"/>
          <w:numId w:val="1"/>
        </w:numPr>
        <w:pBdr>
          <w:top w:val="nil"/>
          <w:left w:val="nil"/>
          <w:bottom w:val="nil"/>
          <w:right w:val="nil"/>
          <w:between w:val="nil"/>
        </w:pBdr>
        <w:tabs>
          <w:tab w:val="left" w:pos="0"/>
        </w:tabs>
        <w:spacing w:line="360" w:lineRule="auto"/>
        <w:ind w:left="0" w:right="113" w:firstLine="0"/>
        <w:jc w:val="both"/>
        <w:rPr>
          <w:color w:val="000000"/>
        </w:rPr>
      </w:pPr>
      <w:r>
        <w:rPr>
          <w:rFonts w:ascii="Palatino Linotype" w:eastAsia="Palatino Linotype" w:hAnsi="Palatino Linotype" w:cs="Palatino Linotype"/>
          <w:color w:val="000000"/>
        </w:rPr>
        <w:t xml:space="preserve">Resulta necesario referir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asume de manera expresa que genera, posee y administra lo solicitado, tan es así que refiere que la información requerida se encuentra dentro del Informe Policial Homologado. </w:t>
      </w:r>
    </w:p>
    <w:p w:rsidR="005A06FD" w:rsidRDefault="005A06FD">
      <w:pPr>
        <w:pBdr>
          <w:top w:val="nil"/>
          <w:left w:val="nil"/>
          <w:bottom w:val="nil"/>
          <w:right w:val="nil"/>
          <w:between w:val="nil"/>
        </w:pBdr>
        <w:spacing w:line="360" w:lineRule="auto"/>
        <w:ind w:left="720" w:right="113"/>
        <w:rPr>
          <w:rFonts w:ascii="Palatino Linotype" w:eastAsia="Palatino Linotype" w:hAnsi="Palatino Linotype" w:cs="Palatino Linotype"/>
          <w:color w:val="000000"/>
        </w:rPr>
      </w:pPr>
    </w:p>
    <w:p w:rsidR="005A06FD" w:rsidRDefault="009636D3">
      <w:pPr>
        <w:numPr>
          <w:ilvl w:val="0"/>
          <w:numId w:val="1"/>
        </w:numPr>
        <w:pBdr>
          <w:top w:val="nil"/>
          <w:left w:val="nil"/>
          <w:bottom w:val="nil"/>
          <w:right w:val="nil"/>
          <w:between w:val="nil"/>
        </w:pBdr>
        <w:tabs>
          <w:tab w:val="left" w:pos="0"/>
        </w:tabs>
        <w:spacing w:line="360" w:lineRule="auto"/>
        <w:ind w:left="0" w:right="113" w:firstLine="0"/>
        <w:jc w:val="both"/>
        <w:rPr>
          <w:color w:val="000000"/>
        </w:rPr>
      </w:pPr>
      <w:r>
        <w:rPr>
          <w:rFonts w:ascii="Palatino Linotype" w:eastAsia="Palatino Linotype" w:hAnsi="Palatino Linotype" w:cs="Palatino Linotype"/>
          <w:color w:val="000000"/>
        </w:rPr>
        <w:t xml:space="preserve">En </w:t>
      </w:r>
      <w:r>
        <w:rPr>
          <w:rFonts w:ascii="Palatino Linotype" w:eastAsia="Palatino Linotype" w:hAnsi="Palatino Linotype" w:cs="Palatino Linotype"/>
        </w:rPr>
        <w:t xml:space="preserve">este sentido, </w:t>
      </w:r>
      <w:r>
        <w:rPr>
          <w:rFonts w:ascii="Palatino Linotype" w:eastAsia="Palatino Linotype" w:hAnsi="Palatino Linotype" w:cs="Palatino Linotype"/>
          <w:color w:val="222222"/>
        </w:rPr>
        <w:t>el hecho de que el</w:t>
      </w:r>
      <w:r>
        <w:rPr>
          <w:rFonts w:ascii="Palatino Linotype" w:eastAsia="Palatino Linotype" w:hAnsi="Palatino Linotype" w:cs="Palatino Linotype"/>
          <w:b/>
          <w:bCs/>
          <w:color w:val="222222"/>
        </w:rPr>
        <w:t xml:space="preserve"> SUJETO OBLIGADO</w:t>
      </w:r>
      <w:r>
        <w:rPr>
          <w:rFonts w:ascii="Palatino Linotype" w:eastAsia="Palatino Linotype" w:hAnsi="Palatino Linotype" w:cs="Palatino Linotype"/>
          <w:color w:val="222222"/>
        </w:rPr>
        <w:t xml:space="preserve"> haya asumido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5A06FD" w:rsidRDefault="009636D3">
      <w:pPr>
        <w:shd w:val="clear" w:color="auto" w:fill="FFFFFF"/>
        <w:ind w:left="567" w:right="567"/>
        <w:jc w:val="both"/>
        <w:rPr>
          <w:rFonts w:ascii="Palatino Linotype" w:eastAsia="Palatino Linotype" w:hAnsi="Palatino Linotype" w:cs="Palatino Linotype"/>
          <w:i/>
          <w:iCs/>
          <w:color w:val="222222"/>
        </w:rPr>
      </w:pPr>
      <w:r>
        <w:rPr>
          <w:rFonts w:ascii="Palatino Linotype" w:eastAsia="Palatino Linotype" w:hAnsi="Palatino Linotype" w:cs="Palatino Linotype"/>
          <w:i/>
          <w:iCs/>
          <w:color w:val="222222"/>
        </w:rPr>
        <w:t>“</w:t>
      </w:r>
      <w:r>
        <w:rPr>
          <w:rFonts w:ascii="Palatino Linotype" w:eastAsia="Palatino Linotype" w:hAnsi="Palatino Linotype" w:cs="Palatino Linotype"/>
          <w:b/>
          <w:bCs/>
          <w:i/>
          <w:iCs/>
          <w:color w:val="222222"/>
        </w:rPr>
        <w:t>Artículo 12.</w:t>
      </w:r>
      <w:r>
        <w:rPr>
          <w:rFonts w:ascii="Palatino Linotype" w:eastAsia="Palatino Linotype" w:hAnsi="Palatino Linotype" w:cs="Palatino Linotype"/>
          <w:i/>
          <w:iCs/>
          <w:color w:val="222222"/>
        </w:rPr>
        <w:t> Quienes generen, recopilen, administren, manejen, procesen, archiven o conserven información pública serán responsables de la misma en los términos de las disposiciones jurídicas aplicables.</w:t>
      </w:r>
    </w:p>
    <w:p w:rsidR="005A06FD" w:rsidRDefault="005A06FD">
      <w:pPr>
        <w:shd w:val="clear" w:color="auto" w:fill="FFFFFF"/>
        <w:ind w:left="567"/>
        <w:jc w:val="both"/>
        <w:rPr>
          <w:rFonts w:ascii="Palatino Linotype" w:eastAsia="Palatino Linotype" w:hAnsi="Palatino Linotype" w:cs="Palatino Linotype"/>
          <w:color w:val="222222"/>
        </w:rPr>
      </w:pPr>
    </w:p>
    <w:p w:rsidR="005A06FD" w:rsidRDefault="009636D3">
      <w:pPr>
        <w:shd w:val="clear" w:color="auto" w:fill="FFFFFF"/>
        <w:ind w:left="567" w:right="567"/>
        <w:jc w:val="both"/>
        <w:rPr>
          <w:rFonts w:ascii="Palatino Linotype" w:eastAsia="Palatino Linotype" w:hAnsi="Palatino Linotype" w:cs="Palatino Linotype"/>
          <w:i/>
          <w:iCs/>
          <w:color w:val="222222"/>
        </w:rPr>
      </w:pPr>
      <w:r>
        <w:rPr>
          <w:rFonts w:ascii="Palatino Linotype" w:eastAsia="Palatino Linotype" w:hAnsi="Palatino Linotype" w:cs="Palatino Linotype"/>
          <w:i/>
          <w:iCs/>
          <w:color w:val="2222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A06FD" w:rsidRDefault="009636D3">
      <w:pPr>
        <w:numPr>
          <w:ilvl w:val="0"/>
          <w:numId w:val="1"/>
        </w:numPr>
        <w:pBdr>
          <w:top w:val="nil"/>
          <w:left w:val="nil"/>
          <w:bottom w:val="nil"/>
          <w:right w:val="nil"/>
          <w:between w:val="nil"/>
        </w:pBdr>
        <w:spacing w:line="360" w:lineRule="auto"/>
        <w:ind w:left="0" w:firstLine="0"/>
        <w:jc w:val="both"/>
        <w:rPr>
          <w:color w:val="000000"/>
        </w:rPr>
      </w:pPr>
      <w:r>
        <w:rPr>
          <w:rFonts w:ascii="Palatino Linotype" w:eastAsia="Palatino Linotype" w:hAnsi="Palatino Linotype" w:cs="Palatino Linotype"/>
          <w:color w:val="000000"/>
        </w:rPr>
        <w:t>En continuidad, respecto a la naturaleza de la información solicitada, es oportuno traer a colación los artículos 10, fracción V y X de la Ley General del Sistema Nacional de Seguridad Pública, 22 fracción V, de la Ley de Seguridad del Estado de México y los numerales 125, fracción VIII y 142 de la Ley Orgánica Municipal del Estado de México, disposiciones legales que disponen a la letra, lo siguiente:</w:t>
      </w:r>
    </w:p>
    <w:p w:rsidR="005A06FD" w:rsidRDefault="009636D3">
      <w:pPr>
        <w:ind w:left="567" w:right="539"/>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Ley General del Sistema Nacional de Seguridad Pública</w:t>
      </w:r>
    </w:p>
    <w:p w:rsidR="005A06FD" w:rsidRDefault="005A06FD">
      <w:pPr>
        <w:ind w:left="567" w:right="539"/>
        <w:jc w:val="both"/>
        <w:rPr>
          <w:rFonts w:ascii="Palatino Linotype" w:eastAsia="Palatino Linotype" w:hAnsi="Palatino Linotype" w:cs="Palatino Linotype"/>
          <w:b/>
          <w:bCs/>
          <w:i/>
          <w:iCs/>
          <w:color w:val="000000"/>
        </w:rPr>
      </w:pPr>
    </w:p>
    <w:p w:rsidR="005A06FD" w:rsidRDefault="009636D3">
      <w:pPr>
        <w:ind w:left="567" w:right="53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Artículo 10.- Corresponde a la Federación, las entidades federativas y los municipios, en el ámbito de sus respectivas competencias: </w:t>
      </w:r>
    </w:p>
    <w:p w:rsidR="005A06FD" w:rsidRDefault="009636D3">
      <w:pPr>
        <w:ind w:left="567" w:right="53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w:t>
      </w:r>
    </w:p>
    <w:p w:rsidR="005A06FD" w:rsidRDefault="009636D3">
      <w:pPr>
        <w:ind w:left="567" w:right="539"/>
        <w:jc w:val="both"/>
        <w:rPr>
          <w:rFonts w:ascii="Palatino Linotype" w:eastAsia="Palatino Linotype" w:hAnsi="Palatino Linotype" w:cs="Palatino Linotype"/>
          <w:b/>
          <w:bCs/>
          <w:i/>
          <w:iCs/>
        </w:rPr>
      </w:pPr>
      <w:r>
        <w:rPr>
          <w:rFonts w:ascii="Palatino Linotype" w:eastAsia="Palatino Linotype" w:hAnsi="Palatino Linotype" w:cs="Palatino Linotype"/>
          <w:i/>
          <w:iCs/>
        </w:rPr>
        <w:t>V. Proporcionar al Sistema Nacional de Información, de manera oportuna, permanente y objetiva, las bases de datos correspondientes para su interconexión y consulta, de conformidad con esta Ley y otras disposiciones jurídicas aplicables;</w:t>
      </w:r>
    </w:p>
    <w:p w:rsidR="005A06FD" w:rsidRDefault="009636D3">
      <w:pPr>
        <w:ind w:left="567" w:right="53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w:t>
      </w:r>
    </w:p>
    <w:p w:rsidR="005A06FD" w:rsidRDefault="009636D3">
      <w:pPr>
        <w:ind w:left="567" w:right="539"/>
        <w:jc w:val="both"/>
        <w:rPr>
          <w:rFonts w:ascii="Palatino Linotype" w:eastAsia="Palatino Linotype" w:hAnsi="Palatino Linotype" w:cs="Palatino Linotype"/>
          <w:b/>
          <w:bCs/>
          <w:i/>
          <w:iCs/>
        </w:rPr>
      </w:pPr>
      <w:r>
        <w:rPr>
          <w:rFonts w:ascii="Palatino Linotype" w:eastAsia="Palatino Linotype" w:hAnsi="Palatino Linotype" w:cs="Palatino Linotype"/>
          <w:i/>
          <w:iCs/>
        </w:rPr>
        <w:t>X. Integrar y consultar la información relativa a la operación y desarrollo policial para el registro y seguimiento en el Sistema Nacional de Información;</w:t>
      </w:r>
    </w:p>
    <w:p w:rsidR="005A06FD" w:rsidRDefault="005A06FD">
      <w:pPr>
        <w:ind w:left="567" w:right="539"/>
        <w:jc w:val="both"/>
        <w:rPr>
          <w:rFonts w:ascii="Palatino Linotype" w:eastAsia="Palatino Linotype" w:hAnsi="Palatino Linotype" w:cs="Palatino Linotype"/>
          <w:b/>
          <w:bCs/>
          <w:i/>
          <w:iCs/>
          <w:color w:val="FF0000"/>
        </w:rPr>
      </w:pPr>
    </w:p>
    <w:p w:rsidR="005A06FD" w:rsidRDefault="009636D3">
      <w:pPr>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color w:val="000000"/>
        </w:rPr>
        <w:t>Articulo 10</w:t>
      </w:r>
      <w:r>
        <w:rPr>
          <w:rFonts w:ascii="Palatino Linotype" w:eastAsia="Palatino Linotype" w:hAnsi="Palatino Linotype" w:cs="Palatino Linotype"/>
          <w:i/>
          <w:iCs/>
        </w:rPr>
        <w:t>6.- Las Instituciones de Procuración de Justicia deberán compartir al Sistema Nacional de Información la información necesaria para integrar el Registro Nacional de Eficiencia Ministerial de conformidad con los lineamientos que al efecto emita el Secretariado Ejecutivo.</w:t>
      </w:r>
    </w:p>
    <w:p w:rsidR="005A06FD" w:rsidRDefault="009636D3">
      <w:pPr>
        <w:ind w:left="567" w:right="539"/>
        <w:jc w:val="both"/>
        <w:rPr>
          <w:rFonts w:ascii="Palatino Linotype" w:eastAsia="Palatino Linotype" w:hAnsi="Palatino Linotype" w:cs="Palatino Linotype"/>
          <w:i/>
          <w:iCs/>
        </w:rPr>
      </w:pPr>
      <w:r>
        <w:rPr>
          <w:rFonts w:ascii="Palatino Linotype" w:eastAsia="Palatino Linotype" w:hAnsi="Palatino Linotype" w:cs="Palatino Linotype"/>
          <w:i/>
          <w:iCs/>
        </w:rPr>
        <w:t>Dicho Registro deberá contener, por lo menos:</w:t>
      </w:r>
    </w:p>
    <w:p w:rsidR="005A06FD" w:rsidRDefault="009636D3">
      <w:pPr>
        <w:ind w:left="993" w:right="53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Actas de hechos, circunstanciadas o similares; </w:t>
      </w:r>
    </w:p>
    <w:p w:rsidR="005A06FD" w:rsidRDefault="009636D3">
      <w:pPr>
        <w:ind w:left="993" w:right="53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Denuncias recibidas y su clasificación jurídica; </w:t>
      </w:r>
    </w:p>
    <w:p w:rsidR="005A06FD" w:rsidRDefault="009636D3">
      <w:pPr>
        <w:ind w:left="993" w:right="53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Determinaciones ministeriales adoptadas, ya sea judicialización, archivo, no ejercicio de la acción penal, acumulación, incompetencia u otras similares; </w:t>
      </w:r>
    </w:p>
    <w:p w:rsidR="005A06FD" w:rsidRDefault="009636D3">
      <w:pPr>
        <w:ind w:left="993" w:right="53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Vinculaciones a proceso; </w:t>
      </w:r>
    </w:p>
    <w:p w:rsidR="005A06FD" w:rsidRDefault="009636D3">
      <w:pPr>
        <w:ind w:left="993" w:right="53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 Acuerdos reparatorios, criterios de oportunidad y otras formas de solución alterna aplicadas; </w:t>
      </w:r>
    </w:p>
    <w:p w:rsidR="005A06FD" w:rsidRDefault="009636D3">
      <w:pPr>
        <w:ind w:left="993" w:right="53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 Etapa procesal, y </w:t>
      </w:r>
    </w:p>
    <w:p w:rsidR="005A06FD" w:rsidRDefault="009636D3">
      <w:pPr>
        <w:ind w:left="993" w:right="53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 Las demás que determinen las normativas aplicables y el Consejo Nacional. </w:t>
      </w:r>
    </w:p>
    <w:p w:rsidR="005A06FD" w:rsidRDefault="005A06FD">
      <w:pPr>
        <w:ind w:left="993" w:right="539"/>
        <w:jc w:val="both"/>
        <w:rPr>
          <w:rFonts w:ascii="Palatino Linotype" w:eastAsia="Palatino Linotype" w:hAnsi="Palatino Linotype" w:cs="Palatino Linotype"/>
          <w:i/>
          <w:iCs/>
        </w:rPr>
      </w:pPr>
    </w:p>
    <w:p w:rsidR="005A06FD" w:rsidRDefault="009636D3">
      <w:pPr>
        <w:ind w:left="567" w:right="539"/>
        <w:jc w:val="both"/>
        <w:rPr>
          <w:rFonts w:ascii="Palatino Linotype" w:eastAsia="Palatino Linotype" w:hAnsi="Palatino Linotype" w:cs="Palatino Linotype"/>
          <w:i/>
          <w:iCs/>
        </w:rPr>
      </w:pPr>
      <w:r>
        <w:rPr>
          <w:rFonts w:ascii="Palatino Linotype" w:eastAsia="Palatino Linotype" w:hAnsi="Palatino Linotype" w:cs="Palatino Linotype"/>
          <w:i/>
          <w:iCs/>
        </w:rPr>
        <w:t>El suministro de esta información se realizará bajo los principios de objetividad, protección de datos personales y uso legítimo de la información, y no afectará el ejercicio de la facultad de conducción y persecución penal de las instituciones referidas. El tratamiento de datos personales deberá apegarse al cumplimiento de las disposiciones jurídicas en la materia</w:t>
      </w:r>
    </w:p>
    <w:p w:rsidR="005A06FD" w:rsidRDefault="005A06FD">
      <w:pPr>
        <w:ind w:left="567" w:right="539"/>
        <w:jc w:val="both"/>
        <w:rPr>
          <w:rFonts w:ascii="Palatino Linotype" w:eastAsia="Palatino Linotype" w:hAnsi="Palatino Linotype" w:cs="Palatino Linotype"/>
          <w:b/>
          <w:bCs/>
          <w:i/>
          <w:iCs/>
          <w:color w:val="000000"/>
        </w:rPr>
      </w:pPr>
    </w:p>
    <w:p w:rsidR="005A06FD" w:rsidRDefault="009636D3">
      <w:pPr>
        <w:ind w:left="567" w:right="53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107.-</w:t>
      </w:r>
      <w:r>
        <w:rPr>
          <w:rFonts w:ascii="Palatino Linotype" w:eastAsia="Palatino Linotype" w:hAnsi="Palatino Linotype" w:cs="Palatino Linotype"/>
          <w:i/>
          <w:iCs/>
          <w:color w:val="000000"/>
        </w:rPr>
        <w:t xml:space="preserve"> Las bases de datos constituyen subconjuntos sistematizados de la información contenida en el Sistema Nacional de Información que comparten las Instituciones de Seguridad Pública relativa a la incidencia delictiva, las investigaciones, órdenes de detención y aprehensión, órdenes de protección para mujeres, adolescentes, niñas y niños, procesos penales, sentencias o ejecución de penas, y aquellas que determine el Consejo Nacional.</w:t>
      </w:r>
    </w:p>
    <w:p w:rsidR="005A06FD" w:rsidRDefault="005A06FD">
      <w:pPr>
        <w:ind w:left="567" w:right="539"/>
        <w:jc w:val="center"/>
        <w:rPr>
          <w:rFonts w:ascii="Palatino Linotype" w:eastAsia="Palatino Linotype" w:hAnsi="Palatino Linotype" w:cs="Palatino Linotype"/>
          <w:i/>
          <w:iCs/>
          <w:color w:val="000000"/>
        </w:rPr>
      </w:pPr>
    </w:p>
    <w:p w:rsidR="005A06FD" w:rsidRDefault="009636D3">
      <w:pPr>
        <w:ind w:left="567" w:right="53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ab/>
      </w:r>
      <w:r>
        <w:rPr>
          <w:rFonts w:ascii="Palatino Linotype" w:eastAsia="Palatino Linotype" w:hAnsi="Palatino Linotype" w:cs="Palatino Linotype"/>
          <w:b/>
          <w:bCs/>
          <w:i/>
          <w:iCs/>
          <w:color w:val="000000"/>
        </w:rPr>
        <w:tab/>
      </w:r>
      <w:r>
        <w:rPr>
          <w:rFonts w:ascii="Palatino Linotype" w:eastAsia="Palatino Linotype" w:hAnsi="Palatino Linotype" w:cs="Palatino Linotype"/>
          <w:b/>
          <w:bCs/>
          <w:i/>
          <w:iCs/>
          <w:color w:val="000000"/>
        </w:rPr>
        <w:tab/>
      </w:r>
      <w:r>
        <w:rPr>
          <w:rFonts w:ascii="Palatino Linotype" w:eastAsia="Palatino Linotype" w:hAnsi="Palatino Linotype" w:cs="Palatino Linotype"/>
          <w:b/>
          <w:bCs/>
          <w:i/>
          <w:iCs/>
          <w:color w:val="000000"/>
        </w:rPr>
        <w:tab/>
        <w:t>Ley de Seguridad del Estado de México</w:t>
      </w:r>
    </w:p>
    <w:p w:rsidR="005A06FD" w:rsidRDefault="005A06FD">
      <w:pPr>
        <w:ind w:left="567" w:right="539"/>
        <w:jc w:val="both"/>
        <w:rPr>
          <w:rFonts w:ascii="Palatino Linotype" w:eastAsia="Palatino Linotype" w:hAnsi="Palatino Linotype" w:cs="Palatino Linotype"/>
          <w:i/>
          <w:iCs/>
          <w:color w:val="000000"/>
        </w:rPr>
      </w:pPr>
    </w:p>
    <w:p w:rsidR="005A06FD" w:rsidRDefault="009636D3">
      <w:pPr>
        <w:ind w:left="567" w:right="53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22.- Son atribuciones del Director de Seguridad Pública Municipal: I. Participar en la elaboración del Programa Municipal de Seguridad Pública y del Programa Municipal de Prevención Social de la Violencia y la Delincuencia con Participación Ciudadana; </w:t>
      </w:r>
    </w:p>
    <w:p w:rsidR="005A06FD" w:rsidRDefault="009636D3">
      <w:pPr>
        <w:ind w:left="567" w:right="539"/>
        <w:jc w:val="both"/>
        <w:rPr>
          <w:rFonts w:ascii="Palatino Linotype" w:eastAsia="Palatino Linotype" w:hAnsi="Palatino Linotype" w:cs="Palatino Linotype"/>
          <w:i/>
          <w:iCs/>
        </w:rPr>
      </w:pPr>
      <w:r>
        <w:rPr>
          <w:rFonts w:ascii="Palatino Linotype" w:eastAsia="Palatino Linotype" w:hAnsi="Palatino Linotype" w:cs="Palatino Linotype"/>
          <w:i/>
          <w:iCs/>
        </w:rPr>
        <w:t>II. Organizar, operar, supervisar y controlar a los integrantes de las instituciones policiales a su cargo;</w:t>
      </w:r>
    </w:p>
    <w:p w:rsidR="005A06FD" w:rsidRDefault="009636D3">
      <w:pPr>
        <w:ind w:left="567" w:right="53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A06FD" w:rsidRDefault="009636D3">
      <w:pPr>
        <w:ind w:left="567" w:right="539"/>
        <w:jc w:val="both"/>
        <w:rPr>
          <w:rFonts w:ascii="Palatino Linotype" w:eastAsia="Palatino Linotype" w:hAnsi="Palatino Linotype" w:cs="Palatino Linotype"/>
          <w:b/>
          <w:bCs/>
          <w:i/>
          <w:iCs/>
          <w:color w:val="000000"/>
          <w:u w:val="single"/>
        </w:rPr>
      </w:pPr>
      <w:r>
        <w:rPr>
          <w:rFonts w:ascii="Palatino Linotype" w:eastAsia="Palatino Linotype" w:hAnsi="Palatino Linotype" w:cs="Palatino Linotype"/>
          <w:b/>
          <w:bCs/>
          <w:i/>
          <w:iCs/>
          <w:u w:val="single"/>
        </w:rPr>
        <w:t>V. Contar con las estadísticas delictivas y efectuar la supervisión de las acciones de seguridad pública municipal;</w:t>
      </w:r>
    </w:p>
    <w:p w:rsidR="005A06FD" w:rsidRDefault="005A06FD">
      <w:pPr>
        <w:ind w:left="567" w:right="539"/>
        <w:jc w:val="both"/>
        <w:rPr>
          <w:rFonts w:ascii="Palatino Linotype" w:eastAsia="Palatino Linotype" w:hAnsi="Palatino Linotype" w:cs="Palatino Linotype"/>
          <w:i/>
          <w:iCs/>
          <w:color w:val="000000"/>
        </w:rPr>
      </w:pPr>
    </w:p>
    <w:p w:rsidR="005A06FD" w:rsidRDefault="009636D3">
      <w:pPr>
        <w:ind w:left="567" w:right="539"/>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Ley Orgánica Municipal del Estado de México</w:t>
      </w:r>
    </w:p>
    <w:p w:rsidR="005A06FD" w:rsidRDefault="005A06FD">
      <w:pPr>
        <w:ind w:left="567" w:right="539"/>
        <w:jc w:val="both"/>
        <w:rPr>
          <w:rFonts w:ascii="Palatino Linotype" w:eastAsia="Palatino Linotype" w:hAnsi="Palatino Linotype" w:cs="Palatino Linotype"/>
          <w:b/>
          <w:bCs/>
          <w:i/>
          <w:iCs/>
          <w:color w:val="000000"/>
        </w:rPr>
      </w:pPr>
    </w:p>
    <w:p w:rsidR="005A06FD" w:rsidRDefault="009636D3">
      <w:pPr>
        <w:ind w:left="567" w:right="53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125</w:t>
      </w:r>
      <w:r>
        <w:rPr>
          <w:rFonts w:ascii="Palatino Linotype" w:eastAsia="Palatino Linotype" w:hAnsi="Palatino Linotype" w:cs="Palatino Linotype"/>
          <w:i/>
          <w:iCs/>
          <w:color w:val="000000"/>
        </w:rPr>
        <w:t>.- Los municipios tendrán a su cargo la prestación, explotación, administración y conservación de los servicios públicos municipales, considerándose enunciativa y no limitativamente, los siguientes:</w:t>
      </w:r>
    </w:p>
    <w:p w:rsidR="005A06FD" w:rsidRDefault="009636D3">
      <w:pPr>
        <w:ind w:left="567" w:right="53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 a VII…</w:t>
      </w:r>
    </w:p>
    <w:p w:rsidR="005A06FD" w:rsidRDefault="009636D3">
      <w:pPr>
        <w:ind w:left="567" w:right="53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VIII. Seguridad pública y tránsito;</w:t>
      </w:r>
    </w:p>
    <w:p w:rsidR="005A06FD" w:rsidRDefault="009636D3">
      <w:pPr>
        <w:ind w:left="567" w:right="53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IX a XI…</w:t>
      </w:r>
    </w:p>
    <w:p w:rsidR="005A06FD" w:rsidRDefault="009636D3">
      <w:pPr>
        <w:ind w:left="567" w:right="53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142</w:t>
      </w:r>
      <w:r>
        <w:rPr>
          <w:rFonts w:ascii="Palatino Linotype" w:eastAsia="Palatino Linotype" w:hAnsi="Palatino Linotype" w:cs="Palatino Linotype"/>
          <w:i/>
          <w:iCs/>
          <w:color w:val="000000"/>
        </w:rPr>
        <w:t>.- Las funciones de seguridad pública del municipio en su respectivo ámbito de competencia, estarán a cargo de un Director de Seguridad Pública Municipal o su equivalente, el cual deberá ser nombrado en los términos y requisitos establecidos en la Ley de Seguridad del Estado de México.</w:t>
      </w:r>
    </w:p>
    <w:p w:rsidR="005A06FD" w:rsidRDefault="009636D3">
      <w:pPr>
        <w:ind w:left="567" w:right="53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En cada municipio se deberán integrar cuerpos de seguridad pública, de bomberos y, en su caso, de tránsito, estos servidores públicos preferentemente serán vecinos del municipio, de los cuales el presidente municipal será el jefe inmediato</w:t>
      </w:r>
    </w:p>
    <w:p w:rsidR="005A06FD" w:rsidRDefault="005A06FD">
      <w:pPr>
        <w:spacing w:line="360" w:lineRule="auto"/>
        <w:ind w:left="567"/>
        <w:jc w:val="both"/>
        <w:rPr>
          <w:rFonts w:ascii="Palatino Linotype" w:eastAsia="Palatino Linotype" w:hAnsi="Palatino Linotype" w:cs="Palatino Linotype"/>
          <w:i/>
          <w:iCs/>
          <w:color w:val="000000"/>
        </w:rPr>
      </w:pPr>
    </w:p>
    <w:p w:rsidR="005A06FD" w:rsidRDefault="009636D3">
      <w:pPr>
        <w:numPr>
          <w:ilvl w:val="0"/>
          <w:numId w:val="1"/>
        </w:numPr>
        <w:pBdr>
          <w:top w:val="nil"/>
          <w:left w:val="nil"/>
          <w:bottom w:val="nil"/>
          <w:right w:val="nil"/>
          <w:between w:val="nil"/>
        </w:pBdr>
        <w:spacing w:line="360" w:lineRule="auto"/>
        <w:ind w:left="0" w:firstLine="0"/>
        <w:jc w:val="both"/>
        <w:rPr>
          <w:color w:val="000000"/>
        </w:rPr>
      </w:pPr>
      <w:r>
        <w:rPr>
          <w:rFonts w:ascii="Palatino Linotype" w:eastAsia="Palatino Linotype" w:hAnsi="Palatino Linotype" w:cs="Palatino Linotype"/>
          <w:color w:val="000000"/>
        </w:rPr>
        <w:t xml:space="preserve">De ahí que deba </w:t>
      </w:r>
      <w:r>
        <w:rPr>
          <w:rFonts w:ascii="Palatino Linotype" w:eastAsia="Palatino Linotype" w:hAnsi="Palatino Linotype" w:cs="Palatino Linotype"/>
        </w:rPr>
        <w:t>arribar</w:t>
      </w:r>
      <w:r>
        <w:rPr>
          <w:rFonts w:ascii="Palatino Linotype" w:eastAsia="Palatino Linotype" w:hAnsi="Palatino Linotype" w:cs="Palatino Linotype"/>
          <w:color w:val="000000"/>
        </w:rPr>
        <w:t xml:space="preserve"> a la premisa de que la Ley General del Sistema Nacional de Seguridad Pública prevé un esquema de distribución de competencias entre la Federación, los Estados y los Municipios, a fin que, estos últimos, realicen la integración y actualización de diversas Bases de Datos que integran información de incidencia delictiva; </w:t>
      </w:r>
      <w:r>
        <w:rPr>
          <w:rFonts w:ascii="Palatino Linotype" w:eastAsia="Palatino Linotype" w:hAnsi="Palatino Linotype" w:cs="Palatino Linotype"/>
          <w:b/>
          <w:bCs/>
          <w:color w:val="000000"/>
        </w:rPr>
        <w:t xml:space="preserve">máxime que, desde la entrada en vigor de la Ley de Seguridad del Estado de México, </w:t>
      </w:r>
      <w:r>
        <w:rPr>
          <w:rFonts w:ascii="Palatino Linotype" w:eastAsia="Palatino Linotype" w:hAnsi="Palatino Linotype" w:cs="Palatino Linotype"/>
          <w:b/>
          <w:bCs/>
          <w:i/>
          <w:iCs/>
          <w:color w:val="000000"/>
        </w:rPr>
        <w:t xml:space="preserve"> </w:t>
      </w:r>
      <w:r>
        <w:rPr>
          <w:rFonts w:ascii="Palatino Linotype" w:eastAsia="Palatino Linotype" w:hAnsi="Palatino Linotype" w:cs="Palatino Linotype"/>
          <w:b/>
          <w:bCs/>
          <w:color w:val="000000"/>
        </w:rPr>
        <w:t xml:space="preserve">se desprende la atribución </w:t>
      </w:r>
      <w:r>
        <w:rPr>
          <w:rFonts w:ascii="Palatino Linotype" w:eastAsia="Palatino Linotype" w:hAnsi="Palatino Linotype" w:cs="Palatino Linotype"/>
          <w:b/>
          <w:bCs/>
          <w:color w:val="000000"/>
        </w:rPr>
        <w:lastRenderedPageBreak/>
        <w:t xml:space="preserve">expresa para que, el Director de Seguridad Pública Municipal, </w:t>
      </w:r>
      <w:r>
        <w:rPr>
          <w:rFonts w:ascii="Palatino Linotype" w:eastAsia="Palatino Linotype" w:hAnsi="Palatino Linotype" w:cs="Palatino Linotype"/>
          <w:color w:val="000000"/>
        </w:rPr>
        <w:t xml:space="preserve">entre otras cosas, </w:t>
      </w:r>
      <w:r>
        <w:rPr>
          <w:rFonts w:ascii="Palatino Linotype" w:eastAsia="Palatino Linotype" w:hAnsi="Palatino Linotype" w:cs="Palatino Linotype"/>
          <w:b/>
          <w:bCs/>
          <w:color w:val="000000"/>
        </w:rPr>
        <w:t>genere estadística delictiva</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A06FD" w:rsidRDefault="009636D3">
      <w:pPr>
        <w:numPr>
          <w:ilvl w:val="0"/>
          <w:numId w:val="1"/>
        </w:numPr>
        <w:pBdr>
          <w:top w:val="nil"/>
          <w:left w:val="nil"/>
          <w:bottom w:val="nil"/>
          <w:right w:val="nil"/>
          <w:between w:val="nil"/>
        </w:pBdr>
        <w:spacing w:line="360" w:lineRule="auto"/>
        <w:ind w:left="0" w:firstLine="0"/>
        <w:jc w:val="both"/>
        <w:rPr>
          <w:color w:val="000000"/>
        </w:rPr>
      </w:pPr>
      <w:r>
        <w:rPr>
          <w:rFonts w:ascii="Palatino Linotype" w:eastAsia="Palatino Linotype" w:hAnsi="Palatino Linotype" w:cs="Palatino Linotype"/>
          <w:color w:val="000000"/>
        </w:rPr>
        <w:t xml:space="preserve">Así, la información requerida estriba dentro de las fronteras conceptuales del interés general y el alcance público, esto, de conformidad con los artículos 24, fracción XII y 92, fracción XXXIV de la Ley de Transparencia y Acceso a la Información Pública del Estado de México y Municipios, mismos que son de la literalidad siguiente: </w:t>
      </w:r>
    </w:p>
    <w:p w:rsidR="005A06FD" w:rsidRDefault="009636D3">
      <w:pPr>
        <w:ind w:left="567" w:right="53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Artículo 24. Para el cumplimiento de los objetivos de esta Ley, los sujetos obligados deberán cumplir con las siguientes obligaciones, según corresponda, de acuerdo a su naturaleza:</w:t>
      </w:r>
    </w:p>
    <w:p w:rsidR="005A06FD" w:rsidRDefault="005A06FD">
      <w:pPr>
        <w:ind w:left="567" w:right="539"/>
        <w:jc w:val="both"/>
        <w:rPr>
          <w:rFonts w:ascii="Palatino Linotype" w:eastAsia="Palatino Linotype" w:hAnsi="Palatino Linotype" w:cs="Palatino Linotype"/>
          <w:i/>
          <w:iCs/>
          <w:color w:val="000000"/>
        </w:rPr>
      </w:pPr>
    </w:p>
    <w:p w:rsidR="005A06FD" w:rsidRDefault="009636D3">
      <w:pPr>
        <w:ind w:left="567" w:right="53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 a XI…</w:t>
      </w:r>
    </w:p>
    <w:p w:rsidR="005A06FD" w:rsidRDefault="009636D3">
      <w:pPr>
        <w:ind w:left="567" w:right="53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XII. Publicar y mantener actualizada la información relativa a las obligaciones generales de transparencia previstas en la presente Ley o determinadas así por el Instituto, y en general aquella que sea de interés público;</w:t>
      </w:r>
    </w:p>
    <w:p w:rsidR="005A06FD" w:rsidRDefault="009636D3">
      <w:pPr>
        <w:ind w:left="567" w:right="53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XIII a XXV…</w:t>
      </w:r>
    </w:p>
    <w:p w:rsidR="005A06FD" w:rsidRDefault="005A06FD">
      <w:pPr>
        <w:ind w:left="567" w:right="539"/>
        <w:jc w:val="both"/>
        <w:rPr>
          <w:rFonts w:ascii="Palatino Linotype" w:eastAsia="Palatino Linotype" w:hAnsi="Palatino Linotype" w:cs="Palatino Linotype"/>
          <w:i/>
          <w:iCs/>
          <w:color w:val="000000"/>
        </w:rPr>
      </w:pPr>
    </w:p>
    <w:p w:rsidR="005A06FD" w:rsidRDefault="009636D3">
      <w:pPr>
        <w:ind w:left="567" w:right="53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92.</w:t>
      </w:r>
      <w:r>
        <w:rPr>
          <w:rFonts w:ascii="Palatino Linotype" w:eastAsia="Palatino Linotype" w:hAnsi="Palatino Linotype" w:cs="Palatino Linotype"/>
          <w:i/>
          <w:iCs/>
          <w:color w:val="000000"/>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5A06FD" w:rsidRDefault="005A06FD">
      <w:pPr>
        <w:ind w:left="567" w:right="539"/>
        <w:jc w:val="both"/>
        <w:rPr>
          <w:rFonts w:ascii="Palatino Linotype" w:eastAsia="Palatino Linotype" w:hAnsi="Palatino Linotype" w:cs="Palatino Linotype"/>
          <w:i/>
          <w:iCs/>
          <w:color w:val="000000"/>
        </w:rPr>
      </w:pPr>
    </w:p>
    <w:p w:rsidR="005A06FD" w:rsidRDefault="009636D3">
      <w:pPr>
        <w:ind w:left="567" w:right="53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 a XXXIII…</w:t>
      </w:r>
    </w:p>
    <w:p w:rsidR="005A06FD" w:rsidRDefault="009636D3">
      <w:pPr>
        <w:ind w:left="567" w:right="53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XXXIV. Las estadísticas que generen en cumplimiento de sus facultades, competencias o funciones con la mayor desagregación posible.</w:t>
      </w:r>
    </w:p>
    <w:p w:rsidR="005A06FD" w:rsidRDefault="009636D3">
      <w:pPr>
        <w:ind w:left="567" w:right="53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XXXV a LII…</w:t>
      </w:r>
    </w:p>
    <w:p w:rsidR="005A06FD" w:rsidRDefault="005A06FD">
      <w:pPr>
        <w:spacing w:line="360" w:lineRule="auto"/>
        <w:jc w:val="both"/>
        <w:rPr>
          <w:rFonts w:ascii="Palatino Linotype" w:eastAsia="Palatino Linotype" w:hAnsi="Palatino Linotype" w:cs="Palatino Linotype"/>
          <w:b/>
          <w:bCs/>
          <w:u w:val="single"/>
        </w:rPr>
      </w:pPr>
    </w:p>
    <w:p w:rsidR="005A06FD" w:rsidRDefault="009636D3">
      <w:pPr>
        <w:numPr>
          <w:ilvl w:val="0"/>
          <w:numId w:val="1"/>
        </w:numPr>
        <w:pBdr>
          <w:top w:val="nil"/>
          <w:left w:val="nil"/>
          <w:bottom w:val="nil"/>
          <w:right w:val="nil"/>
          <w:between w:val="nil"/>
        </w:pBdr>
        <w:spacing w:line="360" w:lineRule="auto"/>
        <w:ind w:left="0" w:firstLine="0"/>
        <w:jc w:val="both"/>
        <w:rPr>
          <w:color w:val="000000"/>
        </w:rPr>
      </w:pPr>
      <w:r>
        <w:rPr>
          <w:rFonts w:ascii="Palatino Linotype" w:eastAsia="Palatino Linotype" w:hAnsi="Palatino Linotype" w:cs="Palatino Linotype"/>
          <w:color w:val="000000"/>
        </w:rPr>
        <w:t>De forma complementaria, resulta de nuestro particular interés el criterio de interpretación para sujetos obligados histórico, con clave de control S0/011/2009 emitido por el Pleno del entonces Instituto Nacional de Transparencia, Acceso a la Información y Protección de Datos Personales, que a la letra dispone lo siguiente:</w:t>
      </w:r>
    </w:p>
    <w:p w:rsidR="005A06FD" w:rsidRDefault="009636D3">
      <w:pPr>
        <w:ind w:left="567" w:right="53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 xml:space="preserve">LA INFORMACIÓN ESTADÍSTICA ES DE NATURALEZA PÚBLICA, INDEPENDIENTEMENTE DE LA MATERIA CON LA QUE SE ENCUENTRE VINCULADA. </w:t>
      </w:r>
      <w:r>
        <w:rPr>
          <w:rFonts w:ascii="Palatino Linotype" w:eastAsia="Palatino Linotype" w:hAnsi="Palatino Linotype" w:cs="Palatino Linotype"/>
          <w:i/>
          <w:iCs/>
          <w:color w:val="000000"/>
        </w:rPr>
        <w:t>Considerando que la información   estadística   es   el   producto   de   un   conjunto   de   resultados cuantitativos obtenidos de un proceso sistemático de captación de datos primarios obtenidos sobre hechos que constan en documentos que las dependencias y entidades poseen, derivado del ejercicio de sus atribuciones, y que el artículo 7, fracción XVII de la Ley Federal de Transparencia y Acceso a la Información Pública Gubernamental establece que los sujetos obligados deberán poner a disposición del público, entre otra, la relativa a la que con base en la información estadística, responda a las preguntas hechas con más frecuencia por el público, es posible afirmar que la información estadística es de naturaleza pública. Lo anterior se debe también a que, por definición, los datos estadísticos no se encuentran individualizados o personalizados a casos o situaciones específicas que pudieran llegar a justificar su clasificación.</w:t>
      </w:r>
    </w:p>
    <w:p w:rsidR="005A06FD" w:rsidRDefault="005A06FD">
      <w:pPr>
        <w:spacing w:line="360" w:lineRule="auto"/>
        <w:jc w:val="both"/>
        <w:rPr>
          <w:rFonts w:ascii="Palatino Linotype" w:eastAsia="Palatino Linotype" w:hAnsi="Palatino Linotype" w:cs="Palatino Linotype"/>
          <w:b/>
          <w:bCs/>
          <w:u w:val="single"/>
        </w:rPr>
      </w:pPr>
    </w:p>
    <w:p w:rsidR="005A06FD" w:rsidRDefault="009636D3">
      <w:pPr>
        <w:numPr>
          <w:ilvl w:val="0"/>
          <w:numId w:val="1"/>
        </w:numPr>
        <w:pBdr>
          <w:top w:val="nil"/>
          <w:left w:val="nil"/>
          <w:bottom w:val="nil"/>
          <w:right w:val="nil"/>
          <w:between w:val="nil"/>
        </w:pBdr>
        <w:spacing w:line="360" w:lineRule="auto"/>
        <w:ind w:left="0" w:firstLine="0"/>
        <w:jc w:val="both"/>
        <w:rPr>
          <w:color w:val="000000"/>
        </w:rPr>
      </w:pPr>
      <w:r>
        <w:rPr>
          <w:rFonts w:ascii="Palatino Linotype" w:eastAsia="Palatino Linotype" w:hAnsi="Palatino Linotype" w:cs="Palatino Linotype"/>
          <w:color w:val="000000"/>
        </w:rPr>
        <w:t>Así las cosas, se atrae al estudio los Lineamientos para el Llenado, Entrega, Recepción, Registro, Resguardo y Consulta del Informe Policial Homologado del que, se inserta lo siguiente:</w:t>
      </w:r>
    </w:p>
    <w:p w:rsidR="005A06FD" w:rsidRDefault="009636D3">
      <w:pPr>
        <w:ind w:left="567" w:right="53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PRIMERO. OBJETO Y ÁMBITO DE APLICACIÓN.</w:t>
      </w:r>
    </w:p>
    <w:p w:rsidR="005A06FD" w:rsidRDefault="009636D3">
      <w:pPr>
        <w:ind w:left="567" w:right="53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El Informe Policial Homologado es el medio a través del cual </w:t>
      </w:r>
      <w:r>
        <w:rPr>
          <w:rFonts w:ascii="Palatino Linotype" w:eastAsia="Palatino Linotype" w:hAnsi="Palatino Linotype" w:cs="Palatino Linotype"/>
          <w:b/>
          <w:bCs/>
          <w:i/>
          <w:iCs/>
        </w:rPr>
        <w:t>los integrantes de las instituciones policiales documentan la información relacionada con las puestas a disposición de personas y/o de objetos derivados de su intervención</w:t>
      </w:r>
      <w:r>
        <w:rPr>
          <w:rFonts w:ascii="Palatino Linotype" w:eastAsia="Palatino Linotype" w:hAnsi="Palatino Linotype" w:cs="Palatino Linotype"/>
          <w:i/>
          <w:iCs/>
        </w:rPr>
        <w:t>, a las autoridades competentes.</w:t>
      </w:r>
    </w:p>
    <w:p w:rsidR="005A06FD" w:rsidRDefault="005A06FD">
      <w:pPr>
        <w:ind w:left="567" w:right="539"/>
        <w:jc w:val="both"/>
        <w:rPr>
          <w:rFonts w:ascii="Palatino Linotype" w:eastAsia="Palatino Linotype" w:hAnsi="Palatino Linotype" w:cs="Palatino Linotype"/>
          <w:i/>
          <w:iCs/>
        </w:rPr>
      </w:pPr>
    </w:p>
    <w:p w:rsidR="005A06FD" w:rsidRDefault="009636D3">
      <w:pPr>
        <w:ind w:left="567" w:right="539"/>
        <w:jc w:val="both"/>
        <w:rPr>
          <w:rFonts w:ascii="Palatino Linotype" w:eastAsia="Palatino Linotype" w:hAnsi="Palatino Linotype" w:cs="Palatino Linotype"/>
          <w:i/>
          <w:iCs/>
        </w:rPr>
      </w:pPr>
      <w:r>
        <w:rPr>
          <w:rFonts w:ascii="Palatino Linotype" w:eastAsia="Palatino Linotype" w:hAnsi="Palatino Linotype" w:cs="Palatino Linotype"/>
          <w:i/>
          <w:iCs/>
        </w:rPr>
        <w:t>El Informe Policial Homologado tiene como objeto eficientar las puestas a disposición, garantizar el debido proceso, y fomentar el uso de la información para acciones de inteligencia.</w:t>
      </w:r>
    </w:p>
    <w:p w:rsidR="005A06FD" w:rsidRDefault="009636D3">
      <w:pPr>
        <w:ind w:left="567" w:right="539"/>
        <w:jc w:val="both"/>
        <w:rPr>
          <w:rFonts w:ascii="Palatino Linotype" w:eastAsia="Palatino Linotype" w:hAnsi="Palatino Linotype" w:cs="Palatino Linotype"/>
          <w:i/>
          <w:iCs/>
        </w:rPr>
      </w:pPr>
      <w:r>
        <w:rPr>
          <w:rFonts w:ascii="Palatino Linotype" w:eastAsia="Palatino Linotype" w:hAnsi="Palatino Linotype" w:cs="Palatino Linotype"/>
          <w:i/>
          <w:iCs/>
        </w:rPr>
        <w:t>Los presentes Lineamientos tienen como objeto señalar los criterios respecto a lo siguiente:</w:t>
      </w:r>
    </w:p>
    <w:p w:rsidR="005A06FD" w:rsidRDefault="009636D3">
      <w:pPr>
        <w:ind w:left="567" w:right="539"/>
        <w:jc w:val="both"/>
        <w:rPr>
          <w:rFonts w:ascii="Palatino Linotype" w:eastAsia="Palatino Linotype" w:hAnsi="Palatino Linotype" w:cs="Palatino Linotype"/>
          <w:i/>
          <w:iCs/>
        </w:rPr>
      </w:pPr>
      <w:r>
        <w:rPr>
          <w:rFonts w:ascii="Palatino Linotype" w:eastAsia="Palatino Linotype" w:hAnsi="Palatino Linotype" w:cs="Palatino Linotype"/>
          <w:i/>
          <w:iCs/>
        </w:rPr>
        <w:t>I a V …</w:t>
      </w:r>
    </w:p>
    <w:p w:rsidR="005A06FD" w:rsidRDefault="009636D3">
      <w:pPr>
        <w:ind w:left="567" w:right="539"/>
        <w:jc w:val="both"/>
        <w:rPr>
          <w:rFonts w:ascii="Palatino Linotype" w:eastAsia="Palatino Linotype" w:hAnsi="Palatino Linotype" w:cs="Palatino Linotype"/>
          <w:i/>
          <w:iCs/>
        </w:rPr>
      </w:pPr>
      <w:r>
        <w:rPr>
          <w:rFonts w:ascii="Palatino Linotype" w:eastAsia="Palatino Linotype" w:hAnsi="Palatino Linotype" w:cs="Palatino Linotype"/>
          <w:i/>
          <w:iCs/>
        </w:rPr>
        <w:t>VI.   Resguardo de la base de datos del IPH en el Sistema Nacional de Información en Seguridad Pública;</w:t>
      </w:r>
    </w:p>
    <w:p w:rsidR="005A06FD" w:rsidRDefault="009636D3">
      <w:pPr>
        <w:ind w:left="567" w:right="539"/>
        <w:jc w:val="both"/>
        <w:rPr>
          <w:rFonts w:ascii="Palatino Linotype" w:eastAsia="Palatino Linotype" w:hAnsi="Palatino Linotype" w:cs="Palatino Linotype"/>
          <w:i/>
          <w:iCs/>
        </w:rPr>
      </w:pPr>
      <w:r>
        <w:rPr>
          <w:rFonts w:ascii="Palatino Linotype" w:eastAsia="Palatino Linotype" w:hAnsi="Palatino Linotype" w:cs="Palatino Linotype"/>
          <w:i/>
          <w:iCs/>
        </w:rPr>
        <w:t>VII a IX…</w:t>
      </w:r>
    </w:p>
    <w:p w:rsidR="005A06FD" w:rsidRDefault="005A06FD">
      <w:pPr>
        <w:ind w:left="567" w:right="539"/>
        <w:jc w:val="both"/>
        <w:rPr>
          <w:rFonts w:ascii="Palatino Linotype" w:eastAsia="Palatino Linotype" w:hAnsi="Palatino Linotype" w:cs="Palatino Linotype"/>
          <w:i/>
          <w:iCs/>
        </w:rPr>
      </w:pPr>
    </w:p>
    <w:p w:rsidR="005A06FD" w:rsidRDefault="009636D3">
      <w:pPr>
        <w:ind w:left="567" w:right="53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SEGUNDO. GLOSARIO DE TÉRMINOS.</w:t>
      </w:r>
    </w:p>
    <w:p w:rsidR="005A06FD" w:rsidRDefault="009636D3">
      <w:pPr>
        <w:ind w:left="567" w:right="539"/>
        <w:jc w:val="both"/>
        <w:rPr>
          <w:rFonts w:ascii="Palatino Linotype" w:eastAsia="Palatino Linotype" w:hAnsi="Palatino Linotype" w:cs="Palatino Linotype"/>
          <w:i/>
          <w:iCs/>
        </w:rPr>
      </w:pPr>
      <w:r>
        <w:rPr>
          <w:rFonts w:ascii="Palatino Linotype" w:eastAsia="Palatino Linotype" w:hAnsi="Palatino Linotype" w:cs="Palatino Linotype"/>
          <w:i/>
          <w:iCs/>
        </w:rPr>
        <w:t>I a IX…</w:t>
      </w:r>
    </w:p>
    <w:p w:rsidR="005A06FD" w:rsidRDefault="009636D3">
      <w:pPr>
        <w:ind w:left="567" w:right="53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X. IPH: El Informe Policial Homologado de hechos probablemente delictivos o de infracciones administrativas, mismo que puede ser en versión impresa o electrónica.</w:t>
      </w:r>
    </w:p>
    <w:p w:rsidR="005A06FD" w:rsidRDefault="005A06FD">
      <w:pPr>
        <w:ind w:left="567" w:right="539"/>
        <w:jc w:val="both"/>
        <w:rPr>
          <w:rFonts w:ascii="Palatino Linotype" w:eastAsia="Palatino Linotype" w:hAnsi="Palatino Linotype" w:cs="Palatino Linotype"/>
          <w:i/>
          <w:iCs/>
        </w:rPr>
      </w:pPr>
    </w:p>
    <w:p w:rsidR="005A06FD" w:rsidRDefault="009636D3">
      <w:pPr>
        <w:ind w:left="567" w:right="53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DÉCIMO TERCERO. ENTREGA Y RECEPCIÓN DEL IPH.</w:t>
      </w:r>
    </w:p>
    <w:p w:rsidR="005A06FD" w:rsidRDefault="009636D3">
      <w:pPr>
        <w:ind w:left="567" w:right="53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Los integrantes de las instituciones policiales de los tres órdenes de gobierno que realicen el llenado del IPH, </w:t>
      </w:r>
      <w:r>
        <w:rPr>
          <w:rFonts w:ascii="Palatino Linotype" w:eastAsia="Palatino Linotype" w:hAnsi="Palatino Linotype" w:cs="Palatino Linotype"/>
          <w:b/>
          <w:bCs/>
          <w:i/>
          <w:iCs/>
        </w:rPr>
        <w:t>deberán entregarlo junto con las personas detenidas y/o arrestadas y/o los objetos asegurados a la autoridad competente</w:t>
      </w:r>
      <w:r>
        <w:rPr>
          <w:rFonts w:ascii="Palatino Linotype" w:eastAsia="Palatino Linotype" w:hAnsi="Palatino Linotype" w:cs="Palatino Linotype"/>
          <w:i/>
          <w:iCs/>
        </w:rPr>
        <w:t>, según se trate de un hecho probablemente delictivo o una infracción administrativa.</w:t>
      </w:r>
    </w:p>
    <w:p w:rsidR="005A06FD" w:rsidRDefault="009636D3">
      <w:pPr>
        <w:ind w:left="567" w:right="53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La autoridad competente estará obligada a recibir el IPH junto con las personas detenidas y/o arrestadas y/o los objetos asegurados, en un término máximo de dos horas contadas a partir del arribo a sus oficinas de las instituciones policiales que realizan la puesta a disposición.</w:t>
      </w:r>
    </w:p>
    <w:p w:rsidR="005A06FD" w:rsidRDefault="009636D3">
      <w:pPr>
        <w:spacing w:before="120" w:after="120"/>
        <w:ind w:left="567" w:right="53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DÉCIMO CUARTO. REGISTRO DE LA INFORMACIÓN EN LA BASE DE DATOS DEL IPH.</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i/>
          <w:iCs/>
        </w:rPr>
        <w:t>El registro de la información en la base de datos se llevará a cabo conforme a lo siguiente:</w:t>
      </w:r>
    </w:p>
    <w:p w:rsidR="005A06FD" w:rsidRDefault="009636D3">
      <w:pPr>
        <w:numPr>
          <w:ilvl w:val="0"/>
          <w:numId w:val="3"/>
        </w:numPr>
        <w:tabs>
          <w:tab w:val="left" w:pos="1418"/>
        </w:tabs>
        <w:spacing w:before="120" w:after="120"/>
        <w:ind w:left="567" w:right="539" w:firstLine="0"/>
        <w:jc w:val="both"/>
        <w:rPr>
          <w:rFonts w:ascii="Palatino Linotype" w:eastAsia="Palatino Linotype" w:hAnsi="Palatino Linotype" w:cs="Palatino Linotype"/>
          <w:i/>
          <w:iCs/>
        </w:rPr>
      </w:pPr>
      <w:r>
        <w:rPr>
          <w:rFonts w:ascii="Palatino Linotype" w:eastAsia="Palatino Linotype" w:hAnsi="Palatino Linotype" w:cs="Palatino Linotype"/>
          <w:b/>
          <w:bCs/>
          <w:i/>
          <w:iCs/>
        </w:rPr>
        <w:t>La captura y registro de la información suministrada a la base de datos son obligatorios y estarán a cargo de las instituciones policiales de los tres órdenes de gobierno</w:t>
      </w:r>
      <w:r>
        <w:rPr>
          <w:rFonts w:ascii="Palatino Linotype" w:eastAsia="Palatino Linotype" w:hAnsi="Palatino Linotype" w:cs="Palatino Linotype"/>
          <w:i/>
          <w:iCs/>
        </w:rPr>
        <w:t>;</w:t>
      </w:r>
    </w:p>
    <w:p w:rsidR="005A06FD" w:rsidRDefault="009636D3">
      <w:pPr>
        <w:tabs>
          <w:tab w:val="left" w:pos="1418"/>
        </w:tabs>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El suministro de la información se realizará con apego a los datos contenidos en el IPH;</w:t>
      </w:r>
    </w:p>
    <w:p w:rsidR="005A06FD" w:rsidRDefault="009636D3">
      <w:pPr>
        <w:tabs>
          <w:tab w:val="left" w:pos="1418"/>
        </w:tabs>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III</w:t>
      </w:r>
      <w:r>
        <w:rPr>
          <w:rFonts w:ascii="Palatino Linotype" w:eastAsia="Palatino Linotype" w:hAnsi="Palatino Linotype" w:cs="Palatino Linotype"/>
          <w:i/>
          <w:iCs/>
        </w:rPr>
        <w:t>. El registro de los datos contenidos en el IPH y su digitalización se harán de manera inmediata, sin que exceda de un término máximo de veinticuatro horas contadas a partir de la hora de recepción por parte de la autoridad competente, y</w:t>
      </w:r>
    </w:p>
    <w:p w:rsidR="005A06FD" w:rsidRDefault="009636D3">
      <w:pPr>
        <w:tabs>
          <w:tab w:val="left" w:pos="1418"/>
        </w:tabs>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IV. </w:t>
      </w:r>
      <w:r>
        <w:rPr>
          <w:rFonts w:ascii="Palatino Linotype" w:eastAsia="Palatino Linotype" w:hAnsi="Palatino Linotype" w:cs="Palatino Linotype"/>
          <w:i/>
          <w:iCs/>
        </w:rPr>
        <w:t>La Secretaría garantizará la operación, disponibilidad, interconexión y mantenimiento de los componentes tecnológicos que soporten la base de datos y sistemas informáticos del IPH.”</w:t>
      </w:r>
    </w:p>
    <w:p w:rsidR="005A06FD" w:rsidRDefault="005A06FD">
      <w:pPr>
        <w:ind w:left="567" w:right="539"/>
        <w:jc w:val="both"/>
        <w:rPr>
          <w:rFonts w:ascii="Palatino Linotype" w:eastAsia="Palatino Linotype" w:hAnsi="Palatino Linotype" w:cs="Palatino Linotype"/>
          <w:i/>
          <w:iCs/>
        </w:rPr>
      </w:pPr>
    </w:p>
    <w:p w:rsidR="005A06FD" w:rsidRDefault="009636D3">
      <w:pPr>
        <w:ind w:left="567" w:right="539"/>
        <w:jc w:val="both"/>
        <w:rPr>
          <w:rFonts w:ascii="Palatino Linotype" w:eastAsia="Palatino Linotype" w:hAnsi="Palatino Linotype" w:cs="Palatino Linotype"/>
          <w:i/>
          <w:iCs/>
        </w:rPr>
      </w:pPr>
      <w:r>
        <w:rPr>
          <w:rFonts w:ascii="Palatino Linotype" w:eastAsia="Palatino Linotype" w:hAnsi="Palatino Linotype" w:cs="Palatino Linotype"/>
          <w:i/>
          <w:iCs/>
        </w:rPr>
        <w:t>(Énfasis añadido)</w:t>
      </w:r>
    </w:p>
    <w:p w:rsidR="005A06FD" w:rsidRDefault="005A06FD">
      <w:pPr>
        <w:spacing w:line="360" w:lineRule="auto"/>
        <w:ind w:left="1134" w:right="900"/>
        <w:jc w:val="both"/>
        <w:rPr>
          <w:rFonts w:ascii="Palatino Linotype" w:eastAsia="Palatino Linotype" w:hAnsi="Palatino Linotype" w:cs="Palatino Linotype"/>
          <w:i/>
          <w:iCs/>
        </w:rPr>
      </w:pPr>
    </w:p>
    <w:p w:rsidR="005A06FD" w:rsidRDefault="009636D3">
      <w:pPr>
        <w:numPr>
          <w:ilvl w:val="0"/>
          <w:numId w:val="1"/>
        </w:numPr>
        <w:pBdr>
          <w:top w:val="nil"/>
          <w:left w:val="nil"/>
          <w:bottom w:val="nil"/>
          <w:right w:val="nil"/>
          <w:between w:val="nil"/>
        </w:pBdr>
        <w:spacing w:line="360" w:lineRule="auto"/>
        <w:ind w:left="0" w:firstLine="0"/>
        <w:jc w:val="both"/>
        <w:rPr>
          <w:color w:val="000000"/>
        </w:rPr>
      </w:pPr>
      <w:r>
        <w:rPr>
          <w:rFonts w:ascii="Palatino Linotype" w:eastAsia="Palatino Linotype" w:hAnsi="Palatino Linotype" w:cs="Palatino Linotype"/>
          <w:color w:val="000000"/>
        </w:rPr>
        <w:t xml:space="preserve">De lo anterior, se deduce que el informe policial homologado, tiene por objeto que las Instituciones policiales documenten la información relacionada con las puestas a disposición de personas y/u objetos derivados de su intervención, para con ello, deben hacer más eficiente el debido proceso y fomentar el uso de la información para acciones de inteligencia; </w:t>
      </w:r>
      <w:r>
        <w:rPr>
          <w:rFonts w:ascii="Palatino Linotype" w:eastAsia="Palatino Linotype" w:hAnsi="Palatino Linotype" w:cs="Palatino Linotype"/>
          <w:b/>
          <w:bCs/>
          <w:color w:val="000000"/>
        </w:rPr>
        <w:t xml:space="preserve">por lo </w:t>
      </w:r>
      <w:r>
        <w:rPr>
          <w:rFonts w:ascii="Palatino Linotype" w:eastAsia="Palatino Linotype" w:hAnsi="Palatino Linotype" w:cs="Palatino Linotype"/>
          <w:b/>
          <w:bCs/>
          <w:color w:val="000000"/>
        </w:rPr>
        <w:lastRenderedPageBreak/>
        <w:t xml:space="preserve">tanto, dicho informe únicamente es entregado junto con la persona detenida o bien, con los objetos que fueron asegurados en el hecho y/o acto probablemente constitutivo de delito. </w:t>
      </w:r>
      <w:r>
        <w:rPr>
          <w:rFonts w:ascii="Palatino Linotype" w:eastAsia="Palatino Linotype" w:hAnsi="Palatino Linotype" w:cs="Palatino Linotype"/>
          <w:color w:val="000000"/>
        </w:rPr>
        <w:t>Es importante dejar de lado que no se están solicitando estos documentos, sino información estadística únicamente.</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A06FD" w:rsidRDefault="009636D3">
      <w:pPr>
        <w:numPr>
          <w:ilvl w:val="0"/>
          <w:numId w:val="1"/>
        </w:numPr>
        <w:pBdr>
          <w:top w:val="nil"/>
          <w:left w:val="nil"/>
          <w:bottom w:val="nil"/>
          <w:right w:val="nil"/>
          <w:between w:val="nil"/>
        </w:pBdr>
        <w:spacing w:line="360" w:lineRule="auto"/>
        <w:ind w:left="0" w:firstLine="0"/>
        <w:jc w:val="both"/>
        <w:rPr>
          <w:color w:val="000000"/>
        </w:rPr>
      </w:pPr>
      <w:r>
        <w:rPr>
          <w:rFonts w:ascii="Palatino Linotype" w:eastAsia="Palatino Linotype" w:hAnsi="Palatino Linotype" w:cs="Palatino Linotype"/>
          <w:color w:val="000000"/>
        </w:rPr>
        <w:t xml:space="preserve">En este orden de ideas, es evidente que el Informe Policial Homologado se entrega en el momento que un elemento policial pone a disposición a una persona u objetos recabados del lugar en el que ocurrieron los hechos delictivos y/o faltas administrativas; por lo tanto, </w:t>
      </w:r>
      <w:r>
        <w:rPr>
          <w:rFonts w:ascii="Palatino Linotype" w:eastAsia="Palatino Linotype" w:hAnsi="Palatino Linotype" w:cs="Palatino Linotype"/>
          <w:b/>
          <w:bCs/>
          <w:color w:val="000000"/>
        </w:rPr>
        <w:t>es claro que no en todos los casos en que se conoce de una conducta delictiva y se inicia una carpeta de investigación, o se agrega un informe policial homologado</w:t>
      </w:r>
      <w:r>
        <w:rPr>
          <w:rFonts w:ascii="Palatino Linotype" w:eastAsia="Palatino Linotype" w:hAnsi="Palatino Linotype" w:cs="Palatino Linotype"/>
          <w:color w:val="000000"/>
        </w:rPr>
        <w:t xml:space="preserve">, pues es evidente que existen diversos tipos de delitos que se pueden configurar sin que se genere el informe en comento, tal como de manera enunciativa más no limitativa, es el caso de la </w:t>
      </w:r>
      <w:r>
        <w:rPr>
          <w:rFonts w:ascii="Palatino Linotype" w:eastAsia="Palatino Linotype" w:hAnsi="Palatino Linotype" w:cs="Palatino Linotype"/>
          <w:b/>
          <w:bCs/>
          <w:color w:val="000000"/>
        </w:rPr>
        <w:t>extorsión</w:t>
      </w:r>
      <w:r>
        <w:rPr>
          <w:rFonts w:ascii="Palatino Linotype" w:eastAsia="Palatino Linotype" w:hAnsi="Palatino Linotype" w:cs="Palatino Linotype"/>
          <w:color w:val="000000"/>
        </w:rPr>
        <w:t>, ya que, a través de la comunicación vía celular, los delincuentes plantean supuestos escenarios que incluyen situaciones de riesgo o peligro para la posible víctima y/o familiares, tales como amenaza de daño físico o patrimonial, secuestros, detenciones de familiares a causa de un delito, así como actividades de organizaciones delictivas que “vendían” seguridad, entre otras, esto, con la finalidad de obtener una cifra económica a cambio de la solución del conflicto.</w:t>
      </w:r>
    </w:p>
    <w:p w:rsidR="005A06FD" w:rsidRDefault="005A06FD">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5A06FD" w:rsidRDefault="009636D3">
      <w:pPr>
        <w:numPr>
          <w:ilvl w:val="0"/>
          <w:numId w:val="1"/>
        </w:numPr>
        <w:pBdr>
          <w:top w:val="nil"/>
          <w:left w:val="nil"/>
          <w:bottom w:val="nil"/>
          <w:right w:val="nil"/>
          <w:between w:val="nil"/>
        </w:pBdr>
        <w:spacing w:line="360" w:lineRule="auto"/>
        <w:ind w:left="0" w:firstLine="0"/>
        <w:jc w:val="both"/>
        <w:rPr>
          <w:color w:val="000000"/>
        </w:rPr>
      </w:pPr>
      <w:r>
        <w:rPr>
          <w:rFonts w:ascii="Palatino Linotype" w:eastAsia="Palatino Linotype" w:hAnsi="Palatino Linotype" w:cs="Palatino Linotype"/>
          <w:color w:val="000000"/>
        </w:rPr>
        <w:t xml:space="preserve">De lo anterior, al momento de interponer la denuncia correspondiente, es claro que no intervienen elementos policiales que puedan generar el informe policial homologado, toda vez que difícilmente se pone a una persona a disposición o bien, se presentan elementos recabados en el acto, ya que, </w:t>
      </w:r>
      <w:r>
        <w:rPr>
          <w:rFonts w:ascii="Palatino Linotype" w:eastAsia="Palatino Linotype" w:hAnsi="Palatino Linotype" w:cs="Palatino Linotype"/>
          <w:b/>
          <w:bCs/>
          <w:color w:val="000000"/>
        </w:rPr>
        <w:t>es tema de conocimiento público, que muchas de esas llamadas provienen de centros penitenciarios establecidos en diversas Entidades Federativas,</w:t>
      </w:r>
      <w:r>
        <w:rPr>
          <w:rFonts w:ascii="Palatino Linotype" w:eastAsia="Palatino Linotype" w:hAnsi="Palatino Linotype" w:cs="Palatino Linotype"/>
          <w:color w:val="000000"/>
        </w:rPr>
        <w:t xml:space="preserve"> y como se precisó anteriormente, al consumarse la extorsión, el dinero obtenido de dicha actividad se triangula a través de cuentas bancarias que en ocasiones terminan sin un rastro específico, por lo que, </w:t>
      </w:r>
      <w:r>
        <w:rPr>
          <w:rFonts w:ascii="Palatino Linotype" w:eastAsia="Palatino Linotype" w:hAnsi="Palatino Linotype" w:cs="Palatino Linotype"/>
          <w:color w:val="000000"/>
        </w:rPr>
        <w:lastRenderedPageBreak/>
        <w:t xml:space="preserve">no existe persona y/u objetos que presentar, siendo el relato de la persona afectada, el único elemento con el que se cuenta y así, procede asentarlo en la estadística de incidencia delictiva generada. </w:t>
      </w:r>
    </w:p>
    <w:p w:rsidR="005A06FD" w:rsidRDefault="005A06FD">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5A06FD" w:rsidRDefault="009636D3">
      <w:pPr>
        <w:numPr>
          <w:ilvl w:val="0"/>
          <w:numId w:val="1"/>
        </w:numPr>
        <w:pBdr>
          <w:top w:val="nil"/>
          <w:left w:val="nil"/>
          <w:bottom w:val="nil"/>
          <w:right w:val="nil"/>
          <w:between w:val="nil"/>
        </w:pBdr>
        <w:spacing w:line="360" w:lineRule="auto"/>
        <w:ind w:left="0" w:firstLine="0"/>
        <w:jc w:val="both"/>
        <w:rPr>
          <w:color w:val="000000"/>
        </w:rPr>
      </w:pPr>
      <w:r>
        <w:rPr>
          <w:rFonts w:ascii="Palatino Linotype" w:eastAsia="Palatino Linotype" w:hAnsi="Palatino Linotype" w:cs="Palatino Linotype"/>
          <w:color w:val="000000"/>
        </w:rPr>
        <w:t xml:space="preserve">En congruencia con lo expuesto, no se deja lado que si bien, existen delitos que por su naturaleza si intervienen elementos policiales y derivado de ello se recaban objetos además de presentar a los probables responsables ante el Ministerio Público, datos que deben ser reproducidos en el informe policial homologado, no obstante, </w:t>
      </w:r>
      <w:r>
        <w:rPr>
          <w:rFonts w:ascii="Palatino Linotype" w:eastAsia="Palatino Linotype" w:hAnsi="Palatino Linotype" w:cs="Palatino Linotype"/>
          <w:b/>
          <w:bCs/>
          <w:color w:val="000000"/>
        </w:rPr>
        <w:t>es preciso reiterar que el Particular solicitó información estadística de la incidencia delictiva,</w:t>
      </w:r>
      <w:r>
        <w:rPr>
          <w:rFonts w:ascii="Palatino Linotype" w:eastAsia="Palatino Linotype" w:hAnsi="Palatino Linotype" w:cs="Palatino Linotype"/>
          <w:color w:val="000000"/>
        </w:rPr>
        <w:t xml:space="preserve"> lo cual, </w:t>
      </w:r>
      <w:r>
        <w:rPr>
          <w:rFonts w:ascii="Palatino Linotype" w:eastAsia="Palatino Linotype" w:hAnsi="Palatino Linotype" w:cs="Palatino Linotype"/>
          <w:b/>
          <w:bCs/>
          <w:color w:val="000000"/>
        </w:rPr>
        <w:t>corresponde únicamente al número de hechos y/o actos de los que se tuvo conocimiento</w:t>
      </w:r>
      <w:r>
        <w:rPr>
          <w:rFonts w:ascii="Palatino Linotype" w:eastAsia="Palatino Linotype" w:hAnsi="Palatino Linotype" w:cs="Palatino Linotype"/>
          <w:color w:val="000000"/>
        </w:rPr>
        <w:t xml:space="preserve"> y con base en ello, el Sujeto Obligado no se encuentra constreñido para buscar en el expediente formado si existe o no, el informe policial homologado, esto, en virtud del artículo 12 de la Ley de Transparencia y Acceso a la Información Pública del Estado de México y Municipios, mismo que a la letra estipula lo siguiente:</w:t>
      </w:r>
    </w:p>
    <w:p w:rsidR="005A06FD" w:rsidRDefault="009636D3">
      <w:pPr>
        <w:ind w:left="567" w:right="53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12. Quienes generen, recopilen, administren, manejen, procesen, archiven o conserven información pública serán responsables de la misma en los términos de las disposiciones jurídicas aplicables. </w:t>
      </w:r>
    </w:p>
    <w:p w:rsidR="005A06FD" w:rsidRDefault="005A06FD">
      <w:pPr>
        <w:ind w:left="567" w:right="539"/>
        <w:jc w:val="both"/>
        <w:rPr>
          <w:rFonts w:ascii="Palatino Linotype" w:eastAsia="Palatino Linotype" w:hAnsi="Palatino Linotype" w:cs="Palatino Linotype"/>
          <w:i/>
          <w:iCs/>
        </w:rPr>
      </w:pPr>
    </w:p>
    <w:p w:rsidR="005A06FD" w:rsidRDefault="009636D3">
      <w:pPr>
        <w:ind w:left="567" w:right="53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5A06FD" w:rsidRDefault="009636D3">
      <w:pPr>
        <w:ind w:left="567" w:right="539"/>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5A06FD" w:rsidRDefault="005A06FD">
      <w:pPr>
        <w:spacing w:line="360" w:lineRule="auto"/>
        <w:jc w:val="both"/>
        <w:rPr>
          <w:rFonts w:ascii="Palatino Linotype" w:eastAsia="Palatino Linotype" w:hAnsi="Palatino Linotype" w:cs="Palatino Linotype"/>
        </w:rPr>
      </w:pPr>
    </w:p>
    <w:p w:rsidR="005A06FD" w:rsidRDefault="009636D3">
      <w:pPr>
        <w:numPr>
          <w:ilvl w:val="0"/>
          <w:numId w:val="1"/>
        </w:numPr>
        <w:pBdr>
          <w:top w:val="nil"/>
          <w:left w:val="nil"/>
          <w:bottom w:val="nil"/>
          <w:right w:val="nil"/>
          <w:between w:val="nil"/>
        </w:pBdr>
        <w:spacing w:line="360" w:lineRule="auto"/>
        <w:ind w:left="0" w:firstLine="0"/>
        <w:jc w:val="both"/>
        <w:rPr>
          <w:color w:val="000000"/>
        </w:rPr>
      </w:pPr>
      <w:r>
        <w:rPr>
          <w:rFonts w:ascii="Palatino Linotype" w:eastAsia="Palatino Linotype" w:hAnsi="Palatino Linotype" w:cs="Palatino Linotype"/>
          <w:color w:val="000000"/>
        </w:rPr>
        <w:t xml:space="preserve">En esta tesitura, es claro que el nivel de desagregación que solicita el Particular, confiere al Sujeto Obligado a practicar una investigación dentro de todos los expedientes formados en razón de una denuncia por hechos y/o actos delictivos, para con ello, precisar si se encuentra </w:t>
      </w:r>
      <w:r>
        <w:rPr>
          <w:rFonts w:ascii="Palatino Linotype" w:eastAsia="Palatino Linotype" w:hAnsi="Palatino Linotype" w:cs="Palatino Linotype"/>
          <w:color w:val="000000"/>
        </w:rPr>
        <w:lastRenderedPageBreak/>
        <w:t>o no, el informe de policía homologado y en consecuencia, realizar un pronunciamiento</w:t>
      </w:r>
      <w:r>
        <w:rPr>
          <w:rFonts w:ascii="Palatino Linotype" w:eastAsia="Palatino Linotype" w:hAnsi="Palatino Linotype" w:cs="Palatino Linotype"/>
          <w:i/>
          <w:iCs/>
          <w:color w:val="000000"/>
        </w:rPr>
        <w:t xml:space="preserve"> ad hoc</w:t>
      </w:r>
      <w:r>
        <w:rPr>
          <w:rFonts w:ascii="Palatino Linotype" w:eastAsia="Palatino Linotype" w:hAnsi="Palatino Linotype" w:cs="Palatino Linotype"/>
          <w:color w:val="000000"/>
        </w:rPr>
        <w:t xml:space="preserve"> a los intereses de este último; situación que como fue precisado, va en contra del criterio número 03/17 emitido por el Pleno del entonces Instituto Nacional de Transparencia, Acceso a la Información y Protección de Datos Personales, que por rubro y texto, dispone lo siguiente:.</w:t>
      </w:r>
    </w:p>
    <w:p w:rsidR="005A06FD" w:rsidRDefault="005A06FD">
      <w:pPr>
        <w:jc w:val="both"/>
        <w:rPr>
          <w:rFonts w:ascii="Palatino Linotype" w:eastAsia="Palatino Linotype" w:hAnsi="Palatino Linotype" w:cs="Palatino Linotype"/>
        </w:rPr>
      </w:pPr>
    </w:p>
    <w:p w:rsidR="005A06FD" w:rsidRDefault="009636D3">
      <w:pPr>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No existe obligación de elaborar documentos ad hoc para atender las solicitudes de acceso a la información. </w:t>
      </w:r>
      <w:r>
        <w:rPr>
          <w:rFonts w:ascii="Palatino Linotype" w:eastAsia="Palatino Linotype" w:hAnsi="Palatino Linotype" w:cs="Palatino Linotype"/>
          <w:i/>
          <w:iCs/>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5A06FD" w:rsidRDefault="005A06FD">
      <w:pPr>
        <w:spacing w:line="360" w:lineRule="auto"/>
        <w:ind w:left="567"/>
        <w:jc w:val="both"/>
        <w:rPr>
          <w:rFonts w:ascii="Palatino Linotype" w:eastAsia="Palatino Linotype" w:hAnsi="Palatino Linotype" w:cs="Palatino Linotype"/>
          <w:i/>
          <w:iCs/>
        </w:rPr>
      </w:pPr>
    </w:p>
    <w:p w:rsidR="005A06FD" w:rsidRDefault="009636D3">
      <w:pPr>
        <w:numPr>
          <w:ilvl w:val="0"/>
          <w:numId w:val="1"/>
        </w:numPr>
        <w:pBdr>
          <w:top w:val="nil"/>
          <w:left w:val="nil"/>
          <w:bottom w:val="nil"/>
          <w:right w:val="nil"/>
          <w:between w:val="nil"/>
        </w:pBdr>
        <w:spacing w:line="360" w:lineRule="auto"/>
        <w:ind w:left="0" w:firstLine="0"/>
        <w:jc w:val="both"/>
        <w:rPr>
          <w:color w:val="000000"/>
        </w:rPr>
      </w:pPr>
      <w:r>
        <w:rPr>
          <w:rFonts w:ascii="Palatino Linotype" w:eastAsia="Palatino Linotype" w:hAnsi="Palatino Linotype" w:cs="Palatino Linotype"/>
          <w:color w:val="000000"/>
        </w:rPr>
        <w:t>Por tales circunstancias para el caso en particular, este Instituto no encuentra sustento legal que permita ordenar la entrega de la información conforme los intereses del Recurrente; en tal virtud, es necesario resaltar que el Informe Policial Homologado debe tener la ubicación del evento y en su caso, los caminos, lo que no constriñe a los Sujetos Obligados a generar coordenadas; al respecto, la dirección del evento es información confidencial, pues los hechos ilícitos en múltiples ocasiones son realizados al interior de inmuebles que son direcciones de Particulares, por lo que es información que se considera como confidencial, ya sea la dirección o cualquiera dato que cuente con analogía como lo pueden ser las coordenadas.</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A06FD" w:rsidRPr="003F674E" w:rsidRDefault="009636D3">
      <w:pPr>
        <w:numPr>
          <w:ilvl w:val="0"/>
          <w:numId w:val="1"/>
        </w:numPr>
        <w:pBdr>
          <w:top w:val="nil"/>
          <w:left w:val="nil"/>
          <w:bottom w:val="nil"/>
          <w:right w:val="nil"/>
          <w:between w:val="nil"/>
        </w:pBdr>
        <w:spacing w:line="360" w:lineRule="auto"/>
        <w:ind w:left="0" w:firstLine="0"/>
        <w:jc w:val="both"/>
        <w:rPr>
          <w:color w:val="000000"/>
        </w:rPr>
      </w:pPr>
      <w:r>
        <w:rPr>
          <w:rFonts w:ascii="Palatino Linotype" w:eastAsia="Palatino Linotype" w:hAnsi="Palatino Linotype" w:cs="Palatino Linotype"/>
          <w:color w:val="000000"/>
        </w:rPr>
        <w:t xml:space="preserve">Entonces, para el caso que las coordenadas permitan identificar el lugar específico de la posible comisión de un delito y dicho sitio sea un domicilio particular, la información actualiza la causal de confidencialidad prevista en el artículo 143, fracción I, de la Ley de la materia, pues </w:t>
      </w:r>
      <w:r>
        <w:rPr>
          <w:rFonts w:ascii="Palatino Linotype" w:eastAsia="Palatino Linotype" w:hAnsi="Palatino Linotype" w:cs="Palatino Linotype"/>
          <w:color w:val="000000"/>
        </w:rPr>
        <w:lastRenderedPageBreak/>
        <w:t>se trata de datos personales que hacen identificable el domicilio de una o varias personas en la posible comisión de un delito por lo que incluso, no procedería su entrega.</w:t>
      </w:r>
    </w:p>
    <w:p w:rsidR="003F674E" w:rsidRDefault="003F674E" w:rsidP="003F674E">
      <w:pPr>
        <w:pBdr>
          <w:top w:val="nil"/>
          <w:left w:val="nil"/>
          <w:bottom w:val="nil"/>
          <w:right w:val="nil"/>
          <w:between w:val="nil"/>
        </w:pBdr>
        <w:spacing w:line="360" w:lineRule="auto"/>
        <w:jc w:val="both"/>
        <w:rPr>
          <w:color w:val="000000"/>
        </w:rPr>
      </w:pPr>
    </w:p>
    <w:p w:rsidR="005A06FD" w:rsidRDefault="009636D3">
      <w:pPr>
        <w:numPr>
          <w:ilvl w:val="0"/>
          <w:numId w:val="1"/>
        </w:numPr>
        <w:pBdr>
          <w:top w:val="nil"/>
          <w:left w:val="nil"/>
          <w:bottom w:val="nil"/>
          <w:right w:val="nil"/>
          <w:between w:val="nil"/>
        </w:pBdr>
        <w:spacing w:line="360" w:lineRule="auto"/>
        <w:ind w:left="0" w:firstLine="0"/>
        <w:jc w:val="both"/>
        <w:rPr>
          <w:color w:val="000000"/>
        </w:rPr>
      </w:pPr>
      <w:r>
        <w:rPr>
          <w:rFonts w:ascii="Palatino Linotype" w:eastAsia="Palatino Linotype" w:hAnsi="Palatino Linotype" w:cs="Palatino Linotype"/>
          <w:color w:val="000000"/>
        </w:rPr>
        <w:t>Por su parte el Lineamiento Décimo primero de los Lineamientos para el Llenado, Entrega, Recepción, Registro, Resguardo y Consulta del Informe Policial Homologado, dispone lo siguiente:</w:t>
      </w:r>
    </w:p>
    <w:p w:rsidR="005A06FD" w:rsidRDefault="009636D3">
      <w:pPr>
        <w:ind w:left="567" w:right="53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DÉCIMO PRIMERO. LLENADO DEL IPH</w:t>
      </w:r>
      <w:r>
        <w:rPr>
          <w:rFonts w:ascii="Palatino Linotype" w:eastAsia="Palatino Linotype" w:hAnsi="Palatino Linotype" w:cs="Palatino Linotype"/>
          <w:i/>
          <w:iCs/>
        </w:rPr>
        <w:t>.</w:t>
      </w:r>
    </w:p>
    <w:p w:rsidR="005A06FD" w:rsidRDefault="009636D3">
      <w:pPr>
        <w:spacing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Los integrantes de las </w:t>
      </w:r>
      <w:r>
        <w:rPr>
          <w:rFonts w:ascii="Palatino Linotype" w:eastAsia="Palatino Linotype" w:hAnsi="Palatino Linotype" w:cs="Palatino Linotype"/>
          <w:b/>
          <w:bCs/>
          <w:i/>
          <w:iCs/>
        </w:rPr>
        <w:t>instituciones policiales de los tres órdenes de gobierno</w:t>
      </w:r>
      <w:r>
        <w:rPr>
          <w:rFonts w:ascii="Palatino Linotype" w:eastAsia="Palatino Linotype" w:hAnsi="Palatino Linotype" w:cs="Palatino Linotype"/>
          <w:i/>
          <w:iCs/>
        </w:rPr>
        <w:t xml:space="preserve"> deberán registrar en el IPH la información relacionada con las puestas a disposición de personas y/o de objetos derivados de su intervención.</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El IPH para </w:t>
      </w:r>
      <w:r>
        <w:rPr>
          <w:rFonts w:ascii="Palatino Linotype" w:eastAsia="Palatino Linotype" w:hAnsi="Palatino Linotype" w:cs="Palatino Linotype"/>
          <w:b/>
          <w:bCs/>
          <w:i/>
          <w:iCs/>
        </w:rPr>
        <w:t>hechos probablemente delictivos</w:t>
      </w:r>
      <w:r>
        <w:rPr>
          <w:rFonts w:ascii="Palatino Linotype" w:eastAsia="Palatino Linotype" w:hAnsi="Palatino Linotype" w:cs="Palatino Linotype"/>
          <w:i/>
          <w:iCs/>
        </w:rPr>
        <w:t xml:space="preserve"> contendrá al menos los siguientes datos:</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El Número de Referencia o el Número de folio asignado;</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Los datos del o los integrantes de la institución policial que lo emite;</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III.</w:t>
      </w:r>
      <w:r>
        <w:rPr>
          <w:rFonts w:ascii="Palatino Linotype" w:eastAsia="Palatino Linotype" w:hAnsi="Palatino Linotype" w:cs="Palatino Linotype"/>
          <w:i/>
          <w:iCs/>
        </w:rPr>
        <w:t xml:space="preserve">    Los datos de la autoridad competente que lo recibe;</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IV.</w:t>
      </w:r>
      <w:r>
        <w:rPr>
          <w:rFonts w:ascii="Palatino Linotype" w:eastAsia="Palatino Linotype" w:hAnsi="Palatino Linotype" w:cs="Palatino Linotype"/>
          <w:i/>
          <w:iCs/>
        </w:rPr>
        <w:t xml:space="preserve">   Los datos generales de la intervención o actuación;</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V.</w:t>
      </w:r>
      <w:r>
        <w:rPr>
          <w:rFonts w:ascii="Palatino Linotype" w:eastAsia="Palatino Linotype" w:hAnsi="Palatino Linotype" w:cs="Palatino Linotype"/>
          <w:i/>
          <w:iCs/>
        </w:rPr>
        <w:t xml:space="preserve">    El motivo de la intervención o actuación;</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VI.</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La ubicación del o los lugares de la intervención o actuación</w:t>
      </w:r>
      <w:r>
        <w:rPr>
          <w:rFonts w:ascii="Palatino Linotype" w:eastAsia="Palatino Linotype" w:hAnsi="Palatino Linotype" w:cs="Palatino Linotype"/>
          <w:i/>
          <w:iCs/>
        </w:rPr>
        <w:t>;</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VII</w:t>
      </w:r>
      <w:r>
        <w:rPr>
          <w:rFonts w:ascii="Palatino Linotype" w:eastAsia="Palatino Linotype" w:hAnsi="Palatino Linotype" w:cs="Palatino Linotype"/>
          <w:i/>
          <w:iCs/>
        </w:rPr>
        <w:t>.   La descripción de hechos, que deberá detallar modo, tiempo y lugar, entre otros datos. Así como, justificar razonablemente el control provisional preventivo y/o los niveles de contacto;</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VIII</w:t>
      </w:r>
      <w:r>
        <w:rPr>
          <w:rFonts w:ascii="Palatino Linotype" w:eastAsia="Palatino Linotype" w:hAnsi="Palatino Linotype" w:cs="Palatino Linotype"/>
          <w:i/>
          <w:iCs/>
        </w:rPr>
        <w:t>.  En caso de personas detenidas:</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El Número del Registro Nacional de Detenciones;</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b)</w:t>
      </w:r>
      <w:r>
        <w:rPr>
          <w:rFonts w:ascii="Palatino Linotype" w:eastAsia="Palatino Linotype" w:hAnsi="Palatino Linotype" w:cs="Palatino Linotype"/>
          <w:i/>
          <w:iCs/>
        </w:rPr>
        <w:t xml:space="preserve"> Los motivos de la detención;</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c) </w:t>
      </w:r>
      <w:r>
        <w:rPr>
          <w:rFonts w:ascii="Palatino Linotype" w:eastAsia="Palatino Linotype" w:hAnsi="Palatino Linotype" w:cs="Palatino Linotype"/>
          <w:i/>
          <w:iCs/>
        </w:rPr>
        <w:t>Los datos generales de la persona;</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d) </w:t>
      </w:r>
      <w:r>
        <w:rPr>
          <w:rFonts w:ascii="Palatino Linotype" w:eastAsia="Palatino Linotype" w:hAnsi="Palatino Linotype" w:cs="Palatino Linotype"/>
          <w:i/>
          <w:iCs/>
        </w:rPr>
        <w:t>La descripción de la persona, incluyendo su estado físico aparente;</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e) </w:t>
      </w:r>
      <w:r>
        <w:rPr>
          <w:rFonts w:ascii="Palatino Linotype" w:eastAsia="Palatino Linotype" w:hAnsi="Palatino Linotype" w:cs="Palatino Linotype"/>
          <w:i/>
          <w:iCs/>
        </w:rPr>
        <w:t>Las armas de fuego y/o los objetos que le fueron recolectados y/o asegurados, y</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f)</w:t>
      </w:r>
      <w:r>
        <w:rPr>
          <w:rFonts w:ascii="Palatino Linotype" w:eastAsia="Palatino Linotype" w:hAnsi="Palatino Linotype" w:cs="Palatino Linotype"/>
          <w:i/>
          <w:iCs/>
        </w:rPr>
        <w:t xml:space="preserve"> El lugar al que es puesta a disposición la persona;</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IX</w:t>
      </w:r>
      <w:r>
        <w:rPr>
          <w:rFonts w:ascii="Palatino Linotype" w:eastAsia="Palatino Linotype" w:hAnsi="Palatino Linotype" w:cs="Palatino Linotype"/>
          <w:i/>
          <w:iCs/>
        </w:rPr>
        <w:t>.   En caso de lesionados y/o fallecidos, un informe del uso de la fuerza en el que se describa la conducta que lo motivó y el nivel proporcional empleado de acuerdo con lo dispuesto por los artículos 10 y 11 de la Ley Nacional sobre el Uso de la Fuerza. Éste será distinto al reporte pormenorizado señalado en el artículo 32 de la misma Ley;</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X</w:t>
      </w:r>
      <w:r>
        <w:rPr>
          <w:rFonts w:ascii="Palatino Linotype" w:eastAsia="Palatino Linotype" w:hAnsi="Palatino Linotype" w:cs="Palatino Linotype"/>
          <w:i/>
          <w:iCs/>
        </w:rPr>
        <w:t>. En caso de inspección de vehículo, los datos generales sobre sus características;</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XI.</w:t>
      </w:r>
      <w:r>
        <w:rPr>
          <w:rFonts w:ascii="Palatino Linotype" w:eastAsia="Palatino Linotype" w:hAnsi="Palatino Linotype" w:cs="Palatino Linotype"/>
          <w:i/>
          <w:iCs/>
        </w:rPr>
        <w:t xml:space="preserve"> En caso de recolección y/o aseguramiento de armas de fuego u objetos, los datos generales sobre sus características y apariencias;</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XII. </w:t>
      </w:r>
      <w:r>
        <w:rPr>
          <w:rFonts w:ascii="Palatino Linotype" w:eastAsia="Palatino Linotype" w:hAnsi="Palatino Linotype" w:cs="Palatino Linotype"/>
          <w:i/>
          <w:iCs/>
        </w:rPr>
        <w:t>En caso de preservar el lugar de la intervención o actuación, los datos generales sobre su entrega-recepción, y</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XIII</w:t>
      </w:r>
      <w:r>
        <w:rPr>
          <w:rFonts w:ascii="Palatino Linotype" w:eastAsia="Palatino Linotype" w:hAnsi="Palatino Linotype" w:cs="Palatino Linotype"/>
          <w:i/>
          <w:iCs/>
        </w:rPr>
        <w:t>. En caso de entrevistas, los datos generales de la persona entrevistada y el relato de la misma.</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El IPH para </w:t>
      </w:r>
      <w:r>
        <w:rPr>
          <w:rFonts w:ascii="Palatino Linotype" w:eastAsia="Palatino Linotype" w:hAnsi="Palatino Linotype" w:cs="Palatino Linotype"/>
          <w:b/>
          <w:bCs/>
          <w:i/>
          <w:iCs/>
        </w:rPr>
        <w:t>infracciones administrativas</w:t>
      </w:r>
      <w:r>
        <w:rPr>
          <w:rFonts w:ascii="Palatino Linotype" w:eastAsia="Palatino Linotype" w:hAnsi="Palatino Linotype" w:cs="Palatino Linotype"/>
          <w:i/>
          <w:iCs/>
        </w:rPr>
        <w:t xml:space="preserve"> contendrá al menos los siguientes datos:</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El Número de Referencia o el Número de folio asignado;</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II. </w:t>
      </w:r>
      <w:r>
        <w:rPr>
          <w:rFonts w:ascii="Palatino Linotype" w:eastAsia="Palatino Linotype" w:hAnsi="Palatino Linotype" w:cs="Palatino Linotype"/>
          <w:i/>
          <w:iCs/>
        </w:rPr>
        <w:t>Los datos del o los integrantes de la institución policial que lo emite;</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III. </w:t>
      </w:r>
      <w:r>
        <w:rPr>
          <w:rFonts w:ascii="Palatino Linotype" w:eastAsia="Palatino Linotype" w:hAnsi="Palatino Linotype" w:cs="Palatino Linotype"/>
          <w:i/>
          <w:iCs/>
        </w:rPr>
        <w:t>Los datos de la autoridad competente que lo recibe;</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IV. </w:t>
      </w:r>
      <w:r>
        <w:rPr>
          <w:rFonts w:ascii="Palatino Linotype" w:eastAsia="Palatino Linotype" w:hAnsi="Palatino Linotype" w:cs="Palatino Linotype"/>
          <w:i/>
          <w:iCs/>
        </w:rPr>
        <w:t>Los datos generales de la intervención o actuación;</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V</w:t>
      </w:r>
      <w:r>
        <w:rPr>
          <w:rFonts w:ascii="Palatino Linotype" w:eastAsia="Palatino Linotype" w:hAnsi="Palatino Linotype" w:cs="Palatino Linotype"/>
          <w:i/>
          <w:iCs/>
        </w:rPr>
        <w:t>. El motivo de la intervención o actuación;</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VI.</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La ubicación del o los lugares de la intervención o actuación</w:t>
      </w:r>
      <w:r>
        <w:rPr>
          <w:rFonts w:ascii="Palatino Linotype" w:eastAsia="Palatino Linotype" w:hAnsi="Palatino Linotype" w:cs="Palatino Linotype"/>
          <w:i/>
          <w:iCs/>
        </w:rPr>
        <w:t>;</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VII</w:t>
      </w:r>
      <w:r>
        <w:rPr>
          <w:rFonts w:ascii="Palatino Linotype" w:eastAsia="Palatino Linotype" w:hAnsi="Palatino Linotype" w:cs="Palatino Linotype"/>
          <w:i/>
          <w:iCs/>
        </w:rPr>
        <w:t>. La descripción de hechos, que deberá detallar modo, tiempo y lugar, entre otros datos. Así como, justificar razonablemente el control provisional preventivo y/o los niveles de contacto;</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VIII</w:t>
      </w:r>
      <w:r>
        <w:rPr>
          <w:rFonts w:ascii="Palatino Linotype" w:eastAsia="Palatino Linotype" w:hAnsi="Palatino Linotype" w:cs="Palatino Linotype"/>
          <w:i/>
          <w:iCs/>
        </w:rPr>
        <w:t>. En caso de personas arrestadas:</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El Número del Registro Nacional de Detenciones;</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b)</w:t>
      </w:r>
      <w:r>
        <w:rPr>
          <w:rFonts w:ascii="Palatino Linotype" w:eastAsia="Palatino Linotype" w:hAnsi="Palatino Linotype" w:cs="Palatino Linotype"/>
          <w:i/>
          <w:iCs/>
        </w:rPr>
        <w:t xml:space="preserve">   Los motivos de la detención;</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c)  </w:t>
      </w:r>
      <w:r>
        <w:rPr>
          <w:rFonts w:ascii="Palatino Linotype" w:eastAsia="Palatino Linotype" w:hAnsi="Palatino Linotype" w:cs="Palatino Linotype"/>
          <w:i/>
          <w:iCs/>
        </w:rPr>
        <w:t xml:space="preserve"> Los datos generales de la persona;</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d)   </w:t>
      </w:r>
      <w:r>
        <w:rPr>
          <w:rFonts w:ascii="Palatino Linotype" w:eastAsia="Palatino Linotype" w:hAnsi="Palatino Linotype" w:cs="Palatino Linotype"/>
          <w:i/>
          <w:iCs/>
        </w:rPr>
        <w:t>La descripción de la persona, incluyendo su estado físico aparente, y</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e)   </w:t>
      </w:r>
      <w:r>
        <w:rPr>
          <w:rFonts w:ascii="Palatino Linotype" w:eastAsia="Palatino Linotype" w:hAnsi="Palatino Linotype" w:cs="Palatino Linotype"/>
          <w:i/>
          <w:iCs/>
        </w:rPr>
        <w:t>El lugar en el que es puesta a disposición la persona, y</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IX.</w:t>
      </w:r>
      <w:r>
        <w:rPr>
          <w:rFonts w:ascii="Palatino Linotype" w:eastAsia="Palatino Linotype" w:hAnsi="Palatino Linotype" w:cs="Palatino Linotype"/>
          <w:i/>
          <w:iCs/>
        </w:rPr>
        <w:t xml:space="preserve"> En caso de involucramiento de vehículo, los datos generales sobre sus características.</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En el llenado del IPH se anotará por completo la información del evento. En caso de no contar con algún dato, no se realice la actividad y/o no aplique su llenado, se deberá dejar constancia de ello, o testar o cancelar el espacio respectivo a fin de que no se haga un mal uso de él.</w:t>
      </w:r>
    </w:p>
    <w:p w:rsidR="005A06FD" w:rsidRDefault="009636D3">
      <w:pPr>
        <w:spacing w:before="120" w:after="120"/>
        <w:ind w:left="567" w:right="539"/>
        <w:jc w:val="both"/>
        <w:rPr>
          <w:rFonts w:ascii="Palatino Linotype" w:eastAsia="Palatino Linotype" w:hAnsi="Palatino Linotype" w:cs="Palatino Linotype"/>
          <w:i/>
          <w:iCs/>
        </w:rPr>
      </w:pPr>
      <w:r>
        <w:rPr>
          <w:rFonts w:ascii="Palatino Linotype" w:eastAsia="Palatino Linotype" w:hAnsi="Palatino Linotype" w:cs="Palatino Linotype"/>
          <w:i/>
          <w:iCs/>
        </w:rPr>
        <w:t>No se exigirá la totalidad del llenado y entrega de los Anexos cuando el caso no lo amerite.”</w:t>
      </w:r>
    </w:p>
    <w:p w:rsidR="005A06FD" w:rsidRDefault="005A06FD">
      <w:pPr>
        <w:spacing w:line="360" w:lineRule="auto"/>
        <w:jc w:val="both"/>
        <w:rPr>
          <w:rFonts w:ascii="Palatino Linotype" w:eastAsia="Palatino Linotype" w:hAnsi="Palatino Linotype" w:cs="Palatino Linotype"/>
          <w:b/>
          <w:bCs/>
          <w:u w:val="single"/>
        </w:rPr>
      </w:pPr>
    </w:p>
    <w:p w:rsidR="005A06FD" w:rsidRDefault="009636D3">
      <w:pPr>
        <w:numPr>
          <w:ilvl w:val="0"/>
          <w:numId w:val="1"/>
        </w:numPr>
        <w:pBdr>
          <w:top w:val="nil"/>
          <w:left w:val="nil"/>
          <w:bottom w:val="nil"/>
          <w:right w:val="nil"/>
          <w:between w:val="nil"/>
        </w:pBdr>
        <w:spacing w:line="360" w:lineRule="auto"/>
        <w:ind w:left="0" w:firstLine="0"/>
        <w:jc w:val="both"/>
        <w:rPr>
          <w:color w:val="000000"/>
        </w:rPr>
      </w:pPr>
      <w:r>
        <w:rPr>
          <w:rFonts w:ascii="Palatino Linotype" w:eastAsia="Palatino Linotype" w:hAnsi="Palatino Linotype" w:cs="Palatino Linotype"/>
          <w:color w:val="000000"/>
        </w:rPr>
        <w:t>Ahora bien, se observa que la información de la que se requiere acceso contiene información de los elementos de seguridad pública, es necesario señalar que las condiciones en las cuales se deberá entregar la información solicitada adquieren una especial naturaleza.</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rPr>
      </w:pP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t>En efecto, este instituto advierte que otorgar acceso al nombre de policías operativos podría comprometer la integridad de los mismos, de conformidad con lo que establece el artículo 140 de la Ley de Transparencia y Acceso a la Información Pública del Estado de México y Municipios:</w:t>
      </w:r>
    </w:p>
    <w:p w:rsidR="005A06FD" w:rsidRDefault="009636D3">
      <w:pPr>
        <w:pBdr>
          <w:top w:val="nil"/>
          <w:left w:val="nil"/>
          <w:bottom w:val="nil"/>
          <w:right w:val="nil"/>
          <w:between w:val="nil"/>
        </w:pBdr>
        <w:spacing w:line="360" w:lineRule="auto"/>
        <w:ind w:left="720" w:firstLine="720"/>
        <w:jc w:val="both"/>
        <w:rPr>
          <w:rFonts w:ascii="Palatino Linotype" w:eastAsia="Palatino Linotype" w:hAnsi="Palatino Linotype" w:cs="Palatino Linotype"/>
        </w:rPr>
      </w:pPr>
      <w:r>
        <w:rPr>
          <w:rFonts w:ascii="Palatino Linotype" w:eastAsia="Palatino Linotype" w:hAnsi="Palatino Linotype" w:cs="Palatino Linotype"/>
          <w:b/>
          <w:bCs/>
          <w:i/>
          <w:iCs/>
        </w:rPr>
        <w:t>“Artículo 140.</w:t>
      </w:r>
      <w:r>
        <w:rPr>
          <w:rFonts w:ascii="Palatino Linotype" w:eastAsia="Palatino Linotype" w:hAnsi="Palatino Linotype" w:cs="Palatino Linotype"/>
          <w:i/>
          <w:iCs/>
        </w:rPr>
        <w:t> El acceso a la información pública será restringido excepcionalmente, cuando por razones de interés público, ésta sea clasificada como reservada, conforme a los criterios siguientes:</w:t>
      </w:r>
    </w:p>
    <w:p w:rsidR="005A06FD" w:rsidRDefault="009636D3">
      <w:pPr>
        <w:pBdr>
          <w:top w:val="nil"/>
          <w:left w:val="nil"/>
          <w:bottom w:val="nil"/>
          <w:right w:val="nil"/>
          <w:between w:val="nil"/>
        </w:pBdr>
        <w:spacing w:line="360" w:lineRule="auto"/>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I. Comprometa la seguridad pública y cuente con un propósito genuino y un efecto demostrable;</w:t>
      </w:r>
    </w:p>
    <w:p w:rsidR="005A06FD" w:rsidRDefault="009636D3">
      <w:pPr>
        <w:pBdr>
          <w:top w:val="nil"/>
          <w:left w:val="nil"/>
          <w:bottom w:val="nil"/>
          <w:right w:val="nil"/>
          <w:between w:val="nil"/>
        </w:pBdr>
        <w:spacing w:line="360" w:lineRule="auto"/>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II. Pueda menoscabar la conducción de las negociaciones y relaciones internacionales;</w:t>
      </w:r>
    </w:p>
    <w:p w:rsidR="005A06FD" w:rsidRDefault="009636D3">
      <w:pPr>
        <w:pBdr>
          <w:top w:val="nil"/>
          <w:left w:val="nil"/>
          <w:bottom w:val="nil"/>
          <w:right w:val="nil"/>
          <w:between w:val="nil"/>
        </w:pBdr>
        <w:spacing w:line="360" w:lineRule="auto"/>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III. 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rsidR="005A06FD" w:rsidRDefault="009636D3">
      <w:pPr>
        <w:pBdr>
          <w:top w:val="nil"/>
          <w:left w:val="nil"/>
          <w:bottom w:val="nil"/>
          <w:right w:val="nil"/>
          <w:between w:val="nil"/>
        </w:pBdr>
        <w:spacing w:line="360" w:lineRule="auto"/>
        <w:ind w:left="567" w:right="567"/>
        <w:jc w:val="both"/>
        <w:rPr>
          <w:rFonts w:ascii="Palatino Linotype" w:eastAsia="Palatino Linotype" w:hAnsi="Palatino Linotype" w:cs="Palatino Linotype"/>
        </w:rPr>
      </w:pPr>
      <w:r>
        <w:rPr>
          <w:rFonts w:ascii="Palatino Linotype" w:eastAsia="Palatino Linotype" w:hAnsi="Palatino Linotype" w:cs="Palatino Linotype"/>
          <w:b/>
          <w:bCs/>
          <w:i/>
          <w:iCs/>
        </w:rPr>
        <w:t>IV. Ponga en riesgo la vida, la seguridad o la salud de una persona física;</w:t>
      </w:r>
    </w:p>
    <w:p w:rsidR="005A06FD" w:rsidRDefault="009636D3">
      <w:pPr>
        <w:pBdr>
          <w:top w:val="nil"/>
          <w:left w:val="nil"/>
          <w:bottom w:val="nil"/>
          <w:right w:val="nil"/>
          <w:between w:val="nil"/>
        </w:pBdr>
        <w:spacing w:line="360" w:lineRule="auto"/>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rPr>
        <w:t> (…)”</w:t>
      </w:r>
    </w:p>
    <w:p w:rsidR="005A06FD" w:rsidRDefault="005A06FD">
      <w:pPr>
        <w:pBdr>
          <w:top w:val="nil"/>
          <w:left w:val="nil"/>
          <w:bottom w:val="nil"/>
          <w:right w:val="nil"/>
          <w:between w:val="nil"/>
        </w:pBdr>
        <w:spacing w:line="360" w:lineRule="auto"/>
        <w:ind w:left="567" w:right="567"/>
        <w:jc w:val="both"/>
        <w:rPr>
          <w:rFonts w:ascii="Palatino Linotype" w:eastAsia="Palatino Linotype" w:hAnsi="Palatino Linotype" w:cs="Palatino Linotype"/>
        </w:rPr>
      </w:pP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lastRenderedPageBreak/>
        <w:t>En este contexto, este Pleno considera que dar a conocer los nombres de servidores públicos que realizan funciones en materia de seguridad, tal como es el caso de los policías, los vuelve identificables y posiblemente reconocibles para grupos delictivos; así, dicha información puede ser utilizada para </w:t>
      </w:r>
      <w:r>
        <w:rPr>
          <w:rFonts w:ascii="Palatino Linotype" w:eastAsia="Palatino Linotype" w:hAnsi="Palatino Linotype" w:cs="Palatino Linotype"/>
          <w:b/>
          <w:bCs/>
        </w:rPr>
        <w:t>vulnerar la vida, seguridad o salud de dichos elementos, incluso la de sus familias o entorno social, </w:t>
      </w:r>
      <w:r>
        <w:rPr>
          <w:rFonts w:ascii="Palatino Linotype" w:eastAsia="Palatino Linotype" w:hAnsi="Palatino Linotype" w:cs="Palatino Linotype"/>
        </w:rPr>
        <w:t>además, de que aumenta el riesgo de que personas ajenas a los intereses institucionales e intenten realizar actos tendientes a inhibir o entrometerse en las funciones de los policías municipales, lo cual causaría una vulneración a la seguridad municipal.</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rPr>
      </w:pP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t>En ese sentido, el proporcionar el nombre de los elementos policiales operativos en la nómina general de la Dirección de Seguridad Pública y Vialidad Municipal, pone en riesgo de manera directa la vida y la seguridad de dicho servidor, siendo obligación de la Institución protegerla en todo momento para salvaguarda de sus integrantes.</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rPr>
      </w:pP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t>Lo anterior adquiere razón toda vez que la información solicitada hace identificable a los integrantes de seguridad pública, ya que permite que su identidad pueda determinarse de manera directa, pudiéndose ocasionar riesgos por la posible utilización y difusión de la información por grupos delictivos.</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rPr>
      </w:pP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t>Asimismo, existe la posibilidad de que personas ajenas a la Institución la utilicen para sorprender a la ciudadanía y realicen extorsiones telefónicas al amparo de usurpar la identidad de algún servidor público encargado de la seguridad pública; o que integrantes de organizaciones criminales los contacten para presionar en entregar información, como por ejemplo, la relacionada con investigaciones, nombres de integrantes que participan en los operativos e incluso documentación emitida por el</w:t>
      </w:r>
      <w:r>
        <w:rPr>
          <w:rFonts w:ascii="Palatino Linotype" w:eastAsia="Palatino Linotype" w:hAnsi="Palatino Linotype" w:cs="Palatino Linotype"/>
          <w:b/>
          <w:bCs/>
        </w:rPr>
        <w:t> SUJETO OBLIGADO</w:t>
      </w:r>
      <w:r>
        <w:rPr>
          <w:rFonts w:ascii="Palatino Linotype" w:eastAsia="Palatino Linotype" w:hAnsi="Palatino Linotype" w:cs="Palatino Linotype"/>
        </w:rPr>
        <w:t xml:space="preserve">, colocando en </w:t>
      </w:r>
      <w:r>
        <w:rPr>
          <w:rFonts w:ascii="Palatino Linotype" w:eastAsia="Palatino Linotype" w:hAnsi="Palatino Linotype" w:cs="Palatino Linotype"/>
        </w:rPr>
        <w:lastRenderedPageBreak/>
        <w:t>inminente riesgo la vida de todos los integrantes, menoscabando así las actividades de prevención del delito y combate a la delincuencia.</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rPr>
      </w:pP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t>Así como el artículo 6º Constitucional por un lado garantiza el derecho de acceso a la información, por otro lado, el derecho a la vida y la seguridad de las personas se encuentran protegidos por la Declaración Universal de los Derechos Humanos en su artículo 30. Bajo este contexto es necesario confrontar ambos derechos fundamentales, cuyo ejercicio en este caso particular es por lo que es necesaria la ponderación de ambos para que uno de ellos sea ejercido en la mayor medida posible.</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rPr>
      </w:pP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t>El dar el nombre de los servidores públicos operativos de la Dirección de Seguridad Pública y Vialidad Municipal pone en riesgo sus vidas y seguridad, ya que pueden ser identificados, provocando que se utilice la información para amenazar, intimidar o extorsionar al integrante.</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rPr>
      </w:pP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t>El riesgo de perder la vida, la seguridad o la integridad se encuentra presente y es de mayor gravedad que la negativa de acceso a la información solicitada, la divulgación de la información, puede generar un daño desproporcionado o innecesario, lo cual debe evitarse en la medida de lo posible, frente a aquella que se solicita. Es de interés público y socialmente relevante la protección a la vida y seguridad de todas y cada una de las personas sobre cualquier otro derecho fundamental, por lo que se debe proteger a quienes trabajan y ayudan al logro de la seguridad pública.</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rPr>
      </w:pP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t xml:space="preserve">En ese mismo contexto, resulta pertinente establecer que la Constitución Política de los Estados unidos mexicanos y los Tratados Internacionales suscritos por el Estado mexicano en </w:t>
      </w:r>
      <w:r>
        <w:rPr>
          <w:rFonts w:ascii="Palatino Linotype" w:eastAsia="Palatino Linotype" w:hAnsi="Palatino Linotype" w:cs="Palatino Linotype"/>
        </w:rPr>
        <w:lastRenderedPageBreak/>
        <w:t>materia de Derechos Humanos, establecen que el derecho a la vida y la seguridad personal son los bienes supremos tutelados por los gobiernos, esto quiere decir, que no existe derecho alguno por encima de la vida y la seguridad personal. El derecho al acceso a la información, tutelado en el artículo sexto de nuestra Carta Magna, no es absoluto per se, toda vez que su objetivo es facultar a las personas a tener acceso a la información que les permita conocer cómo funcionan los órganos de gobierno, como parte fundamental de todo Estado democrático; dicho derecho permite a las personas tener una participación activa en la toma de decisiones de los gobernantes y a su vez, funciona como un ejercicio de fiscalización para supervisar las actividades que realiza eh Estado.</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rPr>
      </w:pP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t>Por lo que, el derecho a la vida y seguridad nacional tiene una primacía que el derecho al acceso a la información, por lo que el bien jurídico a salvaguardarse primordialmente, es la vida y la seguridad de los servidores públicos encargados de la seguridad pública.</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rPr>
      </w:pP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t>Al respecto, cabe hacer mención que el artículo 81 fracción III de la Ley de Seguridad del Estado de México, establece lo siguiente:</w:t>
      </w:r>
    </w:p>
    <w:p w:rsidR="005A06FD" w:rsidRDefault="009636D3">
      <w:pPr>
        <w:pBdr>
          <w:top w:val="nil"/>
          <w:left w:val="nil"/>
          <w:bottom w:val="nil"/>
          <w:right w:val="nil"/>
          <w:between w:val="nil"/>
        </w:pBd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w:t>
      </w: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81.-</w:t>
      </w:r>
      <w:r>
        <w:rPr>
          <w:rFonts w:ascii="Palatino Linotype" w:eastAsia="Palatino Linotype" w:hAnsi="Palatino Linotype" w:cs="Palatino Linotype"/>
          <w:i/>
          <w:iCs/>
        </w:rPr>
        <w:t> </w:t>
      </w:r>
      <w:r>
        <w:rPr>
          <w:rFonts w:ascii="Palatino Linotype" w:eastAsia="Palatino Linotype" w:hAnsi="Palatino Linotype" w:cs="Palatino Linotype"/>
          <w:b/>
          <w:bCs/>
          <w:i/>
          <w:iCs/>
        </w:rPr>
        <w:t>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w:t>
      </w:r>
      <w:r>
        <w:rPr>
          <w:rFonts w:ascii="Palatino Linotype" w:eastAsia="Palatino Linotype" w:hAnsi="Palatino Linotype" w:cs="Palatino Linotype"/>
          <w:i/>
          <w:iCs/>
        </w:rPr>
        <w:t> en los casos siguientes:</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i/>
          <w:iCs/>
        </w:rPr>
      </w:pPr>
      <w:r>
        <w:rPr>
          <w:rFonts w:ascii="Palatino Linotype" w:eastAsia="Palatino Linotype" w:hAnsi="Palatino Linotype" w:cs="Palatino Linotype"/>
          <w:b/>
          <w:bCs/>
          <w:i/>
          <w:iCs/>
        </w:rPr>
        <w:t>III.</w:t>
      </w:r>
      <w:r>
        <w:rPr>
          <w:rFonts w:ascii="Palatino Linotype" w:eastAsia="Palatino Linotype" w:hAnsi="Palatino Linotype" w:cs="Palatino Linotype"/>
          <w:i/>
          <w:iCs/>
        </w:rPr>
        <w:t> </w:t>
      </w:r>
      <w:r>
        <w:rPr>
          <w:rFonts w:ascii="Palatino Linotype" w:eastAsia="Palatino Linotype" w:hAnsi="Palatino Linotype" w:cs="Palatino Linotype"/>
          <w:b/>
          <w:bCs/>
          <w:i/>
          <w:iCs/>
        </w:rPr>
        <w:t>La relativa a servidores públicos miembros de las instituciones de seguridad pública, cuya revelación pueda poner en riesgo su vida e integridad física con motivo de sus funciones;</w:t>
      </w:r>
      <w:r>
        <w:rPr>
          <w:rFonts w:ascii="Palatino Linotype" w:eastAsia="Palatino Linotype" w:hAnsi="Palatino Linotype" w:cs="Palatino Linotype"/>
          <w:i/>
          <w:iCs/>
        </w:rPr>
        <w:t>”</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rPr>
      </w:pP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lastRenderedPageBreak/>
        <w:t>Argumento que se fortalece con lo estipulado en el criterio número 6-09, del Instituto Nacional de Transparencia, Acceso a la Información y Protección de Datos Personales, antes (INAI)</w:t>
      </w:r>
      <w:r>
        <w:rPr>
          <w:rFonts w:ascii="Palatino Linotype" w:eastAsia="Palatino Linotype" w:hAnsi="Palatino Linotype" w:cs="Palatino Linotype"/>
          <w:b/>
          <w:bCs/>
        </w:rPr>
        <w:t>, </w:t>
      </w:r>
      <w:r>
        <w:rPr>
          <w:rFonts w:ascii="Palatino Linotype" w:eastAsia="Palatino Linotype" w:hAnsi="Palatino Linotype" w:cs="Palatino Linotype"/>
        </w:rPr>
        <w:t>el cual refiere:</w:t>
      </w:r>
    </w:p>
    <w:p w:rsidR="005A06FD" w:rsidRDefault="009636D3">
      <w:pPr>
        <w:pBdr>
          <w:top w:val="nil"/>
          <w:left w:val="nil"/>
          <w:bottom w:val="nil"/>
          <w:right w:val="nil"/>
          <w:between w:val="nil"/>
        </w:pBdr>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t> </w:t>
      </w:r>
      <w:r>
        <w:rPr>
          <w:rFonts w:ascii="Palatino Linotype" w:eastAsia="Palatino Linotype" w:hAnsi="Palatino Linotype" w:cs="Palatino Linotype"/>
        </w:rPr>
        <w:tab/>
      </w:r>
      <w:r>
        <w:rPr>
          <w:rFonts w:ascii="Palatino Linotype" w:eastAsia="Palatino Linotype" w:hAnsi="Palatino Linotype" w:cs="Palatino Linotype"/>
          <w:b/>
          <w:bCs/>
          <w:i/>
          <w:iCs/>
        </w:rPr>
        <w:t>“Criterio 6-09</w:t>
      </w:r>
    </w:p>
    <w:p w:rsidR="005A06FD" w:rsidRDefault="009636D3">
      <w:pPr>
        <w:pBdr>
          <w:top w:val="nil"/>
          <w:left w:val="nil"/>
          <w:bottom w:val="nil"/>
          <w:right w:val="nil"/>
          <w:between w:val="nil"/>
        </w:pBdr>
        <w:tabs>
          <w:tab w:val="left" w:pos="8222"/>
        </w:tabs>
        <w:ind w:left="567" w:right="539"/>
        <w:jc w:val="both"/>
        <w:rPr>
          <w:rFonts w:ascii="Palatino Linotype" w:eastAsia="Palatino Linotype" w:hAnsi="Palatino Linotype" w:cs="Palatino Linotype"/>
        </w:rPr>
      </w:pPr>
      <w:r>
        <w:rPr>
          <w:rFonts w:ascii="Palatino Linotype" w:eastAsia="Palatino Linotype" w:hAnsi="Palatino Linotype" w:cs="Palatino Linotype"/>
          <w:b/>
          <w:bCs/>
          <w:i/>
          <w:iCs/>
        </w:rPr>
        <w:t>Nombres de servidores públicos dedicados a actividades en materia de seguridad, por excepción pueden considerarse información reservada. </w:t>
      </w:r>
      <w:r>
        <w:rPr>
          <w:rFonts w:ascii="Palatino Linotype" w:eastAsia="Palatino Linotype" w:hAnsi="Palatino Linotype" w:cs="Palatino Linotype"/>
          <w:i/>
          <w:iCs/>
        </w:rPr>
        <w:t>De conformidad con el artículo 7, fracciones I y III de la Ley Federal de Transparencia y Acceso a la Información Pública Gubernamental </w:t>
      </w:r>
      <w:r>
        <w:rPr>
          <w:rFonts w:ascii="Palatino Linotype" w:eastAsia="Palatino Linotype" w:hAnsi="Palatino Linotype" w:cs="Palatino Linotype"/>
          <w:b/>
          <w:bCs/>
          <w:i/>
          <w:iCs/>
        </w:rPr>
        <w:t>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w:t>
      </w:r>
      <w:r>
        <w:rPr>
          <w:rFonts w:ascii="Palatino Linotype" w:eastAsia="Palatino Linotype" w:hAnsi="Palatino Linotype" w:cs="Palatino Linotype"/>
          <w:i/>
          <w:iCs/>
        </w:rPr>
        <w:t>.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w:t>
      </w:r>
      <w:r>
        <w:rPr>
          <w:rFonts w:ascii="Palatino Linotype" w:eastAsia="Palatino Linotype" w:hAnsi="Palatino Linotype" w:cs="Palatino Linotype"/>
          <w:b/>
          <w:bCs/>
          <w:i/>
          <w:iCs/>
        </w:rPr>
        <w:t>el artículo 13, fracción I de la ley de referencia se establece que podrá clasificarse aquella información cuya difusión pueda comprometer la seguridad nacional y pública</w:t>
      </w:r>
      <w:r>
        <w:rPr>
          <w:rFonts w:ascii="Palatino Linotype" w:eastAsia="Palatino Linotype" w:hAnsi="Palatino Linotype" w:cs="Palatino Linotype"/>
          <w:i/>
          <w:iCs/>
        </w:rPr>
        <w:t>.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w:t>
      </w:r>
      <w:r>
        <w:rPr>
          <w:rFonts w:ascii="Palatino Linotype" w:eastAsia="Palatino Linotype" w:hAnsi="Palatino Linotype" w:cs="Palatino Linotype"/>
          <w:b/>
          <w:bCs/>
          <w:i/>
          <w:iCs/>
        </w:rPr>
        <w:t>por lo que la reserva de la relación de los nombres y las funciones que desempeñan los servidores públicos que prestan sus servicios en áreas de seguridad nacional o pública</w:t>
      </w:r>
      <w:r>
        <w:rPr>
          <w:rFonts w:ascii="Palatino Linotype" w:eastAsia="Palatino Linotype" w:hAnsi="Palatino Linotype" w:cs="Palatino Linotype"/>
          <w:i/>
          <w:iCs/>
        </w:rPr>
        <w:t>, puede llegar a constituirse en un componente fundamental en el esfuerzo que realiza el Estado Mexicano para garantizar la seguridad del país en sus diferentes vertientes”</w:t>
      </w:r>
    </w:p>
    <w:p w:rsidR="005A06FD" w:rsidRDefault="009636D3">
      <w:pPr>
        <w:pBdr>
          <w:top w:val="nil"/>
          <w:left w:val="nil"/>
          <w:bottom w:val="nil"/>
          <w:right w:val="nil"/>
          <w:between w:val="nil"/>
        </w:pBdr>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t> </w:t>
      </w: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t>Precisado lo anterior, se advierte que pretendió clasificar información solicitada, no obstante, la Ley de Transparencia y Acceso a la Información Pública del Estado de México y Municipios señala que para la clasificación formal de la información solicitada,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deberá remitir el debido Acuerdo de clasificación fundado y motivado donde determine la clasificación de la información como reservada, de conformidad con lo dispuesto en los numerales 49, fracción VIII y 132 fracciones I, II y III de la Ley de Transparencia y Acceso </w:t>
      </w:r>
      <w:r>
        <w:rPr>
          <w:rFonts w:ascii="Palatino Linotype" w:eastAsia="Palatino Linotype" w:hAnsi="Palatino Linotype" w:cs="Palatino Linotype"/>
        </w:rPr>
        <w:lastRenderedPageBreak/>
        <w:t>a la Información Pública del Estado de México y Municipios, así como los numerales del Cuarto al Décimo Primero de los Lineamientos Generales en materia de Clasificación y Desclasificación de la Información, así como para la elaboración de Versiones Públicas, que literalmente expresan:</w:t>
      </w:r>
    </w:p>
    <w:p w:rsidR="005A06FD" w:rsidRDefault="009636D3">
      <w:pPr>
        <w:pBdr>
          <w:top w:val="nil"/>
          <w:left w:val="nil"/>
          <w:bottom w:val="nil"/>
          <w:right w:val="nil"/>
          <w:between w:val="nil"/>
        </w:pBdr>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t> </w:t>
      </w:r>
      <w:r>
        <w:rPr>
          <w:rFonts w:ascii="Palatino Linotype" w:eastAsia="Palatino Linotype" w:hAnsi="Palatino Linotype" w:cs="Palatino Linotype"/>
        </w:rPr>
        <w:tab/>
      </w:r>
      <w:r>
        <w:rPr>
          <w:rFonts w:ascii="Palatino Linotype" w:eastAsia="Palatino Linotype" w:hAnsi="Palatino Linotype" w:cs="Palatino Linotype"/>
          <w:b/>
          <w:bCs/>
          <w:i/>
          <w:iCs/>
        </w:rPr>
        <w:t>“Artículo 49</w:t>
      </w:r>
      <w:r>
        <w:rPr>
          <w:rFonts w:ascii="Palatino Linotype" w:eastAsia="Palatino Linotype" w:hAnsi="Palatino Linotype" w:cs="Palatino Linotype"/>
          <w:i/>
          <w:iCs/>
        </w:rPr>
        <w:t>. Los Comités de Transparencia tendrán las siguientes atribuciones:</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VIII. Aprobar, modificar o revocar la clasificación de la información;</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 </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b/>
          <w:bCs/>
          <w:i/>
          <w:iCs/>
        </w:rPr>
        <w:t>Artículo 132</w:t>
      </w:r>
      <w:r>
        <w:rPr>
          <w:rFonts w:ascii="Palatino Linotype" w:eastAsia="Palatino Linotype" w:hAnsi="Palatino Linotype" w:cs="Palatino Linotype"/>
          <w:i/>
          <w:iCs/>
        </w:rPr>
        <w:t>. La clasificación de la información se llevará a cabo en el momento en que:</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I. Se reciba una solicitud de acceso a la información;</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II. Se determine mediante resolución de autoridad competente; o</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III. Se generen versiones públicas para dar cumplimiento a las obligaciones de transparencia previstas en esta Ley.”</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 </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b/>
          <w:bCs/>
          <w:i/>
          <w:iCs/>
        </w:rPr>
        <w:t>Cuarto.</w:t>
      </w:r>
      <w:r>
        <w:rPr>
          <w:rFonts w:ascii="Palatino Linotype" w:eastAsia="Palatino Linotype" w:hAnsi="Palatino Linotype" w:cs="Palatino Linotype"/>
          <w:i/>
          <w:iCs/>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 Los Sujetos Obligados deberán aplicar, de manera estricta, las excepciones al derecho de acceso a la información y sólo podrán invocarlas cuando acrediten su procedencia.</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b/>
          <w:bCs/>
          <w:i/>
          <w:iCs/>
        </w:rPr>
        <w:t>Quinto.</w:t>
      </w:r>
      <w:r>
        <w:rPr>
          <w:rFonts w:ascii="Palatino Linotype" w:eastAsia="Palatino Linotype" w:hAnsi="Palatino Linotype" w:cs="Palatino Linotype"/>
          <w:i/>
          <w:iCs/>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 </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b/>
          <w:bCs/>
          <w:i/>
          <w:iCs/>
        </w:rPr>
        <w:t>Sexto.</w:t>
      </w:r>
      <w:r>
        <w:rPr>
          <w:rFonts w:ascii="Palatino Linotype" w:eastAsia="Palatino Linotype" w:hAnsi="Palatino Linotype" w:cs="Palatino Linotype"/>
          <w:i/>
          <w:iCs/>
        </w:rPr>
        <w:t> Los Sujetos Obligados no podrán emitir acuerdos de carácter general ni particular que clasifiquen documentos o expedientes como reservados, ni clasificar documentos antes de que se genere la información o cuando éstos no obren en sus archivos.</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 </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La clasificación de información se realizará conforme a un análisis caso por caso, mediante la aplicación de la prueba de daño y de interés público.</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lastRenderedPageBreak/>
        <w:t> </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b/>
          <w:bCs/>
          <w:i/>
          <w:iCs/>
        </w:rPr>
        <w:t>Séptimo.</w:t>
      </w:r>
      <w:r>
        <w:rPr>
          <w:rFonts w:ascii="Palatino Linotype" w:eastAsia="Palatino Linotype" w:hAnsi="Palatino Linotype" w:cs="Palatino Linotype"/>
          <w:i/>
          <w:iCs/>
        </w:rPr>
        <w:t> La clasificación de la información se llevará a cabo en el momento en que: I. Se reciba una solicitud de acceso a la información;</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 </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II. Se determine mediante resolución de autoridad competente, o</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III. Se generen versiones públicas para dar cumplimiento a las obligaciones de transparencia previstas en la Ley General, la Ley Federal y las correspondientes de las entidades federativas.</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 </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Los titulares de las áreas deberán revisar la clasificación al momento de la recepción de una solicitud de acceso a la información, para verificar si encuadra en una causal de reserva o de confidencialidad.</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 </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b/>
          <w:bCs/>
          <w:i/>
          <w:iCs/>
        </w:rPr>
        <w:t>Octavo.</w:t>
      </w:r>
      <w:r>
        <w:rPr>
          <w:rFonts w:ascii="Palatino Linotype" w:eastAsia="Palatino Linotype" w:hAnsi="Palatino Linotype" w:cs="Palatino Linotype"/>
          <w:i/>
          <w:iCs/>
        </w:rPr>
        <w:t> Para fundar la clasificación de la información se debe señalar el artículo, fracción, inciso, párrafo o numeral de la ley o tratado internacional suscrito por el Estado mexicano que expresamente le otorga el carácter de reservada o confidencial.</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Para motivar la clasificación se deberán señalar las razones o circunstancias especiales que lo llevaron a concluir que el caso particular se ajusta al supuesto previsto por la norma legal invocada como fundamento.</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 </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En caso de referirse a información reservada, la motivación de la clasificación también deberá comprender las circunstancias que justifican el establecimiento de determinado plazo de reserva.</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 </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Tratándose de información clasificada como confidencial respecto de la cual se haya determinado su conservación permanente por tener valor histórico, ésta conservará tal carácter de conformidad con la normativa aplicable en materia de archivos.</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 </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Los documentos contenidos en los archivos históricos y los identificados como históricos confidenciales no serán susceptibles de clasificación como reservados. Noveno.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 </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b/>
          <w:bCs/>
          <w:i/>
          <w:iCs/>
        </w:rPr>
        <w:t>Décimo</w:t>
      </w:r>
      <w:r>
        <w:rPr>
          <w:rFonts w:ascii="Palatino Linotype" w:eastAsia="Palatino Linotype" w:hAnsi="Palatino Linotype" w:cs="Palatino Linotype"/>
          <w:i/>
          <w:iCs/>
        </w:rPr>
        <w:t xml:space="preserve">. Los titulares de las áreas, deberán tener conocimiento y llevar un registro del personal que, por la naturaleza de sus atribuciones, tenga acceso a los documentos clasificados. Asimismo, deberán asegurarse de que dicho personal cuente con los </w:t>
      </w:r>
      <w:r>
        <w:rPr>
          <w:rFonts w:ascii="Palatino Linotype" w:eastAsia="Palatino Linotype" w:hAnsi="Palatino Linotype" w:cs="Palatino Linotype"/>
          <w:i/>
          <w:iCs/>
        </w:rPr>
        <w:lastRenderedPageBreak/>
        <w:t>conocimientos técnicos y legales que le permitan manejar adecuadamente la información clasificada, en los términos de los Lineamientos para la Organización y Conservación de Archivos.</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 </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En ausencia de los titulares de las áreas, la información será clasificada o desclasificada por la persona que lo supla, en términos de la normativa que rija la actuación del sujeto obligado.</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 </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b/>
          <w:bCs/>
          <w:i/>
          <w:iCs/>
        </w:rPr>
        <w:t>Décimo primero</w:t>
      </w:r>
      <w:r>
        <w:rPr>
          <w:rFonts w:ascii="Palatino Linotype" w:eastAsia="Palatino Linotype" w:hAnsi="Palatino Linotype" w:cs="Palatino Linotype"/>
          <w:i/>
          <w:iCs/>
        </w:rPr>
        <w:t>.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rsidR="005A06FD" w:rsidRDefault="009636D3">
      <w:pPr>
        <w:pBdr>
          <w:top w:val="nil"/>
          <w:left w:val="nil"/>
          <w:bottom w:val="nil"/>
          <w:right w:val="nil"/>
          <w:between w:val="nil"/>
        </w:pBdr>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t> </w:t>
      </w: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t>En tal contexto se deberá proceder a la clasificación de los nombres de los elementos de policía que realicen actividades operativas en campo.</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rPr>
      </w:pP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t xml:space="preserve">Con la determinación a la que se arriba se concluye que quedará por colmado el Derecho de Acceso a la Información Pública del ahora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el cual se define como: </w:t>
      </w:r>
      <w:r>
        <w:rPr>
          <w:rFonts w:ascii="Palatino Linotype" w:eastAsia="Palatino Linotype" w:hAnsi="Palatino Linotype" w:cs="Palatino Linotype"/>
          <w:i/>
          <w:iCs/>
        </w:rPr>
        <w:t>La igualdad de oportunidades para recibir, buscar e impartir información</w:t>
      </w:r>
      <w:r>
        <w:rPr>
          <w:rFonts w:ascii="Palatino Linotype" w:eastAsia="Palatino Linotype" w:hAnsi="Palatino Linotype" w:cs="Palatino Linotype"/>
          <w:i/>
          <w:iCs/>
          <w:vertAlign w:val="superscript"/>
        </w:rPr>
        <w:footnoteReference w:id="5"/>
      </w:r>
      <w:r>
        <w:rPr>
          <w:rFonts w:ascii="Palatino Linotype" w:eastAsia="Palatino Linotype" w:hAnsi="Palatino Linotype" w:cs="Palatino Linotype"/>
          <w:i/>
          <w:iCs/>
        </w:rPr>
        <w:t xml:space="preserve">en posesión de cualquier autoridad, entidad, órgano y organismo de los poderes Ejecutivo, Legislativo y Judicial, órganos autónomos, partidos políticos, fideicomisos y fondos públicos, así como de cualquier persona </w:t>
      </w:r>
      <w:r>
        <w:rPr>
          <w:rFonts w:ascii="Palatino Linotype" w:eastAsia="Palatino Linotype" w:hAnsi="Palatino Linotype" w:cs="Palatino Linotype"/>
        </w:rPr>
        <w:t>física</w:t>
      </w:r>
      <w:r>
        <w:rPr>
          <w:rFonts w:ascii="Palatino Linotype" w:eastAsia="Palatino Linotype" w:hAnsi="Palatino Linotype" w:cs="Palatino Linotype"/>
          <w:i/>
          <w:iCs/>
        </w:rPr>
        <w:t>, moral o sindicato que reciba y ejerza recursos públicos o realice actos de autoridad en el ámbito federal, estatal y municipal,</w:t>
      </w:r>
      <w:r>
        <w:rPr>
          <w:rFonts w:ascii="Palatino Linotype" w:eastAsia="Palatino Linotype" w:hAnsi="Palatino Linotype" w:cs="Palatino Linotype"/>
          <w:i/>
          <w:iCs/>
          <w:vertAlign w:val="superscript"/>
        </w:rPr>
        <w:footnoteReference w:id="6"/>
      </w:r>
      <w:r>
        <w:rPr>
          <w:rFonts w:ascii="Palatino Linotype" w:eastAsia="Palatino Linotype" w:hAnsi="Palatino Linotype" w:cs="Palatino Linotype"/>
        </w:rPr>
        <w:t>que se constituye como una herramienta fundamental para ejercer</w:t>
      </w:r>
      <w:r>
        <w:rPr>
          <w:rFonts w:ascii="Palatino Linotype" w:eastAsia="Palatino Linotype" w:hAnsi="Palatino Linotype" w:cs="Palatino Linotype"/>
          <w:i/>
          <w:iCs/>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vertAlign w:val="superscript"/>
        </w:rPr>
        <w:footnoteReference w:id="7"/>
      </w:r>
      <w:r>
        <w:rPr>
          <w:rFonts w:ascii="Palatino Linotype" w:eastAsia="Palatino Linotype" w:hAnsi="Palatino Linotype" w:cs="Palatino Linotype"/>
        </w:rPr>
        <w:t>fomentando</w:t>
      </w:r>
      <w:r>
        <w:rPr>
          <w:rFonts w:ascii="Palatino Linotype" w:eastAsia="Palatino Linotype" w:hAnsi="Palatino Linotype" w:cs="Palatino Linotype"/>
          <w:i/>
          <w:iCs/>
        </w:rPr>
        <w:t xml:space="preserve"> la transparencia de las actividades estatales y </w:t>
      </w:r>
      <w:r>
        <w:rPr>
          <w:rFonts w:ascii="Palatino Linotype" w:eastAsia="Palatino Linotype" w:hAnsi="Palatino Linotype" w:cs="Palatino Linotype"/>
        </w:rPr>
        <w:t>promoviendo</w:t>
      </w:r>
      <w:r>
        <w:rPr>
          <w:rFonts w:ascii="Palatino Linotype" w:eastAsia="Palatino Linotype" w:hAnsi="Palatino Linotype" w:cs="Palatino Linotype"/>
          <w:i/>
          <w:iCs/>
        </w:rPr>
        <w:t xml:space="preserve"> la responsabilidad de los funcionarios sobre su gestión </w:t>
      </w:r>
      <w:r>
        <w:rPr>
          <w:rFonts w:ascii="Palatino Linotype" w:eastAsia="Palatino Linotype" w:hAnsi="Palatino Linotype" w:cs="Palatino Linotype"/>
          <w:i/>
          <w:iCs/>
        </w:rPr>
        <w:lastRenderedPageBreak/>
        <w:t>pública,</w:t>
      </w:r>
      <w:r>
        <w:rPr>
          <w:rFonts w:ascii="Palatino Linotype" w:eastAsia="Palatino Linotype" w:hAnsi="Palatino Linotype" w:cs="Palatino Linotype"/>
          <w:i/>
          <w:iCs/>
          <w:vertAlign w:val="superscript"/>
        </w:rPr>
        <w:footnoteReference w:id="8"/>
      </w:r>
      <w:r>
        <w:rPr>
          <w:rFonts w:ascii="Palatino Linotype" w:eastAsia="Palatino Linotype" w:hAnsi="Palatino Linotype" w:cs="Palatino Linotype"/>
        </w:rPr>
        <w:t>que permite</w:t>
      </w:r>
      <w:r>
        <w:rPr>
          <w:rFonts w:ascii="Palatino Linotype" w:eastAsia="Palatino Linotype" w:hAnsi="Palatino Linotype" w:cs="Palatino Linotype"/>
          <w:i/>
          <w:iCs/>
        </w:rPr>
        <w:t xml:space="preserve"> saber qué están haciendo los gobiernos por sus pueblos, sin lo cual la verdad languidecería y la participación en el gobierno permanecería fragmentada.</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rPr>
      </w:pP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t>Se deduce que el derecho de acceso a la información pública es un derecho humano constitucionalmente reconocido, en consecuencia, todas las autoridades en el ámbito de sus competencias, funciones y atribuciones tienen la obligación de respetarlo, protegerlo y garantizar.</w:t>
      </w:r>
    </w:p>
    <w:p w:rsidR="005A06FD" w:rsidRDefault="009636D3">
      <w:pPr>
        <w:pBdr>
          <w:top w:val="nil"/>
          <w:left w:val="nil"/>
          <w:bottom w:val="nil"/>
          <w:right w:val="nil"/>
          <w:between w:val="nil"/>
        </w:pBdr>
        <w:spacing w:line="360" w:lineRule="auto"/>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t xml:space="preserve">En tal sentido, el derecho de acceso a la información constituye una garantía primaria, tal y como lo señala el artículo 150 de la Ley de Transparencia y Acceso a la Información del Estado de México y Municipios, que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xml:space="preserve">, contemplando el derecho de las personas con discapacidad y hablantes de lengua indígena. </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rPr>
      </w:pP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t xml:space="preserve">Es así que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cuyo objeto es establecer principios, bases generales y procedimientos para tutelar y garantizar la transparencia y el derecho humano de acceso a la información pública en posesión de los sujetos obligados; en su artículo 176</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establece que </w:t>
      </w:r>
      <w:r>
        <w:rPr>
          <w:rFonts w:ascii="Palatino Linotype" w:eastAsia="Palatino Linotype" w:hAnsi="Palatino Linotype" w:cs="Palatino Linotype"/>
          <w:b/>
          <w:bCs/>
          <w:i/>
          <w:iCs/>
          <w:u w:val="single"/>
        </w:rPr>
        <w:t>el recurso de revisión es la garantía secundaria</w:t>
      </w:r>
      <w:r>
        <w:rPr>
          <w:rFonts w:ascii="Palatino Linotype" w:eastAsia="Palatino Linotype" w:hAnsi="Palatino Linotype" w:cs="Palatino Linotype"/>
          <w:b/>
          <w:bCs/>
          <w:i/>
          <w:iCs/>
        </w:rPr>
        <w:t xml:space="preserve"> mediante la cual se pretende reparar cualquier posible afectación al derecho de acceso a la información pública</w:t>
      </w:r>
      <w:r>
        <w:rPr>
          <w:rFonts w:ascii="Palatino Linotype" w:eastAsia="Palatino Linotype" w:hAnsi="Palatino Linotype" w:cs="Palatino Linotype"/>
          <w:b/>
          <w:bCs/>
        </w:rPr>
        <w:t>, s</w:t>
      </w:r>
      <w:r>
        <w:rPr>
          <w:rFonts w:ascii="Palatino Linotype" w:eastAsia="Palatino Linotype" w:hAnsi="Palatino Linotype" w:cs="Palatino Linotype"/>
        </w:rPr>
        <w:t xml:space="preserve">iendo éste el medio a través del cual, este Órgano Garante después de realizar el análisis al procedimiento de acceso a la información, podrá determinar la posible afectación y de ser el caso ordenar la reparación a la violación del derecho en cuestión.  </w:t>
      </w: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lastRenderedPageBreak/>
        <w:t>Ahora bien, 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“CRITERIO 0002-11</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TEMÁTICA DE LOS ARTÍCULOS 2, FRACCIÓN V, XV, Y XVI, 3, 4,11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rPr>
        <w:t>Que se trate de información registrada en cualquier soporte documental, que en ejercicio de las atribuciones conferidas, sea generada por los Sujetos Obligados;</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rPr>
        <w:t>Que se trate de información registrada en cualquier soporte documental, que en ejercicio de las atribuciones conferidas, sea administrada por los Sujetos Obligados, y</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rPr>
        <w:t>Que se trate de información registrada en cualquier soporte documental, que en ejercicio de las atribuciones conferidas, se encuentre en posesión de los Sujetos Obligados.”</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rPr>
      </w:pP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t>El derecho de acceso a la información encuentra su materia elemental en los documentos, y la Ley de Transparencia local nos brinda el siguiente concepto, para darnos un mejor panorama:</w:t>
      </w: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XI. Documento: </w:t>
      </w:r>
      <w:r>
        <w:rPr>
          <w:rFonts w:ascii="Palatino Linotype" w:eastAsia="Palatino Linotype" w:hAnsi="Palatino Linotype" w:cs="Palatino Linotype"/>
          <w:i/>
          <w:iCs/>
        </w:rPr>
        <w:t xml:space="preserve">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w:t>
      </w:r>
      <w:r>
        <w:rPr>
          <w:rFonts w:ascii="Palatino Linotype" w:eastAsia="Palatino Linotype" w:hAnsi="Palatino Linotype" w:cs="Palatino Linotype"/>
          <w:i/>
          <w:iCs/>
        </w:rPr>
        <w:lastRenderedPageBreak/>
        <w:t>estar en cualquier medio, sea escrito, impreso,  sonoro, visual, electrónico, informático u holográfico;</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rPr>
      </w:pP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rPr>
      </w:pP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t xml:space="preserve">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Pr>
          <w:rFonts w:ascii="Palatino Linotype" w:eastAsia="Palatino Linotype" w:hAnsi="Palatino Linotype" w:cs="Palatino Linotype"/>
          <w:b/>
          <w:bCs/>
        </w:rPr>
        <w:t>los Sujetos Obligados deberán documentar todo acto que se derive del ejercicio de sus facultades, competencias o funciones,</w:t>
      </w:r>
      <w:r>
        <w:rPr>
          <w:rFonts w:ascii="Palatino Linotype" w:eastAsia="Palatino Linotype" w:hAnsi="Palatino Linotype" w:cs="Palatino Linotype"/>
        </w:rPr>
        <w:t xml:space="preserve"> considerando desde su origen la eventual publicidad y reutilización de la información que generen, posean o administren.</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rPr>
      </w:pP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t>Además, debemos tomar en cuenta los artículos 4 y 12 (antes transcrito), de la Ley de Transparencia y Acceso a la Información Pública del Estado de México y Municipios, los cuales establecen lo siguiente:</w:t>
      </w:r>
    </w:p>
    <w:p w:rsidR="005A06FD" w:rsidRDefault="009636D3">
      <w:pPr>
        <w:pBdr>
          <w:top w:val="nil"/>
          <w:left w:val="nil"/>
          <w:bottom w:val="nil"/>
          <w:right w:val="nil"/>
          <w:between w:val="nil"/>
        </w:pBdr>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4. </w:t>
      </w:r>
      <w:r>
        <w:rPr>
          <w:rFonts w:ascii="Palatino Linotype" w:eastAsia="Palatino Linotype" w:hAnsi="Palatino Linotype" w:cs="Palatino Linotype"/>
          <w:i/>
          <w:iCs/>
        </w:rPr>
        <w:t>El derecho humano de acceso a la información pública es la prerrogativa de las personas para buscar, difundir, investigar, recabar, recibir y solicitar información pública, sin necesidad de acreditar personalidad ni interés jurídico.</w:t>
      </w:r>
    </w:p>
    <w:p w:rsidR="005A06FD" w:rsidRDefault="005A06FD">
      <w:pPr>
        <w:pBdr>
          <w:top w:val="nil"/>
          <w:left w:val="nil"/>
          <w:bottom w:val="nil"/>
          <w:right w:val="nil"/>
          <w:between w:val="nil"/>
        </w:pBdr>
        <w:jc w:val="both"/>
        <w:rPr>
          <w:rFonts w:ascii="Palatino Linotype" w:eastAsia="Palatino Linotype" w:hAnsi="Palatino Linotype" w:cs="Palatino Linotype"/>
          <w:i/>
          <w:iCs/>
        </w:rPr>
      </w:pP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w:t>
      </w:r>
      <w:r>
        <w:rPr>
          <w:rFonts w:ascii="Palatino Linotype" w:eastAsia="Palatino Linotype" w:hAnsi="Palatino Linotype" w:cs="Palatino Linotype"/>
          <w:i/>
          <w:iCs/>
        </w:rPr>
        <w:lastRenderedPageBreak/>
        <w:t>ser clasificada excepcionalmente como reservada temporalmente por razones de interés público, en los términos de las causas legítimas y estrictamente necesarias previstas por esta Ley.</w:t>
      </w:r>
    </w:p>
    <w:p w:rsidR="005A06FD" w:rsidRDefault="005A06FD">
      <w:pPr>
        <w:pBdr>
          <w:top w:val="nil"/>
          <w:left w:val="nil"/>
          <w:bottom w:val="nil"/>
          <w:right w:val="nil"/>
          <w:between w:val="nil"/>
        </w:pBdr>
        <w:jc w:val="both"/>
        <w:rPr>
          <w:rFonts w:ascii="Palatino Linotype" w:eastAsia="Palatino Linotype" w:hAnsi="Palatino Linotype" w:cs="Palatino Linotype"/>
          <w:i/>
          <w:iCs/>
        </w:rPr>
      </w:pPr>
    </w:p>
    <w:p w:rsidR="005A06FD" w:rsidRDefault="009636D3">
      <w:pPr>
        <w:pBdr>
          <w:top w:val="nil"/>
          <w:left w:val="nil"/>
          <w:bottom w:val="nil"/>
          <w:right w:val="nil"/>
          <w:between w:val="nil"/>
        </w:pBdr>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deben poner en práctica, políticas y programas de acceso a la información que se apeguen a criterios de publicidad, veracidad, oportunidad, precisión y suficiencia en beneficio de los solicitantes.</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i/>
          <w:iCs/>
        </w:rPr>
      </w:pP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b/>
          <w:bCs/>
        </w:rPr>
        <w:t xml:space="preserve"> </w:t>
      </w:r>
      <w:r>
        <w:rPr>
          <w:rFonts w:ascii="Palatino Linotype" w:eastAsia="Palatino Linotype" w:hAnsi="Palatino Linotype" w:cs="Palatino Linotype"/>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Pr>
          <w:rFonts w:ascii="Palatino Linotype" w:eastAsia="Palatino Linotype" w:hAnsi="Palatino Linotype" w:cs="Palatino Linotype"/>
          <w:vertAlign w:val="superscript"/>
        </w:rPr>
        <w:footnoteReference w:id="9"/>
      </w:r>
      <w:r>
        <w:rPr>
          <w:rFonts w:ascii="Palatino Linotype" w:eastAsia="Palatino Linotype" w:hAnsi="Palatino Linotype" w:cs="Palatino Linotype"/>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rPr>
      </w:pP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t xml:space="preserve">Ahora bien, cabe la posibilidad de que dentro de la información solicitada, se encuentren documentos que contengan información que actualicen alguna de las causales de reserva o confidencialidad establecidas en los artículos 140 y 143 de la Ley de la materia, como por ejemplo oficios relacionados con procedimientos administrativos en trámite, es decir, que el principio de definitividad no se haya actualizado, por aún existir instancias para su revisión o impugnación o en su caso que no haya causado estado, dicha información reviste el carácter de información reservada y, en este caso, se deberá emitir un acuerdo que clasifique como reservado el procedimiento sobre responsabilidad administrativa. </w:t>
      </w: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lastRenderedPageBreak/>
        <w:t xml:space="preserve">Por lo anterior, es necesario citar el artículo 140 de la Ley de Transparencia y Acceso a la Información Pública del Estado de México y Municipios, el cual precisa que, la información pública será de acceso restringido cuando por razones de interés público, esta sea clasificada como reservada, conforme a los criterios siguientes: </w:t>
      </w:r>
    </w:p>
    <w:p w:rsidR="005A06FD" w:rsidRDefault="009636D3">
      <w:pPr>
        <w:pBdr>
          <w:top w:val="nil"/>
          <w:left w:val="nil"/>
          <w:bottom w:val="nil"/>
          <w:right w:val="nil"/>
          <w:between w:val="nil"/>
        </w:pBdr>
        <w:spacing w:line="360" w:lineRule="auto"/>
        <w:ind w:left="567" w:right="539"/>
        <w:jc w:val="both"/>
        <w:rPr>
          <w:rFonts w:ascii="Palatino Linotype" w:eastAsia="Palatino Linotype" w:hAnsi="Palatino Linotype" w:cs="Palatino Linotype"/>
        </w:rPr>
      </w:pPr>
      <w:r>
        <w:rPr>
          <w:rFonts w:ascii="Palatino Linotype" w:eastAsia="Palatino Linotype" w:hAnsi="Palatino Linotype" w:cs="Palatino Linotype"/>
        </w:rPr>
        <w:t xml:space="preserve">● 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 </w:t>
      </w:r>
    </w:p>
    <w:p w:rsidR="005A06FD" w:rsidRDefault="009636D3">
      <w:pPr>
        <w:pBdr>
          <w:top w:val="nil"/>
          <w:left w:val="nil"/>
          <w:bottom w:val="nil"/>
          <w:right w:val="nil"/>
          <w:between w:val="nil"/>
        </w:pBdr>
        <w:spacing w:line="360" w:lineRule="auto"/>
        <w:ind w:left="567" w:right="539"/>
        <w:jc w:val="both"/>
        <w:rPr>
          <w:rFonts w:ascii="Palatino Linotype" w:eastAsia="Palatino Linotype" w:hAnsi="Palatino Linotype" w:cs="Palatino Linotype"/>
        </w:rPr>
      </w:pPr>
      <w:r>
        <w:rPr>
          <w:rFonts w:ascii="Palatino Linotype" w:eastAsia="Palatino Linotype" w:hAnsi="Palatino Linotype" w:cs="Palatino Linotype"/>
        </w:rPr>
        <w:t xml:space="preserve">● Vulnere la conducción de los expedientes judiciales o de los procedimientos administrativos seguidos en forma de juicio, en tanto no hayan quedado firmes. </w:t>
      </w:r>
    </w:p>
    <w:p w:rsidR="005A06FD" w:rsidRDefault="009636D3">
      <w:pPr>
        <w:pBdr>
          <w:top w:val="nil"/>
          <w:left w:val="nil"/>
          <w:bottom w:val="nil"/>
          <w:right w:val="nil"/>
          <w:between w:val="nil"/>
        </w:pBdr>
        <w:spacing w:line="360" w:lineRule="auto"/>
        <w:ind w:left="567" w:right="539"/>
        <w:jc w:val="both"/>
        <w:rPr>
          <w:rFonts w:ascii="Palatino Linotype" w:eastAsia="Palatino Linotype" w:hAnsi="Palatino Linotype" w:cs="Palatino Linotype"/>
        </w:rPr>
      </w:pPr>
      <w:r>
        <w:rPr>
          <w:rFonts w:ascii="Palatino Linotype" w:eastAsia="Palatino Linotype" w:hAnsi="Palatino Linotype" w:cs="Palatino Linotype"/>
        </w:rPr>
        <w:t>● 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rPr>
      </w:pPr>
    </w:p>
    <w:p w:rsidR="005A06FD" w:rsidRDefault="009636D3">
      <w:pPr>
        <w:numPr>
          <w:ilvl w:val="0"/>
          <w:numId w:val="1"/>
        </w:numPr>
        <w:pBdr>
          <w:top w:val="nil"/>
          <w:left w:val="nil"/>
          <w:bottom w:val="nil"/>
          <w:right w:val="nil"/>
          <w:between w:val="nil"/>
        </w:pBdr>
        <w:spacing w:line="360" w:lineRule="auto"/>
        <w:ind w:left="0" w:firstLine="0"/>
        <w:jc w:val="both"/>
      </w:pPr>
      <w:r>
        <w:rPr>
          <w:rFonts w:ascii="Palatino Linotype" w:eastAsia="Palatino Linotype" w:hAnsi="Palatino Linotype" w:cs="Palatino Linotype"/>
        </w:rPr>
        <w:t>En ese sentido, cabe la posibilidad de que dentro de la información que se ordena, se encuentren documentos que contengan información que sí actualicen alguna de las causales de reserva o confidencialidad establecidas en los artículos 140 y 143 de la Ley de la materia, dicha información reviste el carácter de información reservada y en este caso, se deberá emitir un acuerdo que clasifique como reservado.</w:t>
      </w:r>
    </w:p>
    <w:p w:rsidR="005A06FD" w:rsidRDefault="005A06FD">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5A06FD" w:rsidRDefault="009636D3">
      <w:pPr>
        <w:numPr>
          <w:ilvl w:val="0"/>
          <w:numId w:val="1"/>
        </w:numPr>
        <w:pBdr>
          <w:top w:val="nil"/>
          <w:left w:val="nil"/>
          <w:bottom w:val="nil"/>
          <w:right w:val="nil"/>
          <w:between w:val="nil"/>
        </w:pBdr>
        <w:spacing w:line="360" w:lineRule="auto"/>
        <w:ind w:left="0" w:right="49" w:firstLine="0"/>
        <w:jc w:val="both"/>
        <w:rPr>
          <w:color w:val="000000"/>
        </w:rPr>
      </w:pPr>
      <w:r>
        <w:rPr>
          <w:rFonts w:ascii="Palatino Linotype" w:eastAsia="Palatino Linotype" w:hAnsi="Palatino Linotype" w:cs="Palatino Linotype"/>
          <w:color w:val="000000"/>
        </w:rPr>
        <w:lastRenderedPageBreak/>
        <w:t xml:space="preserve">Por lo anteriormente señalado, se advierte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tiene competencia para conocer de lo solicitado por el particular, en consecuencia, una vez analizadas las constancias que integran el expediente electrónico, y en mérito de lo expuesto en líneas anteriores, resultan  fundadas las razones o motivos de inconformidad hechos valer por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dentro del recurso de revisión </w:t>
      </w:r>
      <w:r>
        <w:rPr>
          <w:rFonts w:ascii="Palatino Linotype" w:eastAsia="Palatino Linotype" w:hAnsi="Palatino Linotype" w:cs="Palatino Linotype"/>
          <w:b/>
          <w:bCs/>
          <w:color w:val="000000"/>
        </w:rPr>
        <w:t>03308/INFOEM/IP/RR/2026</w:t>
      </w:r>
      <w:r>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de México y Municipios, se </w:t>
      </w:r>
      <w:r>
        <w:rPr>
          <w:rFonts w:ascii="Palatino Linotype" w:eastAsia="Palatino Linotype" w:hAnsi="Palatino Linotype" w:cs="Palatino Linotype"/>
          <w:b/>
          <w:bCs/>
          <w:color w:val="000000"/>
        </w:rPr>
        <w:t>REVOCA</w:t>
      </w:r>
      <w:r>
        <w:rPr>
          <w:rFonts w:ascii="Palatino Linotype" w:eastAsia="Palatino Linotype" w:hAnsi="Palatino Linotype" w:cs="Palatino Linotype"/>
          <w:color w:val="000000"/>
        </w:rPr>
        <w:t xml:space="preserve"> la respuesta del Sujeto Obligado. </w:t>
      </w:r>
    </w:p>
    <w:p w:rsidR="005A06FD" w:rsidRDefault="005A06FD">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5A06FD" w:rsidRDefault="009636D3">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5A06FD" w:rsidRDefault="009636D3">
      <w:pPr>
        <w:numPr>
          <w:ilvl w:val="0"/>
          <w:numId w:val="1"/>
        </w:numPr>
        <w:pBdr>
          <w:top w:val="nil"/>
          <w:left w:val="nil"/>
          <w:bottom w:val="nil"/>
          <w:right w:val="nil"/>
          <w:between w:val="nil"/>
        </w:pBdr>
        <w:tabs>
          <w:tab w:val="left" w:pos="0"/>
        </w:tabs>
        <w:spacing w:line="360" w:lineRule="auto"/>
        <w:ind w:left="0" w:firstLine="0"/>
        <w:jc w:val="both"/>
        <w:rPr>
          <w:color w:val="000000"/>
        </w:rPr>
      </w:pPr>
      <w:r>
        <w:rPr>
          <w:rFonts w:ascii="Palatino Linotype" w:eastAsia="Palatino Linotype" w:hAnsi="Palatino Linotype" w:cs="Palatino Linotype"/>
          <w:color w:val="000000"/>
        </w:rPr>
        <w:t>Debe destacarse que, debido a la naturaleza de la información solicitada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5A06FD" w:rsidRDefault="005A06FD">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5A06FD" w:rsidRDefault="009636D3">
      <w:pPr>
        <w:numPr>
          <w:ilvl w:val="0"/>
          <w:numId w:val="1"/>
        </w:numPr>
        <w:pBdr>
          <w:top w:val="nil"/>
          <w:left w:val="nil"/>
          <w:bottom w:val="nil"/>
          <w:right w:val="nil"/>
          <w:between w:val="nil"/>
        </w:pBdr>
        <w:tabs>
          <w:tab w:val="left" w:pos="0"/>
        </w:tabs>
        <w:spacing w:line="360" w:lineRule="auto"/>
        <w:ind w:left="0" w:firstLine="0"/>
        <w:jc w:val="both"/>
        <w:rPr>
          <w:color w:val="000000"/>
        </w:rPr>
      </w:pPr>
      <w:r>
        <w:rPr>
          <w:rFonts w:ascii="Palatino Linotype" w:eastAsia="Palatino Linotype" w:hAnsi="Palatino Linotype" w:cs="Palatino Linotype"/>
          <w:color w:val="000000"/>
        </w:rPr>
        <w:t>La clasificación total o parcial de la información requerida, mediante solicitud de acceso a la información pública, constituye una restricción al derecho humano de acceso a la información, por lo que es menester reiterar los mismos:</w:t>
      </w:r>
    </w:p>
    <w:p w:rsidR="005A06FD" w:rsidRDefault="005A06FD">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tbl>
      <w:tblPr>
        <w:tblStyle w:val="a"/>
        <w:tblW w:w="988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3465"/>
        <w:gridCol w:w="6420"/>
      </w:tblGrid>
      <w:tr w:rsidR="005A06FD">
        <w:tc>
          <w:tcPr>
            <w:tcW w:w="3465" w:type="dxa"/>
          </w:tcPr>
          <w:p w:rsidR="005A06FD" w:rsidRDefault="009636D3">
            <w:pPr>
              <w:spacing w:line="360" w:lineRule="auto"/>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6420" w:type="dxa"/>
          </w:tcPr>
          <w:p w:rsidR="005A06FD" w:rsidRDefault="009636D3">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w:t>
            </w:r>
            <w:r>
              <w:rPr>
                <w:rFonts w:ascii="Palatino Linotype" w:eastAsia="Palatino Linotype" w:hAnsi="Palatino Linotype" w:cs="Palatino Linotype"/>
              </w:rPr>
              <w:lastRenderedPageBreak/>
              <w:t xml:space="preserve">supuestos de clasificación, es deber de los titulares de las áreas proponer su clasificación y no del Comité de Transparencia. </w:t>
            </w:r>
          </w:p>
          <w:p w:rsidR="005A06FD" w:rsidRDefault="009636D3">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Al hacerlo tienen que precisar de qué información se trata, señalando el supuesto de clasificación (confidencialidad o reserva).</w:t>
            </w:r>
          </w:p>
          <w:p w:rsidR="005A06FD" w:rsidRDefault="009636D3">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Además, se debe señalar el procedimiento, de los tres que establecen los artículos 132 y 106 de la Ley Estatal y General, respectivamente.</w:t>
            </w:r>
          </w:p>
          <w:p w:rsidR="005A06FD" w:rsidRDefault="009636D3">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El último de estos requisitos previos consiste en que no se pueden emitir acuerdos de carácter general ni particular, esto es, </w:t>
            </w:r>
            <w:r>
              <w:rPr>
                <w:rFonts w:ascii="Palatino Linotype" w:eastAsia="Palatino Linotype" w:hAnsi="Palatino Linotype" w:cs="Palatino Linotype"/>
                <w:u w:val="single"/>
              </w:rPr>
              <w:t xml:space="preserve">no se puede hacer un acuerdo para clasificar de manera general todos los documentos de un expediente o área,  </w:t>
            </w:r>
            <w:r>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5A06FD">
        <w:tc>
          <w:tcPr>
            <w:tcW w:w="3465" w:type="dxa"/>
          </w:tcPr>
          <w:p w:rsidR="005A06FD" w:rsidRDefault="009636D3">
            <w:pPr>
              <w:spacing w:line="360" w:lineRule="auto"/>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6420" w:type="dxa"/>
          </w:tcPr>
          <w:p w:rsidR="005A06FD" w:rsidRDefault="009636D3">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5A06FD" w:rsidRDefault="009636D3">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116 y 143 de la Ley Estatal y de la Ley General, respectivamente, señalan los supuestos para que la información pueda ser clasificada como confidencial. Mientras que los artículos 105 y 130 de la Ley Estatal y de </w:t>
            </w:r>
            <w:r>
              <w:rPr>
                <w:rFonts w:ascii="Palatino Linotype" w:eastAsia="Palatino Linotype" w:hAnsi="Palatino Linotype" w:cs="Palatino Linotype"/>
              </w:rPr>
              <w:lastRenderedPageBreak/>
              <w:t>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5A06FD" w:rsidRDefault="009636D3">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5A06FD">
        <w:tc>
          <w:tcPr>
            <w:tcW w:w="3465" w:type="dxa"/>
          </w:tcPr>
          <w:p w:rsidR="005A06FD" w:rsidRDefault="009636D3">
            <w:pPr>
              <w:spacing w:line="360" w:lineRule="auto"/>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6420" w:type="dxa"/>
          </w:tcPr>
          <w:p w:rsidR="005A06FD" w:rsidRDefault="009636D3">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5A06FD" w:rsidRDefault="009636D3">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Es necesario que </w:t>
            </w:r>
            <w:r>
              <w:rPr>
                <w:rFonts w:ascii="Palatino Linotype" w:eastAsia="Palatino Linotype" w:hAnsi="Palatino Linotype" w:cs="Palatino Linotype"/>
                <w:b/>
                <w:bCs/>
                <w:u w:val="single"/>
              </w:rPr>
              <w:t>el acto reúna con los requisitos elementales</w:t>
            </w:r>
            <w:r>
              <w:rPr>
                <w:rFonts w:ascii="Palatino Linotype" w:eastAsia="Palatino Linotype" w:hAnsi="Palatino Linotype" w:cs="Palatino Linotype"/>
              </w:rPr>
              <w:t>, entre ellos, que la autoridad que va a emitir el acto de autoridad sea la legalmente facultada para ello.</w:t>
            </w:r>
          </w:p>
          <w:p w:rsidR="005A06FD" w:rsidRDefault="009636D3">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w:t>
            </w:r>
            <w:r>
              <w:rPr>
                <w:rFonts w:ascii="Palatino Linotype" w:eastAsia="Palatino Linotype" w:hAnsi="Palatino Linotype" w:cs="Palatino Linotype"/>
              </w:rPr>
              <w:lastRenderedPageBreak/>
              <w:t>integrarse en la agenda de los asuntos a tratar en las sesiones, se insiste, a partir de las decisiones adoptadas previamente por los titulares de áreas y que son sujetas a control, en primera instancia, por el Comité de Transparencia.</w:t>
            </w:r>
          </w:p>
        </w:tc>
      </w:tr>
      <w:tr w:rsidR="005A06FD">
        <w:tc>
          <w:tcPr>
            <w:tcW w:w="3465" w:type="dxa"/>
          </w:tcPr>
          <w:p w:rsidR="005A06FD" w:rsidRDefault="005A06FD">
            <w:pPr>
              <w:spacing w:line="360" w:lineRule="auto"/>
              <w:rPr>
                <w:rFonts w:ascii="Palatino Linotype" w:eastAsia="Palatino Linotype" w:hAnsi="Palatino Linotype" w:cs="Palatino Linotype"/>
              </w:rPr>
            </w:pPr>
          </w:p>
          <w:p w:rsidR="005A06FD" w:rsidRDefault="009636D3">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d) Requisitos de fondo del acuerdo de clasificación. </w:t>
            </w:r>
          </w:p>
        </w:tc>
        <w:tc>
          <w:tcPr>
            <w:tcW w:w="6420" w:type="dxa"/>
          </w:tcPr>
          <w:p w:rsidR="005A06FD" w:rsidRDefault="009636D3">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rPr>
              <w:t>Sujetos Obligados</w:t>
            </w:r>
            <w:r>
              <w:rPr>
                <w:rFonts w:ascii="Palatino Linotype" w:eastAsia="Palatino Linotype" w:hAnsi="Palatino Linotype" w:cs="Palatino Linotype"/>
              </w:rPr>
              <w:t xml:space="preserve">, por lo que deberán fundar y motivar debidamente la clasificación. </w:t>
            </w:r>
          </w:p>
          <w:p w:rsidR="005A06FD" w:rsidRDefault="009636D3">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De lo anterior, se desprende que para una correcta </w:t>
            </w:r>
            <w:r>
              <w:rPr>
                <w:rFonts w:ascii="Palatino Linotype" w:eastAsia="Palatino Linotype" w:hAnsi="Palatino Linotype" w:cs="Palatino Linotype"/>
                <w:b/>
                <w:bCs/>
              </w:rPr>
              <w:t>clasificación total o parcial</w:t>
            </w:r>
            <w:r>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5A06FD" w:rsidRDefault="009636D3">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Así, en un acto de autoridad se cumple con la debida fundamentación cuando se cita el precepto legal aplicable </w:t>
            </w:r>
            <w:r>
              <w:rPr>
                <w:rFonts w:ascii="Palatino Linotype" w:eastAsia="Palatino Linotype" w:hAnsi="Palatino Linotype" w:cs="Palatino Linotype"/>
              </w:rPr>
              <w:lastRenderedPageBreak/>
              <w:t>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5A06FD" w:rsidRDefault="009636D3">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5A06FD" w:rsidRDefault="009636D3">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w:t>
            </w:r>
            <w:r>
              <w:rPr>
                <w:rFonts w:ascii="Palatino Linotype" w:eastAsia="Palatino Linotype" w:hAnsi="Palatino Linotype" w:cs="Palatino Linotype"/>
                <w:b/>
                <w:bCs/>
                <w:u w:val="single"/>
              </w:rPr>
              <w:t>para cada caso además de fundar y motivar</w:t>
            </w:r>
            <w:r>
              <w:rPr>
                <w:rFonts w:ascii="Palatino Linotype" w:eastAsia="Palatino Linotype" w:hAnsi="Palatino Linotype" w:cs="Palatino Linotype"/>
              </w:rPr>
              <w:t>, se debe identificar con claridad qué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5A06FD">
        <w:tc>
          <w:tcPr>
            <w:tcW w:w="3465" w:type="dxa"/>
          </w:tcPr>
          <w:p w:rsidR="005A06FD" w:rsidRDefault="009636D3">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p w:rsidR="005A06FD" w:rsidRDefault="005A06FD">
            <w:pPr>
              <w:spacing w:line="360" w:lineRule="auto"/>
              <w:rPr>
                <w:rFonts w:ascii="Palatino Linotype" w:eastAsia="Palatino Linotype" w:hAnsi="Palatino Linotype" w:cs="Palatino Linotype"/>
              </w:rPr>
            </w:pPr>
          </w:p>
        </w:tc>
        <w:tc>
          <w:tcPr>
            <w:tcW w:w="6420" w:type="dxa"/>
          </w:tcPr>
          <w:p w:rsidR="005A06FD" w:rsidRDefault="009636D3">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5A06FD" w:rsidRDefault="009636D3">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5A06FD" w:rsidRDefault="009636D3">
            <w:pPr>
              <w:spacing w:line="360" w:lineRule="auto"/>
              <w:rPr>
                <w:rFonts w:ascii="Palatino Linotype" w:eastAsia="Palatino Linotype" w:hAnsi="Palatino Linotype" w:cs="Palatino Linotype"/>
              </w:rPr>
            </w:pPr>
            <w:r>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5A06FD" w:rsidRDefault="005A06FD">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5A06FD" w:rsidRDefault="009636D3">
      <w:pPr>
        <w:numPr>
          <w:ilvl w:val="0"/>
          <w:numId w:val="1"/>
        </w:numPr>
        <w:pBdr>
          <w:top w:val="nil"/>
          <w:left w:val="nil"/>
          <w:bottom w:val="nil"/>
          <w:right w:val="nil"/>
          <w:between w:val="nil"/>
        </w:pBdr>
        <w:spacing w:line="360" w:lineRule="auto"/>
        <w:ind w:left="0" w:firstLine="0"/>
        <w:jc w:val="both"/>
        <w:rPr>
          <w:color w:val="000000"/>
        </w:rPr>
      </w:pPr>
      <w:r>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5A06FD" w:rsidRDefault="005A06FD">
      <w:pPr>
        <w:pBdr>
          <w:top w:val="nil"/>
          <w:left w:val="nil"/>
          <w:bottom w:val="nil"/>
          <w:right w:val="nil"/>
          <w:between w:val="nil"/>
        </w:pBdr>
        <w:tabs>
          <w:tab w:val="left" w:pos="284"/>
        </w:tabs>
        <w:spacing w:line="360" w:lineRule="auto"/>
        <w:ind w:right="-25"/>
        <w:jc w:val="both"/>
        <w:rPr>
          <w:rFonts w:ascii="Palatino Linotype" w:eastAsia="Palatino Linotype" w:hAnsi="Palatino Linotype" w:cs="Palatino Linotype"/>
          <w:color w:val="000000"/>
        </w:rPr>
      </w:pPr>
    </w:p>
    <w:p w:rsidR="005A06FD" w:rsidRDefault="009636D3">
      <w:pPr>
        <w:numPr>
          <w:ilvl w:val="0"/>
          <w:numId w:val="5"/>
        </w:numPr>
        <w:pBdr>
          <w:top w:val="nil"/>
          <w:left w:val="nil"/>
          <w:bottom w:val="nil"/>
          <w:right w:val="nil"/>
          <w:between w:val="nil"/>
        </w:pBdr>
        <w:spacing w:line="360" w:lineRule="auto"/>
        <w:ind w:left="56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Domicilio particular.</w:t>
      </w:r>
    </w:p>
    <w:p w:rsidR="005A06FD" w:rsidRDefault="009636D3">
      <w:pPr>
        <w:numPr>
          <w:ilvl w:val="0"/>
          <w:numId w:val="1"/>
        </w:numPr>
        <w:pBdr>
          <w:top w:val="nil"/>
          <w:left w:val="nil"/>
          <w:bottom w:val="nil"/>
          <w:right w:val="nil"/>
          <w:between w:val="nil"/>
        </w:pBdr>
        <w:spacing w:line="360" w:lineRule="auto"/>
        <w:ind w:left="0" w:firstLine="0"/>
        <w:jc w:val="both"/>
        <w:rPr>
          <w:color w:val="000000"/>
        </w:rPr>
      </w:pPr>
      <w:r>
        <w:rPr>
          <w:rFonts w:ascii="Palatino Linotype" w:eastAsia="Palatino Linotype" w:hAnsi="Palatino Linotype" w:cs="Palatino Linotype"/>
          <w:color w:val="000000"/>
        </w:rPr>
        <w:t xml:space="preserve">De acuerdo con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De la misma manera, lo establece el artículo 29 del Código Civil Federal, al precisar que el domicilio de </w:t>
      </w:r>
      <w:r>
        <w:rPr>
          <w:rFonts w:ascii="Palatino Linotype" w:eastAsia="Palatino Linotype" w:hAnsi="Palatino Linotype" w:cs="Palatino Linotype"/>
          <w:color w:val="000000"/>
        </w:rPr>
        <w:lastRenderedPageBreak/>
        <w:t>personas físicas</w:t>
      </w:r>
      <w:r>
        <w:rPr>
          <w:rFonts w:ascii="Palatino Linotype" w:eastAsia="Palatino Linotype" w:hAnsi="Palatino Linotype" w:cs="Palatino Linotype"/>
          <w:b/>
          <w:bCs/>
          <w:color w:val="000000"/>
        </w:rPr>
        <w:t>, es el lugar donde residen habitualmente, el lugar del centro principal de sus negocios, donde residan o el lugar donde se encuentren.</w:t>
      </w:r>
    </w:p>
    <w:p w:rsidR="005A06FD" w:rsidRDefault="005A06F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A06FD" w:rsidRDefault="009636D3">
      <w:pPr>
        <w:numPr>
          <w:ilvl w:val="0"/>
          <w:numId w:val="1"/>
        </w:numPr>
        <w:pBdr>
          <w:top w:val="nil"/>
          <w:left w:val="nil"/>
          <w:bottom w:val="nil"/>
          <w:right w:val="nil"/>
          <w:between w:val="nil"/>
        </w:pBdr>
        <w:spacing w:line="360" w:lineRule="auto"/>
        <w:ind w:left="0" w:firstLine="0"/>
        <w:jc w:val="both"/>
        <w:rPr>
          <w:color w:val="000000"/>
        </w:rPr>
      </w:pPr>
      <w:r>
        <w:rPr>
          <w:rFonts w:ascii="Palatino Linotype" w:eastAsia="Palatino Linotype" w:hAnsi="Palatino Linotype" w:cs="Palatino Linotype"/>
          <w:color w:val="000000"/>
        </w:rPr>
        <w:t>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Por lo tanto, se actualiza la clasificación, de conformidad con la fracción I, del artículo 143 de la Ley de Transparencia y Acceso a la Información Pública del Estado de México y Municipios.</w:t>
      </w:r>
    </w:p>
    <w:p w:rsidR="005A06FD" w:rsidRDefault="005A06FD">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5A06FD" w:rsidRDefault="009636D3">
      <w:pPr>
        <w:numPr>
          <w:ilvl w:val="0"/>
          <w:numId w:val="1"/>
        </w:numPr>
        <w:pBdr>
          <w:top w:val="nil"/>
          <w:left w:val="nil"/>
          <w:bottom w:val="nil"/>
          <w:right w:val="nil"/>
          <w:between w:val="nil"/>
        </w:pBdr>
        <w:spacing w:line="360" w:lineRule="auto"/>
        <w:ind w:left="0" w:firstLine="0"/>
        <w:jc w:val="both"/>
        <w:rPr>
          <w:color w:val="000000"/>
        </w:rPr>
      </w:pPr>
      <w:r>
        <w:rPr>
          <w:rFonts w:ascii="Palatino Linotype" w:eastAsia="Palatino Linotype" w:hAnsi="Palatino Linotype" w:cs="Palatino Linotype"/>
          <w:color w:val="000000"/>
        </w:rPr>
        <w:t>Así pues, el domicilio y los elementos que puedan identificarlo deben ser considerados como información confidencial, en los términos antes expuestos; así pues, es procedente, ordenar la entrega de la base de datos que fue remitida en informe justificado en versión pública, acompañada del acuerdo que para tales efectos emita su Comité de Transparencia de conformidad con los artículos 49, fracciones II y VIII, 143, fracción I y 149 de la Ley de Transparencia y Acceso a la Información Pública del Estado de México y Municipios; en la que se testen las coordenadas geográficas que permiten identificar domicilios.</w:t>
      </w:r>
    </w:p>
    <w:p w:rsidR="005A06FD" w:rsidRDefault="005A06FD">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5A06FD" w:rsidRDefault="009636D3">
      <w:pPr>
        <w:numPr>
          <w:ilvl w:val="0"/>
          <w:numId w:val="1"/>
        </w:numPr>
        <w:pBdr>
          <w:top w:val="nil"/>
          <w:left w:val="nil"/>
          <w:bottom w:val="nil"/>
          <w:right w:val="nil"/>
          <w:between w:val="nil"/>
        </w:pBdr>
        <w:spacing w:line="360" w:lineRule="auto"/>
        <w:ind w:left="0" w:right="49" w:firstLine="0"/>
        <w:jc w:val="both"/>
        <w:rPr>
          <w:color w:val="000000"/>
        </w:rPr>
      </w:pPr>
      <w:r>
        <w:rPr>
          <w:rFonts w:ascii="Palatino Linotype" w:eastAsia="Palatino Linotype" w:hAnsi="Palatino Linotype" w:cs="Palatino Linotype"/>
          <w:color w:val="000000"/>
        </w:rPr>
        <w:t xml:space="preserve">Por lo anteriormente expuesto y fundado, 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w:t>
      </w:r>
      <w:r w:rsidR="003F674E">
        <w:rPr>
          <w:rFonts w:ascii="Palatino Linotype" w:eastAsia="Palatino Linotype" w:hAnsi="Palatino Linotype" w:cs="Palatino Linotype"/>
          <w:color w:val="000000"/>
        </w:rPr>
        <w:t xml:space="preserve"> ------------------------------------------------------------------------------------------------------------</w:t>
      </w:r>
    </w:p>
    <w:p w:rsidR="005A06FD" w:rsidRDefault="005A06FD">
      <w:pPr>
        <w:pBdr>
          <w:top w:val="nil"/>
          <w:left w:val="nil"/>
          <w:bottom w:val="nil"/>
          <w:right w:val="nil"/>
          <w:between w:val="nil"/>
        </w:pBdr>
        <w:spacing w:line="360" w:lineRule="auto"/>
        <w:ind w:left="360" w:right="49"/>
        <w:jc w:val="both"/>
        <w:rPr>
          <w:rFonts w:ascii="Palatino Linotype" w:eastAsia="Palatino Linotype" w:hAnsi="Palatino Linotype" w:cs="Palatino Linotype"/>
        </w:rPr>
      </w:pPr>
    </w:p>
    <w:p w:rsidR="005A06FD" w:rsidRDefault="009636D3">
      <w:pPr>
        <w:keepNext/>
        <w:keepLines/>
        <w:spacing w:line="360" w:lineRule="auto"/>
        <w:jc w:val="center"/>
        <w:rPr>
          <w:rFonts w:ascii="Palatino Linotype" w:eastAsia="Palatino Linotype" w:hAnsi="Palatino Linotype" w:cs="Palatino Linotype"/>
          <w:b/>
          <w:bCs/>
          <w:color w:val="000000"/>
        </w:rPr>
      </w:pPr>
      <w:bookmarkStart w:id="7" w:name="_heading=h.tw013krqdi4a" w:colFirst="0" w:colLast="0"/>
      <w:bookmarkEnd w:id="7"/>
      <w:r>
        <w:rPr>
          <w:rFonts w:ascii="Palatino Linotype" w:eastAsia="Palatino Linotype" w:hAnsi="Palatino Linotype" w:cs="Palatino Linotype"/>
          <w:b/>
          <w:bCs/>
          <w:color w:val="000000"/>
        </w:rPr>
        <w:lastRenderedPageBreak/>
        <w:t>R E S O L U T I V O S</w:t>
      </w:r>
    </w:p>
    <w:p w:rsidR="005A06FD" w:rsidRDefault="005A06FD">
      <w:pPr>
        <w:keepNext/>
        <w:keepLines/>
        <w:spacing w:line="360" w:lineRule="auto"/>
        <w:jc w:val="center"/>
        <w:rPr>
          <w:rFonts w:ascii="Palatino Linotype" w:eastAsia="Palatino Linotype" w:hAnsi="Palatino Linotype" w:cs="Palatino Linotype"/>
          <w:b/>
          <w:bCs/>
          <w:color w:val="000000"/>
        </w:rPr>
      </w:pPr>
    </w:p>
    <w:p w:rsidR="005A06FD" w:rsidRDefault="009636D3">
      <w:pPr>
        <w:spacing w:line="360" w:lineRule="auto"/>
        <w:ind w:right="48"/>
        <w:jc w:val="both"/>
        <w:rPr>
          <w:rFonts w:ascii="Palatino Linotype" w:eastAsia="Palatino Linotype" w:hAnsi="Palatino Linotype" w:cs="Palatino Linotype"/>
        </w:rPr>
      </w:pPr>
      <w:r>
        <w:rPr>
          <w:rFonts w:ascii="Palatino Linotype" w:eastAsia="Palatino Linotype" w:hAnsi="Palatino Linotype" w:cs="Palatino Linotype"/>
          <w:b/>
          <w:bCs/>
        </w:rPr>
        <w:t xml:space="preserve">PRIMERO. </w:t>
      </w:r>
      <w:r>
        <w:rPr>
          <w:rFonts w:ascii="Palatino Linotype" w:eastAsia="Palatino Linotype" w:hAnsi="Palatino Linotype" w:cs="Palatino Linotype"/>
        </w:rPr>
        <w:t>Resultan 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Pr>
          <w:rFonts w:ascii="Palatino Linotype" w:eastAsia="Palatino Linotype" w:hAnsi="Palatino Linotype" w:cs="Palatino Linotype"/>
          <w:b/>
          <w:bCs/>
        </w:rPr>
        <w:t xml:space="preserve">03308/INFOEM/IP/RR/2026,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Considerando</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de la presente resolución.</w:t>
      </w:r>
    </w:p>
    <w:p w:rsidR="005A06FD" w:rsidRDefault="005A06FD">
      <w:pPr>
        <w:spacing w:line="360" w:lineRule="auto"/>
        <w:ind w:right="48"/>
        <w:jc w:val="both"/>
        <w:rPr>
          <w:rFonts w:ascii="Palatino Linotype" w:eastAsia="Palatino Linotype" w:hAnsi="Palatino Linotype" w:cs="Palatino Linotype"/>
        </w:rPr>
      </w:pPr>
    </w:p>
    <w:p w:rsidR="005A06FD" w:rsidRPr="002F6674" w:rsidRDefault="009636D3">
      <w:pPr>
        <w:spacing w:line="360" w:lineRule="auto"/>
        <w:ind w:right="48"/>
        <w:jc w:val="both"/>
        <w:rPr>
          <w:rFonts w:ascii="Palatino Linotype" w:eastAsia="Palatino Linotype" w:hAnsi="Palatino Linotype" w:cs="Palatino Linotype"/>
        </w:rPr>
      </w:pPr>
      <w:bookmarkStart w:id="8" w:name="_heading=h.j6q8wnavvxwi" w:colFirst="0" w:colLast="0"/>
      <w:bookmarkEnd w:id="8"/>
      <w:r>
        <w:rPr>
          <w:rFonts w:ascii="Palatino Linotype" w:eastAsia="Palatino Linotype" w:hAnsi="Palatino Linotype" w:cs="Palatino Linotype"/>
          <w:b/>
          <w:bCs/>
        </w:rPr>
        <w:t>SEGUNDO.</w:t>
      </w:r>
      <w:r>
        <w:rPr>
          <w:rFonts w:ascii="Palatino Linotype" w:eastAsia="Palatino Linotype" w:hAnsi="Palatino Linotype" w:cs="Palatino Linotype"/>
          <w:color w:val="2F5496"/>
        </w:rPr>
        <w:t xml:space="preserve"> </w:t>
      </w:r>
      <w:r>
        <w:rPr>
          <w:rFonts w:ascii="Palatino Linotype" w:eastAsia="Palatino Linotype" w:hAnsi="Palatino Linotype" w:cs="Palatino Linotype"/>
        </w:rPr>
        <w:t>Se</w:t>
      </w:r>
      <w:r>
        <w:rPr>
          <w:rFonts w:ascii="Palatino Linotype" w:eastAsia="Palatino Linotype" w:hAnsi="Palatino Linotype" w:cs="Palatino Linotype"/>
          <w:b/>
          <w:bCs/>
        </w:rPr>
        <w:t xml:space="preserve"> REVOCA </w:t>
      </w:r>
      <w:r>
        <w:rPr>
          <w:rFonts w:ascii="Palatino Linotype" w:eastAsia="Palatino Linotype" w:hAnsi="Palatino Linotype" w:cs="Palatino Linotype"/>
        </w:rPr>
        <w:t xml:space="preserve">la respuesta emitida por el </w:t>
      </w:r>
      <w:r>
        <w:rPr>
          <w:rFonts w:ascii="Palatino Linotype" w:eastAsia="Palatino Linotype" w:hAnsi="Palatino Linotype" w:cs="Palatino Linotype"/>
          <w:b/>
          <w:bCs/>
        </w:rPr>
        <w:t xml:space="preserve">Ayuntamiento de Tultitlán </w:t>
      </w:r>
      <w:r>
        <w:rPr>
          <w:rFonts w:ascii="Palatino Linotype" w:eastAsia="Palatino Linotype" w:hAnsi="Palatino Linotype" w:cs="Palatino Linotype"/>
        </w:rPr>
        <w:t>y se</w:t>
      </w:r>
      <w:r>
        <w:rPr>
          <w:rFonts w:ascii="Palatino Linotype" w:eastAsia="Palatino Linotype" w:hAnsi="Palatino Linotype" w:cs="Palatino Linotype"/>
          <w:b/>
          <w:bCs/>
        </w:rPr>
        <w:t xml:space="preserve"> ORDENA </w:t>
      </w:r>
      <w:r>
        <w:rPr>
          <w:rFonts w:ascii="Palatino Linotype" w:eastAsia="Palatino Linotype" w:hAnsi="Palatino Linotype" w:cs="Palatino Linotype"/>
        </w:rPr>
        <w:t xml:space="preserve">entregar vía Sistema de Accesos a la Información Mexiquense (SAIMEX), en </w:t>
      </w:r>
      <w:r w:rsidRPr="002F6674">
        <w:rPr>
          <w:rFonts w:ascii="Palatino Linotype" w:eastAsia="Palatino Linotype" w:hAnsi="Palatino Linotype" w:cs="Palatino Linotype"/>
        </w:rPr>
        <w:t xml:space="preserve">versión pública, del </w:t>
      </w:r>
      <w:r w:rsidRPr="002F6674">
        <w:rPr>
          <w:rFonts w:ascii="Palatino Linotype" w:eastAsia="Palatino Linotype" w:hAnsi="Palatino Linotype" w:cs="Palatino Linotype"/>
          <w:b/>
          <w:bCs/>
        </w:rPr>
        <w:t xml:space="preserve">uno de septiembre de dos mil veinticinco, </w:t>
      </w:r>
      <w:r w:rsidRPr="002F6674">
        <w:rPr>
          <w:rFonts w:ascii="Palatino Linotype" w:eastAsia="Palatino Linotype" w:hAnsi="Palatino Linotype" w:cs="Palatino Linotype"/>
        </w:rPr>
        <w:t xml:space="preserve">en formato xls, cvs o aquel en el que haya sido generada, </w:t>
      </w:r>
      <w:r w:rsidR="005A784C" w:rsidRPr="002F6674">
        <w:rPr>
          <w:rFonts w:ascii="Palatino Linotype" w:eastAsia="Palatino Linotype" w:hAnsi="Palatino Linotype" w:cs="Palatino Linotype"/>
        </w:rPr>
        <w:t xml:space="preserve">al mayor grado de desagregación posible </w:t>
      </w:r>
      <w:r w:rsidRPr="002F6674">
        <w:rPr>
          <w:rFonts w:ascii="Palatino Linotype" w:eastAsia="Palatino Linotype" w:hAnsi="Palatino Linotype" w:cs="Palatino Linotype"/>
        </w:rPr>
        <w:t>lo siguiente:</w:t>
      </w:r>
    </w:p>
    <w:p w:rsidR="005A06FD" w:rsidRPr="002F6674" w:rsidRDefault="005A06FD">
      <w:pPr>
        <w:spacing w:line="360" w:lineRule="auto"/>
        <w:jc w:val="both"/>
        <w:rPr>
          <w:rFonts w:ascii="Palatino Linotype" w:eastAsia="Palatino Linotype" w:hAnsi="Palatino Linotype" w:cs="Palatino Linotype"/>
        </w:rPr>
      </w:pPr>
    </w:p>
    <w:p w:rsidR="005A06FD" w:rsidRPr="002F6674" w:rsidRDefault="005A784C" w:rsidP="005A784C">
      <w:pPr>
        <w:pStyle w:val="Prrafodelista"/>
        <w:numPr>
          <w:ilvl w:val="0"/>
          <w:numId w:val="10"/>
        </w:numPr>
        <w:spacing w:line="360" w:lineRule="auto"/>
        <w:ind w:right="48"/>
        <w:jc w:val="both"/>
        <w:rPr>
          <w:rFonts w:ascii="Palatino Linotype" w:eastAsia="Palatino Linotype" w:hAnsi="Palatino Linotype" w:cs="Palatino Linotype"/>
        </w:rPr>
      </w:pPr>
      <w:r w:rsidRPr="002F6674">
        <w:rPr>
          <w:rFonts w:ascii="Palatino Linotype" w:eastAsia="Palatino Linotype" w:hAnsi="Palatino Linotype" w:cs="Palatino Linotype"/>
        </w:rPr>
        <w:t>El soporte documental en el que conste la incidencia delictiva y/o incidencia de faltas administrativas</w:t>
      </w:r>
    </w:p>
    <w:p w:rsidR="005A784C" w:rsidRPr="005A784C" w:rsidRDefault="005A784C" w:rsidP="005A784C">
      <w:pPr>
        <w:pStyle w:val="Prrafodelista"/>
        <w:spacing w:line="360" w:lineRule="auto"/>
        <w:ind w:right="48"/>
        <w:jc w:val="both"/>
        <w:rPr>
          <w:rFonts w:ascii="Palatino Linotype" w:eastAsia="Palatino Linotype" w:hAnsi="Palatino Linotype" w:cs="Palatino Linotype"/>
        </w:rPr>
      </w:pPr>
    </w:p>
    <w:p w:rsidR="005A06FD" w:rsidRDefault="009636D3">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w:t>
      </w:r>
    </w:p>
    <w:p w:rsidR="005A06FD" w:rsidRDefault="005A06FD">
      <w:pPr>
        <w:tabs>
          <w:tab w:val="left" w:pos="8080"/>
        </w:tabs>
        <w:spacing w:line="360" w:lineRule="auto"/>
        <w:ind w:right="48"/>
        <w:jc w:val="both"/>
        <w:rPr>
          <w:rFonts w:ascii="Palatino Linotype" w:eastAsia="Palatino Linotype" w:hAnsi="Palatino Linotype" w:cs="Palatino Linotype"/>
          <w:b/>
          <w:bCs/>
        </w:rPr>
      </w:pPr>
    </w:p>
    <w:p w:rsidR="005A06FD" w:rsidRDefault="009636D3">
      <w:pPr>
        <w:spacing w:line="360" w:lineRule="auto"/>
        <w:jc w:val="both"/>
        <w:rPr>
          <w:rFonts w:ascii="Palatino Linotype" w:eastAsia="Palatino Linotype" w:hAnsi="Palatino Linotype" w:cs="Palatino Linotype"/>
          <w:color w:val="000000"/>
        </w:rPr>
      </w:pPr>
      <w:r w:rsidRPr="002F6674">
        <w:rPr>
          <w:rFonts w:ascii="Palatino Linotype" w:eastAsia="Palatino Linotype" w:hAnsi="Palatino Linotype" w:cs="Palatino Linotype"/>
          <w:color w:val="000000"/>
        </w:rPr>
        <w:t>Para el caso que la información que se ordena entregar</w:t>
      </w:r>
      <w:r w:rsidR="005A784C" w:rsidRPr="002F6674">
        <w:rPr>
          <w:rFonts w:ascii="Palatino Linotype" w:eastAsia="Palatino Linotype" w:hAnsi="Palatino Linotype" w:cs="Palatino Linotype"/>
          <w:color w:val="000000"/>
        </w:rPr>
        <w:t xml:space="preserve"> sobre la </w:t>
      </w:r>
      <w:r w:rsidR="005A784C" w:rsidRPr="002F6674">
        <w:rPr>
          <w:rFonts w:ascii="Palatino Linotype" w:eastAsia="Palatino Linotype" w:hAnsi="Palatino Linotype" w:cs="Palatino Linotype"/>
          <w:b/>
          <w:color w:val="000000"/>
          <w:u w:val="single"/>
        </w:rPr>
        <w:t>incidencia de faltas administrativas</w:t>
      </w:r>
      <w:r w:rsidRPr="002F6674">
        <w:rPr>
          <w:rFonts w:ascii="Palatino Linotype" w:eastAsia="Palatino Linotype" w:hAnsi="Palatino Linotype" w:cs="Palatino Linotype"/>
          <w:color w:val="000000"/>
        </w:rPr>
        <w:t xml:space="preserve">, no obre en los archivos del Sujeto Obligado por no haberse generado, </w:t>
      </w:r>
      <w:r w:rsidR="005A784C" w:rsidRPr="002F6674">
        <w:rPr>
          <w:rFonts w:ascii="Palatino Linotype" w:eastAsia="Palatino Linotype" w:hAnsi="Palatino Linotype" w:cs="Palatino Linotype"/>
          <w:color w:val="000000"/>
        </w:rPr>
        <w:t xml:space="preserve">o bien, </w:t>
      </w:r>
      <w:r w:rsidR="005A784C" w:rsidRPr="002F6674">
        <w:rPr>
          <w:rFonts w:ascii="Palatino Linotype" w:eastAsia="Palatino Linotype" w:hAnsi="Palatino Linotype" w:cs="Palatino Linotype"/>
          <w:b/>
          <w:color w:val="000000"/>
          <w:u w:val="single"/>
        </w:rPr>
        <w:t>no cuente con las coordenadas,</w:t>
      </w:r>
      <w:r w:rsidR="005A784C" w:rsidRPr="002F6674">
        <w:rPr>
          <w:rFonts w:ascii="Palatino Linotype" w:eastAsia="Palatino Linotype" w:hAnsi="Palatino Linotype" w:cs="Palatino Linotype"/>
          <w:color w:val="000000"/>
        </w:rPr>
        <w:t xml:space="preserve"> </w:t>
      </w:r>
      <w:r w:rsidRPr="002F6674">
        <w:rPr>
          <w:rFonts w:ascii="Palatino Linotype" w:eastAsia="Palatino Linotype" w:hAnsi="Palatino Linotype" w:cs="Palatino Linotype"/>
          <w:color w:val="000000"/>
        </w:rPr>
        <w:t>bastará con que lo haga del conocimiento del Recurrente de manera precisa y clara.</w:t>
      </w:r>
    </w:p>
    <w:p w:rsidR="005A06FD" w:rsidRDefault="005A06FD">
      <w:pPr>
        <w:tabs>
          <w:tab w:val="left" w:pos="8080"/>
        </w:tabs>
        <w:spacing w:line="360" w:lineRule="auto"/>
        <w:ind w:right="48"/>
        <w:jc w:val="both"/>
        <w:rPr>
          <w:rFonts w:ascii="Palatino Linotype" w:eastAsia="Palatino Linotype" w:hAnsi="Palatino Linotype" w:cs="Palatino Linotype"/>
          <w:b/>
          <w:bCs/>
        </w:rPr>
      </w:pPr>
    </w:p>
    <w:p w:rsidR="005A06FD" w:rsidRDefault="009636D3">
      <w:pPr>
        <w:tabs>
          <w:tab w:val="left" w:pos="8080"/>
        </w:tabs>
        <w:spacing w:line="360" w:lineRule="auto"/>
        <w:ind w:right="48"/>
        <w:jc w:val="both"/>
        <w:rPr>
          <w:rFonts w:ascii="Palatino Linotype" w:eastAsia="Palatino Linotype" w:hAnsi="Palatino Linotype" w:cs="Palatino Linotype"/>
          <w:color w:val="222222"/>
          <w:highlight w:val="white"/>
        </w:rPr>
      </w:pPr>
      <w:r>
        <w:rPr>
          <w:rFonts w:ascii="Palatino Linotype" w:eastAsia="Palatino Linotype" w:hAnsi="Palatino Linotype" w:cs="Palatino Linotype"/>
          <w:b/>
          <w:bCs/>
        </w:rPr>
        <w:lastRenderedPageBreak/>
        <w:t xml:space="preserve">TERCERO. Notifíquese </w:t>
      </w:r>
      <w:r>
        <w:rPr>
          <w:rFonts w:ascii="Palatino Linotype" w:eastAsia="Palatino Linotype" w:hAnsi="Palatino Linotype" w:cs="Palatino Linotype"/>
        </w:rPr>
        <w:t xml:space="preserve">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rPr>
        <w:t>dé cumplimiento a lo ordenado dentro del plazo de diez días hábiles,</w:t>
      </w:r>
      <w:r>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5A06FD" w:rsidRDefault="005A06FD">
      <w:pPr>
        <w:tabs>
          <w:tab w:val="left" w:pos="8080"/>
        </w:tabs>
        <w:spacing w:line="360" w:lineRule="auto"/>
        <w:ind w:right="48"/>
        <w:jc w:val="both"/>
        <w:rPr>
          <w:rFonts w:ascii="Palatino Linotype" w:eastAsia="Palatino Linotype" w:hAnsi="Palatino Linotype" w:cs="Palatino Linotype"/>
          <w:color w:val="222222"/>
          <w:highlight w:val="white"/>
        </w:rPr>
      </w:pPr>
    </w:p>
    <w:p w:rsidR="005A06FD" w:rsidRDefault="009636D3">
      <w:pPr>
        <w:shd w:val="clear" w:color="auto" w:fill="FFFFFF"/>
        <w:spacing w:line="360" w:lineRule="auto"/>
        <w:ind w:right="48"/>
        <w:jc w:val="both"/>
        <w:rPr>
          <w:rFonts w:ascii="Palatino Linotype" w:eastAsia="Palatino Linotype" w:hAnsi="Palatino Linotype" w:cs="Palatino Linotype"/>
        </w:rPr>
      </w:pPr>
      <w:r>
        <w:rPr>
          <w:rFonts w:ascii="Palatino Linotype" w:eastAsia="Palatino Linotype" w:hAnsi="Palatino Linotype" w:cs="Palatino Linotype"/>
          <w:b/>
          <w:bCs/>
        </w:rPr>
        <w:t>CUARTO. Notifíquese al RECURRENTE</w:t>
      </w:r>
      <w:r>
        <w:rPr>
          <w:rFonts w:ascii="Palatino Linotype" w:eastAsia="Palatino Linotype" w:hAnsi="Palatino Linotype" w:cs="Palatino Linotype"/>
        </w:rPr>
        <w:t xml:space="preserve"> la presente resolución vía SAIMEX.</w:t>
      </w:r>
    </w:p>
    <w:p w:rsidR="005A06FD" w:rsidRDefault="005A06FD">
      <w:pPr>
        <w:shd w:val="clear" w:color="auto" w:fill="FFFFFF"/>
        <w:spacing w:line="360" w:lineRule="auto"/>
        <w:ind w:right="48"/>
        <w:jc w:val="both"/>
        <w:rPr>
          <w:rFonts w:ascii="Palatino Linotype" w:eastAsia="Palatino Linotype" w:hAnsi="Palatino Linotype" w:cs="Palatino Linotype"/>
          <w:b/>
          <w:bCs/>
          <w:color w:val="FF0000"/>
        </w:rPr>
      </w:pPr>
    </w:p>
    <w:p w:rsidR="005A06FD" w:rsidRDefault="009636D3">
      <w:pPr>
        <w:spacing w:line="360" w:lineRule="auto"/>
        <w:ind w:right="48"/>
        <w:jc w:val="both"/>
        <w:rPr>
          <w:rFonts w:ascii="Palatino Linotype" w:eastAsia="Palatino Linotype" w:hAnsi="Palatino Linotype" w:cs="Palatino Linotype"/>
        </w:rPr>
      </w:pPr>
      <w:r>
        <w:rPr>
          <w:rFonts w:ascii="Palatino Linotype" w:eastAsia="Palatino Linotype" w:hAnsi="Palatino Linotype" w:cs="Palatino Linotype"/>
          <w:b/>
          <w:bCs/>
        </w:rPr>
        <w:t>QUINTO.</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5A06FD" w:rsidRDefault="005A06FD">
      <w:pPr>
        <w:spacing w:line="360" w:lineRule="auto"/>
        <w:ind w:right="48"/>
        <w:jc w:val="both"/>
        <w:rPr>
          <w:rFonts w:ascii="Palatino Linotype" w:eastAsia="Palatino Linotype" w:hAnsi="Palatino Linotype" w:cs="Palatino Linotype"/>
          <w:color w:val="000000"/>
          <w:highlight w:val="white"/>
        </w:rPr>
      </w:pPr>
    </w:p>
    <w:p w:rsidR="005A06FD" w:rsidRDefault="009636D3">
      <w:pPr>
        <w:spacing w:line="360" w:lineRule="auto"/>
        <w:ind w:right="48"/>
        <w:jc w:val="both"/>
        <w:rPr>
          <w:rFonts w:ascii="Palatino Linotype" w:eastAsia="Palatino Linotype" w:hAnsi="Palatino Linotype" w:cs="Palatino Linotype"/>
        </w:rPr>
      </w:pPr>
      <w:r>
        <w:rPr>
          <w:rFonts w:ascii="Palatino Linotype" w:eastAsia="Palatino Linotype" w:hAnsi="Palatino Linotype" w:cs="Palatino Linotype"/>
          <w:b/>
          <w:bCs/>
          <w:color w:val="000000"/>
          <w:highlight w:val="white"/>
        </w:rPr>
        <w:t xml:space="preserve">SEXTO. </w:t>
      </w:r>
      <w:r>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5A06FD" w:rsidRDefault="005A06FD">
      <w:pPr>
        <w:shd w:val="clear" w:color="auto" w:fill="FFFFFF"/>
        <w:spacing w:line="360" w:lineRule="auto"/>
        <w:jc w:val="both"/>
        <w:rPr>
          <w:rFonts w:ascii="Palatino Linotype" w:eastAsia="Palatino Linotype" w:hAnsi="Palatino Linotype" w:cs="Palatino Linotype"/>
        </w:rPr>
      </w:pPr>
    </w:p>
    <w:p w:rsidR="00566816" w:rsidRPr="003E2295" w:rsidRDefault="00566816" w:rsidP="00566816">
      <w:pPr>
        <w:spacing w:before="240" w:after="240" w:line="360" w:lineRule="auto"/>
        <w:ind w:firstLine="1"/>
        <w:jc w:val="both"/>
        <w:rPr>
          <w:rFonts w:ascii="Palatino Linotype" w:hAnsi="Palatino Linotype"/>
        </w:rPr>
      </w:pPr>
      <w:bookmarkStart w:id="9" w:name="_heading=h.ejj3ktsxln99" w:colFirst="0" w:colLast="0"/>
      <w:bookmarkStart w:id="10" w:name="_Hlk99014733"/>
      <w:bookmarkEnd w:id="9"/>
      <w:r w:rsidRPr="003E2295">
        <w:rPr>
          <w:rFonts w:ascii="Palatino Linotype" w:hAnsi="Palatino Linotype" w:cs="Palatino Linotype"/>
        </w:rPr>
        <w:t xml:space="preserve">ASÍ LO RESUELVE, POR UNANIMIDAD DE VOTOS, EL PLENO DEL INSTITUTO DE TRANSPARENCIA, ACCESO A LA INFORMACIÓN PÚBLICA Y PROTECCIÓN DE DATOS </w:t>
      </w:r>
      <w:r w:rsidRPr="003E2295">
        <w:rPr>
          <w:rFonts w:ascii="Palatino Linotype" w:hAnsi="Palatino Linotype" w:cs="Palatino Linotype"/>
        </w:rPr>
        <w:lastRenderedPageBreak/>
        <w:t xml:space="preserve">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PRIMERA </w:t>
      </w:r>
      <w:r w:rsidRPr="003E2295">
        <w:rPr>
          <w:rFonts w:ascii="Palatino Linotype" w:hAnsi="Palatino Linotype" w:cs="Palatino Linotype"/>
        </w:rPr>
        <w:t>SESIÓN O</w:t>
      </w:r>
      <w:r>
        <w:rPr>
          <w:rFonts w:ascii="Palatino Linotype" w:hAnsi="Palatino Linotype" w:cs="Palatino Linotype"/>
        </w:rPr>
        <w:t>RDINARIA, CELEBRADA EL DIEZ (10</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0"/>
    <w:p w:rsidR="005A06FD" w:rsidRDefault="005A06FD">
      <w:pPr>
        <w:spacing w:line="360" w:lineRule="auto"/>
        <w:rPr>
          <w:rFonts w:ascii="Palatino Linotype" w:eastAsia="Palatino Linotype" w:hAnsi="Palatino Linotype" w:cs="Palatino Linotype"/>
        </w:rPr>
      </w:pPr>
    </w:p>
    <w:p w:rsidR="005A06FD" w:rsidRDefault="005A06FD">
      <w:pPr>
        <w:spacing w:line="360" w:lineRule="auto"/>
        <w:rPr>
          <w:rFonts w:ascii="Palatino Linotype" w:eastAsia="Palatino Linotype" w:hAnsi="Palatino Linotype" w:cs="Palatino Linotype"/>
        </w:rPr>
      </w:pPr>
    </w:p>
    <w:p w:rsidR="005A06FD" w:rsidRDefault="005A06FD">
      <w:pPr>
        <w:spacing w:line="360" w:lineRule="auto"/>
        <w:rPr>
          <w:rFonts w:ascii="Palatino Linotype" w:eastAsia="Palatino Linotype" w:hAnsi="Palatino Linotype" w:cs="Palatino Linotype"/>
        </w:rPr>
      </w:pPr>
    </w:p>
    <w:p w:rsidR="005A06FD" w:rsidRDefault="005A06FD">
      <w:pPr>
        <w:spacing w:line="360" w:lineRule="auto"/>
        <w:rPr>
          <w:rFonts w:ascii="Palatino Linotype" w:eastAsia="Palatino Linotype" w:hAnsi="Palatino Linotype" w:cs="Palatino Linotype"/>
        </w:rPr>
      </w:pPr>
    </w:p>
    <w:p w:rsidR="005A06FD" w:rsidRDefault="005A06FD">
      <w:pPr>
        <w:spacing w:line="360" w:lineRule="auto"/>
        <w:rPr>
          <w:rFonts w:ascii="Palatino Linotype" w:eastAsia="Palatino Linotype" w:hAnsi="Palatino Linotype" w:cs="Palatino Linotype"/>
        </w:rPr>
      </w:pPr>
    </w:p>
    <w:p w:rsidR="005A06FD" w:rsidRDefault="005A06FD">
      <w:pPr>
        <w:spacing w:line="360" w:lineRule="auto"/>
        <w:rPr>
          <w:rFonts w:ascii="Palatino Linotype" w:eastAsia="Palatino Linotype" w:hAnsi="Palatino Linotype" w:cs="Palatino Linotype"/>
        </w:rPr>
      </w:pPr>
    </w:p>
    <w:p w:rsidR="005A06FD" w:rsidRDefault="005A06FD">
      <w:pPr>
        <w:spacing w:line="360" w:lineRule="auto"/>
        <w:rPr>
          <w:rFonts w:ascii="Palatino Linotype" w:eastAsia="Palatino Linotype" w:hAnsi="Palatino Linotype" w:cs="Palatino Linotype"/>
        </w:rPr>
      </w:pPr>
    </w:p>
    <w:p w:rsidR="005A06FD" w:rsidRDefault="005A06FD">
      <w:pPr>
        <w:spacing w:line="360" w:lineRule="auto"/>
        <w:rPr>
          <w:rFonts w:ascii="Palatino Linotype" w:eastAsia="Palatino Linotype" w:hAnsi="Palatino Linotype" w:cs="Palatino Linotype"/>
        </w:rPr>
      </w:pPr>
    </w:p>
    <w:p w:rsidR="003F674E" w:rsidRDefault="003F674E">
      <w:pPr>
        <w:spacing w:line="360" w:lineRule="auto"/>
        <w:rPr>
          <w:rFonts w:ascii="Palatino Linotype" w:eastAsia="Palatino Linotype" w:hAnsi="Palatino Linotype" w:cs="Palatino Linotype"/>
        </w:rPr>
      </w:pPr>
    </w:p>
    <w:p w:rsidR="003F674E" w:rsidRDefault="003F674E">
      <w:pPr>
        <w:spacing w:line="360" w:lineRule="auto"/>
        <w:rPr>
          <w:rFonts w:ascii="Palatino Linotype" w:eastAsia="Palatino Linotype" w:hAnsi="Palatino Linotype" w:cs="Palatino Linotype"/>
        </w:rPr>
      </w:pPr>
    </w:p>
    <w:p w:rsidR="003F674E" w:rsidRDefault="003F674E">
      <w:pPr>
        <w:spacing w:line="360" w:lineRule="auto"/>
        <w:rPr>
          <w:rFonts w:ascii="Palatino Linotype" w:eastAsia="Palatino Linotype" w:hAnsi="Palatino Linotype" w:cs="Palatino Linotype"/>
        </w:rPr>
      </w:pPr>
    </w:p>
    <w:p w:rsidR="003F674E" w:rsidRDefault="003F674E">
      <w:pPr>
        <w:spacing w:line="360" w:lineRule="auto"/>
        <w:rPr>
          <w:rFonts w:ascii="Palatino Linotype" w:eastAsia="Palatino Linotype" w:hAnsi="Palatino Linotype" w:cs="Palatino Linotype"/>
        </w:rPr>
      </w:pPr>
    </w:p>
    <w:p w:rsidR="003F674E" w:rsidRDefault="003F674E">
      <w:pPr>
        <w:spacing w:line="360" w:lineRule="auto"/>
        <w:rPr>
          <w:rFonts w:ascii="Palatino Linotype" w:eastAsia="Palatino Linotype" w:hAnsi="Palatino Linotype" w:cs="Palatino Linotype"/>
        </w:rPr>
      </w:pPr>
    </w:p>
    <w:p w:rsidR="003F674E" w:rsidRDefault="003F674E">
      <w:pPr>
        <w:spacing w:line="360" w:lineRule="auto"/>
        <w:rPr>
          <w:rFonts w:ascii="Palatino Linotype" w:eastAsia="Palatino Linotype" w:hAnsi="Palatino Linotype" w:cs="Palatino Linotype"/>
        </w:rPr>
      </w:pPr>
    </w:p>
    <w:p w:rsidR="003F674E" w:rsidRDefault="003F674E">
      <w:pPr>
        <w:spacing w:line="360" w:lineRule="auto"/>
        <w:rPr>
          <w:rFonts w:ascii="Palatino Linotype" w:eastAsia="Palatino Linotype" w:hAnsi="Palatino Linotype" w:cs="Palatino Linotype"/>
        </w:rPr>
      </w:pPr>
    </w:p>
    <w:p w:rsidR="005A06FD" w:rsidRDefault="005A06FD">
      <w:pPr>
        <w:spacing w:line="360" w:lineRule="auto"/>
        <w:rPr>
          <w:rFonts w:ascii="Palatino Linotype" w:eastAsia="Palatino Linotype" w:hAnsi="Palatino Linotype" w:cs="Palatino Linotype"/>
        </w:rPr>
      </w:pPr>
    </w:p>
    <w:p w:rsidR="005A06FD" w:rsidRDefault="005A06FD">
      <w:pPr>
        <w:spacing w:line="360" w:lineRule="auto"/>
        <w:rPr>
          <w:rFonts w:ascii="Palatino Linotype" w:eastAsia="Palatino Linotype" w:hAnsi="Palatino Linotype" w:cs="Palatino Linotype"/>
        </w:rPr>
      </w:pPr>
    </w:p>
    <w:p w:rsidR="005A06FD" w:rsidRDefault="005A06FD">
      <w:pPr>
        <w:spacing w:line="360" w:lineRule="auto"/>
        <w:rPr>
          <w:rFonts w:ascii="Palatino Linotype" w:eastAsia="Palatino Linotype" w:hAnsi="Palatino Linotype" w:cs="Palatino Linotype"/>
        </w:rPr>
      </w:pPr>
    </w:p>
    <w:p w:rsidR="005A06FD" w:rsidRDefault="005A06FD">
      <w:pPr>
        <w:spacing w:line="360" w:lineRule="auto"/>
        <w:rPr>
          <w:rFonts w:ascii="Palatino Linotype" w:eastAsia="Palatino Linotype" w:hAnsi="Palatino Linotype" w:cs="Palatino Linotype"/>
        </w:rPr>
      </w:pPr>
    </w:p>
    <w:p w:rsidR="005A06FD" w:rsidRDefault="005A06FD">
      <w:pPr>
        <w:spacing w:line="360" w:lineRule="auto"/>
        <w:rPr>
          <w:rFonts w:ascii="Palatino Linotype" w:eastAsia="Palatino Linotype" w:hAnsi="Palatino Linotype" w:cs="Palatino Linotype"/>
        </w:rPr>
      </w:pPr>
      <w:bookmarkStart w:id="11" w:name="_GoBack"/>
      <w:bookmarkEnd w:id="11"/>
    </w:p>
    <w:p w:rsidR="005A06FD" w:rsidRDefault="005A06FD">
      <w:pPr>
        <w:spacing w:line="360" w:lineRule="auto"/>
        <w:rPr>
          <w:rFonts w:ascii="Palatino Linotype" w:eastAsia="Palatino Linotype" w:hAnsi="Palatino Linotype" w:cs="Palatino Linotype"/>
        </w:rPr>
      </w:pPr>
    </w:p>
    <w:sectPr w:rsidR="005A06FD">
      <w:headerReference w:type="even" r:id="rId11"/>
      <w:headerReference w:type="default" r:id="rId12"/>
      <w:footerReference w:type="default" r:id="rId13"/>
      <w:headerReference w:type="first" r:id="rId14"/>
      <w:footerReference w:type="first" r:id="rId15"/>
      <w:pgSz w:w="12240" w:h="15840"/>
      <w:pgMar w:top="80" w:right="72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542C" w:rsidRDefault="006A542C">
      <w:r>
        <w:separator/>
      </w:r>
    </w:p>
  </w:endnote>
  <w:endnote w:type="continuationSeparator" w:id="0">
    <w:p w:rsidR="006A542C" w:rsidRDefault="006A5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9DDAF69E-60C8-491A-8FDC-D7F1DCB76350}"/>
    <w:embedBold r:id="rId2" w:fontKey="{240291F9-4FF8-45FA-A80B-E118039A50D6}"/>
    <w:embedItalic r:id="rId3" w:fontKey="{E8F6E031-345C-4C9E-9867-219F7A3CA5A5}"/>
    <w:embedBoldItalic r:id="rId4" w:fontKey="{5B30AEC9-90CC-489E-A01E-4B9E79C05E31}"/>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5" w:fontKey="{6F4C5C4B-05AD-4A00-88E0-8A33C7375357}"/>
  </w:font>
  <w:font w:name="Calibri">
    <w:panose1 w:val="020F0502020204030204"/>
    <w:charset w:val="00"/>
    <w:family w:val="swiss"/>
    <w:pitch w:val="variable"/>
    <w:sig w:usb0="E4002EFF" w:usb1="C200247B" w:usb2="00000009" w:usb3="00000000" w:csb0="000001FF" w:csb1="00000000"/>
    <w:embedRegular r:id="rId6" w:fontKey="{BE6C109B-4716-440D-87B3-7B20A1028B34}"/>
  </w:font>
  <w:font w:name="Georgia">
    <w:panose1 w:val="02040502050405020303"/>
    <w:charset w:val="00"/>
    <w:family w:val="roman"/>
    <w:pitch w:val="variable"/>
    <w:sig w:usb0="00000287" w:usb1="00000000" w:usb2="00000000" w:usb3="00000000" w:csb0="0000009F" w:csb1="00000000"/>
    <w:embedItalic r:id="rId7" w:fontKey="{1E92416B-3C3F-4C7D-AB23-2B98D5A0CD13}"/>
  </w:font>
  <w:font w:name="Garamond">
    <w:panose1 w:val="02020404030301010803"/>
    <w:charset w:val="00"/>
    <w:family w:val="roman"/>
    <w:pitch w:val="variable"/>
    <w:sig w:usb0="00000287" w:usb1="00000000" w:usb2="00000000" w:usb3="00000000" w:csb0="0000009F" w:csb1="00000000"/>
    <w:embedRegular r:id="rId8" w:fontKey="{175360E1-209D-4038-82F2-485C6801DC5E}"/>
  </w:font>
  <w:font w:name="Cambria">
    <w:panose1 w:val="02040503050406030204"/>
    <w:charset w:val="00"/>
    <w:family w:val="roman"/>
    <w:pitch w:val="variable"/>
    <w:sig w:usb0="E00006FF" w:usb1="420024FF" w:usb2="02000000" w:usb3="00000000" w:csb0="0000019F" w:csb1="00000000"/>
    <w:embedRegular r:id="rId9" w:fontKey="{710DAF68-D17A-490C-9931-EBD535EE6D1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6FD" w:rsidRDefault="009636D3">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B41782">
      <w:rPr>
        <w:rFonts w:ascii="Palatino Linotype" w:eastAsia="Palatino Linotype" w:hAnsi="Palatino Linotype" w:cs="Palatino Linotype"/>
        <w:b/>
        <w:bCs/>
        <w:noProof/>
        <w:color w:val="000000"/>
        <w:sz w:val="22"/>
        <w:szCs w:val="22"/>
      </w:rPr>
      <w:t>44</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B41782">
      <w:rPr>
        <w:rFonts w:ascii="Palatino Linotype" w:eastAsia="Palatino Linotype" w:hAnsi="Palatino Linotype" w:cs="Palatino Linotype"/>
        <w:b/>
        <w:bCs/>
        <w:noProof/>
        <w:color w:val="000000"/>
        <w:sz w:val="22"/>
        <w:szCs w:val="22"/>
      </w:rPr>
      <w:t>49</w:t>
    </w:r>
    <w:r>
      <w:rPr>
        <w:rFonts w:ascii="Palatino Linotype" w:eastAsia="Palatino Linotype" w:hAnsi="Palatino Linotype" w:cs="Palatino Linotype"/>
        <w:b/>
        <w:bCs/>
        <w:color w:val="000000"/>
        <w:sz w:val="22"/>
        <w:szCs w:val="22"/>
      </w:rPr>
      <w:fldChar w:fldCharType="end"/>
    </w:r>
  </w:p>
  <w:p w:rsidR="005A06FD" w:rsidRDefault="005A06FD">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6FD" w:rsidRDefault="009636D3">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B41782">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B41782">
      <w:rPr>
        <w:rFonts w:ascii="Palatino Linotype" w:eastAsia="Palatino Linotype" w:hAnsi="Palatino Linotype" w:cs="Palatino Linotype"/>
        <w:b/>
        <w:bCs/>
        <w:noProof/>
        <w:color w:val="000000"/>
        <w:sz w:val="22"/>
        <w:szCs w:val="22"/>
      </w:rPr>
      <w:t>49</w:t>
    </w:r>
    <w:r>
      <w:rPr>
        <w:rFonts w:ascii="Palatino Linotype" w:eastAsia="Palatino Linotype" w:hAnsi="Palatino Linotype" w:cs="Palatino Linotype"/>
        <w:b/>
        <w:bCs/>
        <w:color w:val="000000"/>
        <w:sz w:val="22"/>
        <w:szCs w:val="22"/>
      </w:rPr>
      <w:fldChar w:fldCharType="end"/>
    </w:r>
  </w:p>
  <w:p w:rsidR="005A06FD" w:rsidRDefault="005A06F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542C" w:rsidRDefault="006A542C">
      <w:r>
        <w:separator/>
      </w:r>
    </w:p>
  </w:footnote>
  <w:footnote w:type="continuationSeparator" w:id="0">
    <w:p w:rsidR="006A542C" w:rsidRDefault="006A542C">
      <w:r>
        <w:continuationSeparator/>
      </w:r>
    </w:p>
  </w:footnote>
  <w:footnote w:id="1">
    <w:p w:rsidR="005A06FD" w:rsidRDefault="009636D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5A06FD" w:rsidRDefault="009636D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5A06FD" w:rsidRDefault="009636D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5A06FD" w:rsidRDefault="009636D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rsidR="005A06FD" w:rsidRDefault="009636D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6">
    <w:p w:rsidR="005A06FD" w:rsidRDefault="009636D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7">
    <w:p w:rsidR="005A06FD" w:rsidRDefault="009636D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8">
    <w:p w:rsidR="005A06FD" w:rsidRDefault="009636D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9">
    <w:p w:rsidR="005A06FD" w:rsidRDefault="009636D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Ley de Transparencia y Acceso a la Información Pública del Estado de México y Municipios. Artículo 9. …</w:t>
      </w:r>
    </w:p>
    <w:p w:rsidR="005A06FD" w:rsidRDefault="009636D3">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II. Eficacia: Obligación del Instituto para tutelar, de manera efectiva, el derecho de acceso a la información;</w:t>
      </w:r>
    </w:p>
    <w:p w:rsidR="005A06FD" w:rsidRDefault="009636D3">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6FD" w:rsidRDefault="006A542C">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9214" w:type="dxa"/>
      <w:tblInd w:w="0" w:type="dxa"/>
      <w:tblLayout w:type="fixed"/>
      <w:tblLook w:val="0400" w:firstRow="0" w:lastRow="0" w:firstColumn="0" w:lastColumn="0" w:noHBand="0" w:noVBand="1"/>
    </w:tblPr>
    <w:tblGrid>
      <w:gridCol w:w="2268"/>
      <w:gridCol w:w="6946"/>
    </w:tblGrid>
    <w:tr w:rsidR="005A06FD">
      <w:trPr>
        <w:trHeight w:val="1435"/>
      </w:trPr>
      <w:tc>
        <w:tcPr>
          <w:tcW w:w="2268" w:type="dxa"/>
          <w:shd w:val="clear" w:color="auto" w:fill="auto"/>
        </w:tcPr>
        <w:p w:rsidR="005A06FD" w:rsidRDefault="005A06FD">
          <w:pPr>
            <w:tabs>
              <w:tab w:val="right" w:pos="4273"/>
            </w:tabs>
            <w:rPr>
              <w:rFonts w:ascii="Garamond" w:eastAsia="Garamond" w:hAnsi="Garamond" w:cs="Garamond"/>
              <w:sz w:val="16"/>
              <w:szCs w:val="16"/>
            </w:rPr>
          </w:pPr>
        </w:p>
      </w:tc>
      <w:tc>
        <w:tcPr>
          <w:tcW w:w="6946" w:type="dxa"/>
          <w:shd w:val="clear" w:color="auto" w:fill="auto"/>
        </w:tcPr>
        <w:tbl>
          <w:tblPr>
            <w:tblStyle w:val="a1"/>
            <w:tblW w:w="6660" w:type="dxa"/>
            <w:tblInd w:w="1303" w:type="dxa"/>
            <w:tblLayout w:type="fixed"/>
            <w:tblLook w:val="0400" w:firstRow="0" w:lastRow="0" w:firstColumn="0" w:lastColumn="0" w:noHBand="0" w:noVBand="1"/>
          </w:tblPr>
          <w:tblGrid>
            <w:gridCol w:w="2942"/>
            <w:gridCol w:w="3718"/>
          </w:tblGrid>
          <w:tr w:rsidR="005A06FD" w:rsidTr="003F674E">
            <w:trPr>
              <w:trHeight w:val="150"/>
            </w:trPr>
            <w:tc>
              <w:tcPr>
                <w:tcW w:w="2942" w:type="dxa"/>
                <w:shd w:val="clear" w:color="auto" w:fill="auto"/>
              </w:tcPr>
              <w:p w:rsidR="005A06FD" w:rsidRDefault="009636D3">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718" w:type="dxa"/>
                <w:shd w:val="clear" w:color="auto" w:fill="auto"/>
              </w:tcPr>
              <w:p w:rsidR="005A06FD" w:rsidRDefault="009636D3">
                <w:pPr>
                  <w:tabs>
                    <w:tab w:val="right" w:pos="8838"/>
                  </w:tabs>
                  <w:ind w:left="-108" w:right="-102"/>
                  <w:jc w:val="both"/>
                  <w:rPr>
                    <w:rFonts w:ascii="Palatino Linotype" w:eastAsia="Palatino Linotype" w:hAnsi="Palatino Linotype" w:cs="Palatino Linotype"/>
                  </w:rPr>
                </w:pPr>
                <w:r>
                  <w:rPr>
                    <w:rFonts w:ascii="Palatino Linotype" w:eastAsia="Palatino Linotype" w:hAnsi="Palatino Linotype" w:cs="Palatino Linotype"/>
                  </w:rPr>
                  <w:t>03308/INFOEM/IP/RR/2026</w:t>
                </w:r>
              </w:p>
            </w:tc>
          </w:tr>
          <w:tr w:rsidR="005A06FD" w:rsidTr="003F674E">
            <w:trPr>
              <w:trHeight w:val="295"/>
            </w:trPr>
            <w:tc>
              <w:tcPr>
                <w:tcW w:w="2942" w:type="dxa"/>
                <w:shd w:val="clear" w:color="auto" w:fill="auto"/>
              </w:tcPr>
              <w:p w:rsidR="005A06FD" w:rsidRDefault="009636D3">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718" w:type="dxa"/>
                <w:shd w:val="clear" w:color="auto" w:fill="auto"/>
              </w:tcPr>
              <w:p w:rsidR="005A06FD" w:rsidRDefault="009636D3">
                <w:pPr>
                  <w:tabs>
                    <w:tab w:val="left" w:pos="2834"/>
                    <w:tab w:val="right" w:pos="8838"/>
                  </w:tabs>
                  <w:ind w:left="-108" w:right="-102"/>
                  <w:jc w:val="both"/>
                  <w:rPr>
                    <w:rFonts w:ascii="Palatino Linotype" w:eastAsia="Palatino Linotype" w:hAnsi="Palatino Linotype" w:cs="Palatino Linotype"/>
                  </w:rPr>
                </w:pPr>
                <w:r>
                  <w:rPr>
                    <w:rFonts w:ascii="Palatino Linotype" w:eastAsia="Palatino Linotype" w:hAnsi="Palatino Linotype" w:cs="Palatino Linotype"/>
                  </w:rPr>
                  <w:t>Ayuntamiento de Tultitlán</w:t>
                </w:r>
              </w:p>
            </w:tc>
          </w:tr>
          <w:tr w:rsidR="005A06FD" w:rsidTr="003F674E">
            <w:trPr>
              <w:trHeight w:val="295"/>
            </w:trPr>
            <w:tc>
              <w:tcPr>
                <w:tcW w:w="2942" w:type="dxa"/>
                <w:shd w:val="clear" w:color="auto" w:fill="auto"/>
              </w:tcPr>
              <w:p w:rsidR="005A06FD" w:rsidRDefault="009636D3">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718" w:type="dxa"/>
                <w:shd w:val="clear" w:color="auto" w:fill="auto"/>
              </w:tcPr>
              <w:p w:rsidR="005A06FD" w:rsidRDefault="009636D3">
                <w:pPr>
                  <w:tabs>
                    <w:tab w:val="right" w:pos="8838"/>
                  </w:tabs>
                  <w:ind w:left="-108" w:right="171"/>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5A06FD" w:rsidRDefault="005A06FD">
                <w:pPr>
                  <w:tabs>
                    <w:tab w:val="right" w:pos="8838"/>
                  </w:tabs>
                  <w:ind w:left="-108" w:right="171"/>
                  <w:jc w:val="both"/>
                  <w:rPr>
                    <w:rFonts w:ascii="Palatino Linotype" w:eastAsia="Palatino Linotype" w:hAnsi="Palatino Linotype" w:cs="Palatino Linotype"/>
                    <w:b/>
                    <w:bCs/>
                  </w:rPr>
                </w:pPr>
              </w:p>
            </w:tc>
          </w:tr>
        </w:tbl>
        <w:p w:rsidR="005A06FD" w:rsidRDefault="005A06FD">
          <w:pPr>
            <w:tabs>
              <w:tab w:val="right" w:pos="8838"/>
            </w:tabs>
            <w:ind w:left="-28"/>
            <w:jc w:val="both"/>
            <w:rPr>
              <w:rFonts w:ascii="Arial" w:eastAsia="Arial" w:hAnsi="Arial" w:cs="Arial"/>
              <w:b/>
              <w:bCs/>
              <w:sz w:val="22"/>
              <w:szCs w:val="22"/>
            </w:rPr>
          </w:pPr>
        </w:p>
      </w:tc>
    </w:tr>
  </w:tbl>
  <w:p w:rsidR="005A06FD" w:rsidRDefault="006A542C">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490" w:type="dxa"/>
      <w:tblInd w:w="0" w:type="dxa"/>
      <w:tblLayout w:type="fixed"/>
      <w:tblLook w:val="0400" w:firstRow="0" w:lastRow="0" w:firstColumn="0" w:lastColumn="0" w:noHBand="0" w:noVBand="1"/>
    </w:tblPr>
    <w:tblGrid>
      <w:gridCol w:w="2268"/>
      <w:gridCol w:w="8222"/>
    </w:tblGrid>
    <w:tr w:rsidR="005A06FD" w:rsidTr="003F674E">
      <w:trPr>
        <w:trHeight w:val="1435"/>
      </w:trPr>
      <w:tc>
        <w:tcPr>
          <w:tcW w:w="2268" w:type="dxa"/>
          <w:shd w:val="clear" w:color="auto" w:fill="auto"/>
        </w:tcPr>
        <w:p w:rsidR="005A06FD" w:rsidRDefault="005A06FD">
          <w:pPr>
            <w:tabs>
              <w:tab w:val="right" w:pos="4273"/>
            </w:tabs>
            <w:rPr>
              <w:rFonts w:ascii="Garamond" w:eastAsia="Garamond" w:hAnsi="Garamond" w:cs="Garamond"/>
              <w:sz w:val="22"/>
              <w:szCs w:val="22"/>
            </w:rPr>
          </w:pPr>
        </w:p>
      </w:tc>
      <w:tc>
        <w:tcPr>
          <w:tcW w:w="8222" w:type="dxa"/>
          <w:shd w:val="clear" w:color="auto" w:fill="auto"/>
        </w:tcPr>
        <w:tbl>
          <w:tblPr>
            <w:tblStyle w:val="a3"/>
            <w:tblW w:w="6660" w:type="dxa"/>
            <w:tblInd w:w="1445" w:type="dxa"/>
            <w:tblLayout w:type="fixed"/>
            <w:tblLook w:val="0400" w:firstRow="0" w:lastRow="0" w:firstColumn="0" w:lastColumn="0" w:noHBand="0" w:noVBand="1"/>
          </w:tblPr>
          <w:tblGrid>
            <w:gridCol w:w="2942"/>
            <w:gridCol w:w="3718"/>
          </w:tblGrid>
          <w:tr w:rsidR="005A06FD" w:rsidTr="003F674E">
            <w:trPr>
              <w:trHeight w:val="144"/>
            </w:trPr>
            <w:tc>
              <w:tcPr>
                <w:tcW w:w="2942" w:type="dxa"/>
                <w:shd w:val="clear" w:color="auto" w:fill="auto"/>
              </w:tcPr>
              <w:p w:rsidR="005A06FD" w:rsidRDefault="009636D3">
                <w:pPr>
                  <w:tabs>
                    <w:tab w:val="right" w:pos="8838"/>
                  </w:tabs>
                  <w:ind w:left="-264" w:right="-105" w:firstLine="19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718" w:type="dxa"/>
                <w:shd w:val="clear" w:color="auto" w:fill="auto"/>
              </w:tcPr>
              <w:p w:rsidR="005A06FD" w:rsidRDefault="009636D3">
                <w:pPr>
                  <w:tabs>
                    <w:tab w:val="right" w:pos="8838"/>
                  </w:tabs>
                  <w:ind w:left="-74" w:right="-105"/>
                  <w:jc w:val="both"/>
                  <w:rPr>
                    <w:rFonts w:ascii="Palatino Linotype" w:eastAsia="Palatino Linotype" w:hAnsi="Palatino Linotype" w:cs="Palatino Linotype"/>
                  </w:rPr>
                </w:pPr>
                <w:r>
                  <w:rPr>
                    <w:rFonts w:ascii="Palatino Linotype" w:eastAsia="Palatino Linotype" w:hAnsi="Palatino Linotype" w:cs="Palatino Linotype"/>
                  </w:rPr>
                  <w:t>03308/INFOEM/IP/RR/2026</w:t>
                </w:r>
              </w:p>
            </w:tc>
          </w:tr>
          <w:tr w:rsidR="005A06FD" w:rsidTr="003F674E">
            <w:trPr>
              <w:trHeight w:val="144"/>
            </w:trPr>
            <w:tc>
              <w:tcPr>
                <w:tcW w:w="2942" w:type="dxa"/>
                <w:shd w:val="clear" w:color="auto" w:fill="auto"/>
              </w:tcPr>
              <w:p w:rsidR="005A06FD" w:rsidRDefault="009636D3">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718" w:type="dxa"/>
                <w:shd w:val="clear" w:color="auto" w:fill="auto"/>
              </w:tcPr>
              <w:p w:rsidR="005A06FD" w:rsidRDefault="000519D5">
                <w:pPr>
                  <w:tabs>
                    <w:tab w:val="left" w:pos="3122"/>
                    <w:tab w:val="right" w:pos="8838"/>
                  </w:tabs>
                  <w:ind w:left="-74" w:right="-105"/>
                  <w:jc w:val="both"/>
                  <w:rPr>
                    <w:rFonts w:ascii="Palatino Linotype" w:eastAsia="Palatino Linotype" w:hAnsi="Palatino Linotype" w:cs="Palatino Linotype"/>
                  </w:rPr>
                </w:pPr>
                <w:r>
                  <w:rPr>
                    <w:rFonts w:ascii="Palatino Linotype" w:eastAsia="Palatino Linotype" w:hAnsi="Palatino Linotype" w:cs="Palatino Linotype"/>
                  </w:rPr>
                  <w:t>XXXX</w:t>
                </w:r>
              </w:p>
            </w:tc>
          </w:tr>
          <w:tr w:rsidR="005A06FD" w:rsidTr="003F674E">
            <w:trPr>
              <w:trHeight w:val="283"/>
            </w:trPr>
            <w:tc>
              <w:tcPr>
                <w:tcW w:w="2942" w:type="dxa"/>
                <w:shd w:val="clear" w:color="auto" w:fill="auto"/>
              </w:tcPr>
              <w:p w:rsidR="005A06FD" w:rsidRDefault="009636D3">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718" w:type="dxa"/>
                <w:shd w:val="clear" w:color="auto" w:fill="auto"/>
              </w:tcPr>
              <w:p w:rsidR="005A06FD" w:rsidRDefault="009636D3">
                <w:pPr>
                  <w:tabs>
                    <w:tab w:val="left" w:pos="2834"/>
                    <w:tab w:val="right" w:pos="8838"/>
                  </w:tabs>
                  <w:ind w:left="-74" w:right="-105"/>
                  <w:jc w:val="both"/>
                  <w:rPr>
                    <w:rFonts w:ascii="Palatino Linotype" w:eastAsia="Palatino Linotype" w:hAnsi="Palatino Linotype" w:cs="Palatino Linotype"/>
                  </w:rPr>
                </w:pPr>
                <w:r>
                  <w:rPr>
                    <w:rFonts w:ascii="Palatino Linotype" w:eastAsia="Palatino Linotype" w:hAnsi="Palatino Linotype" w:cs="Palatino Linotype"/>
                  </w:rPr>
                  <w:t>Ayuntamiento de Tultitlán</w:t>
                </w:r>
              </w:p>
            </w:tc>
          </w:tr>
          <w:tr w:rsidR="005A06FD" w:rsidTr="003F674E">
            <w:trPr>
              <w:trHeight w:val="283"/>
            </w:trPr>
            <w:tc>
              <w:tcPr>
                <w:tcW w:w="2942" w:type="dxa"/>
                <w:shd w:val="clear" w:color="auto" w:fill="auto"/>
              </w:tcPr>
              <w:p w:rsidR="005A06FD" w:rsidRDefault="009636D3">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718" w:type="dxa"/>
                <w:shd w:val="clear" w:color="auto" w:fill="auto"/>
              </w:tcPr>
              <w:p w:rsidR="005A06FD" w:rsidRDefault="009636D3">
                <w:pPr>
                  <w:tabs>
                    <w:tab w:val="right" w:pos="8838"/>
                  </w:tabs>
                  <w:ind w:left="-74" w:right="-105"/>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5A06FD" w:rsidRDefault="005A06FD">
                <w:pPr>
                  <w:tabs>
                    <w:tab w:val="right" w:pos="8838"/>
                  </w:tabs>
                  <w:ind w:left="-74" w:right="-105"/>
                  <w:jc w:val="both"/>
                  <w:rPr>
                    <w:rFonts w:ascii="Palatino Linotype" w:eastAsia="Palatino Linotype" w:hAnsi="Palatino Linotype" w:cs="Palatino Linotype"/>
                  </w:rPr>
                </w:pPr>
              </w:p>
            </w:tc>
          </w:tr>
        </w:tbl>
        <w:p w:rsidR="005A06FD" w:rsidRDefault="005A06FD">
          <w:pPr>
            <w:tabs>
              <w:tab w:val="right" w:pos="8838"/>
            </w:tabs>
            <w:ind w:left="-28"/>
            <w:jc w:val="both"/>
            <w:rPr>
              <w:rFonts w:ascii="Arial" w:eastAsia="Arial" w:hAnsi="Arial" w:cs="Arial"/>
              <w:b/>
              <w:bCs/>
              <w:sz w:val="22"/>
              <w:szCs w:val="22"/>
            </w:rPr>
          </w:pPr>
        </w:p>
      </w:tc>
    </w:tr>
  </w:tbl>
  <w:p w:rsidR="005A06FD" w:rsidRDefault="006A542C">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96.55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40035"/>
    <w:multiLevelType w:val="multilevel"/>
    <w:tmpl w:val="5C9E7F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F571FC"/>
    <w:multiLevelType w:val="multilevel"/>
    <w:tmpl w:val="21A86E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4C57A7"/>
    <w:multiLevelType w:val="multilevel"/>
    <w:tmpl w:val="B71635D8"/>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28F64A6"/>
    <w:multiLevelType w:val="multilevel"/>
    <w:tmpl w:val="189C72D8"/>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4" w15:restartNumberingAfterBreak="0">
    <w:nsid w:val="39541797"/>
    <w:multiLevelType w:val="multilevel"/>
    <w:tmpl w:val="5B66E2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3A96F1F"/>
    <w:multiLevelType w:val="multilevel"/>
    <w:tmpl w:val="B546DEC4"/>
    <w:lvl w:ilvl="0">
      <w:start w:val="1"/>
      <w:numFmt w:val="lowerLetter"/>
      <w:lvlText w:val="%1)"/>
      <w:lvlJc w:val="left"/>
      <w:pPr>
        <w:ind w:left="720" w:hanging="360"/>
      </w:pPr>
      <w:rPr>
        <w:rFonts w:ascii="Arial" w:eastAsia="Arial" w:hAnsi="Arial" w:cs="Arial"/>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4F65328"/>
    <w:multiLevelType w:val="multilevel"/>
    <w:tmpl w:val="D206BA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6462CE4"/>
    <w:multiLevelType w:val="multilevel"/>
    <w:tmpl w:val="C270C4CC"/>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8" w15:restartNumberingAfterBreak="0">
    <w:nsid w:val="65692A01"/>
    <w:multiLevelType w:val="multilevel"/>
    <w:tmpl w:val="2E7A4FC4"/>
    <w:lvl w:ilvl="0">
      <w:start w:val="1"/>
      <w:numFmt w:val="upperRoman"/>
      <w:lvlText w:val="%1."/>
      <w:lvlJc w:val="left"/>
      <w:pPr>
        <w:ind w:left="1854" w:hanging="720"/>
      </w:pPr>
      <w:rPr>
        <w:b/>
        <w:bCs/>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9" w15:restartNumberingAfterBreak="0">
    <w:nsid w:val="759C3B2A"/>
    <w:multiLevelType w:val="hybridMultilevel"/>
    <w:tmpl w:val="EC065D2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0"/>
  </w:num>
  <w:num w:numId="3">
    <w:abstractNumId w:val="8"/>
  </w:num>
  <w:num w:numId="4">
    <w:abstractNumId w:val="5"/>
  </w:num>
  <w:num w:numId="5">
    <w:abstractNumId w:val="6"/>
  </w:num>
  <w:num w:numId="6">
    <w:abstractNumId w:val="7"/>
  </w:num>
  <w:num w:numId="7">
    <w:abstractNumId w:val="3"/>
  </w:num>
  <w:num w:numId="8">
    <w:abstractNumId w:val="1"/>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6FD"/>
    <w:rsid w:val="000519D5"/>
    <w:rsid w:val="002F6674"/>
    <w:rsid w:val="00356179"/>
    <w:rsid w:val="003F674E"/>
    <w:rsid w:val="00416DA5"/>
    <w:rsid w:val="00566816"/>
    <w:rsid w:val="005A06FD"/>
    <w:rsid w:val="005A784C"/>
    <w:rsid w:val="006A542C"/>
    <w:rsid w:val="008644CE"/>
    <w:rsid w:val="009636D3"/>
    <w:rsid w:val="00B41782"/>
    <w:rsid w:val="00C25A80"/>
    <w:rsid w:val="00D81D11"/>
    <w:rsid w:val="00FD32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7259FE4-ED43-4CF9-A10F-895D884B3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40"/>
      <w:outlineLvl w:val="2"/>
    </w:pPr>
    <w:rPr>
      <w:rFonts w:ascii="Calibri" w:eastAsia="Calibri" w:hAnsi="Calibri" w:cs="Calibri"/>
      <w:color w:val="1E4D7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paragraph" w:styleId="Prrafodelista">
    <w:name w:val="List Paragraph"/>
    <w:basedOn w:val="Normal"/>
    <w:uiPriority w:val="34"/>
    <w:qFormat/>
    <w:rsid w:val="005A784C"/>
    <w:pPr>
      <w:ind w:left="720"/>
      <w:contextualSpacing/>
    </w:pPr>
  </w:style>
  <w:style w:type="paragraph" w:styleId="Piedepgina">
    <w:name w:val="footer"/>
    <w:basedOn w:val="Normal"/>
    <w:link w:val="PiedepginaCar"/>
    <w:uiPriority w:val="99"/>
    <w:unhideWhenUsed/>
    <w:rsid w:val="003F674E"/>
    <w:pPr>
      <w:tabs>
        <w:tab w:val="center" w:pos="4419"/>
        <w:tab w:val="right" w:pos="8838"/>
      </w:tabs>
    </w:pPr>
  </w:style>
  <w:style w:type="character" w:customStyle="1" w:styleId="PiedepginaCar">
    <w:name w:val="Pie de página Car"/>
    <w:basedOn w:val="Fuentedeprrafopredeter"/>
    <w:link w:val="Piedepgina"/>
    <w:uiPriority w:val="99"/>
    <w:rsid w:val="003F6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713673.p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aimex.org.mx/saimex/solicitud/downloadAttach/2713673.page" TargetMode="External"/><Relationship Id="rId4" Type="http://schemas.openxmlformats.org/officeDocument/2006/relationships/settings" Target="settings.xml"/><Relationship Id="rId9" Type="http://schemas.openxmlformats.org/officeDocument/2006/relationships/hyperlink" Target="https://saimex.org.mx/saimex/solicitud/downloadAttach/2713673.page"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KM6NmdZ2S0qUd6z36XrhwL9xWw==">CgMxLjAyDmgudWwwNm80cDhvbnBtMg5oLjdyMXlob2Y1bGVsNTIOaC43MW5maGVobjQ1bWEyDmgubTQyYWdyNHk3OTFuMg5oLmI4c2Ruam0yeXQxMTIOaC54d3h1MzFiZ3k0OTIyDmguaHhnOHg2cnNxZ2N0Mg5oLnR3MDEza3JxZGk0YTIOaC5qNnE4d25hdnZ4d2kyDmguZWpqM2t0c3hsbjk5OAByITFiOUJWMnJmUWxSRldUaTJGWHpLTFotUGlyWC1nNndFRw==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49</Pages>
  <Words>13130</Words>
  <Characters>72216</Characters>
  <Application>Microsoft Office Word</Application>
  <DocSecurity>0</DocSecurity>
  <Lines>601</Lines>
  <Paragraphs>170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85176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9</cp:revision>
  <cp:lastPrinted>2026-06-12T17:05:00Z</cp:lastPrinted>
  <dcterms:created xsi:type="dcterms:W3CDTF">2026-06-08T17:51:00Z</dcterms:created>
  <dcterms:modified xsi:type="dcterms:W3CDTF">2026-06-16T19:57:00Z</dcterms:modified>
</cp:coreProperties>
</file>