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A2BACA" w14:textId="21A74F22" w:rsidR="00AC55F7" w:rsidRPr="009C02E6" w:rsidRDefault="006C736C">
      <w:pPr>
        <w:spacing w:before="240" w:after="240" w:line="360" w:lineRule="auto"/>
        <w:jc w:val="both"/>
        <w:rPr>
          <w:rFonts w:ascii="Palatino Linotype" w:eastAsia="Palatino Linotype" w:hAnsi="Palatino Linotype" w:cs="Palatino Linotype"/>
          <w:sz w:val="22"/>
          <w:szCs w:val="22"/>
        </w:rPr>
      </w:pPr>
      <w:bookmarkStart w:id="0" w:name="_GoBack"/>
      <w:bookmarkEnd w:id="0"/>
      <w:r w:rsidRPr="009C02E6">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a </w:t>
      </w:r>
      <w:r w:rsidR="00EB4356" w:rsidRPr="009C02E6">
        <w:rPr>
          <w:rFonts w:ascii="Palatino Linotype" w:eastAsia="Palatino Linotype" w:hAnsi="Palatino Linotype" w:cs="Palatino Linotype"/>
          <w:sz w:val="22"/>
          <w:szCs w:val="22"/>
        </w:rPr>
        <w:t>cinco de marzo</w:t>
      </w:r>
      <w:r w:rsidR="00A60A39" w:rsidRPr="009C02E6">
        <w:rPr>
          <w:rFonts w:ascii="Palatino Linotype" w:eastAsia="Palatino Linotype" w:hAnsi="Palatino Linotype" w:cs="Palatino Linotype"/>
          <w:sz w:val="22"/>
          <w:szCs w:val="22"/>
        </w:rPr>
        <w:t xml:space="preserve"> </w:t>
      </w:r>
      <w:r w:rsidRPr="009C02E6">
        <w:rPr>
          <w:rFonts w:ascii="Palatino Linotype" w:eastAsia="Palatino Linotype" w:hAnsi="Palatino Linotype" w:cs="Palatino Linotype"/>
          <w:sz w:val="22"/>
          <w:szCs w:val="22"/>
        </w:rPr>
        <w:t>de dos mil veinti</w:t>
      </w:r>
      <w:r w:rsidR="00A60A39" w:rsidRPr="009C02E6">
        <w:rPr>
          <w:rFonts w:ascii="Palatino Linotype" w:eastAsia="Palatino Linotype" w:hAnsi="Palatino Linotype" w:cs="Palatino Linotype"/>
          <w:sz w:val="22"/>
          <w:szCs w:val="22"/>
        </w:rPr>
        <w:t>séis</w:t>
      </w:r>
      <w:r w:rsidRPr="009C02E6">
        <w:rPr>
          <w:rFonts w:ascii="Palatino Linotype" w:eastAsia="Palatino Linotype" w:hAnsi="Palatino Linotype" w:cs="Palatino Linotype"/>
          <w:sz w:val="22"/>
          <w:szCs w:val="22"/>
        </w:rPr>
        <w:t xml:space="preserve">. </w:t>
      </w:r>
    </w:p>
    <w:p w14:paraId="1AE4C1B6" w14:textId="778A24ED" w:rsidR="00AC55F7" w:rsidRPr="009C02E6" w:rsidRDefault="006C736C">
      <w:pPr>
        <w:tabs>
          <w:tab w:val="left" w:pos="5812"/>
        </w:tabs>
        <w:spacing w:before="240" w:after="240" w:line="360" w:lineRule="auto"/>
        <w:jc w:val="both"/>
        <w:rPr>
          <w:rFonts w:ascii="Palatino Linotype" w:eastAsia="Palatino Linotype" w:hAnsi="Palatino Linotype" w:cs="Palatino Linotype"/>
          <w:sz w:val="22"/>
          <w:szCs w:val="22"/>
        </w:rPr>
      </w:pPr>
      <w:bookmarkStart w:id="1" w:name="_heading=h.daj3j2xo6q66" w:colFirst="0" w:colLast="0"/>
      <w:bookmarkEnd w:id="1"/>
      <w:r w:rsidRPr="009C02E6">
        <w:rPr>
          <w:rFonts w:ascii="Palatino Linotype" w:eastAsia="Palatino Linotype" w:hAnsi="Palatino Linotype" w:cs="Palatino Linotype"/>
          <w:b/>
          <w:bCs/>
          <w:sz w:val="22"/>
          <w:szCs w:val="22"/>
        </w:rPr>
        <w:t>VISTO</w:t>
      </w:r>
      <w:r w:rsidRPr="009C02E6">
        <w:rPr>
          <w:rFonts w:ascii="Palatino Linotype" w:eastAsia="Palatino Linotype" w:hAnsi="Palatino Linotype" w:cs="Palatino Linotype"/>
          <w:sz w:val="22"/>
          <w:szCs w:val="22"/>
        </w:rPr>
        <w:t xml:space="preserve"> el expediente formado con motivo del recurso de revisión </w:t>
      </w:r>
      <w:r w:rsidR="00EB4356" w:rsidRPr="009C02E6">
        <w:rPr>
          <w:rFonts w:ascii="Palatino Linotype" w:eastAsia="Palatino Linotype" w:hAnsi="Palatino Linotype" w:cs="Palatino Linotype"/>
          <w:b/>
          <w:bCs/>
          <w:sz w:val="22"/>
          <w:szCs w:val="22"/>
        </w:rPr>
        <w:t>00799</w:t>
      </w:r>
      <w:r w:rsidRPr="009C02E6">
        <w:rPr>
          <w:rFonts w:ascii="Palatino Linotype" w:eastAsia="Palatino Linotype" w:hAnsi="Palatino Linotype" w:cs="Palatino Linotype"/>
          <w:b/>
          <w:bCs/>
          <w:sz w:val="22"/>
          <w:szCs w:val="22"/>
        </w:rPr>
        <w:t>/INFOEM/IP/RR/202</w:t>
      </w:r>
      <w:r w:rsidR="00EB4356" w:rsidRPr="009C02E6">
        <w:rPr>
          <w:rFonts w:ascii="Palatino Linotype" w:eastAsia="Palatino Linotype" w:hAnsi="Palatino Linotype" w:cs="Palatino Linotype"/>
          <w:b/>
          <w:bCs/>
          <w:sz w:val="22"/>
          <w:szCs w:val="22"/>
        </w:rPr>
        <w:t>6</w:t>
      </w:r>
      <w:r w:rsidRPr="009C02E6">
        <w:rPr>
          <w:rFonts w:ascii="Palatino Linotype" w:eastAsia="Palatino Linotype" w:hAnsi="Palatino Linotype" w:cs="Palatino Linotype"/>
          <w:sz w:val="22"/>
          <w:szCs w:val="22"/>
        </w:rPr>
        <w:t>, interpuesto por</w:t>
      </w:r>
      <w:r w:rsidRPr="009C02E6">
        <w:rPr>
          <w:rFonts w:ascii="Palatino Linotype" w:eastAsia="Palatino Linotype" w:hAnsi="Palatino Linotype" w:cs="Palatino Linotype"/>
          <w:b/>
          <w:bCs/>
          <w:sz w:val="22"/>
          <w:szCs w:val="22"/>
        </w:rPr>
        <w:t xml:space="preserve"> </w:t>
      </w:r>
      <w:r w:rsidR="00371C97" w:rsidRPr="009C02E6">
        <w:rPr>
          <w:rFonts w:ascii="Palatino Linotype" w:eastAsia="Palatino Linotype" w:hAnsi="Palatino Linotype" w:cs="Palatino Linotype"/>
          <w:b/>
          <w:bCs/>
          <w:sz w:val="22"/>
          <w:szCs w:val="22"/>
        </w:rPr>
        <w:t>un particular que no proporcionó nombre</w:t>
      </w:r>
      <w:r w:rsidRPr="009C02E6">
        <w:rPr>
          <w:rFonts w:ascii="Palatino Linotype" w:eastAsia="Palatino Linotype" w:hAnsi="Palatino Linotype" w:cs="Palatino Linotype"/>
          <w:b/>
          <w:bCs/>
          <w:sz w:val="22"/>
          <w:szCs w:val="22"/>
        </w:rPr>
        <w:t>,</w:t>
      </w:r>
      <w:r w:rsidRPr="009C02E6">
        <w:rPr>
          <w:rFonts w:ascii="Palatino Linotype" w:eastAsia="Palatino Linotype" w:hAnsi="Palatino Linotype" w:cs="Palatino Linotype"/>
          <w:sz w:val="22"/>
          <w:szCs w:val="22"/>
        </w:rPr>
        <w:t xml:space="preserve"> en lo sucesivo</w:t>
      </w:r>
      <w:r w:rsidRPr="009C02E6">
        <w:rPr>
          <w:rFonts w:ascii="Palatino Linotype" w:eastAsia="Palatino Linotype" w:hAnsi="Palatino Linotype" w:cs="Palatino Linotype"/>
          <w:b/>
          <w:bCs/>
          <w:sz w:val="22"/>
          <w:szCs w:val="22"/>
        </w:rPr>
        <w:t xml:space="preserve"> </w:t>
      </w:r>
      <w:r w:rsidRPr="009C02E6">
        <w:rPr>
          <w:rFonts w:ascii="Palatino Linotype" w:eastAsia="Palatino Linotype" w:hAnsi="Palatino Linotype" w:cs="Palatino Linotype"/>
          <w:sz w:val="22"/>
          <w:szCs w:val="22"/>
        </w:rPr>
        <w:t xml:space="preserve">la parte </w:t>
      </w:r>
      <w:r w:rsidRPr="009C02E6">
        <w:rPr>
          <w:rFonts w:ascii="Palatino Linotype" w:eastAsia="Palatino Linotype" w:hAnsi="Palatino Linotype" w:cs="Palatino Linotype"/>
          <w:b/>
          <w:bCs/>
          <w:sz w:val="22"/>
          <w:szCs w:val="22"/>
        </w:rPr>
        <w:t>Recurrente,</w:t>
      </w:r>
      <w:r w:rsidRPr="009C02E6">
        <w:rPr>
          <w:rFonts w:ascii="Palatino Linotype" w:eastAsia="Palatino Linotype" w:hAnsi="Palatino Linotype" w:cs="Palatino Linotype"/>
          <w:sz w:val="22"/>
          <w:szCs w:val="22"/>
        </w:rPr>
        <w:t xml:space="preserve"> en contra de la respuesta a la solicitud de información con número de folio</w:t>
      </w:r>
      <w:r w:rsidRPr="009C02E6">
        <w:rPr>
          <w:rFonts w:ascii="Palatino Linotype" w:eastAsia="Palatino Linotype" w:hAnsi="Palatino Linotype" w:cs="Palatino Linotype"/>
          <w:b/>
          <w:bCs/>
          <w:sz w:val="22"/>
          <w:szCs w:val="22"/>
        </w:rPr>
        <w:t xml:space="preserve"> </w:t>
      </w:r>
      <w:r w:rsidR="00EB4356" w:rsidRPr="009C02E6">
        <w:rPr>
          <w:rFonts w:ascii="Palatino Linotype" w:eastAsia="Palatino Linotype" w:hAnsi="Palatino Linotype" w:cs="Palatino Linotype"/>
          <w:b/>
          <w:bCs/>
          <w:sz w:val="22"/>
          <w:szCs w:val="22"/>
        </w:rPr>
        <w:t>06098/TOLUCA/IP/2025</w:t>
      </w:r>
      <w:r w:rsidRPr="009C02E6">
        <w:rPr>
          <w:rFonts w:ascii="Palatino Linotype" w:eastAsia="Palatino Linotype" w:hAnsi="Palatino Linotype" w:cs="Palatino Linotype"/>
          <w:b/>
          <w:bCs/>
          <w:sz w:val="22"/>
          <w:szCs w:val="22"/>
        </w:rPr>
        <w:t xml:space="preserve">, </w:t>
      </w:r>
      <w:r w:rsidRPr="009C02E6">
        <w:rPr>
          <w:rFonts w:ascii="Palatino Linotype" w:eastAsia="Palatino Linotype" w:hAnsi="Palatino Linotype" w:cs="Palatino Linotype"/>
          <w:sz w:val="22"/>
          <w:szCs w:val="22"/>
        </w:rPr>
        <w:t xml:space="preserve">por parte del </w:t>
      </w:r>
      <w:r w:rsidRPr="009C02E6">
        <w:rPr>
          <w:rFonts w:ascii="Palatino Linotype" w:eastAsia="Palatino Linotype" w:hAnsi="Palatino Linotype" w:cs="Palatino Linotype"/>
          <w:b/>
          <w:bCs/>
          <w:sz w:val="22"/>
          <w:szCs w:val="22"/>
        </w:rPr>
        <w:t xml:space="preserve">Ayuntamiento de Toluca, </w:t>
      </w:r>
      <w:r w:rsidRPr="009C02E6">
        <w:rPr>
          <w:rFonts w:ascii="Palatino Linotype" w:eastAsia="Palatino Linotype" w:hAnsi="Palatino Linotype" w:cs="Palatino Linotype"/>
          <w:sz w:val="22"/>
          <w:szCs w:val="22"/>
        </w:rPr>
        <w:t xml:space="preserve">en lo sucesivo el </w:t>
      </w:r>
      <w:r w:rsidRPr="009C02E6">
        <w:rPr>
          <w:rFonts w:ascii="Palatino Linotype" w:eastAsia="Palatino Linotype" w:hAnsi="Palatino Linotype" w:cs="Palatino Linotype"/>
          <w:b/>
          <w:bCs/>
          <w:sz w:val="22"/>
          <w:szCs w:val="22"/>
        </w:rPr>
        <w:t xml:space="preserve">Sujeto Obligado, </w:t>
      </w:r>
      <w:r w:rsidRPr="009C02E6">
        <w:rPr>
          <w:rFonts w:ascii="Palatino Linotype" w:eastAsia="Palatino Linotype" w:hAnsi="Palatino Linotype" w:cs="Palatino Linotype"/>
          <w:sz w:val="22"/>
          <w:szCs w:val="22"/>
        </w:rPr>
        <w:t xml:space="preserve">se procede a dictar la presente resolución con base en los siguientes: </w:t>
      </w:r>
    </w:p>
    <w:p w14:paraId="54E81B50" w14:textId="77777777" w:rsidR="00AC55F7" w:rsidRPr="009C02E6" w:rsidRDefault="006C736C">
      <w:pPr>
        <w:spacing w:before="240" w:after="240" w:line="360" w:lineRule="auto"/>
        <w:jc w:val="center"/>
        <w:rPr>
          <w:rFonts w:ascii="Palatino Linotype" w:eastAsia="Palatino Linotype" w:hAnsi="Palatino Linotype" w:cs="Palatino Linotype"/>
          <w:b/>
          <w:bCs/>
          <w:sz w:val="22"/>
          <w:szCs w:val="22"/>
        </w:rPr>
      </w:pPr>
      <w:r w:rsidRPr="009C02E6">
        <w:rPr>
          <w:rFonts w:ascii="Palatino Linotype" w:eastAsia="Palatino Linotype" w:hAnsi="Palatino Linotype" w:cs="Palatino Linotype"/>
          <w:b/>
          <w:bCs/>
          <w:sz w:val="22"/>
          <w:szCs w:val="22"/>
        </w:rPr>
        <w:t>I. A N T E C E D E N T E S</w:t>
      </w:r>
    </w:p>
    <w:p w14:paraId="676CAEBE" w14:textId="04DA7CAC" w:rsidR="00AC55F7" w:rsidRPr="009C02E6" w:rsidRDefault="006C736C">
      <w:pPr>
        <w:spacing w:before="240" w:after="240" w:line="360" w:lineRule="auto"/>
        <w:jc w:val="both"/>
        <w:rPr>
          <w:rFonts w:ascii="Palatino Linotype" w:eastAsia="Palatino Linotype" w:hAnsi="Palatino Linotype" w:cs="Palatino Linotype"/>
          <w:sz w:val="22"/>
          <w:szCs w:val="22"/>
        </w:rPr>
      </w:pPr>
      <w:bookmarkStart w:id="2" w:name="_heading=h.gjdgxs" w:colFirst="0" w:colLast="0"/>
      <w:bookmarkEnd w:id="2"/>
      <w:r w:rsidRPr="009C02E6">
        <w:rPr>
          <w:rFonts w:ascii="Palatino Linotype" w:eastAsia="Palatino Linotype" w:hAnsi="Palatino Linotype" w:cs="Palatino Linotype"/>
          <w:b/>
          <w:bCs/>
          <w:sz w:val="22"/>
          <w:szCs w:val="22"/>
        </w:rPr>
        <w:t>1. Solicitud de acceso a la información.</w:t>
      </w:r>
      <w:r w:rsidRPr="009C02E6">
        <w:rPr>
          <w:rFonts w:ascii="Palatino Linotype" w:eastAsia="Palatino Linotype" w:hAnsi="Palatino Linotype" w:cs="Palatino Linotype"/>
          <w:sz w:val="22"/>
          <w:szCs w:val="22"/>
        </w:rPr>
        <w:t xml:space="preserve"> El </w:t>
      </w:r>
      <w:r w:rsidR="00EB4356" w:rsidRPr="009C02E6">
        <w:rPr>
          <w:rFonts w:ascii="Palatino Linotype" w:eastAsia="Palatino Linotype" w:hAnsi="Palatino Linotype" w:cs="Palatino Linotype"/>
          <w:b/>
          <w:bCs/>
          <w:sz w:val="22"/>
          <w:szCs w:val="22"/>
        </w:rPr>
        <w:t>diez de noviembre</w:t>
      </w:r>
      <w:r w:rsidR="003870EF" w:rsidRPr="009C02E6">
        <w:rPr>
          <w:rFonts w:ascii="Palatino Linotype" w:eastAsia="Palatino Linotype" w:hAnsi="Palatino Linotype" w:cs="Palatino Linotype"/>
          <w:b/>
          <w:bCs/>
          <w:sz w:val="22"/>
          <w:szCs w:val="22"/>
        </w:rPr>
        <w:t xml:space="preserve"> </w:t>
      </w:r>
      <w:r w:rsidRPr="009C02E6">
        <w:rPr>
          <w:rFonts w:ascii="Palatino Linotype" w:eastAsia="Palatino Linotype" w:hAnsi="Palatino Linotype" w:cs="Palatino Linotype"/>
          <w:b/>
          <w:bCs/>
          <w:sz w:val="22"/>
          <w:szCs w:val="22"/>
        </w:rPr>
        <w:t>de dos mil veinticinco,</w:t>
      </w:r>
      <w:r w:rsidRPr="009C02E6">
        <w:rPr>
          <w:rFonts w:ascii="Palatino Linotype" w:eastAsia="Palatino Linotype" w:hAnsi="Palatino Linotype" w:cs="Palatino Linotype"/>
          <w:sz w:val="22"/>
          <w:szCs w:val="22"/>
        </w:rPr>
        <w:t xml:space="preserve"> la parte </w:t>
      </w:r>
      <w:r w:rsidRPr="009C02E6">
        <w:rPr>
          <w:rFonts w:ascii="Palatino Linotype" w:eastAsia="Palatino Linotype" w:hAnsi="Palatino Linotype" w:cs="Palatino Linotype"/>
          <w:b/>
          <w:bCs/>
          <w:sz w:val="22"/>
          <w:szCs w:val="22"/>
        </w:rPr>
        <w:t xml:space="preserve">Recurrente </w:t>
      </w:r>
      <w:r w:rsidRPr="009C02E6">
        <w:rPr>
          <w:rFonts w:ascii="Palatino Linotype" w:eastAsia="Palatino Linotype" w:hAnsi="Palatino Linotype" w:cs="Palatino Linotype"/>
          <w:sz w:val="22"/>
          <w:szCs w:val="22"/>
        </w:rPr>
        <w:t xml:space="preserve">presentó la solicitud de acceso a la información pública ante el </w:t>
      </w:r>
      <w:r w:rsidRPr="009C02E6">
        <w:rPr>
          <w:rFonts w:ascii="Palatino Linotype" w:eastAsia="Palatino Linotype" w:hAnsi="Palatino Linotype" w:cs="Palatino Linotype"/>
          <w:b/>
          <w:bCs/>
          <w:sz w:val="22"/>
          <w:szCs w:val="22"/>
        </w:rPr>
        <w:t>Sujeto Obligado</w:t>
      </w:r>
      <w:r w:rsidRPr="009C02E6">
        <w:rPr>
          <w:rFonts w:ascii="Palatino Linotype" w:eastAsia="Palatino Linotype" w:hAnsi="Palatino Linotype" w:cs="Palatino Linotype"/>
          <w:sz w:val="22"/>
          <w:szCs w:val="22"/>
        </w:rPr>
        <w:t xml:space="preserve">, a través del Sistema de Acceso a la Información Mexiquense, en lo subsecuente el </w:t>
      </w:r>
      <w:r w:rsidRPr="009C02E6">
        <w:rPr>
          <w:rFonts w:ascii="Palatino Linotype" w:eastAsia="Palatino Linotype" w:hAnsi="Palatino Linotype" w:cs="Palatino Linotype"/>
          <w:b/>
          <w:bCs/>
          <w:sz w:val="22"/>
          <w:szCs w:val="22"/>
        </w:rPr>
        <w:t>SAIMEX,</w:t>
      </w:r>
      <w:r w:rsidRPr="009C02E6">
        <w:rPr>
          <w:rFonts w:ascii="Palatino Linotype" w:eastAsia="Palatino Linotype" w:hAnsi="Palatino Linotype" w:cs="Palatino Linotype"/>
          <w:sz w:val="22"/>
          <w:szCs w:val="22"/>
        </w:rPr>
        <w:t xml:space="preserve"> mediante la cual requirió lo siguiente:</w:t>
      </w:r>
    </w:p>
    <w:p w14:paraId="4F789154" w14:textId="73509A70" w:rsidR="00AC55F7" w:rsidRPr="009C02E6" w:rsidRDefault="006C736C">
      <w:pPr>
        <w:spacing w:before="120" w:after="120"/>
        <w:ind w:left="851" w:right="902"/>
        <w:jc w:val="both"/>
        <w:rPr>
          <w:rFonts w:ascii="Palatino Linotype" w:eastAsia="Palatino Linotype" w:hAnsi="Palatino Linotype" w:cs="Palatino Linotype"/>
          <w:b/>
          <w:bCs/>
          <w:i/>
          <w:iCs/>
          <w:sz w:val="22"/>
          <w:szCs w:val="22"/>
        </w:rPr>
      </w:pPr>
      <w:r w:rsidRPr="009C02E6">
        <w:rPr>
          <w:rFonts w:ascii="Palatino Linotype" w:eastAsia="Palatino Linotype" w:hAnsi="Palatino Linotype" w:cs="Palatino Linotype"/>
          <w:i/>
          <w:iCs/>
          <w:sz w:val="22"/>
          <w:szCs w:val="22"/>
        </w:rPr>
        <w:t xml:space="preserve"> “</w:t>
      </w:r>
      <w:r w:rsidR="00EB4356" w:rsidRPr="009C02E6">
        <w:rPr>
          <w:rFonts w:ascii="Palatino Linotype" w:eastAsia="Palatino Linotype" w:hAnsi="Palatino Linotype" w:cs="Palatino Linotype"/>
          <w:i/>
          <w:iCs/>
          <w:sz w:val="22"/>
          <w:szCs w:val="22"/>
        </w:rPr>
        <w:t xml:space="preserve">Solicitud original - Captura de pantalla de los turnos a las áreas competentes en el sistema </w:t>
      </w:r>
      <w:proofErr w:type="spellStart"/>
      <w:r w:rsidR="00EB4356" w:rsidRPr="009C02E6">
        <w:rPr>
          <w:rFonts w:ascii="Palatino Linotype" w:eastAsia="Palatino Linotype" w:hAnsi="Palatino Linotype" w:cs="Palatino Linotype"/>
          <w:i/>
          <w:iCs/>
          <w:sz w:val="22"/>
          <w:szCs w:val="22"/>
        </w:rPr>
        <w:t>saimex</w:t>
      </w:r>
      <w:proofErr w:type="spellEnd"/>
      <w:r w:rsidR="00EB4356" w:rsidRPr="009C02E6">
        <w:rPr>
          <w:rFonts w:ascii="Palatino Linotype" w:eastAsia="Palatino Linotype" w:hAnsi="Palatino Linotype" w:cs="Palatino Linotype"/>
          <w:i/>
          <w:iCs/>
          <w:sz w:val="22"/>
          <w:szCs w:val="22"/>
        </w:rPr>
        <w:t xml:space="preserve">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w:t>
      </w:r>
      <w:r w:rsidR="00EB4356" w:rsidRPr="009C02E6">
        <w:rPr>
          <w:rFonts w:ascii="Palatino Linotype" w:eastAsia="Palatino Linotype" w:hAnsi="Palatino Linotype" w:cs="Palatino Linotype"/>
          <w:i/>
          <w:iCs/>
          <w:sz w:val="22"/>
          <w:szCs w:val="22"/>
        </w:rPr>
        <w:lastRenderedPageBreak/>
        <w:t xml:space="preserve">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00EB4356" w:rsidRPr="009C02E6">
        <w:rPr>
          <w:rFonts w:ascii="Palatino Linotype" w:eastAsia="Palatino Linotype" w:hAnsi="Palatino Linotype" w:cs="Palatino Linotype"/>
          <w:i/>
          <w:iCs/>
          <w:sz w:val="22"/>
          <w:szCs w:val="22"/>
        </w:rPr>
        <w:t>infoem</w:t>
      </w:r>
      <w:proofErr w:type="spellEnd"/>
      <w:r w:rsidR="00EB4356" w:rsidRPr="009C02E6">
        <w:rPr>
          <w:rFonts w:ascii="Palatino Linotype" w:eastAsia="Palatino Linotype" w:hAnsi="Palatino Linotype" w:cs="Palatino Linotype"/>
          <w:i/>
          <w:iCs/>
          <w:sz w:val="22"/>
          <w:szCs w:val="22"/>
        </w:rPr>
        <w:t xml:space="preserve"> - Estado de cumplimiento o incumplimiento - Favor de especificar si el asunto lo tiene la Contraloría del Infoem - indicar si el recurso genera alguna responsabilidad directa a algún funcionario público -indicar si existe apercibimiento por parte del </w:t>
      </w:r>
      <w:proofErr w:type="spellStart"/>
      <w:r w:rsidR="00EB4356" w:rsidRPr="009C02E6">
        <w:rPr>
          <w:rFonts w:ascii="Palatino Linotype" w:eastAsia="Palatino Linotype" w:hAnsi="Palatino Linotype" w:cs="Palatino Linotype"/>
          <w:i/>
          <w:iCs/>
          <w:sz w:val="22"/>
          <w:szCs w:val="22"/>
        </w:rPr>
        <w:t>infoem</w:t>
      </w:r>
      <w:proofErr w:type="spellEnd"/>
      <w:r w:rsidR="00EB4356" w:rsidRPr="009C02E6">
        <w:rPr>
          <w:rFonts w:ascii="Palatino Linotype" w:eastAsia="Palatino Linotype" w:hAnsi="Palatino Linotype" w:cs="Palatino Linotype"/>
          <w:i/>
          <w:iCs/>
          <w:sz w:val="22"/>
          <w:szCs w:val="22"/>
        </w:rPr>
        <w:t xml:space="preserve"> -indicar si el asunto se encuentra </w:t>
      </w:r>
      <w:proofErr w:type="spellStart"/>
      <w:r w:rsidR="00EB4356" w:rsidRPr="009C02E6">
        <w:rPr>
          <w:rFonts w:ascii="Palatino Linotype" w:eastAsia="Palatino Linotype" w:hAnsi="Palatino Linotype" w:cs="Palatino Linotype"/>
          <w:i/>
          <w:iCs/>
          <w:sz w:val="22"/>
          <w:szCs w:val="22"/>
        </w:rPr>
        <w:t>concluído</w:t>
      </w:r>
      <w:proofErr w:type="spellEnd"/>
      <w:r w:rsidR="00EB4356" w:rsidRPr="009C02E6">
        <w:rPr>
          <w:rFonts w:ascii="Palatino Linotype" w:eastAsia="Palatino Linotype" w:hAnsi="Palatino Linotype" w:cs="Palatino Linotype"/>
          <w:i/>
          <w:iCs/>
          <w:sz w:val="22"/>
          <w:szCs w:val="22"/>
        </w:rPr>
        <w:t xml:space="preserve"> o en proceso - indicar qué áreas dieron la respuesta completa y que áreas</w:t>
      </w:r>
      <w:r w:rsidRPr="009C02E6">
        <w:rPr>
          <w:rFonts w:ascii="Palatino Linotype" w:eastAsia="Palatino Linotype" w:hAnsi="Palatino Linotype" w:cs="Palatino Linotype"/>
          <w:b/>
          <w:bCs/>
          <w:i/>
          <w:iCs/>
          <w:sz w:val="22"/>
          <w:szCs w:val="22"/>
        </w:rPr>
        <w:t>”</w:t>
      </w:r>
      <w:r w:rsidRPr="009C02E6">
        <w:rPr>
          <w:rFonts w:ascii="Palatino Linotype" w:eastAsia="Palatino Linotype" w:hAnsi="Palatino Linotype" w:cs="Palatino Linotype"/>
          <w:i/>
          <w:iCs/>
          <w:sz w:val="22"/>
          <w:szCs w:val="22"/>
        </w:rPr>
        <w:t xml:space="preserve"> (sic) </w:t>
      </w:r>
    </w:p>
    <w:p w14:paraId="5F6C2957" w14:textId="77777777" w:rsidR="00AC55F7" w:rsidRPr="009C02E6" w:rsidRDefault="006C736C">
      <w:pPr>
        <w:spacing w:before="240" w:after="240" w:line="360" w:lineRule="auto"/>
        <w:jc w:val="both"/>
        <w:rPr>
          <w:rFonts w:ascii="Palatino Linotype" w:eastAsia="Palatino Linotype" w:hAnsi="Palatino Linotype" w:cs="Palatino Linotype"/>
          <w:sz w:val="22"/>
          <w:szCs w:val="22"/>
        </w:rPr>
      </w:pPr>
      <w:bookmarkStart w:id="3" w:name="_heading=h.3dy6vkm" w:colFirst="0" w:colLast="0"/>
      <w:bookmarkEnd w:id="3"/>
      <w:r w:rsidRPr="009C02E6">
        <w:rPr>
          <w:rFonts w:ascii="Palatino Linotype" w:eastAsia="Palatino Linotype" w:hAnsi="Palatino Linotype" w:cs="Palatino Linotype"/>
          <w:b/>
          <w:bCs/>
          <w:sz w:val="22"/>
          <w:szCs w:val="22"/>
        </w:rPr>
        <w:t>Modalidad de Entrega:</w:t>
      </w:r>
      <w:r w:rsidRPr="009C02E6">
        <w:rPr>
          <w:rFonts w:ascii="Palatino Linotype" w:eastAsia="Palatino Linotype" w:hAnsi="Palatino Linotype" w:cs="Palatino Linotype"/>
          <w:sz w:val="22"/>
          <w:szCs w:val="22"/>
        </w:rPr>
        <w:t xml:space="preserve"> a través del</w:t>
      </w:r>
      <w:r w:rsidRPr="009C02E6">
        <w:rPr>
          <w:rFonts w:ascii="Palatino Linotype" w:eastAsia="Palatino Linotype" w:hAnsi="Palatino Linotype" w:cs="Palatino Linotype"/>
          <w:b/>
          <w:bCs/>
          <w:sz w:val="22"/>
          <w:szCs w:val="22"/>
        </w:rPr>
        <w:t xml:space="preserve"> SAIMEX.</w:t>
      </w:r>
    </w:p>
    <w:p w14:paraId="30973E9D" w14:textId="051FDA17" w:rsidR="00FE1E34" w:rsidRPr="009C02E6" w:rsidRDefault="006C736C" w:rsidP="00FE1E34">
      <w:pPr>
        <w:pBdr>
          <w:top w:val="nil"/>
          <w:left w:val="nil"/>
          <w:bottom w:val="nil"/>
          <w:right w:val="nil"/>
          <w:between w:val="nil"/>
        </w:pBdr>
        <w:tabs>
          <w:tab w:val="left" w:pos="3119"/>
        </w:tabs>
        <w:spacing w:before="240" w:after="240" w:line="360" w:lineRule="auto"/>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b/>
          <w:bCs/>
          <w:sz w:val="22"/>
          <w:szCs w:val="22"/>
        </w:rPr>
        <w:t xml:space="preserve">2. </w:t>
      </w:r>
      <w:r w:rsidR="00FE1E34" w:rsidRPr="009C02E6">
        <w:rPr>
          <w:rFonts w:ascii="Palatino Linotype" w:eastAsia="Palatino Linotype" w:hAnsi="Palatino Linotype" w:cs="Palatino Linotype"/>
          <w:b/>
          <w:sz w:val="22"/>
          <w:szCs w:val="22"/>
        </w:rPr>
        <w:t xml:space="preserve">Prórroga. </w:t>
      </w:r>
      <w:r w:rsidR="00FE1E34" w:rsidRPr="009C02E6">
        <w:rPr>
          <w:rFonts w:ascii="Palatino Linotype" w:eastAsia="Palatino Linotype" w:hAnsi="Palatino Linotype" w:cs="Palatino Linotype"/>
          <w:sz w:val="22"/>
          <w:szCs w:val="22"/>
        </w:rPr>
        <w:t xml:space="preserve">El </w:t>
      </w:r>
      <w:r w:rsidR="00EB4356" w:rsidRPr="009C02E6">
        <w:rPr>
          <w:rFonts w:ascii="Palatino Linotype" w:eastAsia="Palatino Linotype" w:hAnsi="Palatino Linotype" w:cs="Palatino Linotype"/>
          <w:b/>
          <w:sz w:val="22"/>
          <w:szCs w:val="22"/>
        </w:rPr>
        <w:t>dos de diciembre</w:t>
      </w:r>
      <w:r w:rsidR="00FE1E34" w:rsidRPr="009C02E6">
        <w:rPr>
          <w:rFonts w:ascii="Palatino Linotype" w:eastAsia="Palatino Linotype" w:hAnsi="Palatino Linotype" w:cs="Palatino Linotype"/>
          <w:b/>
          <w:sz w:val="22"/>
          <w:szCs w:val="22"/>
        </w:rPr>
        <w:t xml:space="preserve"> de dos mil veinticinco, </w:t>
      </w:r>
      <w:r w:rsidR="00FE1E34" w:rsidRPr="009C02E6">
        <w:rPr>
          <w:rFonts w:ascii="Palatino Linotype" w:eastAsia="Palatino Linotype" w:hAnsi="Palatino Linotype" w:cs="Palatino Linotype"/>
          <w:sz w:val="22"/>
          <w:szCs w:val="22"/>
        </w:rPr>
        <w:t xml:space="preserve">el </w:t>
      </w:r>
      <w:r w:rsidR="00FE1E34" w:rsidRPr="009C02E6">
        <w:rPr>
          <w:rFonts w:ascii="Palatino Linotype" w:eastAsia="Palatino Linotype" w:hAnsi="Palatino Linotype" w:cs="Palatino Linotype"/>
          <w:b/>
          <w:sz w:val="22"/>
          <w:szCs w:val="22"/>
        </w:rPr>
        <w:t xml:space="preserve">Sujeto Obligado </w:t>
      </w:r>
      <w:r w:rsidR="00FE1E34" w:rsidRPr="009C02E6">
        <w:rPr>
          <w:rFonts w:ascii="Palatino Linotype" w:eastAsia="Palatino Linotype" w:hAnsi="Palatino Linotype" w:cs="Palatino Linotype"/>
          <w:sz w:val="22"/>
          <w:szCs w:val="22"/>
        </w:rPr>
        <w:t>notificó a la persona solicitante la prórroga para dar respuesta a la solicitud</w:t>
      </w:r>
      <w:r w:rsidR="00FE1E34" w:rsidRPr="009C02E6">
        <w:rPr>
          <w:rFonts w:ascii="Palatino Linotype" w:eastAsia="Palatino Linotype" w:hAnsi="Palatino Linotype" w:cs="Palatino Linotype"/>
          <w:b/>
          <w:sz w:val="22"/>
          <w:szCs w:val="22"/>
        </w:rPr>
        <w:t>,</w:t>
      </w:r>
      <w:r w:rsidR="00FE1E34" w:rsidRPr="009C02E6">
        <w:rPr>
          <w:rFonts w:ascii="Palatino Linotype" w:eastAsia="Palatino Linotype" w:hAnsi="Palatino Linotype" w:cs="Palatino Linotype"/>
          <w:sz w:val="22"/>
          <w:szCs w:val="22"/>
        </w:rPr>
        <w:t xml:space="preserve"> medularmente en los siguientes términos:</w:t>
      </w:r>
    </w:p>
    <w:p w14:paraId="3549CE86" w14:textId="713D06A3" w:rsidR="00FE1E34" w:rsidRPr="009C02E6" w:rsidRDefault="00FE1E34" w:rsidP="00FE1E34">
      <w:pPr>
        <w:spacing w:before="240" w:after="240"/>
        <w:ind w:left="851" w:right="900"/>
        <w:jc w:val="both"/>
        <w:rPr>
          <w:rFonts w:ascii="Palatino Linotype" w:eastAsia="Palatino Linotype" w:hAnsi="Palatino Linotype" w:cs="Palatino Linotype"/>
          <w:i/>
          <w:sz w:val="22"/>
          <w:szCs w:val="22"/>
        </w:rPr>
      </w:pPr>
      <w:r w:rsidRPr="009C02E6">
        <w:rPr>
          <w:rFonts w:ascii="Palatino Linotype" w:eastAsia="Palatino Linotype" w:hAnsi="Palatino Linotype" w:cs="Palatino Linotype"/>
          <w:i/>
          <w:sz w:val="22"/>
          <w:szCs w:val="22"/>
        </w:rPr>
        <w:t>“</w:t>
      </w:r>
      <w:r w:rsidR="00EB4356" w:rsidRPr="009C02E6">
        <w:rPr>
          <w:rFonts w:ascii="Palatino Linotype" w:eastAsia="Palatino Linotype" w:hAnsi="Palatino Linotype" w:cs="Palatino Linotype"/>
          <w:i/>
          <w:sz w:val="22"/>
          <w:szCs w:val="22"/>
        </w:rPr>
        <w:t>Con fundamento en lo señalado en el artículo 163 de la Ley de Transparencia y Acceso a la Información Pública del Estado de México y Municipios, se solicitó prórroga por siete días hábiles más, para dar atención a la solicitud de información registrada con número 06098/TOLUCA/IP/2025, recibida a través del Sistema de Acceso a la Información Mexiquense (SAIMEX), misma que fue procedente, quedando bajo el acuerdo CT/SE/1429/03/2025., en la MILÉSIMA CUADRAGÉSIMA VIGÉSIMA NOVENA Sesión Extraordinaria 2025 del Comité de Transparencia del Municipio de Toluca, Administración 2025- 2027, de fecha 01/12/2025, lo anterior, en razón de que se continua con la minuciosa búsqueda de información dentro de los archivos que obran en esta unidad administrativa, y que comprenden diversa documentación que requiere de un análisis y procesamiento para estar en posibilidad de proporcionarle una respuesta concreta y correcta a la presente solicitud.</w:t>
      </w:r>
      <w:r w:rsidRPr="009C02E6">
        <w:rPr>
          <w:rFonts w:ascii="Palatino Linotype" w:eastAsia="Palatino Linotype" w:hAnsi="Palatino Linotype" w:cs="Palatino Linotype"/>
          <w:i/>
          <w:sz w:val="22"/>
          <w:szCs w:val="22"/>
        </w:rPr>
        <w:t>” (sic)</w:t>
      </w:r>
    </w:p>
    <w:p w14:paraId="6B84BB13" w14:textId="3AD8E74C" w:rsidR="00FE1E34" w:rsidRPr="009C02E6" w:rsidRDefault="00FE1E34" w:rsidP="00FE1E34">
      <w:pPr>
        <w:spacing w:before="240" w:after="240" w:line="360" w:lineRule="auto"/>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 xml:space="preserve">Como refiere el Sujeto Obligado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w:t>
      </w:r>
      <w:r w:rsidRPr="009C02E6">
        <w:rPr>
          <w:rFonts w:ascii="Palatino Linotype" w:eastAsia="Palatino Linotype" w:hAnsi="Palatino Linotype" w:cs="Palatino Linotype"/>
          <w:sz w:val="22"/>
          <w:szCs w:val="22"/>
        </w:rPr>
        <w:lastRenderedPageBreak/>
        <w:t>Comité de Transparencia, mediante la emisión de una resolución; en el caso particular que nos ocupa y derivado de las constancias que obran en el expediente, se advierte que no se observaron las formalidades que establece la Ley de la materia, pues no se anexó la resolución mediante la cual el Comité de Transparencia aprobó la ampliación del plazo.</w:t>
      </w:r>
    </w:p>
    <w:p w14:paraId="537AE90A" w14:textId="65F70F20" w:rsidR="00AC55F7" w:rsidRPr="009C02E6" w:rsidRDefault="00FE1E34">
      <w:pPr>
        <w:spacing w:before="240" w:after="240" w:line="360" w:lineRule="auto"/>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b/>
          <w:bCs/>
          <w:sz w:val="22"/>
          <w:szCs w:val="22"/>
        </w:rPr>
        <w:t xml:space="preserve">3. </w:t>
      </w:r>
      <w:r w:rsidR="006C736C" w:rsidRPr="009C02E6">
        <w:rPr>
          <w:rFonts w:ascii="Palatino Linotype" w:eastAsia="Palatino Linotype" w:hAnsi="Palatino Linotype" w:cs="Palatino Linotype"/>
          <w:b/>
          <w:bCs/>
          <w:sz w:val="22"/>
          <w:szCs w:val="22"/>
        </w:rPr>
        <w:t xml:space="preserve">Respuesta. </w:t>
      </w:r>
      <w:r w:rsidR="006C736C" w:rsidRPr="009C02E6">
        <w:rPr>
          <w:rFonts w:ascii="Palatino Linotype" w:eastAsia="Palatino Linotype" w:hAnsi="Palatino Linotype" w:cs="Palatino Linotype"/>
          <w:sz w:val="22"/>
          <w:szCs w:val="22"/>
        </w:rPr>
        <w:t xml:space="preserve">El </w:t>
      </w:r>
      <w:r w:rsidR="00EB4356" w:rsidRPr="009C02E6">
        <w:rPr>
          <w:rFonts w:ascii="Palatino Linotype" w:eastAsia="Palatino Linotype" w:hAnsi="Palatino Linotype" w:cs="Palatino Linotype"/>
          <w:b/>
          <w:bCs/>
          <w:sz w:val="22"/>
          <w:szCs w:val="22"/>
        </w:rPr>
        <w:t>once</w:t>
      </w:r>
      <w:r w:rsidR="003870EF" w:rsidRPr="009C02E6">
        <w:rPr>
          <w:rFonts w:ascii="Palatino Linotype" w:eastAsia="Palatino Linotype" w:hAnsi="Palatino Linotype" w:cs="Palatino Linotype"/>
          <w:b/>
          <w:bCs/>
          <w:sz w:val="22"/>
          <w:szCs w:val="22"/>
        </w:rPr>
        <w:t xml:space="preserve"> de </w:t>
      </w:r>
      <w:r w:rsidR="003F5628" w:rsidRPr="009C02E6">
        <w:rPr>
          <w:rFonts w:ascii="Palatino Linotype" w:eastAsia="Palatino Linotype" w:hAnsi="Palatino Linotype" w:cs="Palatino Linotype"/>
          <w:b/>
          <w:bCs/>
          <w:sz w:val="22"/>
          <w:szCs w:val="22"/>
        </w:rPr>
        <w:t>diciembre</w:t>
      </w:r>
      <w:r w:rsidR="006C736C" w:rsidRPr="009C02E6">
        <w:rPr>
          <w:rFonts w:ascii="Palatino Linotype" w:eastAsia="Palatino Linotype" w:hAnsi="Palatino Linotype" w:cs="Palatino Linotype"/>
          <w:b/>
          <w:bCs/>
          <w:sz w:val="22"/>
          <w:szCs w:val="22"/>
        </w:rPr>
        <w:t xml:space="preserve"> de dos mil veinticinco,</w:t>
      </w:r>
      <w:r w:rsidR="006C736C" w:rsidRPr="009C02E6">
        <w:rPr>
          <w:rFonts w:ascii="Palatino Linotype" w:eastAsia="Palatino Linotype" w:hAnsi="Palatino Linotype" w:cs="Palatino Linotype"/>
          <w:sz w:val="22"/>
          <w:szCs w:val="22"/>
        </w:rPr>
        <w:t xml:space="preserve"> el </w:t>
      </w:r>
      <w:r w:rsidR="006C736C" w:rsidRPr="009C02E6">
        <w:rPr>
          <w:rFonts w:ascii="Palatino Linotype" w:eastAsia="Palatino Linotype" w:hAnsi="Palatino Linotype" w:cs="Palatino Linotype"/>
          <w:b/>
          <w:bCs/>
          <w:sz w:val="22"/>
          <w:szCs w:val="22"/>
        </w:rPr>
        <w:t xml:space="preserve">Sujeto Obligado </w:t>
      </w:r>
      <w:r w:rsidR="006C736C" w:rsidRPr="009C02E6">
        <w:rPr>
          <w:rFonts w:ascii="Palatino Linotype" w:eastAsia="Palatino Linotype" w:hAnsi="Palatino Linotype" w:cs="Palatino Linotype"/>
          <w:sz w:val="22"/>
          <w:szCs w:val="22"/>
        </w:rPr>
        <w:t xml:space="preserve">envió su respuesta a la solicitud de acceso a la información a través del SAIMEX, sustancialmente en los términos siguientes:   </w:t>
      </w:r>
    </w:p>
    <w:p w14:paraId="2D4AF6D5" w14:textId="308037CD" w:rsidR="00AC55F7" w:rsidRPr="009C02E6" w:rsidRDefault="006C736C">
      <w:pPr>
        <w:spacing w:before="240" w:after="240"/>
        <w:ind w:left="851" w:right="902"/>
        <w:jc w:val="both"/>
        <w:rPr>
          <w:rFonts w:ascii="Palatino Linotype" w:eastAsia="Palatino Linotype" w:hAnsi="Palatino Linotype" w:cs="Palatino Linotype"/>
          <w:i/>
          <w:iCs/>
          <w:sz w:val="22"/>
          <w:szCs w:val="22"/>
        </w:rPr>
      </w:pPr>
      <w:r w:rsidRPr="009C02E6">
        <w:rPr>
          <w:rFonts w:ascii="Palatino Linotype" w:eastAsia="Palatino Linotype" w:hAnsi="Palatino Linotype" w:cs="Palatino Linotype"/>
          <w:i/>
          <w:iCs/>
          <w:sz w:val="22"/>
          <w:szCs w:val="22"/>
        </w:rPr>
        <w:t>“…</w:t>
      </w:r>
      <w:r w:rsidR="00EB4356" w:rsidRPr="009C02E6">
        <w:rPr>
          <w:rFonts w:ascii="Palatino Linotype" w:eastAsia="Palatino Linotype" w:hAnsi="Palatino Linotype" w:cs="Palatino Linotype"/>
          <w:i/>
          <w:iCs/>
          <w:sz w:val="22"/>
          <w:szCs w:val="22"/>
        </w:rPr>
        <w:t>En atención a la solicitud, me permito adjuntar al presente la respuesta correspondiente, Sin más por el momento, reciba un saludo.</w:t>
      </w:r>
      <w:r w:rsidR="003F5628" w:rsidRPr="009C02E6">
        <w:rPr>
          <w:rFonts w:ascii="Palatino Linotype" w:eastAsia="Palatino Linotype" w:hAnsi="Palatino Linotype" w:cs="Palatino Linotype"/>
          <w:i/>
          <w:iCs/>
          <w:sz w:val="22"/>
          <w:szCs w:val="22"/>
        </w:rPr>
        <w:t>.</w:t>
      </w:r>
      <w:r w:rsidRPr="009C02E6">
        <w:rPr>
          <w:rFonts w:ascii="Palatino Linotype" w:eastAsia="Palatino Linotype" w:hAnsi="Palatino Linotype" w:cs="Palatino Linotype"/>
          <w:i/>
          <w:iCs/>
          <w:sz w:val="22"/>
          <w:szCs w:val="22"/>
        </w:rPr>
        <w:t>..” (sic)</w:t>
      </w:r>
    </w:p>
    <w:p w14:paraId="2FEC06D2" w14:textId="77777777" w:rsidR="00AC55F7" w:rsidRPr="009C02E6" w:rsidRDefault="006C736C">
      <w:pPr>
        <w:spacing w:before="240" w:after="240" w:line="360" w:lineRule="auto"/>
        <w:ind w:right="49"/>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 xml:space="preserve">El </w:t>
      </w:r>
      <w:r w:rsidRPr="009C02E6">
        <w:rPr>
          <w:rFonts w:ascii="Palatino Linotype" w:eastAsia="Palatino Linotype" w:hAnsi="Palatino Linotype" w:cs="Palatino Linotype"/>
          <w:b/>
          <w:bCs/>
          <w:sz w:val="22"/>
          <w:szCs w:val="22"/>
        </w:rPr>
        <w:t xml:space="preserve">Sujeto Obligado </w:t>
      </w:r>
      <w:r w:rsidRPr="009C02E6">
        <w:rPr>
          <w:rFonts w:ascii="Palatino Linotype" w:eastAsia="Palatino Linotype" w:hAnsi="Palatino Linotype" w:cs="Palatino Linotype"/>
          <w:sz w:val="22"/>
          <w:szCs w:val="22"/>
        </w:rPr>
        <w:t>adjuntó lo siguiente:</w:t>
      </w:r>
    </w:p>
    <w:p w14:paraId="41E97124" w14:textId="5FFDD062" w:rsidR="00EB4356" w:rsidRPr="009C02E6" w:rsidRDefault="006C736C" w:rsidP="00EB4356">
      <w:pPr>
        <w:spacing w:before="240" w:after="240" w:line="360" w:lineRule="auto"/>
        <w:ind w:right="49"/>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 xml:space="preserve">- </w:t>
      </w:r>
      <w:r w:rsidR="00EF2EC2" w:rsidRPr="009C02E6">
        <w:rPr>
          <w:rFonts w:ascii="Palatino Linotype" w:eastAsia="Palatino Linotype" w:hAnsi="Palatino Linotype" w:cs="Palatino Linotype"/>
          <w:sz w:val="22"/>
          <w:szCs w:val="22"/>
        </w:rPr>
        <w:t xml:space="preserve">Escrito mediante el cual la Unidad de Transparencia </w:t>
      </w:r>
      <w:r w:rsidR="00851555" w:rsidRPr="009C02E6">
        <w:rPr>
          <w:rFonts w:ascii="Palatino Linotype" w:eastAsia="Palatino Linotype" w:hAnsi="Palatino Linotype" w:cs="Palatino Linotype"/>
          <w:sz w:val="22"/>
          <w:szCs w:val="22"/>
        </w:rPr>
        <w:t>manifestó que</w:t>
      </w:r>
      <w:r w:rsidR="00EB4356" w:rsidRPr="009C02E6">
        <w:rPr>
          <w:rFonts w:ascii="Palatino Linotype" w:eastAsia="Palatino Linotype" w:hAnsi="Palatino Linotype" w:cs="Palatino Linotype"/>
          <w:sz w:val="22"/>
          <w:szCs w:val="22"/>
        </w:rPr>
        <w:t xml:space="preserve"> después de una búsqueda exhaustiva y razonable dentro de los archivos físicos y electrónicos que obran en la Unidad, no es posible hacer entrega de lo solicitado por no saber de qué expediente solicita.</w:t>
      </w:r>
      <w:r w:rsidR="00EB4356" w:rsidRPr="009C02E6">
        <w:rPr>
          <w:rFonts w:ascii="Palatino Linotype" w:eastAsia="Palatino Linotype" w:hAnsi="Palatino Linotype" w:cs="Palatino Linotype"/>
          <w:sz w:val="22"/>
          <w:szCs w:val="22"/>
        </w:rPr>
        <w:cr/>
        <w:t>- Anexo 1</w:t>
      </w:r>
      <w:r w:rsidR="00287280" w:rsidRPr="009C02E6">
        <w:rPr>
          <w:rFonts w:ascii="Palatino Linotype" w:eastAsia="Palatino Linotype" w:hAnsi="Palatino Linotype" w:cs="Palatino Linotype"/>
          <w:sz w:val="22"/>
          <w:szCs w:val="22"/>
        </w:rPr>
        <w:t xml:space="preserve">: Contiene los pasos para consultar </w:t>
      </w:r>
      <w:r w:rsidR="00CC0ADB" w:rsidRPr="009C02E6">
        <w:rPr>
          <w:rFonts w:ascii="Palatino Linotype" w:eastAsia="Palatino Linotype" w:hAnsi="Palatino Linotype" w:cs="Palatino Linotype"/>
          <w:sz w:val="22"/>
          <w:szCs w:val="22"/>
        </w:rPr>
        <w:t xml:space="preserve">versiones públicas </w:t>
      </w:r>
      <w:r w:rsidR="00A825D5" w:rsidRPr="009C02E6">
        <w:rPr>
          <w:rFonts w:ascii="Palatino Linotype" w:eastAsia="Palatino Linotype" w:hAnsi="Palatino Linotype" w:cs="Palatino Linotype"/>
          <w:sz w:val="22"/>
          <w:szCs w:val="22"/>
        </w:rPr>
        <w:t xml:space="preserve">de las resoluciones de los recursos de revisión, en </w:t>
      </w:r>
      <w:r w:rsidR="008E5E0F" w:rsidRPr="009C02E6">
        <w:rPr>
          <w:rFonts w:ascii="Palatino Linotype" w:eastAsia="Palatino Linotype" w:hAnsi="Palatino Linotype" w:cs="Palatino Linotype"/>
          <w:sz w:val="22"/>
          <w:szCs w:val="22"/>
        </w:rPr>
        <w:t>la página de este Instituto.</w:t>
      </w:r>
    </w:p>
    <w:p w14:paraId="1D80A24F" w14:textId="487CEA3A" w:rsidR="00AC55F7" w:rsidRPr="009C02E6" w:rsidRDefault="00C14259" w:rsidP="00D018C8">
      <w:pPr>
        <w:spacing w:before="240" w:after="240" w:line="360" w:lineRule="auto"/>
        <w:ind w:right="51"/>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b/>
          <w:bCs/>
          <w:sz w:val="22"/>
          <w:szCs w:val="22"/>
        </w:rPr>
        <w:t>4</w:t>
      </w:r>
      <w:r w:rsidR="006C736C" w:rsidRPr="009C02E6">
        <w:rPr>
          <w:rFonts w:ascii="Palatino Linotype" w:eastAsia="Palatino Linotype" w:hAnsi="Palatino Linotype" w:cs="Palatino Linotype"/>
          <w:b/>
          <w:bCs/>
          <w:sz w:val="22"/>
          <w:szCs w:val="22"/>
        </w:rPr>
        <w:t xml:space="preserve">. Interposición del recurso de revisión. </w:t>
      </w:r>
      <w:r w:rsidR="006C736C" w:rsidRPr="009C02E6">
        <w:rPr>
          <w:rFonts w:ascii="Palatino Linotype" w:eastAsia="Palatino Linotype" w:hAnsi="Palatino Linotype" w:cs="Palatino Linotype"/>
          <w:sz w:val="22"/>
          <w:szCs w:val="22"/>
        </w:rPr>
        <w:t xml:space="preserve">Inconforme con los términos de la respuesta emitida por parte del </w:t>
      </w:r>
      <w:r w:rsidR="006C736C" w:rsidRPr="009C02E6">
        <w:rPr>
          <w:rFonts w:ascii="Palatino Linotype" w:eastAsia="Palatino Linotype" w:hAnsi="Palatino Linotype" w:cs="Palatino Linotype"/>
          <w:b/>
          <w:bCs/>
          <w:sz w:val="22"/>
          <w:szCs w:val="22"/>
        </w:rPr>
        <w:t>Sujeto Obligado</w:t>
      </w:r>
      <w:r w:rsidR="006C736C" w:rsidRPr="009C02E6">
        <w:rPr>
          <w:rFonts w:ascii="Palatino Linotype" w:eastAsia="Palatino Linotype" w:hAnsi="Palatino Linotype" w:cs="Palatino Linotype"/>
          <w:sz w:val="22"/>
          <w:szCs w:val="22"/>
        </w:rPr>
        <w:t xml:space="preserve">, el </w:t>
      </w:r>
      <w:r w:rsidR="006F1708" w:rsidRPr="009C02E6">
        <w:rPr>
          <w:rFonts w:ascii="Palatino Linotype" w:eastAsia="Palatino Linotype" w:hAnsi="Palatino Linotype" w:cs="Palatino Linotype"/>
          <w:b/>
          <w:bCs/>
          <w:sz w:val="22"/>
          <w:szCs w:val="22"/>
        </w:rPr>
        <w:t xml:space="preserve">diecinueve de enero </w:t>
      </w:r>
      <w:r w:rsidR="006C736C" w:rsidRPr="009C02E6">
        <w:rPr>
          <w:rFonts w:ascii="Palatino Linotype" w:eastAsia="Palatino Linotype" w:hAnsi="Palatino Linotype" w:cs="Palatino Linotype"/>
          <w:b/>
          <w:bCs/>
          <w:sz w:val="22"/>
          <w:szCs w:val="22"/>
        </w:rPr>
        <w:t>de dos mil veinti</w:t>
      </w:r>
      <w:r w:rsidR="006F1708" w:rsidRPr="009C02E6">
        <w:rPr>
          <w:rFonts w:ascii="Palatino Linotype" w:eastAsia="Palatino Linotype" w:hAnsi="Palatino Linotype" w:cs="Palatino Linotype"/>
          <w:b/>
          <w:bCs/>
          <w:sz w:val="22"/>
          <w:szCs w:val="22"/>
        </w:rPr>
        <w:t>séis</w:t>
      </w:r>
      <w:r w:rsidR="006C736C" w:rsidRPr="009C02E6">
        <w:rPr>
          <w:rFonts w:ascii="Palatino Linotype" w:eastAsia="Palatino Linotype" w:hAnsi="Palatino Linotype" w:cs="Palatino Linotype"/>
          <w:b/>
          <w:bCs/>
          <w:sz w:val="22"/>
          <w:szCs w:val="22"/>
        </w:rPr>
        <w:t>,</w:t>
      </w:r>
      <w:r w:rsidR="006C736C" w:rsidRPr="009C02E6">
        <w:rPr>
          <w:rFonts w:ascii="Palatino Linotype" w:eastAsia="Palatino Linotype" w:hAnsi="Palatino Linotype" w:cs="Palatino Linotype"/>
          <w:sz w:val="22"/>
          <w:szCs w:val="22"/>
        </w:rPr>
        <w:t xml:space="preserve"> la parte </w:t>
      </w:r>
      <w:r w:rsidR="006C736C" w:rsidRPr="009C02E6">
        <w:rPr>
          <w:rFonts w:ascii="Palatino Linotype" w:eastAsia="Palatino Linotype" w:hAnsi="Palatino Linotype" w:cs="Palatino Linotype"/>
          <w:b/>
          <w:bCs/>
          <w:sz w:val="22"/>
          <w:szCs w:val="22"/>
        </w:rPr>
        <w:t>Recurrente</w:t>
      </w:r>
      <w:r w:rsidR="006C736C" w:rsidRPr="009C02E6">
        <w:rPr>
          <w:rFonts w:ascii="Palatino Linotype" w:eastAsia="Palatino Linotype" w:hAnsi="Palatino Linotype" w:cs="Palatino Linotype"/>
          <w:sz w:val="22"/>
          <w:szCs w:val="22"/>
        </w:rPr>
        <w:t xml:space="preserve"> interpuso el recurso de revisión a través de </w:t>
      </w:r>
      <w:r w:rsidR="006C736C" w:rsidRPr="009C02E6">
        <w:rPr>
          <w:rFonts w:ascii="Palatino Linotype" w:eastAsia="Palatino Linotype" w:hAnsi="Palatino Linotype" w:cs="Palatino Linotype"/>
          <w:b/>
          <w:bCs/>
          <w:sz w:val="22"/>
          <w:szCs w:val="22"/>
        </w:rPr>
        <w:t xml:space="preserve">SAIMEX, </w:t>
      </w:r>
      <w:r w:rsidR="006C736C" w:rsidRPr="009C02E6">
        <w:rPr>
          <w:rFonts w:ascii="Palatino Linotype" w:eastAsia="Palatino Linotype" w:hAnsi="Palatino Linotype" w:cs="Palatino Linotype"/>
          <w:sz w:val="22"/>
          <w:szCs w:val="22"/>
        </w:rPr>
        <w:t>en donde se manifestó de la siguiente manera:</w:t>
      </w:r>
    </w:p>
    <w:p w14:paraId="1AF85725" w14:textId="77777777" w:rsidR="00AC55F7" w:rsidRPr="009C02E6" w:rsidRDefault="006C736C">
      <w:pPr>
        <w:spacing w:before="240" w:after="240" w:line="360" w:lineRule="auto"/>
        <w:ind w:right="49"/>
        <w:jc w:val="both"/>
        <w:rPr>
          <w:rFonts w:ascii="Palatino Linotype" w:eastAsia="Palatino Linotype" w:hAnsi="Palatino Linotype" w:cs="Palatino Linotype"/>
          <w:b/>
          <w:bCs/>
          <w:sz w:val="22"/>
          <w:szCs w:val="22"/>
        </w:rPr>
      </w:pPr>
      <w:r w:rsidRPr="009C02E6">
        <w:rPr>
          <w:rFonts w:ascii="Palatino Linotype" w:eastAsia="Palatino Linotype" w:hAnsi="Palatino Linotype" w:cs="Palatino Linotype"/>
          <w:b/>
          <w:bCs/>
          <w:sz w:val="22"/>
          <w:szCs w:val="22"/>
        </w:rPr>
        <w:t xml:space="preserve">Acto impugnado: </w:t>
      </w:r>
    </w:p>
    <w:p w14:paraId="4433F557" w14:textId="5653FEFF" w:rsidR="00AC55F7" w:rsidRPr="009C02E6" w:rsidRDefault="006C736C" w:rsidP="003870EF">
      <w:pPr>
        <w:ind w:left="851" w:right="900"/>
        <w:jc w:val="both"/>
        <w:rPr>
          <w:rFonts w:ascii="Palatino Linotype" w:eastAsia="Palatino Linotype" w:hAnsi="Palatino Linotype" w:cs="Palatino Linotype"/>
          <w:i/>
          <w:iCs/>
          <w:sz w:val="22"/>
          <w:szCs w:val="22"/>
        </w:rPr>
      </w:pPr>
      <w:r w:rsidRPr="009C02E6">
        <w:rPr>
          <w:rFonts w:ascii="Palatino Linotype" w:eastAsia="Palatino Linotype" w:hAnsi="Palatino Linotype" w:cs="Palatino Linotype"/>
          <w:i/>
          <w:iCs/>
          <w:sz w:val="22"/>
          <w:szCs w:val="22"/>
        </w:rPr>
        <w:t>“</w:t>
      </w:r>
      <w:r w:rsidR="006F1708" w:rsidRPr="009C02E6">
        <w:rPr>
          <w:rFonts w:ascii="Palatino Linotype" w:eastAsia="Palatino Linotype" w:hAnsi="Palatino Linotype" w:cs="Palatino Linotype"/>
          <w:i/>
          <w:iCs/>
          <w:sz w:val="22"/>
          <w:szCs w:val="22"/>
        </w:rPr>
        <w:t xml:space="preserve">No entrega la información solicita la unidad de transparencia además de opacos se quiere hacer los chistosos en el link que mandan de informe no </w:t>
      </w:r>
      <w:proofErr w:type="spellStart"/>
      <w:r w:rsidR="006F1708" w:rsidRPr="009C02E6">
        <w:rPr>
          <w:rFonts w:ascii="Palatino Linotype" w:eastAsia="Palatino Linotype" w:hAnsi="Palatino Linotype" w:cs="Palatino Linotype"/>
          <w:i/>
          <w:iCs/>
          <w:sz w:val="22"/>
          <w:szCs w:val="22"/>
        </w:rPr>
        <w:t>esta</w:t>
      </w:r>
      <w:proofErr w:type="spellEnd"/>
      <w:r w:rsidR="006F1708" w:rsidRPr="009C02E6">
        <w:rPr>
          <w:rFonts w:ascii="Palatino Linotype" w:eastAsia="Palatino Linotype" w:hAnsi="Palatino Linotype" w:cs="Palatino Linotype"/>
          <w:i/>
          <w:iCs/>
          <w:sz w:val="22"/>
          <w:szCs w:val="22"/>
        </w:rPr>
        <w:t xml:space="preserve"> toda la información que se solicita ahí solo </w:t>
      </w:r>
      <w:proofErr w:type="spellStart"/>
      <w:r w:rsidR="006F1708" w:rsidRPr="009C02E6">
        <w:rPr>
          <w:rFonts w:ascii="Palatino Linotype" w:eastAsia="Palatino Linotype" w:hAnsi="Palatino Linotype" w:cs="Palatino Linotype"/>
          <w:i/>
          <w:iCs/>
          <w:sz w:val="22"/>
          <w:szCs w:val="22"/>
        </w:rPr>
        <w:t>esta</w:t>
      </w:r>
      <w:proofErr w:type="spellEnd"/>
      <w:r w:rsidR="006F1708" w:rsidRPr="009C02E6">
        <w:rPr>
          <w:rFonts w:ascii="Palatino Linotype" w:eastAsia="Palatino Linotype" w:hAnsi="Palatino Linotype" w:cs="Palatino Linotype"/>
          <w:i/>
          <w:iCs/>
          <w:sz w:val="22"/>
          <w:szCs w:val="22"/>
        </w:rPr>
        <w:t xml:space="preserve"> el número de recurso y se pide el expediente completo y no lo entregan lo ocultan se exige se entregue dicen que para que lo entrega si el </w:t>
      </w:r>
      <w:proofErr w:type="spellStart"/>
      <w:r w:rsidR="006F1708" w:rsidRPr="009C02E6">
        <w:rPr>
          <w:rFonts w:ascii="Palatino Linotype" w:eastAsia="Palatino Linotype" w:hAnsi="Palatino Linotype" w:cs="Palatino Linotype"/>
          <w:i/>
          <w:iCs/>
          <w:sz w:val="22"/>
          <w:szCs w:val="22"/>
        </w:rPr>
        <w:t>infoem</w:t>
      </w:r>
      <w:proofErr w:type="spellEnd"/>
      <w:r w:rsidR="006F1708" w:rsidRPr="009C02E6">
        <w:rPr>
          <w:rFonts w:ascii="Palatino Linotype" w:eastAsia="Palatino Linotype" w:hAnsi="Palatino Linotype" w:cs="Palatino Linotype"/>
          <w:i/>
          <w:iCs/>
          <w:sz w:val="22"/>
          <w:szCs w:val="22"/>
        </w:rPr>
        <w:t xml:space="preserve"> ya se va y no los obligara a entregar que además le dan dinero para que todo se los apruebe eso dice el Titular y Éramos y que decir de Cielito que dice que ella siempre los atedio así y no pasaba nada que no dieran nada que el </w:t>
      </w:r>
      <w:proofErr w:type="spellStart"/>
      <w:r w:rsidR="006F1708" w:rsidRPr="009C02E6">
        <w:rPr>
          <w:rFonts w:ascii="Palatino Linotype" w:eastAsia="Palatino Linotype" w:hAnsi="Palatino Linotype" w:cs="Palatino Linotype"/>
          <w:i/>
          <w:iCs/>
          <w:sz w:val="22"/>
          <w:szCs w:val="22"/>
        </w:rPr>
        <w:t>ifoem</w:t>
      </w:r>
      <w:proofErr w:type="spellEnd"/>
      <w:r w:rsidR="006F1708" w:rsidRPr="009C02E6">
        <w:rPr>
          <w:rFonts w:ascii="Palatino Linotype" w:eastAsia="Palatino Linotype" w:hAnsi="Palatino Linotype" w:cs="Palatino Linotype"/>
          <w:i/>
          <w:iCs/>
          <w:sz w:val="22"/>
          <w:szCs w:val="22"/>
        </w:rPr>
        <w:t xml:space="preserve"> es un corrupto también que no les puede hacer nada</w:t>
      </w:r>
      <w:r w:rsidRPr="009C02E6">
        <w:rPr>
          <w:rFonts w:ascii="Palatino Linotype" w:eastAsia="Palatino Linotype" w:hAnsi="Palatino Linotype" w:cs="Palatino Linotype"/>
          <w:i/>
          <w:iCs/>
          <w:sz w:val="22"/>
          <w:szCs w:val="22"/>
        </w:rPr>
        <w:t>” (sic)</w:t>
      </w:r>
    </w:p>
    <w:p w14:paraId="75BCDF63" w14:textId="77777777" w:rsidR="00A84419" w:rsidRPr="009C02E6" w:rsidRDefault="00A84419" w:rsidP="003870EF">
      <w:pPr>
        <w:ind w:left="851" w:right="900"/>
        <w:jc w:val="both"/>
        <w:rPr>
          <w:rFonts w:ascii="Palatino Linotype" w:eastAsia="Palatino Linotype" w:hAnsi="Palatino Linotype" w:cs="Palatino Linotype"/>
          <w:i/>
          <w:iCs/>
          <w:sz w:val="22"/>
          <w:szCs w:val="22"/>
        </w:rPr>
      </w:pPr>
    </w:p>
    <w:p w14:paraId="1857EEB6" w14:textId="77777777" w:rsidR="00AC55F7" w:rsidRPr="009C02E6" w:rsidRDefault="006C736C">
      <w:pPr>
        <w:spacing w:line="360" w:lineRule="auto"/>
        <w:jc w:val="both"/>
        <w:rPr>
          <w:rFonts w:ascii="Palatino Linotype" w:eastAsia="Palatino Linotype" w:hAnsi="Palatino Linotype" w:cs="Palatino Linotype"/>
          <w:sz w:val="22"/>
          <w:szCs w:val="22"/>
        </w:rPr>
      </w:pPr>
      <w:bookmarkStart w:id="4" w:name="_heading=h.30j0zll" w:colFirst="0" w:colLast="0"/>
      <w:bookmarkEnd w:id="4"/>
      <w:r w:rsidRPr="009C02E6">
        <w:rPr>
          <w:rFonts w:ascii="Palatino Linotype" w:eastAsia="Palatino Linotype" w:hAnsi="Palatino Linotype" w:cs="Palatino Linotype"/>
          <w:b/>
          <w:bCs/>
          <w:sz w:val="22"/>
          <w:szCs w:val="22"/>
        </w:rPr>
        <w:t>Y, Razones o motivos de inconformidad</w:t>
      </w:r>
      <w:r w:rsidRPr="009C02E6">
        <w:rPr>
          <w:rFonts w:ascii="Palatino Linotype" w:eastAsia="Palatino Linotype" w:hAnsi="Palatino Linotype" w:cs="Palatino Linotype"/>
          <w:sz w:val="22"/>
          <w:szCs w:val="22"/>
        </w:rPr>
        <w:t>:</w:t>
      </w:r>
    </w:p>
    <w:p w14:paraId="006D895F" w14:textId="7866D324" w:rsidR="00AC55F7" w:rsidRPr="009C02E6" w:rsidRDefault="006C736C">
      <w:pPr>
        <w:tabs>
          <w:tab w:val="left" w:pos="2745"/>
        </w:tabs>
        <w:spacing w:before="240" w:after="240"/>
        <w:ind w:left="851" w:right="900"/>
        <w:jc w:val="both"/>
        <w:rPr>
          <w:rFonts w:ascii="Palatino Linotype" w:eastAsia="Palatino Linotype" w:hAnsi="Palatino Linotype" w:cs="Palatino Linotype"/>
          <w:i/>
          <w:iCs/>
          <w:sz w:val="22"/>
          <w:szCs w:val="22"/>
        </w:rPr>
      </w:pPr>
      <w:r w:rsidRPr="009C02E6">
        <w:rPr>
          <w:rFonts w:ascii="Palatino Linotype" w:eastAsia="Palatino Linotype" w:hAnsi="Palatino Linotype" w:cs="Palatino Linotype"/>
          <w:i/>
          <w:iCs/>
          <w:sz w:val="22"/>
          <w:szCs w:val="22"/>
        </w:rPr>
        <w:t>“</w:t>
      </w:r>
      <w:r w:rsidR="006F1708" w:rsidRPr="009C02E6">
        <w:rPr>
          <w:rFonts w:ascii="Palatino Linotype" w:eastAsia="Palatino Linotype" w:hAnsi="Palatino Linotype" w:cs="Palatino Linotype"/>
          <w:i/>
          <w:iCs/>
          <w:sz w:val="22"/>
          <w:szCs w:val="22"/>
        </w:rPr>
        <w:t xml:space="preserve">No entrega la información solicita la unidad de transparencia además de opacos se quiere hacer los chistosos </w:t>
      </w:r>
      <w:r w:rsidR="006F1708" w:rsidRPr="009C02E6">
        <w:rPr>
          <w:rFonts w:ascii="Palatino Linotype" w:eastAsia="Palatino Linotype" w:hAnsi="Palatino Linotype" w:cs="Palatino Linotype"/>
          <w:b/>
          <w:i/>
          <w:iCs/>
          <w:sz w:val="22"/>
          <w:szCs w:val="22"/>
        </w:rPr>
        <w:t xml:space="preserve">en el link que mandan de informe no </w:t>
      </w:r>
      <w:proofErr w:type="spellStart"/>
      <w:r w:rsidR="006F1708" w:rsidRPr="009C02E6">
        <w:rPr>
          <w:rFonts w:ascii="Palatino Linotype" w:eastAsia="Palatino Linotype" w:hAnsi="Palatino Linotype" w:cs="Palatino Linotype"/>
          <w:b/>
          <w:i/>
          <w:iCs/>
          <w:sz w:val="22"/>
          <w:szCs w:val="22"/>
        </w:rPr>
        <w:t>esta</w:t>
      </w:r>
      <w:proofErr w:type="spellEnd"/>
      <w:r w:rsidR="006F1708" w:rsidRPr="009C02E6">
        <w:rPr>
          <w:rFonts w:ascii="Palatino Linotype" w:eastAsia="Palatino Linotype" w:hAnsi="Palatino Linotype" w:cs="Palatino Linotype"/>
          <w:b/>
          <w:i/>
          <w:iCs/>
          <w:sz w:val="22"/>
          <w:szCs w:val="22"/>
        </w:rPr>
        <w:t xml:space="preserve"> toda la información que se solicita </w:t>
      </w:r>
      <w:r w:rsidR="006F1708" w:rsidRPr="009C02E6">
        <w:rPr>
          <w:rFonts w:ascii="Palatino Linotype" w:eastAsia="Palatino Linotype" w:hAnsi="Palatino Linotype" w:cs="Palatino Linotype"/>
          <w:b/>
          <w:i/>
          <w:iCs/>
          <w:sz w:val="22"/>
          <w:szCs w:val="22"/>
          <w:u w:val="single"/>
        </w:rPr>
        <w:t xml:space="preserve">ahí solo </w:t>
      </w:r>
      <w:proofErr w:type="spellStart"/>
      <w:r w:rsidR="006F1708" w:rsidRPr="009C02E6">
        <w:rPr>
          <w:rFonts w:ascii="Palatino Linotype" w:eastAsia="Palatino Linotype" w:hAnsi="Palatino Linotype" w:cs="Palatino Linotype"/>
          <w:b/>
          <w:i/>
          <w:iCs/>
          <w:sz w:val="22"/>
          <w:szCs w:val="22"/>
          <w:u w:val="single"/>
        </w:rPr>
        <w:t>esta</w:t>
      </w:r>
      <w:proofErr w:type="spellEnd"/>
      <w:r w:rsidR="006F1708" w:rsidRPr="009C02E6">
        <w:rPr>
          <w:rFonts w:ascii="Palatino Linotype" w:eastAsia="Palatino Linotype" w:hAnsi="Palatino Linotype" w:cs="Palatino Linotype"/>
          <w:b/>
          <w:i/>
          <w:iCs/>
          <w:sz w:val="22"/>
          <w:szCs w:val="22"/>
          <w:u w:val="single"/>
        </w:rPr>
        <w:t xml:space="preserve"> el número de recurso</w:t>
      </w:r>
      <w:r w:rsidR="006F1708" w:rsidRPr="009C02E6">
        <w:rPr>
          <w:rFonts w:ascii="Palatino Linotype" w:eastAsia="Palatino Linotype" w:hAnsi="Palatino Linotype" w:cs="Palatino Linotype"/>
          <w:b/>
          <w:i/>
          <w:iCs/>
          <w:sz w:val="22"/>
          <w:szCs w:val="22"/>
        </w:rPr>
        <w:t xml:space="preserve"> y se pide el expediente completo y no lo entregan</w:t>
      </w:r>
      <w:r w:rsidR="006F1708" w:rsidRPr="009C02E6">
        <w:rPr>
          <w:rFonts w:ascii="Palatino Linotype" w:eastAsia="Palatino Linotype" w:hAnsi="Palatino Linotype" w:cs="Palatino Linotype"/>
          <w:i/>
          <w:iCs/>
          <w:sz w:val="22"/>
          <w:szCs w:val="22"/>
        </w:rPr>
        <w:t xml:space="preserve"> lo ocultan se exige se entregue dicen que para que lo entrega si el </w:t>
      </w:r>
      <w:proofErr w:type="spellStart"/>
      <w:r w:rsidR="006F1708" w:rsidRPr="009C02E6">
        <w:rPr>
          <w:rFonts w:ascii="Palatino Linotype" w:eastAsia="Palatino Linotype" w:hAnsi="Palatino Linotype" w:cs="Palatino Linotype"/>
          <w:i/>
          <w:iCs/>
          <w:sz w:val="22"/>
          <w:szCs w:val="22"/>
        </w:rPr>
        <w:t>infoem</w:t>
      </w:r>
      <w:proofErr w:type="spellEnd"/>
      <w:r w:rsidR="006F1708" w:rsidRPr="009C02E6">
        <w:rPr>
          <w:rFonts w:ascii="Palatino Linotype" w:eastAsia="Palatino Linotype" w:hAnsi="Palatino Linotype" w:cs="Palatino Linotype"/>
          <w:i/>
          <w:iCs/>
          <w:sz w:val="22"/>
          <w:szCs w:val="22"/>
        </w:rPr>
        <w:t xml:space="preserve"> ya se va y no los obligara a entregar que además le dan dinero para que todo se los apruebe eso dice el Titular y Éramos y que decir de Cielito que dice que ella siempre los atedio así y no pasaba nada que no dieran nada que el </w:t>
      </w:r>
      <w:proofErr w:type="spellStart"/>
      <w:r w:rsidR="006F1708" w:rsidRPr="009C02E6">
        <w:rPr>
          <w:rFonts w:ascii="Palatino Linotype" w:eastAsia="Palatino Linotype" w:hAnsi="Palatino Linotype" w:cs="Palatino Linotype"/>
          <w:i/>
          <w:iCs/>
          <w:sz w:val="22"/>
          <w:szCs w:val="22"/>
        </w:rPr>
        <w:t>ifoem</w:t>
      </w:r>
      <w:proofErr w:type="spellEnd"/>
      <w:r w:rsidR="006F1708" w:rsidRPr="009C02E6">
        <w:rPr>
          <w:rFonts w:ascii="Palatino Linotype" w:eastAsia="Palatino Linotype" w:hAnsi="Palatino Linotype" w:cs="Palatino Linotype"/>
          <w:i/>
          <w:iCs/>
          <w:sz w:val="22"/>
          <w:szCs w:val="22"/>
        </w:rPr>
        <w:t xml:space="preserve"> es un corrupto también que no les puede hacer nada</w:t>
      </w:r>
      <w:r w:rsidRPr="009C02E6">
        <w:rPr>
          <w:rFonts w:ascii="Palatino Linotype" w:eastAsia="Palatino Linotype" w:hAnsi="Palatino Linotype" w:cs="Palatino Linotype"/>
          <w:i/>
          <w:iCs/>
          <w:sz w:val="22"/>
          <w:szCs w:val="22"/>
        </w:rPr>
        <w:t>” (sic)</w:t>
      </w:r>
    </w:p>
    <w:p w14:paraId="053BBF68" w14:textId="4A196ED6" w:rsidR="00AC55F7" w:rsidRPr="009C02E6" w:rsidRDefault="00C14259">
      <w:pPr>
        <w:spacing w:line="360" w:lineRule="auto"/>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b/>
          <w:bCs/>
          <w:sz w:val="22"/>
          <w:szCs w:val="22"/>
        </w:rPr>
        <w:t>5</w:t>
      </w:r>
      <w:r w:rsidR="006C736C" w:rsidRPr="009C02E6">
        <w:rPr>
          <w:rFonts w:ascii="Palatino Linotype" w:eastAsia="Palatino Linotype" w:hAnsi="Palatino Linotype" w:cs="Palatino Linotype"/>
          <w:b/>
          <w:bCs/>
          <w:sz w:val="22"/>
          <w:szCs w:val="22"/>
        </w:rPr>
        <w:t xml:space="preserve">. Turno. </w:t>
      </w:r>
      <w:r w:rsidR="006C736C" w:rsidRPr="009C02E6">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Comisionada </w:t>
      </w:r>
      <w:r w:rsidR="006C736C" w:rsidRPr="009C02E6">
        <w:rPr>
          <w:rFonts w:ascii="Palatino Linotype" w:eastAsia="Palatino Linotype" w:hAnsi="Palatino Linotype" w:cs="Palatino Linotype"/>
          <w:b/>
          <w:bCs/>
          <w:sz w:val="22"/>
          <w:szCs w:val="22"/>
        </w:rPr>
        <w:t xml:space="preserve">Guadalupe Ramírez Peña, </w:t>
      </w:r>
      <w:r w:rsidR="006C736C" w:rsidRPr="009C02E6">
        <w:rPr>
          <w:rFonts w:ascii="Palatino Linotype" w:eastAsia="Palatino Linotype" w:hAnsi="Palatino Linotype" w:cs="Palatino Linotype"/>
          <w:sz w:val="22"/>
          <w:szCs w:val="22"/>
        </w:rPr>
        <w:t xml:space="preserve">a efecto de que analizara sobre su admisión o su </w:t>
      </w:r>
      <w:proofErr w:type="spellStart"/>
      <w:r w:rsidR="006C736C" w:rsidRPr="009C02E6">
        <w:rPr>
          <w:rFonts w:ascii="Palatino Linotype" w:eastAsia="Palatino Linotype" w:hAnsi="Palatino Linotype" w:cs="Palatino Linotype"/>
          <w:sz w:val="22"/>
          <w:szCs w:val="22"/>
        </w:rPr>
        <w:t>desechamiento</w:t>
      </w:r>
      <w:proofErr w:type="spellEnd"/>
      <w:r w:rsidR="006C736C" w:rsidRPr="009C02E6">
        <w:rPr>
          <w:rFonts w:ascii="Palatino Linotype" w:eastAsia="Palatino Linotype" w:hAnsi="Palatino Linotype" w:cs="Palatino Linotype"/>
          <w:sz w:val="22"/>
          <w:szCs w:val="22"/>
        </w:rPr>
        <w:t>.</w:t>
      </w:r>
    </w:p>
    <w:p w14:paraId="602AAD9B" w14:textId="2871A59C" w:rsidR="00AC55F7" w:rsidRPr="009C02E6" w:rsidRDefault="00C14259">
      <w:pPr>
        <w:spacing w:before="240" w:after="240" w:line="360" w:lineRule="auto"/>
        <w:jc w:val="both"/>
        <w:rPr>
          <w:rFonts w:ascii="Palatino Linotype" w:eastAsia="Palatino Linotype" w:hAnsi="Palatino Linotype" w:cs="Palatino Linotype"/>
          <w:b/>
          <w:bCs/>
          <w:sz w:val="22"/>
          <w:szCs w:val="22"/>
        </w:rPr>
      </w:pPr>
      <w:r w:rsidRPr="009C02E6">
        <w:rPr>
          <w:rFonts w:ascii="Palatino Linotype" w:eastAsia="Palatino Linotype" w:hAnsi="Palatino Linotype" w:cs="Palatino Linotype"/>
          <w:b/>
          <w:bCs/>
          <w:sz w:val="22"/>
          <w:szCs w:val="22"/>
        </w:rPr>
        <w:t>6</w:t>
      </w:r>
      <w:r w:rsidR="006C736C" w:rsidRPr="009C02E6">
        <w:rPr>
          <w:rFonts w:ascii="Palatino Linotype" w:eastAsia="Palatino Linotype" w:hAnsi="Palatino Linotype" w:cs="Palatino Linotype"/>
          <w:b/>
          <w:bCs/>
          <w:sz w:val="22"/>
          <w:szCs w:val="22"/>
        </w:rPr>
        <w:t>. Admisión del Recurso de revisión.</w:t>
      </w:r>
      <w:r w:rsidR="006C736C" w:rsidRPr="009C02E6">
        <w:rPr>
          <w:rFonts w:ascii="Palatino Linotype" w:eastAsia="Palatino Linotype" w:hAnsi="Palatino Linotype" w:cs="Palatino Linotype"/>
          <w:sz w:val="22"/>
          <w:szCs w:val="22"/>
        </w:rPr>
        <w:t xml:space="preserve"> El</w:t>
      </w:r>
      <w:r w:rsidR="006C736C" w:rsidRPr="009C02E6">
        <w:rPr>
          <w:rFonts w:ascii="Palatino Linotype" w:eastAsia="Palatino Linotype" w:hAnsi="Palatino Linotype" w:cs="Palatino Linotype"/>
          <w:b/>
          <w:bCs/>
          <w:sz w:val="22"/>
          <w:szCs w:val="22"/>
        </w:rPr>
        <w:t xml:space="preserve"> </w:t>
      </w:r>
      <w:r w:rsidR="00846F4E" w:rsidRPr="009C02E6">
        <w:rPr>
          <w:rFonts w:ascii="Palatino Linotype" w:eastAsia="Palatino Linotype" w:hAnsi="Palatino Linotype" w:cs="Palatino Linotype"/>
          <w:b/>
          <w:bCs/>
          <w:sz w:val="22"/>
          <w:szCs w:val="22"/>
        </w:rPr>
        <w:t xml:space="preserve">veintitrés </w:t>
      </w:r>
      <w:r w:rsidR="00D77A0E" w:rsidRPr="009C02E6">
        <w:rPr>
          <w:rFonts w:ascii="Palatino Linotype" w:eastAsia="Palatino Linotype" w:hAnsi="Palatino Linotype" w:cs="Palatino Linotype"/>
          <w:b/>
          <w:bCs/>
          <w:sz w:val="22"/>
          <w:szCs w:val="22"/>
        </w:rPr>
        <w:t xml:space="preserve">de </w:t>
      </w:r>
      <w:r w:rsidR="00846F4E" w:rsidRPr="009C02E6">
        <w:rPr>
          <w:rFonts w:ascii="Palatino Linotype" w:eastAsia="Palatino Linotype" w:hAnsi="Palatino Linotype" w:cs="Palatino Linotype"/>
          <w:b/>
          <w:bCs/>
          <w:sz w:val="22"/>
          <w:szCs w:val="22"/>
        </w:rPr>
        <w:t>enero de dos mil veintiséis</w:t>
      </w:r>
      <w:r w:rsidR="006C736C" w:rsidRPr="009C02E6">
        <w:rPr>
          <w:rFonts w:ascii="Palatino Linotype" w:eastAsia="Palatino Linotype" w:hAnsi="Palatino Linotype" w:cs="Palatino Linotype"/>
          <w:b/>
          <w:bCs/>
          <w:sz w:val="22"/>
          <w:szCs w:val="22"/>
        </w:rPr>
        <w:t xml:space="preserve">, </w:t>
      </w:r>
      <w:r w:rsidR="006C736C" w:rsidRPr="009C02E6">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006C736C" w:rsidRPr="009C02E6">
        <w:rPr>
          <w:rFonts w:ascii="Palatino Linotype" w:eastAsia="Palatino Linotype" w:hAnsi="Palatino Linotype" w:cs="Palatino Linotype"/>
          <w:b/>
          <w:bCs/>
          <w:sz w:val="22"/>
          <w:szCs w:val="22"/>
        </w:rPr>
        <w:t xml:space="preserve">Sujeto Obligado </w:t>
      </w:r>
      <w:r w:rsidR="006C736C" w:rsidRPr="009C02E6">
        <w:rPr>
          <w:rFonts w:ascii="Palatino Linotype" w:eastAsia="Palatino Linotype" w:hAnsi="Palatino Linotype" w:cs="Palatino Linotype"/>
          <w:sz w:val="22"/>
          <w:szCs w:val="22"/>
        </w:rPr>
        <w:t>presentara su informe justificado.</w:t>
      </w:r>
    </w:p>
    <w:p w14:paraId="6052FAD1" w14:textId="6142127D" w:rsidR="00AC55F7" w:rsidRPr="009C02E6" w:rsidRDefault="00C14259">
      <w:pPr>
        <w:spacing w:before="240" w:after="240" w:line="360" w:lineRule="auto"/>
        <w:jc w:val="both"/>
        <w:rPr>
          <w:rFonts w:ascii="Palatino Linotype" w:eastAsia="Palatino Linotype" w:hAnsi="Palatino Linotype" w:cs="Palatino Linotype"/>
          <w:sz w:val="22"/>
          <w:szCs w:val="22"/>
        </w:rPr>
      </w:pPr>
      <w:bookmarkStart w:id="5" w:name="_heading=h.2s8eyo1" w:colFirst="0" w:colLast="0"/>
      <w:bookmarkEnd w:id="5"/>
      <w:r w:rsidRPr="009C02E6">
        <w:rPr>
          <w:rFonts w:ascii="Palatino Linotype" w:eastAsia="Palatino Linotype" w:hAnsi="Palatino Linotype" w:cs="Palatino Linotype"/>
          <w:b/>
          <w:bCs/>
          <w:sz w:val="22"/>
          <w:szCs w:val="22"/>
        </w:rPr>
        <w:t>7</w:t>
      </w:r>
      <w:r w:rsidR="006C736C" w:rsidRPr="009C02E6">
        <w:rPr>
          <w:rFonts w:ascii="Palatino Linotype" w:eastAsia="Palatino Linotype" w:hAnsi="Palatino Linotype" w:cs="Palatino Linotype"/>
          <w:b/>
          <w:bCs/>
          <w:sz w:val="22"/>
          <w:szCs w:val="22"/>
        </w:rPr>
        <w:t>. Manifestaciones</w:t>
      </w:r>
      <w:r w:rsidR="006C736C" w:rsidRPr="009C02E6">
        <w:rPr>
          <w:rFonts w:ascii="Palatino Linotype" w:eastAsia="Palatino Linotype" w:hAnsi="Palatino Linotype" w:cs="Palatino Linotype"/>
          <w:sz w:val="22"/>
          <w:szCs w:val="22"/>
        </w:rPr>
        <w:t xml:space="preserve">. El </w:t>
      </w:r>
      <w:r w:rsidR="00846F4E" w:rsidRPr="009C02E6">
        <w:rPr>
          <w:rFonts w:ascii="Palatino Linotype" w:eastAsia="Palatino Linotype" w:hAnsi="Palatino Linotype" w:cs="Palatino Linotype"/>
          <w:b/>
          <w:bCs/>
          <w:sz w:val="22"/>
          <w:szCs w:val="22"/>
        </w:rPr>
        <w:t>cuatro de febrero</w:t>
      </w:r>
      <w:r w:rsidR="00687DBD" w:rsidRPr="009C02E6">
        <w:rPr>
          <w:rFonts w:ascii="Palatino Linotype" w:eastAsia="Palatino Linotype" w:hAnsi="Palatino Linotype" w:cs="Palatino Linotype"/>
          <w:b/>
          <w:bCs/>
          <w:sz w:val="22"/>
          <w:szCs w:val="22"/>
        </w:rPr>
        <w:t xml:space="preserve"> </w:t>
      </w:r>
      <w:r w:rsidR="006C736C" w:rsidRPr="009C02E6">
        <w:rPr>
          <w:rFonts w:ascii="Palatino Linotype" w:eastAsia="Palatino Linotype" w:hAnsi="Palatino Linotype" w:cs="Palatino Linotype"/>
          <w:b/>
          <w:bCs/>
          <w:sz w:val="22"/>
          <w:szCs w:val="22"/>
        </w:rPr>
        <w:t>de</w:t>
      </w:r>
      <w:r w:rsidR="006C736C" w:rsidRPr="009C02E6">
        <w:rPr>
          <w:rFonts w:ascii="Palatino Linotype" w:eastAsia="Palatino Linotype" w:hAnsi="Palatino Linotype" w:cs="Palatino Linotype"/>
          <w:sz w:val="22"/>
          <w:szCs w:val="22"/>
        </w:rPr>
        <w:t xml:space="preserve"> </w:t>
      </w:r>
      <w:r w:rsidR="006C736C" w:rsidRPr="009C02E6">
        <w:rPr>
          <w:rFonts w:ascii="Palatino Linotype" w:eastAsia="Palatino Linotype" w:hAnsi="Palatino Linotype" w:cs="Palatino Linotype"/>
          <w:b/>
          <w:bCs/>
          <w:sz w:val="22"/>
          <w:szCs w:val="22"/>
        </w:rPr>
        <w:t>dos mil veinti</w:t>
      </w:r>
      <w:r w:rsidRPr="009C02E6">
        <w:rPr>
          <w:rFonts w:ascii="Palatino Linotype" w:eastAsia="Palatino Linotype" w:hAnsi="Palatino Linotype" w:cs="Palatino Linotype"/>
          <w:b/>
          <w:bCs/>
          <w:sz w:val="22"/>
          <w:szCs w:val="22"/>
        </w:rPr>
        <w:t>séis</w:t>
      </w:r>
      <w:r w:rsidR="006C736C" w:rsidRPr="009C02E6">
        <w:rPr>
          <w:rFonts w:ascii="Palatino Linotype" w:eastAsia="Palatino Linotype" w:hAnsi="Palatino Linotype" w:cs="Palatino Linotype"/>
          <w:sz w:val="22"/>
          <w:szCs w:val="22"/>
        </w:rPr>
        <w:t xml:space="preserve">, el </w:t>
      </w:r>
      <w:r w:rsidR="006C736C" w:rsidRPr="009C02E6">
        <w:rPr>
          <w:rFonts w:ascii="Palatino Linotype" w:eastAsia="Palatino Linotype" w:hAnsi="Palatino Linotype" w:cs="Palatino Linotype"/>
          <w:b/>
          <w:bCs/>
          <w:sz w:val="22"/>
          <w:szCs w:val="22"/>
        </w:rPr>
        <w:t>Sujeto Obligado</w:t>
      </w:r>
      <w:r w:rsidR="00687DBD" w:rsidRPr="009C02E6">
        <w:rPr>
          <w:rFonts w:ascii="Palatino Linotype" w:eastAsia="Palatino Linotype" w:hAnsi="Palatino Linotype" w:cs="Palatino Linotype"/>
          <w:sz w:val="22"/>
          <w:szCs w:val="22"/>
        </w:rPr>
        <w:t xml:space="preserve"> remitió, a través del SAIMEX el e</w:t>
      </w:r>
      <w:r w:rsidR="006C736C" w:rsidRPr="009C02E6">
        <w:rPr>
          <w:rFonts w:ascii="Palatino Linotype" w:eastAsia="Palatino Linotype" w:hAnsi="Palatino Linotype" w:cs="Palatino Linotype"/>
          <w:sz w:val="22"/>
          <w:szCs w:val="22"/>
        </w:rPr>
        <w:t>scrito mediante el cual el titular</w:t>
      </w:r>
      <w:r w:rsidR="00687DBD" w:rsidRPr="009C02E6">
        <w:rPr>
          <w:rFonts w:ascii="Palatino Linotype" w:eastAsia="Palatino Linotype" w:hAnsi="Palatino Linotype" w:cs="Palatino Linotype"/>
          <w:sz w:val="22"/>
          <w:szCs w:val="22"/>
        </w:rPr>
        <w:t xml:space="preserve"> de la Unidad de Transparencia </w:t>
      </w:r>
      <w:r w:rsidR="006C736C" w:rsidRPr="009C02E6">
        <w:rPr>
          <w:rFonts w:ascii="Palatino Linotype" w:eastAsia="Palatino Linotype" w:hAnsi="Palatino Linotype" w:cs="Palatino Linotype"/>
          <w:sz w:val="22"/>
          <w:szCs w:val="22"/>
        </w:rPr>
        <w:t>ratificó la respuesta proporcionada en primera instancia.</w:t>
      </w:r>
    </w:p>
    <w:p w14:paraId="6A6D06E7" w14:textId="77777777" w:rsidR="00AC55F7" w:rsidRPr="009C02E6" w:rsidRDefault="006C736C">
      <w:pPr>
        <w:spacing w:before="240" w:after="240" w:line="360" w:lineRule="auto"/>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Una vez analizada la información, se hizo del conocimiento de la persona solicitante a efecto de que manifestara lo que a su derecho estimara conveniente, siendo omisa en ejercer dicha prerrogativa.</w:t>
      </w:r>
    </w:p>
    <w:p w14:paraId="7341545A" w14:textId="113E936A" w:rsidR="00290DEF" w:rsidRPr="009C02E6" w:rsidRDefault="00276ACF" w:rsidP="00846F4E">
      <w:pPr>
        <w:spacing w:before="240" w:after="240" w:line="360" w:lineRule="auto"/>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b/>
          <w:sz w:val="22"/>
          <w:szCs w:val="22"/>
        </w:rPr>
        <w:t xml:space="preserve">8. </w:t>
      </w:r>
      <w:r w:rsidR="00290DEF" w:rsidRPr="009C02E6">
        <w:rPr>
          <w:rFonts w:ascii="Palatino Linotype" w:eastAsia="Palatino Linotype" w:hAnsi="Palatino Linotype" w:cs="Palatino Linotype"/>
          <w:b/>
          <w:bCs/>
          <w:sz w:val="22"/>
          <w:szCs w:val="22"/>
        </w:rPr>
        <w:t xml:space="preserve">Cierre de instrucción. </w:t>
      </w:r>
      <w:r w:rsidR="00290DEF" w:rsidRPr="009C02E6">
        <w:rPr>
          <w:rFonts w:ascii="Palatino Linotype" w:eastAsia="Palatino Linotype" w:hAnsi="Palatino Linotype" w:cs="Palatino Linotype"/>
          <w:sz w:val="22"/>
          <w:szCs w:val="22"/>
        </w:rPr>
        <w:t>Una vez transcurrido el periodo otorgado a las partes para realizar sus manifestaciones y no habiendo documentos que integrar al expediente, el</w:t>
      </w:r>
      <w:r w:rsidR="00846F4E" w:rsidRPr="009C02E6">
        <w:rPr>
          <w:rFonts w:ascii="Palatino Linotype" w:eastAsia="Palatino Linotype" w:hAnsi="Palatino Linotype" w:cs="Palatino Linotype"/>
          <w:b/>
          <w:bCs/>
          <w:sz w:val="22"/>
          <w:szCs w:val="22"/>
        </w:rPr>
        <w:t xml:space="preserve"> diecinueve</w:t>
      </w:r>
      <w:r w:rsidR="005A0085" w:rsidRPr="009C02E6">
        <w:rPr>
          <w:rFonts w:ascii="Palatino Linotype" w:eastAsia="Palatino Linotype" w:hAnsi="Palatino Linotype" w:cs="Palatino Linotype"/>
          <w:b/>
          <w:bCs/>
          <w:sz w:val="22"/>
          <w:szCs w:val="22"/>
        </w:rPr>
        <w:t xml:space="preserve"> de febrero de dos mil veintiséis</w:t>
      </w:r>
      <w:r w:rsidR="00290DEF" w:rsidRPr="009C02E6">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37ACC9F3" w14:textId="14F5D9A4" w:rsidR="00025502" w:rsidRPr="009C02E6" w:rsidRDefault="006C736C">
      <w:pPr>
        <w:spacing w:before="240" w:after="240" w:line="360" w:lineRule="auto"/>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7ACC4FDB" w14:textId="77777777" w:rsidR="00AC55F7" w:rsidRPr="009C02E6" w:rsidRDefault="006C736C">
      <w:pPr>
        <w:widowControl w:val="0"/>
        <w:spacing w:before="240" w:after="240" w:line="360" w:lineRule="auto"/>
        <w:jc w:val="center"/>
        <w:rPr>
          <w:rFonts w:ascii="Palatino Linotype" w:eastAsia="Palatino Linotype" w:hAnsi="Palatino Linotype" w:cs="Palatino Linotype"/>
          <w:b/>
          <w:bCs/>
          <w:sz w:val="22"/>
          <w:szCs w:val="22"/>
        </w:rPr>
      </w:pPr>
      <w:r w:rsidRPr="009C02E6">
        <w:rPr>
          <w:rFonts w:ascii="Palatino Linotype" w:eastAsia="Palatino Linotype" w:hAnsi="Palatino Linotype" w:cs="Palatino Linotype"/>
          <w:b/>
          <w:bCs/>
          <w:sz w:val="22"/>
          <w:szCs w:val="22"/>
        </w:rPr>
        <w:t>II. C O N S I D E R A N D O S</w:t>
      </w:r>
    </w:p>
    <w:p w14:paraId="0B2089EF" w14:textId="77777777" w:rsidR="00AC55F7" w:rsidRPr="009C02E6" w:rsidRDefault="006C736C">
      <w:pPr>
        <w:spacing w:before="240" w:after="240" w:line="360" w:lineRule="auto"/>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b/>
          <w:bCs/>
          <w:sz w:val="22"/>
          <w:szCs w:val="22"/>
        </w:rPr>
        <w:t>Primero. Competencia.</w:t>
      </w:r>
      <w:r w:rsidRPr="009C02E6">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7A585596" w14:textId="77777777" w:rsidR="00AC55F7" w:rsidRPr="009C02E6" w:rsidRDefault="006C736C">
      <w:pPr>
        <w:spacing w:before="240" w:after="240" w:line="360" w:lineRule="auto"/>
        <w:jc w:val="both"/>
        <w:rPr>
          <w:rFonts w:ascii="Palatino Linotype" w:eastAsia="Palatino Linotype" w:hAnsi="Palatino Linotype" w:cs="Palatino Linotype"/>
          <w:sz w:val="22"/>
          <w:szCs w:val="22"/>
        </w:rPr>
      </w:pPr>
      <w:bookmarkStart w:id="6" w:name="_heading=h.tyjcwt" w:colFirst="0" w:colLast="0"/>
      <w:bookmarkEnd w:id="6"/>
      <w:r w:rsidRPr="009C02E6">
        <w:rPr>
          <w:rFonts w:ascii="Palatino Linotype" w:eastAsia="Palatino Linotype" w:hAnsi="Palatino Linotype" w:cs="Palatino Linotype"/>
          <w:b/>
          <w:bCs/>
          <w:sz w:val="22"/>
          <w:szCs w:val="22"/>
        </w:rPr>
        <w:t>Segundo. Oportunidad y Procedibilidad del Recurso de Revisión</w:t>
      </w:r>
      <w:r w:rsidRPr="009C02E6">
        <w:rPr>
          <w:rFonts w:ascii="Palatino Linotype" w:eastAsia="Palatino Linotype" w:hAnsi="Palatino Linotype" w:cs="Palatino Linotype"/>
          <w:sz w:val="22"/>
          <w:szCs w:val="22"/>
        </w:rPr>
        <w:t>. 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29D84B70" w14:textId="16B763D6" w:rsidR="00AC55F7" w:rsidRPr="009C02E6" w:rsidRDefault="006C736C">
      <w:pPr>
        <w:spacing w:before="240" w:after="240" w:line="360" w:lineRule="auto"/>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toda vez que el </w:t>
      </w:r>
      <w:r w:rsidRPr="009C02E6">
        <w:rPr>
          <w:rFonts w:ascii="Palatino Linotype" w:eastAsia="Palatino Linotype" w:hAnsi="Palatino Linotype" w:cs="Palatino Linotype"/>
          <w:b/>
          <w:bCs/>
          <w:sz w:val="22"/>
          <w:szCs w:val="22"/>
        </w:rPr>
        <w:t xml:space="preserve">Sujeto Obligado </w:t>
      </w:r>
      <w:r w:rsidRPr="009C02E6">
        <w:rPr>
          <w:rFonts w:ascii="Palatino Linotype" w:eastAsia="Palatino Linotype" w:hAnsi="Palatino Linotype" w:cs="Palatino Linotype"/>
          <w:sz w:val="22"/>
          <w:szCs w:val="22"/>
        </w:rPr>
        <w:t xml:space="preserve">remitió la respuesta a la solicitud de información el día </w:t>
      </w:r>
      <w:r w:rsidR="00846F4E" w:rsidRPr="009C02E6">
        <w:rPr>
          <w:rFonts w:ascii="Palatino Linotype" w:eastAsia="Palatino Linotype" w:hAnsi="Palatino Linotype" w:cs="Palatino Linotype"/>
          <w:b/>
          <w:bCs/>
          <w:sz w:val="22"/>
          <w:szCs w:val="22"/>
        </w:rPr>
        <w:t>once</w:t>
      </w:r>
      <w:r w:rsidR="00CF47D2" w:rsidRPr="009C02E6">
        <w:rPr>
          <w:rFonts w:ascii="Palatino Linotype" w:eastAsia="Palatino Linotype" w:hAnsi="Palatino Linotype" w:cs="Palatino Linotype"/>
          <w:b/>
          <w:bCs/>
          <w:sz w:val="22"/>
          <w:szCs w:val="22"/>
        </w:rPr>
        <w:t xml:space="preserve"> de diciembre</w:t>
      </w:r>
      <w:r w:rsidRPr="009C02E6">
        <w:rPr>
          <w:rFonts w:ascii="Palatino Linotype" w:eastAsia="Palatino Linotype" w:hAnsi="Palatino Linotype" w:cs="Palatino Linotype"/>
          <w:b/>
          <w:bCs/>
          <w:sz w:val="22"/>
          <w:szCs w:val="22"/>
        </w:rPr>
        <w:t xml:space="preserve"> de dos mil veinticinco, </w:t>
      </w:r>
      <w:r w:rsidRPr="009C02E6">
        <w:rPr>
          <w:rFonts w:ascii="Palatino Linotype" w:eastAsia="Palatino Linotype" w:hAnsi="Palatino Linotype" w:cs="Palatino Linotype"/>
          <w:sz w:val="22"/>
          <w:szCs w:val="22"/>
        </w:rPr>
        <w:t xml:space="preserve">mientras que el recurso de revisión interpuesto por la parte </w:t>
      </w:r>
      <w:r w:rsidRPr="009C02E6">
        <w:rPr>
          <w:rFonts w:ascii="Palatino Linotype" w:eastAsia="Palatino Linotype" w:hAnsi="Palatino Linotype" w:cs="Palatino Linotype"/>
          <w:b/>
          <w:bCs/>
          <w:sz w:val="22"/>
          <w:szCs w:val="22"/>
        </w:rPr>
        <w:t xml:space="preserve">Recurrente, </w:t>
      </w:r>
      <w:r w:rsidRPr="009C02E6">
        <w:rPr>
          <w:rFonts w:ascii="Palatino Linotype" w:eastAsia="Palatino Linotype" w:hAnsi="Palatino Linotype" w:cs="Palatino Linotype"/>
          <w:sz w:val="22"/>
          <w:szCs w:val="22"/>
        </w:rPr>
        <w:t>se tuvo por presentado el día</w:t>
      </w:r>
      <w:r w:rsidRPr="009C02E6">
        <w:rPr>
          <w:rFonts w:ascii="Palatino Linotype" w:eastAsia="Palatino Linotype" w:hAnsi="Palatino Linotype" w:cs="Palatino Linotype"/>
          <w:b/>
          <w:bCs/>
          <w:sz w:val="22"/>
          <w:szCs w:val="22"/>
        </w:rPr>
        <w:t xml:space="preserve"> </w:t>
      </w:r>
      <w:r w:rsidR="00846F4E" w:rsidRPr="009C02E6">
        <w:rPr>
          <w:rFonts w:ascii="Palatino Linotype" w:eastAsia="Palatino Linotype" w:hAnsi="Palatino Linotype" w:cs="Palatino Linotype"/>
          <w:b/>
          <w:bCs/>
          <w:sz w:val="22"/>
          <w:szCs w:val="22"/>
        </w:rPr>
        <w:t xml:space="preserve">diecinueve de </w:t>
      </w:r>
      <w:r w:rsidR="001E0EB6" w:rsidRPr="009C02E6">
        <w:rPr>
          <w:rFonts w:ascii="Palatino Linotype" w:eastAsia="Palatino Linotype" w:hAnsi="Palatino Linotype" w:cs="Palatino Linotype"/>
          <w:b/>
          <w:bCs/>
          <w:sz w:val="22"/>
          <w:szCs w:val="22"/>
        </w:rPr>
        <w:t>enero</w:t>
      </w:r>
      <w:r w:rsidR="00CF47D2" w:rsidRPr="009C02E6">
        <w:rPr>
          <w:rFonts w:ascii="Palatino Linotype" w:eastAsia="Palatino Linotype" w:hAnsi="Palatino Linotype" w:cs="Palatino Linotype"/>
          <w:b/>
          <w:bCs/>
          <w:sz w:val="22"/>
          <w:szCs w:val="22"/>
        </w:rPr>
        <w:t xml:space="preserve"> </w:t>
      </w:r>
      <w:r w:rsidRPr="009C02E6">
        <w:rPr>
          <w:rFonts w:ascii="Palatino Linotype" w:eastAsia="Palatino Linotype" w:hAnsi="Palatino Linotype" w:cs="Palatino Linotype"/>
          <w:b/>
          <w:bCs/>
          <w:sz w:val="22"/>
          <w:szCs w:val="22"/>
        </w:rPr>
        <w:t xml:space="preserve">de dos mil </w:t>
      </w:r>
      <w:r w:rsidR="001E0EB6" w:rsidRPr="009C02E6">
        <w:rPr>
          <w:rFonts w:ascii="Palatino Linotype" w:eastAsia="Palatino Linotype" w:hAnsi="Palatino Linotype" w:cs="Palatino Linotype"/>
          <w:b/>
          <w:bCs/>
          <w:sz w:val="22"/>
          <w:szCs w:val="22"/>
        </w:rPr>
        <w:t>veintiséis</w:t>
      </w:r>
      <w:r w:rsidRPr="009C02E6">
        <w:rPr>
          <w:rFonts w:ascii="Palatino Linotype" w:eastAsia="Palatino Linotype" w:hAnsi="Palatino Linotype" w:cs="Palatino Linotype"/>
          <w:b/>
          <w:bCs/>
          <w:sz w:val="22"/>
          <w:szCs w:val="22"/>
        </w:rPr>
        <w:t xml:space="preserve">, </w:t>
      </w:r>
      <w:r w:rsidRPr="009C02E6">
        <w:rPr>
          <w:rFonts w:ascii="Palatino Linotype" w:eastAsia="Palatino Linotype" w:hAnsi="Palatino Linotype" w:cs="Palatino Linotype"/>
          <w:sz w:val="22"/>
          <w:szCs w:val="22"/>
        </w:rPr>
        <w:t xml:space="preserve">esto es, al </w:t>
      </w:r>
      <w:r w:rsidR="001E0EB6" w:rsidRPr="009C02E6">
        <w:rPr>
          <w:rFonts w:ascii="Palatino Linotype" w:eastAsia="Palatino Linotype" w:hAnsi="Palatino Linotype" w:cs="Palatino Linotype"/>
          <w:sz w:val="22"/>
          <w:szCs w:val="22"/>
        </w:rPr>
        <w:t xml:space="preserve">décimo </w:t>
      </w:r>
      <w:r w:rsidR="00CF47D2" w:rsidRPr="009C02E6">
        <w:rPr>
          <w:rFonts w:ascii="Palatino Linotype" w:eastAsia="Palatino Linotype" w:hAnsi="Palatino Linotype" w:cs="Palatino Linotype"/>
          <w:sz w:val="22"/>
          <w:szCs w:val="22"/>
        </w:rPr>
        <w:t>segundo</w:t>
      </w:r>
      <w:r w:rsidRPr="009C02E6">
        <w:rPr>
          <w:rFonts w:ascii="Palatino Linotype" w:eastAsia="Palatino Linotype" w:hAnsi="Palatino Linotype" w:cs="Palatino Linotype"/>
          <w:sz w:val="22"/>
          <w:szCs w:val="22"/>
        </w:rPr>
        <w:t xml:space="preserve"> día hábil posterior a aquel en el que tuvo conocimiento de la respuesta impugnada. En este sentido, se concluye que el presente recurso de revisión se encuentra dentro de los márgenes temporales previstos en las disposiciones legales referidas.</w:t>
      </w:r>
    </w:p>
    <w:p w14:paraId="3A81CC53" w14:textId="77777777" w:rsidR="00364378" w:rsidRPr="009C02E6" w:rsidRDefault="00364378" w:rsidP="00364378">
      <w:pPr>
        <w:spacing w:before="240" w:after="240" w:line="360" w:lineRule="auto"/>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Además, por cuanto hace a la procedibilidad del recurso de revisión, es de suma importancia señalar que la parte</w:t>
      </w:r>
      <w:r w:rsidRPr="009C02E6">
        <w:rPr>
          <w:rFonts w:ascii="Palatino Linotype" w:eastAsia="Palatino Linotype" w:hAnsi="Palatino Linotype" w:cs="Palatino Linotype"/>
          <w:b/>
          <w:sz w:val="22"/>
          <w:szCs w:val="22"/>
        </w:rPr>
        <w:t xml:space="preserve"> Recurrente</w:t>
      </w:r>
      <w:r w:rsidRPr="009C02E6">
        <w:rPr>
          <w:rFonts w:ascii="Palatino Linotype" w:eastAsia="Palatino Linotype" w:hAnsi="Palatino Linotype" w:cs="Palatino Linotype"/>
          <w:sz w:val="22"/>
          <w:szCs w:val="22"/>
        </w:rPr>
        <w:t xml:space="preserve">, no señaló </w:t>
      </w:r>
      <w:r w:rsidRPr="009C02E6">
        <w:rPr>
          <w:rFonts w:ascii="Palatino Linotype" w:eastAsia="Palatino Linotype" w:hAnsi="Palatino Linotype" w:cs="Palatino Linotype"/>
          <w:b/>
          <w:sz w:val="22"/>
          <w:szCs w:val="22"/>
        </w:rPr>
        <w:t>nombre o seudónimo,</w:t>
      </w:r>
      <w:r w:rsidRPr="009C02E6">
        <w:rPr>
          <w:rFonts w:ascii="Palatino Linotype" w:eastAsia="Palatino Linotype" w:hAnsi="Palatino Linotype" w:cs="Palatino Linotype"/>
          <w:sz w:val="22"/>
          <w:szCs w:val="22"/>
        </w:rPr>
        <w:t xml:space="preserve"> como se advierte en el detalle de seguimiento del SAIMEX, no obstante no proporcionar un nombre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20886C96" w14:textId="77777777" w:rsidR="00364378" w:rsidRPr="009C02E6" w:rsidRDefault="00364378" w:rsidP="00364378">
      <w:pPr>
        <w:spacing w:before="120" w:after="120"/>
        <w:ind w:left="851" w:right="902"/>
        <w:jc w:val="both"/>
        <w:rPr>
          <w:rFonts w:ascii="Palatino Linotype" w:eastAsia="Palatino Linotype" w:hAnsi="Palatino Linotype" w:cs="Palatino Linotype"/>
          <w:i/>
          <w:sz w:val="22"/>
          <w:szCs w:val="22"/>
        </w:rPr>
      </w:pPr>
      <w:r w:rsidRPr="009C02E6">
        <w:rPr>
          <w:rFonts w:ascii="Palatino Linotype" w:eastAsia="Palatino Linotype" w:hAnsi="Palatino Linotype" w:cs="Palatino Linotype"/>
          <w:i/>
          <w:sz w:val="22"/>
          <w:szCs w:val="22"/>
        </w:rPr>
        <w:t>"</w:t>
      </w:r>
      <w:r w:rsidRPr="009C02E6">
        <w:rPr>
          <w:rFonts w:ascii="Palatino Linotype" w:eastAsia="Palatino Linotype" w:hAnsi="Palatino Linotype" w:cs="Palatino Linotype"/>
          <w:b/>
          <w:i/>
          <w:sz w:val="22"/>
          <w:szCs w:val="22"/>
        </w:rPr>
        <w:t>Las solicitudes anónimas</w:t>
      </w:r>
      <w:r w:rsidRPr="009C02E6">
        <w:rPr>
          <w:rFonts w:ascii="Palatino Linotype" w:eastAsia="Palatino Linotype" w:hAnsi="Palatino Linotype" w:cs="Palatino Linotype"/>
          <w:i/>
          <w:sz w:val="22"/>
          <w:szCs w:val="22"/>
        </w:rPr>
        <w:t xml:space="preserve">, con nombre incompleto o </w:t>
      </w:r>
      <w:r w:rsidRPr="009C02E6">
        <w:rPr>
          <w:rFonts w:ascii="Palatino Linotype" w:eastAsia="Palatino Linotype" w:hAnsi="Palatino Linotype" w:cs="Palatino Linotype"/>
          <w:b/>
          <w:i/>
          <w:sz w:val="22"/>
          <w:szCs w:val="22"/>
        </w:rPr>
        <w:t>seudónimo</w:t>
      </w:r>
      <w:r w:rsidRPr="009C02E6">
        <w:rPr>
          <w:rFonts w:ascii="Palatino Linotype" w:eastAsia="Palatino Linotype" w:hAnsi="Palatino Linotype" w:cs="Palatino Linotype"/>
          <w:i/>
          <w:sz w:val="22"/>
          <w:szCs w:val="22"/>
        </w:rPr>
        <w:t xml:space="preserve"> serán procedentes para su trámite por parte del sujeto obligado ante quien se presente. No podrá requerirse información adicional con motivo del nombre proporcionado por el solicitante."</w:t>
      </w:r>
    </w:p>
    <w:p w14:paraId="2CBA8791" w14:textId="77777777" w:rsidR="00364378" w:rsidRPr="009C02E6" w:rsidRDefault="00364378" w:rsidP="00364378">
      <w:pPr>
        <w:spacing w:before="240" w:after="240" w:line="360" w:lineRule="auto"/>
        <w:jc w:val="both"/>
        <w:rPr>
          <w:rFonts w:ascii="Palatino Linotype" w:eastAsia="Palatino Linotype" w:hAnsi="Palatino Linotype" w:cs="Palatino Linotype"/>
          <w:b/>
          <w:sz w:val="22"/>
          <w:szCs w:val="22"/>
        </w:rPr>
      </w:pPr>
      <w:r w:rsidRPr="009C02E6">
        <w:rPr>
          <w:rFonts w:ascii="Palatino Linotype" w:eastAsia="Palatino Linotype" w:hAnsi="Palatino Linotype" w:cs="Palatino Linotype"/>
          <w:sz w:val="22"/>
          <w:szCs w:val="22"/>
        </w:rPr>
        <w:t>De acuerdo al análisis efectuado se advierte que resulta procedente la interposición del recurso y se concluye la acreditación plena de todos y cada uno de los elementos formales exigidos por el artículo 180 de la Ley de Transparencia y Acceso a la Información Pública del Estado de México y Municipios en vigor, en atención a que fue presentado mediante el formato visible en el</w:t>
      </w:r>
      <w:r w:rsidRPr="009C02E6">
        <w:rPr>
          <w:rFonts w:ascii="Palatino Linotype" w:eastAsia="Palatino Linotype" w:hAnsi="Palatino Linotype" w:cs="Palatino Linotype"/>
          <w:b/>
          <w:sz w:val="22"/>
          <w:szCs w:val="22"/>
        </w:rPr>
        <w:t xml:space="preserve"> SAIMEX.</w:t>
      </w:r>
    </w:p>
    <w:p w14:paraId="568AF319" w14:textId="6BEFED9C" w:rsidR="00AC55F7" w:rsidRPr="009C02E6" w:rsidRDefault="006C736C">
      <w:pPr>
        <w:spacing w:before="240" w:after="240" w:line="360" w:lineRule="auto"/>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 xml:space="preserve">Finalmente, se advierte que resulta procedente la interposición del recurso, según lo manifestado por la parte </w:t>
      </w:r>
      <w:r w:rsidRPr="009C02E6">
        <w:rPr>
          <w:rFonts w:ascii="Palatino Linotype" w:eastAsia="Palatino Linotype" w:hAnsi="Palatino Linotype" w:cs="Palatino Linotype"/>
          <w:b/>
          <w:bCs/>
          <w:sz w:val="22"/>
          <w:szCs w:val="22"/>
        </w:rPr>
        <w:t>Recurrente</w:t>
      </w:r>
      <w:r w:rsidRPr="009C02E6">
        <w:rPr>
          <w:rFonts w:ascii="Palatino Linotype" w:eastAsia="Palatino Linotype" w:hAnsi="Palatino Linotype" w:cs="Palatino Linotype"/>
          <w:sz w:val="22"/>
          <w:szCs w:val="22"/>
        </w:rPr>
        <w:t xml:space="preserve"> en sus motivos de inconformidad, de acuerdo al artículo</w:t>
      </w:r>
      <w:r w:rsidR="00025502" w:rsidRPr="009C02E6">
        <w:rPr>
          <w:rFonts w:ascii="Palatino Linotype" w:eastAsia="Palatino Linotype" w:hAnsi="Palatino Linotype" w:cs="Palatino Linotype"/>
          <w:sz w:val="22"/>
          <w:szCs w:val="22"/>
        </w:rPr>
        <w:t xml:space="preserve"> 179, fracción </w:t>
      </w:r>
      <w:r w:rsidR="00E64D8A" w:rsidRPr="009C02E6">
        <w:rPr>
          <w:rFonts w:ascii="Palatino Linotype" w:eastAsia="Palatino Linotype" w:hAnsi="Palatino Linotype" w:cs="Palatino Linotype"/>
          <w:sz w:val="22"/>
          <w:szCs w:val="22"/>
        </w:rPr>
        <w:t>I</w:t>
      </w:r>
      <w:r w:rsidRPr="009C02E6">
        <w:rPr>
          <w:rFonts w:ascii="Palatino Linotype" w:eastAsia="Palatino Linotype" w:hAnsi="Palatino Linotype" w:cs="Palatino Linotype"/>
          <w:sz w:val="22"/>
          <w:szCs w:val="22"/>
        </w:rPr>
        <w:t xml:space="preserve"> del ordenamiento legal citado, que a la letra dice: </w:t>
      </w:r>
    </w:p>
    <w:p w14:paraId="2B9CEDDC" w14:textId="77777777" w:rsidR="00AC55F7" w:rsidRPr="009C02E6" w:rsidRDefault="006C736C">
      <w:pPr>
        <w:tabs>
          <w:tab w:val="left" w:pos="7938"/>
        </w:tabs>
        <w:spacing w:before="120" w:after="120"/>
        <w:ind w:left="851" w:right="902"/>
        <w:jc w:val="both"/>
        <w:rPr>
          <w:rFonts w:ascii="Palatino Linotype" w:eastAsia="Palatino Linotype" w:hAnsi="Palatino Linotype" w:cs="Palatino Linotype"/>
          <w:i/>
          <w:iCs/>
          <w:sz w:val="22"/>
          <w:szCs w:val="22"/>
        </w:rPr>
      </w:pPr>
      <w:r w:rsidRPr="009C02E6">
        <w:rPr>
          <w:rFonts w:ascii="Palatino Linotype" w:eastAsia="Palatino Linotype" w:hAnsi="Palatino Linotype" w:cs="Palatino Linotype"/>
          <w:i/>
          <w:iCs/>
          <w:sz w:val="22"/>
          <w:szCs w:val="22"/>
        </w:rPr>
        <w:t>“</w:t>
      </w:r>
      <w:r w:rsidRPr="009C02E6">
        <w:rPr>
          <w:rFonts w:ascii="Palatino Linotype" w:eastAsia="Palatino Linotype" w:hAnsi="Palatino Linotype" w:cs="Palatino Linotype"/>
          <w:b/>
          <w:bCs/>
          <w:i/>
          <w:iCs/>
          <w:sz w:val="22"/>
          <w:szCs w:val="22"/>
        </w:rPr>
        <w:t>Artículo 179.</w:t>
      </w:r>
      <w:r w:rsidRPr="009C02E6">
        <w:rPr>
          <w:rFonts w:ascii="Palatino Linotype" w:eastAsia="Palatino Linotype" w:hAnsi="Palatino Linotype" w:cs="Palatino Linotype"/>
          <w:i/>
          <w:iCs/>
          <w:sz w:val="22"/>
          <w:szCs w:val="22"/>
        </w:rPr>
        <w:t xml:space="preserve"> El recurso de revisión es un medio de protección que la Ley otorga a los particulares, para hacer valer su derecho de acceso a la información pública, y procederá en contra de las siguientes causas:</w:t>
      </w:r>
    </w:p>
    <w:p w14:paraId="3E5DDA5A" w14:textId="030E46D0" w:rsidR="00AC55F7" w:rsidRPr="009C02E6" w:rsidRDefault="00E64D8A" w:rsidP="00E64D8A">
      <w:pPr>
        <w:tabs>
          <w:tab w:val="left" w:pos="7938"/>
        </w:tabs>
        <w:spacing w:before="120" w:after="120"/>
        <w:ind w:left="851" w:right="902"/>
        <w:jc w:val="both"/>
        <w:rPr>
          <w:rFonts w:ascii="Palatino Linotype" w:eastAsia="Palatino Linotype" w:hAnsi="Palatino Linotype" w:cs="Palatino Linotype"/>
          <w:i/>
          <w:iCs/>
          <w:sz w:val="22"/>
          <w:szCs w:val="22"/>
        </w:rPr>
      </w:pPr>
      <w:r w:rsidRPr="009C02E6">
        <w:rPr>
          <w:rFonts w:ascii="Palatino Linotype" w:eastAsia="Palatino Linotype" w:hAnsi="Palatino Linotype" w:cs="Palatino Linotype"/>
          <w:b/>
          <w:bCs/>
          <w:i/>
          <w:iCs/>
          <w:sz w:val="22"/>
          <w:szCs w:val="22"/>
        </w:rPr>
        <w:t xml:space="preserve">I. </w:t>
      </w:r>
      <w:r w:rsidRPr="009C02E6">
        <w:rPr>
          <w:rFonts w:ascii="Palatino Linotype" w:eastAsia="Palatino Linotype" w:hAnsi="Palatino Linotype" w:cs="Palatino Linotype"/>
          <w:bCs/>
          <w:i/>
          <w:iCs/>
          <w:sz w:val="22"/>
          <w:szCs w:val="22"/>
        </w:rPr>
        <w:t>La negativa a la información solicitada</w:t>
      </w:r>
      <w:r w:rsidR="00025502" w:rsidRPr="009C02E6">
        <w:rPr>
          <w:rFonts w:ascii="Palatino Linotype" w:eastAsia="Palatino Linotype" w:hAnsi="Palatino Linotype" w:cs="Palatino Linotype"/>
          <w:bCs/>
          <w:i/>
          <w:iCs/>
          <w:sz w:val="22"/>
          <w:szCs w:val="22"/>
        </w:rPr>
        <w:t>;</w:t>
      </w:r>
      <w:r w:rsidR="006C736C" w:rsidRPr="009C02E6">
        <w:rPr>
          <w:rFonts w:ascii="Palatino Linotype" w:eastAsia="Palatino Linotype" w:hAnsi="Palatino Linotype" w:cs="Palatino Linotype"/>
          <w:bCs/>
          <w:i/>
          <w:iCs/>
          <w:sz w:val="22"/>
          <w:szCs w:val="22"/>
        </w:rPr>
        <w:t>”</w:t>
      </w:r>
    </w:p>
    <w:p w14:paraId="3FC581BE" w14:textId="5EC368D5" w:rsidR="00C24592" w:rsidRPr="009C02E6" w:rsidRDefault="006C736C" w:rsidP="00C24592">
      <w:pPr>
        <w:spacing w:before="240" w:after="240" w:line="360" w:lineRule="auto"/>
        <w:jc w:val="both"/>
        <w:rPr>
          <w:rFonts w:ascii="Palatino Linotype" w:hAnsi="Palatino Linotype"/>
          <w:sz w:val="22"/>
          <w:szCs w:val="22"/>
        </w:rPr>
      </w:pPr>
      <w:r w:rsidRPr="009C02E6">
        <w:rPr>
          <w:rFonts w:ascii="Palatino Linotype" w:eastAsia="Palatino Linotype" w:hAnsi="Palatino Linotype" w:cs="Palatino Linotype"/>
          <w:b/>
          <w:bCs/>
          <w:sz w:val="22"/>
          <w:szCs w:val="22"/>
        </w:rPr>
        <w:t xml:space="preserve">Tercero. </w:t>
      </w:r>
      <w:r w:rsidR="00C24592" w:rsidRPr="009C02E6">
        <w:rPr>
          <w:rFonts w:ascii="Palatino Linotype" w:eastAsia="Palatino Linotype" w:hAnsi="Palatino Linotype" w:cs="Palatino Linotype"/>
          <w:b/>
          <w:sz w:val="22"/>
          <w:szCs w:val="22"/>
        </w:rPr>
        <w:t>Análisis de las causales de sobreseimiento del recurso de revisión.</w:t>
      </w:r>
      <w:r w:rsidR="00C24592" w:rsidRPr="009C02E6">
        <w:rPr>
          <w:rFonts w:ascii="Palatino Linotype" w:eastAsia="Palatino Linotype" w:hAnsi="Palatino Linotype" w:cs="Palatino Linotype"/>
          <w:sz w:val="22"/>
          <w:szCs w:val="22"/>
        </w:rPr>
        <w:t xml:space="preserve"> Es menester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70F3DE0" w14:textId="77777777" w:rsidR="00C24592" w:rsidRPr="009C02E6" w:rsidRDefault="00C24592" w:rsidP="00C24592">
      <w:pPr>
        <w:spacing w:before="240" w:after="240" w:line="360" w:lineRule="auto"/>
        <w:jc w:val="both"/>
        <w:rPr>
          <w:rFonts w:ascii="Palatino Linotype" w:hAnsi="Palatino Linotype"/>
          <w:sz w:val="22"/>
          <w:szCs w:val="22"/>
        </w:rPr>
      </w:pPr>
      <w:r w:rsidRPr="009C02E6">
        <w:rPr>
          <w:rFonts w:ascii="Palatino Linotype" w:eastAsia="Palatino Linotype" w:hAnsi="Palatino Linotype" w:cs="Palatino Linotype"/>
          <w:sz w:val="22"/>
          <w:szCs w:val="22"/>
        </w:rPr>
        <w:t>Es una facultad legal entrar al estudio de las causas de improcedencia que hagan valer las partes o que se adviertan de oficio por este Instituto; presupuestos procesales de inicio o trámite de un proceso que dotan de seguridad jurídica las resoluciones emitidas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 Estudio de causales de improcedencia que no son incompatibles con el derecho de acceso a la justicia, ya que este no se coarta por regular causas de improcedencia y sobreseimiento con tales fines.</w:t>
      </w:r>
    </w:p>
    <w:p w14:paraId="3EC58AC6" w14:textId="77777777" w:rsidR="00C24592" w:rsidRPr="009C02E6" w:rsidRDefault="00C24592" w:rsidP="00C24592">
      <w:pPr>
        <w:spacing w:before="240" w:after="240" w:line="360" w:lineRule="auto"/>
        <w:ind w:right="51"/>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De manera preliminar en el caso concreto conviene analizar si se actualiza alguna de las causales de sobreseimiento del recurso de revisión.</w:t>
      </w:r>
    </w:p>
    <w:p w14:paraId="3B69A3F3" w14:textId="77777777" w:rsidR="00C24592" w:rsidRPr="009C02E6" w:rsidRDefault="00C24592" w:rsidP="00C24592">
      <w:pPr>
        <w:spacing w:before="240" w:after="240" w:line="360" w:lineRule="auto"/>
        <w:ind w:right="51"/>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 xml:space="preserve">En tal contexto, del análisis de la solicitud de información motivo del recurso de revisión que ahora se resuelve, se advierte que la persona solicitante requirió al </w:t>
      </w:r>
      <w:r w:rsidRPr="009C02E6">
        <w:rPr>
          <w:rFonts w:ascii="Palatino Linotype" w:eastAsia="Palatino Linotype" w:hAnsi="Palatino Linotype" w:cs="Palatino Linotype"/>
          <w:b/>
          <w:sz w:val="22"/>
          <w:szCs w:val="22"/>
        </w:rPr>
        <w:t>Sujeto Obligado</w:t>
      </w:r>
      <w:r w:rsidRPr="009C02E6">
        <w:rPr>
          <w:rFonts w:ascii="Palatino Linotype" w:eastAsia="Palatino Linotype" w:hAnsi="Palatino Linotype" w:cs="Palatino Linotype"/>
          <w:sz w:val="22"/>
          <w:szCs w:val="22"/>
        </w:rPr>
        <w:t xml:space="preserve"> le proporcione información que consiste medularmente en lo siguiente:</w:t>
      </w:r>
    </w:p>
    <w:p w14:paraId="1F247A80" w14:textId="77777777" w:rsidR="00047994" w:rsidRPr="009C02E6" w:rsidRDefault="003461CE" w:rsidP="00047994">
      <w:pPr>
        <w:spacing w:before="240" w:after="240" w:line="360" w:lineRule="auto"/>
        <w:ind w:left="284"/>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 xml:space="preserve">1. </w:t>
      </w:r>
      <w:r w:rsidR="00047994" w:rsidRPr="009C02E6">
        <w:rPr>
          <w:rFonts w:ascii="Palatino Linotype" w:eastAsia="Palatino Linotype" w:hAnsi="Palatino Linotype" w:cs="Palatino Linotype"/>
          <w:sz w:val="22"/>
          <w:szCs w:val="22"/>
        </w:rPr>
        <w:t xml:space="preserve">Captura de pantalla de los turnos a las áreas competentes en el sistema </w:t>
      </w:r>
      <w:proofErr w:type="spellStart"/>
      <w:r w:rsidR="00047994" w:rsidRPr="009C02E6">
        <w:rPr>
          <w:rFonts w:ascii="Palatino Linotype" w:eastAsia="Palatino Linotype" w:hAnsi="Palatino Linotype" w:cs="Palatino Linotype"/>
          <w:sz w:val="22"/>
          <w:szCs w:val="22"/>
        </w:rPr>
        <w:t>saimex</w:t>
      </w:r>
      <w:proofErr w:type="spellEnd"/>
      <w:r w:rsidR="00047994" w:rsidRPr="009C02E6">
        <w:rPr>
          <w:rFonts w:ascii="Palatino Linotype" w:eastAsia="Palatino Linotype" w:hAnsi="Palatino Linotype" w:cs="Palatino Linotype"/>
          <w:sz w:val="22"/>
          <w:szCs w:val="22"/>
        </w:rPr>
        <w:t>.</w:t>
      </w:r>
    </w:p>
    <w:p w14:paraId="3A69C8EB" w14:textId="77777777" w:rsidR="00047994" w:rsidRPr="009C02E6" w:rsidRDefault="00047994" w:rsidP="00047994">
      <w:pPr>
        <w:spacing w:before="240" w:after="240" w:line="360" w:lineRule="auto"/>
        <w:ind w:left="284"/>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2. Oficios de clasificación de información de las áreas para el Comité de Transparencia, con sus anexos.</w:t>
      </w:r>
    </w:p>
    <w:p w14:paraId="3069DAE4" w14:textId="77777777" w:rsidR="00047994" w:rsidRPr="009C02E6" w:rsidRDefault="00047994" w:rsidP="00047994">
      <w:pPr>
        <w:spacing w:before="240" w:after="240" w:line="360" w:lineRule="auto"/>
        <w:ind w:left="284"/>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3. Oficios de convocatoria para la sesión del Comité.</w:t>
      </w:r>
    </w:p>
    <w:p w14:paraId="01AC371B" w14:textId="1D67F938" w:rsidR="00047994" w:rsidRPr="009C02E6" w:rsidRDefault="00047994" w:rsidP="00047994">
      <w:pPr>
        <w:spacing w:before="240" w:after="240" w:line="360" w:lineRule="auto"/>
        <w:ind w:left="284"/>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4. Acta del Comité de Transparencia.</w:t>
      </w:r>
    </w:p>
    <w:p w14:paraId="695E6356" w14:textId="38D0985C" w:rsidR="00047994" w:rsidRPr="009C02E6" w:rsidRDefault="00047994" w:rsidP="00047994">
      <w:pPr>
        <w:spacing w:before="240" w:after="240" w:line="360" w:lineRule="auto"/>
        <w:ind w:left="284"/>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5. Índice de Información reservada.</w:t>
      </w:r>
    </w:p>
    <w:p w14:paraId="3571D20C" w14:textId="77777777" w:rsidR="00047994" w:rsidRPr="009C02E6" w:rsidRDefault="00047994" w:rsidP="00047994">
      <w:pPr>
        <w:spacing w:before="240" w:after="240" w:line="360" w:lineRule="auto"/>
        <w:ind w:left="284"/>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 xml:space="preserve">6. Respuestas por parte de las áreas competentes, con anexos </w:t>
      </w:r>
    </w:p>
    <w:p w14:paraId="3E4EC86E" w14:textId="77777777" w:rsidR="00047994" w:rsidRPr="009C02E6" w:rsidRDefault="00047994" w:rsidP="00047994">
      <w:pPr>
        <w:spacing w:before="240" w:after="240" w:line="360" w:lineRule="auto"/>
        <w:ind w:left="284"/>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7. Recurso de revisión original.</w:t>
      </w:r>
    </w:p>
    <w:p w14:paraId="7AE6DDB8" w14:textId="77777777" w:rsidR="00047994" w:rsidRPr="009C02E6" w:rsidRDefault="00047994" w:rsidP="00047994">
      <w:pPr>
        <w:spacing w:before="240" w:after="240" w:line="360" w:lineRule="auto"/>
        <w:ind w:left="284"/>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8. Oficios de notificación de la Unidad de Transparencia del recurso de revisión a las áreas competentes.</w:t>
      </w:r>
    </w:p>
    <w:p w14:paraId="0580F0AB" w14:textId="77777777" w:rsidR="00047994" w:rsidRPr="009C02E6" w:rsidRDefault="00047994" w:rsidP="00047994">
      <w:pPr>
        <w:spacing w:before="240" w:after="240" w:line="360" w:lineRule="auto"/>
        <w:ind w:left="284"/>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9. Informes de justificación de las áreas competentes.</w:t>
      </w:r>
    </w:p>
    <w:p w14:paraId="6E761B1E" w14:textId="607F014A" w:rsidR="00047994" w:rsidRPr="009C02E6" w:rsidRDefault="00047994" w:rsidP="00047994">
      <w:pPr>
        <w:spacing w:before="240" w:after="240" w:line="360" w:lineRule="auto"/>
        <w:ind w:left="284"/>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10. En caso de existir nueva clasificación de datos, se solicitan nuevamente:</w:t>
      </w:r>
    </w:p>
    <w:p w14:paraId="3508E1C3" w14:textId="4FC89933" w:rsidR="00047994" w:rsidRPr="009C02E6" w:rsidRDefault="00047994" w:rsidP="00047994">
      <w:pPr>
        <w:spacing w:before="240" w:after="240" w:line="360" w:lineRule="auto"/>
        <w:ind w:left="567"/>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10.1 Oficios de clasificación de información de las áreas para el Comité de Transparencia con sus anexos.</w:t>
      </w:r>
    </w:p>
    <w:p w14:paraId="12150C08" w14:textId="0450661E" w:rsidR="00047994" w:rsidRPr="009C02E6" w:rsidRDefault="00047994" w:rsidP="00047994">
      <w:pPr>
        <w:spacing w:before="240" w:after="240" w:line="360" w:lineRule="auto"/>
        <w:ind w:left="567"/>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10.2  Oficios de convocatoria para la sesión del Comité de Transparencia.</w:t>
      </w:r>
    </w:p>
    <w:p w14:paraId="21E7972C" w14:textId="72799DB1" w:rsidR="00047994" w:rsidRPr="009C02E6" w:rsidRDefault="00047994" w:rsidP="00047994">
      <w:pPr>
        <w:spacing w:before="240" w:after="240" w:line="360" w:lineRule="auto"/>
        <w:ind w:left="567"/>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10.3 Acta del Comité de transparencia.</w:t>
      </w:r>
    </w:p>
    <w:p w14:paraId="3125BDD6" w14:textId="6AFBDC24" w:rsidR="00047994" w:rsidRPr="009C02E6" w:rsidRDefault="00047994" w:rsidP="00047994">
      <w:pPr>
        <w:spacing w:before="240" w:after="240" w:line="360" w:lineRule="auto"/>
        <w:ind w:left="567"/>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10.4 Informe de Justificación enviado al INFOEM.</w:t>
      </w:r>
    </w:p>
    <w:p w14:paraId="499B0E5C" w14:textId="4D619CE9" w:rsidR="00047994" w:rsidRPr="009C02E6" w:rsidRDefault="00047994" w:rsidP="00047994">
      <w:pPr>
        <w:spacing w:before="240" w:after="240" w:line="360" w:lineRule="auto"/>
        <w:ind w:left="567"/>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10.5 Resolución del Infoem recibida en la Unidad de Transparencia.</w:t>
      </w:r>
    </w:p>
    <w:p w14:paraId="1F18DF66" w14:textId="445A3A29" w:rsidR="00047994" w:rsidRPr="009C02E6" w:rsidRDefault="00047994" w:rsidP="00047994">
      <w:pPr>
        <w:spacing w:before="240" w:after="240" w:line="360" w:lineRule="auto"/>
        <w:ind w:left="567"/>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10.6 Oficios de notificación de la resolución a las áreas competentes.</w:t>
      </w:r>
    </w:p>
    <w:p w14:paraId="188B6DB8" w14:textId="57BE8305" w:rsidR="00047994" w:rsidRPr="009C02E6" w:rsidRDefault="00047994" w:rsidP="00047994">
      <w:pPr>
        <w:spacing w:before="240" w:after="240" w:line="360" w:lineRule="auto"/>
        <w:ind w:left="567"/>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10.7 Indicar el tiempo que las áreas tienen para otorgar la respuesta.</w:t>
      </w:r>
    </w:p>
    <w:p w14:paraId="6EC0A3FC" w14:textId="4489101E" w:rsidR="00047994" w:rsidRPr="009C02E6" w:rsidRDefault="00047994" w:rsidP="00047994">
      <w:pPr>
        <w:spacing w:before="240" w:after="240" w:line="360" w:lineRule="auto"/>
        <w:ind w:left="284"/>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11. En caso de existir clasificación de información nuevamente:</w:t>
      </w:r>
    </w:p>
    <w:p w14:paraId="15D46D7A" w14:textId="442FA3EB" w:rsidR="00047994" w:rsidRPr="009C02E6" w:rsidRDefault="00047994" w:rsidP="00047994">
      <w:pPr>
        <w:spacing w:before="240" w:after="240" w:line="360" w:lineRule="auto"/>
        <w:ind w:left="567"/>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11.1 Oficios de clasificación de información de las áreas para el Comité de Transparencia 11.2 Oficios de convocatoria para la sesión del Comité de Transparencia.</w:t>
      </w:r>
    </w:p>
    <w:p w14:paraId="571BB831" w14:textId="36751190" w:rsidR="00047994" w:rsidRPr="009C02E6" w:rsidRDefault="00047994" w:rsidP="00047994">
      <w:pPr>
        <w:spacing w:before="240" w:after="240" w:line="360" w:lineRule="auto"/>
        <w:ind w:left="567"/>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11.3 Acta del Comité de Transparencia.</w:t>
      </w:r>
    </w:p>
    <w:p w14:paraId="61586B89" w14:textId="77777777" w:rsidR="00047994" w:rsidRPr="009C02E6" w:rsidRDefault="00047994" w:rsidP="00047994">
      <w:pPr>
        <w:spacing w:before="240" w:after="240" w:line="360" w:lineRule="auto"/>
        <w:ind w:left="567"/>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11.4 Respuesta de cada una de las áreas a la resolución.</w:t>
      </w:r>
    </w:p>
    <w:p w14:paraId="2C0D5A82" w14:textId="3277BC06" w:rsidR="00047994" w:rsidRPr="009C02E6" w:rsidRDefault="00047994" w:rsidP="00047994">
      <w:pPr>
        <w:spacing w:before="240" w:after="240" w:line="360" w:lineRule="auto"/>
        <w:ind w:left="567"/>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 xml:space="preserve">11.5 Notificación de la respuesta a la resolución de la Unidad de transparencia al </w:t>
      </w:r>
      <w:proofErr w:type="spellStart"/>
      <w:r w:rsidRPr="009C02E6">
        <w:rPr>
          <w:rFonts w:ascii="Palatino Linotype" w:eastAsia="Palatino Linotype" w:hAnsi="Palatino Linotype" w:cs="Palatino Linotype"/>
          <w:sz w:val="22"/>
          <w:szCs w:val="22"/>
        </w:rPr>
        <w:t>infoem</w:t>
      </w:r>
      <w:proofErr w:type="spellEnd"/>
      <w:r w:rsidRPr="009C02E6">
        <w:rPr>
          <w:rFonts w:ascii="Palatino Linotype" w:eastAsia="Palatino Linotype" w:hAnsi="Palatino Linotype" w:cs="Palatino Linotype"/>
          <w:sz w:val="22"/>
          <w:szCs w:val="22"/>
        </w:rPr>
        <w:t>.</w:t>
      </w:r>
    </w:p>
    <w:p w14:paraId="2CB19AA4" w14:textId="59D744D0" w:rsidR="00047994" w:rsidRPr="009C02E6" w:rsidRDefault="00047994" w:rsidP="00047994">
      <w:pPr>
        <w:spacing w:before="240" w:after="240" w:line="360" w:lineRule="auto"/>
        <w:ind w:left="567"/>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11.6 Estado de cumplimiento o incumplimiento.</w:t>
      </w:r>
    </w:p>
    <w:p w14:paraId="7308678D" w14:textId="5D81DBBA" w:rsidR="00047994" w:rsidRPr="009C02E6" w:rsidRDefault="00047994" w:rsidP="00047994">
      <w:pPr>
        <w:spacing w:before="240" w:after="240" w:line="360" w:lineRule="auto"/>
        <w:ind w:left="567"/>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11.7 Favor de especificar si el asunto lo tiene la Contraloría del Infoem.</w:t>
      </w:r>
    </w:p>
    <w:p w14:paraId="4294D199" w14:textId="3F1D2E31" w:rsidR="00047994" w:rsidRPr="009C02E6" w:rsidRDefault="00047994" w:rsidP="00047994">
      <w:pPr>
        <w:spacing w:before="240" w:after="240" w:line="360" w:lineRule="auto"/>
        <w:ind w:left="567"/>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 xml:space="preserve">11.8 indicar si el recurso genera alguna responsabilidad directa a algún funcionario público -indicar si existe apercibimiento por parte del </w:t>
      </w:r>
      <w:proofErr w:type="spellStart"/>
      <w:r w:rsidRPr="009C02E6">
        <w:rPr>
          <w:rFonts w:ascii="Palatino Linotype" w:eastAsia="Palatino Linotype" w:hAnsi="Palatino Linotype" w:cs="Palatino Linotype"/>
          <w:sz w:val="22"/>
          <w:szCs w:val="22"/>
        </w:rPr>
        <w:t>infoem</w:t>
      </w:r>
      <w:proofErr w:type="spellEnd"/>
      <w:r w:rsidRPr="009C02E6">
        <w:rPr>
          <w:rFonts w:ascii="Palatino Linotype" w:eastAsia="Palatino Linotype" w:hAnsi="Palatino Linotype" w:cs="Palatino Linotype"/>
          <w:sz w:val="22"/>
          <w:szCs w:val="22"/>
        </w:rPr>
        <w:t xml:space="preserve">. </w:t>
      </w:r>
    </w:p>
    <w:p w14:paraId="1F44701D" w14:textId="0F5B5D76" w:rsidR="00047994" w:rsidRPr="009C02E6" w:rsidRDefault="00047994" w:rsidP="00047994">
      <w:pPr>
        <w:spacing w:before="240" w:after="240" w:line="360" w:lineRule="auto"/>
        <w:ind w:left="567"/>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 xml:space="preserve">11.9 indicar si el asunto se encuentra </w:t>
      </w:r>
      <w:proofErr w:type="spellStart"/>
      <w:r w:rsidRPr="009C02E6">
        <w:rPr>
          <w:rFonts w:ascii="Palatino Linotype" w:eastAsia="Palatino Linotype" w:hAnsi="Palatino Linotype" w:cs="Palatino Linotype"/>
          <w:sz w:val="22"/>
          <w:szCs w:val="22"/>
        </w:rPr>
        <w:t>concluído</w:t>
      </w:r>
      <w:proofErr w:type="spellEnd"/>
      <w:r w:rsidRPr="009C02E6">
        <w:rPr>
          <w:rFonts w:ascii="Palatino Linotype" w:eastAsia="Palatino Linotype" w:hAnsi="Palatino Linotype" w:cs="Palatino Linotype"/>
          <w:sz w:val="22"/>
          <w:szCs w:val="22"/>
        </w:rPr>
        <w:t xml:space="preserve"> o en proceso.</w:t>
      </w:r>
    </w:p>
    <w:p w14:paraId="15677514" w14:textId="2FB6B570" w:rsidR="00047994" w:rsidRPr="009C02E6" w:rsidRDefault="00047994" w:rsidP="00047994">
      <w:pPr>
        <w:spacing w:before="240" w:after="240" w:line="360" w:lineRule="auto"/>
        <w:ind w:left="567"/>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11.10 indicar qué áreas dieron la respuesta completa y que áreas.</w:t>
      </w:r>
    </w:p>
    <w:p w14:paraId="38F6E2F0" w14:textId="003A77E6" w:rsidR="00062DF2" w:rsidRPr="009C02E6" w:rsidRDefault="00D111D4" w:rsidP="00D15CFA">
      <w:pPr>
        <w:spacing w:before="240" w:after="240" w:line="360" w:lineRule="auto"/>
        <w:ind w:right="49"/>
        <w:jc w:val="both"/>
        <w:rPr>
          <w:rFonts w:ascii="Palatino Linotype" w:eastAsia="Palatino Linotype" w:hAnsi="Palatino Linotype" w:cs="Palatino Linotype"/>
          <w:sz w:val="22"/>
          <w:szCs w:val="22"/>
          <w:u w:val="single"/>
        </w:rPr>
      </w:pPr>
      <w:r w:rsidRPr="009C02E6">
        <w:rPr>
          <w:rFonts w:ascii="Palatino Linotype" w:eastAsia="Palatino Linotype" w:hAnsi="Palatino Linotype" w:cs="Palatino Linotype"/>
          <w:sz w:val="22"/>
          <w:szCs w:val="22"/>
        </w:rPr>
        <w:t xml:space="preserve">En respuesta, el </w:t>
      </w:r>
      <w:r w:rsidRPr="009C02E6">
        <w:rPr>
          <w:rFonts w:ascii="Palatino Linotype" w:eastAsia="Palatino Linotype" w:hAnsi="Palatino Linotype" w:cs="Palatino Linotype"/>
          <w:b/>
          <w:sz w:val="22"/>
          <w:szCs w:val="22"/>
        </w:rPr>
        <w:t xml:space="preserve">Sujeto Obligado, </w:t>
      </w:r>
      <w:r w:rsidRPr="009C02E6">
        <w:rPr>
          <w:rFonts w:ascii="Palatino Linotype" w:eastAsia="Palatino Linotype" w:hAnsi="Palatino Linotype" w:cs="Palatino Linotype"/>
          <w:sz w:val="22"/>
          <w:szCs w:val="22"/>
        </w:rPr>
        <w:t xml:space="preserve">por conducto de la Unidad de Transparencia </w:t>
      </w:r>
      <w:r w:rsidR="00056E5E" w:rsidRPr="009C02E6">
        <w:rPr>
          <w:rFonts w:ascii="Palatino Linotype" w:eastAsia="Palatino Linotype" w:hAnsi="Palatino Linotype" w:cs="Palatino Linotype"/>
          <w:sz w:val="22"/>
          <w:szCs w:val="22"/>
        </w:rPr>
        <w:t xml:space="preserve">refirió que </w:t>
      </w:r>
      <w:r w:rsidR="00062DF2" w:rsidRPr="009C02E6">
        <w:rPr>
          <w:rFonts w:ascii="Palatino Linotype" w:eastAsia="Palatino Linotype" w:hAnsi="Palatino Linotype" w:cs="Palatino Linotype"/>
          <w:sz w:val="22"/>
          <w:szCs w:val="22"/>
        </w:rPr>
        <w:t xml:space="preserve">después de una búsqueda exhaustiva y razonable dentro de los archivos físicos y electrónicos, </w:t>
      </w:r>
      <w:r w:rsidR="00056E5E" w:rsidRPr="009C02E6">
        <w:rPr>
          <w:rFonts w:ascii="Palatino Linotype" w:eastAsia="Palatino Linotype" w:hAnsi="Palatino Linotype" w:cs="Palatino Linotype"/>
          <w:b/>
          <w:sz w:val="22"/>
          <w:szCs w:val="22"/>
        </w:rPr>
        <w:t xml:space="preserve">no era posible </w:t>
      </w:r>
      <w:r w:rsidR="00B97678" w:rsidRPr="009C02E6">
        <w:rPr>
          <w:rFonts w:ascii="Palatino Linotype" w:eastAsia="Palatino Linotype" w:hAnsi="Palatino Linotype" w:cs="Palatino Linotype"/>
          <w:b/>
          <w:sz w:val="22"/>
          <w:szCs w:val="22"/>
        </w:rPr>
        <w:t xml:space="preserve">hacer entrega de lo solicitado, </w:t>
      </w:r>
      <w:r w:rsidR="00B97678" w:rsidRPr="009C02E6">
        <w:rPr>
          <w:rFonts w:ascii="Palatino Linotype" w:eastAsia="Palatino Linotype" w:hAnsi="Palatino Linotype" w:cs="Palatino Linotype"/>
          <w:b/>
          <w:sz w:val="22"/>
          <w:szCs w:val="22"/>
          <w:u w:val="single"/>
        </w:rPr>
        <w:t xml:space="preserve">al no saber de qué expediente se </w:t>
      </w:r>
      <w:r w:rsidR="00062DF2" w:rsidRPr="009C02E6">
        <w:rPr>
          <w:rFonts w:ascii="Palatino Linotype" w:eastAsia="Palatino Linotype" w:hAnsi="Palatino Linotype" w:cs="Palatino Linotype"/>
          <w:b/>
          <w:sz w:val="22"/>
          <w:szCs w:val="22"/>
          <w:u w:val="single"/>
        </w:rPr>
        <w:t>requiere</w:t>
      </w:r>
      <w:r w:rsidR="00B97678" w:rsidRPr="009C02E6">
        <w:rPr>
          <w:rFonts w:ascii="Palatino Linotype" w:eastAsia="Palatino Linotype" w:hAnsi="Palatino Linotype" w:cs="Palatino Linotype"/>
          <w:b/>
          <w:sz w:val="22"/>
          <w:szCs w:val="22"/>
          <w:u w:val="single"/>
        </w:rPr>
        <w:t xml:space="preserve"> la </w:t>
      </w:r>
      <w:r w:rsidR="00062DF2" w:rsidRPr="009C02E6">
        <w:rPr>
          <w:rFonts w:ascii="Palatino Linotype" w:eastAsia="Palatino Linotype" w:hAnsi="Palatino Linotype" w:cs="Palatino Linotype"/>
          <w:b/>
          <w:sz w:val="22"/>
          <w:szCs w:val="22"/>
          <w:u w:val="single"/>
        </w:rPr>
        <w:t>información</w:t>
      </w:r>
      <w:r w:rsidR="00B97678" w:rsidRPr="009C02E6">
        <w:rPr>
          <w:rFonts w:ascii="Palatino Linotype" w:eastAsia="Palatino Linotype" w:hAnsi="Palatino Linotype" w:cs="Palatino Linotype"/>
          <w:sz w:val="22"/>
          <w:szCs w:val="22"/>
          <w:u w:val="single"/>
        </w:rPr>
        <w:t>.</w:t>
      </w:r>
    </w:p>
    <w:p w14:paraId="4FEE1E25" w14:textId="6EFA6270" w:rsidR="00B260B8" w:rsidRPr="009C02E6" w:rsidRDefault="00012783" w:rsidP="00B260B8">
      <w:pPr>
        <w:spacing w:before="240" w:after="240" w:line="360" w:lineRule="auto"/>
        <w:ind w:right="49"/>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 xml:space="preserve">Asimismo, proporcionó el procedimiento para </w:t>
      </w:r>
      <w:r w:rsidR="00B260B8" w:rsidRPr="009C02E6">
        <w:rPr>
          <w:rFonts w:ascii="Palatino Linotype" w:eastAsia="Palatino Linotype" w:hAnsi="Palatino Linotype" w:cs="Palatino Linotype"/>
          <w:sz w:val="22"/>
          <w:szCs w:val="22"/>
        </w:rPr>
        <w:t>consultar</w:t>
      </w:r>
      <w:r w:rsidR="00DE49D2" w:rsidRPr="009C02E6">
        <w:rPr>
          <w:rFonts w:ascii="Palatino Linotype" w:eastAsia="Palatino Linotype" w:hAnsi="Palatino Linotype" w:cs="Palatino Linotype"/>
          <w:sz w:val="22"/>
          <w:szCs w:val="22"/>
        </w:rPr>
        <w:t xml:space="preserve"> en la página de este Instituto,</w:t>
      </w:r>
      <w:r w:rsidR="00B260B8" w:rsidRPr="009C02E6">
        <w:rPr>
          <w:rFonts w:ascii="Palatino Linotype" w:eastAsia="Palatino Linotype" w:hAnsi="Palatino Linotype" w:cs="Palatino Linotype"/>
          <w:sz w:val="22"/>
          <w:szCs w:val="22"/>
        </w:rPr>
        <w:t xml:space="preserve"> las versiones públicas de las resoluciones</w:t>
      </w:r>
      <w:r w:rsidR="007D5015" w:rsidRPr="009C02E6">
        <w:rPr>
          <w:rFonts w:ascii="Palatino Linotype" w:eastAsia="Palatino Linotype" w:hAnsi="Palatino Linotype" w:cs="Palatino Linotype"/>
          <w:sz w:val="22"/>
          <w:szCs w:val="22"/>
        </w:rPr>
        <w:t xml:space="preserve"> aprobadas por el Pleno.</w:t>
      </w:r>
    </w:p>
    <w:p w14:paraId="73F9D967" w14:textId="4EF41805" w:rsidR="00D15CFA" w:rsidRPr="009C02E6" w:rsidRDefault="00D15CFA" w:rsidP="00D15CFA">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 xml:space="preserve">No obstante, una vez conocida la respuesta emitida por el </w:t>
      </w:r>
      <w:r w:rsidRPr="009C02E6">
        <w:rPr>
          <w:rFonts w:ascii="Palatino Linotype" w:eastAsia="Palatino Linotype" w:hAnsi="Palatino Linotype" w:cs="Palatino Linotype"/>
          <w:b/>
          <w:sz w:val="22"/>
          <w:szCs w:val="22"/>
        </w:rPr>
        <w:t>Sujeto Obligado</w:t>
      </w:r>
      <w:r w:rsidRPr="009C02E6">
        <w:rPr>
          <w:rFonts w:ascii="Palatino Linotype" w:eastAsia="Palatino Linotype" w:hAnsi="Palatino Linotype" w:cs="Palatino Linotype"/>
          <w:sz w:val="22"/>
          <w:szCs w:val="22"/>
        </w:rPr>
        <w:t>, la parte</w:t>
      </w:r>
      <w:r w:rsidRPr="009C02E6">
        <w:rPr>
          <w:rFonts w:ascii="Palatino Linotype" w:eastAsia="Palatino Linotype" w:hAnsi="Palatino Linotype" w:cs="Palatino Linotype"/>
          <w:b/>
          <w:sz w:val="22"/>
          <w:szCs w:val="22"/>
        </w:rPr>
        <w:t xml:space="preserve"> Recurrente</w:t>
      </w:r>
      <w:r w:rsidRPr="009C02E6">
        <w:rPr>
          <w:rFonts w:ascii="Palatino Linotype" w:eastAsia="Palatino Linotype" w:hAnsi="Palatino Linotype" w:cs="Palatino Linotype"/>
          <w:sz w:val="22"/>
          <w:szCs w:val="22"/>
        </w:rPr>
        <w:t>, al no estar conforme con los términos de la misma, interpuso el recurso de revisión que nos ocupa, mediante el cual señaló como motivo de inconformidad</w:t>
      </w:r>
      <w:r w:rsidR="00C22652" w:rsidRPr="009C02E6">
        <w:rPr>
          <w:rFonts w:ascii="Palatino Linotype" w:eastAsia="Palatino Linotype" w:hAnsi="Palatino Linotype" w:cs="Palatino Linotype"/>
          <w:sz w:val="22"/>
          <w:szCs w:val="22"/>
        </w:rPr>
        <w:t xml:space="preserve"> en lo medular, que </w:t>
      </w:r>
      <w:r w:rsidR="00517715" w:rsidRPr="009C02E6">
        <w:rPr>
          <w:rFonts w:ascii="Palatino Linotype" w:eastAsia="Palatino Linotype" w:hAnsi="Palatino Linotype" w:cs="Palatino Linotype"/>
          <w:sz w:val="22"/>
          <w:szCs w:val="22"/>
        </w:rPr>
        <w:t xml:space="preserve">la </w:t>
      </w:r>
      <w:r w:rsidR="00517715" w:rsidRPr="009C02E6">
        <w:rPr>
          <w:rFonts w:ascii="Palatino Linotype" w:eastAsia="Palatino Linotype" w:hAnsi="Palatino Linotype" w:cs="Palatino Linotype"/>
          <w:i/>
          <w:sz w:val="22"/>
          <w:szCs w:val="22"/>
        </w:rPr>
        <w:t>Unidad de Transparencia</w:t>
      </w:r>
      <w:r w:rsidR="00517715" w:rsidRPr="009C02E6">
        <w:rPr>
          <w:rFonts w:ascii="Palatino Linotype" w:eastAsia="Palatino Linotype" w:hAnsi="Palatino Linotype" w:cs="Palatino Linotype"/>
          <w:sz w:val="22"/>
          <w:szCs w:val="22"/>
        </w:rPr>
        <w:t xml:space="preserve"> </w:t>
      </w:r>
      <w:r w:rsidR="00517715" w:rsidRPr="009C02E6">
        <w:rPr>
          <w:rFonts w:ascii="Palatino Linotype" w:eastAsia="Palatino Linotype" w:hAnsi="Palatino Linotype" w:cs="Palatino Linotype"/>
          <w:i/>
          <w:sz w:val="22"/>
          <w:szCs w:val="22"/>
        </w:rPr>
        <w:t>n</w:t>
      </w:r>
      <w:r w:rsidR="001E2FF4" w:rsidRPr="009C02E6">
        <w:rPr>
          <w:rFonts w:ascii="Palatino Linotype" w:eastAsia="Palatino Linotype" w:hAnsi="Palatino Linotype" w:cs="Palatino Linotype"/>
          <w:i/>
          <w:iCs/>
          <w:sz w:val="22"/>
          <w:szCs w:val="22"/>
        </w:rPr>
        <w:t>o</w:t>
      </w:r>
      <w:r w:rsidR="00517715" w:rsidRPr="009C02E6">
        <w:rPr>
          <w:rFonts w:ascii="Palatino Linotype" w:eastAsia="Palatino Linotype" w:hAnsi="Palatino Linotype" w:cs="Palatino Linotype"/>
          <w:i/>
          <w:iCs/>
          <w:sz w:val="22"/>
          <w:szCs w:val="22"/>
        </w:rPr>
        <w:t xml:space="preserve"> entregó la información solicitada </w:t>
      </w:r>
      <w:r w:rsidR="001E2FF4" w:rsidRPr="009C02E6">
        <w:rPr>
          <w:rFonts w:ascii="Palatino Linotype" w:eastAsia="Palatino Linotype" w:hAnsi="Palatino Linotype" w:cs="Palatino Linotype"/>
          <w:i/>
          <w:iCs/>
          <w:sz w:val="22"/>
          <w:szCs w:val="22"/>
        </w:rPr>
        <w:t xml:space="preserve">, asimismo, que </w:t>
      </w:r>
      <w:r w:rsidR="00517715" w:rsidRPr="009C02E6">
        <w:rPr>
          <w:rFonts w:ascii="Palatino Linotype" w:eastAsia="Palatino Linotype" w:hAnsi="Palatino Linotype" w:cs="Palatino Linotype"/>
          <w:b/>
          <w:i/>
          <w:iCs/>
          <w:sz w:val="22"/>
          <w:szCs w:val="22"/>
          <w:u w:val="single"/>
        </w:rPr>
        <w:t>en el link que mandan de informe</w:t>
      </w:r>
      <w:r w:rsidR="00517715" w:rsidRPr="009C02E6">
        <w:rPr>
          <w:rFonts w:ascii="Palatino Linotype" w:eastAsia="Palatino Linotype" w:hAnsi="Palatino Linotype" w:cs="Palatino Linotype"/>
          <w:b/>
          <w:i/>
          <w:iCs/>
          <w:sz w:val="22"/>
          <w:szCs w:val="22"/>
        </w:rPr>
        <w:t xml:space="preserve"> no </w:t>
      </w:r>
      <w:r w:rsidR="001E2FF4" w:rsidRPr="009C02E6">
        <w:rPr>
          <w:rFonts w:ascii="Palatino Linotype" w:eastAsia="Palatino Linotype" w:hAnsi="Palatino Linotype" w:cs="Palatino Linotype"/>
          <w:b/>
          <w:i/>
          <w:iCs/>
          <w:sz w:val="22"/>
          <w:szCs w:val="22"/>
        </w:rPr>
        <w:t>está</w:t>
      </w:r>
      <w:r w:rsidR="00517715" w:rsidRPr="009C02E6">
        <w:rPr>
          <w:rFonts w:ascii="Palatino Linotype" w:eastAsia="Palatino Linotype" w:hAnsi="Palatino Linotype" w:cs="Palatino Linotype"/>
          <w:b/>
          <w:i/>
          <w:iCs/>
          <w:sz w:val="22"/>
          <w:szCs w:val="22"/>
        </w:rPr>
        <w:t xml:space="preserve"> toda la información que se solicita</w:t>
      </w:r>
      <w:r w:rsidR="001E2FF4" w:rsidRPr="009C02E6">
        <w:rPr>
          <w:rFonts w:ascii="Palatino Linotype" w:eastAsia="Palatino Linotype" w:hAnsi="Palatino Linotype" w:cs="Palatino Linotype"/>
          <w:b/>
          <w:i/>
          <w:iCs/>
          <w:sz w:val="22"/>
          <w:szCs w:val="22"/>
        </w:rPr>
        <w:t>, ya que</w:t>
      </w:r>
      <w:r w:rsidR="00517715" w:rsidRPr="009C02E6">
        <w:rPr>
          <w:rFonts w:ascii="Palatino Linotype" w:eastAsia="Palatino Linotype" w:hAnsi="Palatino Linotype" w:cs="Palatino Linotype"/>
          <w:b/>
          <w:i/>
          <w:iCs/>
          <w:sz w:val="22"/>
          <w:szCs w:val="22"/>
        </w:rPr>
        <w:t xml:space="preserve"> </w:t>
      </w:r>
      <w:r w:rsidR="00517715" w:rsidRPr="009C02E6">
        <w:rPr>
          <w:rFonts w:ascii="Palatino Linotype" w:eastAsia="Palatino Linotype" w:hAnsi="Palatino Linotype" w:cs="Palatino Linotype"/>
          <w:b/>
          <w:i/>
          <w:iCs/>
          <w:sz w:val="22"/>
          <w:szCs w:val="22"/>
          <w:u w:val="single"/>
        </w:rPr>
        <w:t xml:space="preserve">ahí solo </w:t>
      </w:r>
      <w:r w:rsidR="001E2FF4" w:rsidRPr="009C02E6">
        <w:rPr>
          <w:rFonts w:ascii="Palatino Linotype" w:eastAsia="Palatino Linotype" w:hAnsi="Palatino Linotype" w:cs="Palatino Linotype"/>
          <w:b/>
          <w:i/>
          <w:iCs/>
          <w:sz w:val="22"/>
          <w:szCs w:val="22"/>
          <w:u w:val="single"/>
        </w:rPr>
        <w:t>está</w:t>
      </w:r>
      <w:r w:rsidR="00517715" w:rsidRPr="009C02E6">
        <w:rPr>
          <w:rFonts w:ascii="Palatino Linotype" w:eastAsia="Palatino Linotype" w:hAnsi="Palatino Linotype" w:cs="Palatino Linotype"/>
          <w:b/>
          <w:i/>
          <w:iCs/>
          <w:sz w:val="22"/>
          <w:szCs w:val="22"/>
          <w:u w:val="single"/>
        </w:rPr>
        <w:t xml:space="preserve"> el número de recurso</w:t>
      </w:r>
      <w:r w:rsidR="001E2FF4" w:rsidRPr="009C02E6">
        <w:rPr>
          <w:rFonts w:ascii="Palatino Linotype" w:eastAsia="Palatino Linotype" w:hAnsi="Palatino Linotype" w:cs="Palatino Linotype"/>
          <w:b/>
          <w:i/>
          <w:iCs/>
          <w:sz w:val="22"/>
          <w:szCs w:val="22"/>
        </w:rPr>
        <w:t xml:space="preserve"> y se pidió</w:t>
      </w:r>
      <w:r w:rsidR="00517715" w:rsidRPr="009C02E6">
        <w:rPr>
          <w:rFonts w:ascii="Palatino Linotype" w:eastAsia="Palatino Linotype" w:hAnsi="Palatino Linotype" w:cs="Palatino Linotype"/>
          <w:b/>
          <w:i/>
          <w:iCs/>
          <w:sz w:val="22"/>
          <w:szCs w:val="22"/>
        </w:rPr>
        <w:t xml:space="preserve"> el expediente completo y no lo entregan</w:t>
      </w:r>
      <w:r w:rsidR="00130838" w:rsidRPr="009C02E6">
        <w:rPr>
          <w:rFonts w:ascii="Palatino Linotype" w:eastAsia="Palatino Linotype" w:hAnsi="Palatino Linotype" w:cs="Palatino Linotype"/>
          <w:b/>
          <w:i/>
          <w:iCs/>
          <w:sz w:val="22"/>
          <w:szCs w:val="22"/>
        </w:rPr>
        <w:t xml:space="preserve">. </w:t>
      </w:r>
    </w:p>
    <w:p w14:paraId="089F0DF4" w14:textId="45C280C4" w:rsidR="00FD3131" w:rsidRPr="009C02E6" w:rsidRDefault="00EA5C45" w:rsidP="00D15CFA">
      <w:pPr>
        <w:pBdr>
          <w:top w:val="nil"/>
          <w:left w:val="nil"/>
          <w:bottom w:val="nil"/>
          <w:right w:val="nil"/>
          <w:between w:val="nil"/>
        </w:pBdr>
        <w:spacing w:before="240" w:after="240" w:line="360" w:lineRule="auto"/>
        <w:jc w:val="both"/>
        <w:rPr>
          <w:rFonts w:ascii="Palatino Linotype" w:eastAsia="Palatino Linotype" w:hAnsi="Palatino Linotype" w:cs="Palatino Linotype"/>
          <w:b/>
          <w:sz w:val="22"/>
          <w:szCs w:val="22"/>
        </w:rPr>
      </w:pPr>
      <w:r w:rsidRPr="009C02E6">
        <w:rPr>
          <w:rFonts w:ascii="Palatino Linotype" w:eastAsia="Palatino Linotype" w:hAnsi="Palatino Linotype" w:cs="Palatino Linotype"/>
          <w:sz w:val="22"/>
          <w:szCs w:val="22"/>
        </w:rPr>
        <w:t xml:space="preserve">En otras palabras, </w:t>
      </w:r>
      <w:r w:rsidR="00DB2E98" w:rsidRPr="009C02E6">
        <w:rPr>
          <w:rFonts w:ascii="Palatino Linotype" w:eastAsia="Palatino Linotype" w:hAnsi="Palatino Linotype" w:cs="Palatino Linotype"/>
          <w:sz w:val="22"/>
          <w:szCs w:val="22"/>
        </w:rPr>
        <w:t>el S</w:t>
      </w:r>
      <w:r w:rsidR="00DB2E98" w:rsidRPr="009C02E6">
        <w:rPr>
          <w:rFonts w:ascii="Palatino Linotype" w:eastAsia="Palatino Linotype" w:hAnsi="Palatino Linotype" w:cs="Palatino Linotype"/>
          <w:b/>
          <w:sz w:val="22"/>
          <w:szCs w:val="22"/>
        </w:rPr>
        <w:t>ujeto Obligado</w:t>
      </w:r>
      <w:r w:rsidRPr="009C02E6">
        <w:rPr>
          <w:rFonts w:ascii="Palatino Linotype" w:eastAsia="Palatino Linotype" w:hAnsi="Palatino Linotype" w:cs="Palatino Linotype"/>
          <w:b/>
          <w:sz w:val="22"/>
          <w:szCs w:val="22"/>
        </w:rPr>
        <w:t xml:space="preserve"> </w:t>
      </w:r>
      <w:r w:rsidRPr="009C02E6">
        <w:rPr>
          <w:rFonts w:ascii="Palatino Linotype" w:eastAsia="Palatino Linotype" w:hAnsi="Palatino Linotype" w:cs="Palatino Linotype"/>
          <w:sz w:val="22"/>
          <w:szCs w:val="22"/>
        </w:rPr>
        <w:t xml:space="preserve"> en atención a la solicitud</w:t>
      </w:r>
      <w:r w:rsidR="009D195A" w:rsidRPr="009C02E6">
        <w:rPr>
          <w:rFonts w:ascii="Palatino Linotype" w:eastAsia="Palatino Linotype" w:hAnsi="Palatino Linotype" w:cs="Palatino Linotype"/>
          <w:sz w:val="22"/>
          <w:szCs w:val="22"/>
        </w:rPr>
        <w:t xml:space="preserve"> </w:t>
      </w:r>
      <w:r w:rsidRPr="009C02E6">
        <w:rPr>
          <w:rFonts w:ascii="Palatino Linotype" w:eastAsia="Palatino Linotype" w:hAnsi="Palatino Linotype" w:cs="Palatino Linotype"/>
          <w:sz w:val="22"/>
          <w:szCs w:val="22"/>
        </w:rPr>
        <w:t>refirió</w:t>
      </w:r>
      <w:r w:rsidR="009D195A" w:rsidRPr="009C02E6">
        <w:rPr>
          <w:rFonts w:ascii="Palatino Linotype" w:eastAsia="Palatino Linotype" w:hAnsi="Palatino Linotype" w:cs="Palatino Linotype"/>
          <w:sz w:val="22"/>
          <w:szCs w:val="22"/>
        </w:rPr>
        <w:t xml:space="preserve"> que no podía hacer entrega de la información, al no conocer el expediente del cual se requiere la información, </w:t>
      </w:r>
      <w:r w:rsidR="007D5015" w:rsidRPr="009C02E6">
        <w:rPr>
          <w:rFonts w:ascii="Palatino Linotype" w:eastAsia="Palatino Linotype" w:hAnsi="Palatino Linotype" w:cs="Palatino Linotype"/>
          <w:sz w:val="22"/>
          <w:szCs w:val="22"/>
        </w:rPr>
        <w:t>no obstante</w:t>
      </w:r>
      <w:r w:rsidR="003422A6" w:rsidRPr="009C02E6">
        <w:rPr>
          <w:rFonts w:ascii="Palatino Linotype" w:eastAsia="Palatino Linotype" w:hAnsi="Palatino Linotype" w:cs="Palatino Linotype"/>
          <w:sz w:val="22"/>
          <w:szCs w:val="22"/>
        </w:rPr>
        <w:t>, proporcionó la liga electrónica de la página de este Instituto,</w:t>
      </w:r>
      <w:r w:rsidR="00E37957" w:rsidRPr="009C02E6">
        <w:rPr>
          <w:rFonts w:ascii="Palatino Linotype" w:eastAsia="Palatino Linotype" w:hAnsi="Palatino Linotype" w:cs="Palatino Linotype"/>
          <w:sz w:val="22"/>
          <w:szCs w:val="22"/>
        </w:rPr>
        <w:t xml:space="preserve"> </w:t>
      </w:r>
      <w:r w:rsidR="00C604B6" w:rsidRPr="009C02E6">
        <w:rPr>
          <w:rFonts w:ascii="Palatino Linotype" w:eastAsia="Palatino Linotype" w:hAnsi="Palatino Linotype" w:cs="Palatino Linotype"/>
          <w:sz w:val="22"/>
          <w:szCs w:val="22"/>
        </w:rPr>
        <w:t>donde se encuentran publicadas las versiones públicas de las resoluciones apr</w:t>
      </w:r>
      <w:r w:rsidR="00DE49D2" w:rsidRPr="009C02E6">
        <w:rPr>
          <w:rFonts w:ascii="Palatino Linotype" w:eastAsia="Palatino Linotype" w:hAnsi="Palatino Linotype" w:cs="Palatino Linotype"/>
          <w:sz w:val="22"/>
          <w:szCs w:val="22"/>
        </w:rPr>
        <w:t>obadas por el Pleno</w:t>
      </w:r>
      <w:r w:rsidR="007D5015" w:rsidRPr="009C02E6">
        <w:rPr>
          <w:rFonts w:ascii="Palatino Linotype" w:eastAsia="Palatino Linotype" w:hAnsi="Palatino Linotype" w:cs="Palatino Linotype"/>
          <w:sz w:val="22"/>
          <w:szCs w:val="22"/>
        </w:rPr>
        <w:t>, con la finalidad de que la persona solicitante consultara la información que es de su interés</w:t>
      </w:r>
      <w:r w:rsidR="00794CB0" w:rsidRPr="009C02E6">
        <w:rPr>
          <w:rFonts w:ascii="Palatino Linotype" w:eastAsia="Palatino Linotype" w:hAnsi="Palatino Linotype" w:cs="Palatino Linotype"/>
          <w:sz w:val="22"/>
          <w:szCs w:val="22"/>
        </w:rPr>
        <w:t xml:space="preserve">, </w:t>
      </w:r>
      <w:r w:rsidR="00045994" w:rsidRPr="009C02E6">
        <w:rPr>
          <w:rFonts w:ascii="Palatino Linotype" w:eastAsia="Palatino Linotype" w:hAnsi="Palatino Linotype" w:cs="Palatino Linotype"/>
          <w:sz w:val="22"/>
          <w:szCs w:val="22"/>
        </w:rPr>
        <w:t xml:space="preserve">mientras que </w:t>
      </w:r>
      <w:r w:rsidR="00045994" w:rsidRPr="009C02E6">
        <w:rPr>
          <w:rFonts w:ascii="Palatino Linotype" w:eastAsia="Palatino Linotype" w:hAnsi="Palatino Linotype" w:cs="Palatino Linotype"/>
          <w:b/>
          <w:sz w:val="22"/>
          <w:szCs w:val="22"/>
        </w:rPr>
        <w:t xml:space="preserve">la parte </w:t>
      </w:r>
      <w:r w:rsidR="006951BB" w:rsidRPr="009C02E6">
        <w:rPr>
          <w:rFonts w:ascii="Palatino Linotype" w:eastAsia="Palatino Linotype" w:hAnsi="Palatino Linotype" w:cs="Palatino Linotype"/>
          <w:b/>
          <w:sz w:val="22"/>
          <w:szCs w:val="22"/>
        </w:rPr>
        <w:t xml:space="preserve">Recurrente se inconformó porque en el link proporcionado no estaba el expediente completo, sino </w:t>
      </w:r>
      <w:r w:rsidR="007D3A5F" w:rsidRPr="009C02E6">
        <w:rPr>
          <w:rFonts w:ascii="Palatino Linotype" w:eastAsia="Palatino Linotype" w:hAnsi="Palatino Linotype" w:cs="Palatino Linotype"/>
          <w:b/>
          <w:sz w:val="22"/>
          <w:szCs w:val="22"/>
        </w:rPr>
        <w:t>únicamente</w:t>
      </w:r>
      <w:r w:rsidR="006951BB" w:rsidRPr="009C02E6">
        <w:rPr>
          <w:rFonts w:ascii="Palatino Linotype" w:eastAsia="Palatino Linotype" w:hAnsi="Palatino Linotype" w:cs="Palatino Linotype"/>
          <w:b/>
          <w:sz w:val="22"/>
          <w:szCs w:val="22"/>
        </w:rPr>
        <w:t xml:space="preserve"> </w:t>
      </w:r>
      <w:r w:rsidR="006951BB" w:rsidRPr="009C02E6">
        <w:rPr>
          <w:rFonts w:ascii="Palatino Linotype" w:eastAsia="Palatino Linotype" w:hAnsi="Palatino Linotype" w:cs="Palatino Linotype"/>
          <w:b/>
          <w:sz w:val="22"/>
          <w:szCs w:val="22"/>
          <w:u w:val="single"/>
        </w:rPr>
        <w:t>el número del recurso de revisión</w:t>
      </w:r>
      <w:r w:rsidR="00133300" w:rsidRPr="009C02E6">
        <w:rPr>
          <w:rFonts w:ascii="Palatino Linotype" w:eastAsia="Palatino Linotype" w:hAnsi="Palatino Linotype" w:cs="Palatino Linotype"/>
          <w:b/>
          <w:sz w:val="22"/>
          <w:szCs w:val="22"/>
        </w:rPr>
        <w:t>,</w:t>
      </w:r>
      <w:r w:rsidR="00FD3131" w:rsidRPr="009C02E6">
        <w:rPr>
          <w:rFonts w:ascii="Palatino Linotype" w:eastAsia="Palatino Linotype" w:hAnsi="Palatino Linotype" w:cs="Palatino Linotype"/>
          <w:b/>
          <w:sz w:val="22"/>
          <w:szCs w:val="22"/>
        </w:rPr>
        <w:t xml:space="preserve"> </w:t>
      </w:r>
      <w:r w:rsidR="00045994" w:rsidRPr="009C02E6">
        <w:rPr>
          <w:rFonts w:ascii="Palatino Linotype" w:eastAsia="Palatino Linotype" w:hAnsi="Palatino Linotype" w:cs="Palatino Linotype"/>
          <w:sz w:val="22"/>
          <w:szCs w:val="22"/>
        </w:rPr>
        <w:t>sin embargo</w:t>
      </w:r>
      <w:r w:rsidR="00045994" w:rsidRPr="009C02E6">
        <w:rPr>
          <w:rFonts w:ascii="Palatino Linotype" w:eastAsia="Palatino Linotype" w:hAnsi="Palatino Linotype" w:cs="Palatino Linotype"/>
          <w:b/>
          <w:sz w:val="22"/>
          <w:szCs w:val="22"/>
        </w:rPr>
        <w:t>,</w:t>
      </w:r>
      <w:r w:rsidR="00FD3131" w:rsidRPr="009C02E6">
        <w:rPr>
          <w:rFonts w:ascii="Palatino Linotype" w:eastAsia="Palatino Linotype" w:hAnsi="Palatino Linotype" w:cs="Palatino Linotype"/>
          <w:b/>
          <w:sz w:val="22"/>
          <w:szCs w:val="22"/>
        </w:rPr>
        <w:t xml:space="preserve"> no debe perderse de vista que </w:t>
      </w:r>
      <w:r w:rsidR="00FD3131" w:rsidRPr="009C02E6">
        <w:rPr>
          <w:rFonts w:ascii="Palatino Linotype" w:eastAsia="Palatino Linotype" w:hAnsi="Palatino Linotype" w:cs="Palatino Linotype"/>
          <w:b/>
          <w:sz w:val="22"/>
          <w:szCs w:val="22"/>
          <w:u w:val="single"/>
        </w:rPr>
        <w:t xml:space="preserve">la </w:t>
      </w:r>
      <w:r w:rsidR="000E4A4B" w:rsidRPr="009C02E6">
        <w:rPr>
          <w:rFonts w:ascii="Palatino Linotype" w:eastAsia="Palatino Linotype" w:hAnsi="Palatino Linotype" w:cs="Palatino Linotype"/>
          <w:b/>
          <w:sz w:val="22"/>
          <w:szCs w:val="22"/>
          <w:u w:val="single"/>
        </w:rPr>
        <w:t>persona solicitante</w:t>
      </w:r>
      <w:r w:rsidR="00FD3131" w:rsidRPr="009C02E6">
        <w:rPr>
          <w:rFonts w:ascii="Palatino Linotype" w:eastAsia="Palatino Linotype" w:hAnsi="Palatino Linotype" w:cs="Palatino Linotype"/>
          <w:b/>
          <w:sz w:val="22"/>
          <w:szCs w:val="22"/>
          <w:u w:val="single"/>
        </w:rPr>
        <w:t xml:space="preserve"> no proporcionó el número del expediente o el </w:t>
      </w:r>
      <w:r w:rsidR="002A087E" w:rsidRPr="009C02E6">
        <w:rPr>
          <w:rFonts w:ascii="Palatino Linotype" w:eastAsia="Palatino Linotype" w:hAnsi="Palatino Linotype" w:cs="Palatino Linotype"/>
          <w:b/>
          <w:sz w:val="22"/>
          <w:szCs w:val="22"/>
          <w:u w:val="single"/>
        </w:rPr>
        <w:t xml:space="preserve">número </w:t>
      </w:r>
      <w:r w:rsidR="00FD3131" w:rsidRPr="009C02E6">
        <w:rPr>
          <w:rFonts w:ascii="Palatino Linotype" w:eastAsia="Palatino Linotype" w:hAnsi="Palatino Linotype" w:cs="Palatino Linotype"/>
          <w:b/>
          <w:sz w:val="22"/>
          <w:szCs w:val="22"/>
          <w:u w:val="single"/>
        </w:rPr>
        <w:t>recurso de revisión</w:t>
      </w:r>
      <w:r w:rsidR="000E4A4B" w:rsidRPr="009C02E6">
        <w:rPr>
          <w:rFonts w:ascii="Palatino Linotype" w:eastAsia="Palatino Linotype" w:hAnsi="Palatino Linotype" w:cs="Palatino Linotype"/>
          <w:b/>
          <w:sz w:val="22"/>
          <w:szCs w:val="22"/>
          <w:u w:val="single"/>
        </w:rPr>
        <w:t xml:space="preserve"> del cual requirió información</w:t>
      </w:r>
      <w:r w:rsidR="000E4A4B" w:rsidRPr="009C02E6">
        <w:rPr>
          <w:rFonts w:ascii="Palatino Linotype" w:eastAsia="Palatino Linotype" w:hAnsi="Palatino Linotype" w:cs="Palatino Linotype"/>
          <w:b/>
          <w:sz w:val="22"/>
          <w:szCs w:val="22"/>
        </w:rPr>
        <w:t>, tal y como lo precisó el Sujeto Obligado</w:t>
      </w:r>
      <w:r w:rsidR="00045E57" w:rsidRPr="009C02E6">
        <w:rPr>
          <w:rFonts w:ascii="Palatino Linotype" w:eastAsia="Palatino Linotype" w:hAnsi="Palatino Linotype" w:cs="Palatino Linotype"/>
          <w:b/>
          <w:sz w:val="22"/>
          <w:szCs w:val="22"/>
        </w:rPr>
        <w:t xml:space="preserve"> en respuesta</w:t>
      </w:r>
      <w:r w:rsidR="00EC508B" w:rsidRPr="009C02E6">
        <w:rPr>
          <w:rFonts w:ascii="Palatino Linotype" w:eastAsia="Palatino Linotype" w:hAnsi="Palatino Linotype" w:cs="Palatino Linotype"/>
          <w:b/>
          <w:sz w:val="22"/>
          <w:szCs w:val="22"/>
        </w:rPr>
        <w:t>, por lo que no pudo atender la solicitud de manera adecuada.</w:t>
      </w:r>
    </w:p>
    <w:p w14:paraId="4847B92E" w14:textId="407D5D1A" w:rsidR="00FF492A" w:rsidRPr="009C02E6" w:rsidRDefault="00EA5C45" w:rsidP="00FF492A">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 xml:space="preserve">Bajo esta línea de pensamiento, </w:t>
      </w:r>
      <w:r w:rsidR="00FF492A" w:rsidRPr="009C02E6">
        <w:rPr>
          <w:rFonts w:ascii="Palatino Linotype" w:eastAsia="Palatino Linotype" w:hAnsi="Palatino Linotype" w:cs="Palatino Linotype"/>
          <w:sz w:val="22"/>
          <w:szCs w:val="22"/>
        </w:rPr>
        <w:t>resulta necesario traer a colación lo que establece el artículo 155 de la Ley de Transparencia y Acceso a la Información Pública del Estado de México y Municipios, que señala lo siguiente:</w:t>
      </w:r>
    </w:p>
    <w:p w14:paraId="10E0DF2F" w14:textId="77777777" w:rsidR="00FF492A" w:rsidRPr="009C02E6" w:rsidRDefault="00FF492A" w:rsidP="00FF492A">
      <w:pPr>
        <w:spacing w:before="120" w:after="120"/>
        <w:ind w:left="851" w:right="902"/>
        <w:jc w:val="both"/>
        <w:rPr>
          <w:rFonts w:ascii="Palatino Linotype" w:eastAsia="Palatino Linotype" w:hAnsi="Palatino Linotype" w:cs="Palatino Linotype"/>
          <w:i/>
          <w:sz w:val="22"/>
          <w:szCs w:val="22"/>
        </w:rPr>
      </w:pPr>
      <w:r w:rsidRPr="009C02E6">
        <w:rPr>
          <w:rFonts w:ascii="Palatino Linotype" w:eastAsia="Palatino Linotype" w:hAnsi="Palatino Linotype" w:cs="Palatino Linotype"/>
          <w:i/>
          <w:sz w:val="22"/>
          <w:szCs w:val="22"/>
        </w:rPr>
        <w:t>“</w:t>
      </w:r>
      <w:r w:rsidRPr="009C02E6">
        <w:rPr>
          <w:rFonts w:ascii="Palatino Linotype" w:eastAsia="Palatino Linotype" w:hAnsi="Palatino Linotype" w:cs="Palatino Linotype"/>
          <w:b/>
          <w:i/>
          <w:sz w:val="22"/>
          <w:szCs w:val="22"/>
        </w:rPr>
        <w:t>Artículo 155.</w:t>
      </w:r>
      <w:r w:rsidRPr="009C02E6">
        <w:rPr>
          <w:rFonts w:ascii="Palatino Linotype" w:eastAsia="Palatino Linotype" w:hAnsi="Palatino Linotype" w:cs="Palatino Linotype"/>
          <w:i/>
          <w:sz w:val="22"/>
          <w:szCs w:val="22"/>
        </w:rPr>
        <w:t xml:space="preserve"> Para presentar una solicitud por escrito, no se podrán exigir mayores requisitos que los siguientes: </w:t>
      </w:r>
    </w:p>
    <w:p w14:paraId="1DDEDA0E" w14:textId="77777777" w:rsidR="00FF492A" w:rsidRPr="009C02E6" w:rsidRDefault="00FF492A" w:rsidP="00FF492A">
      <w:pPr>
        <w:spacing w:before="120" w:after="120"/>
        <w:ind w:left="851" w:right="902"/>
        <w:jc w:val="both"/>
        <w:rPr>
          <w:rFonts w:ascii="Palatino Linotype" w:eastAsia="Palatino Linotype" w:hAnsi="Palatino Linotype" w:cs="Palatino Linotype"/>
          <w:i/>
          <w:sz w:val="22"/>
          <w:szCs w:val="22"/>
        </w:rPr>
      </w:pPr>
      <w:r w:rsidRPr="009C02E6">
        <w:rPr>
          <w:rFonts w:ascii="Palatino Linotype" w:eastAsia="Palatino Linotype" w:hAnsi="Palatino Linotype" w:cs="Palatino Linotype"/>
          <w:i/>
          <w:sz w:val="22"/>
          <w:szCs w:val="22"/>
        </w:rPr>
        <w:t>I. Nombre del solicitante, o en su caso, los datos generales de su representante;</w:t>
      </w:r>
    </w:p>
    <w:p w14:paraId="0960059C" w14:textId="6CCC2BDD" w:rsidR="00FF492A" w:rsidRPr="009C02E6" w:rsidRDefault="00FF492A" w:rsidP="00FF492A">
      <w:pPr>
        <w:spacing w:before="120" w:after="120"/>
        <w:ind w:left="851" w:right="902"/>
        <w:jc w:val="both"/>
        <w:rPr>
          <w:rFonts w:ascii="Palatino Linotype" w:eastAsia="Palatino Linotype" w:hAnsi="Palatino Linotype" w:cs="Palatino Linotype"/>
          <w:i/>
          <w:sz w:val="22"/>
          <w:szCs w:val="22"/>
        </w:rPr>
      </w:pPr>
      <w:r w:rsidRPr="009C02E6">
        <w:rPr>
          <w:rFonts w:ascii="Palatino Linotype" w:eastAsia="Palatino Linotype" w:hAnsi="Palatino Linotype" w:cs="Palatino Linotype"/>
          <w:i/>
          <w:sz w:val="22"/>
          <w:szCs w:val="22"/>
        </w:rPr>
        <w:t xml:space="preserve">II. Domicilio o en su caso correo electrónico para recibir notificaciones; </w:t>
      </w:r>
    </w:p>
    <w:p w14:paraId="43C3DFD4" w14:textId="77777777" w:rsidR="00FF492A" w:rsidRPr="009C02E6" w:rsidRDefault="00FF492A" w:rsidP="00FF492A">
      <w:pPr>
        <w:spacing w:before="120" w:after="120"/>
        <w:ind w:left="851" w:right="902"/>
        <w:jc w:val="both"/>
        <w:rPr>
          <w:rFonts w:ascii="Palatino Linotype" w:eastAsia="Palatino Linotype" w:hAnsi="Palatino Linotype" w:cs="Palatino Linotype"/>
          <w:i/>
          <w:sz w:val="22"/>
          <w:szCs w:val="22"/>
        </w:rPr>
      </w:pPr>
      <w:r w:rsidRPr="009C02E6">
        <w:rPr>
          <w:rFonts w:ascii="Palatino Linotype" w:eastAsia="Palatino Linotype" w:hAnsi="Palatino Linotype" w:cs="Palatino Linotype"/>
          <w:b/>
          <w:i/>
          <w:sz w:val="22"/>
          <w:szCs w:val="22"/>
        </w:rPr>
        <w:t>III. La descripción de la información solicitada</w:t>
      </w:r>
      <w:r w:rsidRPr="009C02E6">
        <w:rPr>
          <w:rFonts w:ascii="Palatino Linotype" w:eastAsia="Palatino Linotype" w:hAnsi="Palatino Linotype" w:cs="Palatino Linotype"/>
          <w:i/>
          <w:sz w:val="22"/>
          <w:szCs w:val="22"/>
        </w:rPr>
        <w:t xml:space="preserve">; </w:t>
      </w:r>
    </w:p>
    <w:p w14:paraId="4C6E9DA9" w14:textId="77777777" w:rsidR="00FF492A" w:rsidRPr="009C02E6" w:rsidRDefault="00FF492A" w:rsidP="00FF492A">
      <w:pPr>
        <w:spacing w:before="120" w:after="120"/>
        <w:ind w:left="851" w:right="902"/>
        <w:jc w:val="both"/>
        <w:rPr>
          <w:rFonts w:ascii="Palatino Linotype" w:eastAsia="Palatino Linotype" w:hAnsi="Palatino Linotype" w:cs="Palatino Linotype"/>
          <w:b/>
          <w:i/>
          <w:sz w:val="22"/>
          <w:szCs w:val="22"/>
        </w:rPr>
      </w:pPr>
      <w:r w:rsidRPr="009C02E6">
        <w:rPr>
          <w:rFonts w:ascii="Palatino Linotype" w:eastAsia="Palatino Linotype" w:hAnsi="Palatino Linotype" w:cs="Palatino Linotype"/>
          <w:b/>
          <w:i/>
          <w:sz w:val="22"/>
          <w:szCs w:val="22"/>
        </w:rPr>
        <w:t xml:space="preserve">IV. Cualquier otro dato que facilite la búsqueda y eventual localización de la información; y </w:t>
      </w:r>
    </w:p>
    <w:p w14:paraId="4AA32779" w14:textId="77777777" w:rsidR="00FF492A" w:rsidRPr="009C02E6" w:rsidRDefault="00FF492A" w:rsidP="00FF492A">
      <w:pPr>
        <w:spacing w:before="120" w:after="120"/>
        <w:ind w:left="851" w:right="902"/>
        <w:jc w:val="both"/>
        <w:rPr>
          <w:rFonts w:ascii="Palatino Linotype" w:eastAsia="Palatino Linotype" w:hAnsi="Palatino Linotype" w:cs="Palatino Linotype"/>
          <w:i/>
          <w:sz w:val="22"/>
          <w:szCs w:val="22"/>
        </w:rPr>
      </w:pPr>
      <w:r w:rsidRPr="009C02E6">
        <w:rPr>
          <w:rFonts w:ascii="Palatino Linotype" w:eastAsia="Palatino Linotype" w:hAnsi="Palatino Linotype" w:cs="Palatino Linotype"/>
          <w:i/>
          <w:sz w:val="22"/>
          <w:szCs w:val="22"/>
        </w:rPr>
        <w:t xml:space="preserve">V. La modalidad en la que prefiere se otorgue el acceso a la información, la cual podrá ser verbal, siempre y cuando sea para fines de orientación, mediante consulta directa, mediante la expedición de copias simples o certificadas o la reproducción en cualquier otro medio, incluidos los electrónicos. </w:t>
      </w:r>
    </w:p>
    <w:p w14:paraId="702E26F1" w14:textId="77777777" w:rsidR="00FF492A" w:rsidRPr="009C02E6" w:rsidRDefault="00FF492A" w:rsidP="00FF492A">
      <w:pPr>
        <w:spacing w:before="120" w:after="120"/>
        <w:ind w:left="851" w:right="902"/>
        <w:jc w:val="both"/>
        <w:rPr>
          <w:rFonts w:ascii="Palatino Linotype" w:eastAsia="Palatino Linotype" w:hAnsi="Palatino Linotype" w:cs="Palatino Linotype"/>
          <w:i/>
          <w:sz w:val="22"/>
          <w:szCs w:val="22"/>
        </w:rPr>
      </w:pPr>
      <w:r w:rsidRPr="009C02E6">
        <w:rPr>
          <w:rFonts w:ascii="Palatino Linotype" w:eastAsia="Palatino Linotype" w:hAnsi="Palatino Linotype" w:cs="Palatino Linotype"/>
          <w:i/>
          <w:sz w:val="22"/>
          <w:szCs w:val="22"/>
        </w:rPr>
        <w:t xml:space="preserve">Queda prohibido para los sujetos obligados recabar datos que den lugar a indagatorias sobre las motivaciones de la solicitud de información y su uso posterior. </w:t>
      </w:r>
    </w:p>
    <w:p w14:paraId="3598F186" w14:textId="77777777" w:rsidR="00FF492A" w:rsidRPr="009C02E6" w:rsidRDefault="00FF492A" w:rsidP="00FF492A">
      <w:pPr>
        <w:spacing w:before="120" w:after="120"/>
        <w:ind w:left="851" w:right="902"/>
        <w:jc w:val="both"/>
        <w:rPr>
          <w:rFonts w:ascii="Palatino Linotype" w:eastAsia="Palatino Linotype" w:hAnsi="Palatino Linotype" w:cs="Palatino Linotype"/>
          <w:i/>
          <w:sz w:val="22"/>
          <w:szCs w:val="22"/>
        </w:rPr>
      </w:pPr>
      <w:r w:rsidRPr="009C02E6">
        <w:rPr>
          <w:rFonts w:ascii="Palatino Linotype" w:eastAsia="Palatino Linotype" w:hAnsi="Palatino Linotype" w:cs="Palatino Linotype"/>
          <w:i/>
          <w:sz w:val="22"/>
          <w:szCs w:val="22"/>
        </w:rPr>
        <w:t xml:space="preserve">Las solicitudes anónimas, con nombre incompleto o seudónimo serán procedentes para su trámite por parte del sujeto obligado ante quien se presente. </w:t>
      </w:r>
    </w:p>
    <w:p w14:paraId="477672D4" w14:textId="77777777" w:rsidR="00FF492A" w:rsidRPr="009C02E6" w:rsidRDefault="00FF492A" w:rsidP="00FF492A">
      <w:pPr>
        <w:spacing w:before="120" w:after="120"/>
        <w:ind w:left="851" w:right="902"/>
        <w:jc w:val="both"/>
        <w:rPr>
          <w:rFonts w:ascii="Palatino Linotype" w:eastAsia="Palatino Linotype" w:hAnsi="Palatino Linotype" w:cs="Palatino Linotype"/>
          <w:i/>
          <w:sz w:val="22"/>
          <w:szCs w:val="22"/>
        </w:rPr>
      </w:pPr>
      <w:r w:rsidRPr="009C02E6">
        <w:rPr>
          <w:rFonts w:ascii="Palatino Linotype" w:eastAsia="Palatino Linotype" w:hAnsi="Palatino Linotype" w:cs="Palatino Linotype"/>
          <w:i/>
          <w:sz w:val="22"/>
          <w:szCs w:val="22"/>
        </w:rPr>
        <w:t xml:space="preserve">No podrá requerirse información adicional con motivo del nombre proporcionado por el solicitante. </w:t>
      </w:r>
    </w:p>
    <w:p w14:paraId="261FFDFE" w14:textId="77777777" w:rsidR="00FF492A" w:rsidRPr="009C02E6" w:rsidRDefault="00FF492A" w:rsidP="00FF492A">
      <w:pPr>
        <w:spacing w:before="120" w:after="120"/>
        <w:ind w:left="851" w:right="902"/>
        <w:jc w:val="both"/>
        <w:rPr>
          <w:rFonts w:ascii="Palatino Linotype" w:eastAsia="Palatino Linotype" w:hAnsi="Palatino Linotype" w:cs="Palatino Linotype"/>
          <w:i/>
          <w:sz w:val="22"/>
          <w:szCs w:val="22"/>
        </w:rPr>
      </w:pPr>
      <w:r w:rsidRPr="009C02E6">
        <w:rPr>
          <w:rFonts w:ascii="Palatino Linotype" w:eastAsia="Palatino Linotype" w:hAnsi="Palatino Linotype" w:cs="Palatino Linotype"/>
          <w:i/>
          <w:sz w:val="22"/>
          <w:szCs w:val="22"/>
        </w:rPr>
        <w:t>La información de las fracciones I y IV será proporcionada por el solicitante de manera opcional y, en ningún caso, podrá ser un requisito indispensable para la procedencia de la solicitud.</w:t>
      </w:r>
    </w:p>
    <w:p w14:paraId="580835AD" w14:textId="77777777" w:rsidR="00FF492A" w:rsidRPr="009C02E6" w:rsidRDefault="00FF492A" w:rsidP="00FF492A">
      <w:pPr>
        <w:spacing w:before="240" w:after="240" w:line="360" w:lineRule="auto"/>
        <w:ind w:right="-28"/>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Del numeral en cita, se desprende que, para presentar una solicitud de información, entre otros requisitos, se requiere la descripción de la información solicitada, así como proporcionar cualquier otro dato que facilite la búsqueda y eventual localización de la información.</w:t>
      </w:r>
    </w:p>
    <w:p w14:paraId="73D1A9FC" w14:textId="06F234FE" w:rsidR="00FF492A" w:rsidRPr="009C02E6" w:rsidRDefault="00FF492A" w:rsidP="00FF492A">
      <w:pPr>
        <w:spacing w:before="240" w:after="240" w:line="360" w:lineRule="auto"/>
        <w:ind w:right="-28"/>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No obstante, del análisis a la solicitud de información, se advierte que la persona solicitante señaló que pretendía acceder a las constancias de un recurso de revisión, sin embargo,</w:t>
      </w:r>
      <w:r w:rsidRPr="009C02E6">
        <w:rPr>
          <w:rFonts w:ascii="Palatino Linotype" w:eastAsia="Palatino Linotype" w:hAnsi="Palatino Linotype" w:cs="Palatino Linotype"/>
          <w:sz w:val="22"/>
          <w:szCs w:val="22"/>
          <w:u w:val="single"/>
        </w:rPr>
        <w:t xml:space="preserve"> fue omisa en proporcionar el número de este o aportar otros elementos que permitieran identificar la información a la cual pretende acceder</w:t>
      </w:r>
      <w:r w:rsidRPr="009C02E6">
        <w:rPr>
          <w:rFonts w:ascii="Palatino Linotype" w:eastAsia="Palatino Linotype" w:hAnsi="Palatino Linotype" w:cs="Palatino Linotype"/>
          <w:sz w:val="22"/>
          <w:szCs w:val="22"/>
        </w:rPr>
        <w:t xml:space="preserve">; lo que conlleva en afirmar que no fue preciso en la información que es de su interés. </w:t>
      </w:r>
    </w:p>
    <w:p w14:paraId="532BFF4F" w14:textId="77777777" w:rsidR="00FF492A" w:rsidRPr="009C02E6" w:rsidRDefault="00FF492A" w:rsidP="00FF492A">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 xml:space="preserve">De esta manera, derivado que en su solicitud la hoy parte </w:t>
      </w:r>
      <w:r w:rsidRPr="009C02E6">
        <w:rPr>
          <w:rFonts w:ascii="Palatino Linotype" w:eastAsia="Palatino Linotype" w:hAnsi="Palatino Linotype" w:cs="Palatino Linotype"/>
          <w:b/>
          <w:sz w:val="22"/>
          <w:szCs w:val="22"/>
        </w:rPr>
        <w:t xml:space="preserve">Recurrente </w:t>
      </w:r>
      <w:r w:rsidRPr="009C02E6">
        <w:rPr>
          <w:rFonts w:ascii="Palatino Linotype" w:eastAsia="Palatino Linotype" w:hAnsi="Palatino Linotype" w:cs="Palatino Linotype"/>
          <w:sz w:val="22"/>
          <w:szCs w:val="22"/>
        </w:rPr>
        <w:t xml:space="preserve">no proporcionó elementos que permitieran la localización de la información de su interés, independientemente de que su inconformidad encuadre en el supuesto de procedencia previsto en el artículo 179 fracción I de la Ley de Transparencia Local, relativo a la negativa a la entrega de la información, su agravio resulta </w:t>
      </w:r>
      <w:r w:rsidRPr="009C02E6">
        <w:rPr>
          <w:rFonts w:ascii="Palatino Linotype" w:eastAsia="Palatino Linotype" w:hAnsi="Palatino Linotype" w:cs="Palatino Linotype"/>
          <w:b/>
          <w:sz w:val="22"/>
          <w:szCs w:val="22"/>
        </w:rPr>
        <w:t>inoperante</w:t>
      </w:r>
      <w:r w:rsidRPr="009C02E6">
        <w:rPr>
          <w:rFonts w:ascii="Palatino Linotype" w:eastAsia="Palatino Linotype" w:hAnsi="Palatino Linotype" w:cs="Palatino Linotype"/>
          <w:sz w:val="22"/>
          <w:szCs w:val="22"/>
        </w:rPr>
        <w:t>.</w:t>
      </w:r>
    </w:p>
    <w:p w14:paraId="4F1E6596" w14:textId="77777777" w:rsidR="00FF492A" w:rsidRPr="009C02E6" w:rsidRDefault="00FF492A" w:rsidP="00FF492A">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 xml:space="preserve">Lo anterior, debido a que, la solicitud de información </w:t>
      </w:r>
      <w:r w:rsidRPr="009C02E6">
        <w:rPr>
          <w:rFonts w:ascii="Palatino Linotype" w:eastAsia="Palatino Linotype" w:hAnsi="Palatino Linotype" w:cs="Palatino Linotype"/>
          <w:b/>
          <w:sz w:val="22"/>
          <w:szCs w:val="22"/>
        </w:rPr>
        <w:t>no es clara ni precisa</w:t>
      </w:r>
      <w:r w:rsidRPr="009C02E6">
        <w:rPr>
          <w:rFonts w:ascii="Palatino Linotype" w:eastAsia="Palatino Linotype" w:hAnsi="Palatino Linotype" w:cs="Palatino Linotype"/>
          <w:sz w:val="22"/>
          <w:szCs w:val="22"/>
        </w:rPr>
        <w:t xml:space="preserve"> y se desconocen los parámetros de búsqueda de la información porque no se aportaron elementos que permitieran identificar el recurso de revisión del cual se solicita la información.</w:t>
      </w:r>
    </w:p>
    <w:p w14:paraId="09C23B25" w14:textId="77777777" w:rsidR="00FF492A" w:rsidRPr="009C02E6" w:rsidRDefault="00FF492A" w:rsidP="00FF492A">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De ahí que no existe materia objeto de análisis en lo que respecta al requerimiento de información, siendo improcedente el análisis del mismo ante la falta de los elementos mínimos para facilitar la búsqueda y eventual localización de la información.</w:t>
      </w:r>
    </w:p>
    <w:p w14:paraId="37FA5A3A" w14:textId="77777777" w:rsidR="00FF492A" w:rsidRPr="009C02E6" w:rsidRDefault="00FF492A" w:rsidP="00FF492A">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b/>
          <w:sz w:val="22"/>
          <w:szCs w:val="22"/>
        </w:rPr>
        <w:t xml:space="preserve">En tal virtud, se dejan a salvo los derechos de la parte Recurrente </w:t>
      </w:r>
      <w:r w:rsidRPr="009C02E6">
        <w:rPr>
          <w:rFonts w:ascii="Palatino Linotype" w:eastAsia="Palatino Linotype" w:hAnsi="Palatino Linotype" w:cs="Palatino Linotype"/>
          <w:sz w:val="22"/>
          <w:szCs w:val="22"/>
        </w:rPr>
        <w:t>con la finalidad de que promueva una nueva solicitud de información con el objeto de que se allegue de la información de su interés.</w:t>
      </w:r>
    </w:p>
    <w:p w14:paraId="12F48325" w14:textId="0673004A" w:rsidR="00FF492A" w:rsidRPr="009C02E6" w:rsidRDefault="00FA4E7C" w:rsidP="00FF492A">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Por otro lado</w:t>
      </w:r>
      <w:r w:rsidR="00FF492A" w:rsidRPr="009C02E6">
        <w:rPr>
          <w:rFonts w:ascii="Palatino Linotype" w:eastAsia="Palatino Linotype" w:hAnsi="Palatino Linotype" w:cs="Palatino Linotype"/>
          <w:sz w:val="22"/>
          <w:szCs w:val="22"/>
        </w:rPr>
        <w:t>, no pasa po</w:t>
      </w:r>
      <w:r w:rsidRPr="009C02E6">
        <w:rPr>
          <w:rFonts w:ascii="Palatino Linotype" w:eastAsia="Palatino Linotype" w:hAnsi="Palatino Linotype" w:cs="Palatino Linotype"/>
          <w:sz w:val="22"/>
          <w:szCs w:val="22"/>
        </w:rPr>
        <w:t>r desapercibido para este Organismo</w:t>
      </w:r>
      <w:r w:rsidR="00FF492A" w:rsidRPr="009C02E6">
        <w:rPr>
          <w:rFonts w:ascii="Palatino Linotype" w:eastAsia="Palatino Linotype" w:hAnsi="Palatino Linotype" w:cs="Palatino Linotype"/>
          <w:sz w:val="22"/>
          <w:szCs w:val="22"/>
        </w:rPr>
        <w:t xml:space="preserve"> Garante que el artículo 159 de la Ley de Transparencia Local prevé como atribución para la Unidad de Transparencia de los sujetos obligados, llevar a cabo una solicitud de aclaración a</w:t>
      </w:r>
      <w:r w:rsidRPr="009C02E6">
        <w:rPr>
          <w:rFonts w:ascii="Palatino Linotype" w:eastAsia="Palatino Linotype" w:hAnsi="Palatino Linotype" w:cs="Palatino Linotype"/>
          <w:sz w:val="22"/>
          <w:szCs w:val="22"/>
        </w:rPr>
        <w:t xml:space="preserve"> </w:t>
      </w:r>
      <w:r w:rsidR="00FF492A" w:rsidRPr="009C02E6">
        <w:rPr>
          <w:rFonts w:ascii="Palatino Linotype" w:eastAsia="Palatino Linotype" w:hAnsi="Palatino Linotype" w:cs="Palatino Linotype"/>
          <w:sz w:val="22"/>
          <w:szCs w:val="22"/>
        </w:rPr>
        <w:t>l</w:t>
      </w:r>
      <w:r w:rsidRPr="009C02E6">
        <w:rPr>
          <w:rFonts w:ascii="Palatino Linotype" w:eastAsia="Palatino Linotype" w:hAnsi="Palatino Linotype" w:cs="Palatino Linotype"/>
          <w:sz w:val="22"/>
          <w:szCs w:val="22"/>
        </w:rPr>
        <w:t xml:space="preserve">as personas solicitantes </w:t>
      </w:r>
      <w:r w:rsidR="00FF492A" w:rsidRPr="009C02E6">
        <w:rPr>
          <w:rFonts w:ascii="Palatino Linotype" w:eastAsia="Palatino Linotype" w:hAnsi="Palatino Linotype" w:cs="Palatino Linotype"/>
          <w:sz w:val="22"/>
          <w:szCs w:val="22"/>
        </w:rPr>
        <w:t>en los casos en que los detalles proporcionados para localizar los documentos resulten insuficientes, incompletos o sean erróneos, misma que deberá realizarse por una sola vez y dentro de un plazo que no podrá exceder de cinco días hábiles contados a partir de la presentación de la solicitud, para que, en un término de hasta diez días hábiles, se indiquen otros elementos que complementen, corrijan o amplíen los datos proporcionados o bien, se precise uno o varios requerimientos de información, a saber:</w:t>
      </w:r>
    </w:p>
    <w:p w14:paraId="04DEB9CE" w14:textId="77777777" w:rsidR="00FA4E7C" w:rsidRPr="009C02E6" w:rsidRDefault="00FF492A" w:rsidP="00FF492A">
      <w:pPr>
        <w:spacing w:line="276" w:lineRule="auto"/>
        <w:ind w:left="567" w:right="567"/>
        <w:jc w:val="both"/>
        <w:rPr>
          <w:rFonts w:ascii="Palatino Linotype" w:eastAsia="Palatino Linotype" w:hAnsi="Palatino Linotype" w:cs="Palatino Linotype"/>
          <w:b/>
          <w:i/>
          <w:sz w:val="22"/>
          <w:szCs w:val="22"/>
        </w:rPr>
      </w:pPr>
      <w:r w:rsidRPr="009C02E6">
        <w:rPr>
          <w:rFonts w:ascii="Palatino Linotype" w:eastAsia="Palatino Linotype" w:hAnsi="Palatino Linotype" w:cs="Palatino Linotype"/>
          <w:i/>
          <w:sz w:val="22"/>
          <w:szCs w:val="22"/>
        </w:rPr>
        <w:t>“</w:t>
      </w:r>
      <w:r w:rsidRPr="009C02E6">
        <w:rPr>
          <w:rFonts w:ascii="Palatino Linotype" w:eastAsia="Palatino Linotype" w:hAnsi="Palatino Linotype" w:cs="Palatino Linotype"/>
          <w:b/>
          <w:i/>
          <w:sz w:val="22"/>
          <w:szCs w:val="22"/>
        </w:rPr>
        <w:t>Artículo 159.</w:t>
      </w:r>
      <w:r w:rsidRPr="009C02E6">
        <w:rPr>
          <w:rFonts w:ascii="Palatino Linotype" w:eastAsia="Palatino Linotype" w:hAnsi="Palatino Linotype" w:cs="Palatino Linotype"/>
          <w:i/>
          <w:sz w:val="22"/>
          <w:szCs w:val="22"/>
        </w:rPr>
        <w:t xml:space="preserve"> Cuando los detalles proporcionados para localizar los documentos resulten insuficientes, incompletos o sean erróneos, la Unidad de Transparencia</w:t>
      </w:r>
      <w:r w:rsidRPr="009C02E6">
        <w:rPr>
          <w:rFonts w:ascii="Palatino Linotype" w:eastAsia="Palatino Linotype" w:hAnsi="Palatino Linotype" w:cs="Palatino Linotype"/>
          <w:b/>
          <w:i/>
          <w:sz w:val="22"/>
          <w:szCs w:val="22"/>
        </w:rPr>
        <w:t xml:space="preserve"> podrá requerir al solicitante, por una sola vez y dentro de un plazo que no podrá exceder de cinco días hábiles contados a partir de la presentación de la solicitud, para que, en un término de hasta diez días hábiles, indique otros elementos que complementen, corrijan o amplíen los datos proporcionados o bien, precise uno o varios requerimientos de información.</w:t>
      </w:r>
    </w:p>
    <w:p w14:paraId="4DAFFC43" w14:textId="3801F146" w:rsidR="00FF492A" w:rsidRPr="009C02E6" w:rsidRDefault="00FF492A" w:rsidP="00FF492A">
      <w:pPr>
        <w:spacing w:line="276" w:lineRule="auto"/>
        <w:ind w:left="567" w:right="567"/>
        <w:jc w:val="both"/>
        <w:rPr>
          <w:rFonts w:ascii="Palatino Linotype" w:eastAsia="Palatino Linotype" w:hAnsi="Palatino Linotype" w:cs="Palatino Linotype"/>
          <w:b/>
          <w:i/>
          <w:sz w:val="22"/>
          <w:szCs w:val="22"/>
        </w:rPr>
      </w:pPr>
      <w:r w:rsidRPr="009C02E6">
        <w:rPr>
          <w:rFonts w:ascii="Palatino Linotype" w:eastAsia="Palatino Linotype" w:hAnsi="Palatino Linotype" w:cs="Palatino Linotype"/>
          <w:b/>
          <w:i/>
          <w:sz w:val="22"/>
          <w:szCs w:val="22"/>
        </w:rPr>
        <w:t>[…]”</w:t>
      </w:r>
    </w:p>
    <w:p w14:paraId="736D6EAD" w14:textId="77777777" w:rsidR="00FF492A" w:rsidRPr="009C02E6" w:rsidRDefault="00FF492A" w:rsidP="00FF492A">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 xml:space="preserve">  </w:t>
      </w:r>
    </w:p>
    <w:p w14:paraId="627919DA" w14:textId="77777777" w:rsidR="00FA4E7C" w:rsidRPr="009C02E6" w:rsidRDefault="00FF492A" w:rsidP="00FA4E7C">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 xml:space="preserve">Si bien, en el caso que nos ocupa, de la consulta al expediente </w:t>
      </w:r>
      <w:proofErr w:type="spellStart"/>
      <w:r w:rsidRPr="009C02E6">
        <w:rPr>
          <w:rFonts w:ascii="Palatino Linotype" w:eastAsia="Palatino Linotype" w:hAnsi="Palatino Linotype" w:cs="Palatino Linotype"/>
          <w:sz w:val="22"/>
          <w:szCs w:val="22"/>
        </w:rPr>
        <w:t>aperturado</w:t>
      </w:r>
      <w:proofErr w:type="spellEnd"/>
      <w:r w:rsidRPr="009C02E6">
        <w:rPr>
          <w:rFonts w:ascii="Palatino Linotype" w:eastAsia="Palatino Linotype" w:hAnsi="Palatino Linotype" w:cs="Palatino Linotype"/>
          <w:sz w:val="22"/>
          <w:szCs w:val="22"/>
        </w:rPr>
        <w:t xml:space="preserve"> con motivo del medio de impugnación que nos ocupa, se advierte que el ente público pretendió llevar a cabo el requerimiento o solicitud de aclaración con la finalidad de allegarse de mayores elementos para localizar la información requerida, este se advierte que se pretendió realizar al momento de entregar la respuesta.</w:t>
      </w:r>
    </w:p>
    <w:p w14:paraId="55423E88" w14:textId="77777777" w:rsidR="00FA4E7C" w:rsidRPr="009C02E6" w:rsidRDefault="00FF492A" w:rsidP="00FA4E7C">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 xml:space="preserve">Por lo que, a través de la presente </w:t>
      </w:r>
      <w:r w:rsidRPr="009C02E6">
        <w:rPr>
          <w:rFonts w:ascii="Palatino Linotype" w:eastAsia="Palatino Linotype" w:hAnsi="Palatino Linotype" w:cs="Palatino Linotype"/>
          <w:b/>
          <w:sz w:val="22"/>
          <w:szCs w:val="22"/>
        </w:rPr>
        <w:t xml:space="preserve">se exhorta al Sujeto Obligado </w:t>
      </w:r>
      <w:r w:rsidRPr="009C02E6">
        <w:rPr>
          <w:rFonts w:ascii="Palatino Linotype" w:eastAsia="Palatino Linotype" w:hAnsi="Palatino Linotype" w:cs="Palatino Linotype"/>
          <w:sz w:val="22"/>
          <w:szCs w:val="22"/>
        </w:rPr>
        <w:t>a que en futuras solicitudes, de no contar con los elementos para realizar la búsqueda de la información, lleve a cabo el requerimiento de aclaración, previo a la emisión de la respuesta, en términos del numeral en cita a fin de garantizar el derecho de acceso a la información de los particulares.</w:t>
      </w:r>
    </w:p>
    <w:p w14:paraId="63EDFDF1" w14:textId="6965C849" w:rsidR="00FF492A" w:rsidRPr="009C02E6" w:rsidRDefault="00FF492A" w:rsidP="00FA4E7C">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Por consiguiente, una vez analizadas las constancias que integran el expediente en que se actúa y al advertirse que el presente medio de impugnación ha quedado sin materia, ya que no existe materia objeto de análisis en lo que respecta al requerimiento de información, se considera que se actualiza la causal de sobreseimiento prevista en el artículo 192 fracción V de la Ley de Transparencia y Acceso a la Información Pública del Estado de México y Municipios, que dispone lo siguiente:</w:t>
      </w:r>
    </w:p>
    <w:p w14:paraId="2E62006C" w14:textId="77777777" w:rsidR="00FF492A" w:rsidRPr="009C02E6" w:rsidRDefault="00FF492A" w:rsidP="00D54A34">
      <w:pPr>
        <w:ind w:left="851" w:right="900"/>
        <w:jc w:val="both"/>
        <w:rPr>
          <w:rFonts w:ascii="Palatino Linotype" w:eastAsia="Palatino Linotype" w:hAnsi="Palatino Linotype" w:cs="Palatino Linotype"/>
          <w:i/>
          <w:sz w:val="22"/>
          <w:szCs w:val="22"/>
        </w:rPr>
      </w:pPr>
      <w:r w:rsidRPr="009C02E6">
        <w:rPr>
          <w:rFonts w:ascii="Palatino Linotype" w:eastAsia="Palatino Linotype" w:hAnsi="Palatino Linotype" w:cs="Palatino Linotype"/>
          <w:b/>
          <w:i/>
          <w:sz w:val="22"/>
          <w:szCs w:val="22"/>
        </w:rPr>
        <w:t xml:space="preserve">“Artículo 192. </w:t>
      </w:r>
      <w:r w:rsidRPr="009C02E6">
        <w:rPr>
          <w:rFonts w:ascii="Palatino Linotype" w:eastAsia="Palatino Linotype" w:hAnsi="Palatino Linotype" w:cs="Palatino Linotype"/>
          <w:i/>
          <w:sz w:val="22"/>
          <w:szCs w:val="22"/>
        </w:rPr>
        <w:t>El recurso será sobreseído en todo o en parte cuando una vez admitido, se actualicen alguno de los siguientes supuestos:</w:t>
      </w:r>
    </w:p>
    <w:p w14:paraId="00B6FDEA" w14:textId="77777777" w:rsidR="00FF492A" w:rsidRPr="009C02E6" w:rsidRDefault="00FF492A" w:rsidP="00D54A34">
      <w:pPr>
        <w:ind w:left="851" w:right="900"/>
        <w:jc w:val="both"/>
        <w:rPr>
          <w:rFonts w:ascii="Palatino Linotype" w:eastAsia="Palatino Linotype" w:hAnsi="Palatino Linotype" w:cs="Palatino Linotype"/>
          <w:i/>
          <w:sz w:val="22"/>
          <w:szCs w:val="22"/>
        </w:rPr>
      </w:pPr>
      <w:r w:rsidRPr="009C02E6">
        <w:rPr>
          <w:rFonts w:ascii="Palatino Linotype" w:eastAsia="Palatino Linotype" w:hAnsi="Palatino Linotype" w:cs="Palatino Linotype"/>
          <w:b/>
          <w:i/>
          <w:sz w:val="22"/>
          <w:szCs w:val="22"/>
        </w:rPr>
        <w:t>…</w:t>
      </w:r>
    </w:p>
    <w:p w14:paraId="0737A2D9" w14:textId="0B73C36E" w:rsidR="00FF492A" w:rsidRPr="009C02E6" w:rsidRDefault="00FF492A" w:rsidP="00D54A34">
      <w:pPr>
        <w:ind w:left="851" w:right="900"/>
        <w:jc w:val="both"/>
        <w:rPr>
          <w:rFonts w:ascii="Palatino Linotype" w:eastAsia="Palatino Linotype" w:hAnsi="Palatino Linotype" w:cs="Palatino Linotype"/>
          <w:b/>
          <w:i/>
          <w:sz w:val="22"/>
          <w:szCs w:val="22"/>
        </w:rPr>
      </w:pPr>
      <w:r w:rsidRPr="009C02E6">
        <w:rPr>
          <w:rFonts w:ascii="Palatino Linotype" w:eastAsia="Palatino Linotype" w:hAnsi="Palatino Linotype" w:cs="Palatino Linotype"/>
          <w:b/>
          <w:i/>
          <w:sz w:val="22"/>
          <w:szCs w:val="22"/>
        </w:rPr>
        <w:t>V. Cuando por cualquier motivo quede sin materia el recurso</w:t>
      </w:r>
      <w:r w:rsidR="00D54A34" w:rsidRPr="009C02E6">
        <w:rPr>
          <w:rFonts w:ascii="Palatino Linotype" w:eastAsia="Palatino Linotype" w:hAnsi="Palatino Linotype" w:cs="Palatino Linotype"/>
          <w:b/>
          <w:i/>
          <w:sz w:val="22"/>
          <w:szCs w:val="22"/>
        </w:rPr>
        <w:t>…”</w:t>
      </w:r>
    </w:p>
    <w:p w14:paraId="4C159E43" w14:textId="77777777" w:rsidR="00FF492A" w:rsidRPr="009C02E6" w:rsidRDefault="00FF492A" w:rsidP="00D54A34">
      <w:pPr>
        <w:spacing w:before="240" w:after="240" w:line="360" w:lineRule="auto"/>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 xml:space="preserve">Siendo el </w:t>
      </w:r>
      <w:r w:rsidRPr="009C02E6">
        <w:rPr>
          <w:rFonts w:ascii="Palatino Linotype" w:eastAsia="Palatino Linotype" w:hAnsi="Palatino Linotype" w:cs="Palatino Linotype"/>
          <w:i/>
          <w:sz w:val="22"/>
          <w:szCs w:val="22"/>
        </w:rPr>
        <w:t>sobreseimiento</w:t>
      </w:r>
      <w:r w:rsidRPr="009C02E6">
        <w:rPr>
          <w:rFonts w:ascii="Palatino Linotype" w:eastAsia="Palatino Linotype" w:hAnsi="Palatino Linotype" w:cs="Palatino Linotype"/>
          <w:sz w:val="22"/>
          <w:szCs w:val="22"/>
        </w:rPr>
        <w:t xml:space="preserve"> un acto que da por terminado el procedimiento administrativo de impugnación sin resolver el fondo de la cuestión planteada, por presentarse causas que impiden a la autoridad referirse a lo sustancial de lo planteado por la parte </w:t>
      </w:r>
      <w:r w:rsidRPr="009C02E6">
        <w:rPr>
          <w:rFonts w:ascii="Palatino Linotype" w:eastAsia="Palatino Linotype" w:hAnsi="Palatino Linotype" w:cs="Palatino Linotype"/>
          <w:b/>
          <w:sz w:val="22"/>
          <w:szCs w:val="22"/>
        </w:rPr>
        <w:t>Recurrente</w:t>
      </w:r>
      <w:r w:rsidRPr="009C02E6">
        <w:rPr>
          <w:rFonts w:ascii="Palatino Linotype" w:eastAsia="Palatino Linotype" w:hAnsi="Palatino Linotype" w:cs="Palatino Linotype"/>
          <w:sz w:val="22"/>
          <w:szCs w:val="22"/>
        </w:rPr>
        <w:t>, los efectos del sobreseimiento son los de dar por concluido el recurso administrativo sin entrar al estudio de fondo del asunto de que se trate; lo anterior con apoyo en el criterio del Poder Judicial de la Federación con rubro:</w:t>
      </w:r>
    </w:p>
    <w:p w14:paraId="74653E7D" w14:textId="77777777" w:rsidR="00FF492A" w:rsidRPr="009C02E6" w:rsidRDefault="00FF492A" w:rsidP="00D54A34">
      <w:pPr>
        <w:spacing w:before="240"/>
        <w:ind w:left="851" w:right="900"/>
        <w:jc w:val="both"/>
        <w:rPr>
          <w:rFonts w:ascii="Palatino Linotype" w:eastAsia="Palatino Linotype" w:hAnsi="Palatino Linotype" w:cs="Palatino Linotype"/>
          <w:i/>
          <w:sz w:val="22"/>
          <w:szCs w:val="22"/>
        </w:rPr>
      </w:pPr>
      <w:r w:rsidRPr="009C02E6">
        <w:rPr>
          <w:rFonts w:ascii="Palatino Linotype" w:eastAsia="Palatino Linotype" w:hAnsi="Palatino Linotype" w:cs="Palatino Linotype"/>
          <w:i/>
          <w:sz w:val="22"/>
          <w:szCs w:val="22"/>
        </w:rPr>
        <w:t>“</w:t>
      </w:r>
      <w:r w:rsidRPr="009C02E6">
        <w:rPr>
          <w:rFonts w:ascii="Palatino Linotype" w:eastAsia="Palatino Linotype" w:hAnsi="Palatino Linotype" w:cs="Palatino Linotype"/>
          <w:b/>
          <w:i/>
          <w:sz w:val="22"/>
          <w:szCs w:val="22"/>
        </w:rPr>
        <w:t xml:space="preserve">SOBRESEIMIENTO, NO PERMITE ENTRAR AL ESTUDIO DE LAS CUESTIONES DE FONDO </w:t>
      </w:r>
      <w:r w:rsidRPr="009C02E6">
        <w:rPr>
          <w:rFonts w:ascii="Palatino Linotype" w:eastAsia="Palatino Linotype" w:hAnsi="Palatino Linotype" w:cs="Palatino Linotype"/>
          <w:i/>
          <w:sz w:val="22"/>
          <w:szCs w:val="22"/>
        </w:rPr>
        <w:t>Localización: 213609. II.2o.183 K. Tribunales Colegiados de Circuito. Octava Época. Semanario Judicial de la Federación. Tomo XIII, Febrero de 1994, Pág. 420</w:t>
      </w:r>
    </w:p>
    <w:p w14:paraId="6B1B2C8E" w14:textId="77777777" w:rsidR="00FF492A" w:rsidRPr="009C02E6" w:rsidRDefault="00FF492A" w:rsidP="00D54A34">
      <w:pPr>
        <w:ind w:left="851" w:right="900"/>
        <w:jc w:val="both"/>
        <w:rPr>
          <w:rFonts w:ascii="Palatino Linotype" w:eastAsia="Palatino Linotype" w:hAnsi="Palatino Linotype" w:cs="Palatino Linotype"/>
          <w:i/>
          <w:sz w:val="22"/>
          <w:szCs w:val="22"/>
        </w:rPr>
      </w:pPr>
      <w:r w:rsidRPr="009C02E6">
        <w:rPr>
          <w:rFonts w:ascii="Palatino Linotype" w:eastAsia="Palatino Linotype" w:hAnsi="Palatino Linotype" w:cs="Palatino Linotype"/>
          <w:i/>
          <w:sz w:val="22"/>
          <w:szCs w:val="22"/>
        </w:rPr>
        <w:t>Cuerpo de tesis: No causa agravio la sentencia que no se ocupa de los razonamientos tendientes a demostrar la inconstitucionalidad de los actos reclamados de las autoridades responsables, que constituyen el problema de fondo, si se decreta el sobreseimiento del juicio.” (Sic)</w:t>
      </w:r>
    </w:p>
    <w:p w14:paraId="0C893A33" w14:textId="77777777" w:rsidR="00FF492A" w:rsidRPr="009C02E6" w:rsidRDefault="00FF492A" w:rsidP="00FF492A">
      <w:pPr>
        <w:ind w:left="567" w:right="567"/>
        <w:jc w:val="both"/>
        <w:rPr>
          <w:rFonts w:ascii="Palatino Linotype" w:eastAsia="Palatino Linotype" w:hAnsi="Palatino Linotype" w:cs="Palatino Linotype"/>
          <w:i/>
          <w:sz w:val="22"/>
          <w:szCs w:val="22"/>
        </w:rPr>
      </w:pPr>
    </w:p>
    <w:p w14:paraId="078A7EB0" w14:textId="77777777" w:rsidR="00FF492A" w:rsidRPr="009C02E6" w:rsidRDefault="00FF492A" w:rsidP="00FF492A">
      <w:pPr>
        <w:spacing w:after="240" w:line="360" w:lineRule="auto"/>
        <w:jc w:val="both"/>
        <w:rPr>
          <w:rFonts w:ascii="Palatino Linotype" w:eastAsia="Palatino Linotype" w:hAnsi="Palatino Linotype" w:cs="Palatino Linotype"/>
        </w:rPr>
      </w:pPr>
      <w:r w:rsidRPr="009C02E6">
        <w:rPr>
          <w:rFonts w:ascii="Palatino Linotype" w:eastAsia="Palatino Linotype" w:hAnsi="Palatino Linotype" w:cs="Palatino Linotype"/>
          <w:sz w:val="22"/>
          <w:szCs w:val="22"/>
        </w:rPr>
        <w:t>Cabe destacar que la decisión de este órgano colegiado de sobreseer el recurso de revisión no implica una limitación o negación a la justicia, según lo ha establecido el Poder Judicial Federal, en el criterio que es aplicable por analogía, con rubro:</w:t>
      </w:r>
    </w:p>
    <w:p w14:paraId="672AD657" w14:textId="77777777" w:rsidR="00FF492A" w:rsidRPr="009C02E6" w:rsidRDefault="00FF492A" w:rsidP="00D54A34">
      <w:pPr>
        <w:spacing w:before="240"/>
        <w:ind w:left="851" w:right="900"/>
        <w:jc w:val="both"/>
        <w:rPr>
          <w:rFonts w:ascii="Palatino Linotype" w:eastAsia="Palatino Linotype" w:hAnsi="Palatino Linotype" w:cs="Palatino Linotype"/>
          <w:b/>
          <w:i/>
          <w:sz w:val="22"/>
          <w:szCs w:val="22"/>
        </w:rPr>
      </w:pPr>
      <w:r w:rsidRPr="009C02E6">
        <w:rPr>
          <w:rFonts w:ascii="Palatino Linotype" w:eastAsia="Palatino Linotype" w:hAnsi="Palatino Linotype" w:cs="Palatino Linotype"/>
          <w:sz w:val="22"/>
          <w:szCs w:val="22"/>
        </w:rPr>
        <w:t xml:space="preserve"> </w:t>
      </w:r>
      <w:r w:rsidRPr="009C02E6">
        <w:rPr>
          <w:rFonts w:ascii="Palatino Linotype" w:eastAsia="Palatino Linotype" w:hAnsi="Palatino Linotype" w:cs="Palatino Linotype"/>
          <w:b/>
          <w:i/>
          <w:sz w:val="22"/>
          <w:szCs w:val="22"/>
        </w:rPr>
        <w:t>“DESECHAMIENTO O SOBRESEIMIENTO EN EL JUICIO DE AMPARO. NO IMPLICA DENEGACIÓN DE JUSTICIA NI GENERA INSEGURIDAD JURÍDICA”</w:t>
      </w:r>
    </w:p>
    <w:p w14:paraId="716DAE7B" w14:textId="77777777" w:rsidR="00FF492A" w:rsidRPr="009C02E6" w:rsidRDefault="00FF492A" w:rsidP="00D54A34">
      <w:pPr>
        <w:ind w:left="851" w:right="900"/>
        <w:jc w:val="both"/>
        <w:rPr>
          <w:rFonts w:ascii="Palatino Linotype" w:eastAsia="Palatino Linotype" w:hAnsi="Palatino Linotype" w:cs="Palatino Linotype"/>
          <w:i/>
          <w:sz w:val="22"/>
          <w:szCs w:val="22"/>
        </w:rPr>
      </w:pPr>
      <w:r w:rsidRPr="009C02E6">
        <w:rPr>
          <w:rFonts w:ascii="Palatino Linotype" w:eastAsia="Palatino Linotype" w:hAnsi="Palatino Linotype" w:cs="Palatino Linotype"/>
          <w:i/>
          <w:sz w:val="22"/>
          <w:szCs w:val="22"/>
        </w:rPr>
        <w:t>Cuerpo de la tesis: Cuando se desecha una demanda de amparo o se sobresee en el juicio, ello no implica denegar justicia ni genera inseguridad jurídica, ya que la obligación de los tribunales no es tramitar y resolver en el fondo todos los asuntos sometidos a su consideración en forma favorable a los intereses del solicitante, sino que se circunscribe a la posibilidad que tiene cualquier individuo de acudir ante los órganos jurisdiccionales, con su promoción (demanda), a la cual debe darse el trámite acorde a las formalidades rectoras del procedimiento respectivo, dentro de las cuales el legislador previó las causales de improcedencia y sobreseimiento. Así, cuando el juzgador o tribunal de amparo se funda en una de ellas para desechar o sobreseer en un juicio, imparte justicia, puesto que el acceso a ella no se ve menoscabado, sino que es efectivo, ni se deja en estado de indefensión al promovente, no obstante sea desfavorable, al no poder negar que se da respuesta a la petición de amparo, con independencia de que no comparta el sentido de la resolución, dado que de esa forma quien imparte justicia se pronuncia sobre la acción, diciendo así el derecho y permitiendo que impere el orden jurídico.” (Sic)</w:t>
      </w:r>
    </w:p>
    <w:p w14:paraId="17CB8D96" w14:textId="77777777" w:rsidR="00FF492A" w:rsidRPr="009C02E6" w:rsidRDefault="00FF492A" w:rsidP="00FF492A">
      <w:pPr>
        <w:spacing w:line="360" w:lineRule="auto"/>
        <w:ind w:right="49"/>
        <w:jc w:val="both"/>
        <w:rPr>
          <w:rFonts w:ascii="Palatino Linotype" w:eastAsia="Palatino Linotype" w:hAnsi="Palatino Linotype" w:cs="Palatino Linotype"/>
          <w:sz w:val="22"/>
          <w:szCs w:val="22"/>
        </w:rPr>
      </w:pPr>
    </w:p>
    <w:p w14:paraId="7703725B" w14:textId="2A6B5F7E" w:rsidR="00FF492A" w:rsidRPr="009C02E6" w:rsidRDefault="00FF492A" w:rsidP="00FF492A">
      <w:pPr>
        <w:spacing w:line="360" w:lineRule="auto"/>
        <w:jc w:val="both"/>
        <w:rPr>
          <w:rFonts w:ascii="Palatino Linotype" w:eastAsia="Palatino Linotype" w:hAnsi="Palatino Linotype" w:cs="Palatino Linotype"/>
          <w:sz w:val="22"/>
          <w:szCs w:val="22"/>
        </w:rPr>
      </w:pPr>
      <w:bookmarkStart w:id="7" w:name="_heading=h.2et92p0" w:colFirst="0" w:colLast="0"/>
      <w:bookmarkEnd w:id="7"/>
      <w:r w:rsidRPr="009C02E6">
        <w:rPr>
          <w:rFonts w:ascii="Palatino Linotype" w:eastAsia="Palatino Linotype" w:hAnsi="Palatino Linotype" w:cs="Palatino Linotype"/>
          <w:sz w:val="22"/>
          <w:szCs w:val="22"/>
        </w:rPr>
        <w:t xml:space="preserve">Bajo ese tenor con fundamento en la segunda hipótesis de la fracción I del artículo 186, de la Ley de Transparencia y Acceso a la Información Pública del Estado de México y Municipios, se </w:t>
      </w:r>
      <w:r w:rsidRPr="009C02E6">
        <w:rPr>
          <w:rFonts w:ascii="Palatino Linotype" w:eastAsia="Palatino Linotype" w:hAnsi="Palatino Linotype" w:cs="Palatino Linotype"/>
          <w:i/>
          <w:sz w:val="22"/>
          <w:szCs w:val="22"/>
        </w:rPr>
        <w:t>Sobresee</w:t>
      </w:r>
      <w:r w:rsidRPr="009C02E6">
        <w:rPr>
          <w:rFonts w:ascii="Palatino Linotype" w:eastAsia="Palatino Linotype" w:hAnsi="Palatino Linotype" w:cs="Palatino Linotype"/>
          <w:b/>
          <w:sz w:val="22"/>
          <w:szCs w:val="22"/>
        </w:rPr>
        <w:t xml:space="preserve"> </w:t>
      </w:r>
      <w:r w:rsidRPr="009C02E6">
        <w:rPr>
          <w:rFonts w:ascii="Palatino Linotype" w:eastAsia="Palatino Linotype" w:hAnsi="Palatino Linotype" w:cs="Palatino Linotype"/>
          <w:sz w:val="22"/>
          <w:szCs w:val="22"/>
        </w:rPr>
        <w:t xml:space="preserve">el recurso de revisión </w:t>
      </w:r>
      <w:r w:rsidRPr="009C02E6">
        <w:rPr>
          <w:rFonts w:ascii="Palatino Linotype" w:eastAsia="Palatino Linotype" w:hAnsi="Palatino Linotype" w:cs="Palatino Linotype"/>
          <w:b/>
          <w:sz w:val="22"/>
          <w:szCs w:val="22"/>
        </w:rPr>
        <w:t>00799/INFOEM/IP/RR/202</w:t>
      </w:r>
      <w:r w:rsidR="00D54A34" w:rsidRPr="009C02E6">
        <w:rPr>
          <w:rFonts w:ascii="Palatino Linotype" w:eastAsia="Palatino Linotype" w:hAnsi="Palatino Linotype" w:cs="Palatino Linotype"/>
          <w:b/>
          <w:sz w:val="22"/>
          <w:szCs w:val="22"/>
        </w:rPr>
        <w:t>6</w:t>
      </w:r>
      <w:r w:rsidRPr="009C02E6">
        <w:rPr>
          <w:rFonts w:ascii="Palatino Linotype" w:eastAsia="Palatino Linotype" w:hAnsi="Palatino Linotype" w:cs="Palatino Linotype"/>
          <w:sz w:val="22"/>
          <w:szCs w:val="22"/>
        </w:rPr>
        <w:t>, que ha sido materia del presente fallo.</w:t>
      </w:r>
    </w:p>
    <w:p w14:paraId="240026CC" w14:textId="77777777" w:rsidR="00AC55F7" w:rsidRPr="009C02E6" w:rsidRDefault="006C736C">
      <w:pPr>
        <w:spacing w:before="240" w:after="240" w:line="360" w:lineRule="auto"/>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Así, con fundamento en lo prescrito en los artículos 5 párrafos cuadragésimo cuarto, cuadragésimo quinto y cuadragésimo sexto, de la Constitución Política del Estado Libre y Soberano de México; transitorio Cuarto del Decreto número 198 de la “LXII” Legislatura del Estado de México; 2, fracción II; 29, 36 fracciones I y II; 176, 178, 181, 185 y 186 fracción II de la Ley de Transparencia y Acceso a la Información Pública del Estado de México y Municipios, este Pleno:</w:t>
      </w:r>
    </w:p>
    <w:p w14:paraId="34DD30A9" w14:textId="77777777" w:rsidR="00AC55F7" w:rsidRPr="009C02E6" w:rsidRDefault="006C736C">
      <w:pPr>
        <w:pBdr>
          <w:top w:val="nil"/>
          <w:left w:val="nil"/>
          <w:bottom w:val="nil"/>
          <w:right w:val="nil"/>
          <w:between w:val="nil"/>
        </w:pBdr>
        <w:spacing w:before="240" w:after="240" w:line="360" w:lineRule="auto"/>
        <w:jc w:val="center"/>
        <w:rPr>
          <w:rFonts w:ascii="Palatino Linotype" w:eastAsia="Palatino Linotype" w:hAnsi="Palatino Linotype" w:cs="Palatino Linotype"/>
          <w:b/>
          <w:bCs/>
          <w:sz w:val="22"/>
          <w:szCs w:val="22"/>
        </w:rPr>
      </w:pPr>
      <w:r w:rsidRPr="009C02E6">
        <w:rPr>
          <w:rFonts w:ascii="Palatino Linotype" w:eastAsia="Palatino Linotype" w:hAnsi="Palatino Linotype" w:cs="Palatino Linotype"/>
          <w:b/>
          <w:bCs/>
          <w:sz w:val="22"/>
          <w:szCs w:val="22"/>
        </w:rPr>
        <w:t>III. R E S U E L V E</w:t>
      </w:r>
    </w:p>
    <w:p w14:paraId="1A259768" w14:textId="77777777" w:rsidR="00587A72" w:rsidRPr="009C02E6" w:rsidRDefault="007D75A2" w:rsidP="00587A72">
      <w:pPr>
        <w:spacing w:before="280" w:after="280" w:line="360" w:lineRule="auto"/>
        <w:jc w:val="both"/>
        <w:rPr>
          <w:rFonts w:ascii="Palatino Linotype" w:eastAsia="Palatino Linotype" w:hAnsi="Palatino Linotype" w:cs="Palatino Linotype"/>
          <w:sz w:val="22"/>
          <w:szCs w:val="22"/>
        </w:rPr>
      </w:pPr>
      <w:bookmarkStart w:id="8" w:name="_heading=h.26in1rg" w:colFirst="0" w:colLast="0"/>
      <w:bookmarkStart w:id="9" w:name="_heading=h.lnxbz9" w:colFirst="0" w:colLast="0"/>
      <w:bookmarkEnd w:id="8"/>
      <w:bookmarkEnd w:id="9"/>
      <w:r w:rsidRPr="009C02E6">
        <w:rPr>
          <w:rFonts w:ascii="Palatino Linotype" w:eastAsia="Palatino Linotype" w:hAnsi="Palatino Linotype" w:cs="Palatino Linotype"/>
          <w:b/>
          <w:sz w:val="22"/>
          <w:szCs w:val="22"/>
        </w:rPr>
        <w:t xml:space="preserve">Primero. </w:t>
      </w:r>
      <w:r w:rsidRPr="009C02E6">
        <w:rPr>
          <w:rFonts w:ascii="Palatino Linotype" w:eastAsia="Palatino Linotype" w:hAnsi="Palatino Linotype" w:cs="Palatino Linotype"/>
          <w:sz w:val="22"/>
          <w:szCs w:val="22"/>
        </w:rPr>
        <w:t>Se</w:t>
      </w:r>
      <w:r w:rsidRPr="009C02E6">
        <w:rPr>
          <w:rFonts w:ascii="Palatino Linotype" w:eastAsia="Palatino Linotype" w:hAnsi="Palatino Linotype" w:cs="Palatino Linotype"/>
          <w:b/>
          <w:sz w:val="22"/>
          <w:szCs w:val="22"/>
        </w:rPr>
        <w:t xml:space="preserve"> Sobresee </w:t>
      </w:r>
      <w:r w:rsidR="001E18D8" w:rsidRPr="009C02E6">
        <w:rPr>
          <w:rFonts w:ascii="Palatino Linotype" w:eastAsia="Palatino Linotype" w:hAnsi="Palatino Linotype" w:cs="Palatino Linotype"/>
          <w:sz w:val="22"/>
          <w:szCs w:val="22"/>
        </w:rPr>
        <w:t xml:space="preserve">el recurso de revisión número </w:t>
      </w:r>
      <w:r w:rsidR="00587A72" w:rsidRPr="009C02E6">
        <w:rPr>
          <w:rFonts w:ascii="Palatino Linotype" w:eastAsia="Palatino Linotype" w:hAnsi="Palatino Linotype" w:cs="Palatino Linotype"/>
          <w:b/>
          <w:sz w:val="22"/>
          <w:szCs w:val="22"/>
        </w:rPr>
        <w:t>00799</w:t>
      </w:r>
      <w:r w:rsidR="001E18D8" w:rsidRPr="009C02E6">
        <w:rPr>
          <w:rFonts w:ascii="Palatino Linotype" w:eastAsia="Palatino Linotype" w:hAnsi="Palatino Linotype" w:cs="Palatino Linotype"/>
          <w:b/>
          <w:sz w:val="22"/>
          <w:szCs w:val="22"/>
        </w:rPr>
        <w:t>/INFOEM/IP/RR/202</w:t>
      </w:r>
      <w:r w:rsidR="00587A72" w:rsidRPr="009C02E6">
        <w:rPr>
          <w:rFonts w:ascii="Palatino Linotype" w:eastAsia="Palatino Linotype" w:hAnsi="Palatino Linotype" w:cs="Palatino Linotype"/>
          <w:b/>
          <w:sz w:val="22"/>
          <w:szCs w:val="22"/>
        </w:rPr>
        <w:t>6</w:t>
      </w:r>
      <w:r w:rsidR="001E18D8" w:rsidRPr="009C02E6">
        <w:rPr>
          <w:rFonts w:ascii="Palatino Linotype" w:eastAsia="Palatino Linotype" w:hAnsi="Palatino Linotype" w:cs="Palatino Linotype"/>
          <w:b/>
          <w:sz w:val="22"/>
          <w:szCs w:val="22"/>
        </w:rPr>
        <w:t xml:space="preserve">, </w:t>
      </w:r>
      <w:r w:rsidR="00587A72" w:rsidRPr="009C02E6">
        <w:rPr>
          <w:rFonts w:ascii="Palatino Linotype" w:eastAsia="Palatino Linotype" w:hAnsi="Palatino Linotype" w:cs="Palatino Linotype"/>
          <w:sz w:val="22"/>
          <w:szCs w:val="22"/>
        </w:rPr>
        <w:t xml:space="preserve">en términos del artículo 192, fracción V, de la Ley de Transparencia y Acceso a la Información Pública del Estado de México y Municipios, por quedarse sin materia dicho medio de impugnación en términos del considerando </w:t>
      </w:r>
      <w:r w:rsidR="00587A72" w:rsidRPr="009C02E6">
        <w:rPr>
          <w:rFonts w:ascii="Palatino Linotype" w:eastAsia="Palatino Linotype" w:hAnsi="Palatino Linotype" w:cs="Palatino Linotype"/>
          <w:b/>
          <w:sz w:val="22"/>
          <w:szCs w:val="22"/>
        </w:rPr>
        <w:t>Tercero</w:t>
      </w:r>
      <w:r w:rsidR="00587A72" w:rsidRPr="009C02E6">
        <w:rPr>
          <w:rFonts w:ascii="Palatino Linotype" w:eastAsia="Palatino Linotype" w:hAnsi="Palatino Linotype" w:cs="Palatino Linotype"/>
          <w:i/>
          <w:sz w:val="22"/>
          <w:szCs w:val="22"/>
        </w:rPr>
        <w:t xml:space="preserve"> </w:t>
      </w:r>
      <w:r w:rsidR="00587A72" w:rsidRPr="009C02E6">
        <w:rPr>
          <w:rFonts w:ascii="Palatino Linotype" w:eastAsia="Palatino Linotype" w:hAnsi="Palatino Linotype" w:cs="Palatino Linotype"/>
          <w:sz w:val="22"/>
          <w:szCs w:val="22"/>
        </w:rPr>
        <w:t>de la presente Resolución.</w:t>
      </w:r>
    </w:p>
    <w:p w14:paraId="224E048E" w14:textId="2F2E2BC0" w:rsidR="001E18D8" w:rsidRPr="009C02E6" w:rsidRDefault="007D75A2" w:rsidP="00587A72">
      <w:pPr>
        <w:spacing w:before="160" w:line="360" w:lineRule="auto"/>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b/>
          <w:sz w:val="22"/>
          <w:szCs w:val="22"/>
        </w:rPr>
        <w:t xml:space="preserve">Segundo. </w:t>
      </w:r>
      <w:r w:rsidR="001E18D8" w:rsidRPr="009C02E6">
        <w:rPr>
          <w:rFonts w:ascii="Palatino Linotype" w:eastAsia="Palatino Linotype" w:hAnsi="Palatino Linotype" w:cs="Palatino Linotype"/>
          <w:b/>
          <w:sz w:val="22"/>
          <w:szCs w:val="22"/>
        </w:rPr>
        <w:t xml:space="preserve">Notifíquese, </w:t>
      </w:r>
      <w:r w:rsidR="001E18D8" w:rsidRPr="009C02E6">
        <w:rPr>
          <w:rFonts w:ascii="Palatino Linotype" w:eastAsia="Palatino Linotype" w:hAnsi="Palatino Linotype" w:cs="Palatino Linotype"/>
          <w:sz w:val="22"/>
          <w:szCs w:val="22"/>
        </w:rPr>
        <w:t>vía</w:t>
      </w:r>
      <w:r w:rsidR="001E18D8" w:rsidRPr="009C02E6">
        <w:rPr>
          <w:rFonts w:ascii="Palatino Linotype" w:eastAsia="Palatino Linotype" w:hAnsi="Palatino Linotype" w:cs="Palatino Linotype"/>
          <w:b/>
          <w:sz w:val="22"/>
          <w:szCs w:val="22"/>
        </w:rPr>
        <w:t xml:space="preserve"> SAIMEX</w:t>
      </w:r>
      <w:r w:rsidR="001E18D8" w:rsidRPr="009C02E6">
        <w:rPr>
          <w:rFonts w:ascii="Palatino Linotype" w:eastAsia="Palatino Linotype" w:hAnsi="Palatino Linotype" w:cs="Palatino Linotype"/>
          <w:b/>
          <w:i/>
          <w:sz w:val="22"/>
          <w:szCs w:val="22"/>
        </w:rPr>
        <w:t xml:space="preserve">, </w:t>
      </w:r>
      <w:r w:rsidR="001E18D8" w:rsidRPr="009C02E6">
        <w:rPr>
          <w:rFonts w:ascii="Palatino Linotype" w:eastAsia="Palatino Linotype" w:hAnsi="Palatino Linotype" w:cs="Palatino Linotype"/>
          <w:sz w:val="22"/>
          <w:szCs w:val="22"/>
        </w:rPr>
        <w:t>la presente resolución</w:t>
      </w:r>
      <w:r w:rsidR="001E18D8" w:rsidRPr="009C02E6">
        <w:rPr>
          <w:rFonts w:ascii="Palatino Linotype" w:eastAsia="Palatino Linotype" w:hAnsi="Palatino Linotype" w:cs="Palatino Linotype"/>
          <w:b/>
          <w:i/>
          <w:sz w:val="22"/>
          <w:szCs w:val="22"/>
        </w:rPr>
        <w:t xml:space="preserve"> </w:t>
      </w:r>
      <w:r w:rsidR="001E18D8" w:rsidRPr="009C02E6">
        <w:rPr>
          <w:rFonts w:ascii="Palatino Linotype" w:eastAsia="Palatino Linotype" w:hAnsi="Palatino Linotype" w:cs="Palatino Linotype"/>
          <w:sz w:val="22"/>
          <w:szCs w:val="22"/>
        </w:rPr>
        <w:t xml:space="preserve">a la persona Titular de la Unidad de Transparencia del </w:t>
      </w:r>
      <w:r w:rsidR="001E18D8" w:rsidRPr="009C02E6">
        <w:rPr>
          <w:rFonts w:ascii="Palatino Linotype" w:eastAsia="Palatino Linotype" w:hAnsi="Palatino Linotype" w:cs="Palatino Linotype"/>
          <w:b/>
          <w:sz w:val="22"/>
          <w:szCs w:val="22"/>
        </w:rPr>
        <w:t>Sujeto Obligado</w:t>
      </w:r>
      <w:r w:rsidR="001E18D8" w:rsidRPr="009C02E6">
        <w:rPr>
          <w:rFonts w:ascii="Palatino Linotype" w:eastAsia="Palatino Linotype" w:hAnsi="Palatino Linotype" w:cs="Palatino Linotype"/>
          <w:sz w:val="22"/>
          <w:szCs w:val="22"/>
        </w:rPr>
        <w:t xml:space="preserve"> para su conocimiento, en términos del artículo 189 de la Ley de Transparencia y Acceso a la Información Pública del Estado de México y Municipios.</w:t>
      </w:r>
    </w:p>
    <w:p w14:paraId="472F4223" w14:textId="77777777" w:rsidR="00587A72" w:rsidRPr="009C02E6" w:rsidRDefault="007D75A2" w:rsidP="00587A72">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b/>
          <w:sz w:val="22"/>
          <w:szCs w:val="22"/>
        </w:rPr>
        <w:t xml:space="preserve">Tercero. Notifíquese, </w:t>
      </w:r>
      <w:r w:rsidRPr="009C02E6">
        <w:rPr>
          <w:rFonts w:ascii="Palatino Linotype" w:eastAsia="Palatino Linotype" w:hAnsi="Palatino Linotype" w:cs="Palatino Linotype"/>
          <w:sz w:val="22"/>
          <w:szCs w:val="22"/>
        </w:rPr>
        <w:t>vía</w:t>
      </w:r>
      <w:r w:rsidRPr="009C02E6">
        <w:rPr>
          <w:rFonts w:ascii="Palatino Linotype" w:eastAsia="Palatino Linotype" w:hAnsi="Palatino Linotype" w:cs="Palatino Linotype"/>
          <w:b/>
          <w:sz w:val="22"/>
          <w:szCs w:val="22"/>
        </w:rPr>
        <w:t xml:space="preserve"> SAIMEX</w:t>
      </w:r>
      <w:r w:rsidRPr="009C02E6">
        <w:rPr>
          <w:rFonts w:ascii="Palatino Linotype" w:eastAsia="Palatino Linotype" w:hAnsi="Palatino Linotype" w:cs="Palatino Linotype"/>
          <w:sz w:val="22"/>
          <w:szCs w:val="22"/>
        </w:rPr>
        <w:t>, a</w:t>
      </w:r>
      <w:r w:rsidRPr="009C02E6">
        <w:rPr>
          <w:rFonts w:ascii="Palatino Linotype" w:eastAsia="Palatino Linotype" w:hAnsi="Palatino Linotype" w:cs="Palatino Linotype"/>
          <w:b/>
          <w:sz w:val="22"/>
          <w:szCs w:val="22"/>
        </w:rPr>
        <w:t xml:space="preserve"> la parte</w:t>
      </w:r>
      <w:r w:rsidRPr="009C02E6">
        <w:rPr>
          <w:rFonts w:ascii="Palatino Linotype" w:eastAsia="Palatino Linotype" w:hAnsi="Palatino Linotype" w:cs="Palatino Linotype"/>
          <w:sz w:val="22"/>
          <w:szCs w:val="22"/>
        </w:rPr>
        <w:t xml:space="preserve"> </w:t>
      </w:r>
      <w:r w:rsidRPr="009C02E6">
        <w:rPr>
          <w:rFonts w:ascii="Palatino Linotype" w:eastAsia="Palatino Linotype" w:hAnsi="Palatino Linotype" w:cs="Palatino Linotype"/>
          <w:b/>
          <w:sz w:val="22"/>
          <w:szCs w:val="22"/>
        </w:rPr>
        <w:t>Recurrente</w:t>
      </w:r>
      <w:r w:rsidRPr="009C02E6">
        <w:rPr>
          <w:rFonts w:ascii="Palatino Linotype" w:eastAsia="Palatino Linotype" w:hAnsi="Palatino Linotype" w:cs="Palatino Linotype"/>
          <w:sz w:val="22"/>
          <w:szCs w:val="22"/>
        </w:rPr>
        <w:t xml:space="preserve"> la presente resolución, así como, que de conformidad con lo establecido en el artículo 196 de la Ley de Transparencia y Acceso a la Información Pública del Estado de México y Municipios, podrá impugnarla vía el Juicio de Amparo en los términos de las leyes aplicables.</w:t>
      </w:r>
    </w:p>
    <w:p w14:paraId="08C5DD75" w14:textId="7B091120" w:rsidR="00AC55F7" w:rsidRPr="009C02E6" w:rsidRDefault="006C736C" w:rsidP="00587A72">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9C02E6">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EB4356" w:rsidRPr="009C02E6">
        <w:rPr>
          <w:rFonts w:ascii="Palatino Linotype" w:eastAsia="Palatino Linotype" w:hAnsi="Palatino Linotype" w:cs="Palatino Linotype"/>
          <w:sz w:val="22"/>
          <w:szCs w:val="22"/>
        </w:rPr>
        <w:t>OCTAVA</w:t>
      </w:r>
      <w:r w:rsidRPr="009C02E6">
        <w:rPr>
          <w:rFonts w:ascii="Palatino Linotype" w:eastAsia="Palatino Linotype" w:hAnsi="Palatino Linotype" w:cs="Palatino Linotype"/>
          <w:sz w:val="22"/>
          <w:szCs w:val="22"/>
        </w:rPr>
        <w:t xml:space="preserve"> SESIÓN ORDINARIA CELEBRADA EL </w:t>
      </w:r>
      <w:r w:rsidR="00EB4356" w:rsidRPr="009C02E6">
        <w:rPr>
          <w:rFonts w:ascii="Palatino Linotype" w:eastAsia="Palatino Linotype" w:hAnsi="Palatino Linotype" w:cs="Palatino Linotype"/>
          <w:sz w:val="22"/>
          <w:szCs w:val="22"/>
        </w:rPr>
        <w:t>CINCO DE MARZO</w:t>
      </w:r>
      <w:r w:rsidR="00BF603A" w:rsidRPr="009C02E6">
        <w:rPr>
          <w:rFonts w:ascii="Palatino Linotype" w:eastAsia="Palatino Linotype" w:hAnsi="Palatino Linotype" w:cs="Palatino Linotype"/>
          <w:sz w:val="22"/>
          <w:szCs w:val="22"/>
        </w:rPr>
        <w:t xml:space="preserve"> DE</w:t>
      </w:r>
      <w:r w:rsidRPr="009C02E6">
        <w:rPr>
          <w:rFonts w:ascii="Palatino Linotype" w:eastAsia="Palatino Linotype" w:hAnsi="Palatino Linotype" w:cs="Palatino Linotype"/>
          <w:sz w:val="22"/>
          <w:szCs w:val="22"/>
        </w:rPr>
        <w:t xml:space="preserve"> DOS MIL VEINTI</w:t>
      </w:r>
      <w:r w:rsidR="00BF603A" w:rsidRPr="009C02E6">
        <w:rPr>
          <w:rFonts w:ascii="Palatino Linotype" w:eastAsia="Palatino Linotype" w:hAnsi="Palatino Linotype" w:cs="Palatino Linotype"/>
          <w:sz w:val="22"/>
          <w:szCs w:val="22"/>
        </w:rPr>
        <w:t>SÉIS</w:t>
      </w:r>
      <w:r w:rsidRPr="009C02E6">
        <w:rPr>
          <w:rFonts w:ascii="Palatino Linotype" w:eastAsia="Palatino Linotype" w:hAnsi="Palatino Linotype" w:cs="Palatino Linotype"/>
          <w:sz w:val="22"/>
          <w:szCs w:val="22"/>
        </w:rPr>
        <w:t>, ANTE EL SECRETARIO TÉCNICO DEL PLENO ALEXIS TAPIA RAMÍREZ.</w:t>
      </w:r>
    </w:p>
    <w:p w14:paraId="29CD7B9E" w14:textId="77777777" w:rsidR="00AC55F7" w:rsidRPr="009C02E6" w:rsidRDefault="00AC55F7">
      <w:pPr>
        <w:spacing w:line="360" w:lineRule="auto"/>
        <w:jc w:val="both"/>
        <w:rPr>
          <w:rFonts w:ascii="Palatino Linotype" w:eastAsia="Palatino Linotype" w:hAnsi="Palatino Linotype" w:cs="Palatino Linotype"/>
          <w:sz w:val="22"/>
          <w:szCs w:val="22"/>
        </w:rPr>
      </w:pPr>
    </w:p>
    <w:p w14:paraId="4B0C1305" w14:textId="77777777" w:rsidR="00AC55F7" w:rsidRPr="009C02E6" w:rsidRDefault="00AC55F7">
      <w:pPr>
        <w:spacing w:line="360" w:lineRule="auto"/>
        <w:jc w:val="center"/>
        <w:rPr>
          <w:rFonts w:ascii="Palatino Linotype" w:eastAsia="Palatino Linotype" w:hAnsi="Palatino Linotype" w:cs="Palatino Linotype"/>
          <w:sz w:val="22"/>
          <w:szCs w:val="22"/>
        </w:rPr>
      </w:pPr>
    </w:p>
    <w:p w14:paraId="2942909E" w14:textId="77777777" w:rsidR="00AC55F7" w:rsidRPr="009C02E6" w:rsidRDefault="00AC55F7">
      <w:pPr>
        <w:spacing w:line="360" w:lineRule="auto"/>
        <w:jc w:val="both"/>
        <w:rPr>
          <w:rFonts w:ascii="Palatino Linotype" w:eastAsia="Palatino Linotype" w:hAnsi="Palatino Linotype" w:cs="Palatino Linotype"/>
          <w:sz w:val="22"/>
          <w:szCs w:val="22"/>
        </w:rPr>
      </w:pPr>
    </w:p>
    <w:p w14:paraId="79B2C327" w14:textId="77777777" w:rsidR="00AC55F7" w:rsidRPr="009C02E6" w:rsidRDefault="00AC55F7">
      <w:pPr>
        <w:spacing w:line="360" w:lineRule="auto"/>
        <w:jc w:val="both"/>
        <w:rPr>
          <w:rFonts w:ascii="Palatino Linotype" w:eastAsia="Palatino Linotype" w:hAnsi="Palatino Linotype" w:cs="Palatino Linotype"/>
          <w:sz w:val="22"/>
          <w:szCs w:val="22"/>
        </w:rPr>
      </w:pPr>
    </w:p>
    <w:p w14:paraId="59F5B37D" w14:textId="77777777" w:rsidR="00AC55F7" w:rsidRPr="009C02E6" w:rsidRDefault="00AC55F7">
      <w:pPr>
        <w:spacing w:line="360" w:lineRule="auto"/>
        <w:jc w:val="both"/>
        <w:rPr>
          <w:rFonts w:ascii="Palatino Linotype" w:eastAsia="Palatino Linotype" w:hAnsi="Palatino Linotype" w:cs="Palatino Linotype"/>
          <w:sz w:val="22"/>
          <w:szCs w:val="22"/>
        </w:rPr>
      </w:pPr>
    </w:p>
    <w:p w14:paraId="41F3BA38" w14:textId="77777777" w:rsidR="00AC55F7" w:rsidRPr="009C02E6" w:rsidRDefault="00AC55F7">
      <w:pPr>
        <w:spacing w:line="360" w:lineRule="auto"/>
        <w:jc w:val="both"/>
        <w:rPr>
          <w:rFonts w:ascii="Palatino Linotype" w:eastAsia="Palatino Linotype" w:hAnsi="Palatino Linotype" w:cs="Palatino Linotype"/>
          <w:sz w:val="22"/>
          <w:szCs w:val="22"/>
        </w:rPr>
      </w:pPr>
    </w:p>
    <w:p w14:paraId="3E3BE131" w14:textId="77777777" w:rsidR="00AC55F7" w:rsidRPr="009C02E6" w:rsidRDefault="00AC55F7">
      <w:pPr>
        <w:spacing w:line="360" w:lineRule="auto"/>
        <w:jc w:val="both"/>
        <w:rPr>
          <w:rFonts w:ascii="Palatino Linotype" w:eastAsia="Palatino Linotype" w:hAnsi="Palatino Linotype" w:cs="Palatino Linotype"/>
          <w:sz w:val="22"/>
          <w:szCs w:val="22"/>
        </w:rPr>
      </w:pPr>
    </w:p>
    <w:p w14:paraId="1A3AEF64" w14:textId="77777777" w:rsidR="00AC55F7" w:rsidRPr="009C02E6" w:rsidRDefault="00AC55F7">
      <w:pPr>
        <w:spacing w:line="360" w:lineRule="auto"/>
        <w:jc w:val="both"/>
        <w:rPr>
          <w:rFonts w:ascii="Palatino Linotype" w:eastAsia="Palatino Linotype" w:hAnsi="Palatino Linotype" w:cs="Palatino Linotype"/>
          <w:sz w:val="22"/>
          <w:szCs w:val="22"/>
        </w:rPr>
      </w:pPr>
    </w:p>
    <w:p w14:paraId="61FE99F4" w14:textId="77777777" w:rsidR="00AC55F7" w:rsidRPr="009C02E6" w:rsidRDefault="00AC55F7">
      <w:pPr>
        <w:spacing w:line="360" w:lineRule="auto"/>
        <w:jc w:val="both"/>
        <w:rPr>
          <w:rFonts w:ascii="Palatino Linotype" w:eastAsia="Palatino Linotype" w:hAnsi="Palatino Linotype" w:cs="Palatino Linotype"/>
          <w:sz w:val="22"/>
          <w:szCs w:val="22"/>
        </w:rPr>
      </w:pPr>
    </w:p>
    <w:p w14:paraId="614A6BAA" w14:textId="77777777" w:rsidR="001E18D8" w:rsidRPr="009C02E6" w:rsidRDefault="001E18D8">
      <w:pPr>
        <w:spacing w:line="360" w:lineRule="auto"/>
        <w:jc w:val="both"/>
        <w:rPr>
          <w:rFonts w:ascii="Palatino Linotype" w:eastAsia="Palatino Linotype" w:hAnsi="Palatino Linotype" w:cs="Palatino Linotype"/>
          <w:sz w:val="22"/>
          <w:szCs w:val="22"/>
        </w:rPr>
      </w:pPr>
    </w:p>
    <w:sectPr w:rsidR="001E18D8" w:rsidRPr="009C02E6">
      <w:headerReference w:type="default" r:id="rId8"/>
      <w:footerReference w:type="default" r:id="rId9"/>
      <w:headerReference w:type="first" r:id="rId10"/>
      <w:footerReference w:type="first" r:id="rId11"/>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D84D44" w14:textId="77777777" w:rsidR="00C32479" w:rsidRDefault="00C32479">
      <w:r>
        <w:separator/>
      </w:r>
    </w:p>
  </w:endnote>
  <w:endnote w:type="continuationSeparator" w:id="0">
    <w:p w14:paraId="593B5183" w14:textId="77777777" w:rsidR="00C32479" w:rsidRDefault="00C32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393CEE1-0EAF-4149-A822-74E3A0991AB4}"/>
    <w:embedBold r:id="rId2" w:fontKey="{0CC05703-BEF3-42DD-96DF-F4320FDFFEEC}"/>
  </w:font>
  <w:font w:name="Cambria">
    <w:panose1 w:val="02040503050406030204"/>
    <w:charset w:val="00"/>
    <w:family w:val="roman"/>
    <w:pitch w:val="variable"/>
    <w:sig w:usb0="E00006FF" w:usb1="420024FF" w:usb2="02000000" w:usb3="00000000" w:csb0="0000019F" w:csb1="00000000"/>
    <w:embedRegular r:id="rId3" w:fontKey="{5534B258-F283-4FED-93F5-3D37403F7549}"/>
    <w:embedBold r:id="rId4" w:fontKey="{F3289885-3690-4A68-8B4F-37E60115B938}"/>
    <w:embedBoldItalic r:id="rId5" w:fontKey="{441E2E1C-69F1-440A-A086-3748275C897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6" w:fontKey="{979A9630-64BA-48B9-A042-C524F37FD38D}"/>
  </w:font>
  <w:font w:name="Georgia">
    <w:panose1 w:val="02040502050405020303"/>
    <w:charset w:val="00"/>
    <w:family w:val="roman"/>
    <w:pitch w:val="variable"/>
    <w:sig w:usb0="00000287" w:usb1="00000000" w:usb2="00000000" w:usb3="00000000" w:csb0="0000009F" w:csb1="00000000"/>
    <w:embedItalic r:id="rId7" w:fontKey="{65CEABE2-7A95-451F-B003-861E1DF02087}"/>
  </w:font>
  <w:font w:name="Palatino Linotype">
    <w:panose1 w:val="02040502050505030304"/>
    <w:charset w:val="00"/>
    <w:family w:val="roman"/>
    <w:pitch w:val="variable"/>
    <w:sig w:usb0="E0000287" w:usb1="40000013" w:usb2="00000000" w:usb3="00000000" w:csb0="0000019F" w:csb1="00000000"/>
    <w:embedRegular r:id="rId8" w:fontKey="{8859185A-4081-4123-8056-7395CDD4D975}"/>
    <w:embedBold r:id="rId9" w:fontKey="{71F1A800-C45B-41F0-98F2-DD1ED6622C2B}"/>
    <w:embedItalic r:id="rId10" w:fontKey="{6D763303-21F4-42AA-9336-D1B797C2DBA9}"/>
    <w:embedBoldItalic r:id="rId11" w:fontKey="{275C90CB-3118-4F33-BAD9-7A41C044272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6E353" w14:textId="33B9ADB4" w:rsidR="00A25D2F" w:rsidRDefault="00A25D2F">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D22A57">
      <w:rPr>
        <w:rFonts w:ascii="Palatino Linotype" w:eastAsia="Palatino Linotype" w:hAnsi="Palatino Linotype" w:cs="Palatino Linotype"/>
        <w:b/>
        <w:bCs/>
        <w:noProof/>
        <w:color w:val="000000"/>
        <w:sz w:val="20"/>
        <w:szCs w:val="20"/>
      </w:rPr>
      <w:t>17</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D22A57">
      <w:rPr>
        <w:rFonts w:ascii="Palatino Linotype" w:eastAsia="Palatino Linotype" w:hAnsi="Palatino Linotype" w:cs="Palatino Linotype"/>
        <w:b/>
        <w:bCs/>
        <w:noProof/>
        <w:color w:val="000000"/>
        <w:sz w:val="20"/>
        <w:szCs w:val="20"/>
      </w:rPr>
      <w:t>17</w:t>
    </w:r>
    <w:r>
      <w:rPr>
        <w:rFonts w:ascii="Palatino Linotype" w:eastAsia="Palatino Linotype" w:hAnsi="Palatino Linotype" w:cs="Palatino Linotype"/>
        <w:b/>
        <w:bCs/>
        <w:color w:val="000000"/>
        <w:sz w:val="20"/>
        <w:szCs w:val="20"/>
      </w:rPr>
      <w:fldChar w:fldCharType="end"/>
    </w:r>
  </w:p>
  <w:p w14:paraId="4F8BAF28" w14:textId="77777777" w:rsidR="00A25D2F" w:rsidRDefault="00A25D2F">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BC1EC" w14:textId="314FECB1" w:rsidR="00A25D2F" w:rsidRDefault="00A25D2F">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D22A57">
      <w:rPr>
        <w:rFonts w:ascii="Palatino Linotype" w:eastAsia="Palatino Linotype" w:hAnsi="Palatino Linotype" w:cs="Palatino Linotype"/>
        <w:b/>
        <w:bCs/>
        <w:noProof/>
        <w:color w:val="000000"/>
        <w:sz w:val="20"/>
        <w:szCs w:val="20"/>
      </w:rPr>
      <w:t>1</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D22A57">
      <w:rPr>
        <w:rFonts w:ascii="Palatino Linotype" w:eastAsia="Palatino Linotype" w:hAnsi="Palatino Linotype" w:cs="Palatino Linotype"/>
        <w:b/>
        <w:bCs/>
        <w:noProof/>
        <w:color w:val="000000"/>
        <w:sz w:val="20"/>
        <w:szCs w:val="20"/>
      </w:rPr>
      <w:t>17</w:t>
    </w:r>
    <w:r>
      <w:rPr>
        <w:rFonts w:ascii="Palatino Linotype" w:eastAsia="Palatino Linotype" w:hAnsi="Palatino Linotype" w:cs="Palatino Linotype"/>
        <w:b/>
        <w:bCs/>
        <w:color w:val="000000"/>
        <w:sz w:val="20"/>
        <w:szCs w:val="20"/>
      </w:rPr>
      <w:fldChar w:fldCharType="end"/>
    </w:r>
  </w:p>
  <w:p w14:paraId="7D4B4F40" w14:textId="77777777" w:rsidR="00A25D2F" w:rsidRDefault="00A25D2F">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0897DB" w14:textId="77777777" w:rsidR="00C32479" w:rsidRDefault="00C32479">
      <w:r>
        <w:separator/>
      </w:r>
    </w:p>
  </w:footnote>
  <w:footnote w:type="continuationSeparator" w:id="0">
    <w:p w14:paraId="070F090C" w14:textId="77777777" w:rsidR="00C32479" w:rsidRDefault="00C324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048F7" w14:textId="77777777" w:rsidR="00A25D2F" w:rsidRDefault="00A25D2F">
    <w:pPr>
      <w:rPr>
        <w:rFonts w:ascii="Cambria" w:eastAsia="Cambria" w:hAnsi="Cambria" w:cs="Cambria"/>
        <w:color w:val="000000"/>
      </w:rPr>
    </w:pPr>
    <w:r>
      <w:rPr>
        <w:noProof/>
      </w:rPr>
      <w:drawing>
        <wp:anchor distT="0" distB="0" distL="0" distR="0" simplePos="0" relativeHeight="251658240" behindDoc="1" locked="0" layoutInCell="1" hidden="0" allowOverlap="1" wp14:anchorId="51BA5BF2" wp14:editId="75662E66">
          <wp:simplePos x="0" y="0"/>
          <wp:positionH relativeFrom="column">
            <wp:posOffset>-1080089</wp:posOffset>
          </wp:positionH>
          <wp:positionV relativeFrom="paragraph">
            <wp:posOffset>-488259</wp:posOffset>
          </wp:positionV>
          <wp:extent cx="7809865" cy="10165715"/>
          <wp:effectExtent l="0" t="0" r="0" b="0"/>
          <wp:wrapNone/>
          <wp:docPr id="195208253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
      <w:tblW w:w="5953" w:type="dxa"/>
      <w:tblInd w:w="3261" w:type="dxa"/>
      <w:tblLayout w:type="fixed"/>
      <w:tblLook w:val="0400" w:firstRow="0" w:lastRow="0" w:firstColumn="0" w:lastColumn="0" w:noHBand="0" w:noVBand="1"/>
    </w:tblPr>
    <w:tblGrid>
      <w:gridCol w:w="2489"/>
      <w:gridCol w:w="3464"/>
    </w:tblGrid>
    <w:tr w:rsidR="00A25D2F" w14:paraId="65CBE3D7" w14:textId="77777777">
      <w:tc>
        <w:tcPr>
          <w:tcW w:w="2489" w:type="dxa"/>
        </w:tcPr>
        <w:p w14:paraId="268C13BC" w14:textId="77777777" w:rsidR="00A25D2F" w:rsidRDefault="00A25D2F">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3464" w:type="dxa"/>
          <w:vAlign w:val="center"/>
        </w:tcPr>
        <w:p w14:paraId="66DDCB44" w14:textId="77A2524F" w:rsidR="00A25D2F" w:rsidRDefault="00A25D2F" w:rsidP="00371C97">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00799/INFOEM/IP/RR/2026</w:t>
          </w:r>
        </w:p>
      </w:tc>
    </w:tr>
    <w:tr w:rsidR="00A25D2F" w14:paraId="2FCFBA7D" w14:textId="77777777">
      <w:trPr>
        <w:trHeight w:val="228"/>
      </w:trPr>
      <w:tc>
        <w:tcPr>
          <w:tcW w:w="2489" w:type="dxa"/>
          <w:vAlign w:val="center"/>
        </w:tcPr>
        <w:p w14:paraId="59F09DC6" w14:textId="77777777" w:rsidR="00A25D2F" w:rsidRDefault="00A25D2F">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3464" w:type="dxa"/>
          <w:vAlign w:val="center"/>
        </w:tcPr>
        <w:p w14:paraId="7EE199A1" w14:textId="77777777" w:rsidR="00A25D2F" w:rsidRDefault="00A25D2F">
          <w:pPr>
            <w:ind w:left="-45" w:right="176"/>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Ayuntamiento de Toluca</w:t>
          </w:r>
        </w:p>
      </w:tc>
    </w:tr>
    <w:tr w:rsidR="00A25D2F" w14:paraId="596B86EC" w14:textId="77777777">
      <w:tc>
        <w:tcPr>
          <w:tcW w:w="2489" w:type="dxa"/>
          <w:vAlign w:val="center"/>
        </w:tcPr>
        <w:p w14:paraId="4F3210C5" w14:textId="77777777" w:rsidR="00A25D2F" w:rsidRDefault="00A25D2F">
          <w:pPr>
            <w:ind w:right="-108"/>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3464" w:type="dxa"/>
          <w:vAlign w:val="center"/>
        </w:tcPr>
        <w:p w14:paraId="4EBA3AB8" w14:textId="77777777" w:rsidR="00A25D2F" w:rsidRDefault="00A25D2F">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0D240306" w14:textId="77777777" w:rsidR="00A25D2F" w:rsidRDefault="00A25D2F">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62853" w14:textId="77777777" w:rsidR="00A25D2F" w:rsidRDefault="00A25D2F">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6C0EF6F0" wp14:editId="15244702">
          <wp:simplePos x="0" y="0"/>
          <wp:positionH relativeFrom="column">
            <wp:posOffset>-1080134</wp:posOffset>
          </wp:positionH>
          <wp:positionV relativeFrom="paragraph">
            <wp:posOffset>-369890</wp:posOffset>
          </wp:positionV>
          <wp:extent cx="7809865" cy="10165715"/>
          <wp:effectExtent l="0" t="0" r="0" b="0"/>
          <wp:wrapNone/>
          <wp:docPr id="195208253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0"/>
      <w:tblW w:w="5953" w:type="dxa"/>
      <w:tblInd w:w="3261" w:type="dxa"/>
      <w:tblLayout w:type="fixed"/>
      <w:tblLook w:val="0400" w:firstRow="0" w:lastRow="0" w:firstColumn="0" w:lastColumn="0" w:noHBand="0" w:noVBand="1"/>
    </w:tblPr>
    <w:tblGrid>
      <w:gridCol w:w="2489"/>
      <w:gridCol w:w="3464"/>
    </w:tblGrid>
    <w:tr w:rsidR="00A25D2F" w14:paraId="7F09F47E" w14:textId="77777777">
      <w:tc>
        <w:tcPr>
          <w:tcW w:w="2489" w:type="dxa"/>
        </w:tcPr>
        <w:p w14:paraId="7B15E04D" w14:textId="77777777" w:rsidR="00A25D2F" w:rsidRDefault="00A25D2F">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3464" w:type="dxa"/>
          <w:vAlign w:val="center"/>
        </w:tcPr>
        <w:p w14:paraId="114AD63F" w14:textId="1737812F" w:rsidR="00A25D2F" w:rsidRDefault="00A25D2F" w:rsidP="00EB4356">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00799/INFOEM/IP/RR/2026</w:t>
          </w:r>
        </w:p>
      </w:tc>
    </w:tr>
    <w:tr w:rsidR="00A25D2F" w14:paraId="1702207D" w14:textId="77777777">
      <w:tc>
        <w:tcPr>
          <w:tcW w:w="2489" w:type="dxa"/>
        </w:tcPr>
        <w:p w14:paraId="3BF57C29" w14:textId="77777777" w:rsidR="00A25D2F" w:rsidRDefault="00A25D2F">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Recurrente</w:t>
          </w:r>
        </w:p>
      </w:tc>
      <w:tc>
        <w:tcPr>
          <w:tcW w:w="3464" w:type="dxa"/>
          <w:vAlign w:val="center"/>
        </w:tcPr>
        <w:p w14:paraId="53A90A6F" w14:textId="77777777" w:rsidR="00A25D2F" w:rsidRDefault="00A25D2F">
          <w:pPr>
            <w:ind w:right="175"/>
            <w:jc w:val="both"/>
            <w:rPr>
              <w:rFonts w:ascii="Palatino Linotype" w:eastAsia="Palatino Linotype" w:hAnsi="Palatino Linotype" w:cs="Palatino Linotype"/>
              <w:b/>
              <w:bCs/>
              <w:sz w:val="22"/>
              <w:szCs w:val="22"/>
              <w:highlight w:val="yellow"/>
            </w:rPr>
          </w:pPr>
        </w:p>
      </w:tc>
    </w:tr>
    <w:tr w:rsidR="00A25D2F" w14:paraId="2BA458B5" w14:textId="77777777">
      <w:trPr>
        <w:trHeight w:val="228"/>
      </w:trPr>
      <w:tc>
        <w:tcPr>
          <w:tcW w:w="2489" w:type="dxa"/>
          <w:vAlign w:val="center"/>
        </w:tcPr>
        <w:p w14:paraId="47A51EEC" w14:textId="77777777" w:rsidR="00A25D2F" w:rsidRDefault="00A25D2F">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3464" w:type="dxa"/>
          <w:vAlign w:val="center"/>
        </w:tcPr>
        <w:p w14:paraId="24A01077" w14:textId="77777777" w:rsidR="00A25D2F" w:rsidRDefault="00A25D2F">
          <w:pPr>
            <w:ind w:left="-45" w:right="176"/>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Ayuntamiento de Toluca</w:t>
          </w:r>
        </w:p>
      </w:tc>
    </w:tr>
    <w:tr w:rsidR="00A25D2F" w14:paraId="2EDF5F23" w14:textId="77777777">
      <w:tc>
        <w:tcPr>
          <w:tcW w:w="2489" w:type="dxa"/>
          <w:vAlign w:val="center"/>
        </w:tcPr>
        <w:p w14:paraId="5AEBE96D" w14:textId="77777777" w:rsidR="00A25D2F" w:rsidRDefault="00A25D2F">
          <w:pPr>
            <w:ind w:right="-108"/>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3464" w:type="dxa"/>
          <w:vAlign w:val="center"/>
        </w:tcPr>
        <w:p w14:paraId="2766D3FD" w14:textId="77777777" w:rsidR="00A25D2F" w:rsidRDefault="00A25D2F">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4A518D78" w14:textId="77777777" w:rsidR="00A25D2F" w:rsidRDefault="00A25D2F"/>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079D8"/>
    <w:multiLevelType w:val="multilevel"/>
    <w:tmpl w:val="3196C926"/>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44FE1369"/>
    <w:multiLevelType w:val="multilevel"/>
    <w:tmpl w:val="C5E691B2"/>
    <w:lvl w:ilvl="0">
      <w:start w:val="1"/>
      <w:numFmt w:val="decimal"/>
      <w:pStyle w:val="Listaconvietas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5F7"/>
    <w:rsid w:val="000057BD"/>
    <w:rsid w:val="00006928"/>
    <w:rsid w:val="00007F1C"/>
    <w:rsid w:val="00012783"/>
    <w:rsid w:val="000152B4"/>
    <w:rsid w:val="00025502"/>
    <w:rsid w:val="00045994"/>
    <w:rsid w:val="00045E57"/>
    <w:rsid w:val="00047994"/>
    <w:rsid w:val="00056E5E"/>
    <w:rsid w:val="00062DF2"/>
    <w:rsid w:val="000A2413"/>
    <w:rsid w:val="000B423F"/>
    <w:rsid w:val="000E4776"/>
    <w:rsid w:val="000E4A4B"/>
    <w:rsid w:val="000E665D"/>
    <w:rsid w:val="000F2D30"/>
    <w:rsid w:val="000F66F0"/>
    <w:rsid w:val="0010088D"/>
    <w:rsid w:val="00122B8E"/>
    <w:rsid w:val="00126450"/>
    <w:rsid w:val="00130838"/>
    <w:rsid w:val="00133300"/>
    <w:rsid w:val="00154FCC"/>
    <w:rsid w:val="001710B4"/>
    <w:rsid w:val="001B6680"/>
    <w:rsid w:val="001D7C5B"/>
    <w:rsid w:val="001E0EB6"/>
    <w:rsid w:val="001E18D8"/>
    <w:rsid w:val="001E2FF4"/>
    <w:rsid w:val="001E5EB3"/>
    <w:rsid w:val="002176DD"/>
    <w:rsid w:val="0022002D"/>
    <w:rsid w:val="002571E5"/>
    <w:rsid w:val="002721CF"/>
    <w:rsid w:val="002735BE"/>
    <w:rsid w:val="00276ACF"/>
    <w:rsid w:val="00282024"/>
    <w:rsid w:val="00287280"/>
    <w:rsid w:val="00290DEF"/>
    <w:rsid w:val="00295BE1"/>
    <w:rsid w:val="002A087E"/>
    <w:rsid w:val="002B0C1E"/>
    <w:rsid w:val="002B44C3"/>
    <w:rsid w:val="002C4203"/>
    <w:rsid w:val="002F28C3"/>
    <w:rsid w:val="0030021D"/>
    <w:rsid w:val="00306CA3"/>
    <w:rsid w:val="003422A6"/>
    <w:rsid w:val="003461CE"/>
    <w:rsid w:val="0036404A"/>
    <w:rsid w:val="00364378"/>
    <w:rsid w:val="00371C97"/>
    <w:rsid w:val="003870EF"/>
    <w:rsid w:val="003B73B0"/>
    <w:rsid w:val="003D1193"/>
    <w:rsid w:val="003F5628"/>
    <w:rsid w:val="00405481"/>
    <w:rsid w:val="00406BC0"/>
    <w:rsid w:val="00407E3E"/>
    <w:rsid w:val="00427001"/>
    <w:rsid w:val="0047005A"/>
    <w:rsid w:val="004D5386"/>
    <w:rsid w:val="004D714D"/>
    <w:rsid w:val="004D7A93"/>
    <w:rsid w:val="00505859"/>
    <w:rsid w:val="00517715"/>
    <w:rsid w:val="00530E67"/>
    <w:rsid w:val="00563779"/>
    <w:rsid w:val="00572958"/>
    <w:rsid w:val="00572E97"/>
    <w:rsid w:val="00587A72"/>
    <w:rsid w:val="005A0085"/>
    <w:rsid w:val="005D23BA"/>
    <w:rsid w:val="005F3241"/>
    <w:rsid w:val="005F3AB1"/>
    <w:rsid w:val="00607413"/>
    <w:rsid w:val="00687DBD"/>
    <w:rsid w:val="006951BB"/>
    <w:rsid w:val="006C736C"/>
    <w:rsid w:val="006F1708"/>
    <w:rsid w:val="007179A1"/>
    <w:rsid w:val="00756A7D"/>
    <w:rsid w:val="00794CB0"/>
    <w:rsid w:val="007D3A5F"/>
    <w:rsid w:val="007D5015"/>
    <w:rsid w:val="007D75A2"/>
    <w:rsid w:val="007E0CA7"/>
    <w:rsid w:val="007E5767"/>
    <w:rsid w:val="008302A4"/>
    <w:rsid w:val="00846F4E"/>
    <w:rsid w:val="00851555"/>
    <w:rsid w:val="00854B65"/>
    <w:rsid w:val="00861CC5"/>
    <w:rsid w:val="0088644F"/>
    <w:rsid w:val="00887EB9"/>
    <w:rsid w:val="008C5CC0"/>
    <w:rsid w:val="008E5E0F"/>
    <w:rsid w:val="00912AD2"/>
    <w:rsid w:val="00930214"/>
    <w:rsid w:val="00945899"/>
    <w:rsid w:val="00945975"/>
    <w:rsid w:val="009650A6"/>
    <w:rsid w:val="009A0751"/>
    <w:rsid w:val="009C02E6"/>
    <w:rsid w:val="009D195A"/>
    <w:rsid w:val="00A0127A"/>
    <w:rsid w:val="00A25D2F"/>
    <w:rsid w:val="00A47169"/>
    <w:rsid w:val="00A60A39"/>
    <w:rsid w:val="00A65ED1"/>
    <w:rsid w:val="00A75D9D"/>
    <w:rsid w:val="00A825D5"/>
    <w:rsid w:val="00A84419"/>
    <w:rsid w:val="00AB7988"/>
    <w:rsid w:val="00AC55F7"/>
    <w:rsid w:val="00AE45F0"/>
    <w:rsid w:val="00AF6D2D"/>
    <w:rsid w:val="00AF72B6"/>
    <w:rsid w:val="00B260B8"/>
    <w:rsid w:val="00B323BA"/>
    <w:rsid w:val="00B4249E"/>
    <w:rsid w:val="00B53B35"/>
    <w:rsid w:val="00B71C8A"/>
    <w:rsid w:val="00B82D5C"/>
    <w:rsid w:val="00B91805"/>
    <w:rsid w:val="00B92261"/>
    <w:rsid w:val="00B97678"/>
    <w:rsid w:val="00BA45F4"/>
    <w:rsid w:val="00BA4AAB"/>
    <w:rsid w:val="00BA59B4"/>
    <w:rsid w:val="00BB1C82"/>
    <w:rsid w:val="00BF603A"/>
    <w:rsid w:val="00BF6C7E"/>
    <w:rsid w:val="00BF6DE4"/>
    <w:rsid w:val="00C14259"/>
    <w:rsid w:val="00C22652"/>
    <w:rsid w:val="00C24592"/>
    <w:rsid w:val="00C32479"/>
    <w:rsid w:val="00C40577"/>
    <w:rsid w:val="00C40CFE"/>
    <w:rsid w:val="00C44FD9"/>
    <w:rsid w:val="00C52714"/>
    <w:rsid w:val="00C53F2A"/>
    <w:rsid w:val="00C604B6"/>
    <w:rsid w:val="00C76762"/>
    <w:rsid w:val="00C857FE"/>
    <w:rsid w:val="00CB340A"/>
    <w:rsid w:val="00CC0ADB"/>
    <w:rsid w:val="00CD49A5"/>
    <w:rsid w:val="00CD702F"/>
    <w:rsid w:val="00CF47D2"/>
    <w:rsid w:val="00CF60FB"/>
    <w:rsid w:val="00D009B1"/>
    <w:rsid w:val="00D018C8"/>
    <w:rsid w:val="00D111D4"/>
    <w:rsid w:val="00D12BB5"/>
    <w:rsid w:val="00D15CFA"/>
    <w:rsid w:val="00D22A57"/>
    <w:rsid w:val="00D52E8D"/>
    <w:rsid w:val="00D54A34"/>
    <w:rsid w:val="00D65886"/>
    <w:rsid w:val="00D77A0E"/>
    <w:rsid w:val="00D967AA"/>
    <w:rsid w:val="00DB1DB2"/>
    <w:rsid w:val="00DB2E98"/>
    <w:rsid w:val="00DB7C74"/>
    <w:rsid w:val="00DC03F5"/>
    <w:rsid w:val="00DC0BE3"/>
    <w:rsid w:val="00DD1D2F"/>
    <w:rsid w:val="00DE3BC0"/>
    <w:rsid w:val="00DE49D2"/>
    <w:rsid w:val="00E37957"/>
    <w:rsid w:val="00E64D8A"/>
    <w:rsid w:val="00E744B5"/>
    <w:rsid w:val="00E929A8"/>
    <w:rsid w:val="00EA5C45"/>
    <w:rsid w:val="00EB4356"/>
    <w:rsid w:val="00EB71DA"/>
    <w:rsid w:val="00EC0999"/>
    <w:rsid w:val="00EC508B"/>
    <w:rsid w:val="00EF2EC2"/>
    <w:rsid w:val="00F132FC"/>
    <w:rsid w:val="00F25B58"/>
    <w:rsid w:val="00F36A2B"/>
    <w:rsid w:val="00F87C1D"/>
    <w:rsid w:val="00FA4E7C"/>
    <w:rsid w:val="00FD3131"/>
    <w:rsid w:val="00FE1E34"/>
    <w:rsid w:val="00FE7E32"/>
    <w:rsid w:val="00FF492A"/>
    <w:rsid w:val="00FF7E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81987"/>
  <w15:docId w15:val="{39EC1674-FFDB-4F21-998F-BAE622238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pPr>
      <w:keepNext/>
      <w:spacing w:before="240" w:after="60"/>
      <w:ind w:left="2160" w:hanging="720"/>
      <w:outlineLvl w:val="2"/>
    </w:pPr>
    <w:rPr>
      <w:rFonts w:ascii="Calibri" w:eastAsia="Calibri" w:hAnsi="Calibri" w:cs="Calibri"/>
      <w:b/>
      <w:bCs/>
      <w:sz w:val="26"/>
      <w:szCs w:val="26"/>
    </w:rPr>
  </w:style>
  <w:style w:type="paragraph" w:styleId="Ttulo4">
    <w:name w:val="heading 4"/>
    <w:basedOn w:val="Normal"/>
    <w:next w:val="Normal"/>
    <w:pPr>
      <w:keepNext/>
      <w:spacing w:before="240" w:after="60"/>
      <w:ind w:left="2880" w:hanging="720"/>
      <w:outlineLvl w:val="3"/>
    </w:pPr>
    <w:rPr>
      <w:rFonts w:ascii="Cambria" w:eastAsia="Cambria" w:hAnsi="Cambria" w:cs="Cambria"/>
      <w:b/>
      <w:bCs/>
      <w:sz w:val="28"/>
      <w:szCs w:val="28"/>
    </w:rPr>
  </w:style>
  <w:style w:type="paragraph" w:styleId="Ttulo5">
    <w:name w:val="heading 5"/>
    <w:basedOn w:val="Normal"/>
    <w:next w:val="Normal"/>
    <w:pPr>
      <w:spacing w:before="240" w:after="60"/>
      <w:ind w:left="3600" w:hanging="720"/>
      <w:outlineLvl w:val="4"/>
    </w:pPr>
    <w:rPr>
      <w:rFonts w:ascii="Cambria" w:eastAsia="Cambria" w:hAnsi="Cambria" w:cs="Cambria"/>
      <w:b/>
      <w:bCs/>
      <w:i/>
      <w:iCs/>
      <w:sz w:val="26"/>
      <w:szCs w:val="26"/>
    </w:rPr>
  </w:style>
  <w:style w:type="paragraph" w:styleId="Ttulo6">
    <w:name w:val="heading 6"/>
    <w:basedOn w:val="Normal"/>
    <w:next w:val="Normal"/>
    <w:pPr>
      <w:spacing w:before="240" w:after="60"/>
      <w:ind w:left="4320" w:hanging="72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3">
    <w:name w:val="TableNormal3"/>
    <w:tblPr>
      <w:tblCellMar>
        <w:top w:w="0" w:type="dxa"/>
        <w:left w:w="0" w:type="dxa"/>
        <w:bottom w:w="0" w:type="dxa"/>
        <w:right w:w="0" w:type="dxa"/>
      </w:tblCellMar>
    </w:tblPr>
  </w:style>
  <w:style w:type="table" w:customStyle="1" w:styleId="TableNormal2">
    <w:name w:val="TableNormal2"/>
    <w:tblPr>
      <w:tblCellMar>
        <w:top w:w="0" w:type="dxa"/>
        <w:left w:w="0" w:type="dxa"/>
        <w:bottom w:w="0" w:type="dxa"/>
        <w:right w:w="0" w:type="dxa"/>
      </w:tblCellMar>
    </w:tblPr>
  </w:style>
  <w:style w:type="table" w:customStyle="1" w:styleId="TableNormal1">
    <w:name w:val="TableNormal1"/>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15">
    <w:name w:val="Table Normal15"/>
    <w:tblPr>
      <w:tblCellMar>
        <w:top w:w="0" w:type="dxa"/>
        <w:left w:w="0" w:type="dxa"/>
        <w:bottom w:w="0" w:type="dxa"/>
        <w:right w:w="0" w:type="dxa"/>
      </w:tblCellMar>
    </w:tblPr>
  </w:style>
  <w:style w:type="table" w:customStyle="1" w:styleId="TableNormal14">
    <w:name w:val="Table Normal14"/>
    <w:tblPr>
      <w:tblCellMar>
        <w:top w:w="0" w:type="dxa"/>
        <w:left w:w="0" w:type="dxa"/>
        <w:bottom w:w="0" w:type="dxa"/>
        <w:right w:w="0" w:type="dxa"/>
      </w:tblCellMar>
    </w:tblPr>
  </w:style>
  <w:style w:type="table" w:customStyle="1" w:styleId="TableNormal13">
    <w:name w:val="Table Normal13"/>
    <w:tblPr>
      <w:tblCellMar>
        <w:top w:w="0" w:type="dxa"/>
        <w:left w:w="0" w:type="dxa"/>
        <w:bottom w:w="0" w:type="dxa"/>
        <w:right w:w="0" w:type="dxa"/>
      </w:tblCellMar>
    </w:tblPr>
  </w:style>
  <w:style w:type="table" w:customStyle="1" w:styleId="TableNormal12">
    <w:name w:val="Table Normal12"/>
    <w:tblPr>
      <w:tblCellMar>
        <w:top w:w="0" w:type="dxa"/>
        <w:left w:w="0" w:type="dxa"/>
        <w:bottom w:w="0" w:type="dxa"/>
        <w:right w:w="0" w:type="dxa"/>
      </w:tblCellMar>
    </w:tblPr>
  </w:style>
  <w:style w:type="table" w:customStyle="1" w:styleId="TableNormal11">
    <w:name w:val="Table Normal11"/>
    <w:tblPr>
      <w:tblCellMar>
        <w:top w:w="0" w:type="dxa"/>
        <w:left w:w="0" w:type="dxa"/>
        <w:bottom w:w="0" w:type="dxa"/>
        <w:right w:w="0" w:type="dxa"/>
      </w:tblCellMar>
    </w:tblPr>
  </w:style>
  <w:style w:type="table" w:customStyle="1" w:styleId="TableNormal10">
    <w:name w:val="Table Normal10"/>
    <w:tblPr>
      <w:tblCellMar>
        <w:top w:w="0" w:type="dxa"/>
        <w:left w:w="0" w:type="dxa"/>
        <w:bottom w:w="0" w:type="dxa"/>
        <w:right w:w="0" w:type="dxa"/>
      </w:tblCellMar>
    </w:tblPr>
  </w:style>
  <w:style w:type="table" w:customStyle="1" w:styleId="TableNormal9">
    <w:name w:val="Table Normal9"/>
    <w:tblPr>
      <w:tblCellMar>
        <w:top w:w="0" w:type="dxa"/>
        <w:left w:w="0" w:type="dxa"/>
        <w:bottom w:w="0" w:type="dxa"/>
        <w:right w:w="0" w:type="dxa"/>
      </w:tblCellMar>
    </w:tblPr>
  </w:style>
  <w:style w:type="table" w:customStyle="1" w:styleId="TableNormal8">
    <w:name w:val="Table Normal8"/>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0">
    <w:name w:val="Table Normal4"/>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6">
    <w:name w:val="Table Normal1"/>
    <w:tblPr>
      <w:tblCellMar>
        <w:top w:w="0" w:type="dxa"/>
        <w:left w:w="0" w:type="dxa"/>
        <w:bottom w:w="0" w:type="dxa"/>
        <w:right w:w="0" w:type="dxa"/>
      </w:tblCellMar>
    </w:tblPr>
  </w:style>
  <w:style w:type="table" w:customStyle="1" w:styleId="47">
    <w:name w:val="47"/>
    <w:basedOn w:val="TableNormal16"/>
    <w:tblPr>
      <w:tblStyleRowBandSize w:val="1"/>
      <w:tblStyleColBandSize w:val="1"/>
      <w:tblCellMar>
        <w:left w:w="115" w:type="dxa"/>
        <w:right w:w="115" w:type="dxa"/>
      </w:tblCellMar>
    </w:tblPr>
  </w:style>
  <w:style w:type="table" w:customStyle="1" w:styleId="46">
    <w:name w:val="46"/>
    <w:basedOn w:val="TableNormal16"/>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0D197B"/>
    <w:pPr>
      <w:tabs>
        <w:tab w:val="center" w:pos="4419"/>
        <w:tab w:val="right" w:pos="8838"/>
      </w:tabs>
    </w:pPr>
  </w:style>
  <w:style w:type="character" w:customStyle="1" w:styleId="EncabezadoCar">
    <w:name w:val="Encabezado Car"/>
    <w:basedOn w:val="Fuentedeprrafopredeter"/>
    <w:link w:val="Encabezado"/>
    <w:uiPriority w:val="99"/>
    <w:rsid w:val="000D197B"/>
  </w:style>
  <w:style w:type="paragraph" w:styleId="Piedepgina">
    <w:name w:val="footer"/>
    <w:basedOn w:val="Normal"/>
    <w:link w:val="PiedepginaCar"/>
    <w:uiPriority w:val="99"/>
    <w:unhideWhenUsed/>
    <w:rsid w:val="000D197B"/>
    <w:pPr>
      <w:tabs>
        <w:tab w:val="center" w:pos="4419"/>
        <w:tab w:val="right" w:pos="8838"/>
      </w:tabs>
    </w:pPr>
  </w:style>
  <w:style w:type="character" w:customStyle="1" w:styleId="PiedepginaCar">
    <w:name w:val="Pie de página Car"/>
    <w:basedOn w:val="Fuentedeprrafopredeter"/>
    <w:link w:val="Piedepgina"/>
    <w:uiPriority w:val="99"/>
    <w:rsid w:val="000D197B"/>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43334"/>
    <w:pPr>
      <w:ind w:left="720"/>
      <w:contextualSpacing/>
    </w:pPr>
  </w:style>
  <w:style w:type="paragraph" w:styleId="NormalWeb">
    <w:name w:val="Normal (Web)"/>
    <w:basedOn w:val="Normal"/>
    <w:uiPriority w:val="99"/>
    <w:unhideWhenUsed/>
    <w:rsid w:val="00476335"/>
    <w:pPr>
      <w:spacing w:before="100" w:beforeAutospacing="1" w:after="100" w:afterAutospacing="1"/>
    </w:p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06B5C"/>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06B5C"/>
    <w:rPr>
      <w:rFonts w:asciiTheme="minorHAnsi" w:eastAsiaTheme="minorHAnsi" w:hAnsiTheme="minorHAnsi" w:cstheme="minorBidi"/>
      <w:sz w:val="20"/>
      <w:szCs w:val="20"/>
      <w:lang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806B5C"/>
    <w:rPr>
      <w:vertAlign w:val="superscript"/>
    </w:rPr>
  </w:style>
  <w:style w:type="table" w:customStyle="1" w:styleId="45">
    <w:name w:val="45"/>
    <w:basedOn w:val="TableNormal16"/>
    <w:tblPr>
      <w:tblStyleRowBandSize w:val="1"/>
      <w:tblStyleColBandSize w:val="1"/>
      <w:tblCellMar>
        <w:left w:w="115" w:type="dxa"/>
        <w:right w:w="115" w:type="dxa"/>
      </w:tblCellMar>
    </w:tblPr>
  </w:style>
  <w:style w:type="table" w:customStyle="1" w:styleId="44">
    <w:name w:val="44"/>
    <w:basedOn w:val="TableNormal16"/>
    <w:tblPr>
      <w:tblStyleRowBandSize w:val="1"/>
      <w:tblStyleColBandSize w:val="1"/>
      <w:tblCellMar>
        <w:left w:w="115" w:type="dxa"/>
        <w:right w:w="115" w:type="dxa"/>
      </w:tblCellMar>
    </w:tblPr>
  </w:style>
  <w:style w:type="character" w:styleId="Hipervnculo">
    <w:name w:val="Hyperlink"/>
    <w:basedOn w:val="Fuentedeprrafopredeter"/>
    <w:uiPriority w:val="99"/>
    <w:unhideWhenUsed/>
    <w:rsid w:val="00504D6C"/>
    <w:rPr>
      <w:color w:val="0000FF" w:themeColor="hyperlink"/>
      <w:u w:val="single"/>
    </w:rPr>
  </w:style>
  <w:style w:type="character" w:styleId="Hipervnculovisitado">
    <w:name w:val="FollowedHyperlink"/>
    <w:basedOn w:val="Fuentedeprrafopredeter"/>
    <w:uiPriority w:val="99"/>
    <w:semiHidden/>
    <w:unhideWhenUsed/>
    <w:rsid w:val="00504D6C"/>
    <w:rPr>
      <w:color w:val="800080" w:themeColor="followedHyperlink"/>
      <w:u w:val="single"/>
    </w:rPr>
  </w:style>
  <w:style w:type="table" w:styleId="Tablaconcuadrcula">
    <w:name w:val="Table Grid"/>
    <w:basedOn w:val="Tablanormal"/>
    <w:uiPriority w:val="39"/>
    <w:rsid w:val="00134A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43"/>
    <w:basedOn w:val="TableNormal20"/>
    <w:tblPr>
      <w:tblStyleRowBandSize w:val="1"/>
      <w:tblStyleColBandSize w:val="1"/>
      <w:tblCellMar>
        <w:left w:w="115" w:type="dxa"/>
        <w:right w:w="115" w:type="dxa"/>
      </w:tblCellMar>
    </w:tblPr>
  </w:style>
  <w:style w:type="table" w:customStyle="1" w:styleId="42">
    <w:name w:val="42"/>
    <w:basedOn w:val="TableNormal20"/>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5E017B"/>
    <w:pPr>
      <w:numPr>
        <w:numId w:val="1"/>
      </w:numPr>
      <w:contextualSpacing/>
    </w:pPr>
  </w:style>
  <w:style w:type="character" w:customStyle="1" w:styleId="yt-core-attributed-string--link-inherit-color">
    <w:name w:val="yt-core-attributed-string--link-inherit-color"/>
    <w:basedOn w:val="Fuentedeprrafopredeter"/>
    <w:rsid w:val="00EA0BEF"/>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72"/>
    <w:qFormat/>
    <w:locked/>
    <w:rsid w:val="00452086"/>
  </w:style>
  <w:style w:type="character" w:customStyle="1" w:styleId="Mencinsinresolver1">
    <w:name w:val="Mención sin resolver1"/>
    <w:basedOn w:val="Fuentedeprrafopredeter"/>
    <w:uiPriority w:val="99"/>
    <w:semiHidden/>
    <w:unhideWhenUsed/>
    <w:rsid w:val="00C64B15"/>
    <w:rPr>
      <w:color w:val="605E5C"/>
      <w:shd w:val="clear" w:color="auto" w:fill="E1DFDD"/>
    </w:rPr>
  </w:style>
  <w:style w:type="paragraph" w:customStyle="1" w:styleId="Default">
    <w:name w:val="Default"/>
    <w:rsid w:val="00B92077"/>
    <w:pPr>
      <w:autoSpaceDE w:val="0"/>
      <w:autoSpaceDN w:val="0"/>
      <w:adjustRightInd w:val="0"/>
    </w:pPr>
    <w:rPr>
      <w:rFonts w:ascii="Arial" w:hAnsi="Arial" w:cs="Arial"/>
      <w:color w:val="000000"/>
    </w:rPr>
  </w:style>
  <w:style w:type="character" w:customStyle="1" w:styleId="Mencinsinresolver2">
    <w:name w:val="Mención sin resolver2"/>
    <w:basedOn w:val="Fuentedeprrafopredeter"/>
    <w:uiPriority w:val="99"/>
    <w:semiHidden/>
    <w:unhideWhenUsed/>
    <w:rsid w:val="00251B93"/>
    <w:rPr>
      <w:color w:val="605E5C"/>
      <w:shd w:val="clear" w:color="auto" w:fill="E1DFDD"/>
    </w:rPr>
  </w:style>
  <w:style w:type="paragraph" w:styleId="Textodeglobo">
    <w:name w:val="Balloon Text"/>
    <w:basedOn w:val="Normal"/>
    <w:link w:val="TextodegloboCar"/>
    <w:uiPriority w:val="99"/>
    <w:semiHidden/>
    <w:unhideWhenUsed/>
    <w:rsid w:val="00DD0D6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0D64"/>
    <w:rPr>
      <w:rFonts w:ascii="Segoe UI" w:hAnsi="Segoe UI" w:cs="Segoe UI"/>
      <w:sz w:val="18"/>
      <w:szCs w:val="18"/>
    </w:rPr>
  </w:style>
  <w:style w:type="paragraph" w:styleId="Sinespaciado">
    <w:name w:val="No Spacing"/>
    <w:aliases w:val="Francesa"/>
    <w:link w:val="SinespaciadoCar"/>
    <w:uiPriority w:val="1"/>
    <w:qFormat/>
    <w:rsid w:val="000D0148"/>
    <w:rPr>
      <w:rFonts w:asciiTheme="minorHAnsi" w:eastAsiaTheme="minorHAnsi" w:hAnsiTheme="minorHAnsi" w:cstheme="minorBidi"/>
      <w:sz w:val="22"/>
      <w:szCs w:val="22"/>
      <w:lang w:eastAsia="en-US"/>
    </w:rPr>
  </w:style>
  <w:style w:type="character" w:customStyle="1" w:styleId="SinespaciadoCar">
    <w:name w:val="Sin espaciado Car"/>
    <w:aliases w:val="Francesa Car"/>
    <w:link w:val="Sinespaciado"/>
    <w:uiPriority w:val="1"/>
    <w:locked/>
    <w:rsid w:val="000D0148"/>
    <w:rPr>
      <w:rFonts w:asciiTheme="minorHAnsi" w:eastAsiaTheme="minorHAnsi" w:hAnsiTheme="minorHAnsi" w:cstheme="minorBidi"/>
      <w:sz w:val="22"/>
      <w:szCs w:val="22"/>
      <w:lang w:eastAsia="en-US"/>
    </w:rPr>
  </w:style>
  <w:style w:type="paragraph" w:customStyle="1" w:styleId="rtejustify">
    <w:name w:val="rtejustify"/>
    <w:basedOn w:val="Normal"/>
    <w:rsid w:val="00876EB7"/>
    <w:pPr>
      <w:spacing w:before="100" w:beforeAutospacing="1" w:after="100" w:afterAutospacing="1"/>
    </w:pPr>
  </w:style>
  <w:style w:type="table" w:customStyle="1" w:styleId="41">
    <w:name w:val="41"/>
    <w:basedOn w:val="TableNormal30"/>
    <w:tblPr>
      <w:tblStyleRowBandSize w:val="1"/>
      <w:tblStyleColBandSize w:val="1"/>
      <w:tblCellMar>
        <w:left w:w="108" w:type="dxa"/>
        <w:right w:w="108" w:type="dxa"/>
      </w:tblCellMar>
    </w:tblPr>
  </w:style>
  <w:style w:type="table" w:customStyle="1" w:styleId="40">
    <w:name w:val="40"/>
    <w:basedOn w:val="TableNormal30"/>
    <w:tblPr>
      <w:tblStyleRowBandSize w:val="1"/>
      <w:tblStyleColBandSize w:val="1"/>
      <w:tblCellMar>
        <w:left w:w="108" w:type="dxa"/>
        <w:right w:w="108" w:type="dxa"/>
      </w:tblCellMar>
    </w:tblPr>
  </w:style>
  <w:style w:type="table" w:customStyle="1" w:styleId="39">
    <w:name w:val="39"/>
    <w:basedOn w:val="TableNormal30"/>
    <w:tblPr>
      <w:tblStyleRowBandSize w:val="1"/>
      <w:tblStyleColBandSize w:val="1"/>
      <w:tblCellMar>
        <w:left w:w="108" w:type="dxa"/>
        <w:right w:w="108" w:type="dxa"/>
      </w:tblCellMar>
    </w:tblPr>
  </w:style>
  <w:style w:type="table" w:customStyle="1" w:styleId="38">
    <w:name w:val="38"/>
    <w:basedOn w:val="TableNormal30"/>
    <w:tblPr>
      <w:tblStyleRowBandSize w:val="1"/>
      <w:tblStyleColBandSize w:val="1"/>
      <w:tblCellMar>
        <w:left w:w="108" w:type="dxa"/>
        <w:right w:w="108" w:type="dxa"/>
      </w:tblCellMar>
    </w:tblPr>
  </w:style>
  <w:style w:type="table" w:customStyle="1" w:styleId="37">
    <w:name w:val="37"/>
    <w:basedOn w:val="TableNormal30"/>
    <w:tblPr>
      <w:tblStyleRowBandSize w:val="1"/>
      <w:tblStyleColBandSize w:val="1"/>
      <w:tblCellMar>
        <w:left w:w="108" w:type="dxa"/>
        <w:right w:w="108" w:type="dxa"/>
      </w:tblCellMar>
    </w:tblPr>
  </w:style>
  <w:style w:type="table" w:customStyle="1" w:styleId="36">
    <w:name w:val="36"/>
    <w:basedOn w:val="TableNormal30"/>
    <w:tblPr>
      <w:tblStyleRowBandSize w:val="1"/>
      <w:tblStyleColBandSize w:val="1"/>
      <w:tblCellMar>
        <w:left w:w="115" w:type="dxa"/>
        <w:right w:w="115" w:type="dxa"/>
      </w:tblCellMar>
    </w:tblPr>
  </w:style>
  <w:style w:type="table" w:customStyle="1" w:styleId="35">
    <w:name w:val="35"/>
    <w:basedOn w:val="TableNormal30"/>
    <w:tblPr>
      <w:tblStyleRowBandSize w:val="1"/>
      <w:tblStyleColBandSize w:val="1"/>
      <w:tblCellMar>
        <w:left w:w="115" w:type="dxa"/>
        <w:right w:w="115" w:type="dxa"/>
      </w:tblCellMar>
    </w:tblPr>
  </w:style>
  <w:style w:type="table" w:customStyle="1" w:styleId="34">
    <w:name w:val="34"/>
    <w:basedOn w:val="TableNormal40"/>
    <w:tblPr>
      <w:tblStyleRowBandSize w:val="1"/>
      <w:tblStyleColBandSize w:val="1"/>
      <w:tblCellMar>
        <w:left w:w="108" w:type="dxa"/>
        <w:right w:w="108" w:type="dxa"/>
      </w:tblCellMar>
    </w:tblPr>
  </w:style>
  <w:style w:type="table" w:customStyle="1" w:styleId="33">
    <w:name w:val="33"/>
    <w:basedOn w:val="TableNormal40"/>
    <w:tblPr>
      <w:tblStyleRowBandSize w:val="1"/>
      <w:tblStyleColBandSize w:val="1"/>
      <w:tblCellMar>
        <w:left w:w="115" w:type="dxa"/>
        <w:right w:w="115" w:type="dxa"/>
      </w:tblCellMar>
    </w:tblPr>
  </w:style>
  <w:style w:type="table" w:customStyle="1" w:styleId="32">
    <w:name w:val="32"/>
    <w:basedOn w:val="TableNormal40"/>
    <w:tblPr>
      <w:tblStyleRowBandSize w:val="1"/>
      <w:tblStyleColBandSize w:val="1"/>
      <w:tblCellMar>
        <w:left w:w="115" w:type="dxa"/>
        <w:right w:w="115" w:type="dxa"/>
      </w:tblCellMar>
    </w:tblPr>
  </w:style>
  <w:style w:type="table" w:customStyle="1" w:styleId="31">
    <w:name w:val="31"/>
    <w:basedOn w:val="TableNormal5"/>
    <w:tblPr>
      <w:tblStyleRowBandSize w:val="1"/>
      <w:tblStyleColBandSize w:val="1"/>
      <w:tblCellMar>
        <w:left w:w="115" w:type="dxa"/>
        <w:right w:w="115" w:type="dxa"/>
      </w:tblCellMar>
    </w:tblPr>
  </w:style>
  <w:style w:type="table" w:customStyle="1" w:styleId="30">
    <w:name w:val="30"/>
    <w:basedOn w:val="TableNormal5"/>
    <w:tblPr>
      <w:tblStyleRowBandSize w:val="1"/>
      <w:tblStyleColBandSize w:val="1"/>
      <w:tblCellMar>
        <w:left w:w="115" w:type="dxa"/>
        <w:right w:w="115" w:type="dxa"/>
      </w:tblCellMar>
    </w:tblPr>
  </w:style>
  <w:style w:type="table" w:customStyle="1" w:styleId="29">
    <w:name w:val="29"/>
    <w:basedOn w:val="TableNormal5"/>
    <w:tblPr>
      <w:tblStyleRowBandSize w:val="1"/>
      <w:tblStyleColBandSize w:val="1"/>
      <w:tblCellMar>
        <w:left w:w="115" w:type="dxa"/>
        <w:right w:w="115" w:type="dxa"/>
      </w:tblCellMar>
    </w:tblPr>
  </w:style>
  <w:style w:type="table" w:customStyle="1" w:styleId="28">
    <w:name w:val="28"/>
    <w:basedOn w:val="TableNormal6"/>
    <w:tblPr>
      <w:tblStyleRowBandSize w:val="1"/>
      <w:tblStyleColBandSize w:val="1"/>
      <w:tblCellMar>
        <w:left w:w="115" w:type="dxa"/>
        <w:right w:w="115" w:type="dxa"/>
      </w:tblCellMar>
    </w:tblPr>
  </w:style>
  <w:style w:type="table" w:customStyle="1" w:styleId="27">
    <w:name w:val="27"/>
    <w:basedOn w:val="TableNormal6"/>
    <w:tblPr>
      <w:tblStyleRowBandSize w:val="1"/>
      <w:tblStyleColBandSize w:val="1"/>
      <w:tblCellMar>
        <w:left w:w="115" w:type="dxa"/>
        <w:right w:w="115" w:type="dxa"/>
      </w:tblCellMar>
    </w:tblPr>
  </w:style>
  <w:style w:type="table" w:customStyle="1" w:styleId="26">
    <w:name w:val="26"/>
    <w:basedOn w:val="TableNormal7"/>
    <w:tblPr>
      <w:tblStyleRowBandSize w:val="1"/>
      <w:tblStyleColBandSize w:val="1"/>
      <w:tblCellMar>
        <w:left w:w="115" w:type="dxa"/>
        <w:right w:w="115" w:type="dxa"/>
      </w:tblCellMar>
    </w:tblPr>
  </w:style>
  <w:style w:type="table" w:customStyle="1" w:styleId="25">
    <w:name w:val="25"/>
    <w:basedOn w:val="TableNormal7"/>
    <w:tblPr>
      <w:tblStyleRowBandSize w:val="1"/>
      <w:tblStyleColBandSize w:val="1"/>
      <w:tblCellMar>
        <w:left w:w="115" w:type="dxa"/>
        <w:right w:w="115" w:type="dxa"/>
      </w:tblCellMar>
    </w:tblPr>
  </w:style>
  <w:style w:type="table" w:customStyle="1" w:styleId="24">
    <w:name w:val="24"/>
    <w:basedOn w:val="TableNormal8"/>
    <w:tblPr>
      <w:tblStyleRowBandSize w:val="1"/>
      <w:tblStyleColBandSize w:val="1"/>
      <w:tblCellMar>
        <w:left w:w="115" w:type="dxa"/>
        <w:right w:w="115" w:type="dxa"/>
      </w:tblCellMar>
    </w:tblPr>
  </w:style>
  <w:style w:type="table" w:customStyle="1" w:styleId="23">
    <w:name w:val="23"/>
    <w:basedOn w:val="TableNormal8"/>
    <w:tblPr>
      <w:tblStyleRowBandSize w:val="1"/>
      <w:tblStyleColBandSize w:val="1"/>
      <w:tblCellMar>
        <w:left w:w="115" w:type="dxa"/>
        <w:right w:w="115" w:type="dxa"/>
      </w:tblCellMar>
    </w:tblPr>
  </w:style>
  <w:style w:type="character" w:styleId="Textoennegrita">
    <w:name w:val="Strong"/>
    <w:basedOn w:val="Fuentedeprrafopredeter"/>
    <w:uiPriority w:val="22"/>
    <w:qFormat/>
    <w:rsid w:val="002C02D7"/>
    <w:rPr>
      <w:b/>
      <w:bCs/>
    </w:rPr>
  </w:style>
  <w:style w:type="character" w:customStyle="1" w:styleId="object">
    <w:name w:val="object"/>
    <w:basedOn w:val="Fuentedeprrafopredeter"/>
    <w:rsid w:val="002C02D7"/>
  </w:style>
  <w:style w:type="table" w:customStyle="1" w:styleId="22">
    <w:name w:val="22"/>
    <w:basedOn w:val="TableNormal9"/>
    <w:tblPr>
      <w:tblStyleRowBandSize w:val="1"/>
      <w:tblStyleColBandSize w:val="1"/>
      <w:tblCellMar>
        <w:left w:w="115" w:type="dxa"/>
        <w:right w:w="115" w:type="dxa"/>
      </w:tblCellMar>
    </w:tblPr>
  </w:style>
  <w:style w:type="table" w:customStyle="1" w:styleId="21">
    <w:name w:val="21"/>
    <w:basedOn w:val="TableNormal9"/>
    <w:tblPr>
      <w:tblStyleRowBandSize w:val="1"/>
      <w:tblStyleColBandSize w:val="1"/>
      <w:tblCellMar>
        <w:left w:w="115" w:type="dxa"/>
        <w:right w:w="115" w:type="dxa"/>
      </w:tblCellMar>
    </w:tblPr>
  </w:style>
  <w:style w:type="table" w:customStyle="1" w:styleId="20">
    <w:name w:val="20"/>
    <w:basedOn w:val="TableNormal10"/>
    <w:tblPr>
      <w:tblStyleRowBandSize w:val="1"/>
      <w:tblStyleColBandSize w:val="1"/>
      <w:tblCellMar>
        <w:left w:w="115" w:type="dxa"/>
        <w:right w:w="115" w:type="dxa"/>
      </w:tblCellMar>
    </w:tblPr>
  </w:style>
  <w:style w:type="table" w:customStyle="1" w:styleId="19">
    <w:name w:val="19"/>
    <w:basedOn w:val="TableNormal10"/>
    <w:tblPr>
      <w:tblStyleRowBandSize w:val="1"/>
      <w:tblStyleColBandSize w:val="1"/>
      <w:tblCellMar>
        <w:left w:w="115" w:type="dxa"/>
        <w:right w:w="115" w:type="dxa"/>
      </w:tblCellMar>
    </w:tblPr>
  </w:style>
  <w:style w:type="table" w:customStyle="1" w:styleId="18">
    <w:name w:val="18"/>
    <w:basedOn w:val="TableNormal11"/>
    <w:tblPr>
      <w:tblStyleRowBandSize w:val="1"/>
      <w:tblStyleColBandSize w:val="1"/>
      <w:tblCellMar>
        <w:left w:w="115" w:type="dxa"/>
        <w:right w:w="115" w:type="dxa"/>
      </w:tblCellMar>
    </w:tblPr>
  </w:style>
  <w:style w:type="table" w:customStyle="1" w:styleId="17">
    <w:name w:val="17"/>
    <w:basedOn w:val="TableNormal11"/>
    <w:tblPr>
      <w:tblStyleRowBandSize w:val="1"/>
      <w:tblStyleColBandSize w:val="1"/>
      <w:tblCellMar>
        <w:left w:w="115" w:type="dxa"/>
        <w:right w:w="115" w:type="dxa"/>
      </w:tblCellMar>
    </w:tblPr>
  </w:style>
  <w:style w:type="table" w:customStyle="1" w:styleId="16">
    <w:name w:val="16"/>
    <w:basedOn w:val="TableNormal12"/>
    <w:tblPr>
      <w:tblStyleRowBandSize w:val="1"/>
      <w:tblStyleColBandSize w:val="1"/>
      <w:tblCellMar>
        <w:left w:w="115" w:type="dxa"/>
        <w:right w:w="115" w:type="dxa"/>
      </w:tblCellMar>
    </w:tblPr>
  </w:style>
  <w:style w:type="table" w:customStyle="1" w:styleId="15">
    <w:name w:val="15"/>
    <w:basedOn w:val="TableNormal12"/>
    <w:tblPr>
      <w:tblStyleRowBandSize w:val="1"/>
      <w:tblStyleColBandSize w:val="1"/>
      <w:tblCellMar>
        <w:left w:w="115" w:type="dxa"/>
        <w:right w:w="115" w:type="dxa"/>
      </w:tblCellMar>
    </w:tblPr>
  </w:style>
  <w:style w:type="table" w:customStyle="1" w:styleId="14">
    <w:name w:val="14"/>
    <w:basedOn w:val="TableNormal13"/>
    <w:tblPr>
      <w:tblStyleRowBandSize w:val="1"/>
      <w:tblStyleColBandSize w:val="1"/>
      <w:tblCellMar>
        <w:left w:w="115" w:type="dxa"/>
        <w:right w:w="115" w:type="dxa"/>
      </w:tblCellMar>
    </w:tblPr>
  </w:style>
  <w:style w:type="table" w:customStyle="1" w:styleId="13">
    <w:name w:val="13"/>
    <w:basedOn w:val="TableNormal13"/>
    <w:tblPr>
      <w:tblStyleRowBandSize w:val="1"/>
      <w:tblStyleColBandSize w:val="1"/>
      <w:tblCellMar>
        <w:left w:w="115" w:type="dxa"/>
        <w:right w:w="115" w:type="dxa"/>
      </w:tblCellMar>
    </w:tblPr>
  </w:style>
  <w:style w:type="table" w:customStyle="1" w:styleId="12">
    <w:name w:val="12"/>
    <w:basedOn w:val="TableNormal14"/>
    <w:tblPr>
      <w:tblStyleRowBandSize w:val="1"/>
      <w:tblStyleColBandSize w:val="1"/>
      <w:tblCellMar>
        <w:left w:w="115" w:type="dxa"/>
        <w:right w:w="115" w:type="dxa"/>
      </w:tblCellMar>
    </w:tblPr>
  </w:style>
  <w:style w:type="table" w:customStyle="1" w:styleId="11">
    <w:name w:val="11"/>
    <w:basedOn w:val="TableNormal14"/>
    <w:tblPr>
      <w:tblStyleRowBandSize w:val="1"/>
      <w:tblStyleColBandSize w:val="1"/>
      <w:tblCellMar>
        <w:left w:w="115" w:type="dxa"/>
        <w:right w:w="115" w:type="dxa"/>
      </w:tblCellMar>
    </w:tblPr>
  </w:style>
  <w:style w:type="table" w:customStyle="1" w:styleId="10">
    <w:name w:val="10"/>
    <w:basedOn w:val="TableNormal15"/>
    <w:tblPr>
      <w:tblStyleRowBandSize w:val="1"/>
      <w:tblStyleColBandSize w:val="1"/>
      <w:tblCellMar>
        <w:left w:w="115" w:type="dxa"/>
        <w:right w:w="115" w:type="dxa"/>
      </w:tblCellMar>
    </w:tblPr>
  </w:style>
  <w:style w:type="table" w:customStyle="1" w:styleId="9">
    <w:name w:val="9"/>
    <w:basedOn w:val="TableNormal15"/>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
    <w:name w:val="6"/>
    <w:basedOn w:val="TableNormal1"/>
    <w:tblPr>
      <w:tblStyleRowBandSize w:val="1"/>
      <w:tblStyleColBandSize w:val="1"/>
      <w:tblCellMar>
        <w:left w:w="115" w:type="dxa"/>
        <w:right w:w="115" w:type="dxa"/>
      </w:tblCellMar>
    </w:tblPr>
  </w:style>
  <w:style w:type="table" w:customStyle="1" w:styleId="5">
    <w:name w:val="5"/>
    <w:basedOn w:val="TableNormal1"/>
    <w:tblPr>
      <w:tblStyleRowBandSize w:val="1"/>
      <w:tblStyleColBandSize w:val="1"/>
      <w:tblCellMar>
        <w:left w:w="115" w:type="dxa"/>
        <w:right w:w="115" w:type="dxa"/>
      </w:tblCellMar>
    </w:tblPr>
  </w:style>
  <w:style w:type="table" w:customStyle="1" w:styleId="4">
    <w:name w:val="4"/>
    <w:basedOn w:val="TableNormal2"/>
    <w:tblPr>
      <w:tblStyleRowBandSize w:val="1"/>
      <w:tblStyleColBandSize w:val="1"/>
      <w:tblCellMar>
        <w:left w:w="115" w:type="dxa"/>
        <w:right w:w="115" w:type="dxa"/>
      </w:tblCellMar>
    </w:tblPr>
  </w:style>
  <w:style w:type="table" w:customStyle="1" w:styleId="3">
    <w:name w:val="3"/>
    <w:basedOn w:val="TableNormal2"/>
    <w:tblPr>
      <w:tblStyleRowBandSize w:val="1"/>
      <w:tblStyleColBandSize w:val="1"/>
      <w:tblCellMar>
        <w:left w:w="115" w:type="dxa"/>
        <w:right w:w="115" w:type="dxa"/>
      </w:tblCellMar>
    </w:tblPr>
  </w:style>
  <w:style w:type="table" w:customStyle="1" w:styleId="2">
    <w:name w:val="2"/>
    <w:basedOn w:val="TableNormal3"/>
    <w:tblPr>
      <w:tblStyleRowBandSize w:val="1"/>
      <w:tblStyleColBandSize w:val="1"/>
      <w:tblCellMar>
        <w:left w:w="115" w:type="dxa"/>
        <w:right w:w="115" w:type="dxa"/>
      </w:tblCellMar>
    </w:tblPr>
  </w:style>
  <w:style w:type="table" w:customStyle="1" w:styleId="1">
    <w:name w:val="1"/>
    <w:basedOn w:val="TableNormal3"/>
    <w:tblPr>
      <w:tblStyleRowBandSize w:val="1"/>
      <w:tblStyleColBandSize w:val="1"/>
      <w:tblCellMar>
        <w:left w:w="115" w:type="dxa"/>
        <w:right w:w="115" w:type="dxa"/>
      </w:tblCellMar>
    </w:tblPr>
  </w:style>
  <w:style w:type="paragraph" w:styleId="Lista">
    <w:name w:val="List"/>
    <w:basedOn w:val="Normal"/>
    <w:uiPriority w:val="99"/>
    <w:unhideWhenUsed/>
    <w:rsid w:val="0076259D"/>
    <w:pPr>
      <w:ind w:left="283" w:hanging="283"/>
      <w:contextualSpacing/>
    </w:pPr>
  </w:style>
  <w:style w:type="paragraph" w:styleId="Lista2">
    <w:name w:val="List 2"/>
    <w:basedOn w:val="Normal"/>
    <w:uiPriority w:val="99"/>
    <w:unhideWhenUsed/>
    <w:rsid w:val="0076259D"/>
    <w:pPr>
      <w:ind w:left="566" w:hanging="283"/>
      <w:contextualSpacing/>
    </w:pPr>
  </w:style>
  <w:style w:type="paragraph" w:styleId="Lista3">
    <w:name w:val="List 3"/>
    <w:basedOn w:val="Normal"/>
    <w:uiPriority w:val="99"/>
    <w:unhideWhenUsed/>
    <w:rsid w:val="0076259D"/>
    <w:pPr>
      <w:ind w:left="849" w:hanging="283"/>
      <w:contextualSpacing/>
    </w:pPr>
  </w:style>
  <w:style w:type="paragraph" w:styleId="Lista4">
    <w:name w:val="List 4"/>
    <w:basedOn w:val="Normal"/>
    <w:uiPriority w:val="99"/>
    <w:unhideWhenUsed/>
    <w:rsid w:val="0076259D"/>
    <w:pPr>
      <w:ind w:left="1132" w:hanging="283"/>
      <w:contextualSpacing/>
    </w:pPr>
  </w:style>
  <w:style w:type="paragraph" w:styleId="Lista5">
    <w:name w:val="List 5"/>
    <w:basedOn w:val="Normal"/>
    <w:uiPriority w:val="99"/>
    <w:unhideWhenUsed/>
    <w:rsid w:val="0076259D"/>
    <w:pPr>
      <w:ind w:left="1415" w:hanging="283"/>
      <w:contextualSpacing/>
    </w:pPr>
  </w:style>
  <w:style w:type="paragraph" w:styleId="Saludo">
    <w:name w:val="Salutation"/>
    <w:basedOn w:val="Normal"/>
    <w:next w:val="Normal"/>
    <w:link w:val="SaludoCar"/>
    <w:uiPriority w:val="99"/>
    <w:unhideWhenUsed/>
    <w:rsid w:val="0076259D"/>
  </w:style>
  <w:style w:type="character" w:customStyle="1" w:styleId="SaludoCar">
    <w:name w:val="Saludo Car"/>
    <w:basedOn w:val="Fuentedeprrafopredeter"/>
    <w:link w:val="Saludo"/>
    <w:uiPriority w:val="99"/>
    <w:rsid w:val="0076259D"/>
  </w:style>
  <w:style w:type="paragraph" w:styleId="Listaconvietas">
    <w:name w:val="List Bullet"/>
    <w:basedOn w:val="Normal"/>
    <w:uiPriority w:val="99"/>
    <w:unhideWhenUsed/>
    <w:rsid w:val="0076259D"/>
    <w:pPr>
      <w:tabs>
        <w:tab w:val="num" w:pos="720"/>
      </w:tabs>
      <w:ind w:left="720" w:hanging="720"/>
      <w:contextualSpacing/>
    </w:pPr>
  </w:style>
  <w:style w:type="paragraph" w:styleId="Listaconvietas2">
    <w:name w:val="List Bullet 2"/>
    <w:basedOn w:val="Normal"/>
    <w:uiPriority w:val="99"/>
    <w:unhideWhenUsed/>
    <w:rsid w:val="0076259D"/>
    <w:pPr>
      <w:tabs>
        <w:tab w:val="num" w:pos="720"/>
      </w:tabs>
      <w:ind w:left="720" w:hanging="720"/>
      <w:contextualSpacing/>
    </w:pPr>
  </w:style>
  <w:style w:type="paragraph" w:styleId="Continuarlista">
    <w:name w:val="List Continue"/>
    <w:basedOn w:val="Normal"/>
    <w:uiPriority w:val="99"/>
    <w:unhideWhenUsed/>
    <w:rsid w:val="0076259D"/>
    <w:pPr>
      <w:spacing w:after="120"/>
      <w:ind w:left="283"/>
      <w:contextualSpacing/>
    </w:pPr>
  </w:style>
  <w:style w:type="paragraph" w:styleId="Textoindependiente">
    <w:name w:val="Body Text"/>
    <w:basedOn w:val="Normal"/>
    <w:link w:val="TextoindependienteCar"/>
    <w:uiPriority w:val="99"/>
    <w:unhideWhenUsed/>
    <w:rsid w:val="0076259D"/>
    <w:pPr>
      <w:spacing w:after="120"/>
    </w:pPr>
  </w:style>
  <w:style w:type="character" w:customStyle="1" w:styleId="TextoindependienteCar">
    <w:name w:val="Texto independiente Car"/>
    <w:basedOn w:val="Fuentedeprrafopredeter"/>
    <w:link w:val="Textoindependiente"/>
    <w:uiPriority w:val="99"/>
    <w:rsid w:val="0076259D"/>
  </w:style>
  <w:style w:type="paragraph" w:styleId="Sangradetextonormal">
    <w:name w:val="Body Text Indent"/>
    <w:basedOn w:val="Normal"/>
    <w:link w:val="SangradetextonormalCar"/>
    <w:uiPriority w:val="99"/>
    <w:unhideWhenUsed/>
    <w:rsid w:val="0076259D"/>
    <w:pPr>
      <w:spacing w:after="120"/>
      <w:ind w:left="283"/>
    </w:pPr>
  </w:style>
  <w:style w:type="character" w:customStyle="1" w:styleId="SangradetextonormalCar">
    <w:name w:val="Sangría de texto normal Car"/>
    <w:basedOn w:val="Fuentedeprrafopredeter"/>
    <w:link w:val="Sangradetextonormal"/>
    <w:uiPriority w:val="99"/>
    <w:rsid w:val="0076259D"/>
  </w:style>
  <w:style w:type="paragraph" w:styleId="Textoindependienteprimerasangra2">
    <w:name w:val="Body Text First Indent 2"/>
    <w:basedOn w:val="Sangradetextonormal"/>
    <w:link w:val="Textoindependienteprimerasangra2Car"/>
    <w:uiPriority w:val="99"/>
    <w:unhideWhenUsed/>
    <w:rsid w:val="0076259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6259D"/>
  </w:style>
  <w:style w:type="character" w:customStyle="1" w:styleId="Mencinsinresolver3">
    <w:name w:val="Mención sin resolver3"/>
    <w:basedOn w:val="Fuentedeprrafopredeter"/>
    <w:uiPriority w:val="99"/>
    <w:semiHidden/>
    <w:unhideWhenUsed/>
    <w:rsid w:val="00C90819"/>
    <w:rPr>
      <w:color w:val="605E5C"/>
      <w:shd w:val="clear" w:color="auto" w:fill="E1DFDD"/>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955659">
      <w:bodyDiv w:val="1"/>
      <w:marLeft w:val="0"/>
      <w:marRight w:val="0"/>
      <w:marTop w:val="0"/>
      <w:marBottom w:val="0"/>
      <w:divBdr>
        <w:top w:val="none" w:sz="0" w:space="0" w:color="auto"/>
        <w:left w:val="none" w:sz="0" w:space="0" w:color="auto"/>
        <w:bottom w:val="none" w:sz="0" w:space="0" w:color="auto"/>
        <w:right w:val="none" w:sz="0" w:space="0" w:color="auto"/>
      </w:divBdr>
    </w:div>
    <w:div w:id="13330711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SttmQmaxTd8jlw12NjIsNev+tA==">CgMxLjAyDmguZGFqM2oyeG82cTY2MghoLmdqZGd4czIJaC4zZHk2dmttMgloLjMwajB6bGwyCWguMnM4ZXlvMTIIaC50eWpjd3QyCWguMmV0OTJwMDINaC4xcDRseXJuN3BpMjIJaC4zNW5rdW4yMgloLjFrc3Y0dXYyDmguNnp4cmF4YjQ0cTN2MgloLjI2aW4xcmcyCWguMTdkcDh2dTIIaC5sbnhiejk4AHIhMTZFdWh4SkMwU1dnT1h3RjIzZ0dvWkd2dlRTZWs3aFZN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4548</Words>
  <Characters>25018</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BC</Company>
  <LinksUpToDate>false</LinksUpToDate>
  <CharactersWithSpaces>29507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Maricela Villagómez Martínez</cp:lastModifiedBy>
  <cp:revision>2</cp:revision>
  <dcterms:created xsi:type="dcterms:W3CDTF">2026-04-07T17:20:00Z</dcterms:created>
  <dcterms:modified xsi:type="dcterms:W3CDTF">2026-04-07T17:20:00Z</dcterms:modified>
</cp:coreProperties>
</file>