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C66" w:rsidRPr="003D0253" w:rsidRDefault="00D821B4">
      <w:pPr>
        <w:tabs>
          <w:tab w:val="left" w:pos="3465"/>
          <w:tab w:val="left" w:pos="8647"/>
        </w:tabs>
        <w:spacing w:before="240" w:after="360" w:line="360" w:lineRule="auto"/>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516554" w:rsidRPr="003D0253">
        <w:rPr>
          <w:rFonts w:ascii="Palatino Linotype" w:eastAsia="Palatino Linotype" w:hAnsi="Palatino Linotype" w:cs="Palatino Linotype"/>
          <w:b/>
          <w:bCs/>
          <w:color w:val="000000"/>
        </w:rPr>
        <w:t>diecisiete</w:t>
      </w:r>
      <w:r w:rsidR="003D0253">
        <w:rPr>
          <w:rFonts w:ascii="Palatino Linotype" w:eastAsia="Palatino Linotype" w:hAnsi="Palatino Linotype" w:cs="Palatino Linotype"/>
          <w:b/>
          <w:bCs/>
          <w:color w:val="000000"/>
        </w:rPr>
        <w:t xml:space="preserve"> (17)</w:t>
      </w:r>
      <w:r w:rsidR="00516554"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de junio de dos mil veintiséis</w:t>
      </w:r>
      <w:r w:rsidRPr="003D0253">
        <w:rPr>
          <w:rFonts w:ascii="Palatino Linotype" w:eastAsia="Palatino Linotype" w:hAnsi="Palatino Linotype" w:cs="Palatino Linotype"/>
          <w:color w:val="000000"/>
        </w:rPr>
        <w:t xml:space="preserve">. </w:t>
      </w:r>
    </w:p>
    <w:p w:rsidR="00367C66" w:rsidRPr="003D0253" w:rsidRDefault="00D821B4">
      <w:pPr>
        <w:tabs>
          <w:tab w:val="left" w:pos="3465"/>
        </w:tabs>
        <w:spacing w:before="240" w:after="360" w:line="360" w:lineRule="auto"/>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VISTO </w:t>
      </w:r>
      <w:r w:rsidRPr="003D0253">
        <w:rPr>
          <w:rFonts w:ascii="Palatino Linotype" w:eastAsia="Palatino Linotype" w:hAnsi="Palatino Linotype" w:cs="Palatino Linotype"/>
          <w:color w:val="000000"/>
        </w:rPr>
        <w:t xml:space="preserve">el expediente electrónico formado con motivo de los recursos de revisión </w:t>
      </w:r>
      <w:r w:rsidRPr="003D0253">
        <w:rPr>
          <w:rFonts w:ascii="Palatino Linotype" w:eastAsia="Palatino Linotype" w:hAnsi="Palatino Linotype" w:cs="Palatino Linotype"/>
          <w:b/>
          <w:bCs/>
          <w:color w:val="000000"/>
        </w:rPr>
        <w:t>03428/INFOEM/IP/RR/2026</w:t>
      </w:r>
      <w:r w:rsidRPr="003D0253">
        <w:rPr>
          <w:rFonts w:ascii="Palatino Linotype" w:eastAsia="Palatino Linotype" w:hAnsi="Palatino Linotype" w:cs="Palatino Linotype"/>
          <w:color w:val="000000"/>
        </w:rPr>
        <w:t xml:space="preserve">, promovido por </w:t>
      </w:r>
      <w:r w:rsidR="005264B0">
        <w:rPr>
          <w:rFonts w:ascii="Palatino Linotype" w:eastAsia="Palatino Linotype" w:hAnsi="Palatino Linotype" w:cs="Palatino Linotype"/>
          <w:b/>
          <w:bCs/>
          <w:color w:val="000000"/>
        </w:rPr>
        <w:t>XXXX</w:t>
      </w:r>
      <w:bookmarkStart w:id="0" w:name="_GoBack"/>
      <w:bookmarkEnd w:id="0"/>
      <w:r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color w:val="000000"/>
        </w:rPr>
        <w:t xml:space="preserve">en lo sucesivo será identificado en su calidad de </w:t>
      </w:r>
      <w:r w:rsidRPr="003D0253">
        <w:rPr>
          <w:rFonts w:ascii="Palatino Linotype" w:eastAsia="Palatino Linotype" w:hAnsi="Palatino Linotype" w:cs="Palatino Linotype"/>
          <w:b/>
          <w:bCs/>
          <w:color w:val="000000"/>
        </w:rPr>
        <w:t>RECURRENTE</w:t>
      </w:r>
      <w:r w:rsidRPr="003D0253">
        <w:rPr>
          <w:rFonts w:ascii="Palatino Linotype" w:eastAsia="Palatino Linotype" w:hAnsi="Palatino Linotype" w:cs="Palatino Linotype"/>
          <w:color w:val="000000"/>
        </w:rPr>
        <w:t>,</w:t>
      </w:r>
      <w:r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color w:val="000000"/>
        </w:rPr>
        <w:t xml:space="preserve">en contra de la respuesta emitida por el </w:t>
      </w:r>
      <w:r w:rsidRPr="003D0253">
        <w:rPr>
          <w:rFonts w:ascii="Palatino Linotype" w:eastAsia="Palatino Linotype" w:hAnsi="Palatino Linotype" w:cs="Palatino Linotype"/>
          <w:b/>
          <w:bCs/>
          <w:color w:val="000000"/>
        </w:rPr>
        <w:t xml:space="preserve">Ayuntamiento de Juchitepec, </w:t>
      </w:r>
      <w:r w:rsidRPr="003D0253">
        <w:rPr>
          <w:rFonts w:ascii="Palatino Linotype" w:eastAsia="Palatino Linotype" w:hAnsi="Palatino Linotype" w:cs="Palatino Linotype"/>
          <w:color w:val="000000"/>
        </w:rPr>
        <w:t xml:space="preserve">en </w:t>
      </w:r>
      <w:r w:rsidR="003D0253">
        <w:rPr>
          <w:rFonts w:ascii="Palatino Linotype" w:eastAsia="Palatino Linotype" w:hAnsi="Palatino Linotype" w:cs="Palatino Linotype"/>
          <w:color w:val="000000"/>
        </w:rPr>
        <w:t>adelante</w:t>
      </w:r>
      <w:r w:rsidRPr="003D0253">
        <w:rPr>
          <w:rFonts w:ascii="Palatino Linotype" w:eastAsia="Palatino Linotype" w:hAnsi="Palatino Linotype" w:cs="Palatino Linotype"/>
          <w:color w:val="000000"/>
        </w:rPr>
        <w:t xml:space="preserve"> el</w:t>
      </w:r>
      <w:r w:rsidRPr="003D0253">
        <w:rPr>
          <w:rFonts w:ascii="Palatino Linotype" w:eastAsia="Palatino Linotype" w:hAnsi="Palatino Linotype" w:cs="Palatino Linotype"/>
          <w:b/>
          <w:bCs/>
          <w:color w:val="000000"/>
        </w:rPr>
        <w:t xml:space="preserve"> SUJETO OBLIGADO, </w:t>
      </w:r>
      <w:r w:rsidRPr="003D0253">
        <w:rPr>
          <w:rFonts w:ascii="Palatino Linotype" w:eastAsia="Palatino Linotype" w:hAnsi="Palatino Linotype" w:cs="Palatino Linotype"/>
          <w:color w:val="000000"/>
        </w:rPr>
        <w:t xml:space="preserve">se procede a dictar la presente resolución, con base en los siguientes: </w:t>
      </w:r>
    </w:p>
    <w:p w:rsidR="00367C66" w:rsidRPr="003D0253" w:rsidRDefault="00D821B4">
      <w:pPr>
        <w:pStyle w:val="Ttulo1"/>
        <w:spacing w:line="360" w:lineRule="auto"/>
        <w:jc w:val="center"/>
        <w:rPr>
          <w:rFonts w:ascii="Palatino Linotype" w:eastAsia="Palatino Linotype" w:hAnsi="Palatino Linotype" w:cs="Palatino Linotype"/>
          <w:b/>
          <w:bCs/>
          <w:color w:val="000000"/>
          <w:sz w:val="24"/>
          <w:szCs w:val="24"/>
        </w:rPr>
      </w:pPr>
      <w:bookmarkStart w:id="1" w:name="_heading=h.o7juj0kg4tmd" w:colFirst="0" w:colLast="0"/>
      <w:bookmarkEnd w:id="1"/>
      <w:r w:rsidRPr="003D0253">
        <w:rPr>
          <w:rFonts w:ascii="Palatino Linotype" w:eastAsia="Palatino Linotype" w:hAnsi="Palatino Linotype" w:cs="Palatino Linotype"/>
          <w:b/>
          <w:bCs/>
          <w:color w:val="000000"/>
          <w:sz w:val="24"/>
          <w:szCs w:val="24"/>
        </w:rPr>
        <w:t>A</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N</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T</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E</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C</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E</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D</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E</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N</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T</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E</w:t>
      </w:r>
      <w:r w:rsidR="003D0253">
        <w:rPr>
          <w:rFonts w:ascii="Palatino Linotype" w:eastAsia="Palatino Linotype" w:hAnsi="Palatino Linotype" w:cs="Palatino Linotype"/>
          <w:b/>
          <w:bCs/>
          <w:color w:val="000000"/>
          <w:sz w:val="24"/>
          <w:szCs w:val="24"/>
        </w:rPr>
        <w:t xml:space="preserve"> </w:t>
      </w:r>
      <w:r w:rsidRPr="003D0253">
        <w:rPr>
          <w:rFonts w:ascii="Palatino Linotype" w:eastAsia="Palatino Linotype" w:hAnsi="Palatino Linotype" w:cs="Palatino Linotype"/>
          <w:b/>
          <w:bCs/>
          <w:color w:val="000000"/>
          <w:sz w:val="24"/>
          <w:szCs w:val="24"/>
        </w:rPr>
        <w:t>S</w:t>
      </w:r>
      <w:r w:rsidR="003D0253">
        <w:rPr>
          <w:rFonts w:ascii="Palatino Linotype" w:eastAsia="Palatino Linotype" w:hAnsi="Palatino Linotype" w:cs="Palatino Linotype"/>
          <w:b/>
          <w:bCs/>
          <w:color w:val="000000"/>
          <w:sz w:val="24"/>
          <w:szCs w:val="24"/>
        </w:rPr>
        <w:t xml:space="preserve"> </w:t>
      </w:r>
    </w:p>
    <w:p w:rsidR="00367C66" w:rsidRPr="003D0253" w:rsidRDefault="00D821B4">
      <w:pPr>
        <w:numPr>
          <w:ilvl w:val="0"/>
          <w:numId w:val="1"/>
        </w:numPr>
        <w:pBdr>
          <w:top w:val="nil"/>
          <w:left w:val="nil"/>
          <w:bottom w:val="nil"/>
          <w:right w:val="nil"/>
          <w:between w:val="nil"/>
        </w:pBdr>
        <w:tabs>
          <w:tab w:val="left" w:pos="567"/>
        </w:tabs>
        <w:spacing w:before="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El </w:t>
      </w:r>
      <w:r w:rsidRPr="003D0253">
        <w:rPr>
          <w:rFonts w:ascii="Palatino Linotype" w:eastAsia="Palatino Linotype" w:hAnsi="Palatino Linotype" w:cs="Palatino Linotype"/>
          <w:b/>
          <w:bCs/>
          <w:color w:val="000000"/>
        </w:rPr>
        <w:t>cinco de febrero de dos mil veintiséis</w:t>
      </w:r>
      <w:r w:rsidRPr="003D0253">
        <w:rPr>
          <w:rFonts w:ascii="Palatino Linotype" w:eastAsia="Palatino Linotype" w:hAnsi="Palatino Linotype" w:cs="Palatino Linotype"/>
          <w:color w:val="000000"/>
        </w:rPr>
        <w:t>, el particular presentó</w:t>
      </w:r>
      <w:r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color w:val="000000"/>
        </w:rPr>
        <w:t xml:space="preserve">a través del Sistema de Acceso a la Información Mexiquense </w:t>
      </w:r>
      <w:r w:rsidRPr="003D0253">
        <w:rPr>
          <w:rFonts w:ascii="Palatino Linotype" w:eastAsia="Palatino Linotype" w:hAnsi="Palatino Linotype" w:cs="Palatino Linotype"/>
          <w:b/>
          <w:bCs/>
          <w:color w:val="000000"/>
        </w:rPr>
        <w:t xml:space="preserve">(SAIMEX), </w:t>
      </w:r>
      <w:r w:rsidRPr="003D0253">
        <w:rPr>
          <w:rFonts w:ascii="Palatino Linotype" w:eastAsia="Palatino Linotype" w:hAnsi="Palatino Linotype" w:cs="Palatino Linotype"/>
          <w:color w:val="000000"/>
        </w:rPr>
        <w:t xml:space="preserve">la solicitud de información pública registrada con el número </w:t>
      </w:r>
      <w:r w:rsidRPr="003D0253">
        <w:rPr>
          <w:rFonts w:ascii="Palatino Linotype" w:eastAsia="Palatino Linotype" w:hAnsi="Palatino Linotype" w:cs="Palatino Linotype"/>
          <w:b/>
          <w:bCs/>
          <w:color w:val="000000"/>
        </w:rPr>
        <w:t xml:space="preserve">00115/JUCHITE/IP/2026, </w:t>
      </w:r>
      <w:r w:rsidRPr="003D0253">
        <w:rPr>
          <w:rFonts w:ascii="Palatino Linotype" w:eastAsia="Palatino Linotype" w:hAnsi="Palatino Linotype" w:cs="Palatino Linotype"/>
          <w:color w:val="000000"/>
        </w:rPr>
        <w:t>mediante las cuales requirió:</w:t>
      </w:r>
    </w:p>
    <w:p w:rsidR="00367C66" w:rsidRPr="003D0253" w:rsidRDefault="00367C6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“Solicito información detallada sobre los trabajos de mantenimiento, pintura y cambio de imagen de la fachada del Palacio Municipal de Juchitepec, realizados durante el inicio de la presente administración (enero 2025 - febrero 2026). Requiero la entrega en formato digital (PDF) de los siguientes puntos: Datos del Proveedor y Adjudicación: Nombre completo, Razón Social y RFC de la empresa o persona física que suministró la pintura y los materiales. Copia del contrato de compra-venta o servicio. Especificar el procedimiento de contratación: ¿Fue Licitación Pública, Invitación a cuando menos tres personas o Adjudicación Directa? En caso de ser Adjudicación Directa, entregar el dictamen que justifica la excepción a la licitación. Desglose de Costos y Facturación: Copia digital de las facturas (CFDI) pagadas por concepto de pintura (vinílica, esmalte, etc.), selladores, impermeabilizantes y herramientas. Costo desglosado de la mano de obra: Si fue externo, la factura del servicio; si fue con personal del Ayuntamiento, copia de la lista de raya del personal asignado y bitácora de actividades. Justificación Normativa y Permisos (INAH): </w:t>
      </w:r>
      <w:r w:rsidRPr="003D0253">
        <w:rPr>
          <w:rFonts w:ascii="Palatino Linotype" w:eastAsia="Palatino Linotype" w:hAnsi="Palatino Linotype" w:cs="Palatino Linotype"/>
          <w:i/>
          <w:iCs/>
          <w:color w:val="000000"/>
        </w:rPr>
        <w:lastRenderedPageBreak/>
        <w:t>Dado que el Palacio Municipal es un inmueble público de carácter histórico/patrimonial, solicito copia del Dictamen Técnico, Licencia o Autorización emitida por el Instituto Nacional de Antropología e Historia (INAH) que apruebe la intervención en la fachada. Específicamente, solicito el documento donde el INAH valida el uso del color (tono guinda/vino) aplicado, confirmando que cumple con la normativa de imagen urbana y conservación de monumentos históricos. Si no cuentan con este permiso, informar fundadamente por qué se realizó la modificación sin el aval de la autoridad federal competente. Identidad Institucional: Copia del acta de Cabildo o documento oficial donde se aprobó el cambio de la paleta de colores del edificio público.” (Sic)</w:t>
      </w:r>
    </w:p>
    <w:p w:rsidR="00367C66" w:rsidRPr="003D0253" w:rsidRDefault="00367C66">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Se hace constar que se señaló como modalidad de entrega de la información</w:t>
      </w:r>
      <w:r w:rsidRPr="003D0253">
        <w:rPr>
          <w:rFonts w:ascii="Palatino Linotype" w:eastAsia="Palatino Linotype" w:hAnsi="Palatino Linotype" w:cs="Palatino Linotype"/>
          <w:b/>
          <w:bCs/>
          <w:color w:val="000000"/>
        </w:rPr>
        <w:t>:</w:t>
      </w:r>
      <w:r w:rsidRPr="003D0253">
        <w:rPr>
          <w:rFonts w:ascii="Palatino Linotype" w:eastAsia="Palatino Linotype" w:hAnsi="Palatino Linotype" w:cs="Palatino Linotype"/>
          <w:color w:val="000000"/>
        </w:rPr>
        <w:t xml:space="preserve"> </w:t>
      </w:r>
      <w:r w:rsidRPr="003D0253">
        <w:rPr>
          <w:rFonts w:ascii="Palatino Linotype" w:eastAsia="Palatino Linotype" w:hAnsi="Palatino Linotype" w:cs="Palatino Linotype"/>
          <w:b/>
          <w:bCs/>
          <w:color w:val="000000"/>
        </w:rPr>
        <w:t>A través del SAIMEX.</w:t>
      </w:r>
    </w:p>
    <w:p w:rsidR="00367C66" w:rsidRPr="003D0253" w:rsidRDefault="00367C66">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rPr>
        <w:t xml:space="preserve">El </w:t>
      </w:r>
      <w:r w:rsidRPr="003D0253">
        <w:rPr>
          <w:rFonts w:ascii="Palatino Linotype" w:eastAsia="Palatino Linotype" w:hAnsi="Palatino Linotype" w:cs="Palatino Linotype"/>
          <w:b/>
          <w:bCs/>
        </w:rPr>
        <w:t xml:space="preserve">veinticinco de febrero de do mil veintiséis, </w:t>
      </w:r>
      <w:r w:rsidRPr="003D0253">
        <w:rPr>
          <w:rFonts w:ascii="Palatino Linotype" w:eastAsia="Palatino Linotype" w:hAnsi="Palatino Linotype" w:cs="Palatino Linotype"/>
        </w:rPr>
        <w:t xml:space="preserve">el </w:t>
      </w:r>
      <w:r w:rsidRPr="003D0253">
        <w:rPr>
          <w:rFonts w:ascii="Palatino Linotype" w:eastAsia="Palatino Linotype" w:hAnsi="Palatino Linotype" w:cs="Palatino Linotype"/>
          <w:b/>
          <w:bCs/>
        </w:rPr>
        <w:t xml:space="preserve">Sujeto Obligado </w:t>
      </w:r>
      <w:r w:rsidRPr="003D0253">
        <w:rPr>
          <w:rFonts w:ascii="Palatino Linotype" w:eastAsia="Palatino Linotype" w:hAnsi="Palatino Linotype" w:cs="Palatino Linotype"/>
        </w:rPr>
        <w:t>notificó a la persona solicitante la prórroga para dar respuesta a la solicitud</w:t>
      </w:r>
      <w:r w:rsidRPr="003D0253">
        <w:rPr>
          <w:rFonts w:ascii="Palatino Linotype" w:eastAsia="Palatino Linotype" w:hAnsi="Palatino Linotype" w:cs="Palatino Linotype"/>
          <w:b/>
          <w:bCs/>
        </w:rPr>
        <w:t>,</w:t>
      </w:r>
      <w:r w:rsidRPr="003D0253">
        <w:rPr>
          <w:rFonts w:ascii="Palatino Linotype" w:eastAsia="Palatino Linotype" w:hAnsi="Palatino Linotype" w:cs="Palatino Linotype"/>
        </w:rPr>
        <w:t xml:space="preserve"> medularmente en los siguientes términos:</w:t>
      </w:r>
    </w:p>
    <w:p w:rsidR="00367C66" w:rsidRPr="003D0253" w:rsidRDefault="00D821B4">
      <w:pPr>
        <w:spacing w:before="120" w:after="120"/>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367C66" w:rsidRDefault="00D821B4">
      <w:pPr>
        <w:spacing w:before="120" w:after="120"/>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Se aprueba prorroga al SPH FRANCISCO JAVIER RUEDA GONZALEZ.” (sic)</w:t>
      </w:r>
    </w:p>
    <w:p w:rsidR="003D0253" w:rsidRPr="003D0253" w:rsidRDefault="003D0253">
      <w:pPr>
        <w:spacing w:before="120" w:after="120"/>
        <w:ind w:left="851" w:right="902"/>
        <w:jc w:val="both"/>
        <w:rPr>
          <w:rFonts w:ascii="Palatino Linotype" w:eastAsia="Palatino Linotype" w:hAnsi="Palatino Linotype" w:cs="Palatino Linotype"/>
          <w:i/>
          <w:iCs/>
        </w:rPr>
      </w:pPr>
    </w:p>
    <w:p w:rsidR="00367C66" w:rsidRPr="003D0253" w:rsidRDefault="00D821B4">
      <w:pPr>
        <w:spacing w:line="360" w:lineRule="auto"/>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Como refiere el </w:t>
      </w:r>
      <w:r w:rsidRPr="003D0253">
        <w:rPr>
          <w:rFonts w:ascii="Palatino Linotype" w:eastAsia="Palatino Linotype" w:hAnsi="Palatino Linotype" w:cs="Palatino Linotype"/>
          <w:b/>
          <w:bCs/>
        </w:rPr>
        <w:t>Sujeto Obligado</w:t>
      </w:r>
      <w:r w:rsidRPr="003D0253">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w:t>
      </w:r>
      <w:r w:rsidRPr="003D0253">
        <w:rPr>
          <w:rFonts w:ascii="Palatino Linotype" w:eastAsia="Palatino Linotype" w:hAnsi="Palatino Linotype" w:cs="Palatino Linotype"/>
        </w:rPr>
        <w:lastRenderedPageBreak/>
        <w:t>derivado de las constancias que obran en el expediente, se advierte que no se observaron las formalidades que establece la Ley de la materia, pues no se anexó la resolución mediante la cual el Comité de Transparencia aprobó la ampliación del plazo.</w:t>
      </w:r>
    </w:p>
    <w:p w:rsidR="00367C66" w:rsidRPr="003D0253" w:rsidRDefault="00367C66">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i/>
          <w:iCs/>
          <w:color w:val="000000"/>
        </w:rPr>
      </w:pPr>
    </w:p>
    <w:p w:rsidR="00367C66" w:rsidRPr="003D0253" w:rsidRDefault="00D821B4">
      <w:pPr>
        <w:numPr>
          <w:ilvl w:val="0"/>
          <w:numId w:val="1"/>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color w:val="000000"/>
        </w:rPr>
        <w:t xml:space="preserve">El </w:t>
      </w:r>
      <w:r w:rsidRPr="003D0253">
        <w:rPr>
          <w:rFonts w:ascii="Palatino Linotype" w:eastAsia="Palatino Linotype" w:hAnsi="Palatino Linotype" w:cs="Palatino Linotype"/>
          <w:b/>
          <w:bCs/>
          <w:color w:val="000000"/>
        </w:rPr>
        <w:t>once de marzo de dos mil veintiséis</w:t>
      </w:r>
      <w:r w:rsidRPr="003D0253">
        <w:rPr>
          <w:rFonts w:ascii="Palatino Linotype" w:eastAsia="Palatino Linotype" w:hAnsi="Palatino Linotype" w:cs="Palatino Linotype"/>
          <w:color w:val="000000"/>
        </w:rPr>
        <w:t xml:space="preserve">, 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dio respuesta a la solicitud de información en los siguientes términos: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367C66" w:rsidRPr="003D0253" w:rsidRDefault="00367C66">
      <w:pPr>
        <w:pBdr>
          <w:top w:val="nil"/>
          <w:left w:val="nil"/>
          <w:bottom w:val="nil"/>
          <w:right w:val="nil"/>
          <w:between w:val="nil"/>
        </w:pBdr>
        <w:ind w:left="567" w:right="567"/>
        <w:jc w:val="both"/>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Se le informa al solicitante que se anexa la información requerida ENTREGA DE INFORMACIÓN.” (Sic.)</w:t>
      </w:r>
    </w:p>
    <w:p w:rsidR="00367C66" w:rsidRPr="003D0253" w:rsidRDefault="00367C66">
      <w:pPr>
        <w:pBdr>
          <w:top w:val="nil"/>
          <w:left w:val="nil"/>
          <w:bottom w:val="nil"/>
          <w:right w:val="nil"/>
          <w:between w:val="nil"/>
        </w:pBdr>
        <w:spacing w:line="360" w:lineRule="auto"/>
        <w:ind w:left="708" w:right="567"/>
        <w:jc w:val="both"/>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spacing w:line="360" w:lineRule="auto"/>
        <w:ind w:left="708" w:right="567"/>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Se adjuntaron los siguientes archivos electrónicos:</w:t>
      </w:r>
    </w:p>
    <w:p w:rsidR="00367C66" w:rsidRPr="003D0253" w:rsidRDefault="00D821B4">
      <w:pPr>
        <w:numPr>
          <w:ilvl w:val="0"/>
          <w:numId w:val="4"/>
        </w:numPr>
        <w:pBdr>
          <w:top w:val="nil"/>
          <w:left w:val="nil"/>
          <w:bottom w:val="nil"/>
          <w:right w:val="nil"/>
          <w:between w:val="nil"/>
        </w:pBdr>
        <w:tabs>
          <w:tab w:val="left" w:pos="8222"/>
        </w:tabs>
        <w:spacing w:line="360" w:lineRule="auto"/>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Solicitud Saimex 115.pdf: </w:t>
      </w:r>
      <w:r w:rsidRPr="003D0253">
        <w:rPr>
          <w:rFonts w:ascii="Palatino Linotype" w:eastAsia="Palatino Linotype" w:hAnsi="Palatino Linotype" w:cs="Palatino Linotype"/>
          <w:color w:val="000000"/>
        </w:rPr>
        <w:t>Oficio TMJ/0286/2026 de fecha cinco de marzo de dos mil veintiséis, suscrito por el Tesorero Municipal, mediante el cual manifiesta imposibilidad de brindar contestación a la solicitud de información, toda vez que de acuerdo a sus facultades, competencia y funciones, no cuenta con la información, ya que ello es atribución de la Subdirección de Administración.</w:t>
      </w:r>
    </w:p>
    <w:p w:rsidR="00367C66" w:rsidRPr="003D0253" w:rsidRDefault="00D821B4">
      <w:pPr>
        <w:numPr>
          <w:ilvl w:val="0"/>
          <w:numId w:val="4"/>
        </w:numPr>
        <w:pBdr>
          <w:top w:val="nil"/>
          <w:left w:val="nil"/>
          <w:bottom w:val="nil"/>
          <w:right w:val="nil"/>
          <w:between w:val="nil"/>
        </w:pBdr>
        <w:tabs>
          <w:tab w:val="left" w:pos="8222"/>
        </w:tabs>
        <w:spacing w:line="360" w:lineRule="auto"/>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00115_FINAL.pdf: </w:t>
      </w:r>
      <w:r w:rsidRPr="003D0253">
        <w:rPr>
          <w:rFonts w:ascii="Palatino Linotype" w:eastAsia="Palatino Linotype" w:hAnsi="Palatino Linotype" w:cs="Palatino Linotype"/>
          <w:color w:val="000000"/>
        </w:rPr>
        <w:t xml:space="preserve">Oficio SA/JUC/0109/2026 de echa seis de marzo de dos mil veintiséis, suscrito por el Secretario del Ayuntamiento, a través del cual refiere que después de consultar el Catálogo Nacional de Monumentos Históricos Inmuebles del Instituto Nacional de Antropología e Historia, de la ficha técnica correspondiente al inmueble se advierte que la información de la ficha técnica </w:t>
      </w:r>
      <w:r w:rsidRPr="003D0253">
        <w:rPr>
          <w:rFonts w:ascii="Palatino Linotype" w:eastAsia="Palatino Linotype" w:hAnsi="Palatino Linotype" w:cs="Palatino Linotype"/>
          <w:b/>
          <w:bCs/>
          <w:color w:val="000000"/>
        </w:rPr>
        <w:t xml:space="preserve">se encuentra en proceso de validación, </w:t>
      </w:r>
      <w:r w:rsidRPr="003D0253">
        <w:rPr>
          <w:rFonts w:ascii="Palatino Linotype" w:eastAsia="Palatino Linotype" w:hAnsi="Palatino Linotype" w:cs="Palatino Linotype"/>
        </w:rPr>
        <w:t xml:space="preserve">lo que advierte que el inmueble que ocupa el Ayuntamiento de Juchitepec, no cuenta con declaratoria formal de monumento histórico, toda vez que a </w:t>
      </w:r>
      <w:r w:rsidRPr="003D0253">
        <w:rPr>
          <w:rFonts w:ascii="Palatino Linotype" w:eastAsia="Palatino Linotype" w:hAnsi="Palatino Linotype" w:cs="Palatino Linotype"/>
        </w:rPr>
        <w:lastRenderedPageBreak/>
        <w:t xml:space="preserve">la fecha de la solicitud aún se encuentra en proceso de validación dentro del catálogo técnico del Instituto Nacional de Antropología e Historia, por lo que al no contar con la declaratoria formal como monumento histórico, no obra dentro de los archivos del </w:t>
      </w:r>
      <w:r w:rsidRPr="003D0253">
        <w:rPr>
          <w:rFonts w:ascii="Palatino Linotype" w:eastAsia="Palatino Linotype" w:hAnsi="Palatino Linotype" w:cs="Palatino Linotype"/>
          <w:b/>
          <w:bCs/>
        </w:rPr>
        <w:t xml:space="preserve">SUJETO OLBIGADO, </w:t>
      </w:r>
      <w:r w:rsidRPr="003D0253">
        <w:rPr>
          <w:rFonts w:ascii="Palatino Linotype" w:eastAsia="Palatino Linotype" w:hAnsi="Palatino Linotype" w:cs="Palatino Linotype"/>
        </w:rPr>
        <w:t xml:space="preserve">el dictamen, licencia o autorización </w:t>
      </w:r>
      <w:r w:rsidR="003D0253" w:rsidRPr="003D0253">
        <w:rPr>
          <w:rFonts w:ascii="Palatino Linotype" w:eastAsia="Palatino Linotype" w:hAnsi="Palatino Linotype" w:cs="Palatino Linotype"/>
        </w:rPr>
        <w:t>específica</w:t>
      </w:r>
      <w:r w:rsidRPr="003D0253">
        <w:rPr>
          <w:rFonts w:ascii="Palatino Linotype" w:eastAsia="Palatino Linotype" w:hAnsi="Palatino Linotype" w:cs="Palatino Linotype"/>
        </w:rPr>
        <w:t xml:space="preserve"> del INAH, relativa a la aplicación del color en la fachada; no omite mencionar que sobre el Acta de cabildo respecto al cambio de paleta de colores, después de realizar una búsqueda exhaustiva en los libros de las actas y registros oficiales de sesiones de Cabildo, no se localizó Acta de Sesión, Acuerdo formal o documento especifico en el que se haya sometido a aprobación de Cabildo el cambio de paleta de colores del edificio público en los términos señalados en la solicitud de información.</w:t>
      </w:r>
    </w:p>
    <w:p w:rsidR="00367C66" w:rsidRPr="003D0253" w:rsidRDefault="00D821B4">
      <w:pPr>
        <w:numPr>
          <w:ilvl w:val="0"/>
          <w:numId w:val="4"/>
        </w:numPr>
        <w:pBdr>
          <w:top w:val="nil"/>
          <w:left w:val="nil"/>
          <w:bottom w:val="nil"/>
          <w:right w:val="nil"/>
          <w:between w:val="nil"/>
        </w:pBdr>
        <w:tabs>
          <w:tab w:val="left" w:pos="8222"/>
        </w:tabs>
        <w:spacing w:line="360" w:lineRule="auto"/>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FICHA_INAH: </w:t>
      </w:r>
      <w:r w:rsidRPr="003D0253">
        <w:rPr>
          <w:rFonts w:ascii="Palatino Linotype" w:eastAsia="Palatino Linotype" w:hAnsi="Palatino Linotype" w:cs="Palatino Linotype"/>
          <w:color w:val="000000"/>
        </w:rPr>
        <w:t>Ficha de consulta pública del Catálogo Nacional de Monumentos Históricos Inmuebles, del que se advierte que la Ficha I-0011101550, correspondiente al Palacio Municipal de Juchitepec, aún se encuentra en proceso de validación, tal como se advierte con la siguiente captura de pantalla:</w:t>
      </w:r>
    </w:p>
    <w:p w:rsidR="00367C66" w:rsidRPr="003D0253" w:rsidRDefault="00367C66">
      <w:pPr>
        <w:pBdr>
          <w:top w:val="nil"/>
          <w:left w:val="nil"/>
          <w:bottom w:val="nil"/>
          <w:right w:val="nil"/>
          <w:between w:val="nil"/>
        </w:pBdr>
        <w:tabs>
          <w:tab w:val="left" w:pos="8222"/>
        </w:tabs>
        <w:spacing w:line="360" w:lineRule="auto"/>
        <w:jc w:val="both"/>
        <w:rPr>
          <w:rFonts w:ascii="Palatino Linotype" w:eastAsia="Palatino Linotype" w:hAnsi="Palatino Linotype" w:cs="Palatino Linotype"/>
          <w:b/>
          <w:bCs/>
          <w:color w:val="000000"/>
        </w:rPr>
      </w:pPr>
    </w:p>
    <w:p w:rsidR="00367C66" w:rsidRPr="003D0253" w:rsidRDefault="00367C66">
      <w:pPr>
        <w:pBdr>
          <w:top w:val="nil"/>
          <w:left w:val="nil"/>
          <w:bottom w:val="nil"/>
          <w:right w:val="nil"/>
          <w:between w:val="nil"/>
        </w:pBdr>
        <w:tabs>
          <w:tab w:val="left" w:pos="8222"/>
        </w:tabs>
        <w:spacing w:line="360" w:lineRule="auto"/>
        <w:jc w:val="center"/>
        <w:rPr>
          <w:rFonts w:ascii="Palatino Linotype" w:eastAsia="Palatino Linotype" w:hAnsi="Palatino Linotype" w:cs="Palatino Linotype"/>
          <w:b/>
          <w:bCs/>
          <w:color w:val="000000"/>
        </w:rPr>
      </w:pPr>
    </w:p>
    <w:p w:rsidR="00367C66" w:rsidRPr="003D0253" w:rsidRDefault="00D821B4">
      <w:pPr>
        <w:pBdr>
          <w:top w:val="nil"/>
          <w:left w:val="nil"/>
          <w:bottom w:val="nil"/>
          <w:right w:val="nil"/>
          <w:between w:val="nil"/>
        </w:pBdr>
        <w:tabs>
          <w:tab w:val="left" w:pos="8222"/>
        </w:tabs>
        <w:spacing w:line="360" w:lineRule="auto"/>
        <w:jc w:val="center"/>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noProof/>
          <w:color w:val="000000"/>
          <w:lang w:val="es-MX"/>
        </w:rPr>
        <w:lastRenderedPageBreak/>
        <w:drawing>
          <wp:inline distT="0" distB="0" distL="0" distR="0">
            <wp:extent cx="4505452" cy="2589352"/>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l="3072" t="6314"/>
                    <a:stretch>
                      <a:fillRect/>
                    </a:stretch>
                  </pic:blipFill>
                  <pic:spPr>
                    <a:xfrm>
                      <a:off x="0" y="0"/>
                      <a:ext cx="4505452" cy="2589352"/>
                    </a:xfrm>
                    <a:prstGeom prst="rect">
                      <a:avLst/>
                    </a:prstGeom>
                    <a:ln/>
                  </pic:spPr>
                </pic:pic>
              </a:graphicData>
            </a:graphic>
          </wp:inline>
        </w:drawing>
      </w:r>
    </w:p>
    <w:p w:rsidR="00367C66" w:rsidRPr="003D0253" w:rsidRDefault="00367C66">
      <w:pPr>
        <w:pBdr>
          <w:top w:val="nil"/>
          <w:left w:val="nil"/>
          <w:bottom w:val="nil"/>
          <w:right w:val="nil"/>
          <w:between w:val="nil"/>
        </w:pBdr>
        <w:tabs>
          <w:tab w:val="left" w:pos="8222"/>
        </w:tabs>
        <w:spacing w:line="360" w:lineRule="auto"/>
        <w:jc w:val="both"/>
        <w:rPr>
          <w:rFonts w:ascii="Palatino Linotype" w:eastAsia="Palatino Linotype" w:hAnsi="Palatino Linotype" w:cs="Palatino Linotype"/>
          <w:b/>
          <w:bCs/>
          <w:color w:val="000000"/>
        </w:rPr>
      </w:pPr>
    </w:p>
    <w:p w:rsidR="00367C66" w:rsidRPr="003D0253" w:rsidRDefault="00D821B4">
      <w:pPr>
        <w:numPr>
          <w:ilvl w:val="0"/>
          <w:numId w:val="1"/>
        </w:numPr>
        <w:pBdr>
          <w:top w:val="nil"/>
          <w:left w:val="nil"/>
          <w:bottom w:val="nil"/>
          <w:right w:val="nil"/>
          <w:between w:val="nil"/>
        </w:pBdr>
        <w:tabs>
          <w:tab w:val="left" w:pos="142"/>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El </w:t>
      </w:r>
      <w:r w:rsidRPr="003D0253">
        <w:rPr>
          <w:rFonts w:ascii="Palatino Linotype" w:eastAsia="Palatino Linotype" w:hAnsi="Palatino Linotype" w:cs="Palatino Linotype"/>
          <w:b/>
          <w:bCs/>
          <w:color w:val="000000"/>
        </w:rPr>
        <w:t>veintidós de marzo de dos mil veintiséis</w:t>
      </w:r>
      <w:r w:rsidRPr="003D0253">
        <w:rPr>
          <w:rFonts w:ascii="Palatino Linotype" w:eastAsia="Palatino Linotype" w:hAnsi="Palatino Linotype" w:cs="Palatino Linotype"/>
          <w:color w:val="000000"/>
        </w:rPr>
        <w:t xml:space="preserve">, el particular interpuso recurso de revisión, en el que señaló: </w:t>
      </w:r>
    </w:p>
    <w:p w:rsidR="00367C66" w:rsidRPr="003D0253" w:rsidRDefault="00367C66">
      <w:pPr>
        <w:pBdr>
          <w:top w:val="nil"/>
          <w:left w:val="nil"/>
          <w:bottom w:val="nil"/>
          <w:right w:val="nil"/>
          <w:between w:val="nil"/>
        </w:pBdr>
        <w:tabs>
          <w:tab w:val="left" w:pos="0"/>
          <w:tab w:val="left" w:pos="567"/>
        </w:tabs>
        <w:jc w:val="both"/>
        <w:rPr>
          <w:rFonts w:ascii="Palatino Linotype" w:eastAsia="Palatino Linotype" w:hAnsi="Palatino Linotype" w:cs="Palatino Linotype"/>
          <w:color w:val="000000"/>
        </w:rPr>
      </w:pPr>
    </w:p>
    <w:p w:rsidR="00367C66" w:rsidRPr="003D0253" w:rsidRDefault="00D821B4" w:rsidP="003D0253">
      <w:pPr>
        <w:pStyle w:val="Prrafodelista"/>
        <w:numPr>
          <w:ilvl w:val="0"/>
          <w:numId w:val="15"/>
        </w:numPr>
        <w:tabs>
          <w:tab w:val="left" w:pos="0"/>
          <w:tab w:val="left" w:pos="709"/>
        </w:tabs>
        <w:ind w:left="709"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b/>
          <w:bCs/>
          <w:color w:val="000000"/>
        </w:rPr>
        <w:t>Acto impugnado:</w:t>
      </w:r>
      <w:r w:rsidRPr="003D0253">
        <w:rPr>
          <w:rFonts w:ascii="Palatino Linotype" w:eastAsia="Palatino Linotype" w:hAnsi="Palatino Linotype" w:cs="Palatino Linotype"/>
          <w:color w:val="000000"/>
        </w:rPr>
        <w:t xml:space="preserve"> </w:t>
      </w:r>
      <w:r w:rsidRPr="003D0253">
        <w:rPr>
          <w:rFonts w:ascii="Palatino Linotype" w:eastAsia="Palatino Linotype" w:hAnsi="Palatino Linotype" w:cs="Palatino Linotype"/>
          <w:i/>
          <w:iCs/>
          <w:color w:val="000000"/>
        </w:rPr>
        <w:t>“La respuesta del Ayuntamiento de Juchitepec al folio 00115/JUCHITE/IP/2026, donde el Tesorero Municipal declara la 'imposibilidad de dar contestación' y admite por escrito que no se realizaron con efectividad los trámites internos para localizar la información, vulnerando mi derecho de acceso a la información pública” (Sic)</w:t>
      </w:r>
    </w:p>
    <w:p w:rsidR="00367C66" w:rsidRPr="003D0253" w:rsidRDefault="00367C66" w:rsidP="003D0253">
      <w:pPr>
        <w:tabs>
          <w:tab w:val="left" w:pos="0"/>
          <w:tab w:val="left" w:pos="709"/>
        </w:tabs>
        <w:ind w:left="709" w:right="567"/>
        <w:jc w:val="both"/>
        <w:rPr>
          <w:rFonts w:ascii="Palatino Linotype" w:eastAsia="Palatino Linotype" w:hAnsi="Palatino Linotype" w:cs="Palatino Linotype"/>
          <w:color w:val="000000"/>
        </w:rPr>
      </w:pPr>
    </w:p>
    <w:p w:rsidR="00367C66" w:rsidRPr="003D0253" w:rsidRDefault="00D821B4" w:rsidP="003D0253">
      <w:pPr>
        <w:pStyle w:val="Prrafodelista"/>
        <w:numPr>
          <w:ilvl w:val="0"/>
          <w:numId w:val="15"/>
        </w:numPr>
        <w:tabs>
          <w:tab w:val="left" w:pos="0"/>
          <w:tab w:val="left" w:pos="709"/>
        </w:tabs>
        <w:ind w:left="709" w:right="567"/>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b/>
          <w:bCs/>
          <w:color w:val="000000"/>
        </w:rPr>
        <w:t xml:space="preserve">Razones o motivos de inconformidad: </w:t>
      </w:r>
      <w:r w:rsidRPr="003D0253">
        <w:rPr>
          <w:rFonts w:ascii="Palatino Linotype" w:eastAsia="Palatino Linotype" w:hAnsi="Palatino Linotype" w:cs="Palatino Linotype"/>
          <w:i/>
          <w:iCs/>
          <w:color w:val="000000"/>
        </w:rPr>
        <w:t xml:space="preserve">“PRIMERO. Confesión de Omisión Administrativa: En el oficio adjunto, el Tesorero Municipal reconoce explícitamente que la Unidad de Transparencia fue omisa al no realizar los 'trámites internos con efectividad' para obtener la información de la Subdirección de Administración. Esta falta de coordinación interna no es imputable al ciudadano y constituye una violación al procedimiento establecido en el Art. 165 de la Ley de Transparencia del Estado de México. SEGUNDO. Violación al Principio de Exhaustividad: El Sujeto Obligado identifica plenamente que la información le corresponde a la Subdirección de Administración. Según la Ley, la Unidad de Transparencia tenía la obligación de requerirle la información a dicha área antes de contestarme. Al no hacerlo, el Ayuntamiento pretende trasladar al solicitante la carga de una nueva solicitud, lo cual es ilegal. TERCERO. Declaratoria de </w:t>
      </w:r>
      <w:r w:rsidRPr="003D0253">
        <w:rPr>
          <w:rFonts w:ascii="Palatino Linotype" w:eastAsia="Palatino Linotype" w:hAnsi="Palatino Linotype" w:cs="Palatino Linotype"/>
          <w:i/>
          <w:iCs/>
          <w:color w:val="000000"/>
        </w:rPr>
        <w:lastRenderedPageBreak/>
        <w:t xml:space="preserve">Inexistencia Inválida: El Tesorero alega que 'no cuenta con la información', pero no presenta un Acta del Comité de Transparencia que avale una búsqueda exhaustiva en todas las áreas (incluyendo Administración y Obras Públicas). Una simple negativa por oficio de un área no sustituye el requisito legal de formalizar la inexistencia ante el Comité. CUARTO. Incumplimiento de Facultades: Es inverosímil que la Tesorería, área responsable de pagar las facturas y supervisar el gasto de mantenimiento del Palacio, alegue no tener los CFDI o contratos de una obra ejecutada en el presente ejercicio fiscal..” (Sic). </w:t>
      </w:r>
    </w:p>
    <w:p w:rsidR="00367C66" w:rsidRPr="003D0253" w:rsidRDefault="00367C66">
      <w:pPr>
        <w:tabs>
          <w:tab w:val="left" w:pos="0"/>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567"/>
          <w:tab w:val="left" w:pos="864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3D0253">
        <w:rPr>
          <w:rFonts w:ascii="Palatino Linotype" w:eastAsia="Palatino Linotype" w:hAnsi="Palatino Linotype" w:cs="Palatino Linotype"/>
          <w:b/>
          <w:bCs/>
          <w:color w:val="000000"/>
        </w:rPr>
        <w:t xml:space="preserve">Ley de Transparencia y Acceso a la Información Pública del Estado de México y Municipios, </w:t>
      </w:r>
      <w:r w:rsidRPr="003D0253">
        <w:rPr>
          <w:rFonts w:ascii="Palatino Linotype" w:eastAsia="Palatino Linotype" w:hAnsi="Palatino Linotype" w:cs="Palatino Linotype"/>
          <w:color w:val="000000"/>
        </w:rPr>
        <w:t xml:space="preserve">se turnó a la </w:t>
      </w:r>
      <w:r w:rsidRPr="003D0253">
        <w:rPr>
          <w:rFonts w:ascii="Palatino Linotype" w:eastAsia="Palatino Linotype" w:hAnsi="Palatino Linotype" w:cs="Palatino Linotype"/>
          <w:b/>
          <w:bCs/>
          <w:color w:val="000000"/>
        </w:rPr>
        <w:t xml:space="preserve">Comisionada María del Rosario Mejía Ayala, </w:t>
      </w:r>
      <w:r w:rsidRPr="003D0253">
        <w:rPr>
          <w:rFonts w:ascii="Palatino Linotype" w:eastAsia="Palatino Linotype" w:hAnsi="Palatino Linotype" w:cs="Palatino Linotype"/>
          <w:color w:val="000000"/>
        </w:rPr>
        <w:t>para su análisis.</w:t>
      </w:r>
    </w:p>
    <w:p w:rsidR="00367C66" w:rsidRPr="003D0253" w:rsidRDefault="00367C66">
      <w:pPr>
        <w:spacing w:line="360" w:lineRule="auto"/>
        <w:rPr>
          <w:rFonts w:ascii="Palatino Linotype" w:eastAsia="Palatino Linotype" w:hAnsi="Palatino Linotype" w:cs="Palatino Linotype"/>
          <w:color w:val="000000"/>
        </w:rPr>
      </w:pPr>
    </w:p>
    <w:p w:rsidR="00367C66" w:rsidRPr="003D0253" w:rsidRDefault="00D821B4">
      <w:pPr>
        <w:numPr>
          <w:ilvl w:val="0"/>
          <w:numId w:val="1"/>
        </w:numPr>
        <w:tabs>
          <w:tab w:val="left" w:pos="426"/>
        </w:tabs>
        <w:spacing w:line="360" w:lineRule="auto"/>
        <w:ind w:left="0" w:firstLine="0"/>
        <w:jc w:val="both"/>
        <w:rPr>
          <w:rFonts w:ascii="Palatino Linotype" w:eastAsia="Palatino Linotype" w:hAnsi="Palatino Linotype" w:cs="Palatino Linotype"/>
          <w:b/>
          <w:bCs/>
          <w:color w:val="000000"/>
        </w:rPr>
      </w:pPr>
      <w:bookmarkStart w:id="2" w:name="_heading=h.w8mwsydtpfue" w:colFirst="0" w:colLast="0"/>
      <w:bookmarkEnd w:id="2"/>
      <w:r w:rsidRPr="003D0253">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 fecha </w:t>
      </w:r>
      <w:r w:rsidRPr="003D0253">
        <w:rPr>
          <w:rFonts w:ascii="Palatino Linotype" w:eastAsia="Palatino Linotype" w:hAnsi="Palatino Linotype" w:cs="Palatino Linotype"/>
          <w:b/>
          <w:bCs/>
        </w:rPr>
        <w:t>veintitrés de marzo de dos mil veintiséis</w:t>
      </w:r>
      <w:r w:rsidRPr="003D0253">
        <w:rPr>
          <w:rFonts w:ascii="Palatino Linotype" w:eastAsia="Palatino Linotype" w:hAnsi="Palatino Linotype" w:cs="Palatino Linotype"/>
        </w:rPr>
        <w:t xml:space="preserve">, puso a disposición de las partes el expediente electrónico vía </w:t>
      </w:r>
      <w:r w:rsidRPr="003D0253">
        <w:rPr>
          <w:rFonts w:ascii="Palatino Linotype" w:eastAsia="Palatino Linotype" w:hAnsi="Palatino Linotype" w:cs="Palatino Linotype"/>
          <w:b/>
          <w:bCs/>
        </w:rPr>
        <w:t xml:space="preserve">SAIMEX </w:t>
      </w:r>
      <w:r w:rsidRPr="003D0253">
        <w:rPr>
          <w:rFonts w:ascii="Palatino Linotype" w:eastAsia="Palatino Linotype" w:hAnsi="Palatino Linotype" w:cs="Palatino Linotype"/>
        </w:rPr>
        <w:t xml:space="preserve">a efecto de que en un plazo máximo de siete días manifestaran lo que a derecho convinieran, ofrecieran pruebas y alegatos según corresponda al caso concreto, de esta forma para que el </w:t>
      </w:r>
      <w:r w:rsidRPr="003D0253">
        <w:rPr>
          <w:rFonts w:ascii="Palatino Linotype" w:eastAsia="Palatino Linotype" w:hAnsi="Palatino Linotype" w:cs="Palatino Linotype"/>
          <w:b/>
          <w:bCs/>
        </w:rPr>
        <w:t>SUJETO OBLIGADO</w:t>
      </w:r>
      <w:r w:rsidRPr="003D0253">
        <w:rPr>
          <w:rFonts w:ascii="Palatino Linotype" w:eastAsia="Palatino Linotype" w:hAnsi="Palatino Linotype" w:cs="Palatino Linotype"/>
        </w:rPr>
        <w:t xml:space="preserve"> presentara el informe justificado procedente.</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tabs>
          <w:tab w:val="left" w:pos="426"/>
        </w:tabs>
        <w:spacing w:line="360" w:lineRule="auto"/>
        <w:ind w:left="0"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rPr>
        <w:t xml:space="preserve">De lo anterior el </w:t>
      </w:r>
      <w:r w:rsidRPr="003D0253">
        <w:rPr>
          <w:rFonts w:ascii="Palatino Linotype" w:eastAsia="Palatino Linotype" w:hAnsi="Palatino Linotype" w:cs="Palatino Linotype"/>
          <w:b/>
          <w:bCs/>
        </w:rPr>
        <w:t xml:space="preserve">SUJETO OBLIGADO y el RECURRENTE </w:t>
      </w:r>
      <w:r w:rsidRPr="003D0253">
        <w:rPr>
          <w:rFonts w:ascii="Palatino Linotype" w:eastAsia="Palatino Linotype" w:hAnsi="Palatino Linotype" w:cs="Palatino Linotype"/>
        </w:rPr>
        <w:t xml:space="preserve">dejaron de realizar manifestaciones que a su derecho conviniera y asistiera en el recurso de revisión. </w:t>
      </w:r>
    </w:p>
    <w:p w:rsidR="00367C66" w:rsidRPr="003D0253" w:rsidRDefault="00367C66">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367C66" w:rsidRPr="003D0253" w:rsidRDefault="00D821B4">
      <w:pPr>
        <w:numPr>
          <w:ilvl w:val="0"/>
          <w:numId w:val="1"/>
        </w:numPr>
        <w:tabs>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El </w:t>
      </w:r>
      <w:r w:rsidRPr="003D0253">
        <w:rPr>
          <w:rFonts w:ascii="Palatino Linotype" w:eastAsia="Palatino Linotype" w:hAnsi="Palatino Linotype" w:cs="Palatino Linotype"/>
          <w:b/>
          <w:bCs/>
          <w:color w:val="000000"/>
        </w:rPr>
        <w:t>uno de junio de dos mil veintiséis,</w:t>
      </w:r>
      <w:r w:rsidRPr="003D0253">
        <w:rPr>
          <w:rFonts w:ascii="Palatino Linotype" w:eastAsia="Palatino Linotype" w:hAnsi="Palatino Linotype" w:cs="Palatino Linotype"/>
          <w:color w:val="000000"/>
        </w:rPr>
        <w:t xml:space="preserve"> se notificó el acuerdo mediante el cual se aprobó ampliación de plazo para emitir resolución. </w:t>
      </w:r>
    </w:p>
    <w:p w:rsidR="00367C66" w:rsidRPr="003D0253" w:rsidRDefault="00367C66">
      <w:pPr>
        <w:tabs>
          <w:tab w:val="left" w:pos="567"/>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color w:val="000000"/>
        </w:rPr>
        <w:lastRenderedPageBreak/>
        <w:t>Así las cosas, la</w:t>
      </w:r>
      <w:r w:rsidRPr="003D0253">
        <w:rPr>
          <w:rFonts w:ascii="Palatino Linotype" w:eastAsia="Palatino Linotype" w:hAnsi="Palatino Linotype" w:cs="Palatino Linotype"/>
          <w:b/>
          <w:bCs/>
          <w:color w:val="000000"/>
        </w:rPr>
        <w:t xml:space="preserve"> Comisionada María del Rosario Mejía Ayala,</w:t>
      </w:r>
      <w:r w:rsidRPr="003D0253">
        <w:rPr>
          <w:rFonts w:ascii="Palatino Linotype" w:eastAsia="Palatino Linotype" w:hAnsi="Palatino Linotype" w:cs="Palatino Linotype"/>
          <w:color w:val="000000"/>
        </w:rPr>
        <w:t xml:space="preserve"> decretó el cierre de instrucción mediante acuerdo del </w:t>
      </w:r>
      <w:r w:rsidRPr="003D0253">
        <w:rPr>
          <w:rFonts w:ascii="Palatino Linotype" w:eastAsia="Palatino Linotype" w:hAnsi="Palatino Linotype" w:cs="Palatino Linotype"/>
          <w:b/>
          <w:bCs/>
          <w:color w:val="000000"/>
        </w:rPr>
        <w:t>nueve de junio de dos mil veintiséis</w:t>
      </w:r>
      <w:r w:rsidRPr="003D0253">
        <w:rPr>
          <w:rFonts w:ascii="Palatino Linotype" w:eastAsia="Palatino Linotype" w:hAnsi="Palatino Linotype" w:cs="Palatino Linotype"/>
          <w:color w:val="000000"/>
        </w:rPr>
        <w:t>.</w:t>
      </w:r>
    </w:p>
    <w:p w:rsidR="00367C66" w:rsidRPr="003D0253" w:rsidRDefault="00367C66">
      <w:pPr>
        <w:pBdr>
          <w:top w:val="nil"/>
          <w:left w:val="nil"/>
          <w:bottom w:val="nil"/>
          <w:right w:val="nil"/>
          <w:between w:val="nil"/>
        </w:pBdr>
        <w:spacing w:line="360" w:lineRule="auto"/>
        <w:ind w:left="708"/>
        <w:rPr>
          <w:rFonts w:ascii="Palatino Linotype" w:eastAsia="Palatino Linotype" w:hAnsi="Palatino Linotype" w:cs="Palatino Linotype"/>
          <w:b/>
          <w:bCs/>
          <w:color w:val="000000"/>
        </w:rPr>
      </w:pPr>
    </w:p>
    <w:p w:rsidR="00367C66" w:rsidRPr="003D0253" w:rsidRDefault="00D821B4">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bCs/>
          <w:color w:val="000000"/>
        </w:rPr>
      </w:pPr>
      <w:bookmarkStart w:id="3" w:name="_heading=h.q864ggbkaxlb" w:colFirst="0" w:colLast="0"/>
      <w:bookmarkEnd w:id="3"/>
      <w:r w:rsidRPr="003D0253">
        <w:rPr>
          <w:rFonts w:ascii="Palatino Linotype" w:eastAsia="Palatino Linotype" w:hAnsi="Palatino Linotype" w:cs="Palatino Linotype"/>
          <w:b/>
          <w:bCs/>
          <w:color w:val="000000"/>
        </w:rPr>
        <w:t>C</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O</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N</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S</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I</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D</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E</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R</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A</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N</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D</w:t>
      </w:r>
      <w:r w:rsid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b/>
          <w:bCs/>
          <w:color w:val="000000"/>
        </w:rPr>
        <w:t>O</w:t>
      </w:r>
    </w:p>
    <w:p w:rsidR="00367C66" w:rsidRPr="003D0253" w:rsidRDefault="00D821B4">
      <w:pPr>
        <w:pStyle w:val="Ttulo1"/>
        <w:spacing w:line="360" w:lineRule="auto"/>
        <w:rPr>
          <w:rFonts w:ascii="Palatino Linotype" w:eastAsia="Palatino Linotype" w:hAnsi="Palatino Linotype" w:cs="Palatino Linotype"/>
          <w:b/>
          <w:bCs/>
          <w:color w:val="000000"/>
          <w:sz w:val="24"/>
          <w:szCs w:val="24"/>
        </w:rPr>
      </w:pPr>
      <w:bookmarkStart w:id="4" w:name="_heading=h.6g97ppdcmkgd" w:colFirst="0" w:colLast="0"/>
      <w:bookmarkEnd w:id="4"/>
      <w:r w:rsidRPr="003D0253">
        <w:rPr>
          <w:rFonts w:ascii="Palatino Linotype" w:eastAsia="Palatino Linotype" w:hAnsi="Palatino Linotype" w:cs="Palatino Linotype"/>
          <w:b/>
          <w:bCs/>
          <w:color w:val="000000"/>
          <w:sz w:val="24"/>
          <w:szCs w:val="24"/>
        </w:rPr>
        <w:t>PRIMERO. De la competencia.</w:t>
      </w:r>
    </w:p>
    <w:p w:rsidR="00367C66" w:rsidRPr="003D0253" w:rsidRDefault="00D821B4">
      <w:pPr>
        <w:numPr>
          <w:ilvl w:val="0"/>
          <w:numId w:val="1"/>
        </w:numPr>
        <w:pBdr>
          <w:top w:val="nil"/>
          <w:left w:val="nil"/>
          <w:bottom w:val="nil"/>
          <w:right w:val="nil"/>
          <w:between w:val="nil"/>
        </w:pBdr>
        <w:tabs>
          <w:tab w:val="left" w:pos="0"/>
          <w:tab w:val="left" w:pos="567"/>
        </w:tabs>
        <w:spacing w:after="16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3D0253">
        <w:rPr>
          <w:rFonts w:ascii="Palatino Linotype" w:eastAsia="Palatino Linotype" w:hAnsi="Palatino Linotype" w:cs="Palatino Linotype"/>
          <w:b/>
          <w:bCs/>
          <w:color w:val="000000"/>
        </w:rPr>
        <w:t>Constitución Política de los Estados Unidos Mexicanos</w:t>
      </w:r>
      <w:r w:rsidRPr="003D0253">
        <w:rPr>
          <w:rFonts w:ascii="Palatino Linotype" w:eastAsia="Palatino Linotype" w:hAnsi="Palatino Linotype" w:cs="Palatino Linotype"/>
          <w:color w:val="000000"/>
        </w:rPr>
        <w:t>; 5, párrafos trigésimo segundo, trigésimo tercero y trigésimo cuarto fracciones IV y V de la </w:t>
      </w:r>
      <w:r w:rsidRPr="003D0253">
        <w:rPr>
          <w:rFonts w:ascii="Palatino Linotype" w:eastAsia="Palatino Linotype" w:hAnsi="Palatino Linotype" w:cs="Palatino Linotype"/>
          <w:b/>
          <w:bCs/>
          <w:color w:val="000000"/>
        </w:rPr>
        <w:t>Constitución Política del Estado Libre y Soberano de México</w:t>
      </w:r>
      <w:r w:rsidRPr="003D0253">
        <w:rPr>
          <w:rFonts w:ascii="Palatino Linotype" w:eastAsia="Palatino Linotype" w:hAnsi="Palatino Linotype" w:cs="Palatino Linotype"/>
          <w:color w:val="000000"/>
        </w:rPr>
        <w:t>; artículos 1, 2 fracción II, 13, 29, 36 fracciones I y II, 176, 178, 179, 181 párrafo tercero y 185 de la </w:t>
      </w:r>
      <w:r w:rsidRPr="003D0253">
        <w:rPr>
          <w:rFonts w:ascii="Palatino Linotype" w:eastAsia="Palatino Linotype" w:hAnsi="Palatino Linotype" w:cs="Palatino Linotype"/>
          <w:b/>
          <w:bCs/>
          <w:color w:val="000000"/>
        </w:rPr>
        <w:t>Ley de Transparencia y Acceso a la Información Pública del Estado de México y Municipios</w:t>
      </w:r>
      <w:r w:rsidRPr="003D0253">
        <w:rPr>
          <w:rFonts w:ascii="Palatino Linotype" w:eastAsia="Palatino Linotype" w:hAnsi="Palatino Linotype" w:cs="Palatino Linotype"/>
          <w:color w:val="000000"/>
        </w:rPr>
        <w:t>; y 7, 9 fracciones I y XXIII, y 11 del </w:t>
      </w:r>
      <w:r w:rsidRPr="003D0253">
        <w:rPr>
          <w:rFonts w:ascii="Palatino Linotype" w:eastAsia="Palatino Linotype" w:hAnsi="Palatino Linotype" w:cs="Palatino Linotype"/>
          <w:b/>
          <w:bCs/>
          <w:color w:val="000000"/>
        </w:rPr>
        <w:t>Reglamento Interior del Instituto de Transparencia, Acceso a la Información Pública y Protección de Datos Personales del Estado de México y Municipios</w:t>
      </w:r>
      <w:r w:rsidRPr="003D0253">
        <w:rPr>
          <w:rFonts w:ascii="Palatino Linotype" w:eastAsia="Palatino Linotype" w:hAnsi="Palatino Linotype" w:cs="Palatino Linotype"/>
          <w:color w:val="000000"/>
        </w:rPr>
        <w:t>.</w:t>
      </w:r>
    </w:p>
    <w:p w:rsidR="00367C66" w:rsidRPr="003D0253" w:rsidRDefault="00D821B4">
      <w:pPr>
        <w:pStyle w:val="Ttulo1"/>
        <w:spacing w:line="360" w:lineRule="auto"/>
        <w:rPr>
          <w:rFonts w:ascii="Palatino Linotype" w:eastAsia="Palatino Linotype" w:hAnsi="Palatino Linotype" w:cs="Palatino Linotype"/>
          <w:b/>
          <w:bCs/>
          <w:color w:val="000000"/>
          <w:sz w:val="24"/>
          <w:szCs w:val="24"/>
        </w:rPr>
      </w:pPr>
      <w:bookmarkStart w:id="5" w:name="_heading=h.ahxcgk41ziq7" w:colFirst="0" w:colLast="0"/>
      <w:bookmarkEnd w:id="5"/>
      <w:r w:rsidRPr="003D0253">
        <w:rPr>
          <w:rFonts w:ascii="Palatino Linotype" w:eastAsia="Palatino Linotype" w:hAnsi="Palatino Linotype" w:cs="Palatino Linotype"/>
          <w:b/>
          <w:bCs/>
          <w:color w:val="000000"/>
          <w:sz w:val="24"/>
          <w:szCs w:val="24"/>
        </w:rPr>
        <w:t>SEGUNDO. De la oportunidad y procedencia.</w:t>
      </w:r>
    </w:p>
    <w:p w:rsidR="00367C66" w:rsidRPr="003D0253" w:rsidRDefault="00D821B4">
      <w:pPr>
        <w:numPr>
          <w:ilvl w:val="0"/>
          <w:numId w:val="1"/>
        </w:numPr>
        <w:spacing w:line="360" w:lineRule="auto"/>
        <w:ind w:left="0" w:right="49"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El medio de impugnación fue presentado a través del </w:t>
      </w:r>
      <w:r w:rsidRPr="003D0253">
        <w:rPr>
          <w:rFonts w:ascii="Palatino Linotype" w:eastAsia="Palatino Linotype" w:hAnsi="Palatino Linotype" w:cs="Palatino Linotype"/>
          <w:b/>
          <w:bCs/>
        </w:rPr>
        <w:t>SAIMEX,</w:t>
      </w:r>
      <w:r w:rsidRPr="003D0253">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3D0253">
        <w:rPr>
          <w:rFonts w:ascii="Palatino Linotype" w:eastAsia="Palatino Linotype" w:hAnsi="Palatino Linotype" w:cs="Palatino Linotype"/>
          <w:b/>
          <w:bCs/>
        </w:rPr>
        <w:t>SUJETO OBLIGADO</w:t>
      </w:r>
      <w:r w:rsidRPr="003D0253">
        <w:rPr>
          <w:rFonts w:ascii="Palatino Linotype" w:eastAsia="Palatino Linotype" w:hAnsi="Palatino Linotype" w:cs="Palatino Linotype"/>
        </w:rPr>
        <w:t xml:space="preserve"> entregó respuesta a la solicitud el día </w:t>
      </w:r>
      <w:r w:rsidRPr="003D0253">
        <w:rPr>
          <w:rFonts w:ascii="Palatino Linotype" w:eastAsia="Palatino Linotype" w:hAnsi="Palatino Linotype" w:cs="Palatino Linotype"/>
          <w:b/>
          <w:bCs/>
        </w:rPr>
        <w:t>once de marzo de dos mil veintiséis</w:t>
      </w:r>
      <w:r w:rsidRPr="003D0253">
        <w:rPr>
          <w:rFonts w:ascii="Palatino Linotype" w:eastAsia="Palatino Linotype" w:hAnsi="Palatino Linotype" w:cs="Palatino Linotype"/>
        </w:rPr>
        <w:t xml:space="preserve">, de tal forma que el plazo para interponer el recurso de revisión transcurrió del </w:t>
      </w:r>
      <w:r w:rsidRPr="003D0253">
        <w:rPr>
          <w:rFonts w:ascii="Palatino Linotype" w:eastAsia="Palatino Linotype" w:hAnsi="Palatino Linotype" w:cs="Palatino Linotype"/>
          <w:b/>
          <w:bCs/>
        </w:rPr>
        <w:t>doce de marzo al nueve de abril de dos mil veintiséis</w:t>
      </w:r>
      <w:r w:rsidRPr="003D0253">
        <w:rPr>
          <w:rFonts w:ascii="Palatino Linotype" w:eastAsia="Palatino Linotype" w:hAnsi="Palatino Linotype" w:cs="Palatino Linotype"/>
        </w:rPr>
        <w:t xml:space="preserve">; en consecuencia, presentó su inconformidad el </w:t>
      </w:r>
      <w:r w:rsidRPr="003D0253">
        <w:rPr>
          <w:rFonts w:ascii="Palatino Linotype" w:eastAsia="Palatino Linotype" w:hAnsi="Palatino Linotype" w:cs="Palatino Linotype"/>
          <w:b/>
          <w:bCs/>
        </w:rPr>
        <w:t>veintitrés de marzo de dos mil veintiséis</w:t>
      </w:r>
      <w:r w:rsidRPr="003D0253">
        <w:rPr>
          <w:rFonts w:ascii="Palatino Linotype" w:eastAsia="Palatino Linotype" w:hAnsi="Palatino Linotype" w:cs="Palatino Linotype"/>
        </w:rPr>
        <w:t xml:space="preserve">, por lo que se encuentra dentro de los márgenes temporales previstos en el artículo 3, fracción X </w:t>
      </w:r>
      <w:r w:rsidRPr="003D0253">
        <w:rPr>
          <w:rFonts w:ascii="Palatino Linotype" w:eastAsia="Palatino Linotype" w:hAnsi="Palatino Linotype" w:cs="Palatino Linotype"/>
        </w:rPr>
        <w:lastRenderedPageBreak/>
        <w:t xml:space="preserve">y 178 de la </w:t>
      </w:r>
      <w:r w:rsidRPr="003D0253">
        <w:rPr>
          <w:rFonts w:ascii="Palatino Linotype" w:eastAsia="Palatino Linotype" w:hAnsi="Palatino Linotype" w:cs="Palatino Linotype"/>
          <w:b/>
          <w:bCs/>
        </w:rPr>
        <w:t xml:space="preserve">Ley de Transparencia y Acceso a la Información Pública del Estado de México y Municipios </w:t>
      </w:r>
      <w:r w:rsidRPr="003D0253">
        <w:rPr>
          <w:rFonts w:ascii="Palatino Linotype" w:eastAsia="Palatino Linotype" w:hAnsi="Palatino Linotype" w:cs="Palatino Linotype"/>
        </w:rPr>
        <w:t>vigente.</w:t>
      </w:r>
    </w:p>
    <w:p w:rsidR="00367C66" w:rsidRPr="003D0253" w:rsidRDefault="00367C66">
      <w:pPr>
        <w:spacing w:line="360" w:lineRule="auto"/>
        <w:rPr>
          <w:rFonts w:ascii="Palatino Linotype" w:eastAsia="Palatino Linotype" w:hAnsi="Palatino Linotype" w:cs="Palatino Linotype"/>
          <w:i/>
          <w:iCs/>
        </w:rPr>
      </w:pPr>
    </w:p>
    <w:p w:rsidR="00367C66" w:rsidRPr="003D0253" w:rsidRDefault="00D821B4">
      <w:pPr>
        <w:numPr>
          <w:ilvl w:val="0"/>
          <w:numId w:val="1"/>
        </w:numPr>
        <w:spacing w:line="360" w:lineRule="auto"/>
        <w:ind w:left="0" w:right="49"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67C66" w:rsidRPr="003D0253" w:rsidRDefault="00D821B4">
      <w:pPr>
        <w:pStyle w:val="Ttulo1"/>
        <w:spacing w:line="360" w:lineRule="auto"/>
        <w:rPr>
          <w:rFonts w:ascii="Palatino Linotype" w:eastAsia="Palatino Linotype" w:hAnsi="Palatino Linotype" w:cs="Palatino Linotype"/>
          <w:b/>
          <w:bCs/>
          <w:i/>
          <w:iCs/>
          <w:color w:val="000000"/>
          <w:sz w:val="24"/>
          <w:szCs w:val="24"/>
        </w:rPr>
      </w:pPr>
      <w:bookmarkStart w:id="6" w:name="_heading=h.owjh7zhtkdhl" w:colFirst="0" w:colLast="0"/>
      <w:bookmarkEnd w:id="6"/>
      <w:r w:rsidRPr="003D0253">
        <w:rPr>
          <w:rFonts w:ascii="Palatino Linotype" w:eastAsia="Palatino Linotype" w:hAnsi="Palatino Linotype" w:cs="Palatino Linotype"/>
          <w:b/>
          <w:bCs/>
          <w:color w:val="000000"/>
          <w:sz w:val="24"/>
          <w:szCs w:val="24"/>
        </w:rPr>
        <w:t>TERCERO. Del planteamiento de la Litis</w:t>
      </w:r>
    </w:p>
    <w:p w:rsidR="00367C66" w:rsidRPr="003D0253" w:rsidRDefault="00D821B4">
      <w:pPr>
        <w:numPr>
          <w:ilvl w:val="0"/>
          <w:numId w:val="1"/>
        </w:numPr>
        <w:spacing w:line="360" w:lineRule="auto"/>
        <w:ind w:left="0" w:right="49" w:firstLine="0"/>
        <w:jc w:val="both"/>
        <w:rPr>
          <w:rFonts w:ascii="Palatino Linotype" w:eastAsia="Palatino Linotype" w:hAnsi="Palatino Linotype" w:cs="Palatino Linotype"/>
          <w:i/>
          <w:iCs/>
        </w:rPr>
      </w:pPr>
      <w:r w:rsidRPr="003D0253">
        <w:rPr>
          <w:rFonts w:ascii="Palatino Linotype" w:eastAsia="Palatino Linotype" w:hAnsi="Palatino Linotype" w:cs="Palatino Linotype"/>
        </w:rPr>
        <w:t xml:space="preserve">El particular solicitó </w:t>
      </w:r>
      <w:r w:rsidRPr="003D0253">
        <w:rPr>
          <w:rFonts w:ascii="Palatino Linotype" w:eastAsia="Palatino Linotype" w:hAnsi="Palatino Linotype" w:cs="Palatino Linotype"/>
          <w:b/>
          <w:bCs/>
        </w:rPr>
        <w:t xml:space="preserve">sobre los trabajos de mantenimiento, pintura y cambio de imagen de la fachada del Palacio Municipal, realizados durante el inicio de la administración 2025-2027, </w:t>
      </w:r>
      <w:r w:rsidRPr="003D0253">
        <w:rPr>
          <w:rFonts w:ascii="Palatino Linotype" w:eastAsia="Palatino Linotype" w:hAnsi="Palatino Linotype" w:cs="Palatino Linotype"/>
        </w:rPr>
        <w:t>la siguiente información</w:t>
      </w:r>
      <w:r w:rsidRPr="003D0253">
        <w:rPr>
          <w:rFonts w:ascii="Palatino Linotype" w:eastAsia="Palatino Linotype" w:hAnsi="Palatino Linotype" w:cs="Palatino Linotype"/>
          <w:b/>
          <w:bCs/>
        </w:rPr>
        <w:t>:</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Datos del Proveedor y Adjudicación de la empresa o persona física que suministro la pintura y los materiales</w:t>
      </w:r>
    </w:p>
    <w:p w:rsidR="00367C66" w:rsidRPr="003D0253" w:rsidRDefault="00D821B4">
      <w:pPr>
        <w:numPr>
          <w:ilvl w:val="1"/>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Nombre completo</w:t>
      </w:r>
    </w:p>
    <w:p w:rsidR="00367C66" w:rsidRPr="003D0253" w:rsidRDefault="00D821B4">
      <w:pPr>
        <w:numPr>
          <w:ilvl w:val="1"/>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Razón Social</w:t>
      </w:r>
    </w:p>
    <w:p w:rsidR="00367C66" w:rsidRPr="003D0253" w:rsidRDefault="00D821B4">
      <w:pPr>
        <w:numPr>
          <w:ilvl w:val="1"/>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RFC</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Contrato de compra-venta o servicio. </w:t>
      </w:r>
    </w:p>
    <w:p w:rsidR="00367C66" w:rsidRPr="003D0253" w:rsidRDefault="00D821B4">
      <w:pPr>
        <w:numPr>
          <w:ilvl w:val="1"/>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Especificar el procedimiento de contratación </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En caso de ser Adjudicación Directa, entregar el dictamen que justifica la excepción a la licitación. </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Desglose de Costos y Facturación </w:t>
      </w:r>
    </w:p>
    <w:p w:rsidR="00367C66" w:rsidRPr="003D0253" w:rsidRDefault="00D821B4">
      <w:pPr>
        <w:numPr>
          <w:ilvl w:val="1"/>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Copia digital de las facturas (CFDI) pagadas por concepto de pintura (vinílica, esmalte, etc.), selladores, impermeabilizantes y herramientas. </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Costo desglosado de la mano de obra:</w:t>
      </w:r>
    </w:p>
    <w:p w:rsidR="00367C66" w:rsidRPr="003D0253" w:rsidRDefault="00D821B4">
      <w:pPr>
        <w:numPr>
          <w:ilvl w:val="1"/>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Si fue externo, la factura del servicio; </w:t>
      </w:r>
    </w:p>
    <w:p w:rsidR="00367C66" w:rsidRPr="003D0253" w:rsidRDefault="00D821B4">
      <w:pPr>
        <w:numPr>
          <w:ilvl w:val="1"/>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Si fue con personal del Ayuntamiento, copia de la lista de raya del personal asignado y bitácora de actividades. </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Copia del Dictamen Técnico, Licencia o Autorización emitida por el Instituto Nacional de Antropología e Historia (INAH) que apruebe la intervención en la fachada. </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lastRenderedPageBreak/>
        <w:t xml:space="preserve">Documento donde el INAH valida el uso del color (tono guinda/vino) aplicado, confirmando que cumple con la normativa de imagen urbana y conservación de monumentos históricos. </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Si no cuentan con este permiso, informar fundadamente por qué se realizó la modificación sin el aval de la autoridad federal competente. </w:t>
      </w:r>
    </w:p>
    <w:p w:rsidR="00367C66" w:rsidRPr="003D0253" w:rsidRDefault="00D821B4">
      <w:pPr>
        <w:numPr>
          <w:ilvl w:val="0"/>
          <w:numId w:val="7"/>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Copia del acta de Cabildo o documento oficial donde se aprobó el cambio de la paleta de colores del edificio público.</w:t>
      </w:r>
    </w:p>
    <w:p w:rsidR="00367C66" w:rsidRPr="003D0253" w:rsidRDefault="00367C66">
      <w:pPr>
        <w:spacing w:line="360" w:lineRule="auto"/>
        <w:ind w:right="49"/>
        <w:jc w:val="center"/>
        <w:rPr>
          <w:rFonts w:ascii="Palatino Linotype" w:eastAsia="Palatino Linotype" w:hAnsi="Palatino Linotype" w:cs="Palatino Linotype"/>
        </w:rPr>
      </w:pPr>
    </w:p>
    <w:p w:rsidR="00367C66" w:rsidRPr="003D0253" w:rsidRDefault="00D821B4">
      <w:pPr>
        <w:numPr>
          <w:ilvl w:val="0"/>
          <w:numId w:val="1"/>
        </w:numPr>
        <w:spacing w:line="360" w:lineRule="auto"/>
        <w:ind w:left="0" w:right="49"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En consecuencia el </w:t>
      </w:r>
      <w:r w:rsidRPr="003D0253">
        <w:rPr>
          <w:rFonts w:ascii="Palatino Linotype" w:eastAsia="Palatino Linotype" w:hAnsi="Palatino Linotype" w:cs="Palatino Linotype"/>
          <w:b/>
          <w:bCs/>
        </w:rPr>
        <w:t>SUJETO OBLIGADO</w:t>
      </w:r>
      <w:r w:rsidRPr="003D0253">
        <w:rPr>
          <w:rFonts w:ascii="Palatino Linotype" w:eastAsia="Palatino Linotype" w:hAnsi="Palatino Linotype" w:cs="Palatino Linotype"/>
        </w:rPr>
        <w:t>, brindó respuesta en términos del numeral tres de la presente resolución.</w:t>
      </w:r>
    </w:p>
    <w:p w:rsidR="00367C66" w:rsidRPr="003D0253" w:rsidRDefault="00367C66">
      <w:pPr>
        <w:spacing w:line="360" w:lineRule="auto"/>
        <w:ind w:right="49"/>
        <w:jc w:val="both"/>
        <w:rPr>
          <w:rFonts w:ascii="Palatino Linotype" w:eastAsia="Palatino Linotype" w:hAnsi="Palatino Linotype" w:cs="Palatino Linotype"/>
        </w:rPr>
      </w:pPr>
    </w:p>
    <w:p w:rsidR="00367C66" w:rsidRPr="003D0253" w:rsidRDefault="00D821B4">
      <w:pPr>
        <w:numPr>
          <w:ilvl w:val="0"/>
          <w:numId w:val="1"/>
        </w:numPr>
        <w:spacing w:line="360" w:lineRule="auto"/>
        <w:ind w:left="0" w:right="49"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w:t>
      </w:r>
      <w:r w:rsidRPr="003D0253">
        <w:rPr>
          <w:rFonts w:ascii="Palatino Linotype" w:eastAsia="Palatino Linotype" w:hAnsi="Palatino Linotype" w:cs="Palatino Linotype"/>
          <w:b/>
          <w:bCs/>
        </w:rPr>
        <w:t>la negativa de la información solicitada</w:t>
      </w:r>
      <w:r w:rsidRPr="003D0253">
        <w:rPr>
          <w:rFonts w:ascii="Palatino Linotype" w:eastAsia="Palatino Linotype" w:hAnsi="Palatino Linotype" w:cs="Palatino Linotype"/>
        </w:rPr>
        <w:t xml:space="preserve">. </w:t>
      </w:r>
    </w:p>
    <w:p w:rsidR="00367C66" w:rsidRPr="003D0253" w:rsidRDefault="00D821B4">
      <w:pPr>
        <w:pStyle w:val="Ttulo1"/>
        <w:spacing w:line="360" w:lineRule="auto"/>
        <w:rPr>
          <w:rFonts w:ascii="Palatino Linotype" w:eastAsia="Palatino Linotype" w:hAnsi="Palatino Linotype" w:cs="Palatino Linotype"/>
          <w:b/>
          <w:bCs/>
          <w:color w:val="000000"/>
          <w:sz w:val="24"/>
          <w:szCs w:val="24"/>
        </w:rPr>
      </w:pPr>
      <w:bookmarkStart w:id="7" w:name="_heading=h.45vlx3x44m" w:colFirst="0" w:colLast="0"/>
      <w:bookmarkEnd w:id="7"/>
      <w:r w:rsidRPr="003D0253">
        <w:rPr>
          <w:rFonts w:ascii="Palatino Linotype" w:eastAsia="Palatino Linotype" w:hAnsi="Palatino Linotype" w:cs="Palatino Linotype"/>
          <w:b/>
          <w:bCs/>
          <w:color w:val="000000"/>
          <w:sz w:val="24"/>
          <w:szCs w:val="24"/>
        </w:rPr>
        <w:t xml:space="preserve">CUARTO. Estudio y resolución del recurso de revisión. </w:t>
      </w:r>
    </w:p>
    <w:p w:rsidR="00367C66" w:rsidRPr="003D0253" w:rsidRDefault="00D821B4">
      <w:pPr>
        <w:keepNext/>
        <w:keepLines/>
        <w:numPr>
          <w:ilvl w:val="0"/>
          <w:numId w:val="13"/>
        </w:numPr>
        <w:spacing w:after="240" w:line="360" w:lineRule="auto"/>
        <w:ind w:left="786" w:right="-283"/>
        <w:rPr>
          <w:rFonts w:ascii="Palatino Linotype" w:eastAsia="Palatino Linotype" w:hAnsi="Palatino Linotype" w:cs="Palatino Linotype"/>
          <w:b/>
          <w:bCs/>
        </w:rPr>
      </w:pPr>
      <w:r w:rsidRPr="003D0253">
        <w:rPr>
          <w:rFonts w:ascii="Palatino Linotype" w:eastAsia="Palatino Linotype" w:hAnsi="Palatino Linotype" w:cs="Palatino Linotype"/>
          <w:b/>
          <w:bCs/>
        </w:rPr>
        <w:t>Del derecho de acceso a la información.</w:t>
      </w:r>
    </w:p>
    <w:p w:rsidR="00367C66" w:rsidRPr="003D0253" w:rsidRDefault="00D821B4">
      <w:pPr>
        <w:numPr>
          <w:ilvl w:val="0"/>
          <w:numId w:val="1"/>
        </w:numPr>
        <w:pBdr>
          <w:top w:val="nil"/>
          <w:left w:val="nil"/>
          <w:bottom w:val="nil"/>
          <w:right w:val="nil"/>
          <w:between w:val="nil"/>
        </w:pBdr>
        <w:tabs>
          <w:tab w:val="left" w:pos="567"/>
        </w:tabs>
        <w:spacing w:before="240"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Es menester precisar que este Órgano Garante parte del hecho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3D0253">
        <w:rPr>
          <w:rFonts w:ascii="Palatino Linotype" w:eastAsia="Palatino Linotype" w:hAnsi="Palatino Linotype" w:cs="Palatino Linotype"/>
          <w:b/>
          <w:bCs/>
          <w:color w:val="000000"/>
        </w:rPr>
        <w:t xml:space="preserve">Constitución </w:t>
      </w:r>
      <w:r w:rsidRPr="003D0253">
        <w:rPr>
          <w:rFonts w:ascii="Palatino Linotype" w:eastAsia="Palatino Linotype" w:hAnsi="Palatino Linotype" w:cs="Palatino Linotype"/>
          <w:b/>
          <w:bCs/>
          <w:color w:val="000000"/>
        </w:rPr>
        <w:lastRenderedPageBreak/>
        <w:t>Política de los Estados Unidos Mexicanos</w:t>
      </w:r>
      <w:r w:rsidRPr="003D0253">
        <w:rPr>
          <w:rFonts w:ascii="Palatino Linotype" w:eastAsia="Palatino Linotype" w:hAnsi="Palatino Linotype" w:cs="Palatino Linotype"/>
          <w:color w:val="000000"/>
        </w:rPr>
        <w:t>, tienen</w:t>
      </w:r>
      <w:r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color w:val="000000"/>
        </w:rPr>
        <w:t xml:space="preserve">la obligación de “promover, </w:t>
      </w:r>
      <w:r w:rsidRPr="003D0253">
        <w:rPr>
          <w:rFonts w:ascii="Palatino Linotype" w:eastAsia="Palatino Linotype" w:hAnsi="Palatino Linotype" w:cs="Palatino Linotype"/>
          <w:b/>
          <w:bCs/>
          <w:color w:val="000000"/>
        </w:rPr>
        <w:t>respetar</w:t>
      </w:r>
      <w:r w:rsidRPr="003D0253">
        <w:rPr>
          <w:rFonts w:ascii="Palatino Linotype" w:eastAsia="Palatino Linotype" w:hAnsi="Palatino Linotype" w:cs="Palatino Linotype"/>
          <w:color w:val="000000"/>
        </w:rPr>
        <w:t xml:space="preserve">, proteger y </w:t>
      </w:r>
      <w:r w:rsidRPr="003D0253">
        <w:rPr>
          <w:rFonts w:ascii="Palatino Linotype" w:eastAsia="Palatino Linotype" w:hAnsi="Palatino Linotype" w:cs="Palatino Linotype"/>
          <w:b/>
          <w:bCs/>
          <w:color w:val="000000"/>
        </w:rPr>
        <w:t>garantizar</w:t>
      </w:r>
      <w:r w:rsidRPr="003D0253">
        <w:rPr>
          <w:rFonts w:ascii="Palatino Linotype" w:eastAsia="Palatino Linotype" w:hAnsi="Palatino Linotype" w:cs="Palatino Linotype"/>
          <w:color w:val="000000"/>
        </w:rPr>
        <w:t xml:space="preserve"> los derechos humanos”, entre los cuales se encuentra dicho derecho.</w:t>
      </w:r>
    </w:p>
    <w:p w:rsidR="00367C66" w:rsidRPr="003D0253" w:rsidRDefault="00D821B4">
      <w:pPr>
        <w:numPr>
          <w:ilvl w:val="0"/>
          <w:numId w:val="1"/>
        </w:numPr>
        <w:tabs>
          <w:tab w:val="left" w:pos="567"/>
        </w:tabs>
        <w:spacing w:before="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Por lo anterior, se deduce que el derecho de acceso a la información pública es un derecho humano convencional y constitucionalmente reconocido; en consecuencia, todas las autoridades en el ámbito de sus competencias, funciones y atribuciones tienen la obligación de respetarlo, protegerlo y garantizarlo.</w:t>
      </w:r>
    </w:p>
    <w:p w:rsidR="00367C66" w:rsidRPr="003D0253" w:rsidRDefault="00367C66">
      <w:pPr>
        <w:tabs>
          <w:tab w:val="left" w:pos="426"/>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tabs>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Así las cosas, podemos definir el Derecho de Acceso a la Información Pública como: </w:t>
      </w:r>
      <w:r w:rsidRPr="003D0253">
        <w:rPr>
          <w:rFonts w:ascii="Palatino Linotype" w:eastAsia="Palatino Linotype" w:hAnsi="Palatino Linotype" w:cs="Palatino Linotype"/>
          <w:i/>
          <w:iCs/>
          <w:color w:val="000000"/>
        </w:rPr>
        <w:t>La igualdad de oportunidades para recibir, buscar e impartir información</w:t>
      </w:r>
      <w:r w:rsidRPr="003D0253">
        <w:rPr>
          <w:rFonts w:ascii="Palatino Linotype" w:eastAsia="Palatino Linotype" w:hAnsi="Palatino Linotype" w:cs="Palatino Linotype"/>
          <w:i/>
          <w:iCs/>
          <w:color w:val="000000"/>
          <w:vertAlign w:val="superscript"/>
        </w:rPr>
        <w:footnoteReference w:id="1"/>
      </w:r>
      <w:r w:rsidRPr="003D0253">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3D0253">
        <w:rPr>
          <w:rFonts w:ascii="Palatino Linotype" w:eastAsia="Palatino Linotype" w:hAnsi="Palatino Linotype" w:cs="Palatino Linotype"/>
          <w:i/>
          <w:iCs/>
          <w:color w:val="000000"/>
          <w:vertAlign w:val="superscript"/>
        </w:rPr>
        <w:footnoteReference w:id="2"/>
      </w:r>
      <w:r w:rsidRPr="003D0253">
        <w:rPr>
          <w:rFonts w:ascii="Palatino Linotype" w:eastAsia="Palatino Linotype" w:hAnsi="Palatino Linotype" w:cs="Palatino Linotype"/>
          <w:color w:val="000000"/>
        </w:rPr>
        <w:t>que se constituye como una herramienta fundamental para ejercer</w:t>
      </w:r>
      <w:r w:rsidRPr="003D0253">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3D0253">
        <w:rPr>
          <w:rFonts w:ascii="Palatino Linotype" w:eastAsia="Palatino Linotype" w:hAnsi="Palatino Linotype" w:cs="Palatino Linotype"/>
          <w:i/>
          <w:iCs/>
          <w:color w:val="000000"/>
          <w:vertAlign w:val="superscript"/>
        </w:rPr>
        <w:footnoteReference w:id="3"/>
      </w:r>
      <w:r w:rsidRPr="003D0253">
        <w:rPr>
          <w:rFonts w:ascii="Palatino Linotype" w:eastAsia="Palatino Linotype" w:hAnsi="Palatino Linotype" w:cs="Palatino Linotype"/>
          <w:i/>
          <w:iCs/>
          <w:color w:val="000000"/>
        </w:rPr>
        <w:t xml:space="preserve"> </w:t>
      </w:r>
      <w:r w:rsidRPr="003D0253">
        <w:rPr>
          <w:rFonts w:ascii="Palatino Linotype" w:eastAsia="Palatino Linotype" w:hAnsi="Palatino Linotype" w:cs="Palatino Linotype"/>
          <w:color w:val="000000"/>
        </w:rPr>
        <w:t>fomentando</w:t>
      </w:r>
      <w:r w:rsidRPr="003D0253">
        <w:rPr>
          <w:rFonts w:ascii="Palatino Linotype" w:eastAsia="Palatino Linotype" w:hAnsi="Palatino Linotype" w:cs="Palatino Linotype"/>
          <w:i/>
          <w:iCs/>
          <w:color w:val="000000"/>
        </w:rPr>
        <w:t xml:space="preserve"> la transparencia de las actividades estatales y </w:t>
      </w:r>
      <w:r w:rsidRPr="003D0253">
        <w:rPr>
          <w:rFonts w:ascii="Palatino Linotype" w:eastAsia="Palatino Linotype" w:hAnsi="Palatino Linotype" w:cs="Palatino Linotype"/>
          <w:color w:val="000000"/>
        </w:rPr>
        <w:t>promoviendo</w:t>
      </w:r>
      <w:r w:rsidRPr="003D0253">
        <w:rPr>
          <w:rFonts w:ascii="Palatino Linotype" w:eastAsia="Palatino Linotype" w:hAnsi="Palatino Linotype" w:cs="Palatino Linotype"/>
          <w:i/>
          <w:iCs/>
          <w:color w:val="000000"/>
        </w:rPr>
        <w:t xml:space="preserve"> la responsabilidad de los funcionarios sobre su gestión pública,</w:t>
      </w:r>
      <w:r w:rsidRPr="003D0253">
        <w:rPr>
          <w:rFonts w:ascii="Palatino Linotype" w:eastAsia="Palatino Linotype" w:hAnsi="Palatino Linotype" w:cs="Palatino Linotype"/>
          <w:i/>
          <w:iCs/>
          <w:color w:val="000000"/>
          <w:vertAlign w:val="superscript"/>
        </w:rPr>
        <w:footnoteReference w:id="4"/>
      </w:r>
      <w:r w:rsidRPr="003D0253">
        <w:rPr>
          <w:rFonts w:ascii="Palatino Linotype" w:eastAsia="Palatino Linotype" w:hAnsi="Palatino Linotype" w:cs="Palatino Linotype"/>
          <w:color w:val="000000"/>
        </w:rPr>
        <w:t>que permite</w:t>
      </w:r>
      <w:r w:rsidRPr="003D0253">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367C66" w:rsidRPr="003D0253" w:rsidRDefault="00367C66">
      <w:pPr>
        <w:tabs>
          <w:tab w:val="left" w:pos="426"/>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spacing w:line="360" w:lineRule="auto"/>
        <w:ind w:left="0" w:right="-283"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367C66" w:rsidRPr="003D0253" w:rsidRDefault="00D821B4">
      <w:pPr>
        <w:tabs>
          <w:tab w:val="left" w:pos="7655"/>
        </w:tabs>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r w:rsidRPr="003D0253">
        <w:rPr>
          <w:rFonts w:ascii="Palatino Linotype" w:eastAsia="Palatino Linotype" w:hAnsi="Palatino Linotype" w:cs="Palatino Linotype"/>
          <w:b/>
          <w:bCs/>
          <w:i/>
          <w:iCs/>
        </w:rPr>
        <w:t>Artículo 1.-</w:t>
      </w:r>
      <w:r w:rsidRPr="003D0253">
        <w:rPr>
          <w:rFonts w:ascii="Palatino Linotype" w:eastAsia="Palatino Linotype" w:hAnsi="Palatino Linotype" w:cs="Palatino Linotype"/>
          <w:i/>
          <w:iCs/>
        </w:rPr>
        <w:t xml:space="preserve"> </w:t>
      </w:r>
    </w:p>
    <w:p w:rsidR="00367C66" w:rsidRPr="003D0253" w:rsidRDefault="00D821B4">
      <w:pPr>
        <w:tabs>
          <w:tab w:val="left" w:pos="7655"/>
        </w:tabs>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tabs>
          <w:tab w:val="left" w:pos="7655"/>
        </w:tabs>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Todas las</w:t>
      </w:r>
      <w:r w:rsidRPr="003D0253">
        <w:rPr>
          <w:rFonts w:ascii="Palatino Linotype" w:eastAsia="Palatino Linotype" w:hAnsi="Palatino Linotype" w:cs="Palatino Linotype"/>
        </w:rPr>
        <w:t xml:space="preserve"> </w:t>
      </w:r>
      <w:r w:rsidRPr="003D0253">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367C66" w:rsidRPr="003D0253" w:rsidRDefault="00D821B4">
      <w:pPr>
        <w:tabs>
          <w:tab w:val="left" w:pos="7655"/>
        </w:tabs>
        <w:ind w:left="567" w:right="284"/>
        <w:jc w:val="both"/>
        <w:rPr>
          <w:rFonts w:ascii="Palatino Linotype" w:eastAsia="Palatino Linotype" w:hAnsi="Palatino Linotype" w:cs="Palatino Linotype"/>
        </w:rPr>
      </w:pPr>
      <w:r w:rsidRPr="003D0253">
        <w:rPr>
          <w:rFonts w:ascii="Palatino Linotype" w:eastAsia="Palatino Linotype" w:hAnsi="Palatino Linotype" w:cs="Palatino Linotype"/>
          <w:i/>
          <w:iCs/>
        </w:rPr>
        <w:t>(…)</w:t>
      </w:r>
      <w:r w:rsidRPr="003D0253">
        <w:rPr>
          <w:rFonts w:ascii="Palatino Linotype" w:eastAsia="Palatino Linotype" w:hAnsi="Palatino Linotype" w:cs="Palatino Linotype"/>
        </w:rPr>
        <w:t>”.</w:t>
      </w:r>
    </w:p>
    <w:p w:rsidR="00367C66" w:rsidRPr="003D0253" w:rsidRDefault="00367C66">
      <w:pPr>
        <w:tabs>
          <w:tab w:val="left" w:pos="567"/>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spacing w:line="360" w:lineRule="auto"/>
        <w:ind w:left="0" w:right="-283"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367C66" w:rsidRPr="003D0253" w:rsidRDefault="00367C66">
      <w:pPr>
        <w:tabs>
          <w:tab w:val="left" w:pos="567"/>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tabs>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367C66" w:rsidRPr="003D0253" w:rsidRDefault="00D821B4">
      <w:pPr>
        <w:spacing w:after="240"/>
        <w:ind w:left="567" w:right="284"/>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Constitución Política de los Estados Unidos Mexicanos</w:t>
      </w:r>
    </w:p>
    <w:p w:rsidR="00367C66" w:rsidRPr="003D0253" w:rsidRDefault="00D821B4">
      <w:pPr>
        <w:spacing w:before="240" w:after="240"/>
        <w:ind w:left="567" w:right="284"/>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“Artículo 6.</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Para efectos de lo dispuesto en el presente artículo se observará lo siguiente:</w:t>
      </w:r>
    </w:p>
    <w:p w:rsidR="00367C66" w:rsidRPr="003D0253" w:rsidRDefault="00D821B4">
      <w:pPr>
        <w:spacing w:before="240" w:after="240"/>
        <w:ind w:left="567" w:right="284"/>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lastRenderedPageBreak/>
        <w:t>A</w:t>
      </w:r>
      <w:r w:rsidRPr="003D0253">
        <w:rPr>
          <w:rFonts w:ascii="Palatino Linotype" w:eastAsia="Palatino Linotype" w:hAnsi="Palatino Linotype" w:cs="Palatino Linotype"/>
          <w:i/>
          <w:iCs/>
        </w:rPr>
        <w:t xml:space="preserve">. </w:t>
      </w:r>
      <w:r w:rsidRPr="003D0253">
        <w:rPr>
          <w:rFonts w:ascii="Palatino Linotype" w:eastAsia="Palatino Linotype" w:hAnsi="Palatino Linotype" w:cs="Palatino Linotype"/>
          <w:b/>
          <w:bCs/>
          <w:i/>
          <w:iCs/>
        </w:rPr>
        <w:t>Para el ejercicio del derecho de acceso a la información</w:t>
      </w:r>
      <w:r w:rsidRPr="003D0253">
        <w:rPr>
          <w:rFonts w:ascii="Palatino Linotype" w:eastAsia="Palatino Linotype" w:hAnsi="Palatino Linotype" w:cs="Palatino Linotype"/>
          <w:i/>
          <w:iCs/>
        </w:rPr>
        <w:t xml:space="preserve">, la Federación y </w:t>
      </w:r>
      <w:r w:rsidRPr="003D0253">
        <w:rPr>
          <w:rFonts w:ascii="Palatino Linotype" w:eastAsia="Palatino Linotype" w:hAnsi="Palatino Linotype" w:cs="Palatino Linotype"/>
          <w:b/>
          <w:bCs/>
          <w:i/>
          <w:iCs/>
        </w:rPr>
        <w:t>las entidades federativas, en el ámbito de sus respectivas competencias, se regirán por los siguientes principios y bases:</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 Toda la información en posesión de cualquier</w:t>
      </w:r>
      <w:r w:rsidRPr="003D0253">
        <w:rPr>
          <w:rFonts w:ascii="Palatino Linotype" w:eastAsia="Palatino Linotype" w:hAnsi="Palatino Linotype" w:cs="Palatino Linotype"/>
          <w:i/>
          <w:iCs/>
        </w:rPr>
        <w:t xml:space="preserve"> </w:t>
      </w:r>
      <w:r w:rsidRPr="003D0253">
        <w:rPr>
          <w:rFonts w:ascii="Palatino Linotype" w:eastAsia="Palatino Linotype" w:hAnsi="Palatino Linotype" w:cs="Palatino Linotype"/>
          <w:b/>
          <w:bCs/>
          <w:i/>
          <w:iCs/>
        </w:rPr>
        <w:t>autoridad</w:t>
      </w:r>
      <w:r w:rsidRPr="003D0253">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D0253">
        <w:rPr>
          <w:rFonts w:ascii="Palatino Linotype" w:eastAsia="Palatino Linotype" w:hAnsi="Palatino Linotype" w:cs="Palatino Linotype"/>
          <w:b/>
          <w:bCs/>
          <w:i/>
          <w:iCs/>
        </w:rPr>
        <w:t>municipal</w:t>
      </w:r>
      <w:r w:rsidRPr="003D0253">
        <w:rPr>
          <w:rFonts w:ascii="Palatino Linotype" w:eastAsia="Palatino Linotype" w:hAnsi="Palatino Linotype" w:cs="Palatino Linotype"/>
          <w:i/>
          <w:iCs/>
        </w:rPr>
        <w:t xml:space="preserve">, </w:t>
      </w:r>
      <w:r w:rsidRPr="003D0253">
        <w:rPr>
          <w:rFonts w:ascii="Palatino Linotype" w:eastAsia="Palatino Linotype" w:hAnsi="Palatino Linotype" w:cs="Palatino Linotype"/>
          <w:b/>
          <w:bCs/>
          <w:i/>
          <w:iCs/>
        </w:rPr>
        <w:t>es pública</w:t>
      </w:r>
      <w:r w:rsidRPr="003D0253">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3D0253">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3D0253">
        <w:rPr>
          <w:rFonts w:ascii="Palatino Linotype" w:eastAsia="Palatino Linotype" w:hAnsi="Palatino Linotype" w:cs="Palatino Linotype"/>
          <w:i/>
          <w:iCs/>
        </w:rPr>
        <w:t>, la ley determinará los supuestos específicos bajo los cuales procederá la declaración de inexistencia de la información.”</w:t>
      </w:r>
    </w:p>
    <w:p w:rsidR="00367C66" w:rsidRPr="003D0253" w:rsidRDefault="00367C66">
      <w:pPr>
        <w:tabs>
          <w:tab w:val="left" w:pos="567"/>
        </w:tabs>
        <w:spacing w:before="240"/>
        <w:ind w:left="567" w:right="284"/>
        <w:jc w:val="both"/>
        <w:rPr>
          <w:rFonts w:ascii="Palatino Linotype" w:eastAsia="Palatino Linotype" w:hAnsi="Palatino Linotype" w:cs="Palatino Linotype"/>
          <w:b/>
          <w:bCs/>
          <w:i/>
          <w:iCs/>
        </w:rPr>
      </w:pPr>
    </w:p>
    <w:p w:rsidR="00367C66" w:rsidRPr="003D0253" w:rsidRDefault="00D821B4">
      <w:pPr>
        <w:spacing w:after="240"/>
        <w:ind w:left="567" w:right="284"/>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Constitución Política del Estado Libre y Soberano de México</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“Artículo 5</w:t>
      </w:r>
      <w:r w:rsidRPr="003D0253">
        <w:rPr>
          <w:rFonts w:ascii="Palatino Linotype" w:eastAsia="Palatino Linotype" w:hAnsi="Palatino Linotype" w:cs="Palatino Linotype"/>
          <w:i/>
          <w:iCs/>
        </w:rPr>
        <w:t xml:space="preserve">.- </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3D0253">
        <w:rPr>
          <w:rFonts w:ascii="Palatino Linotype" w:eastAsia="Palatino Linotype" w:hAnsi="Palatino Linotype" w:cs="Palatino Linotype"/>
          <w:i/>
          <w:iCs/>
        </w:rPr>
        <w:t>.</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Este derecho se regirá por los principios y bases siguientes</w:t>
      </w:r>
      <w:r w:rsidRPr="003D0253">
        <w:rPr>
          <w:rFonts w:ascii="Palatino Linotype" w:eastAsia="Palatino Linotype" w:hAnsi="Palatino Linotype" w:cs="Palatino Linotype"/>
          <w:i/>
          <w:iCs/>
        </w:rPr>
        <w:t>:</w:t>
      </w:r>
    </w:p>
    <w:p w:rsidR="00367C66" w:rsidRPr="003D0253" w:rsidRDefault="00D821B4">
      <w:pPr>
        <w:spacing w:before="240" w:after="240"/>
        <w:ind w:left="567" w:right="284"/>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 Toda la información en posesión de cualquier autoridad, entidad, órgano y organismos de los</w:t>
      </w:r>
      <w:r w:rsidRPr="003D0253">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3D0253">
        <w:rPr>
          <w:rFonts w:ascii="Palatino Linotype" w:eastAsia="Palatino Linotype" w:hAnsi="Palatino Linotype" w:cs="Palatino Linotype"/>
          <w:b/>
          <w:bCs/>
          <w:i/>
          <w:iCs/>
        </w:rPr>
        <w:t>municipales</w:t>
      </w:r>
      <w:r w:rsidRPr="003D0253">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w:t>
      </w:r>
      <w:r w:rsidRPr="003D0253">
        <w:rPr>
          <w:rFonts w:ascii="Palatino Linotype" w:eastAsia="Palatino Linotype" w:hAnsi="Palatino Linotype" w:cs="Palatino Linotype"/>
          <w:i/>
          <w:iCs/>
        </w:rPr>
        <w:lastRenderedPageBreak/>
        <w:t xml:space="preserve">realice actos de autoridad en el ámbito estatal y municipal, </w:t>
      </w:r>
      <w:r w:rsidRPr="003D0253">
        <w:rPr>
          <w:rFonts w:ascii="Palatino Linotype" w:eastAsia="Palatino Linotype" w:hAnsi="Palatino Linotype" w:cs="Palatino Linotype"/>
          <w:b/>
          <w:bCs/>
          <w:i/>
          <w:iCs/>
        </w:rPr>
        <w:t>es pública</w:t>
      </w:r>
      <w:r w:rsidRPr="003D0253">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3D0253">
        <w:rPr>
          <w:rFonts w:ascii="Palatino Linotype" w:eastAsia="Palatino Linotype" w:hAnsi="Palatino Linotype" w:cs="Palatino Linotype"/>
          <w:b/>
          <w:bCs/>
          <w:i/>
          <w:iCs/>
        </w:rPr>
        <w:t>En la interpretación de este derecho deberá prevalecer el principio de máxima publicidad</w:t>
      </w:r>
      <w:r w:rsidRPr="003D0253">
        <w:rPr>
          <w:rFonts w:ascii="Palatino Linotype" w:eastAsia="Palatino Linotype" w:hAnsi="Palatino Linotype" w:cs="Palatino Linotype"/>
          <w:i/>
          <w:iCs/>
        </w:rPr>
        <w:t xml:space="preserve">. </w:t>
      </w:r>
      <w:r w:rsidRPr="003D0253">
        <w:rPr>
          <w:rFonts w:ascii="Palatino Linotype" w:eastAsia="Palatino Linotype" w:hAnsi="Palatino Linotype" w:cs="Palatino Linotype"/>
          <w:b/>
          <w:bCs/>
          <w:i/>
          <w:iCs/>
        </w:rPr>
        <w:t>Los sujetos obligados deberán documentar todo acto que derive del ejercicio de sus facultades, competencias o funciones</w:t>
      </w:r>
      <w:r w:rsidRPr="003D0253">
        <w:rPr>
          <w:rFonts w:ascii="Palatino Linotype" w:eastAsia="Palatino Linotype" w:hAnsi="Palatino Linotype" w:cs="Palatino Linotype"/>
          <w:i/>
          <w:iCs/>
        </w:rPr>
        <w:t>, la ley determinará los supuestos específicos bajo los cuales procederá la declaración de inexistencia de la información.”</w:t>
      </w:r>
    </w:p>
    <w:p w:rsidR="00367C66" w:rsidRPr="003D0253" w:rsidRDefault="00367C66">
      <w:pPr>
        <w:tabs>
          <w:tab w:val="left" w:pos="567"/>
        </w:tabs>
        <w:spacing w:before="240" w:line="360" w:lineRule="auto"/>
        <w:jc w:val="both"/>
        <w:rPr>
          <w:rFonts w:ascii="Palatino Linotype" w:eastAsia="Palatino Linotype" w:hAnsi="Palatino Linotype" w:cs="Palatino Linotype"/>
          <w:color w:val="000000"/>
        </w:rPr>
      </w:pPr>
    </w:p>
    <w:p w:rsidR="00367C66" w:rsidRPr="003D0253" w:rsidRDefault="00D821B4">
      <w:pPr>
        <w:numPr>
          <w:ilvl w:val="0"/>
          <w:numId w:val="1"/>
        </w:numPr>
        <w:spacing w:line="360" w:lineRule="auto"/>
        <w:ind w:left="0" w:right="-283"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3D0253">
        <w:rPr>
          <w:rFonts w:ascii="Palatino Linotype" w:eastAsia="Palatino Linotype" w:hAnsi="Palatino Linotype" w:cs="Palatino Linotype"/>
          <w:i/>
          <w:iCs/>
        </w:rPr>
        <w:t>por los principios de simplicidad, rapidez gratuidad del procedimiento, auxilio y orientación a los particulares</w:t>
      </w:r>
      <w:r w:rsidRPr="003D0253">
        <w:rPr>
          <w:rFonts w:ascii="Palatino Linotype" w:eastAsia="Palatino Linotype" w:hAnsi="Palatino Linotype" w:cs="Palatino Linotype"/>
        </w:rPr>
        <w:t>, contemplando el derecho de las personas con discapacidad y hablantes de lengua indígena.</w:t>
      </w:r>
    </w:p>
    <w:p w:rsidR="00367C66" w:rsidRPr="003D0253" w:rsidRDefault="00367C66">
      <w:pPr>
        <w:tabs>
          <w:tab w:val="left" w:pos="567"/>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spacing w:line="360" w:lineRule="auto"/>
        <w:ind w:left="0" w:right="-283"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El Derecho de Acceso a la Información se garantiza y respeta oportunamente, y según lo que dispone la Ley, las </w:t>
      </w:r>
      <w:r w:rsidRPr="003D0253">
        <w:rPr>
          <w:rFonts w:ascii="Palatino Linotype" w:eastAsia="Palatino Linotype" w:hAnsi="Palatino Linotype" w:cs="Palatino Linotype"/>
          <w:i/>
          <w:iCs/>
        </w:rPr>
        <w:t>solicitudes de acceso a la información</w:t>
      </w:r>
      <w:r w:rsidRPr="003D0253">
        <w:rPr>
          <w:rFonts w:ascii="Palatino Linotype" w:eastAsia="Palatino Linotype" w:hAnsi="Palatino Linotype" w:cs="Palatino Linotype"/>
        </w:rPr>
        <w:t>.</w:t>
      </w:r>
    </w:p>
    <w:p w:rsidR="00367C66" w:rsidRPr="003D0253" w:rsidRDefault="00367C66">
      <w:pPr>
        <w:tabs>
          <w:tab w:val="left" w:pos="567"/>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spacing w:line="360" w:lineRule="auto"/>
        <w:ind w:left="0" w:right="-283"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Así entonces, se procede analizar, en primer lugar, si el </w:t>
      </w:r>
      <w:r w:rsidRPr="003D0253">
        <w:rPr>
          <w:rFonts w:ascii="Palatino Linotype" w:eastAsia="Palatino Linotype" w:hAnsi="Palatino Linotype" w:cs="Palatino Linotype"/>
          <w:b/>
          <w:bCs/>
        </w:rPr>
        <w:t>SUJETO OBLIGADO</w:t>
      </w:r>
      <w:r w:rsidRPr="003D0253">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67C66" w:rsidRPr="003D0253" w:rsidRDefault="00367C66">
      <w:pPr>
        <w:tabs>
          <w:tab w:val="left" w:pos="567"/>
        </w:tabs>
        <w:spacing w:line="360" w:lineRule="auto"/>
        <w:jc w:val="both"/>
        <w:rPr>
          <w:rFonts w:ascii="Palatino Linotype" w:eastAsia="Palatino Linotype" w:hAnsi="Palatino Linotype" w:cs="Palatino Linotype"/>
          <w:b/>
          <w:bCs/>
        </w:rPr>
      </w:pPr>
      <w:bookmarkStart w:id="8" w:name="_heading=h.e1syvojm93i" w:colFirst="0" w:colLast="0"/>
      <w:bookmarkEnd w:id="8"/>
    </w:p>
    <w:p w:rsidR="00367C66" w:rsidRPr="003D0253" w:rsidRDefault="00D821B4">
      <w:pPr>
        <w:tabs>
          <w:tab w:val="left" w:pos="567"/>
        </w:tabs>
        <w:spacing w:line="360" w:lineRule="auto"/>
        <w:jc w:val="both"/>
        <w:rPr>
          <w:rFonts w:ascii="Palatino Linotype" w:eastAsia="Palatino Linotype" w:hAnsi="Palatino Linotype" w:cs="Palatino Linotype"/>
          <w:b/>
          <w:bCs/>
        </w:rPr>
      </w:pPr>
      <w:r w:rsidRPr="003D0253">
        <w:rPr>
          <w:rFonts w:ascii="Palatino Linotype" w:eastAsia="Palatino Linotype" w:hAnsi="Palatino Linotype" w:cs="Palatino Linotype"/>
          <w:b/>
          <w:bCs/>
        </w:rPr>
        <w:t xml:space="preserve">De la información solicitada y la respuesta del Sujeto Obligado. </w:t>
      </w:r>
    </w:p>
    <w:p w:rsidR="003D0253" w:rsidRDefault="00D821B4" w:rsidP="003D0253">
      <w:pPr>
        <w:numPr>
          <w:ilvl w:val="0"/>
          <w:numId w:val="1"/>
        </w:numPr>
        <w:pBdr>
          <w:top w:val="nil"/>
          <w:left w:val="nil"/>
          <w:bottom w:val="nil"/>
          <w:right w:val="nil"/>
          <w:between w:val="nil"/>
        </w:pBdr>
        <w:tabs>
          <w:tab w:val="left" w:pos="567"/>
        </w:tabs>
        <w:spacing w:before="240" w:line="360" w:lineRule="auto"/>
        <w:ind w:left="0" w:firstLine="0"/>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w:t>
      </w:r>
      <w:r w:rsidRPr="003D0253">
        <w:rPr>
          <w:rFonts w:ascii="Palatino Linotype" w:eastAsia="Palatino Linotype" w:hAnsi="Palatino Linotype" w:cs="Palatino Linotype"/>
          <w:color w:val="000000"/>
        </w:rPr>
        <w:lastRenderedPageBreak/>
        <w:t xml:space="preserve">Garante dicte la resolución correspondiente, tomando en consideración los elementos aportados por las partes y apegándose en todo momento al principio de máxima publicidad de acuerdo con lo establecido en el artículo 8 de la </w:t>
      </w:r>
      <w:r w:rsidRPr="003D0253">
        <w:rPr>
          <w:rFonts w:ascii="Palatino Linotype" w:eastAsia="Palatino Linotype" w:hAnsi="Palatino Linotype" w:cs="Palatino Linotype"/>
          <w:b/>
          <w:bCs/>
          <w:color w:val="000000"/>
        </w:rPr>
        <w:t>Ley de Transparencia y Acceso a la Información Pública del Estado de México y Municipios</w:t>
      </w:r>
      <w:r w:rsidRPr="003D0253">
        <w:rPr>
          <w:rFonts w:ascii="Palatino Linotype" w:eastAsia="Palatino Linotype" w:hAnsi="Palatino Linotype" w:cs="Palatino Linotype"/>
          <w:color w:val="000000"/>
        </w:rPr>
        <w:t>.</w:t>
      </w:r>
    </w:p>
    <w:p w:rsidR="003D0253" w:rsidRPr="003D0253" w:rsidRDefault="003D0253" w:rsidP="003D0253">
      <w:pPr>
        <w:pBdr>
          <w:top w:val="nil"/>
          <w:left w:val="nil"/>
          <w:bottom w:val="nil"/>
          <w:right w:val="nil"/>
          <w:between w:val="nil"/>
        </w:pBdr>
        <w:tabs>
          <w:tab w:val="left" w:pos="567"/>
        </w:tabs>
        <w:spacing w:before="240" w:line="360" w:lineRule="auto"/>
        <w:jc w:val="both"/>
        <w:rPr>
          <w:rFonts w:ascii="Palatino Linotype" w:eastAsia="Palatino Linotype" w:hAnsi="Palatino Linotype" w:cs="Palatino Linotype"/>
          <w:i/>
          <w:iCs/>
          <w:color w:val="000000"/>
        </w:rPr>
      </w:pPr>
    </w:p>
    <w:p w:rsidR="00367C66" w:rsidRPr="003D0253" w:rsidRDefault="00D821B4">
      <w:pPr>
        <w:numPr>
          <w:ilvl w:val="0"/>
          <w:numId w:val="1"/>
        </w:numPr>
        <w:spacing w:line="360" w:lineRule="auto"/>
        <w:ind w:left="0" w:right="49" w:firstLine="0"/>
        <w:jc w:val="both"/>
        <w:rPr>
          <w:rFonts w:ascii="Palatino Linotype" w:eastAsia="Palatino Linotype" w:hAnsi="Palatino Linotype" w:cs="Palatino Linotype"/>
          <w:i/>
          <w:iCs/>
        </w:rPr>
      </w:pPr>
      <w:r w:rsidRPr="003D0253">
        <w:rPr>
          <w:rFonts w:ascii="Palatino Linotype" w:eastAsia="Palatino Linotype" w:hAnsi="Palatino Linotype" w:cs="Palatino Linotype"/>
        </w:rPr>
        <w:t>Así, de la lectura a la solicitud de información se observa que el particular solicitó</w:t>
      </w:r>
      <w:r w:rsidRPr="003D0253">
        <w:rPr>
          <w:rFonts w:ascii="Palatino Linotype" w:eastAsia="Palatino Linotype" w:hAnsi="Palatino Linotype" w:cs="Palatino Linotype"/>
          <w:b/>
          <w:bCs/>
        </w:rPr>
        <w:t xml:space="preserve"> sobre los trabajos de mantenimiento, pintura y cambio de imagen de la fachada del Palacio Municipal, realizados durante el inicio de la administración 2025-2027, </w:t>
      </w:r>
      <w:r w:rsidRPr="003D0253">
        <w:rPr>
          <w:rFonts w:ascii="Palatino Linotype" w:eastAsia="Palatino Linotype" w:hAnsi="Palatino Linotype" w:cs="Palatino Linotype"/>
        </w:rPr>
        <w:t>la siguiente información</w:t>
      </w:r>
      <w:r w:rsidRPr="003D0253">
        <w:rPr>
          <w:rFonts w:ascii="Palatino Linotype" w:eastAsia="Palatino Linotype" w:hAnsi="Palatino Linotype" w:cs="Palatino Linotype"/>
          <w:b/>
          <w:bCs/>
        </w:rPr>
        <w:t>:</w:t>
      </w:r>
    </w:p>
    <w:p w:rsidR="00367C66" w:rsidRPr="003D0253" w:rsidRDefault="00D821B4">
      <w:pPr>
        <w:numPr>
          <w:ilvl w:val="3"/>
          <w:numId w:val="1"/>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Datos del Proveedor y Adjudicación de la empresa o persona física que suministro la pintura y los materiales</w:t>
      </w:r>
    </w:p>
    <w:p w:rsidR="00367C66" w:rsidRPr="003D0253" w:rsidRDefault="00367C66">
      <w:pPr>
        <w:pBdr>
          <w:top w:val="nil"/>
          <w:left w:val="nil"/>
          <w:bottom w:val="nil"/>
          <w:right w:val="nil"/>
          <w:between w:val="nil"/>
        </w:pBdr>
        <w:ind w:left="567" w:right="709"/>
        <w:jc w:val="both"/>
        <w:rPr>
          <w:rFonts w:ascii="Palatino Linotype" w:eastAsia="Palatino Linotype" w:hAnsi="Palatino Linotype" w:cs="Palatino Linotype"/>
          <w:b/>
          <w:bCs/>
          <w:color w:val="000000"/>
        </w:rPr>
      </w:pPr>
    </w:p>
    <w:p w:rsidR="00367C66" w:rsidRPr="003D0253" w:rsidRDefault="00D821B4">
      <w:pPr>
        <w:numPr>
          <w:ilvl w:val="0"/>
          <w:numId w:val="9"/>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Nombre completo</w:t>
      </w:r>
    </w:p>
    <w:p w:rsidR="00367C66" w:rsidRPr="003D0253" w:rsidRDefault="00D821B4">
      <w:pPr>
        <w:numPr>
          <w:ilvl w:val="0"/>
          <w:numId w:val="9"/>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Razón Social</w:t>
      </w:r>
    </w:p>
    <w:p w:rsidR="00367C66" w:rsidRPr="003D0253" w:rsidRDefault="00D821B4">
      <w:pPr>
        <w:numPr>
          <w:ilvl w:val="0"/>
          <w:numId w:val="9"/>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RFC</w:t>
      </w:r>
    </w:p>
    <w:p w:rsidR="00367C66" w:rsidRPr="003D0253" w:rsidRDefault="00D821B4">
      <w:pPr>
        <w:numPr>
          <w:ilvl w:val="0"/>
          <w:numId w:val="8"/>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Contrato de compra-venta o servicio. </w:t>
      </w:r>
    </w:p>
    <w:p w:rsidR="00367C66" w:rsidRPr="003D0253" w:rsidRDefault="00D821B4">
      <w:pPr>
        <w:numPr>
          <w:ilvl w:val="1"/>
          <w:numId w:val="8"/>
        </w:numPr>
        <w:pBdr>
          <w:top w:val="nil"/>
          <w:left w:val="nil"/>
          <w:bottom w:val="nil"/>
          <w:right w:val="nil"/>
          <w:between w:val="nil"/>
        </w:pBdr>
        <w:ind w:left="1418"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Especificar el procedimiento de contratación </w:t>
      </w:r>
    </w:p>
    <w:p w:rsidR="00367C66" w:rsidRPr="003D0253" w:rsidRDefault="00D821B4">
      <w:pPr>
        <w:numPr>
          <w:ilvl w:val="0"/>
          <w:numId w:val="8"/>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En caso de ser Adjudicación Directa, entregar el dictamen que justifica la excepción a la licitación. </w:t>
      </w:r>
    </w:p>
    <w:p w:rsidR="00367C66" w:rsidRPr="003D0253" w:rsidRDefault="00D821B4">
      <w:pPr>
        <w:numPr>
          <w:ilvl w:val="0"/>
          <w:numId w:val="8"/>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Desglose de Costos y Facturación </w:t>
      </w:r>
    </w:p>
    <w:p w:rsidR="00367C66" w:rsidRPr="003D0253" w:rsidRDefault="00D821B4">
      <w:pPr>
        <w:numPr>
          <w:ilvl w:val="1"/>
          <w:numId w:val="8"/>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Copia digital de las facturas (CFDI) pagadas por concepto de pintura (vinílica, esmalte, etc.), selladores, impermeabilizantes y herramientas. </w:t>
      </w:r>
    </w:p>
    <w:p w:rsidR="00367C66" w:rsidRPr="003D0253" w:rsidRDefault="00D821B4">
      <w:pPr>
        <w:numPr>
          <w:ilvl w:val="0"/>
          <w:numId w:val="8"/>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Costo desglosado de la mano de obra:</w:t>
      </w:r>
    </w:p>
    <w:p w:rsidR="00367C66" w:rsidRPr="003D0253" w:rsidRDefault="00D821B4">
      <w:pPr>
        <w:numPr>
          <w:ilvl w:val="1"/>
          <w:numId w:val="8"/>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Si fue externo, la factura del servicio; </w:t>
      </w:r>
    </w:p>
    <w:p w:rsidR="00367C66" w:rsidRPr="003D0253" w:rsidRDefault="00D821B4">
      <w:pPr>
        <w:numPr>
          <w:ilvl w:val="1"/>
          <w:numId w:val="8"/>
        </w:numPr>
        <w:pBdr>
          <w:top w:val="nil"/>
          <w:left w:val="nil"/>
          <w:bottom w:val="nil"/>
          <w:right w:val="nil"/>
          <w:between w:val="nil"/>
        </w:pBdr>
        <w:ind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Si fue con personal del Ayuntamiento, copia de la lista de raya del personal asignado y bitácora de actividades. </w:t>
      </w:r>
    </w:p>
    <w:p w:rsidR="00367C66" w:rsidRPr="003D0253" w:rsidRDefault="00D821B4">
      <w:pPr>
        <w:numPr>
          <w:ilvl w:val="0"/>
          <w:numId w:val="8"/>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Copia del Dictamen Técnico, Licencia o Autorización emitida por el Instituto Nacional de Antropología e Historia (INAH) que apruebe la intervención en la fachada. </w:t>
      </w:r>
    </w:p>
    <w:p w:rsidR="00367C66" w:rsidRPr="003D0253" w:rsidRDefault="00D821B4">
      <w:pPr>
        <w:numPr>
          <w:ilvl w:val="0"/>
          <w:numId w:val="8"/>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lastRenderedPageBreak/>
        <w:t xml:space="preserve">Documento donde el INAH valida el uso del color (tono guinda/vino) aplicado, confirmando que cumple con la normativa de imagen urbana y conservación de monumentos históricos. </w:t>
      </w:r>
    </w:p>
    <w:p w:rsidR="00367C66" w:rsidRPr="003D0253" w:rsidRDefault="00D821B4">
      <w:pPr>
        <w:numPr>
          <w:ilvl w:val="0"/>
          <w:numId w:val="8"/>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Si no cuentan con este permiso, informar fundadamente por qué se realizó la modificación sin el aval de la autoridad federal competente. </w:t>
      </w:r>
    </w:p>
    <w:p w:rsidR="00367C66" w:rsidRPr="003D0253" w:rsidRDefault="00D821B4">
      <w:pPr>
        <w:numPr>
          <w:ilvl w:val="0"/>
          <w:numId w:val="8"/>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Copia del acta de Cabildo o documento oficial donde se aprobó el cambio de la paleta de colores del edificio público.</w:t>
      </w:r>
    </w:p>
    <w:p w:rsidR="00367C66" w:rsidRPr="003D0253" w:rsidRDefault="00367C66">
      <w:pPr>
        <w:pBdr>
          <w:top w:val="nil"/>
          <w:left w:val="nil"/>
          <w:bottom w:val="nil"/>
          <w:right w:val="nil"/>
          <w:between w:val="nil"/>
        </w:pBdr>
        <w:ind w:left="567" w:right="709"/>
        <w:jc w:val="both"/>
        <w:rPr>
          <w:rFonts w:ascii="Palatino Linotype" w:eastAsia="Palatino Linotype" w:hAnsi="Palatino Linotype" w:cs="Palatino Linotype"/>
          <w:b/>
          <w:bCs/>
          <w:color w:val="000000"/>
        </w:rPr>
      </w:pPr>
    </w:p>
    <w:p w:rsidR="00367C66" w:rsidRPr="003D0253" w:rsidRDefault="00D821B4">
      <w:pPr>
        <w:numPr>
          <w:ilvl w:val="0"/>
          <w:numId w:val="1"/>
        </w:numPr>
        <w:spacing w:line="360" w:lineRule="auto"/>
        <w:ind w:left="0" w:right="49"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En respuesta, el </w:t>
      </w:r>
      <w:r w:rsidRPr="003D0253">
        <w:rPr>
          <w:rFonts w:ascii="Palatino Linotype" w:eastAsia="Palatino Linotype" w:hAnsi="Palatino Linotype" w:cs="Palatino Linotype"/>
          <w:b/>
          <w:bCs/>
        </w:rPr>
        <w:t>SUJETO OBLIGADO</w:t>
      </w:r>
      <w:r w:rsidRPr="003D0253">
        <w:rPr>
          <w:rFonts w:ascii="Palatino Linotype" w:eastAsia="Palatino Linotype" w:hAnsi="Palatino Linotype" w:cs="Palatino Linotype"/>
        </w:rPr>
        <w:t xml:space="preserve">, a través del Tesorero Municipal refirió </w:t>
      </w:r>
      <w:r w:rsidRPr="003D0253">
        <w:rPr>
          <w:rFonts w:ascii="Palatino Linotype" w:eastAsia="Palatino Linotype" w:hAnsi="Palatino Linotype" w:cs="Palatino Linotype"/>
          <w:color w:val="000000"/>
        </w:rPr>
        <w:t xml:space="preserve">que de acuerdo a sus facultades, competencia y funciones, no cuenta con la información, ya que ello es atribución de la Subdirección de Administración; no obstante el Secretario del Ayuntamiento informó que después de consultar el Catálogo Nacional de Monumentos Históricos Inmuebles del Instituto Nacional de Antropología e Historia; de la ficha técnica correspondiente al inmueble se advierte que la información </w:t>
      </w:r>
      <w:r w:rsidRPr="003D0253">
        <w:rPr>
          <w:rFonts w:ascii="Palatino Linotype" w:eastAsia="Palatino Linotype" w:hAnsi="Palatino Linotype" w:cs="Palatino Linotype"/>
          <w:b/>
          <w:bCs/>
          <w:color w:val="000000"/>
        </w:rPr>
        <w:t xml:space="preserve">se encuentra en proceso de validación, </w:t>
      </w:r>
      <w:r w:rsidRPr="003D0253">
        <w:rPr>
          <w:rFonts w:ascii="Palatino Linotype" w:eastAsia="Palatino Linotype" w:hAnsi="Palatino Linotype" w:cs="Palatino Linotype"/>
        </w:rPr>
        <w:t xml:space="preserve">lo que advierte que el inmueble que ocupa el Ayuntamiento de Juchitepec, no cuenta con declaratoria formal de monumento histórico, por lo que al no contar con la declaratoria formal como monumento histórico, no obra dentro de los archivos del </w:t>
      </w:r>
      <w:r w:rsidRPr="003D0253">
        <w:rPr>
          <w:rFonts w:ascii="Palatino Linotype" w:eastAsia="Palatino Linotype" w:hAnsi="Palatino Linotype" w:cs="Palatino Linotype"/>
          <w:b/>
          <w:bCs/>
        </w:rPr>
        <w:t xml:space="preserve">SUJETO OLBIGADO, </w:t>
      </w:r>
      <w:r w:rsidRPr="003D0253">
        <w:rPr>
          <w:rFonts w:ascii="Palatino Linotype" w:eastAsia="Palatino Linotype" w:hAnsi="Palatino Linotype" w:cs="Palatino Linotype"/>
        </w:rPr>
        <w:t>el dictamen, licencia o autorización específica del INAH, relativa a la aplicación del color en la fachada; no omite mencionar que sobre el Acta de cabildo respecto al cambio de paleta de colores, después de realizar una búsqueda exhaustiva en los libros de las actas y registros oficiales de sesiones de Cabildo, no se localizó Acta de Sesión, Acuerdo formal o documento especifico en el que se haya sometido a aprobación de Cabildo el cambio de paleta de colores del edificio público en los términos señalados en la solicitud de información.</w:t>
      </w:r>
    </w:p>
    <w:p w:rsidR="00367C66" w:rsidRPr="003D0253" w:rsidRDefault="00367C6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0"/>
          <w:tab w:val="left" w:pos="567"/>
        </w:tabs>
        <w:spacing w:after="240"/>
        <w:ind w:left="0" w:firstLine="0"/>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color w:val="000000"/>
        </w:rPr>
        <w:t xml:space="preserve">De los motivos de descontento referidos por el </w:t>
      </w:r>
      <w:r w:rsidRPr="003D0253">
        <w:rPr>
          <w:rFonts w:ascii="Palatino Linotype" w:eastAsia="Palatino Linotype" w:hAnsi="Palatino Linotype" w:cs="Palatino Linotype"/>
          <w:b/>
          <w:bCs/>
          <w:color w:val="000000"/>
        </w:rPr>
        <w:t xml:space="preserve">RECURRENTE, </w:t>
      </w:r>
      <w:r w:rsidRPr="003D0253">
        <w:rPr>
          <w:rFonts w:ascii="Palatino Linotype" w:eastAsia="Palatino Linotype" w:hAnsi="Palatino Linotype" w:cs="Palatino Linotype"/>
          <w:color w:val="000000"/>
        </w:rPr>
        <w:t xml:space="preserve">se observa que se inconforma por </w:t>
      </w:r>
      <w:r w:rsidRPr="003D0253">
        <w:rPr>
          <w:rFonts w:ascii="Palatino Linotype" w:eastAsia="Palatino Linotype" w:hAnsi="Palatino Linotype" w:cs="Palatino Linotype"/>
          <w:b/>
          <w:bCs/>
          <w:color w:val="000000"/>
        </w:rPr>
        <w:t xml:space="preserve">la entrega de información incompleta, </w:t>
      </w:r>
      <w:r w:rsidRPr="003D0253">
        <w:rPr>
          <w:rFonts w:ascii="Palatino Linotype" w:eastAsia="Palatino Linotype" w:hAnsi="Palatino Linotype" w:cs="Palatino Linotype"/>
          <w:color w:val="000000"/>
        </w:rPr>
        <w:t xml:space="preserve">en los siguientes términos: </w:t>
      </w:r>
      <w:r w:rsidRPr="003D0253">
        <w:rPr>
          <w:rFonts w:ascii="Palatino Linotype" w:eastAsia="Palatino Linotype" w:hAnsi="Palatino Linotype" w:cs="Palatino Linotype"/>
          <w:i/>
          <w:iCs/>
          <w:color w:val="000000"/>
        </w:rPr>
        <w:lastRenderedPageBreak/>
        <w:t>“PRIMERO. Confesión de Omisión Administrativa: En el oficio adjunto, el Tesorero Municipal reconoce explícitamente que la Unidad de Transparencia fue omisa al no realizar los 'trámites internos con efectividad' para obtener la información de la Subdirección de Administración. Esta falta de coordinación interna no es imputable al ciudadano y constituye una violación al procedimiento establecido en el Art. 165 de la Ley de Transparencia del Estado de México. SEGUNDO. Violación al Principio de Exhaustividad: El Sujeto Obligado identifica plenamente que la información le corresponde a la Subdirección de Administración. Según la Ley, la Unidad de Transparencia tenía la obligación de requerirle la información a dicha área antes de contestarme. Al no hacerlo, el Ayuntamiento pretende trasladar al solicitante la carga de una nueva solicitud, lo cual es ilegal. TERCERO. Declaratoria de Inexistencia Inválida: El Tesorero alega que 'no cuenta con la información', pero no presenta un Acta del Comité de Transparencia que avale una búsqueda exhaustiva en todas las áreas (incluyendo Administración y Obras Públicas). Una simple negativa por oficio de un área no sustituye el requisito legal de formalizar la inexistencia ante el Comité. CUARTO. Incumplimiento de Facultades: Es inverosímil que la Tesorería, área responsable de pagar las facturas y supervisar el gasto de mantenimiento del Palacio, alegue no tener los CFDI o contratos de una obra ejecutada en el presente ejercicio fiscal” (Sic.)</w:t>
      </w:r>
    </w:p>
    <w:p w:rsidR="00367C66" w:rsidRPr="003D0253" w:rsidRDefault="00367C66">
      <w:pPr>
        <w:pBdr>
          <w:top w:val="nil"/>
          <w:left w:val="nil"/>
          <w:bottom w:val="nil"/>
          <w:right w:val="nil"/>
          <w:between w:val="nil"/>
        </w:pBdr>
        <w:tabs>
          <w:tab w:val="left" w:pos="0"/>
          <w:tab w:val="left" w:pos="567"/>
        </w:tabs>
        <w:spacing w:after="240"/>
        <w:jc w:val="both"/>
        <w:rPr>
          <w:rFonts w:ascii="Palatino Linotype" w:eastAsia="Palatino Linotype" w:hAnsi="Palatino Linotype" w:cs="Palatino Linotype"/>
          <w:i/>
          <w:iCs/>
          <w:color w:val="000000"/>
        </w:rPr>
      </w:pPr>
    </w:p>
    <w:p w:rsidR="00367C66" w:rsidRPr="003D0253" w:rsidRDefault="00D821B4">
      <w:pPr>
        <w:numPr>
          <w:ilvl w:val="0"/>
          <w:numId w:val="1"/>
        </w:numPr>
        <w:tabs>
          <w:tab w:val="left" w:pos="0"/>
          <w:tab w:val="left" w:pos="567"/>
        </w:tabs>
        <w:spacing w:before="240"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Así las cosas, este Instituto de Transparencia, de conformidad con los principios de eficacia y profesionalismo</w:t>
      </w:r>
      <w:r w:rsidRPr="003D0253">
        <w:rPr>
          <w:rFonts w:ascii="Palatino Linotype" w:eastAsia="Palatino Linotype" w:hAnsi="Palatino Linotype" w:cs="Palatino Linotype"/>
          <w:color w:val="000000"/>
          <w:vertAlign w:val="superscript"/>
        </w:rPr>
        <w:footnoteReference w:id="5"/>
      </w:r>
      <w:r w:rsidRPr="003D0253">
        <w:rPr>
          <w:rFonts w:ascii="Palatino Linotype" w:eastAsia="Palatino Linotype" w:hAnsi="Palatino Linotype" w:cs="Palatino Linotype"/>
          <w:color w:val="000000"/>
        </w:rPr>
        <w:t xml:space="preserve">, procederá a verificar la información remitida por el </w:t>
      </w:r>
      <w:r w:rsidRPr="003D0253">
        <w:rPr>
          <w:rFonts w:ascii="Palatino Linotype" w:eastAsia="Palatino Linotype" w:hAnsi="Palatino Linotype" w:cs="Palatino Linotype"/>
          <w:b/>
          <w:bCs/>
          <w:color w:val="000000"/>
        </w:rPr>
        <w:t>SUJETO OBLIGADO y</w:t>
      </w:r>
      <w:r w:rsidRPr="003D0253">
        <w:rPr>
          <w:rFonts w:ascii="Palatino Linotype" w:eastAsia="Palatino Linotype" w:hAnsi="Palatino Linotype" w:cs="Palatino Linotype"/>
          <w:color w:val="000000"/>
        </w:rPr>
        <w:t xml:space="preserve"> las manifestaciones realizadas por el </w:t>
      </w:r>
      <w:r w:rsidRPr="003D0253">
        <w:rPr>
          <w:rFonts w:ascii="Palatino Linotype" w:eastAsia="Palatino Linotype" w:hAnsi="Palatino Linotype" w:cs="Palatino Linotype"/>
          <w:b/>
          <w:bCs/>
          <w:color w:val="000000"/>
        </w:rPr>
        <w:t xml:space="preserve">SOLICITANTE </w:t>
      </w:r>
      <w:r w:rsidRPr="003D0253">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367C66" w:rsidRPr="003D0253" w:rsidRDefault="00367C66">
      <w:pPr>
        <w:tabs>
          <w:tab w:val="left" w:pos="0"/>
          <w:tab w:val="left" w:pos="567"/>
        </w:tabs>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tabs>
          <w:tab w:val="left" w:pos="0"/>
          <w:tab w:val="left" w:pos="567"/>
        </w:tabs>
        <w:spacing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lastRenderedPageBreak/>
        <w:t xml:space="preserve">Primeramente, se precisa que se obvia el análisis de la competencia por parte del </w:t>
      </w:r>
      <w:r w:rsidRPr="003D0253">
        <w:rPr>
          <w:rFonts w:ascii="Palatino Linotype" w:eastAsia="Palatino Linotype" w:hAnsi="Palatino Linotype" w:cs="Palatino Linotype"/>
          <w:b/>
          <w:bCs/>
        </w:rPr>
        <w:t>SUJETO OBLIGADO</w:t>
      </w:r>
      <w:r w:rsidRPr="003D0253">
        <w:rPr>
          <w:rFonts w:ascii="Palatino Linotype" w:eastAsia="Palatino Linotype" w:hAnsi="Palatino Linotype" w:cs="Palatino Linotype"/>
        </w:rPr>
        <w:t>, para generar, administrar o poseer la información solicitada, dado que éste ha asumido la misma, en razón de que en su respuesta admitió contar con dicha información.</w:t>
      </w:r>
    </w:p>
    <w:p w:rsidR="00367C66" w:rsidRPr="003D0253" w:rsidRDefault="00367C66">
      <w:pPr>
        <w:tabs>
          <w:tab w:val="left" w:pos="0"/>
          <w:tab w:val="left" w:pos="567"/>
        </w:tabs>
        <w:spacing w:line="360" w:lineRule="auto"/>
        <w:jc w:val="both"/>
        <w:rPr>
          <w:rFonts w:ascii="Palatino Linotype" w:eastAsia="Palatino Linotype" w:hAnsi="Palatino Linotype" w:cs="Palatino Linotype"/>
        </w:rPr>
      </w:pPr>
    </w:p>
    <w:p w:rsidR="00367C66" w:rsidRPr="003D0253" w:rsidRDefault="00D821B4">
      <w:pPr>
        <w:numPr>
          <w:ilvl w:val="0"/>
          <w:numId w:val="1"/>
        </w:numPr>
        <w:tabs>
          <w:tab w:val="left" w:pos="0"/>
          <w:tab w:val="left" w:pos="567"/>
        </w:tabs>
        <w:spacing w:before="240" w:after="240" w:line="360" w:lineRule="auto"/>
        <w:ind w:left="0" w:firstLine="0"/>
        <w:jc w:val="both"/>
        <w:rPr>
          <w:rFonts w:ascii="Palatino Linotype" w:eastAsia="Palatino Linotype" w:hAnsi="Palatino Linotype" w:cs="Palatino Linotype"/>
        </w:rPr>
      </w:pPr>
      <w:bookmarkStart w:id="9" w:name="_heading=h.jq3yig49ltnd" w:colFirst="0" w:colLast="0"/>
      <w:bookmarkEnd w:id="9"/>
      <w:r w:rsidRPr="003D0253">
        <w:rPr>
          <w:rFonts w:ascii="Palatino Linotype" w:eastAsia="Palatino Linotype" w:hAnsi="Palatino Linotype" w:cs="Palatino Linotype"/>
        </w:rPr>
        <w:t>En continuidad, conviene traer a colación lo establecido en el artículo 34 del Bando Municipal del Ayuntamiento de Juchitepec, que a la letra refiere:</w:t>
      </w:r>
    </w:p>
    <w:p w:rsidR="00367C66" w:rsidRPr="003D0253" w:rsidRDefault="00D821B4">
      <w:pPr>
        <w:tabs>
          <w:tab w:val="left" w:pos="567"/>
        </w:tabs>
        <w:spacing w:before="240" w:after="240"/>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Artículo 34.</w:t>
      </w:r>
      <w:r w:rsidRPr="003D0253">
        <w:rPr>
          <w:rFonts w:ascii="Palatino Linotype" w:eastAsia="Palatino Linotype" w:hAnsi="Palatino Linotype" w:cs="Palatino Linotype"/>
          <w:i/>
          <w:iCs/>
        </w:rPr>
        <w:t xml:space="preserve"> Para el ejercicio de sus atribuciones y responsabilidades ejecutivas, el Ayuntamiento se auxiliará con dependencias, entidades y unidades de la Administración Pública Municipal, que estarán subordinadas al Presidente Municipal, así como de los Organismos Públicos Descentralizados y Órgano Autónomo, siguientes. </w:t>
      </w:r>
    </w:p>
    <w:p w:rsidR="00367C66" w:rsidRPr="003D0253" w:rsidRDefault="00D821B4">
      <w:pPr>
        <w:tabs>
          <w:tab w:val="left" w:pos="567"/>
        </w:tabs>
        <w:ind w:left="567"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I. ÁREAS CENTRALIZADAS: </w:t>
      </w:r>
    </w:p>
    <w:p w:rsidR="00367C66" w:rsidRPr="003D0253" w:rsidRDefault="00D821B4">
      <w:pPr>
        <w:tabs>
          <w:tab w:val="left" w:pos="567"/>
        </w:tabs>
        <w:ind w:left="720"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A) Secretaría del Ayuntamiento; </w:t>
      </w:r>
    </w:p>
    <w:p w:rsidR="00367C66" w:rsidRPr="003D0253" w:rsidRDefault="00D821B4">
      <w:pPr>
        <w:tabs>
          <w:tab w:val="left" w:pos="567"/>
        </w:tabs>
        <w:ind w:left="720"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i/>
          <w:iCs/>
        </w:rPr>
        <w:t>B) Secretaria Técnica Administrativa</w:t>
      </w:r>
    </w:p>
    <w:p w:rsidR="00367C66" w:rsidRPr="003D0253" w:rsidRDefault="00D821B4">
      <w:pPr>
        <w:tabs>
          <w:tab w:val="left" w:pos="567"/>
        </w:tabs>
        <w:ind w:left="720"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C) Órgano Interno de Control; </w:t>
      </w:r>
    </w:p>
    <w:p w:rsidR="00367C66" w:rsidRPr="003D0253" w:rsidRDefault="00D821B4">
      <w:pPr>
        <w:tabs>
          <w:tab w:val="left" w:pos="567"/>
        </w:tabs>
        <w:ind w:left="720"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D) Tesorería Municipal; </w:t>
      </w:r>
    </w:p>
    <w:p w:rsidR="00367C66" w:rsidRPr="003D0253" w:rsidRDefault="00D821B4">
      <w:pPr>
        <w:tabs>
          <w:tab w:val="left" w:pos="567"/>
        </w:tabs>
        <w:ind w:left="567"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II. DIRECCIONES: </w:t>
      </w:r>
    </w:p>
    <w:p w:rsidR="00367C66" w:rsidRPr="003D0253" w:rsidRDefault="00D821B4">
      <w:pPr>
        <w:tabs>
          <w:tab w:val="left" w:pos="567"/>
        </w:tabs>
        <w:ind w:left="720"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A) Dirección de Obras Públicas; </w:t>
      </w:r>
    </w:p>
    <w:p w:rsidR="00367C66" w:rsidRPr="003D0253" w:rsidRDefault="00D821B4">
      <w:pPr>
        <w:tabs>
          <w:tab w:val="left" w:pos="567"/>
        </w:tabs>
        <w:ind w:left="720"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i/>
          <w:iCs/>
        </w:rPr>
        <w:t xml:space="preserve">B) Dirección de Desarrollo Urbano; </w:t>
      </w:r>
    </w:p>
    <w:p w:rsidR="00367C66" w:rsidRPr="003D0253" w:rsidRDefault="00D821B4">
      <w:pPr>
        <w:tabs>
          <w:tab w:val="left" w:pos="567"/>
        </w:tabs>
        <w:ind w:left="720"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i/>
          <w:iCs/>
        </w:rPr>
        <w:t>(…)</w:t>
      </w:r>
    </w:p>
    <w:p w:rsidR="00367C66" w:rsidRPr="003D0253" w:rsidRDefault="00D821B4">
      <w:pPr>
        <w:tabs>
          <w:tab w:val="left" w:pos="567"/>
        </w:tabs>
        <w:ind w:left="567"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III. COORDINACIONES: </w:t>
      </w:r>
    </w:p>
    <w:p w:rsidR="00367C66" w:rsidRPr="003D0253" w:rsidRDefault="00D821B4">
      <w:pPr>
        <w:tabs>
          <w:tab w:val="left" w:pos="567"/>
        </w:tabs>
        <w:ind w:left="567"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i/>
          <w:iCs/>
        </w:rPr>
        <w:tab/>
        <w:t>(…)</w:t>
      </w:r>
    </w:p>
    <w:p w:rsidR="00367C66" w:rsidRPr="003D0253" w:rsidRDefault="00D821B4">
      <w:pPr>
        <w:tabs>
          <w:tab w:val="left" w:pos="567"/>
        </w:tabs>
        <w:ind w:left="567"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IV. ÓRGANISMOS PÚBLICOS DESCENTRALIZADOS: </w:t>
      </w:r>
    </w:p>
    <w:p w:rsidR="00367C66" w:rsidRPr="003D0253" w:rsidRDefault="00D821B4">
      <w:pPr>
        <w:tabs>
          <w:tab w:val="left" w:pos="567"/>
        </w:tabs>
        <w:ind w:left="567"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i/>
          <w:iCs/>
        </w:rPr>
        <w:tab/>
        <w:t>(…)</w:t>
      </w:r>
    </w:p>
    <w:p w:rsidR="00367C66" w:rsidRPr="003D0253" w:rsidRDefault="00D821B4">
      <w:pPr>
        <w:numPr>
          <w:ilvl w:val="0"/>
          <w:numId w:val="1"/>
        </w:numPr>
        <w:tabs>
          <w:tab w:val="left" w:pos="0"/>
          <w:tab w:val="left" w:pos="567"/>
        </w:tabs>
        <w:spacing w:before="240" w:after="240"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De lo anterior se advierte que a fin de cumplir con sus funciones y atribuciones el Ayuntamiento de Juchitepec, cuanta con diversas Unidades Administrativas, de </w:t>
      </w:r>
      <w:r w:rsidR="003D0253" w:rsidRPr="003D0253">
        <w:rPr>
          <w:rFonts w:ascii="Palatino Linotype" w:eastAsia="Palatino Linotype" w:hAnsi="Palatino Linotype" w:cs="Palatino Linotype"/>
        </w:rPr>
        <w:t>entre</w:t>
      </w:r>
      <w:r w:rsidRPr="003D0253">
        <w:rPr>
          <w:rFonts w:ascii="Palatino Linotype" w:eastAsia="Palatino Linotype" w:hAnsi="Palatino Linotype" w:cs="Palatino Linotype"/>
        </w:rPr>
        <w:t xml:space="preserve"> las cuales se destaca que la Secretaría del Ayuntamiento, Órgano Interno de Control, Tesorería Municipal y la Dirección de Obras Públicas, pudieran generar, administrar y/o poseer la </w:t>
      </w:r>
      <w:r w:rsidRPr="003D0253">
        <w:rPr>
          <w:rFonts w:ascii="Palatino Linotype" w:eastAsia="Palatino Linotype" w:hAnsi="Palatino Linotype" w:cs="Palatino Linotype"/>
        </w:rPr>
        <w:lastRenderedPageBreak/>
        <w:t xml:space="preserve">información requerida por el particular, empero no se pronunciaron en su totalidad, ya que del expediente electrónico se advierte, que </w:t>
      </w:r>
      <w:r w:rsidR="003D0253" w:rsidRPr="003D0253">
        <w:rPr>
          <w:rFonts w:ascii="Palatino Linotype" w:eastAsia="Palatino Linotype" w:hAnsi="Palatino Linotype" w:cs="Palatino Linotype"/>
        </w:rPr>
        <w:t>las</w:t>
      </w:r>
      <w:r w:rsidRPr="003D0253">
        <w:rPr>
          <w:rFonts w:ascii="Palatino Linotype" w:eastAsia="Palatino Linotype" w:hAnsi="Palatino Linotype" w:cs="Palatino Linotype"/>
        </w:rPr>
        <w:t xml:space="preserve"> áreas que brindaron respuesta solo fue la Secretaria del Ayuntamiento, quien proporcionó  respuesta a los requerimientos que le corresponden; así mismo, la Tesorería Municipal, solo se limitó a indicar que de acuerdo a sus funciones y atribuciones no cuenta con la información solicitada; de lo descrito se advierte que el </w:t>
      </w:r>
      <w:r w:rsidRPr="003D0253">
        <w:rPr>
          <w:rFonts w:ascii="Palatino Linotype" w:eastAsia="Palatino Linotype" w:hAnsi="Palatino Linotype" w:cs="Palatino Linotype"/>
          <w:b/>
          <w:bCs/>
        </w:rPr>
        <w:t xml:space="preserve">SUJETO OBLIGADO, </w:t>
      </w:r>
      <w:r w:rsidRPr="003D0253">
        <w:rPr>
          <w:rFonts w:ascii="Palatino Linotype" w:eastAsia="Palatino Linotype" w:hAnsi="Palatino Linotype" w:cs="Palatino Linotype"/>
        </w:rPr>
        <w:t>no llevó a cabo la búsqueda exhaustiva exigida por la ley de la materia.</w:t>
      </w: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367C66" w:rsidRPr="003D0253" w:rsidRDefault="00367C66">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3D0253">
        <w:rPr>
          <w:rFonts w:ascii="Palatino Linotype" w:eastAsia="Palatino Linotype" w:hAnsi="Palatino Linotype" w:cs="Palatino Linotype"/>
          <w:color w:val="000000"/>
          <w:vertAlign w:val="superscript"/>
        </w:rPr>
        <w:footnoteReference w:id="6"/>
      </w:r>
      <w:r w:rsidRPr="003D0253">
        <w:rPr>
          <w:rFonts w:ascii="Palatino Linotype" w:eastAsia="Palatino Linotype" w:hAnsi="Palatino Linotype" w:cs="Palatino Linotype"/>
          <w:color w:val="000000"/>
        </w:rPr>
        <w:t xml:space="preserve">,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w:t>
      </w:r>
      <w:r w:rsidRPr="003D0253">
        <w:rPr>
          <w:rFonts w:ascii="Palatino Linotype" w:eastAsia="Palatino Linotype" w:hAnsi="Palatino Linotype" w:cs="Palatino Linotype"/>
          <w:color w:val="000000"/>
        </w:rPr>
        <w:lastRenderedPageBreak/>
        <w:t>información</w:t>
      </w:r>
      <w:r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3D0253">
        <w:rPr>
          <w:rFonts w:ascii="Palatino Linotype" w:eastAsia="Palatino Linotype" w:hAnsi="Palatino Linotype" w:cs="Palatino Linotype"/>
          <w:color w:val="000000"/>
          <w:vertAlign w:val="superscript"/>
        </w:rPr>
        <w:footnoteReference w:id="7"/>
      </w:r>
      <w:r w:rsidRPr="003D0253">
        <w:rPr>
          <w:rFonts w:ascii="Palatino Linotype" w:eastAsia="Palatino Linotype" w:hAnsi="Palatino Linotype" w:cs="Palatino Linotype"/>
          <w:color w:val="000000"/>
        </w:rPr>
        <w:t>.</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367C66" w:rsidRPr="003D0253" w:rsidRDefault="00D821B4">
      <w:pPr>
        <w:numPr>
          <w:ilvl w:val="1"/>
          <w:numId w:val="10"/>
        </w:numPr>
        <w:pBdr>
          <w:top w:val="nil"/>
          <w:left w:val="nil"/>
          <w:bottom w:val="nil"/>
          <w:right w:val="nil"/>
          <w:between w:val="nil"/>
        </w:pBdr>
        <w:ind w:left="709" w:right="567" w:hanging="142"/>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Recibir, tramitar y dar respuesta a las solicitudes de acceso a la información;</w:t>
      </w:r>
    </w:p>
    <w:p w:rsidR="00367C66" w:rsidRPr="003D0253" w:rsidRDefault="00D821B4">
      <w:pPr>
        <w:numPr>
          <w:ilvl w:val="1"/>
          <w:numId w:val="10"/>
        </w:numPr>
        <w:pBdr>
          <w:top w:val="nil"/>
          <w:left w:val="nil"/>
          <w:bottom w:val="nil"/>
          <w:right w:val="nil"/>
          <w:between w:val="nil"/>
        </w:pBdr>
        <w:ind w:left="709" w:right="567" w:hanging="142"/>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367C66" w:rsidRPr="003D0253" w:rsidRDefault="00D821B4">
      <w:pPr>
        <w:numPr>
          <w:ilvl w:val="1"/>
          <w:numId w:val="10"/>
        </w:numPr>
        <w:pBdr>
          <w:top w:val="nil"/>
          <w:left w:val="nil"/>
          <w:bottom w:val="nil"/>
          <w:right w:val="nil"/>
          <w:between w:val="nil"/>
        </w:pBdr>
        <w:ind w:left="709" w:right="567" w:hanging="142"/>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Entregar, en su caso, a los particulares la información solicitada; y </w:t>
      </w:r>
    </w:p>
    <w:p w:rsidR="00367C66" w:rsidRPr="003D0253" w:rsidRDefault="00D821B4">
      <w:pPr>
        <w:numPr>
          <w:ilvl w:val="1"/>
          <w:numId w:val="10"/>
        </w:numPr>
        <w:pBdr>
          <w:top w:val="nil"/>
          <w:left w:val="nil"/>
          <w:bottom w:val="nil"/>
          <w:right w:val="nil"/>
          <w:between w:val="nil"/>
        </w:pBdr>
        <w:spacing w:after="240"/>
        <w:ind w:left="709" w:right="567" w:hanging="142"/>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Efectuar las notificaciones a los solicitantes.</w:t>
      </w:r>
    </w:p>
    <w:p w:rsidR="00367C66" w:rsidRPr="003D0253" w:rsidRDefault="00367C66">
      <w:pPr>
        <w:spacing w:before="240" w:after="240"/>
        <w:ind w:right="-280"/>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3D0253">
        <w:rPr>
          <w:rFonts w:ascii="Palatino Linotype" w:eastAsia="Palatino Linotype" w:hAnsi="Palatino Linotype" w:cs="Palatino Linotype"/>
          <w:b/>
          <w:bCs/>
          <w:color w:val="000000"/>
        </w:rPr>
        <w:t xml:space="preserve">SUJETO OBLIGADO </w:t>
      </w:r>
      <w:r w:rsidRPr="003D0253">
        <w:rPr>
          <w:rFonts w:ascii="Palatino Linotype" w:eastAsia="Palatino Linotype" w:hAnsi="Palatino Linotype" w:cs="Palatino Linotype"/>
          <w:color w:val="000000"/>
        </w:rPr>
        <w:t>a propuesta del responsable de la Unidad de Transparencia</w:t>
      </w:r>
      <w:r w:rsidRPr="003D0253">
        <w:rPr>
          <w:rFonts w:ascii="Palatino Linotype" w:eastAsia="Palatino Linotype" w:hAnsi="Palatino Linotype" w:cs="Palatino Linotype"/>
          <w:color w:val="000000"/>
          <w:vertAlign w:val="superscript"/>
        </w:rPr>
        <w:footnoteReference w:id="8"/>
      </w:r>
      <w:r w:rsidRPr="003D0253">
        <w:rPr>
          <w:rFonts w:ascii="Palatino Linotype" w:eastAsia="Palatino Linotype" w:hAnsi="Palatino Linotype" w:cs="Palatino Linotype"/>
          <w:color w:val="000000"/>
        </w:rPr>
        <w:t xml:space="preserve"> y tendrán, entre sus atribuciones, las siguientes</w:t>
      </w:r>
      <w:r w:rsidRPr="003D0253">
        <w:rPr>
          <w:rFonts w:ascii="Palatino Linotype" w:eastAsia="Palatino Linotype" w:hAnsi="Palatino Linotype" w:cs="Palatino Linotype"/>
          <w:color w:val="000000"/>
          <w:vertAlign w:val="superscript"/>
        </w:rPr>
        <w:footnoteReference w:id="9"/>
      </w:r>
      <w:r w:rsidRPr="003D0253">
        <w:rPr>
          <w:rFonts w:ascii="Palatino Linotype" w:eastAsia="Palatino Linotype" w:hAnsi="Palatino Linotype" w:cs="Palatino Linotype"/>
          <w:color w:val="000000"/>
        </w:rPr>
        <w:t>:</w:t>
      </w:r>
    </w:p>
    <w:p w:rsidR="00367C66" w:rsidRPr="003D0253" w:rsidRDefault="00D821B4">
      <w:pPr>
        <w:numPr>
          <w:ilvl w:val="1"/>
          <w:numId w:val="11"/>
        </w:numPr>
        <w:pBdr>
          <w:top w:val="nil"/>
          <w:left w:val="nil"/>
          <w:bottom w:val="nil"/>
          <w:right w:val="nil"/>
          <w:between w:val="nil"/>
        </w:pBdr>
        <w:spacing w:before="240"/>
        <w:ind w:left="709" w:right="567" w:hanging="142"/>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Localizar la información que le solicite la Unidad de Transparencia; y</w:t>
      </w:r>
    </w:p>
    <w:p w:rsidR="00367C66" w:rsidRPr="003D0253" w:rsidRDefault="00D821B4">
      <w:pPr>
        <w:numPr>
          <w:ilvl w:val="1"/>
          <w:numId w:val="11"/>
        </w:numPr>
        <w:pBdr>
          <w:top w:val="nil"/>
          <w:left w:val="nil"/>
          <w:bottom w:val="nil"/>
          <w:right w:val="nil"/>
          <w:between w:val="nil"/>
        </w:pBdr>
        <w:spacing w:after="240"/>
        <w:ind w:left="709" w:right="567" w:hanging="142"/>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Proporcionar la información que obre en los archivos y que le sea solicitada por la Unidad de Transparencia.</w:t>
      </w:r>
    </w:p>
    <w:p w:rsidR="00367C66" w:rsidRPr="003D0253" w:rsidRDefault="00367C66">
      <w:pPr>
        <w:tabs>
          <w:tab w:val="left" w:pos="426"/>
          <w:tab w:val="left" w:pos="567"/>
        </w:tabs>
        <w:ind w:right="-847"/>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De tal manera que cada una de las áreas administrativas del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deberá contar con un servidor público habilitado, quien será, a su vez, el enlace entre la </w:t>
      </w:r>
      <w:r w:rsidRPr="003D0253">
        <w:rPr>
          <w:rFonts w:ascii="Palatino Linotype" w:eastAsia="Palatino Linotype" w:hAnsi="Palatino Linotype" w:cs="Palatino Linotype"/>
          <w:color w:val="000000"/>
        </w:rPr>
        <w:lastRenderedPageBreak/>
        <w:t>Unidad de Transparencia y el área administrativa, y se encargará de buscar, localizar y proporcionar la información que se requiera a través de las solicitudes de acceso a la información.</w:t>
      </w:r>
    </w:p>
    <w:p w:rsidR="00367C66" w:rsidRPr="003D0253" w:rsidRDefault="00367C66">
      <w:pPr>
        <w:ind w:right="-847"/>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b/>
          <w:bCs/>
          <w:i/>
          <w:iCs/>
          <w:color w:val="000000"/>
        </w:rPr>
        <w:t>“Artículo 53</w:t>
      </w:r>
      <w:r w:rsidRPr="003D0253">
        <w:rPr>
          <w:rFonts w:ascii="Palatino Linotype" w:eastAsia="Palatino Linotype" w:hAnsi="Palatino Linotype" w:cs="Palatino Linotype"/>
          <w:i/>
          <w:iCs/>
          <w:color w:val="000000"/>
        </w:rPr>
        <w:t xml:space="preserve">. Las Unidades de Transparencia tendrán las siguientes funciones: </w:t>
      </w:r>
    </w:p>
    <w:p w:rsidR="00367C66" w:rsidRPr="003D0253" w:rsidRDefault="00367C66">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 xml:space="preserve">II. Recibir, tramitar y dar respuesta a las solicitudes de acceso a la información;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V. Entregar, en su caso, a los particulares la información solicitada;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VI. Efectuar las notificaciones a los solicitantes;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X. Presentar ante el Comité, el proyecto de clasificación de información;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XI. Promover e implementar políticas de transparencia proactiva procurando su accesibilidad;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lastRenderedPageBreak/>
        <w:t xml:space="preserve">XII. Fomentar la transparencia y accesibilidad al interior del sujeto obligado; </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367C66" w:rsidRPr="003D0253" w:rsidRDefault="00D821B4">
      <w:pPr>
        <w:pBdr>
          <w:top w:val="nil"/>
          <w:left w:val="nil"/>
          <w:bottom w:val="nil"/>
          <w:right w:val="nil"/>
          <w:between w:val="nil"/>
        </w:pBdr>
        <w:tabs>
          <w:tab w:val="left" w:pos="426"/>
        </w:tabs>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367C66" w:rsidRPr="003D0253" w:rsidRDefault="00D821B4">
      <w:pPr>
        <w:pBdr>
          <w:top w:val="nil"/>
          <w:left w:val="nil"/>
          <w:bottom w:val="nil"/>
          <w:right w:val="nil"/>
          <w:between w:val="nil"/>
        </w:pBdr>
        <w:tabs>
          <w:tab w:val="left" w:pos="426"/>
        </w:tabs>
        <w:spacing w:after="240"/>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367C66" w:rsidRPr="003D0253" w:rsidRDefault="00367C66">
      <w:pPr>
        <w:tabs>
          <w:tab w:val="left" w:pos="426"/>
        </w:tabs>
        <w:spacing w:before="240" w:after="240"/>
        <w:ind w:right="-847"/>
        <w:jc w:val="both"/>
        <w:rPr>
          <w:rFonts w:ascii="Palatino Linotype" w:eastAsia="Palatino Linotype" w:hAnsi="Palatino Linotype" w:cs="Palatino Linotype"/>
          <w:i/>
          <w:iCs/>
        </w:rPr>
      </w:pP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367C66" w:rsidRPr="003D0253" w:rsidRDefault="00367C66">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bCs/>
        </w:rPr>
      </w:pPr>
      <w:r w:rsidRPr="003D0253">
        <w:rPr>
          <w:rFonts w:ascii="Palatino Linotype" w:eastAsia="Palatino Linotype" w:hAnsi="Palatino Linotype" w:cs="Palatino Linotype"/>
          <w:color w:val="000000"/>
        </w:rPr>
        <w:t xml:space="preserve">En este sentido, se advierte que, 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no cumplió con el procedimiento de búsqueda exhaustiva y razonable, pues no gestionó la solicitud de información en las unidades en donde </w:t>
      </w:r>
      <w:r w:rsidRPr="003D0253">
        <w:rPr>
          <w:rFonts w:ascii="Palatino Linotype" w:eastAsia="Palatino Linotype" w:hAnsi="Palatino Linotype" w:cs="Palatino Linotype"/>
          <w:color w:val="000000"/>
          <w:u w:val="single"/>
        </w:rPr>
        <w:t>pudiera</w:t>
      </w:r>
      <w:r w:rsidRPr="003D0253">
        <w:rPr>
          <w:rFonts w:ascii="Palatino Linotype" w:eastAsia="Palatino Linotype" w:hAnsi="Palatino Linotype" w:cs="Palatino Linotype"/>
          <w:color w:val="000000"/>
        </w:rPr>
        <w:t xml:space="preserve"> obrar la citada información, siendo estas: </w:t>
      </w:r>
      <w:r w:rsidRPr="003D0253">
        <w:rPr>
          <w:rFonts w:ascii="Palatino Linotype" w:eastAsia="Palatino Linotype" w:hAnsi="Palatino Linotype" w:cs="Palatino Linotype"/>
          <w:b/>
          <w:bCs/>
          <w:color w:val="000000"/>
        </w:rPr>
        <w:t>el Órgano Interno de Control y la Dirección de Obras Públicas</w:t>
      </w:r>
      <w:r w:rsidRPr="003D0253">
        <w:rPr>
          <w:rFonts w:ascii="Palatino Linotype" w:eastAsia="Palatino Linotype" w:hAnsi="Palatino Linotype" w:cs="Palatino Linotype"/>
          <w:color w:val="000000"/>
        </w:rPr>
        <w:t xml:space="preserve">; ello aunado a que la </w:t>
      </w:r>
      <w:r w:rsidRPr="003D0253">
        <w:rPr>
          <w:rFonts w:ascii="Palatino Linotype" w:eastAsia="Palatino Linotype" w:hAnsi="Palatino Linotype" w:cs="Palatino Linotype"/>
          <w:b/>
          <w:bCs/>
          <w:color w:val="000000"/>
        </w:rPr>
        <w:t>Tesorería Municipal</w:t>
      </w:r>
      <w:r w:rsidRPr="003D0253">
        <w:rPr>
          <w:rFonts w:ascii="Palatino Linotype" w:eastAsia="Palatino Linotype" w:hAnsi="Palatino Linotype" w:cs="Palatino Linotype"/>
          <w:color w:val="000000"/>
        </w:rPr>
        <w:t>, se limitó a indicar que de acuerdo a sus funciones y obligaciones no cuenta con la información solicitada, situación que no guarda congruencia con lo establecido en su Manual General de Organización, lo que advierte que no dio cumplimiento a lo exigido por la ley de la materia.</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b/>
          <w:bCs/>
          <w:color w:val="000000"/>
        </w:rPr>
      </w:pPr>
    </w:p>
    <w:p w:rsidR="00367C66" w:rsidRPr="003D0253" w:rsidRDefault="00D821B4">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lastRenderedPageBreak/>
        <w:t xml:space="preserve">Descrito lo anterior, resulta necesario establecer las funciones y atribuciones de </w:t>
      </w:r>
      <w:r w:rsidRPr="003D0253">
        <w:rPr>
          <w:rFonts w:ascii="Palatino Linotype" w:eastAsia="Palatino Linotype" w:hAnsi="Palatino Linotype" w:cs="Palatino Linotype"/>
          <w:b/>
          <w:bCs/>
          <w:color w:val="000000"/>
        </w:rPr>
        <w:t xml:space="preserve">la Tesorería Municipal </w:t>
      </w:r>
      <w:r w:rsidRPr="003D0253">
        <w:rPr>
          <w:rFonts w:ascii="Palatino Linotype" w:eastAsia="Palatino Linotype" w:hAnsi="Palatino Linotype" w:cs="Palatino Linotype"/>
          <w:color w:val="000000"/>
        </w:rPr>
        <w:t>que de acuerdo al Manual General de Organización del Ayuntamiento de Juchitepec son las siguientes:</w:t>
      </w:r>
    </w:p>
    <w:p w:rsidR="00367C66" w:rsidRPr="003D0253" w:rsidRDefault="00D821B4">
      <w:pPr>
        <w:pBdr>
          <w:top w:val="nil"/>
          <w:left w:val="nil"/>
          <w:bottom w:val="nil"/>
          <w:right w:val="nil"/>
          <w:between w:val="nil"/>
        </w:pBdr>
        <w:ind w:left="567" w:right="567"/>
        <w:jc w:val="center"/>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Tesorería Municipal</w:t>
      </w:r>
    </w:p>
    <w:p w:rsidR="00367C66" w:rsidRPr="003D0253" w:rsidRDefault="00367C66">
      <w:pPr>
        <w:pBdr>
          <w:top w:val="nil"/>
          <w:left w:val="nil"/>
          <w:bottom w:val="nil"/>
          <w:right w:val="nil"/>
          <w:between w:val="nil"/>
        </w:pBdr>
        <w:ind w:left="567" w:right="567"/>
        <w:jc w:val="center"/>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ind w:left="567" w:right="567"/>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Objetivo</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Recaudar, administrar, operar, registrar y glosar los recursos que componen la hacienda pública con la finalidad de mantener finanzas sanas y contar con la suficiencia económica para cumplir con las obligaciones, funciones y atribuciones del gobierno municipal de Juchitepec.</w:t>
      </w:r>
    </w:p>
    <w:p w:rsidR="00367C66" w:rsidRPr="003D0253" w:rsidRDefault="00367C66">
      <w:pPr>
        <w:pBdr>
          <w:top w:val="nil"/>
          <w:left w:val="nil"/>
          <w:bottom w:val="nil"/>
          <w:right w:val="nil"/>
          <w:between w:val="nil"/>
        </w:pBdr>
        <w:ind w:left="567" w:right="567"/>
        <w:jc w:val="both"/>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Funciones: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3. Documentar, integrar, proyectar y proponer al H. Ayuntamiento la cancelación de créditos fiscales, cuentas incobrables y cuentas incosteables;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6. Diseñar, implementar y evaluar las disposiciones de racionalidad, austeridad y disciplina presupuestal;</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7. Definir, operar y vigilar el proceso de otorgamiento de suficiencia presupuestal para las solicitudes de adquisición y servicios que presenten las dependencias municipales;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8. Preparar, elaborar, revisar y presentar coordinadamente los informes mensuales de las unidades administrativas y la cuenta pública a fin de que cumplan con lo establecido en las disposiciones emitidas por el Órgano Superior de Fiscalización del Estado de México;</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14. Administrar la hacienda pública municipal de conformidad con las disposiciones legales;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15. Elaborar, proponer y vigilar la ejecución del Programa Financiero Municipal;</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b/>
          <w:bCs/>
          <w:i/>
          <w:iCs/>
          <w:color w:val="000000"/>
          <w:u w:val="single"/>
        </w:rPr>
        <w:t>16. Integrar, aprobar y expedir los cheques y las transferencias electrónicas de pago para cubrir las erogaciones que sean responsabilidad de la administración pública municipal;</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lastRenderedPageBreak/>
        <w:t>22. Elaborar, integrar y poner a consideración del H. Ayuntamiento, conjuntamente con la Unidad de Información, Planeación, Programación y Evaluación los proyectos de presupuesto de ingresos y egresos del municipio;</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23. Apoyar a las unidades administrativas para la elaboración e integración en materia financiera, del presupuesto de egresos para el ejercicio fiscal correspondiente;</w:t>
      </w:r>
    </w:p>
    <w:p w:rsidR="00367C66" w:rsidRPr="003D0253" w:rsidRDefault="00367C66">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i/>
          <w:iCs/>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De lo anterior se advierte que contrario a lo manifestado por la Tesorería Municipal en respuesta, si cuenta con atribuciones a poseer a información requerida por el particular, toda vez que entre funciones se encuentra administrar la hacienda pública, vigilar la ejecución del programa Financiero municipal, operar y vigilar el proceso de suficiencia presupuestal para las adquisición y servicios, realizando los informes mensuales de la Unidades Administrativas y la cuenta pública, lo que advierte que debe de tener conocimiento de las adjudicaciones que se realicen, por tanto administra la información requerida por el particular.</w:t>
      </w:r>
    </w:p>
    <w:p w:rsidR="00367C66" w:rsidRPr="003D0253" w:rsidRDefault="00367C6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En continuidad el Manual de Organización del Órgano Interno de Control, reconoce como funciones y objetivos de esta Unidad Administrativa, las siguientes: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OBJETIVO:</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Planear, programar, organizar y coordinar las acciones de control, evaluación, vigilancia y fiscalización del correcto uso de patrimonio, el ejercicio del gasto público por conducto de las Dependencias y Entidades, su congruencia con el presupuesto de egresos del Municipio, así como el desempeño de los servidores públicos, logrando con ello impulsar una Gestión Pública de Calidad, en apego a las normas y disposiciones legales aplicables, para contribuir con la transparencia y rendición de cuentas a los ciudadanos.</w:t>
      </w:r>
    </w:p>
    <w:p w:rsidR="00367C66" w:rsidRPr="003D0253" w:rsidRDefault="00367C66">
      <w:pPr>
        <w:pBdr>
          <w:top w:val="nil"/>
          <w:left w:val="nil"/>
          <w:bottom w:val="nil"/>
          <w:right w:val="nil"/>
          <w:between w:val="nil"/>
        </w:pBdr>
        <w:ind w:left="567" w:right="567"/>
        <w:jc w:val="both"/>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FUNCIONES: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2. Fiscalizar el ingreso y ejercicio del gasto público municipal y su congruencia con el presupuesto de egresos;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lastRenderedPageBreak/>
        <w:t>6. Vigilar que los recursos federales y estatales asignados a los Ayuntamientos se apliquen en los términos estipulados en las leyes, los reglamentos y los convenios respectivos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b/>
          <w:bCs/>
          <w:i/>
          <w:iCs/>
          <w:color w:val="000000"/>
          <w:u w:val="single"/>
        </w:rPr>
        <w:t>7. Vigilar el cumplimiento de las obligaciones de proveedores y contratistas de la Administración Pública Municipal;</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13. Dictaminar los estados financieros de la Tesorería Municipal y verificar que se remitan los informes correspondientes al Órgano Superior de Fiscalización del Estado de México</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15. Participar en la elaboración y actualización del inventario general de los bienes muebles e inmuebles propiedad del municipio, que expresará las características de identificación y destino de los mismos;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EN MATERIA DE RESPONSABILIDADES Y SITUACIÓN PATRIMONIAL:</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i/>
          <w:iCs/>
          <w:color w:val="000000"/>
        </w:rPr>
        <w:t>6. Vigilar, verificar y comprobar el cumplimiento de las obligaciones de las Dependencias de la Administración, en materia de planeación, programación, presupuestación, ingresos, financiamiento, inversión, adquisiciones, arrendamientos, prestación de servicios, obra pública y servicios relacionados con la misma, así como el ejercicio del gasto, deuda, patrimonio, fondos y valores de la propiedad o al cuidado del Municipio;</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b/>
          <w:bCs/>
          <w:i/>
          <w:iCs/>
          <w:color w:val="000000"/>
          <w:u w:val="single"/>
        </w:rPr>
        <w:t>7. Verificar y vigilar el cumplimiento de las obligaciones de proveedores y contratistas solicitándoles la información relacionada con sus operaciones, así como las adquisiciones, arrendamientos, servicios, obras públicas y servicios relacionados con la misma, que se realicen conforme a lo establecido en las disposiciones legales aplicables;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i/>
          <w:iCs/>
          <w:color w:val="000000"/>
        </w:rPr>
        <w:t>17. Asistir a los procesos de adjudicación de obra pública y servicios relacionados con la misma, bajo la modalidad de Licitación Pública, de conformidad con la normatividad en la materia;</w:t>
      </w:r>
    </w:p>
    <w:p w:rsidR="00367C66" w:rsidRPr="003D0253" w:rsidRDefault="00D821B4">
      <w:pPr>
        <w:pBdr>
          <w:top w:val="nil"/>
          <w:left w:val="nil"/>
          <w:bottom w:val="nil"/>
          <w:right w:val="nil"/>
          <w:between w:val="nil"/>
        </w:pBdr>
        <w:ind w:left="567" w:right="567"/>
        <w:jc w:val="center"/>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EN MATERIA DE AUDITORÍA FINANCIERA:</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8. Requerir, en su caso, a los terceros que hubieren contratado obras, bienes o servicios con las distintas Dependencias o Entidades de la Administración Pública Municipal, la documentación que justifique y compruebe las cuentas públicas, con el fin de realizar el cotejo y compulsa correspondiente;</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b/>
          <w:bCs/>
          <w:i/>
          <w:iCs/>
          <w:color w:val="000000"/>
          <w:u w:val="single"/>
        </w:rPr>
        <w:t>9. Vigilar el cumplimiento de las normas y disposiciones en materia de ingresos, egresos, presupuestación, financiamiento, deuda, fondos y valores, formas valoradas, sistemas de registro y contabilidad;</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b/>
          <w:bCs/>
          <w:i/>
          <w:iCs/>
          <w:color w:val="000000"/>
          <w:u w:val="single"/>
        </w:rPr>
        <w:lastRenderedPageBreak/>
        <w:t>10. Coordinar los trabajos de auditoría de obra desde la planeación, hasta la entrega física de la misma;</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12. Revisar en materia de cuenta pública si los recursos han sido administrados de manera eficiente con apego a las disposiciones legales aplicables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14. Verificar que el presupuesto de egresos y los ingresos del Ayuntamiento, se ejerzan de acuerdo con la normatividad aplicable y a los principios de contabilidad gubernamental;</w:t>
      </w:r>
    </w:p>
    <w:p w:rsidR="00367C66" w:rsidRPr="003D0253" w:rsidRDefault="00367C66">
      <w:pPr>
        <w:pBdr>
          <w:top w:val="nil"/>
          <w:left w:val="nil"/>
          <w:bottom w:val="nil"/>
          <w:right w:val="nil"/>
          <w:between w:val="nil"/>
        </w:pBdr>
        <w:ind w:left="567" w:right="567"/>
        <w:jc w:val="both"/>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ind w:left="567" w:right="567"/>
        <w:jc w:val="center"/>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EN MATERIA DE AUDITORIA DE OBRA:</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1. Auditar, fiscalizar e inspeccionar las obras publicas que se encuentren en ejecución;</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2. Planear, programar, organizar y realizar auditorías en materia de obra pública, para las Dependencias y Entidades de la Administración Pública Municipal;</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3. Coordinar los trabajos de auditoría de obra desde la planeación, hasta su conclusión;</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4. Supervisar el Programa Anual de Obra;</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5. Supervisar y revisar que la obra pública y los servicios relacionados con la misma, se realicen de conformidad con lo que establecen las disposiciones legales aplicables;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b/>
          <w:bCs/>
          <w:i/>
          <w:iCs/>
          <w:color w:val="000000"/>
          <w:u w:val="single"/>
        </w:rPr>
        <w:t>6. Revisar que el catálogo de contratistas del Ayuntamiento sea acorde a la normatividad aplicable;</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i/>
          <w:iCs/>
          <w:color w:val="000000"/>
        </w:rPr>
        <w:t>9. Supervisar el cumplimiento de las obligaciones de proveedores y contratistas de la Administración Pública;</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i/>
          <w:iCs/>
          <w:color w:val="000000"/>
        </w:rPr>
        <w:t>10. Testificar juntamente con los COCICOVIS, la Entrega-Recepción de los trabajos de la obra pública y los servicios relacionados con la misma;</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r w:rsidRPr="003D0253">
        <w:rPr>
          <w:rFonts w:ascii="Palatino Linotype" w:eastAsia="Palatino Linotype" w:hAnsi="Palatino Linotype" w:cs="Palatino Linotype"/>
          <w:i/>
          <w:iCs/>
          <w:color w:val="000000"/>
        </w:rPr>
        <w:t>12. Asistir a las sesiones del Comité de Obra Pública, emitiendo las recomendaciones necesarias, respecto de los procedimientos de adjudicación que se lleven a cabo, de conformidad con la legislación aplicable;</w:t>
      </w:r>
    </w:p>
    <w:p w:rsidR="00367C66" w:rsidRPr="003D0253" w:rsidRDefault="00367C66">
      <w:pPr>
        <w:pBdr>
          <w:top w:val="nil"/>
          <w:left w:val="nil"/>
          <w:bottom w:val="nil"/>
          <w:right w:val="nil"/>
          <w:between w:val="nil"/>
        </w:pBdr>
        <w:ind w:left="567" w:right="567"/>
        <w:jc w:val="both"/>
        <w:rPr>
          <w:rFonts w:ascii="Palatino Linotype" w:eastAsia="Palatino Linotype" w:hAnsi="Palatino Linotype" w:cs="Palatino Linotype"/>
          <w:b/>
          <w:bCs/>
          <w:i/>
          <w:iCs/>
          <w:color w:val="000000"/>
          <w:u w:val="single"/>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Descrito lo anterior, se advierte que el Órgano Interno de Control, cuenta con atribuciones para generar, administrar y poseer la información requerida por el particular, toda vez que es la Unidad Administrativa que vigila el cumplimiento de las obligaciones de proveedores y contratistas solicitándoles la información relacionada con sus operaciones, coordinando los trabajos de obra desde la planeación hasta la entrega de la misma, empero </w:t>
      </w:r>
      <w:r w:rsidRPr="003D0253">
        <w:rPr>
          <w:rFonts w:ascii="Palatino Linotype" w:eastAsia="Palatino Linotype" w:hAnsi="Palatino Linotype" w:cs="Palatino Linotype"/>
          <w:color w:val="000000"/>
        </w:rPr>
        <w:lastRenderedPageBreak/>
        <w:t>del expediente electrónico en que se actúa, no se advierte que se haya pronunciado, ni mucho menos que se le haya realizado el requerimiento correspondiente.</w:t>
      </w:r>
    </w:p>
    <w:p w:rsidR="00367C66" w:rsidRPr="003D0253" w:rsidRDefault="00367C6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Así mismo, el Manual General de Organización de Obras Públicas, refiere:</w:t>
      </w:r>
    </w:p>
    <w:p w:rsidR="00367C66" w:rsidRPr="003D0253" w:rsidRDefault="00D821B4">
      <w:pPr>
        <w:pBdr>
          <w:top w:val="nil"/>
          <w:left w:val="nil"/>
          <w:bottom w:val="nil"/>
          <w:right w:val="nil"/>
          <w:between w:val="nil"/>
        </w:pBdr>
        <w:ind w:left="567" w:right="567"/>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OBJETIVO</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Planear, dirigir y promover la construcción y conservación de Obras Públicas, conforme a los Programas Anuales de Obras Públicas y el Plan de Desarrollo Municipal.</w:t>
      </w:r>
    </w:p>
    <w:p w:rsidR="00367C66" w:rsidRPr="003D0253" w:rsidRDefault="00D821B4">
      <w:pPr>
        <w:ind w:left="567" w:right="567"/>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FUNCIONES</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3. Autorizar los estudios y proyectos, así como la construcción, conservación, mantenimiento, operación y administración de la infraestructura que se realice en el Municipio;</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7. Transmitir en tiempo y forma a las instancias municipales, estatales y federales, el inicio, avance y terminación de las obras públicas municipales de conformidad con lo dispuesto en la normatividad aplicable;</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8. Validar y autorizar los presupuestos y estimaciones que presenten los contratistas por la ejecución de obras públicas municipales y tramitar el pago correspondiente;</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17. Aprobar y autorizar la entrega-recepción de las obras públicas que lleven a cabo los contratistas</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20. Avalar las ampliaciones, reducciones, transferencias y cancelaciones presupuestales; las modificaciones de metas de las obras públicas autorizadas, así como de lo programado en los PBRM y el POA de la Dirección de Obras Púbicas; lo anterior de acuerdo con la normatividad aplicable;</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PLANEACIÓN DE PROYECTOS Y ESTIMACIONES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5. Coordinar y supervisar el desarrollo de los proyectos y estudios que genere por sí o por terceros, hasta su conclusión de acuerdo a las normas técnicas que apliquen en cada caso particular, procurando siempre el mayor rendimiento económico y la mejor solución técnica, para satisfacer a la comunidad y/o Dependencias en sus diversas necesidades;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6. Integrar y verificar que los proyectos ejecutivos, planos y especificaciones para la realización de los trabajos de obra pública, estén completos y que sean suficientes para </w:t>
      </w:r>
      <w:r w:rsidRPr="003D0253">
        <w:rPr>
          <w:rFonts w:ascii="Palatino Linotype" w:eastAsia="Palatino Linotype" w:hAnsi="Palatino Linotype" w:cs="Palatino Linotype"/>
          <w:i/>
          <w:iCs/>
          <w:color w:val="000000"/>
        </w:rPr>
        <w:lastRenderedPageBreak/>
        <w:t>iniciar las diferentes etapas de la construcción, y que esta misma información esté en poder del contratista asignado;</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9. Actualizara la base de datos de insumos para la elaboración de integración de los presupuestos y precios unitarios;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10. Realizar la cotización de materiales, equipo y herramienta que sea necesario para la elaboración de los presupuestos de las obras;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11. Conciliar con los contratistas, costos-horario de maquinaria y/o equipo, necesarios en la ejecución de obra pública;</w:t>
      </w:r>
    </w:p>
    <w:p w:rsidR="00367C66" w:rsidRPr="003D0253" w:rsidRDefault="00367C66">
      <w:pPr>
        <w:pBdr>
          <w:top w:val="nil"/>
          <w:left w:val="nil"/>
          <w:bottom w:val="nil"/>
          <w:right w:val="nil"/>
          <w:between w:val="nil"/>
        </w:pBdr>
        <w:ind w:left="567" w:right="567"/>
        <w:jc w:val="both"/>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b/>
          <w:bCs/>
          <w:i/>
          <w:iCs/>
          <w:color w:val="000000"/>
        </w:rPr>
      </w:pPr>
      <w:r w:rsidRPr="003D0253">
        <w:rPr>
          <w:rFonts w:ascii="Palatino Linotype" w:eastAsia="Palatino Linotype" w:hAnsi="Palatino Linotype" w:cs="Palatino Linotype"/>
          <w:b/>
          <w:bCs/>
          <w:i/>
          <w:iCs/>
          <w:color w:val="000000"/>
        </w:rPr>
        <w:t>CONCURSOS Y CONTRATOS</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1. Formular las bases y expedir la convocatoria a los concursos para la realización de las obras públicas municipales, de acuerdo con los requisitos que para dichos actos señale la legislación y normatividad respectiva, vigilando su correcta ejecución;</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4. Gestionar el trámite de pago de anticipos, estimaciones y finiquitos de los contratos establecidos que le sean asignados para su supervisión;</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w:t>
      </w:r>
    </w:p>
    <w:p w:rsidR="00367C66" w:rsidRPr="003D0253" w:rsidRDefault="00D821B4">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9. Analizar las estimaciones que presenten los contratistas de obras públicas municipales, para la autorización de pago.</w:t>
      </w:r>
    </w:p>
    <w:p w:rsidR="00367C66" w:rsidRPr="003D0253" w:rsidRDefault="00367C66">
      <w:pPr>
        <w:pBdr>
          <w:top w:val="nil"/>
          <w:left w:val="nil"/>
          <w:bottom w:val="nil"/>
          <w:right w:val="nil"/>
          <w:between w:val="nil"/>
        </w:pBdr>
        <w:ind w:left="567" w:right="567"/>
        <w:jc w:val="both"/>
        <w:rPr>
          <w:rFonts w:ascii="Palatino Linotype" w:eastAsia="Palatino Linotype" w:hAnsi="Palatino Linotype" w:cs="Palatino Linotype"/>
          <w:i/>
          <w:iCs/>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Tomando en consideración lo descrito en el numeral que antecede, se vislumbra que la Dirección de Obras Públicas, tiene atribuciones para poseer la información requerida por el particular, sin embargo no se advierte que se haya pronunciado al respecto, por tanto, como ya se estableció en líneas anteriores, no dan cumplimiento a la búsqueda exhaustiva exigida por la ley de la materia </w:t>
      </w:r>
    </w:p>
    <w:p w:rsidR="00367C66" w:rsidRPr="003D0253" w:rsidRDefault="00367C6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En continuidad respecto a la información solicitada, el artículo 12.4 del Código Administrativo del Estado de México, establece que las obras públicas son aquellas cuyo objeto principal es construir, instalar, ampliar, adecuar, remodelar, restaurar, conservar, mantener, modificar o demoler bienes inmuebles de los municipios con cargo a recursos </w:t>
      </w:r>
      <w:r w:rsidRPr="003D0253">
        <w:rPr>
          <w:rFonts w:ascii="Palatino Linotype" w:eastAsia="Palatino Linotype" w:hAnsi="Palatino Linotype" w:cs="Palatino Linotype"/>
          <w:color w:val="000000"/>
        </w:rPr>
        <w:lastRenderedPageBreak/>
        <w:t xml:space="preserve">públicos estatales y municipales; así como los trabajos de exploración, localización y perforación, mejoramiento de suelo y subsuelo, la infraestructura agropecuaria e hidroagrícola, entre otros. </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Además, conforme al artículo 12.6 de dicho ordenamiento jurídico, uno de los entes que pueden llevar a cabo contratos de obra pública o servicios relacionados con la misma, son los Municipios, a través de los Ayuntamientos.</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En ese orden de ideas, es responsabilidad de los Ayuntamientos ejecutar la obra pública respectiva, mediante contrato con terceros o por administración directa; dicho acto jurídico, será adjudicado a través de licitaciones públicas, invitación restringida o adjudicación directa, conforme a los artículos 12.8, 12.20 y 12.21 del Código mencionado.</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Además, el artículo 12.38 del Código Administrativo del Estado de México, establece que la adjudicación de un procedimiento de </w:t>
      </w:r>
      <w:r w:rsidRPr="003D0253">
        <w:rPr>
          <w:rFonts w:ascii="Palatino Linotype" w:eastAsia="Palatino Linotype" w:hAnsi="Palatino Linotype" w:cs="Palatino Linotype"/>
          <w:b/>
          <w:bCs/>
          <w:color w:val="000000"/>
        </w:rPr>
        <w:t>ejecución de obra,</w:t>
      </w:r>
      <w:r w:rsidRPr="003D0253">
        <w:rPr>
          <w:rFonts w:ascii="Palatino Linotype" w:eastAsia="Palatino Linotype" w:hAnsi="Palatino Linotype" w:cs="Palatino Linotype"/>
          <w:color w:val="000000"/>
        </w:rPr>
        <w:t xml:space="preserve"> se realizará mediante la suscripción de un contrato, entre el Ayuntamiento y la persona a la cual haya ganado el procedimiento respectivo, dentro de los diez días hábiles siguientes a la notificación del fallo.</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En ese orden de ideas, el artículo 70 fracción XXVIII, de la entonces Ley General de Transparencia y Acceso a la Información Pública y 92 fracción XXIX, de la Ley de Transparencia y Acceso a la Información Pública del Estado de México y Municipios, precisa que es información que es pública de oficio, la información sobre los procesos y resultados sobre procedimientos de adjudicación directa, invitación restringida y licitación de cualquier naturaleza, que incluye la versión pública </w:t>
      </w:r>
      <w:r w:rsidRPr="003D0253">
        <w:rPr>
          <w:rFonts w:ascii="Palatino Linotype" w:eastAsia="Palatino Linotype" w:hAnsi="Palatino Linotype" w:cs="Palatino Linotype"/>
          <w:b/>
          <w:bCs/>
          <w:color w:val="000000"/>
        </w:rPr>
        <w:t>del expediente respectivo y de los contratos celebrados.</w:t>
      </w: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lastRenderedPageBreak/>
        <w:t xml:space="preserve">Respecto a las estimaciones, se localizó el Acuerdo del Secretario de Infraestructura por el que se establece el </w:t>
      </w:r>
      <w:r w:rsidRPr="003D0253">
        <w:rPr>
          <w:rFonts w:ascii="Palatino Linotype" w:eastAsia="Palatino Linotype" w:hAnsi="Palatino Linotype" w:cs="Palatino Linotype"/>
          <w:b/>
          <w:bCs/>
          <w:color w:val="000000"/>
        </w:rPr>
        <w:t>Índice de Expediente Único de Obra Pública e Instructivos de llenado en las modalidades de adjudicación directa, invitación restringida y licitación pública el cual establece los Índices de Expedientes Únicos de Obra e instructivos de llenado para la integración de dichos legajos</w:t>
      </w:r>
      <w:r w:rsidRPr="003D0253">
        <w:rPr>
          <w:rFonts w:ascii="Palatino Linotype" w:eastAsia="Palatino Linotype" w:hAnsi="Palatino Linotype" w:cs="Palatino Linotype"/>
          <w:color w:val="000000"/>
        </w:rPr>
        <w:t>, que deberán integrar entre otros, los Ayuntamientos.</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Asimismo, del Acuerdo antes mencionado, en la página 10, establece la documentación que debe de contener el Expediente Único de Obra en la modalidad de Invitación Restringida, los cuales son los siguientes:</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Expediente técnico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Proyecto ejecutivo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Presupuesto base</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Oficio de asignación, autorización de recursos y dictamen de procedencia</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Bases de concurso y en su caso términos de referencia</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Invitación a la persona física o moral para participar en la licitación </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Escrito de aceptación de las personas físicas o morales para participar en la licitación</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Recibo de pago de bases de concurso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Invitación a instancias internas y externas a los actos de concurso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Acta de recepción y apertura de propuestas</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Evaluación de propuestas, dictamen y acta de fallo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lastRenderedPageBreak/>
        <w:t>Propuesta Ganadora (con todos los documentos solicitados en las bases y en su caso términos de referencia)</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b/>
          <w:bCs/>
        </w:rPr>
        <w:t>Contrato</w:t>
      </w:r>
      <w:r w:rsidRPr="003D0253">
        <w:rPr>
          <w:rFonts w:ascii="Palatino Linotype" w:eastAsia="Palatino Linotype" w:hAnsi="Palatino Linotype" w:cs="Palatino Linotype"/>
        </w:rPr>
        <w:t>, diferimiento, convenios de reprogramación, y/o convenios de ampliación al importe del contrato, incluyendo solicitud de la empresa, opinión de la residencia y de la supervisión externa</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Comunicados de modificación al contrato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Garantías de cumplimiento de contrato, anticipos y/o convenios</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Aviso de </w:t>
      </w:r>
      <w:r w:rsidRPr="003D0253">
        <w:rPr>
          <w:rFonts w:ascii="Palatino Linotype" w:eastAsia="Palatino Linotype" w:hAnsi="Palatino Linotype" w:cs="Palatino Linotype"/>
          <w:b/>
          <w:bCs/>
        </w:rPr>
        <w:t>inicio de obra</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Programa de obra o servicio (incluyendo modificaciones), aprobado por la residencia de obra y la supervisión externa</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Números generadores, estimaciones y </w:t>
      </w:r>
      <w:r w:rsidRPr="003D0253">
        <w:rPr>
          <w:rFonts w:ascii="Palatino Linotype" w:eastAsia="Palatino Linotype" w:hAnsi="Palatino Linotype" w:cs="Palatino Linotype"/>
          <w:b/>
          <w:bCs/>
        </w:rPr>
        <w:t>facturas</w:t>
      </w:r>
      <w:r w:rsidRPr="003D0253">
        <w:rPr>
          <w:rFonts w:ascii="Palatino Linotype" w:eastAsia="Palatino Linotype" w:hAnsi="Palatino Linotype" w:cs="Palatino Linotype"/>
        </w:rPr>
        <w:t>, incluyendo estimación de finiquito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Resolución de ajuste o escalatoria de precios unitarios, incluyendo la solicitud de la empresa con sus matrices, y el visto bueno de la residencia de obra y supervisión externa</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Autorización de precios unitarios extraordinarios, incluyendo la solicitud y análisis de la empresa, y la validación de la residencia de obra y en su caso de la supervisión externa </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Bitácora de obra o servicios (original) y minutas de trabajo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Reportes de control de calidad</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Álbum fotográfico </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rPr>
        <w:t>Planos actualizados definitivos</w:t>
      </w:r>
    </w:p>
    <w:p w:rsidR="00367C66" w:rsidRPr="003D0253" w:rsidRDefault="00D821B4">
      <w:pPr>
        <w:numPr>
          <w:ilvl w:val="0"/>
          <w:numId w:val="2"/>
        </w:numPr>
        <w:spacing w:line="360" w:lineRule="auto"/>
        <w:ind w:right="-28"/>
        <w:jc w:val="both"/>
        <w:rPr>
          <w:rFonts w:ascii="Palatino Linotype" w:eastAsia="Palatino Linotype" w:hAnsi="Palatino Linotype" w:cs="Palatino Linotype"/>
        </w:rPr>
      </w:pPr>
      <w:r w:rsidRPr="003D0253">
        <w:rPr>
          <w:rFonts w:ascii="Palatino Linotype" w:eastAsia="Palatino Linotype" w:hAnsi="Palatino Linotype" w:cs="Palatino Linotype"/>
          <w:b/>
          <w:bCs/>
        </w:rPr>
        <w:lastRenderedPageBreak/>
        <w:t>Acta de entrega recepción de los trabajos y garantía de vicios ocultos</w:t>
      </w:r>
      <w:r w:rsidRPr="003D0253">
        <w:rPr>
          <w:rFonts w:ascii="Palatino Linotype" w:eastAsia="Palatino Linotype" w:hAnsi="Palatino Linotype" w:cs="Palatino Linotype"/>
        </w:rPr>
        <w:t xml:space="preserve"> (incluyendo Invitaciones Internas y externas a dicho acto)</w:t>
      </w:r>
    </w:p>
    <w:p w:rsidR="00367C66" w:rsidRPr="003D0253" w:rsidRDefault="00D821B4">
      <w:pPr>
        <w:numPr>
          <w:ilvl w:val="0"/>
          <w:numId w:val="2"/>
        </w:numPr>
        <w:spacing w:line="360" w:lineRule="auto"/>
        <w:ind w:right="-28"/>
        <w:jc w:val="both"/>
        <w:rPr>
          <w:rFonts w:ascii="Palatino Linotype" w:eastAsia="Palatino Linotype" w:hAnsi="Palatino Linotype" w:cs="Palatino Linotype"/>
          <w:b/>
          <w:bCs/>
        </w:rPr>
      </w:pPr>
      <w:r w:rsidRPr="003D0253">
        <w:rPr>
          <w:rFonts w:ascii="Palatino Linotype" w:eastAsia="Palatino Linotype" w:hAnsi="Palatino Linotype" w:cs="Palatino Linotype"/>
          <w:b/>
          <w:bCs/>
        </w:rPr>
        <w:t>Acta de entrega a la instancia encargada de su operación</w:t>
      </w:r>
    </w:p>
    <w:p w:rsidR="00367C66" w:rsidRPr="003D0253" w:rsidRDefault="00367C66">
      <w:pPr>
        <w:spacing w:line="360" w:lineRule="auto"/>
        <w:ind w:right="-28"/>
        <w:jc w:val="both"/>
        <w:rPr>
          <w:rFonts w:ascii="Palatino Linotype" w:eastAsia="Palatino Linotype" w:hAnsi="Palatino Linotype" w:cs="Palatino Linotype"/>
        </w:rPr>
      </w:pPr>
    </w:p>
    <w:p w:rsidR="00367C66" w:rsidRPr="003D0253" w:rsidRDefault="00D821B4">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Asimismo, el Acuerdo, establece la documentación que debe de contener el Expediente Único de Obra en la modalidad de Invitación Restringida, adjudicación directa y licitación pública, el cual debe contener, entre otras cosas, las Estimaciones, incluyendo la respectiva del Finiquito.</w:t>
      </w:r>
    </w:p>
    <w:p w:rsidR="00367C66" w:rsidRPr="003D0253" w:rsidRDefault="00367C6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Situación que guarda relevancia, pues conforme el artículo 219 del Reglamento del Libro Décimo Segundo del Código Administrativo del Estado de México, que la supervisión de la obra deberá integrar y mantener en orden y actualizado el archivo y documentación derivada de la realización de los trabajos, el cual contendrá las estimaciones; mismas que deberá revisar y firmar.</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De acuerdo a lo anterior, el Director de Obras Públicas, realiza la programación y ejecución de las obras públicas y servicios relacionados, que por orden expresa del Ayuntamiento, planeando y coordinando los proyectos de obras públicas y servicios relacionados con las mismas que autorice el Ayuntamiento, una vez que se cumplan los requisitos de licitación, vigilando que se cumplan y lleven a cabo los programas de construcción y mantenimiento de obras públicas y servicios relacionados. Administrando y ejerciendo en el ámbito de su competencia, de manera coordinada con el Tesorero municipal, los recursos públicos destinados a la planeación, programación, presupuestación, adjudicación, contratación, ejecución y control de la obra pública en congruencia con los </w:t>
      </w:r>
      <w:r w:rsidRPr="003D0253">
        <w:rPr>
          <w:rFonts w:ascii="Palatino Linotype" w:eastAsia="Palatino Linotype" w:hAnsi="Palatino Linotype" w:cs="Palatino Linotype"/>
          <w:color w:val="000000"/>
        </w:rPr>
        <w:lastRenderedPageBreak/>
        <w:t>planes, programas, especificaciones técnicas, controles y procedimientos administrativos aprobados.</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Aunado a lo anterior, la Ley de Contratación Pública del Estado de México y Municipios, la cual tiene por objeto regular los actos relativos a la </w:t>
      </w:r>
      <w:r w:rsidRPr="003D0253">
        <w:rPr>
          <w:rFonts w:ascii="Palatino Linotype" w:eastAsia="Palatino Linotype" w:hAnsi="Palatino Linotype" w:cs="Palatino Linotype"/>
          <w:b/>
          <w:bCs/>
          <w:color w:val="000000"/>
          <w:u w:val="single"/>
        </w:rPr>
        <w:t>planeación, programación, presupuestación</w:t>
      </w:r>
      <w:r w:rsidRPr="003D0253">
        <w:rPr>
          <w:rFonts w:ascii="Palatino Linotype" w:eastAsia="Palatino Linotype" w:hAnsi="Palatino Linotype" w:cs="Palatino Linotype"/>
          <w:color w:val="000000"/>
        </w:rPr>
        <w:t xml:space="preserve">, ejecución y control de la </w:t>
      </w:r>
      <w:r w:rsidRPr="003D0253">
        <w:rPr>
          <w:rFonts w:ascii="Palatino Linotype" w:eastAsia="Palatino Linotype" w:hAnsi="Palatino Linotype" w:cs="Palatino Linotype"/>
          <w:b/>
          <w:bCs/>
          <w:color w:val="000000"/>
          <w:u w:val="single"/>
        </w:rPr>
        <w:t>adquisición</w:t>
      </w:r>
      <w:r w:rsidRPr="003D0253">
        <w:rPr>
          <w:rFonts w:ascii="Palatino Linotype" w:eastAsia="Palatino Linotype" w:hAnsi="Palatino Linotype" w:cs="Palatino Linotype"/>
          <w:color w:val="000000"/>
        </w:rPr>
        <w:t xml:space="preserve">, enajenación y arrendamiento </w:t>
      </w:r>
      <w:r w:rsidRPr="003D0253">
        <w:rPr>
          <w:rFonts w:ascii="Palatino Linotype" w:eastAsia="Palatino Linotype" w:hAnsi="Palatino Linotype" w:cs="Palatino Linotype"/>
          <w:b/>
          <w:bCs/>
          <w:color w:val="000000"/>
          <w:u w:val="single"/>
        </w:rPr>
        <w:t>de bienes</w:t>
      </w:r>
      <w:r w:rsidRPr="003D0253">
        <w:rPr>
          <w:rFonts w:ascii="Palatino Linotype" w:eastAsia="Palatino Linotype" w:hAnsi="Palatino Linotype" w:cs="Palatino Linotype"/>
          <w:color w:val="000000"/>
        </w:rPr>
        <w:t xml:space="preserve">, y la </w:t>
      </w:r>
      <w:r w:rsidRPr="003D0253">
        <w:rPr>
          <w:rFonts w:ascii="Palatino Linotype" w:eastAsia="Palatino Linotype" w:hAnsi="Palatino Linotype" w:cs="Palatino Linotype"/>
          <w:b/>
          <w:bCs/>
          <w:color w:val="000000"/>
          <w:u w:val="single"/>
        </w:rPr>
        <w:t>contratación de servicios de cualquier naturaleza, que realicen los Ayuntamientos del Estado</w:t>
      </w:r>
      <w:r w:rsidRPr="003D0253">
        <w:rPr>
          <w:rFonts w:ascii="Palatino Linotype" w:eastAsia="Palatino Linotype" w:hAnsi="Palatino Linotype" w:cs="Palatino Linotype"/>
          <w:color w:val="000000"/>
        </w:rPr>
        <w:t xml:space="preserve">; entre ellos 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los cuales se adjudicarán a través de licitación pública, invitación restringida o adjudicación directa, tal y como lo establecen los artículos 4, 26 y 27 de dicha Ley, los cuales son del tenor siguiente:</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“Artículo 4.-</w:t>
      </w:r>
      <w:r w:rsidRPr="003D0253">
        <w:rPr>
          <w:rFonts w:ascii="Palatino Linotype" w:eastAsia="Palatino Linotype" w:hAnsi="Palatino Linotype" w:cs="Palatino Linotype"/>
          <w:i/>
          <w:iCs/>
        </w:rPr>
        <w:t xml:space="preserve"> Para los efectos de esta Ley, </w:t>
      </w:r>
      <w:r w:rsidRPr="003D0253">
        <w:rPr>
          <w:rFonts w:ascii="Palatino Linotype" w:eastAsia="Palatino Linotype" w:hAnsi="Palatino Linotype" w:cs="Palatino Linotype"/>
          <w:b/>
          <w:bCs/>
          <w:i/>
          <w:iCs/>
        </w:rPr>
        <w:t>en las adquisiciones, enajenaciones, arrendamientos y servicios, quedan comprendidos</w:t>
      </w:r>
      <w:r w:rsidRPr="003D0253">
        <w:rPr>
          <w:rFonts w:ascii="Palatino Linotype" w:eastAsia="Palatino Linotype" w:hAnsi="Palatino Linotype" w:cs="Palatino Linotype"/>
          <w:i/>
          <w:iCs/>
        </w:rPr>
        <w:t>:</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w:t>
      </w:r>
      <w:r w:rsidRPr="003D0253">
        <w:rPr>
          <w:rFonts w:ascii="Palatino Linotype" w:eastAsia="Palatino Linotype" w:hAnsi="Palatino Linotype" w:cs="Palatino Linotype"/>
          <w:i/>
          <w:iCs/>
        </w:rPr>
        <w:t xml:space="preserve"> La adquisición de bienes muebles.</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II</w:t>
      </w:r>
      <w:r w:rsidRPr="003D0253">
        <w:rPr>
          <w:rFonts w:ascii="Palatino Linotype" w:eastAsia="Palatino Linotype" w:hAnsi="Palatino Linotype" w:cs="Palatino Linotype"/>
          <w:i/>
          <w:iCs/>
        </w:rPr>
        <w:t>. La adquisición de bienes inmuebles, a través de compraventa.</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III.</w:t>
      </w:r>
      <w:r w:rsidRPr="003D0253">
        <w:rPr>
          <w:rFonts w:ascii="Palatino Linotype" w:eastAsia="Palatino Linotype" w:hAnsi="Palatino Linotype" w:cs="Palatino Linotype"/>
          <w:i/>
          <w:iCs/>
        </w:rPr>
        <w:t xml:space="preserve"> La enajenación de bienes muebles e inmuebles.</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IV.</w:t>
      </w:r>
      <w:r w:rsidRPr="003D0253">
        <w:rPr>
          <w:rFonts w:ascii="Palatino Linotype" w:eastAsia="Palatino Linotype" w:hAnsi="Palatino Linotype" w:cs="Palatino Linotype"/>
          <w:i/>
          <w:iCs/>
        </w:rPr>
        <w:t xml:space="preserve"> El arrendamiento de bienes muebles e inmuebles. </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V</w:t>
      </w:r>
      <w:r w:rsidRPr="003D0253">
        <w:rPr>
          <w:rFonts w:ascii="Palatino Linotype" w:eastAsia="Palatino Linotype" w:hAnsi="Palatino Linotype" w:cs="Palatino Linotype"/>
          <w:i/>
          <w:iCs/>
        </w:rPr>
        <w:t>. La contratación de los servicios, relacionados con bienes muebles que se encuentran incorporados o adheridos a bienes inmuebles, cuya instalación o mantenimiento no implique modificación al bien inmueble.</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VI.</w:t>
      </w:r>
      <w:r w:rsidRPr="003D0253">
        <w:rPr>
          <w:rFonts w:ascii="Palatino Linotype" w:eastAsia="Palatino Linotype" w:hAnsi="Palatino Linotype" w:cs="Palatino Linotype"/>
          <w:i/>
          <w:iCs/>
        </w:rPr>
        <w:t xml:space="preserve"> La contratación de los servicios de reconstrucción y mantenimiento de bienes muebles. </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VII.</w:t>
      </w:r>
      <w:r w:rsidRPr="003D0253">
        <w:rPr>
          <w:rFonts w:ascii="Palatino Linotype" w:eastAsia="Palatino Linotype" w:hAnsi="Palatino Linotype" w:cs="Palatino Linotype"/>
          <w:i/>
          <w:iCs/>
        </w:rPr>
        <w:t xml:space="preserve"> La contratación de los servicios de maquila, seguros y transportación, así como de los de limpieza y vigilancia de bienes inmuebles. </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VIII.</w:t>
      </w:r>
      <w:r w:rsidRPr="003D0253">
        <w:rPr>
          <w:rFonts w:ascii="Palatino Linotype" w:eastAsia="Palatino Linotype" w:hAnsi="Palatino Linotype" w:cs="Palatino Linotype"/>
          <w:i/>
          <w:iCs/>
        </w:rPr>
        <w:t xml:space="preserve"> La prestación de servicios profesionales, la contratación de consultorías, asesorías y estudios e investigaciones, excepto la contratación de servicios personales de personas físicas bajo el régimen de honorarios. </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En general, otros actos que impliquen la contratación de servicios de cualquier naturaleza</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Artículo 26.-</w:t>
      </w:r>
      <w:r w:rsidRPr="003D0253">
        <w:rPr>
          <w:rFonts w:ascii="Palatino Linotype" w:eastAsia="Palatino Linotype" w:hAnsi="Palatino Linotype" w:cs="Palatino Linotype"/>
          <w:i/>
          <w:iCs/>
        </w:rPr>
        <w:t xml:space="preserve"> </w:t>
      </w:r>
      <w:r w:rsidRPr="003D0253">
        <w:rPr>
          <w:rFonts w:ascii="Palatino Linotype" w:eastAsia="Palatino Linotype" w:hAnsi="Palatino Linotype" w:cs="Palatino Linotype"/>
          <w:b/>
          <w:bCs/>
          <w:i/>
          <w:iCs/>
        </w:rPr>
        <w:t>Las adquisiciones, arrendamientos y servicios se adjudicarán a través de licitaciones públicas</w:t>
      </w:r>
      <w:r w:rsidRPr="003D0253">
        <w:rPr>
          <w:rFonts w:ascii="Palatino Linotype" w:eastAsia="Palatino Linotype" w:hAnsi="Palatino Linotype" w:cs="Palatino Linotype"/>
          <w:i/>
          <w:iCs/>
        </w:rPr>
        <w:t xml:space="preserve">, mediante convocatoria pública. </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lastRenderedPageBreak/>
        <w:t>Artículo 27.</w:t>
      </w:r>
      <w:r w:rsidRPr="003D0253">
        <w:rPr>
          <w:rFonts w:ascii="Palatino Linotype" w:eastAsia="Palatino Linotype" w:hAnsi="Palatino Linotype" w:cs="Palatino Linotype"/>
          <w:i/>
          <w:iCs/>
        </w:rPr>
        <w:t xml:space="preserve">- La Secretaría, las entidades, los tribunales administrativos y los ayuntamientos podrán </w:t>
      </w:r>
      <w:r w:rsidRPr="003D0253">
        <w:rPr>
          <w:rFonts w:ascii="Palatino Linotype" w:eastAsia="Palatino Linotype" w:hAnsi="Palatino Linotype" w:cs="Palatino Linotype"/>
          <w:b/>
          <w:bCs/>
          <w:i/>
          <w:iCs/>
        </w:rPr>
        <w:t>adjudicar adquisiciones, arrendamientos y servicios, mediante las excepciones al procedimiento de licitación</w:t>
      </w:r>
      <w:r w:rsidRPr="003D0253">
        <w:rPr>
          <w:rFonts w:ascii="Palatino Linotype" w:eastAsia="Palatino Linotype" w:hAnsi="Palatino Linotype" w:cs="Palatino Linotype"/>
          <w:i/>
          <w:iCs/>
        </w:rPr>
        <w:t xml:space="preserve"> que a continuación se señalan:</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w:t>
      </w:r>
      <w:r w:rsidRPr="003D0253">
        <w:rPr>
          <w:rFonts w:ascii="Palatino Linotype" w:eastAsia="Palatino Linotype" w:hAnsi="Palatino Linotype" w:cs="Palatino Linotype"/>
          <w:i/>
          <w:iCs/>
        </w:rPr>
        <w:t>. Invitación restringida.</w:t>
      </w:r>
    </w:p>
    <w:p w:rsidR="00367C66" w:rsidRPr="003D0253" w:rsidRDefault="00D821B4">
      <w:pPr>
        <w:spacing w:line="276" w:lineRule="auto"/>
        <w:ind w:left="567" w:right="567"/>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II.</w:t>
      </w:r>
      <w:r w:rsidRPr="003D0253">
        <w:rPr>
          <w:rFonts w:ascii="Palatino Linotype" w:eastAsia="Palatino Linotype" w:hAnsi="Palatino Linotype" w:cs="Palatino Linotype"/>
          <w:i/>
          <w:iCs/>
        </w:rPr>
        <w:t xml:space="preserve"> Adjudicación directa.”</w:t>
      </w:r>
    </w:p>
    <w:p w:rsidR="00367C66" w:rsidRPr="003D0253" w:rsidRDefault="00367C66">
      <w:pPr>
        <w:spacing w:line="276" w:lineRule="auto"/>
        <w:ind w:left="1134" w:right="902"/>
        <w:jc w:val="both"/>
        <w:rPr>
          <w:rFonts w:ascii="Palatino Linotype" w:eastAsia="Palatino Linotype" w:hAnsi="Palatino Linotype" w:cs="Palatino Linotype"/>
          <w:i/>
          <w:iCs/>
        </w:rPr>
      </w:pP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Con base en los preceptos citados se advierte que, por regla general, las adquisiciones, que celebren los entes públicos, deben adjudicarse por regla general mediante licitación pública, sin embargo, también se contemplan como excepciones a dicho proceso, la invitación restringida y la adjudicación directa, procedimientos que son materia de la solicitud presentada por el particular.</w:t>
      </w:r>
    </w:p>
    <w:p w:rsidR="00367C66" w:rsidRPr="003D0253" w:rsidRDefault="00367C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Ahora bien, a través del cumplimiento a la obligación de transparencia señalada en la fracción XIX del artículo 92 de la Ley de la Materia, los sujetos obligados deben poner a disposición del público de manera constante y actualizada, de forma sencilla, precisa y entendible, en los respectivos medios electrónicos, información relativa a los procesos y resultados sobre procedimientos de adjudicación directa, invitación restringida, y licitación de cualquier naturaleza, incluyendo la versión pública del expediente respectivo y de los contratos celebrados, a saber:</w:t>
      </w:r>
    </w:p>
    <w:p w:rsidR="00367C66" w:rsidRPr="003D0253" w:rsidRDefault="00D821B4">
      <w:pPr>
        <w:spacing w:line="276" w:lineRule="auto"/>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r w:rsidRPr="003D0253">
        <w:rPr>
          <w:rFonts w:ascii="Palatino Linotype" w:eastAsia="Palatino Linotype" w:hAnsi="Palatino Linotype" w:cs="Palatino Linotype"/>
          <w:b/>
          <w:bCs/>
          <w:i/>
          <w:iCs/>
        </w:rPr>
        <w:t>Artículo 92</w:t>
      </w:r>
      <w:r w:rsidRPr="003D0253">
        <w:rPr>
          <w:rFonts w:ascii="Palatino Linotype" w:eastAsia="Palatino Linotype" w:hAnsi="Palatino Linotype" w:cs="Palatino Linotype"/>
          <w:i/>
          <w:iC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367C66" w:rsidRPr="003D0253" w:rsidRDefault="00D821B4">
      <w:pPr>
        <w:tabs>
          <w:tab w:val="left" w:pos="426"/>
        </w:tabs>
        <w:spacing w:line="276" w:lineRule="auto"/>
        <w:ind w:left="1134"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tabs>
          <w:tab w:val="left" w:pos="426"/>
        </w:tabs>
        <w:spacing w:line="276" w:lineRule="auto"/>
        <w:ind w:left="1134"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lastRenderedPageBreak/>
        <w:t>XXIX.</w:t>
      </w:r>
      <w:r w:rsidRPr="003D0253">
        <w:rPr>
          <w:rFonts w:ascii="Palatino Linotype" w:eastAsia="Palatino Linotype" w:hAnsi="Palatino Linotype" w:cs="Palatino Linotype"/>
          <w:i/>
          <w:iCs/>
        </w:rPr>
        <w:t xml:space="preserve"> La </w:t>
      </w:r>
      <w:r w:rsidRPr="003D0253">
        <w:rPr>
          <w:rFonts w:ascii="Palatino Linotype" w:eastAsia="Palatino Linotype" w:hAnsi="Palatino Linotype" w:cs="Palatino Linotype"/>
          <w:b/>
          <w:bCs/>
          <w:i/>
          <w:iCs/>
        </w:rPr>
        <w:t xml:space="preserve">información sobre los procesos y resultados </w:t>
      </w:r>
      <w:r w:rsidRPr="003D0253">
        <w:rPr>
          <w:rFonts w:ascii="Palatino Linotype" w:eastAsia="Palatino Linotype" w:hAnsi="Palatino Linotype" w:cs="Palatino Linotype"/>
          <w:b/>
          <w:bCs/>
          <w:i/>
          <w:iCs/>
          <w:u w:val="single"/>
        </w:rPr>
        <w:t>sobre procedimientos de adjudicación directa, invitación restringida y licitación de cualquier naturaleza</w:t>
      </w:r>
      <w:r w:rsidRPr="003D0253">
        <w:rPr>
          <w:rFonts w:ascii="Palatino Linotype" w:eastAsia="Palatino Linotype" w:hAnsi="Palatino Linotype" w:cs="Palatino Linotype"/>
          <w:i/>
          <w:iCs/>
          <w:u w:val="single"/>
        </w:rPr>
        <w:t xml:space="preserve">, </w:t>
      </w:r>
      <w:r w:rsidRPr="003D0253">
        <w:rPr>
          <w:rFonts w:ascii="Palatino Linotype" w:eastAsia="Palatino Linotype" w:hAnsi="Palatino Linotype" w:cs="Palatino Linotype"/>
          <w:b/>
          <w:bCs/>
          <w:i/>
          <w:iCs/>
        </w:rPr>
        <w:t>incluyendo la versión pública</w:t>
      </w:r>
      <w:r w:rsidRPr="003D0253">
        <w:rPr>
          <w:rFonts w:ascii="Palatino Linotype" w:eastAsia="Palatino Linotype" w:hAnsi="Palatino Linotype" w:cs="Palatino Linotype"/>
          <w:i/>
          <w:iCs/>
        </w:rPr>
        <w:t xml:space="preserve"> del expediente respectivo y </w:t>
      </w:r>
      <w:r w:rsidRPr="003D0253">
        <w:rPr>
          <w:rFonts w:ascii="Palatino Linotype" w:eastAsia="Palatino Linotype" w:hAnsi="Palatino Linotype" w:cs="Palatino Linotype"/>
          <w:b/>
          <w:bCs/>
          <w:i/>
          <w:iCs/>
        </w:rPr>
        <w:t>de los contratos celebrados</w:t>
      </w:r>
      <w:r w:rsidRPr="003D0253">
        <w:rPr>
          <w:rFonts w:ascii="Palatino Linotype" w:eastAsia="Palatino Linotype" w:hAnsi="Palatino Linotype" w:cs="Palatino Linotype"/>
          <w:i/>
          <w:iCs/>
        </w:rPr>
        <w:t>, que deberán contener, por los menos, lo siguiente:</w:t>
      </w:r>
    </w:p>
    <w:p w:rsidR="00367C66" w:rsidRPr="003D0253" w:rsidRDefault="00D821B4">
      <w:pPr>
        <w:tabs>
          <w:tab w:val="left" w:pos="426"/>
        </w:tabs>
        <w:spacing w:line="276" w:lineRule="auto"/>
        <w:ind w:left="1418" w:right="902"/>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a) De licitaciones públicas o procedimientos de invitación restringida:</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1)</w:t>
      </w:r>
      <w:r w:rsidRPr="003D0253">
        <w:rPr>
          <w:rFonts w:ascii="Palatino Linotype" w:eastAsia="Palatino Linotype" w:hAnsi="Palatino Linotype" w:cs="Palatino Linotype"/>
          <w:i/>
          <w:iCs/>
        </w:rPr>
        <w:t xml:space="preserve"> La convocatoria o invitación emitida, así como los fundamentos legales aplicados para llevarla a cabo;</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2)</w:t>
      </w:r>
      <w:r w:rsidRPr="003D0253">
        <w:rPr>
          <w:rFonts w:ascii="Palatino Linotype" w:eastAsia="Palatino Linotype" w:hAnsi="Palatino Linotype" w:cs="Palatino Linotype"/>
          <w:i/>
          <w:iCs/>
        </w:rPr>
        <w:t xml:space="preserve"> Los nombres de los participantes o invitados;</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3)</w:t>
      </w:r>
      <w:r w:rsidRPr="003D0253">
        <w:rPr>
          <w:rFonts w:ascii="Palatino Linotype" w:eastAsia="Palatino Linotype" w:hAnsi="Palatino Linotype" w:cs="Palatino Linotype"/>
          <w:i/>
          <w:iCs/>
        </w:rPr>
        <w:t xml:space="preserve"> El nombre del ganador y las razones que lo justifican;</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4)</w:t>
      </w:r>
      <w:r w:rsidRPr="003D0253">
        <w:rPr>
          <w:rFonts w:ascii="Palatino Linotype" w:eastAsia="Palatino Linotype" w:hAnsi="Palatino Linotype" w:cs="Palatino Linotype"/>
          <w:i/>
          <w:iCs/>
        </w:rPr>
        <w:t xml:space="preserve"> El área solicitante y la responsable de su ejecución;</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5)</w:t>
      </w:r>
      <w:r w:rsidRPr="003D0253">
        <w:rPr>
          <w:rFonts w:ascii="Palatino Linotype" w:eastAsia="Palatino Linotype" w:hAnsi="Palatino Linotype" w:cs="Palatino Linotype"/>
          <w:i/>
          <w:iCs/>
        </w:rPr>
        <w:t xml:space="preserve"> Las convocatorias e invitaciones emitidas;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6) Los dictámenes y fallo de adjudicación;</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 xml:space="preserve">7) El contrato y, en su caso, sus anexos;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8)</w:t>
      </w:r>
      <w:r w:rsidRPr="003D0253">
        <w:rPr>
          <w:rFonts w:ascii="Palatino Linotype" w:eastAsia="Palatino Linotype" w:hAnsi="Palatino Linotype" w:cs="Palatino Linotype"/>
          <w:i/>
          <w:iCs/>
        </w:rPr>
        <w:t xml:space="preserve"> Los mecanismos de vigilancia y supervisión, incluyendo en su caso, los estudios de impacto urbano y ambiental, según corresponda;</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9)</w:t>
      </w:r>
      <w:r w:rsidRPr="003D0253">
        <w:rPr>
          <w:rFonts w:ascii="Palatino Linotype" w:eastAsia="Palatino Linotype" w:hAnsi="Palatino Linotype" w:cs="Palatino Linotype"/>
          <w:i/>
          <w:iCs/>
        </w:rPr>
        <w:t xml:space="preserve"> La partida presupuestal, de conformidad con el clasificador por objeto del gasto, en el caso de ser aplicable;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10)</w:t>
      </w:r>
      <w:r w:rsidRPr="003D0253">
        <w:rPr>
          <w:rFonts w:ascii="Palatino Linotype" w:eastAsia="Palatino Linotype" w:hAnsi="Palatino Linotype" w:cs="Palatino Linotype"/>
          <w:i/>
          <w:iCs/>
        </w:rPr>
        <w:t xml:space="preserve"> Origen de los recursos especificando si son federales, estatales o municipales, así como el tipo de fondo de participación o aportación respectiva;</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11)</w:t>
      </w:r>
      <w:r w:rsidRPr="003D0253">
        <w:rPr>
          <w:rFonts w:ascii="Palatino Linotype" w:eastAsia="Palatino Linotype" w:hAnsi="Palatino Linotype" w:cs="Palatino Linotype"/>
          <w:i/>
          <w:iCs/>
        </w:rPr>
        <w:t xml:space="preserve"> Los convenios modificatorios que, en su caso, sean firmados, precisando el objeto y la fecha de celebración;</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12)</w:t>
      </w:r>
      <w:r w:rsidRPr="003D0253">
        <w:rPr>
          <w:rFonts w:ascii="Palatino Linotype" w:eastAsia="Palatino Linotype" w:hAnsi="Palatino Linotype" w:cs="Palatino Linotype"/>
          <w:i/>
          <w:iCs/>
        </w:rPr>
        <w:t xml:space="preserve"> Los informes de avance físico y financiero sobre las obras o servicios contratados;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 xml:space="preserve">13) El convenio de terminación;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14) El finiquito.</w:t>
      </w:r>
    </w:p>
    <w:p w:rsidR="00367C66" w:rsidRPr="003D0253" w:rsidRDefault="00D821B4">
      <w:pPr>
        <w:tabs>
          <w:tab w:val="left" w:pos="426"/>
        </w:tabs>
        <w:spacing w:line="276" w:lineRule="auto"/>
        <w:ind w:left="1418" w:right="902"/>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 xml:space="preserve">b) De las adjudicaciones directas: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1)</w:t>
      </w:r>
      <w:r w:rsidRPr="003D0253">
        <w:rPr>
          <w:rFonts w:ascii="Palatino Linotype" w:eastAsia="Palatino Linotype" w:hAnsi="Palatino Linotype" w:cs="Palatino Linotype"/>
          <w:i/>
          <w:iCs/>
        </w:rPr>
        <w:t xml:space="preserve"> La propuesta enviada por el participante;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2)</w:t>
      </w:r>
      <w:r w:rsidRPr="003D0253">
        <w:rPr>
          <w:rFonts w:ascii="Palatino Linotype" w:eastAsia="Palatino Linotype" w:hAnsi="Palatino Linotype" w:cs="Palatino Linotype"/>
          <w:i/>
          <w:iCs/>
        </w:rPr>
        <w:t xml:space="preserve"> Los motivos y fundamentos legales aplicados para llevarla a cabo;</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3)</w:t>
      </w:r>
      <w:r w:rsidRPr="003D0253">
        <w:rPr>
          <w:rFonts w:ascii="Palatino Linotype" w:eastAsia="Palatino Linotype" w:hAnsi="Palatino Linotype" w:cs="Palatino Linotype"/>
          <w:i/>
          <w:iCs/>
        </w:rPr>
        <w:t xml:space="preserve"> La autorización del ejercicio de la opción;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lastRenderedPageBreak/>
        <w:t xml:space="preserve">4) </w:t>
      </w:r>
      <w:r w:rsidRPr="003D0253">
        <w:rPr>
          <w:rFonts w:ascii="Palatino Linotype" w:eastAsia="Palatino Linotype" w:hAnsi="Palatino Linotype" w:cs="Palatino Linotype"/>
          <w:i/>
          <w:iCs/>
        </w:rPr>
        <w:t>En su caso, las cotizaciones consideradas, especificando los nombres de los proveedores y sus montos;</w:t>
      </w:r>
      <w:r w:rsidRPr="003D0253">
        <w:rPr>
          <w:rFonts w:ascii="Palatino Linotype" w:eastAsia="Palatino Linotype" w:hAnsi="Palatino Linotype" w:cs="Palatino Linotype"/>
          <w:b/>
          <w:bCs/>
          <w:i/>
          <w:iCs/>
        </w:rPr>
        <w:t xml:space="preserve">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5)</w:t>
      </w:r>
      <w:r w:rsidRPr="003D0253">
        <w:rPr>
          <w:rFonts w:ascii="Palatino Linotype" w:eastAsia="Palatino Linotype" w:hAnsi="Palatino Linotype" w:cs="Palatino Linotype"/>
          <w:i/>
          <w:iCs/>
        </w:rPr>
        <w:t xml:space="preserve"> El nombre de la persona física o jurídica colectiva adjudicada;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6)</w:t>
      </w:r>
      <w:r w:rsidRPr="003D0253">
        <w:rPr>
          <w:rFonts w:ascii="Palatino Linotype" w:eastAsia="Palatino Linotype" w:hAnsi="Palatino Linotype" w:cs="Palatino Linotype"/>
          <w:i/>
          <w:iCs/>
        </w:rPr>
        <w:t xml:space="preserve"> La unidad administrativa solicitante y la responsable de su ejecución;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7</w:t>
      </w:r>
      <w:r w:rsidRPr="003D0253">
        <w:rPr>
          <w:rFonts w:ascii="Palatino Linotype" w:eastAsia="Palatino Linotype" w:hAnsi="Palatino Linotype" w:cs="Palatino Linotype"/>
          <w:i/>
          <w:iCs/>
        </w:rPr>
        <w:t xml:space="preserve">) El número, fecha, el monto del contrato y el plazo de entrega o de ejecución de los servicios u obra;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8)</w:t>
      </w:r>
      <w:r w:rsidRPr="003D0253">
        <w:rPr>
          <w:rFonts w:ascii="Palatino Linotype" w:eastAsia="Palatino Linotype" w:hAnsi="Palatino Linotype" w:cs="Palatino Linotype"/>
          <w:i/>
          <w:iCs/>
        </w:rPr>
        <w:t xml:space="preserve"> Los mecanismos de vigilancia y supervisión, incluyendo, en su caso, los estudios de impacto urbano y ambiental, según corresponda;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9)</w:t>
      </w:r>
      <w:r w:rsidRPr="003D0253">
        <w:rPr>
          <w:rFonts w:ascii="Palatino Linotype" w:eastAsia="Palatino Linotype" w:hAnsi="Palatino Linotype" w:cs="Palatino Linotype"/>
          <w:i/>
          <w:iCs/>
        </w:rPr>
        <w:t xml:space="preserve"> Los informes de avance sobre las obras o servicios contratados;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 xml:space="preserve">10) El convenio de terminación; y </w:t>
      </w:r>
    </w:p>
    <w:p w:rsidR="00367C66" w:rsidRPr="003D0253" w:rsidRDefault="00D821B4">
      <w:pPr>
        <w:tabs>
          <w:tab w:val="left" w:pos="426"/>
        </w:tabs>
        <w:spacing w:line="276" w:lineRule="auto"/>
        <w:ind w:left="170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11) El finiquito;”</w:t>
      </w:r>
    </w:p>
    <w:p w:rsidR="00367C66" w:rsidRPr="003D0253" w:rsidRDefault="00367C66">
      <w:pPr>
        <w:tabs>
          <w:tab w:val="left" w:pos="426"/>
        </w:tabs>
        <w:spacing w:after="120" w:line="360" w:lineRule="auto"/>
        <w:ind w:left="1701" w:right="902"/>
        <w:jc w:val="both"/>
        <w:rPr>
          <w:rFonts w:ascii="Palatino Linotype" w:eastAsia="Palatino Linotype" w:hAnsi="Palatino Linotype" w:cs="Palatino Linotype"/>
        </w:rPr>
      </w:pPr>
    </w:p>
    <w:p w:rsidR="00367C66" w:rsidRPr="003D0253" w:rsidRDefault="00D821B4">
      <w:pPr>
        <w:numPr>
          <w:ilvl w:val="0"/>
          <w:numId w:val="1"/>
        </w:numPr>
        <w:pBdr>
          <w:top w:val="nil"/>
          <w:left w:val="nil"/>
          <w:bottom w:val="nil"/>
          <w:right w:val="nil"/>
          <w:between w:val="nil"/>
        </w:pBdr>
        <w:spacing w:before="120" w:line="360" w:lineRule="auto"/>
        <w:ind w:left="0" w:right="51"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Por ende, de acuerdo a los </w:t>
      </w:r>
      <w:r w:rsidRPr="003D0253">
        <w:rPr>
          <w:rFonts w:ascii="Palatino Linotype" w:eastAsia="Palatino Linotype" w:hAnsi="Palatino Linotype" w:cs="Palatino Linotype"/>
          <w:i/>
          <w:iCs/>
          <w:color w:val="000000"/>
        </w:rPr>
        <w:t>Lineamientos Técnicos Generales para la publicación, homologación y estandarización de la información de las obligaciones establecidas en el título quinto y en la fracción IV del artículo 31 de la Ley General de Transparencia y Acceso a la Información Pública</w:t>
      </w:r>
      <w:r w:rsidRPr="003D0253">
        <w:rPr>
          <w:rFonts w:ascii="Palatino Linotype" w:eastAsia="Palatino Linotype" w:hAnsi="Palatino Linotype" w:cs="Palatino Linotype"/>
          <w:color w:val="000000"/>
        </w:rPr>
        <w:t xml:space="preserve">, que deben de difundir los sujetos obligados en los portales de Internet y en la Plataforma Nacional de Transparencia, para el cumplimiento de la obligación de transparencia señalada en el artículo 70  fracción XXVIII de la </w:t>
      </w:r>
      <w:r w:rsidRPr="003D0253">
        <w:rPr>
          <w:rFonts w:ascii="Palatino Linotype" w:eastAsia="Palatino Linotype" w:hAnsi="Palatino Linotype" w:cs="Palatino Linotype"/>
          <w:i/>
          <w:iCs/>
          <w:color w:val="000000"/>
        </w:rPr>
        <w:t>Ley General de Transparencia y Acceso a la Información Pública</w:t>
      </w:r>
      <w:r w:rsidRPr="003D0253">
        <w:rPr>
          <w:rFonts w:ascii="Palatino Linotype" w:eastAsia="Palatino Linotype" w:hAnsi="Palatino Linotype" w:cs="Palatino Linotype"/>
          <w:color w:val="000000"/>
        </w:rPr>
        <w:t xml:space="preserve">, los sujetos obligados deben publicar información sobre los actos, contratos y convenios celebrados, misma que </w:t>
      </w:r>
      <w:r w:rsidRPr="003D0253">
        <w:rPr>
          <w:rFonts w:ascii="Palatino Linotype" w:eastAsia="Palatino Linotype" w:hAnsi="Palatino Linotype" w:cs="Palatino Linotype"/>
          <w:b/>
          <w:bCs/>
          <w:color w:val="000000"/>
        </w:rPr>
        <w:t xml:space="preserve">debe presentarse en una base de datos en la que cada registro se hará por tipo de procedimiento, ya sea licitación pública, invitación restringida </w:t>
      </w:r>
      <w:r w:rsidRPr="003D0253">
        <w:rPr>
          <w:rFonts w:ascii="Palatino Linotype" w:eastAsia="Palatino Linotype" w:hAnsi="Palatino Linotype" w:cs="Palatino Linotype"/>
          <w:color w:val="000000"/>
        </w:rPr>
        <w:t xml:space="preserve">o adjudicación directa, especificando para cada tipo de procedimiento la materia, pudiendo ser obra pública, servicios relacionados con obra pública, , así como el carácter de cada uno, es decir, nacional o internacional, además se debe elaborar versión pública los documentos fuente que deban ser publicados en este apartado, tales como contratos, facturas, registros contables, pólizas, finiquitos, los dictámenes y fallo de </w:t>
      </w:r>
      <w:r w:rsidRPr="003D0253">
        <w:rPr>
          <w:rFonts w:ascii="Palatino Linotype" w:eastAsia="Palatino Linotype" w:hAnsi="Palatino Linotype" w:cs="Palatino Linotype"/>
          <w:color w:val="000000"/>
        </w:rPr>
        <w:lastRenderedPageBreak/>
        <w:t>adjudicación,  la autorización del ejercicio de la opción entre otros, incluyendo sus anexos correspondientes, información que debe ser actualizada de manera trimestral, y conservarse la generada en el ejercicio en curso y la correspondiente a dos ejercicios anteriores</w:t>
      </w:r>
    </w:p>
    <w:p w:rsidR="00367C66" w:rsidRPr="003D0253" w:rsidRDefault="00367C66">
      <w:pPr>
        <w:spacing w:line="360" w:lineRule="auto"/>
        <w:ind w:right="51"/>
        <w:jc w:val="both"/>
        <w:rPr>
          <w:rFonts w:ascii="Palatino Linotype" w:eastAsia="Palatino Linotype" w:hAnsi="Palatino Linotype" w:cs="Palatino Linotype"/>
        </w:rPr>
      </w:pPr>
    </w:p>
    <w:p w:rsidR="00367C66" w:rsidRPr="003D0253" w:rsidRDefault="00D821B4">
      <w:pPr>
        <w:numPr>
          <w:ilvl w:val="0"/>
          <w:numId w:val="1"/>
        </w:numPr>
        <w:pBdr>
          <w:top w:val="nil"/>
          <w:left w:val="nil"/>
          <w:bottom w:val="nil"/>
          <w:right w:val="nil"/>
          <w:between w:val="nil"/>
        </w:pBdr>
        <w:spacing w:line="360" w:lineRule="auto"/>
        <w:ind w:left="0" w:right="51"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Aunado a lo anterior, se establece el índice de Expediente Único de Obra Pública e Instructivos de Llenado en las modalidades de Adjudicación Directa, Invitación Restringida y Licitación Pública, el cual refiere que dichos expedientes se conforman de la siguiente manera:</w:t>
      </w:r>
    </w:p>
    <w:p w:rsidR="00367C66" w:rsidRPr="003D0253" w:rsidRDefault="00367C66">
      <w:pPr>
        <w:spacing w:after="240" w:line="360" w:lineRule="auto"/>
        <w:jc w:val="center"/>
        <w:rPr>
          <w:rFonts w:ascii="Palatino Linotype" w:eastAsia="Palatino Linotype" w:hAnsi="Palatino Linotype" w:cs="Palatino Linotype"/>
        </w:rPr>
      </w:pPr>
    </w:p>
    <w:p w:rsidR="00367C66" w:rsidRPr="003D0253" w:rsidRDefault="00D821B4">
      <w:pPr>
        <w:spacing w:after="240" w:line="360" w:lineRule="auto"/>
        <w:jc w:val="center"/>
        <w:rPr>
          <w:rFonts w:ascii="Palatino Linotype" w:eastAsia="Palatino Linotype" w:hAnsi="Palatino Linotype" w:cs="Palatino Linotype"/>
        </w:rPr>
      </w:pPr>
      <w:r w:rsidRPr="003D0253">
        <w:rPr>
          <w:rFonts w:ascii="Palatino Linotype" w:eastAsia="Palatino Linotype" w:hAnsi="Palatino Linotype" w:cs="Palatino Linotype"/>
          <w:noProof/>
          <w:lang w:val="es-MX"/>
        </w:rPr>
        <w:lastRenderedPageBreak/>
        <w:drawing>
          <wp:inline distT="0" distB="0" distL="0" distR="0">
            <wp:extent cx="3562606" cy="3619761"/>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5076" b="1299"/>
                    <a:stretch>
                      <a:fillRect/>
                    </a:stretch>
                  </pic:blipFill>
                  <pic:spPr>
                    <a:xfrm>
                      <a:off x="0" y="0"/>
                      <a:ext cx="3562606" cy="3619761"/>
                    </a:xfrm>
                    <a:prstGeom prst="rect">
                      <a:avLst/>
                    </a:prstGeom>
                    <a:ln/>
                  </pic:spPr>
                </pic:pic>
              </a:graphicData>
            </a:graphic>
          </wp:inline>
        </w:drawing>
      </w:r>
      <w:r w:rsidRPr="003D0253">
        <w:rPr>
          <w:rFonts w:ascii="Palatino Linotype" w:eastAsia="Palatino Linotype" w:hAnsi="Palatino Linotype" w:cs="Palatino Linotype"/>
          <w:noProof/>
          <w:lang w:val="es-MX"/>
        </w:rPr>
        <w:drawing>
          <wp:inline distT="0" distB="0" distL="0" distR="0">
            <wp:extent cx="3725690" cy="1578704"/>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3725690" cy="1578704"/>
                    </a:xfrm>
                    <a:prstGeom prst="rect">
                      <a:avLst/>
                    </a:prstGeom>
                    <a:ln/>
                  </pic:spPr>
                </pic:pic>
              </a:graphicData>
            </a:graphic>
          </wp:inline>
        </w:drawing>
      </w:r>
    </w:p>
    <w:p w:rsidR="00367C66" w:rsidRPr="003D0253" w:rsidRDefault="00D821B4">
      <w:pPr>
        <w:spacing w:before="240" w:after="240" w:line="360" w:lineRule="auto"/>
        <w:jc w:val="center"/>
        <w:rPr>
          <w:rFonts w:ascii="Palatino Linotype" w:eastAsia="Palatino Linotype" w:hAnsi="Palatino Linotype" w:cs="Palatino Linotype"/>
        </w:rPr>
      </w:pPr>
      <w:r w:rsidRPr="003D0253">
        <w:rPr>
          <w:rFonts w:ascii="Palatino Linotype" w:eastAsia="Palatino Linotype" w:hAnsi="Palatino Linotype" w:cs="Palatino Linotype"/>
          <w:noProof/>
          <w:lang w:val="es-MX"/>
        </w:rPr>
        <w:lastRenderedPageBreak/>
        <w:drawing>
          <wp:inline distT="0" distB="0" distL="0" distR="0">
            <wp:extent cx="4105666" cy="4286658"/>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105666" cy="4286658"/>
                    </a:xfrm>
                    <a:prstGeom prst="rect">
                      <a:avLst/>
                    </a:prstGeom>
                    <a:ln/>
                  </pic:spPr>
                </pic:pic>
              </a:graphicData>
            </a:graphic>
          </wp:inline>
        </w:drawing>
      </w:r>
      <w:r w:rsidRPr="003D0253">
        <w:rPr>
          <w:rFonts w:ascii="Palatino Linotype" w:eastAsia="Palatino Linotype" w:hAnsi="Palatino Linotype" w:cs="Palatino Linotype"/>
          <w:noProof/>
          <w:lang w:val="es-MX"/>
        </w:rPr>
        <w:drawing>
          <wp:inline distT="0" distB="0" distL="0" distR="0">
            <wp:extent cx="4069691" cy="2461011"/>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069691" cy="2461011"/>
                    </a:xfrm>
                    <a:prstGeom prst="rect">
                      <a:avLst/>
                    </a:prstGeom>
                    <a:ln/>
                  </pic:spPr>
                </pic:pic>
              </a:graphicData>
            </a:graphic>
          </wp:inline>
        </w:drawing>
      </w:r>
    </w:p>
    <w:p w:rsidR="00367C66" w:rsidRPr="003D0253" w:rsidRDefault="00D821B4">
      <w:pPr>
        <w:spacing w:before="240" w:after="240" w:line="360" w:lineRule="auto"/>
        <w:jc w:val="center"/>
        <w:rPr>
          <w:rFonts w:ascii="Palatino Linotype" w:eastAsia="Palatino Linotype" w:hAnsi="Palatino Linotype" w:cs="Palatino Linotype"/>
        </w:rPr>
      </w:pPr>
      <w:r w:rsidRPr="003D0253">
        <w:rPr>
          <w:rFonts w:ascii="Palatino Linotype" w:eastAsia="Palatino Linotype" w:hAnsi="Palatino Linotype" w:cs="Palatino Linotype"/>
          <w:noProof/>
          <w:lang w:val="es-MX"/>
        </w:rPr>
        <w:lastRenderedPageBreak/>
        <w:drawing>
          <wp:inline distT="0" distB="0" distL="0" distR="0">
            <wp:extent cx="5401219" cy="3200722"/>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t="4779"/>
                    <a:stretch>
                      <a:fillRect/>
                    </a:stretch>
                  </pic:blipFill>
                  <pic:spPr>
                    <a:xfrm>
                      <a:off x="0" y="0"/>
                      <a:ext cx="5401219" cy="3200722"/>
                    </a:xfrm>
                    <a:prstGeom prst="rect">
                      <a:avLst/>
                    </a:prstGeom>
                    <a:ln/>
                  </pic:spPr>
                </pic:pic>
              </a:graphicData>
            </a:graphic>
          </wp:inline>
        </w:drawing>
      </w:r>
      <w:r w:rsidRPr="003D0253">
        <w:rPr>
          <w:rFonts w:ascii="Palatino Linotype" w:eastAsia="Palatino Linotype" w:hAnsi="Palatino Linotype" w:cs="Palatino Linotype"/>
          <w:noProof/>
          <w:lang w:val="es-MX"/>
        </w:rPr>
        <w:drawing>
          <wp:inline distT="0" distB="0" distL="0" distR="0">
            <wp:extent cx="5376771" cy="390145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376771" cy="3901450"/>
                    </a:xfrm>
                    <a:prstGeom prst="rect">
                      <a:avLst/>
                    </a:prstGeom>
                    <a:ln/>
                  </pic:spPr>
                </pic:pic>
              </a:graphicData>
            </a:graphic>
          </wp:inline>
        </w:drawing>
      </w:r>
    </w:p>
    <w:p w:rsidR="00367C66" w:rsidRPr="003D0253" w:rsidRDefault="00D821B4">
      <w:pPr>
        <w:numPr>
          <w:ilvl w:val="0"/>
          <w:numId w:val="1"/>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lastRenderedPageBreak/>
        <w:t xml:space="preserve">De tal suerte que, con lo citado con antelación, se visualiza que se forman expedientes de las obras públicas ejecutadas que contempla información sobre expedientes técnicos y toda la información relativa de las mismas, sin embargo el </w:t>
      </w:r>
      <w:r w:rsidRPr="003D0253">
        <w:rPr>
          <w:rFonts w:ascii="Palatino Linotype" w:eastAsia="Palatino Linotype" w:hAnsi="Palatino Linotype" w:cs="Palatino Linotype"/>
          <w:b/>
          <w:bCs/>
          <w:color w:val="000000"/>
        </w:rPr>
        <w:t xml:space="preserve">SUJETO OBLIGADO, </w:t>
      </w:r>
      <w:r w:rsidRPr="003D0253">
        <w:rPr>
          <w:rFonts w:ascii="Palatino Linotype" w:eastAsia="Palatino Linotype" w:hAnsi="Palatino Linotype" w:cs="Palatino Linotype"/>
          <w:color w:val="000000"/>
        </w:rPr>
        <w:t xml:space="preserve"> se limitó a remitir solo una parte de los expedientes, toda vez que no se advierten todos los documentos que establece el índice de Expediente Único de Obra Pública e Instructivos de Llenado en las modalidades de Adjudicación Directa, Invitación Restringida y Licitación Pública, ello aunado a que no se advierte cual fue la modalidad de adjudicación, por tanto resulta viable ordenar la entrega de los expedientes de obra completos, remitidos en respuesta</w:t>
      </w:r>
    </w:p>
    <w:p w:rsidR="00367C66" w:rsidRPr="003D0253" w:rsidRDefault="00367C6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367C66" w:rsidRPr="003D0253" w:rsidRDefault="00D821B4">
      <w:pPr>
        <w:numPr>
          <w:ilvl w:val="0"/>
          <w:numId w:val="1"/>
        </w:numPr>
        <w:spacing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t xml:space="preserve">Ahora bien, respecto a la información requerida, relacionada con el Dictamen Técnico emitido por el INAH, el </w:t>
      </w:r>
      <w:r w:rsidRPr="003D0253">
        <w:rPr>
          <w:rFonts w:ascii="Palatino Linotype" w:eastAsia="Palatino Linotype" w:hAnsi="Palatino Linotype" w:cs="Palatino Linotype"/>
          <w:b/>
          <w:bCs/>
        </w:rPr>
        <w:t xml:space="preserve">SUJETO OBLIGADO, </w:t>
      </w:r>
      <w:r w:rsidRPr="003D0253">
        <w:rPr>
          <w:rFonts w:ascii="Palatino Linotype" w:eastAsia="Palatino Linotype" w:hAnsi="Palatino Linotype" w:cs="Palatino Linotype"/>
        </w:rPr>
        <w:t xml:space="preserve"> refirió que a la fecha de la solicitud se consultó el Catálogo Nacional de Monumentos Históricos Inmuebles del Instituto Nacional de Antropología e Historia, en relación a la ficha I-0011101550, del que se arroja que la información se encuentra en proceso de validación, lo que advierte que el inmueble que ocupa el Palacio Municipal de Juchietepec, aún no cuenta con la declaratoria formal de monumento histórico, ´por tanto no se requerir de un Dictamen emitido por el Instituto Nacional de Antropología e Historia, por tanto no existe fuente obligacional que exija el dictamen de referencia, no es necesario que el Sujeto Obligado remita el Acuerdo de inexistencia, no obstante al pronunciarse colma el requerimiento, situación análoga al requerimiento del Acta de Cabildo o documento mediante el cual se aprobó el cambio de la paleta de colores del inmueble de referencia, toda vez que el servidor público habilitado de la Unidad Administrativa que pudiera generar la información como lo es la Secretaría Técnica, refirió que no existe documento que dé cuenta de lo solicitado </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spacing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rPr>
        <w:lastRenderedPageBreak/>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367C66" w:rsidRPr="003D0253" w:rsidRDefault="00D821B4">
      <w:pPr>
        <w:spacing w:before="240" w:after="240"/>
        <w:ind w:left="709" w:right="760"/>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r w:rsidRPr="003D0253">
        <w:rPr>
          <w:rFonts w:ascii="Palatino Linotype" w:eastAsia="Palatino Linotype" w:hAnsi="Palatino Linotype" w:cs="Palatino Linotype"/>
          <w:b/>
          <w:bCs/>
          <w:i/>
          <w:iCs/>
        </w:rPr>
        <w:t>Artículo 4</w:t>
      </w:r>
      <w:r w:rsidRPr="003D0253">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367C66" w:rsidRPr="003D0253" w:rsidRDefault="00D821B4">
      <w:pPr>
        <w:spacing w:before="240" w:after="240"/>
        <w:ind w:left="709" w:right="760"/>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367C66" w:rsidRDefault="00D821B4">
      <w:pPr>
        <w:spacing w:before="240" w:after="240"/>
        <w:ind w:left="709" w:right="760"/>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solicitantes.”(Sic)</w:t>
      </w:r>
    </w:p>
    <w:p w:rsidR="003D0253" w:rsidRPr="003D0253" w:rsidRDefault="003D0253">
      <w:pPr>
        <w:spacing w:before="240" w:after="240"/>
        <w:ind w:left="709" w:right="760"/>
        <w:jc w:val="both"/>
        <w:rPr>
          <w:rFonts w:ascii="Palatino Linotype" w:eastAsia="Palatino Linotype" w:hAnsi="Palatino Linotype" w:cs="Palatino Linotype"/>
          <w:i/>
          <w:iCs/>
        </w:rPr>
      </w:pPr>
    </w:p>
    <w:p w:rsidR="00367C66" w:rsidRPr="003D0253" w:rsidRDefault="00D821B4">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lastRenderedPageBreak/>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367C66" w:rsidRPr="003D0253" w:rsidRDefault="00D821B4">
      <w:pPr>
        <w:spacing w:before="240" w:after="240"/>
        <w:ind w:left="567" w:right="758"/>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r w:rsidRPr="003D0253">
        <w:rPr>
          <w:rFonts w:ascii="Palatino Linotype" w:eastAsia="Palatino Linotype" w:hAnsi="Palatino Linotype" w:cs="Palatino Linotype"/>
          <w:b/>
          <w:bCs/>
          <w:i/>
          <w:iCs/>
        </w:rPr>
        <w:t>Artículo 12</w:t>
      </w:r>
      <w:r w:rsidRPr="003D0253">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367C66" w:rsidRPr="003D0253" w:rsidRDefault="00D821B4">
      <w:pPr>
        <w:spacing w:before="240" w:after="240"/>
        <w:ind w:left="567" w:right="758"/>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367C66" w:rsidRPr="003D0253" w:rsidRDefault="00D821B4">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w:t>
      </w:r>
      <w:r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color w:val="000000"/>
        </w:rPr>
        <w:t xml:space="preserve">no tienen el deber de generar, poseer o administrar la información pública con el grado de detalle solicitado; esto es, que no tienen el deber de generar un documento </w:t>
      </w:r>
      <w:r w:rsidRPr="003D0253">
        <w:rPr>
          <w:rFonts w:ascii="Palatino Linotype" w:eastAsia="Palatino Linotype" w:hAnsi="Palatino Linotype" w:cs="Palatino Linotype"/>
          <w:i/>
          <w:iCs/>
          <w:color w:val="000000"/>
        </w:rPr>
        <w:t>ad hoc</w:t>
      </w:r>
      <w:r w:rsidRPr="003D0253">
        <w:rPr>
          <w:rFonts w:ascii="Palatino Linotype" w:eastAsia="Palatino Linotype" w:hAnsi="Palatino Linotype" w:cs="Palatino Linotype"/>
          <w:color w:val="000000"/>
        </w:rPr>
        <w:t>, para satisfacer el derecho de acceso a la información pública, como así lo establece</w:t>
      </w:r>
      <w:r w:rsidRPr="003D0253">
        <w:rPr>
          <w:rFonts w:ascii="Palatino Linotype" w:eastAsia="Palatino Linotype" w:hAnsi="Palatino Linotype" w:cs="Palatino Linotype"/>
          <w:strike/>
          <w:color w:val="FF0000"/>
        </w:rPr>
        <w:t xml:space="preserve"> </w:t>
      </w:r>
      <w:r w:rsidRPr="003D0253">
        <w:rPr>
          <w:rFonts w:ascii="Palatino Linotype" w:eastAsia="Palatino Linotype" w:hAnsi="Palatino Linotype" w:cs="Palatino Linotype"/>
          <w:color w:val="000000"/>
        </w:rPr>
        <w:t>el criterio 03/17 emitido por el Instituto Nacional de Transparencia, Acceso a la Información Pública y Protección de Datos Personales, los cuales señalan lo siguiente:</w:t>
      </w:r>
    </w:p>
    <w:p w:rsidR="00367C66" w:rsidRPr="003D0253" w:rsidRDefault="00D821B4">
      <w:pPr>
        <w:spacing w:before="240" w:after="240"/>
        <w:ind w:left="567" w:right="902"/>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03/17</w:t>
      </w:r>
    </w:p>
    <w:p w:rsidR="00367C66" w:rsidRPr="003D0253" w:rsidRDefault="00D821B4">
      <w:pPr>
        <w:spacing w:before="240" w:after="240"/>
        <w:ind w:left="567" w:right="902"/>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“NO EXISTE OBLIGACIÓN DE ELABORAR DOCUMENTOS AD HOC PARA ATENDER LAS SOLICITUDES DE ACCESO A LA INFORMACIÓN.</w:t>
      </w:r>
    </w:p>
    <w:p w:rsidR="00367C66" w:rsidRPr="003D0253" w:rsidRDefault="00D821B4">
      <w:pPr>
        <w:spacing w:before="240" w:after="240"/>
        <w:ind w:left="567"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 xml:space="preserve">Los artículos 129 de la Ley General de Transparencia y Acceso a la Información Pública y 130, párrafo cuarto, vigente a la fecha de la solicitud, de la Ley Federal de </w:t>
      </w:r>
      <w:r w:rsidRPr="003D0253">
        <w:rPr>
          <w:rFonts w:ascii="Palatino Linotype" w:eastAsia="Palatino Linotype" w:hAnsi="Palatino Linotype" w:cs="Palatino Linotype"/>
          <w:i/>
          <w:iCs/>
        </w:rPr>
        <w:lastRenderedPageBreak/>
        <w:t>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367C66" w:rsidRPr="003D0253" w:rsidRDefault="00D821B4">
      <w:pPr>
        <w:numPr>
          <w:ilvl w:val="0"/>
          <w:numId w:val="1"/>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367C66" w:rsidRPr="003D0253" w:rsidRDefault="00367C66">
      <w:pPr>
        <w:pBdr>
          <w:top w:val="nil"/>
          <w:left w:val="nil"/>
          <w:bottom w:val="nil"/>
          <w:right w:val="nil"/>
          <w:between w:val="nil"/>
        </w:pBdr>
        <w:spacing w:after="240" w:line="360" w:lineRule="auto"/>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w:t>
      </w:r>
      <w:r w:rsidRPr="003D0253">
        <w:rPr>
          <w:rFonts w:ascii="Palatino Linotype" w:eastAsia="Palatino Linotype" w:hAnsi="Palatino Linotype" w:cs="Palatino Linotype"/>
          <w:color w:val="000000"/>
        </w:rPr>
        <w:lastRenderedPageBreak/>
        <w:t xml:space="preserve">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367C66" w:rsidRPr="003D0253" w:rsidRDefault="00D821B4">
      <w:pPr>
        <w:spacing w:before="240" w:after="240"/>
        <w:ind w:left="851" w:right="899"/>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r w:rsidRPr="003D0253">
        <w:rPr>
          <w:rFonts w:ascii="Palatino Linotype" w:eastAsia="Palatino Linotype" w:hAnsi="Palatino Linotype" w:cs="Palatino Linotype"/>
          <w:b/>
          <w:bCs/>
          <w:i/>
          <w:iCs/>
        </w:rPr>
        <w:t xml:space="preserve">Artículo 3. </w:t>
      </w:r>
      <w:r w:rsidRPr="003D0253">
        <w:rPr>
          <w:rFonts w:ascii="Palatino Linotype" w:eastAsia="Palatino Linotype" w:hAnsi="Palatino Linotype" w:cs="Palatino Linotype"/>
          <w:i/>
          <w:iCs/>
        </w:rPr>
        <w:t>Para los efectos de la presente Ley se entenderá por:</w:t>
      </w:r>
    </w:p>
    <w:p w:rsidR="00367C66" w:rsidRPr="003D0253" w:rsidRDefault="00D821B4">
      <w:pPr>
        <w:spacing w:before="240" w:after="240"/>
        <w:ind w:left="851" w:right="899"/>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spacing w:before="240" w:after="240"/>
        <w:ind w:left="851" w:right="899"/>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XI. Documento:</w:t>
      </w:r>
      <w:r w:rsidRPr="003D0253">
        <w:rPr>
          <w:rFonts w:ascii="Palatino Linotype" w:eastAsia="Palatino Linotype" w:hAnsi="Palatino Linotype" w:cs="Palatino Linotype"/>
          <w:i/>
          <w:iCs/>
        </w:rPr>
        <w:t xml:space="preserve"> Los expedientes, reportes, estudios, </w:t>
      </w:r>
      <w:r w:rsidRPr="003D0253">
        <w:rPr>
          <w:rFonts w:ascii="Palatino Linotype" w:eastAsia="Palatino Linotype" w:hAnsi="Palatino Linotype" w:cs="Palatino Linotype"/>
          <w:b/>
          <w:bCs/>
          <w:i/>
          <w:iCs/>
        </w:rPr>
        <w:t>actas,</w:t>
      </w:r>
      <w:r w:rsidRPr="003D0253">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3D0253">
        <w:rPr>
          <w:rFonts w:ascii="Palatino Linotype" w:eastAsia="Palatino Linotype" w:hAnsi="Palatino Linotype" w:cs="Palatino Linotype"/>
          <w:b/>
          <w:bCs/>
          <w:i/>
          <w:iCs/>
        </w:rPr>
        <w:t>…</w:t>
      </w:r>
      <w:r w:rsidRPr="003D0253">
        <w:rPr>
          <w:rFonts w:ascii="Palatino Linotype" w:eastAsia="Palatino Linotype" w:hAnsi="Palatino Linotype" w:cs="Palatino Linotype"/>
          <w:i/>
          <w:iCs/>
        </w:rPr>
        <w:t>” (Sic)</w:t>
      </w:r>
    </w:p>
    <w:p w:rsidR="00367C66" w:rsidRPr="003D0253" w:rsidRDefault="00D821B4">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367C66" w:rsidRPr="003D0253" w:rsidRDefault="00D821B4">
      <w:pPr>
        <w:spacing w:before="240" w:after="240"/>
        <w:ind w:left="567" w:right="899"/>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rPr>
        <w:t>“</w:t>
      </w:r>
      <w:r w:rsidRPr="003D0253">
        <w:rPr>
          <w:rFonts w:ascii="Palatino Linotype" w:eastAsia="Palatino Linotype" w:hAnsi="Palatino Linotype" w:cs="Palatino Linotype"/>
          <w:b/>
          <w:bCs/>
          <w:i/>
          <w:iCs/>
        </w:rPr>
        <w:t>CRITERIO 0002-11</w:t>
      </w:r>
    </w:p>
    <w:p w:rsidR="00367C66" w:rsidRPr="003D0253" w:rsidRDefault="00D821B4">
      <w:pPr>
        <w:spacing w:before="240" w:after="240"/>
        <w:ind w:left="567" w:right="899"/>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3D0253">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67C66" w:rsidRPr="003D0253" w:rsidRDefault="00D821B4">
      <w:pPr>
        <w:spacing w:before="240" w:after="240"/>
        <w:ind w:left="567" w:right="899"/>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lastRenderedPageBreak/>
        <w:t>En consecuencia el acceso a la información se refiere a que se cumplan cualquiera de los siguientes tres supuestos:</w:t>
      </w:r>
    </w:p>
    <w:p w:rsidR="00367C66" w:rsidRPr="003D0253" w:rsidRDefault="00D821B4">
      <w:pPr>
        <w:numPr>
          <w:ilvl w:val="0"/>
          <w:numId w:val="14"/>
        </w:numPr>
        <w:spacing w:before="240" w:after="240"/>
        <w:ind w:left="567" w:right="899"/>
        <w:jc w:val="both"/>
        <w:rPr>
          <w:rFonts w:ascii="Palatino Linotype" w:eastAsia="Palatino Linotype" w:hAnsi="Palatino Linotype" w:cs="Palatino Linotype"/>
          <w:b/>
          <w:bCs/>
          <w:i/>
          <w:iCs/>
        </w:rPr>
      </w:pPr>
      <w:r w:rsidRPr="003D0253">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367C66" w:rsidRPr="003D0253" w:rsidRDefault="00D821B4">
      <w:pPr>
        <w:numPr>
          <w:ilvl w:val="0"/>
          <w:numId w:val="14"/>
        </w:numPr>
        <w:spacing w:before="240" w:after="240"/>
        <w:ind w:left="567" w:right="899"/>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367C66" w:rsidRPr="003D0253" w:rsidRDefault="00D821B4">
      <w:pPr>
        <w:spacing w:before="240" w:after="240"/>
        <w:ind w:left="567" w:right="899" w:hanging="284"/>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 (Sic)</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De ahí que </w:t>
      </w:r>
      <w:r w:rsidRPr="003D0253">
        <w:rPr>
          <w:rFonts w:ascii="Palatino Linotype" w:eastAsia="Palatino Linotype" w:hAnsi="Palatino Linotype" w:cs="Palatino Linotype"/>
          <w:b/>
          <w:bCs/>
          <w:color w:val="000000"/>
        </w:rPr>
        <w:t>EL</w:t>
      </w:r>
      <w:r w:rsidRPr="003D0253">
        <w:rPr>
          <w:rFonts w:ascii="Palatino Linotype" w:eastAsia="Palatino Linotype" w:hAnsi="Palatino Linotype" w:cs="Palatino Linotype"/>
          <w:color w:val="000000"/>
        </w:rPr>
        <w:t xml:space="preserve">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3D0253">
        <w:rPr>
          <w:rFonts w:ascii="Palatino Linotype" w:eastAsia="Palatino Linotype" w:hAnsi="Palatino Linotype" w:cs="Palatino Linotype"/>
          <w:color w:val="000000"/>
          <w:vertAlign w:val="superscript"/>
        </w:rPr>
        <w:footnoteReference w:id="10"/>
      </w:r>
      <w:r w:rsidRPr="003D0253">
        <w:rPr>
          <w:rFonts w:ascii="Palatino Linotype" w:eastAsia="Palatino Linotype" w:hAnsi="Palatino Linotype" w:cs="Palatino Linotype"/>
          <w:color w:val="000000"/>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3D0253">
        <w:rPr>
          <w:rFonts w:ascii="Palatino Linotype" w:eastAsia="Palatino Linotype" w:hAnsi="Palatino Linotype" w:cs="Palatino Linotype"/>
          <w:color w:val="000000"/>
          <w:vertAlign w:val="superscript"/>
        </w:rPr>
        <w:footnoteReference w:id="11"/>
      </w:r>
      <w:r w:rsidRPr="003D0253">
        <w:rPr>
          <w:rFonts w:ascii="Palatino Linotype" w:eastAsia="Palatino Linotype" w:hAnsi="Palatino Linotype" w:cs="Palatino Linotype"/>
          <w:color w:val="000000"/>
        </w:rPr>
        <w:t>.</w:t>
      </w:r>
    </w:p>
    <w:p w:rsidR="00367C66" w:rsidRPr="003D0253" w:rsidRDefault="00367C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Por lo anteriormente expuesto, este Órgano Garante considera parcialmente fundadas las razones o motivos de inconformidad que plantea el</w:t>
      </w:r>
      <w:r w:rsidRPr="003D0253">
        <w:rPr>
          <w:rFonts w:ascii="Palatino Linotype" w:eastAsia="Palatino Linotype" w:hAnsi="Palatino Linotype" w:cs="Palatino Linotype"/>
          <w:b/>
          <w:bCs/>
          <w:color w:val="000000"/>
        </w:rPr>
        <w:t xml:space="preserve"> RECURRENTE</w:t>
      </w:r>
      <w:r w:rsidRPr="003D0253">
        <w:rPr>
          <w:rFonts w:ascii="Palatino Linotype" w:eastAsia="Palatino Linotype" w:hAnsi="Palatino Linotype" w:cs="Palatino Linotype"/>
          <w:color w:val="000000"/>
        </w:rPr>
        <w:t xml:space="preserve">, determinando </w:t>
      </w:r>
      <w:r w:rsidRPr="003D0253">
        <w:rPr>
          <w:rFonts w:ascii="Palatino Linotype" w:eastAsia="Palatino Linotype" w:hAnsi="Palatino Linotype" w:cs="Palatino Linotype"/>
          <w:b/>
          <w:bCs/>
          <w:color w:val="000000"/>
        </w:rPr>
        <w:t xml:space="preserve">MODIFICAR </w:t>
      </w:r>
      <w:r w:rsidRPr="003D0253">
        <w:rPr>
          <w:rFonts w:ascii="Palatino Linotype" w:eastAsia="Palatino Linotype" w:hAnsi="Palatino Linotype" w:cs="Palatino Linotype"/>
          <w:color w:val="000000"/>
        </w:rPr>
        <w:t xml:space="preserve">la respuesta del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por lo que con fundamento en lo </w:t>
      </w:r>
      <w:r w:rsidRPr="003D0253">
        <w:rPr>
          <w:rFonts w:ascii="Palatino Linotype" w:eastAsia="Palatino Linotype" w:hAnsi="Palatino Linotype" w:cs="Palatino Linotype"/>
          <w:color w:val="000000"/>
        </w:rPr>
        <w:lastRenderedPageBreak/>
        <w:t>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tabs>
          <w:tab w:val="left" w:pos="426"/>
        </w:tabs>
        <w:spacing w:line="360" w:lineRule="auto"/>
        <w:ind w:left="0" w:right="51"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deberá atender al Considerando Sexto de la presente resolución.</w:t>
      </w:r>
    </w:p>
    <w:p w:rsidR="00367C66" w:rsidRPr="003D0253" w:rsidRDefault="00367C66">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367C66" w:rsidRPr="003D0253" w:rsidRDefault="00D821B4">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10" w:name="_heading=h.su8tj1drhbxb" w:colFirst="0" w:colLast="0"/>
      <w:bookmarkEnd w:id="10"/>
      <w:r w:rsidRPr="003D0253">
        <w:rPr>
          <w:rFonts w:ascii="Palatino Linotype" w:eastAsia="Palatino Linotype" w:hAnsi="Palatino Linotype" w:cs="Palatino Linotype"/>
          <w:b/>
          <w:bCs/>
          <w:color w:val="000000"/>
        </w:rPr>
        <w:t>SEXTO. De la versión pública.</w:t>
      </w:r>
    </w:p>
    <w:p w:rsidR="00367C66" w:rsidRPr="003D0253" w:rsidRDefault="00D821B4">
      <w:pPr>
        <w:keepNext/>
        <w:keepLines/>
        <w:numPr>
          <w:ilvl w:val="0"/>
          <w:numId w:val="12"/>
        </w:numPr>
        <w:tabs>
          <w:tab w:val="left" w:pos="284"/>
        </w:tabs>
        <w:spacing w:line="360" w:lineRule="auto"/>
        <w:rPr>
          <w:rFonts w:ascii="Palatino Linotype" w:eastAsia="Palatino Linotype" w:hAnsi="Palatino Linotype" w:cs="Palatino Linotype"/>
          <w:b/>
          <w:bCs/>
          <w:color w:val="000000"/>
        </w:rPr>
      </w:pPr>
      <w:bookmarkStart w:id="11" w:name="_heading=h.a1m7ux1cwcq0" w:colFirst="0" w:colLast="0"/>
      <w:bookmarkEnd w:id="11"/>
      <w:r w:rsidRPr="003D0253">
        <w:rPr>
          <w:rFonts w:ascii="Palatino Linotype" w:eastAsia="Palatino Linotype" w:hAnsi="Palatino Linotype" w:cs="Palatino Linotype"/>
          <w:b/>
          <w:bCs/>
          <w:color w:val="000000"/>
        </w:rPr>
        <w:t xml:space="preserve">Nociones generales. </w:t>
      </w:r>
    </w:p>
    <w:p w:rsidR="00367C66" w:rsidRPr="003D0253" w:rsidRDefault="00D821B4">
      <w:pPr>
        <w:numPr>
          <w:ilvl w:val="0"/>
          <w:numId w:val="1"/>
        </w:numPr>
        <w:pBdr>
          <w:top w:val="nil"/>
          <w:left w:val="nil"/>
          <w:bottom w:val="nil"/>
          <w:right w:val="nil"/>
          <w:between w:val="nil"/>
        </w:pBdr>
        <w:spacing w:line="360" w:lineRule="auto"/>
        <w:ind w:left="0" w:right="-144"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Debe destacarse que, debido a la naturaleza de la información solicitada</w:t>
      </w:r>
      <w:r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3D0253">
        <w:rPr>
          <w:rFonts w:ascii="Palatino Linotype" w:eastAsia="Palatino Linotype" w:hAnsi="Palatino Linotype" w:cs="Palatino Linotype"/>
          <w:b/>
          <w:bCs/>
          <w:color w:val="000000"/>
        </w:rPr>
        <w:t xml:space="preserve">SUJETO OBLIGADO </w:t>
      </w:r>
      <w:r w:rsidRPr="003D0253">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67C66" w:rsidRPr="003D0253" w:rsidRDefault="00367C66">
      <w:pPr>
        <w:pBdr>
          <w:top w:val="nil"/>
          <w:left w:val="nil"/>
          <w:bottom w:val="nil"/>
          <w:right w:val="nil"/>
          <w:between w:val="nil"/>
        </w:pBdr>
        <w:spacing w:line="360" w:lineRule="auto"/>
        <w:ind w:right="-852"/>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144"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No pasa desapercibido para este Órgano Garante que los sujetos obligados</w:t>
      </w:r>
      <w:r w:rsidRPr="003D0253">
        <w:rPr>
          <w:rFonts w:ascii="Palatino Linotype" w:eastAsia="Palatino Linotype" w:hAnsi="Palatino Linotype" w:cs="Palatino Linotype"/>
          <w:b/>
          <w:bCs/>
          <w:color w:val="000000"/>
        </w:rPr>
        <w:t xml:space="preserve"> </w:t>
      </w:r>
      <w:r w:rsidRPr="003D025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367C66" w:rsidRPr="003D0253" w:rsidRDefault="00367C66">
      <w:pPr>
        <w:tabs>
          <w:tab w:val="left" w:pos="284"/>
        </w:tabs>
        <w:spacing w:line="360" w:lineRule="auto"/>
        <w:ind w:right="49"/>
        <w:jc w:val="both"/>
        <w:rPr>
          <w:rFonts w:ascii="Palatino Linotype" w:eastAsia="Palatino Linotype" w:hAnsi="Palatino Linotype" w:cs="Palatino Linotype"/>
          <w:color w:val="000000"/>
        </w:rPr>
      </w:pPr>
    </w:p>
    <w:tbl>
      <w:tblPr>
        <w:tblStyle w:val="a"/>
        <w:tblW w:w="10180"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76"/>
        <w:gridCol w:w="6804"/>
      </w:tblGrid>
      <w:tr w:rsidR="00367C66" w:rsidRPr="003D0253" w:rsidTr="003D0253">
        <w:tc>
          <w:tcPr>
            <w:tcW w:w="3376" w:type="dxa"/>
          </w:tcPr>
          <w:p w:rsidR="00367C66" w:rsidRPr="003D0253" w:rsidRDefault="00D821B4">
            <w:pPr>
              <w:tabs>
                <w:tab w:val="left" w:pos="284"/>
              </w:tabs>
              <w:spacing w:line="360" w:lineRule="auto"/>
              <w:rPr>
                <w:rFonts w:ascii="Palatino Linotype" w:eastAsia="Palatino Linotype" w:hAnsi="Palatino Linotype" w:cs="Palatino Linotype"/>
              </w:rPr>
            </w:pPr>
            <w:r w:rsidRPr="003D0253">
              <w:rPr>
                <w:rFonts w:ascii="Palatino Linotype" w:eastAsia="Palatino Linotype" w:hAnsi="Palatino Linotype" w:cs="Palatino Linotype"/>
              </w:rPr>
              <w:t>a) Requisitos previos.</w:t>
            </w:r>
          </w:p>
        </w:tc>
        <w:tc>
          <w:tcPr>
            <w:tcW w:w="6804" w:type="dxa"/>
          </w:tcPr>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Los artículos 100 y 122 de la Ley Estatal y de la Ley General, respectivamente, señalan que si los Sujetos Obligados </w:t>
            </w:r>
            <w:r w:rsidRPr="003D0253">
              <w:rPr>
                <w:rFonts w:ascii="Palatino Linotype" w:eastAsia="Palatino Linotype" w:hAnsi="Palatino Linotype" w:cs="Palatino Linotype"/>
                <w:color w:val="000000"/>
              </w:rPr>
              <w:lastRenderedPageBreak/>
              <w:t xml:space="preserve">determinan que la información actualiza alguno de los supuestos de clasificación, es deber de los titulares de las áreas proponer su clasificación y no del Comité de Transparencia. </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367C66" w:rsidRPr="003D0253" w:rsidRDefault="00D821B4">
            <w:pPr>
              <w:tabs>
                <w:tab w:val="left" w:pos="284"/>
              </w:tabs>
              <w:spacing w:line="360" w:lineRule="auto"/>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3D0253">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3D0253">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67C66" w:rsidRPr="003D0253" w:rsidTr="003D0253">
        <w:tc>
          <w:tcPr>
            <w:tcW w:w="3376" w:type="dxa"/>
          </w:tcPr>
          <w:p w:rsidR="00367C66" w:rsidRPr="003D0253" w:rsidRDefault="00D821B4">
            <w:pPr>
              <w:tabs>
                <w:tab w:val="left" w:pos="284"/>
              </w:tabs>
              <w:spacing w:line="360" w:lineRule="auto"/>
              <w:rPr>
                <w:rFonts w:ascii="Palatino Linotype" w:eastAsia="Palatino Linotype" w:hAnsi="Palatino Linotype" w:cs="Palatino Linotype"/>
              </w:rPr>
            </w:pPr>
            <w:r w:rsidRPr="003D0253">
              <w:rPr>
                <w:rFonts w:ascii="Palatino Linotype" w:eastAsia="Palatino Linotype" w:hAnsi="Palatino Linotype" w:cs="Palatino Linotype"/>
              </w:rPr>
              <w:lastRenderedPageBreak/>
              <w:t>b) Supuestos de clasificación.</w:t>
            </w:r>
          </w:p>
        </w:tc>
        <w:tc>
          <w:tcPr>
            <w:tcW w:w="6804" w:type="dxa"/>
          </w:tcPr>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w:t>
            </w:r>
            <w:r w:rsidRPr="003D0253">
              <w:rPr>
                <w:rFonts w:ascii="Palatino Linotype" w:eastAsia="Palatino Linotype" w:hAnsi="Palatino Linotype" w:cs="Palatino Linotype"/>
                <w:color w:val="000000"/>
              </w:rPr>
              <w:lastRenderedPageBreak/>
              <w:t>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67C66" w:rsidRPr="003D0253" w:rsidRDefault="00D821B4">
            <w:pPr>
              <w:tabs>
                <w:tab w:val="left" w:pos="284"/>
              </w:tabs>
              <w:spacing w:line="360" w:lineRule="auto"/>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 xml:space="preserve">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67C66" w:rsidRPr="003D0253" w:rsidTr="003D0253">
        <w:tc>
          <w:tcPr>
            <w:tcW w:w="3376" w:type="dxa"/>
          </w:tcPr>
          <w:p w:rsidR="00367C66" w:rsidRPr="003D0253" w:rsidRDefault="00D821B4">
            <w:pPr>
              <w:tabs>
                <w:tab w:val="left" w:pos="284"/>
              </w:tabs>
              <w:spacing w:line="360" w:lineRule="auto"/>
              <w:rPr>
                <w:rFonts w:ascii="Palatino Linotype" w:eastAsia="Palatino Linotype" w:hAnsi="Palatino Linotype" w:cs="Palatino Linotype"/>
              </w:rPr>
            </w:pPr>
            <w:r w:rsidRPr="003D0253">
              <w:rPr>
                <w:rFonts w:ascii="Palatino Linotype" w:eastAsia="Palatino Linotype" w:hAnsi="Palatino Linotype" w:cs="Palatino Linotype"/>
              </w:rPr>
              <w:lastRenderedPageBreak/>
              <w:t>c) Formalidades para emitir el acuerdo de clasificación.</w:t>
            </w:r>
          </w:p>
        </w:tc>
        <w:tc>
          <w:tcPr>
            <w:tcW w:w="6804" w:type="dxa"/>
          </w:tcPr>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Es necesario que </w:t>
            </w:r>
            <w:r w:rsidRPr="003D0253">
              <w:rPr>
                <w:rFonts w:ascii="Palatino Linotype" w:eastAsia="Palatino Linotype" w:hAnsi="Palatino Linotype" w:cs="Palatino Linotype"/>
                <w:b/>
                <w:bCs/>
                <w:color w:val="000000"/>
                <w:u w:val="single"/>
              </w:rPr>
              <w:t>el acto reúna con los requisitos elementales</w:t>
            </w:r>
            <w:r w:rsidRPr="003D0253">
              <w:rPr>
                <w:rFonts w:ascii="Palatino Linotype" w:eastAsia="Palatino Linotype" w:hAnsi="Palatino Linotype" w:cs="Palatino Linotype"/>
                <w:color w:val="000000"/>
              </w:rPr>
              <w:t>, entre ellos, que la autoridad que va a emitir el acto de autoridad sea la legalmente facultada para ello.</w:t>
            </w:r>
          </w:p>
          <w:p w:rsidR="00367C66" w:rsidRPr="003D0253" w:rsidRDefault="00D821B4">
            <w:pPr>
              <w:tabs>
                <w:tab w:val="left" w:pos="284"/>
              </w:tabs>
              <w:spacing w:line="360" w:lineRule="auto"/>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w:t>
            </w:r>
            <w:r w:rsidRPr="003D0253">
              <w:rPr>
                <w:rFonts w:ascii="Palatino Linotype" w:eastAsia="Palatino Linotype" w:hAnsi="Palatino Linotype" w:cs="Palatino Linotype"/>
                <w:color w:val="000000"/>
              </w:rPr>
              <w:lastRenderedPageBreak/>
              <w:t>áreas y que son sujetas a control, en primera instancia, por el Comité de Transparencia.</w:t>
            </w:r>
          </w:p>
        </w:tc>
      </w:tr>
      <w:tr w:rsidR="00367C66" w:rsidRPr="003D0253" w:rsidTr="003D0253">
        <w:tc>
          <w:tcPr>
            <w:tcW w:w="3376" w:type="dxa"/>
          </w:tcPr>
          <w:p w:rsidR="00367C66" w:rsidRPr="003D0253" w:rsidRDefault="00367C66">
            <w:pPr>
              <w:tabs>
                <w:tab w:val="left" w:pos="284"/>
              </w:tabs>
              <w:spacing w:line="360" w:lineRule="auto"/>
              <w:rPr>
                <w:rFonts w:ascii="Palatino Linotype" w:eastAsia="Palatino Linotype" w:hAnsi="Palatino Linotype" w:cs="Palatino Linotype"/>
              </w:rPr>
            </w:pPr>
          </w:p>
          <w:p w:rsidR="00367C66" w:rsidRPr="003D0253" w:rsidRDefault="00D821B4">
            <w:pPr>
              <w:tabs>
                <w:tab w:val="left" w:pos="284"/>
              </w:tabs>
              <w:spacing w:line="360" w:lineRule="auto"/>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 xml:space="preserve">d) Requisitos de fondo del acuerdo de clasificación. </w:t>
            </w:r>
          </w:p>
        </w:tc>
        <w:tc>
          <w:tcPr>
            <w:tcW w:w="6804" w:type="dxa"/>
          </w:tcPr>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D0253">
              <w:rPr>
                <w:rFonts w:ascii="Palatino Linotype" w:eastAsia="Palatino Linotype" w:hAnsi="Palatino Linotype" w:cs="Palatino Linotype"/>
                <w:b/>
                <w:bCs/>
                <w:color w:val="000000"/>
              </w:rPr>
              <w:t>Sujetos Obligados</w:t>
            </w:r>
            <w:r w:rsidRPr="003D0253">
              <w:rPr>
                <w:rFonts w:ascii="Palatino Linotype" w:eastAsia="Palatino Linotype" w:hAnsi="Palatino Linotype" w:cs="Palatino Linotype"/>
                <w:color w:val="000000"/>
              </w:rPr>
              <w:t xml:space="preserve">, por lo que deberán fundar y motivar debidamente la clasificación. </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De lo anterior, se desprende que para una correcta </w:t>
            </w:r>
            <w:r w:rsidRPr="003D0253">
              <w:rPr>
                <w:rFonts w:ascii="Palatino Linotype" w:eastAsia="Palatino Linotype" w:hAnsi="Palatino Linotype" w:cs="Palatino Linotype"/>
                <w:b/>
                <w:bCs/>
                <w:color w:val="000000"/>
              </w:rPr>
              <w:t>clasificación total o parcial</w:t>
            </w:r>
            <w:r w:rsidRPr="003D0253">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w:t>
            </w:r>
            <w:r w:rsidRPr="003D0253">
              <w:rPr>
                <w:rFonts w:ascii="Palatino Linotype" w:eastAsia="Palatino Linotype" w:hAnsi="Palatino Linotype" w:cs="Palatino Linotype"/>
                <w:color w:val="000000"/>
              </w:rPr>
              <w:lastRenderedPageBreak/>
              <w:t>pueda impugnar la decisión, permitiéndole una real y auténtica defensa.</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Ahora bien, </w:t>
            </w:r>
            <w:r w:rsidRPr="003D0253">
              <w:rPr>
                <w:rFonts w:ascii="Palatino Linotype" w:eastAsia="Palatino Linotype" w:hAnsi="Palatino Linotype" w:cs="Palatino Linotype"/>
                <w:b/>
                <w:bCs/>
                <w:color w:val="000000"/>
                <w:u w:val="single"/>
              </w:rPr>
              <w:t>para cada caso además de fundar y motivar</w:t>
            </w:r>
            <w:r w:rsidRPr="003D0253">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67C66" w:rsidRPr="003D0253" w:rsidTr="003D0253">
        <w:tc>
          <w:tcPr>
            <w:tcW w:w="3376" w:type="dxa"/>
          </w:tcPr>
          <w:p w:rsidR="00367C66" w:rsidRPr="003D0253" w:rsidRDefault="00D821B4">
            <w:pPr>
              <w:tabs>
                <w:tab w:val="left" w:pos="284"/>
              </w:tabs>
              <w:spacing w:line="360" w:lineRule="auto"/>
              <w:ind w:right="49"/>
              <w:jc w:val="both"/>
              <w:rPr>
                <w:rFonts w:ascii="Palatino Linotype" w:eastAsia="Palatino Linotype" w:hAnsi="Palatino Linotype" w:cs="Palatino Linotype"/>
              </w:rPr>
            </w:pPr>
            <w:r w:rsidRPr="003D0253">
              <w:rPr>
                <w:rFonts w:ascii="Palatino Linotype" w:eastAsia="Palatino Linotype" w:hAnsi="Palatino Linotype" w:cs="Palatino Linotype"/>
              </w:rPr>
              <w:lastRenderedPageBreak/>
              <w:t xml:space="preserve">e) Condiciones especiales de la clasificación de la información como confidencial. </w:t>
            </w:r>
          </w:p>
        </w:tc>
        <w:tc>
          <w:tcPr>
            <w:tcW w:w="6804" w:type="dxa"/>
          </w:tcPr>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367C66" w:rsidRPr="003D0253" w:rsidRDefault="00D821B4">
            <w:pPr>
              <w:tabs>
                <w:tab w:val="left" w:pos="284"/>
              </w:tabs>
              <w:spacing w:line="360" w:lineRule="auto"/>
              <w:ind w:right="49"/>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67C66" w:rsidRPr="003D0253" w:rsidRDefault="00D821B4">
            <w:pPr>
              <w:tabs>
                <w:tab w:val="left" w:pos="284"/>
              </w:tabs>
              <w:spacing w:line="360" w:lineRule="auto"/>
              <w:rPr>
                <w:rFonts w:ascii="Palatino Linotype" w:eastAsia="Palatino Linotype" w:hAnsi="Palatino Linotype" w:cs="Palatino Linotype"/>
              </w:rPr>
            </w:pPr>
            <w:r w:rsidRPr="003D0253">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367C66" w:rsidRPr="003D0253" w:rsidRDefault="00367C66">
      <w:pPr>
        <w:tabs>
          <w:tab w:val="left" w:pos="284"/>
        </w:tabs>
        <w:spacing w:line="360" w:lineRule="auto"/>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color w:val="222222"/>
        </w:rPr>
        <w:t>Por otro lado, de manera enunciativa mas no limitativas, dentro de los elementos que integran la información que se ordenan, se pueden encontrar los siguientes datos :</w:t>
      </w:r>
    </w:p>
    <w:p w:rsidR="00367C66" w:rsidRPr="003D0253" w:rsidRDefault="00367C66">
      <w:pPr>
        <w:spacing w:line="360" w:lineRule="auto"/>
        <w:jc w:val="both"/>
        <w:rPr>
          <w:rFonts w:ascii="Palatino Linotype" w:eastAsia="Palatino Linotype" w:hAnsi="Palatino Linotype" w:cs="Palatino Linotype"/>
        </w:rPr>
      </w:pPr>
    </w:p>
    <w:p w:rsidR="00367C66" w:rsidRPr="003D0253" w:rsidRDefault="00D821B4">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b/>
          <w:bCs/>
          <w:color w:val="000000"/>
        </w:rPr>
        <w:t>Firma y el nombre del representante legal de una persona moral</w:t>
      </w: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En razón de lo anterior, cabe mencionar que el Instituto Nacional de Acceso a la Información y Protección de Datos Personales, ha precisado en diversas ocasiones que la </w:t>
      </w:r>
      <w:r w:rsidRPr="003D0253">
        <w:rPr>
          <w:rFonts w:ascii="Palatino Linotype" w:eastAsia="Palatino Linotype" w:hAnsi="Palatino Linotype" w:cs="Palatino Linotype"/>
          <w:b/>
          <w:bCs/>
          <w:color w:val="000000"/>
        </w:rPr>
        <w:t>firma y el nombre del representante legal de una persona moral</w:t>
      </w:r>
      <w:r w:rsidRPr="003D0253">
        <w:rPr>
          <w:rFonts w:ascii="Palatino Linotype" w:eastAsia="Palatino Linotype" w:hAnsi="Palatino Linotype" w:cs="Palatino Linotype"/>
          <w:color w:val="000000"/>
        </w:rPr>
        <w:t xml:space="preserve">, no podría ser objeto de clasificación, ya que si bien el nombre y la firma corresponden a una persona física, esta actuó en nombre y representación de una persona moral, no a nombre propio; en consecuencia, el nombre y la firma, al haber sido objeto de dar cumplimiento a la normatividad y otorgar validez al acto jurídico celebrado, deben ser considerados como públicos, análisis aplicable al presente caso. </w:t>
      </w:r>
    </w:p>
    <w:p w:rsidR="00367C66" w:rsidRPr="003D0253" w:rsidRDefault="00367C6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Derivado de ello, es imprescindible traer a colación lo que establece el Criterio del Instituto Nacional de Transparencia, Acceso a la Información y Protección de Datos, el cual menciona lo siguiente: </w:t>
      </w:r>
    </w:p>
    <w:p w:rsidR="00367C66" w:rsidRPr="003D0253" w:rsidRDefault="00367C66">
      <w:pPr>
        <w:pBdr>
          <w:top w:val="nil"/>
          <w:left w:val="nil"/>
          <w:bottom w:val="nil"/>
          <w:right w:val="nil"/>
          <w:between w:val="nil"/>
        </w:pBdr>
        <w:spacing w:line="360" w:lineRule="auto"/>
        <w:ind w:left="708" w:right="49"/>
        <w:jc w:val="both"/>
        <w:rPr>
          <w:rFonts w:ascii="Palatino Linotype" w:eastAsia="Palatino Linotype" w:hAnsi="Palatino Linotype" w:cs="Palatino Linotype"/>
          <w:color w:val="000000"/>
        </w:rPr>
      </w:pPr>
    </w:p>
    <w:p w:rsidR="00367C66" w:rsidRPr="003D0253" w:rsidRDefault="00D821B4">
      <w:pPr>
        <w:pBdr>
          <w:top w:val="nil"/>
          <w:left w:val="nil"/>
          <w:bottom w:val="nil"/>
          <w:right w:val="nil"/>
          <w:between w:val="nil"/>
        </w:pBdr>
        <w:ind w:left="1134"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b/>
          <w:bCs/>
          <w:i/>
          <w:iCs/>
          <w:color w:val="000000"/>
        </w:rPr>
        <w:lastRenderedPageBreak/>
        <w:t>Datos de identificación del representante o apoderado legal. Naturaleza jurídica.</w:t>
      </w:r>
      <w:r w:rsidRPr="003D0253">
        <w:rPr>
          <w:rFonts w:ascii="Palatino Linotype" w:eastAsia="Palatino Linotype" w:hAnsi="Palatino Linotype" w:cs="Palatino Linotype"/>
          <w:i/>
          <w:iCs/>
          <w:color w:val="000000"/>
        </w:rPr>
        <w:t xml:space="preserve"> El nombre, la firma y la rúbrica de una persona física, que actúe como representante o apoderado legal de un tercero que haya celebrado un acto jurídico, con algún sujeto obligado, </w:t>
      </w:r>
      <w:r w:rsidRPr="003D0253">
        <w:rPr>
          <w:rFonts w:ascii="Palatino Linotype" w:eastAsia="Palatino Linotype" w:hAnsi="Palatino Linotype" w:cs="Palatino Linotype"/>
          <w:b/>
          <w:bCs/>
          <w:i/>
          <w:iCs/>
          <w:color w:val="000000"/>
        </w:rPr>
        <w:t>es información pública</w:t>
      </w:r>
      <w:r w:rsidRPr="003D0253">
        <w:rPr>
          <w:rFonts w:ascii="Palatino Linotype" w:eastAsia="Palatino Linotype" w:hAnsi="Palatino Linotype" w:cs="Palatino Linotype"/>
          <w:i/>
          <w:iCs/>
          <w:color w:val="000000"/>
        </w:rPr>
        <w:t>, en razón de que tales datos fueron proporcionados con el objeto de expresar el consentimiento obligacional del tercero y otorgar validez a dicho instrumento jurídico.</w:t>
      </w:r>
    </w:p>
    <w:p w:rsidR="00367C66" w:rsidRPr="003D0253" w:rsidRDefault="00367C66">
      <w:pPr>
        <w:pBdr>
          <w:top w:val="nil"/>
          <w:left w:val="nil"/>
          <w:bottom w:val="nil"/>
          <w:right w:val="nil"/>
          <w:between w:val="nil"/>
        </w:pBdr>
        <w:ind w:left="1134" w:right="567"/>
        <w:jc w:val="both"/>
        <w:rPr>
          <w:rFonts w:ascii="Palatino Linotype" w:eastAsia="Palatino Linotype" w:hAnsi="Palatino Linotype" w:cs="Palatino Linotype"/>
          <w:i/>
          <w:iCs/>
          <w:color w:val="000000"/>
        </w:rPr>
      </w:pPr>
    </w:p>
    <w:p w:rsidR="00367C66" w:rsidRPr="003D0253" w:rsidRDefault="00D821B4">
      <w:pPr>
        <w:pBdr>
          <w:top w:val="nil"/>
          <w:left w:val="nil"/>
          <w:bottom w:val="nil"/>
          <w:right w:val="nil"/>
          <w:between w:val="nil"/>
        </w:pBdr>
        <w:ind w:left="1134" w:right="567"/>
        <w:jc w:val="both"/>
        <w:rPr>
          <w:rFonts w:ascii="Palatino Linotype" w:eastAsia="Palatino Linotype" w:hAnsi="Palatino Linotype" w:cs="Palatino Linotype"/>
          <w:i/>
          <w:iCs/>
          <w:color w:val="000000"/>
        </w:rPr>
      </w:pPr>
      <w:r w:rsidRPr="003D0253">
        <w:rPr>
          <w:rFonts w:ascii="Palatino Linotype" w:eastAsia="Palatino Linotype" w:hAnsi="Palatino Linotype" w:cs="Palatino Linotype"/>
          <w:i/>
          <w:iCs/>
          <w:color w:val="000000"/>
        </w:rPr>
        <w:t xml:space="preserve">Resoluciones: RRA 3104/16. Secretaría de la Defensa Nacional. 01 de noviembre del 2016. Por unanimidad. Comisionado Ponente Oscar Mauricio Guerra Ford. RRA 2923/16. Administración Portuaria Integral de Lázaro Cárdenas, S.A. de C.V. 13 de diciembre de 2016. Por unanimidad. Comisionada Ponente María Patricia Kurczyn Villalobos. RRA 2855/17. Comisión Nacional de Hidrocarburos. 14 de junio de 2017. Por unanimidad con los votos particulares de los Comisionados Areli Cano Guadiana y Oscar Mauricio Guerra Ford. Comisionada Ponente Ximena Puente de la Mora. </w:t>
      </w:r>
    </w:p>
    <w:p w:rsidR="00367C66" w:rsidRPr="003D0253" w:rsidRDefault="00367C66">
      <w:pPr>
        <w:pBdr>
          <w:top w:val="nil"/>
          <w:left w:val="nil"/>
          <w:bottom w:val="nil"/>
          <w:right w:val="nil"/>
          <w:between w:val="nil"/>
        </w:pBdr>
        <w:spacing w:line="360" w:lineRule="auto"/>
        <w:ind w:left="1134" w:right="567"/>
        <w:jc w:val="both"/>
        <w:rPr>
          <w:rFonts w:ascii="Palatino Linotype" w:eastAsia="Palatino Linotype" w:hAnsi="Palatino Linotype" w:cs="Palatino Linotype"/>
          <w:i/>
          <w:iCs/>
          <w:color w:val="000000"/>
        </w:rPr>
      </w:pPr>
    </w:p>
    <w:p w:rsidR="00367C66" w:rsidRPr="003D0253" w:rsidRDefault="00D821B4">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D0D0D"/>
        </w:rPr>
      </w:pPr>
      <w:r w:rsidRPr="003D0253">
        <w:rPr>
          <w:rFonts w:ascii="Palatino Linotype" w:eastAsia="Palatino Linotype" w:hAnsi="Palatino Linotype" w:cs="Palatino Linotype"/>
          <w:b/>
          <w:bCs/>
          <w:color w:val="0D0D0D"/>
        </w:rPr>
        <w:t xml:space="preserve">Denominación o razón Social </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Al respecto, se considera que la denominación o razón social de una persona moral, es pública, pues dichos datos se encuentran inscritos en el Registro Público del Comercio; lo anterior, toma sustento en el Criterio de Interpretación, de la Segunda Época, con número de registro SO/008/2019, emitido por el Instituto Nacional de Transparencia, Acceso a la Información y Protección de Datos Personales, que precisa lo siguiente:</w:t>
      </w:r>
    </w:p>
    <w:p w:rsidR="00367C66" w:rsidRPr="003D0253" w:rsidRDefault="00D821B4">
      <w:pPr>
        <w:ind w:left="1134" w:right="567"/>
        <w:jc w:val="both"/>
        <w:rPr>
          <w:rFonts w:ascii="Palatino Linotype" w:eastAsia="Palatino Linotype" w:hAnsi="Palatino Linotype" w:cs="Palatino Linotype"/>
          <w:i/>
          <w:iCs/>
          <w:color w:val="0D0D0D"/>
        </w:rPr>
      </w:pPr>
      <w:r w:rsidRPr="003D0253">
        <w:rPr>
          <w:rFonts w:ascii="Palatino Linotype" w:eastAsia="Palatino Linotype" w:hAnsi="Palatino Linotype" w:cs="Palatino Linotype"/>
          <w:b/>
          <w:bCs/>
          <w:i/>
          <w:iCs/>
          <w:color w:val="0D0D0D"/>
        </w:rPr>
        <w:t xml:space="preserve">“Razón social y RFC de personas morales. </w:t>
      </w:r>
      <w:r w:rsidRPr="003D0253">
        <w:rPr>
          <w:rFonts w:ascii="Palatino Linotype" w:eastAsia="Palatino Linotype" w:hAnsi="Palatino Linotype" w:cs="Palatino Linotype"/>
          <w:i/>
          <w:iCs/>
          <w:color w:val="0D0D0D"/>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rsidR="00367C66" w:rsidRPr="003D0253" w:rsidRDefault="00D821B4">
      <w:pPr>
        <w:spacing w:line="360" w:lineRule="auto"/>
        <w:jc w:val="both"/>
        <w:rPr>
          <w:rFonts w:ascii="Palatino Linotype" w:eastAsia="Palatino Linotype" w:hAnsi="Palatino Linotype" w:cs="Palatino Linotype"/>
          <w:b/>
          <w:bCs/>
          <w:color w:val="0D0D0D"/>
        </w:rPr>
      </w:pPr>
      <w:r w:rsidRPr="003D0253">
        <w:rPr>
          <w:rFonts w:ascii="Palatino Linotype" w:eastAsia="Palatino Linotype" w:hAnsi="Palatino Linotype" w:cs="Palatino Linotype"/>
          <w:b/>
          <w:bCs/>
          <w:color w:val="0D0D0D"/>
        </w:rPr>
        <w:t xml:space="preserve"> </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lastRenderedPageBreak/>
        <w:t>Por lo tanto, no procede la clasificación de la denominación o razón social y RFC de personas morales, en términos del artículo 143, fracción I de la Ley de Transparencia y Acceso a la Información Pública del Estado de México y Municipios.</w:t>
      </w:r>
    </w:p>
    <w:p w:rsidR="00367C66" w:rsidRPr="003D0253" w:rsidRDefault="00D821B4">
      <w:pPr>
        <w:spacing w:line="360" w:lineRule="auto"/>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 xml:space="preserve"> </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Al respecto, el Registro Federal de Contribuyentes, inicia con una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rsidR="00367C66" w:rsidRPr="003D0253" w:rsidRDefault="00D821B4">
      <w:pPr>
        <w:spacing w:line="360" w:lineRule="auto"/>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 xml:space="preserve"> </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 xml:space="preserve">Por ende, la información correspondiente al Registro Federal de Contribuyentes de una persona moral da cuenta del cumplimiento o no en sus obligaciones fiscales; por tanto, no se actualiza su clasificación como confidencial; además, resulta aplicable por analogía el Criterio de Interpretación, de la Segunda Época, con número de registro SO/008/2019, emitido por el Instituto Nacional de Transparencia, Acceso a la Información y Protección de Datos Personales, que precisa que el Registro Federal de Contribuyentes de personas morales, es público, al no referir a hechos o actos de carácter económico, contable, jurídico o administrativo que sean útiles o representen una ventaja a sus competidores; por tales circunstancias, el Registro Federal de Contribuyentes de personas morales, no actualizan la </w:t>
      </w:r>
      <w:r w:rsidRPr="003D0253">
        <w:rPr>
          <w:rFonts w:ascii="Palatino Linotype" w:eastAsia="Palatino Linotype" w:hAnsi="Palatino Linotype" w:cs="Palatino Linotype"/>
          <w:color w:val="0D0D0D"/>
        </w:rPr>
        <w:lastRenderedPageBreak/>
        <w:t>causal de clasificación, prevista en el artículo 143, fracción I de la Ley de Transparencia y Acceso a la Información Pública del Estado de México y Municipios, al ser de naturaleza pública.</w:t>
      </w:r>
    </w:p>
    <w:p w:rsidR="00367C66" w:rsidRPr="003D0253" w:rsidRDefault="00367C66">
      <w:pPr>
        <w:spacing w:line="360" w:lineRule="auto"/>
        <w:jc w:val="both"/>
        <w:rPr>
          <w:rFonts w:ascii="Palatino Linotype" w:eastAsia="Palatino Linotype" w:hAnsi="Palatino Linotype" w:cs="Palatino Linotype"/>
        </w:rPr>
      </w:pPr>
    </w:p>
    <w:p w:rsidR="00367C66" w:rsidRPr="003D0253" w:rsidRDefault="00D821B4">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D0D0D"/>
        </w:rPr>
      </w:pPr>
      <w:r w:rsidRPr="003D0253">
        <w:rPr>
          <w:rFonts w:ascii="Palatino Linotype" w:eastAsia="Palatino Linotype" w:hAnsi="Palatino Linotype" w:cs="Palatino Linotype"/>
          <w:b/>
          <w:bCs/>
          <w:color w:val="0D0D0D"/>
        </w:rPr>
        <w:t xml:space="preserve">Domicilio Fiscal o legal para recibir y oír notificaciones </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 de esta manera, lo establece los diversos 29 y 33 del Código Civil Federal, al precisar que el domicilio de personas físicas</w:t>
      </w:r>
      <w:r w:rsidRPr="003D0253">
        <w:rPr>
          <w:rFonts w:ascii="Palatino Linotype" w:eastAsia="Palatino Linotype" w:hAnsi="Palatino Linotype" w:cs="Palatino Linotype"/>
          <w:b/>
          <w:bCs/>
          <w:color w:val="0D0D0D"/>
        </w:rPr>
        <w:t xml:space="preserve">, es el lugar donde residen habitualmente, el lugar del centro principal de sus negocios, donde residan o el lugar donde se encuentren; </w:t>
      </w:r>
      <w:r w:rsidRPr="003D0253">
        <w:rPr>
          <w:rFonts w:ascii="Palatino Linotype" w:eastAsia="Palatino Linotype" w:hAnsi="Palatino Linotype" w:cs="Palatino Linotype"/>
          <w:color w:val="0D0D0D"/>
        </w:rPr>
        <w:t>mientras que, de las personas morales, aquel donde se halle su administración.</w:t>
      </w:r>
    </w:p>
    <w:p w:rsidR="00367C66" w:rsidRPr="003D0253" w:rsidRDefault="00D821B4">
      <w:pPr>
        <w:spacing w:line="360" w:lineRule="auto"/>
        <w:jc w:val="both"/>
        <w:rPr>
          <w:rFonts w:ascii="Palatino Linotype" w:eastAsia="Palatino Linotype" w:hAnsi="Palatino Linotype" w:cs="Palatino Linotype"/>
          <w:b/>
          <w:bCs/>
          <w:color w:val="0D0D0D"/>
        </w:rPr>
      </w:pPr>
      <w:r w:rsidRPr="003D0253">
        <w:rPr>
          <w:rFonts w:ascii="Palatino Linotype" w:eastAsia="Palatino Linotype" w:hAnsi="Palatino Linotype" w:cs="Palatino Linotype"/>
          <w:b/>
          <w:bCs/>
          <w:color w:val="0D0D0D"/>
        </w:rPr>
        <w:t xml:space="preserve"> </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Respecto al domicilio fiscal, resulta necesario traer el artículo 10 del Código Fiscal de la Federación, que establece que, tratándose de personas físicas, corresponderá dicho dato:</w:t>
      </w:r>
    </w:p>
    <w:p w:rsidR="00367C66" w:rsidRPr="003D0253" w:rsidRDefault="00D821B4" w:rsidP="003D0253">
      <w:pPr>
        <w:pStyle w:val="Prrafodelista"/>
        <w:numPr>
          <w:ilvl w:val="0"/>
          <w:numId w:val="16"/>
        </w:numPr>
        <w:spacing w:line="360" w:lineRule="auto"/>
        <w:ind w:left="1134"/>
        <w:jc w:val="both"/>
        <w:rPr>
          <w:rFonts w:ascii="Palatino Linotype" w:eastAsia="Palatino Linotype" w:hAnsi="Palatino Linotype" w:cs="Palatino Linotype"/>
          <w:i/>
          <w:iCs/>
          <w:color w:val="0D0D0D"/>
        </w:rPr>
      </w:pPr>
      <w:r w:rsidRPr="003D0253">
        <w:rPr>
          <w:rFonts w:ascii="Palatino Linotype" w:eastAsia="Palatino Linotype" w:hAnsi="Palatino Linotype" w:cs="Palatino Linotype"/>
          <w:i/>
          <w:iCs/>
          <w:color w:val="0D0D0D"/>
        </w:rPr>
        <w:t>El lugar donde realizan actividades empresariales, el local, en que se encuentre el principal asiente de sus negocios, y</w:t>
      </w:r>
    </w:p>
    <w:p w:rsidR="00367C66" w:rsidRPr="003D0253" w:rsidRDefault="00D821B4">
      <w:pPr>
        <w:numPr>
          <w:ilvl w:val="0"/>
          <w:numId w:val="5"/>
        </w:numPr>
        <w:spacing w:line="360" w:lineRule="auto"/>
        <w:ind w:left="1134" w:right="900"/>
        <w:jc w:val="both"/>
        <w:rPr>
          <w:rFonts w:ascii="Palatino Linotype" w:eastAsia="Palatino Linotype" w:hAnsi="Palatino Linotype" w:cs="Palatino Linotype"/>
          <w:i/>
          <w:iCs/>
          <w:color w:val="0D0D0D"/>
        </w:rPr>
      </w:pPr>
      <w:r w:rsidRPr="003D0253">
        <w:rPr>
          <w:rFonts w:ascii="Palatino Linotype" w:eastAsia="Palatino Linotype" w:hAnsi="Palatino Linotype" w:cs="Palatino Linotype"/>
          <w:i/>
          <w:iCs/>
          <w:color w:val="0D0D0D"/>
        </w:rPr>
        <w:t>La casa habitación, cuando no cuenta con un local o lugar donde realice las acciones previamente señaladas.</w:t>
      </w:r>
    </w:p>
    <w:p w:rsidR="00367C66" w:rsidRPr="003D0253" w:rsidRDefault="00D821B4">
      <w:pPr>
        <w:spacing w:line="360" w:lineRule="auto"/>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 xml:space="preserve"> </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 xml:space="preserve">Mientras que, en el caso de personas morales, el domicilio fiscal, corresponderá al local donde se encuentra la administración principal del negocio. Como se logra observar, el </w:t>
      </w:r>
      <w:r w:rsidRPr="003D0253">
        <w:rPr>
          <w:rFonts w:ascii="Palatino Linotype" w:eastAsia="Palatino Linotype" w:hAnsi="Palatino Linotype" w:cs="Palatino Linotype"/>
          <w:color w:val="0D0D0D"/>
        </w:rPr>
        <w:lastRenderedPageBreak/>
        <w:t>domicilio fiscal de los proveedores personas físicas, se encuentra en dos supuestos, por lo que, se procede a su análisis.</w:t>
      </w:r>
    </w:p>
    <w:p w:rsidR="00367C66" w:rsidRPr="003D0253" w:rsidRDefault="00367C66">
      <w:pPr>
        <w:pBdr>
          <w:top w:val="nil"/>
          <w:left w:val="nil"/>
          <w:bottom w:val="nil"/>
          <w:right w:val="nil"/>
          <w:between w:val="nil"/>
        </w:pBdr>
        <w:spacing w:line="360" w:lineRule="auto"/>
        <w:jc w:val="both"/>
        <w:rPr>
          <w:rFonts w:ascii="Palatino Linotype" w:eastAsia="Palatino Linotype" w:hAnsi="Palatino Linotype" w:cs="Palatino Linotype"/>
          <w:color w:val="0D0D0D"/>
        </w:rPr>
      </w:pP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jurídicas o de beneficio de cualquier orbe con las instituciones públicas, tienen una expectativa de privacidad menor, respecto del resto de las personas,  situación que debe ser transparentada.</w:t>
      </w:r>
    </w:p>
    <w:p w:rsidR="00367C66" w:rsidRPr="003D0253" w:rsidRDefault="00367C66">
      <w:pPr>
        <w:spacing w:line="360" w:lineRule="auto"/>
        <w:jc w:val="both"/>
        <w:rPr>
          <w:rFonts w:ascii="Palatino Linotype" w:eastAsia="Palatino Linotype" w:hAnsi="Palatino Linotype" w:cs="Palatino Linotype"/>
          <w:color w:val="0D0D0D"/>
        </w:rPr>
      </w:pPr>
    </w:p>
    <w:p w:rsidR="00367C66"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D0D0D"/>
        </w:rPr>
        <w:t>Ahora bien, en el caso de que el domicilio corresponda al lugar donde realiza sus actividades empresariales, como es el caso de las personas morales, se considera necesario traer a colación,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por lo que, es obligación de transparencia proporcionar el domicilio fiscal de los proveedores, por lo que, se considera que, en el caso, de que dicho dato, corresponda a un local o lugar donde realice sus actividades empresariales, se debe entregar.</w:t>
      </w:r>
    </w:p>
    <w:p w:rsidR="003D0253" w:rsidRPr="003D0253" w:rsidRDefault="003D0253" w:rsidP="003D0253">
      <w:pPr>
        <w:pBdr>
          <w:top w:val="nil"/>
          <w:left w:val="nil"/>
          <w:bottom w:val="nil"/>
          <w:right w:val="nil"/>
          <w:between w:val="nil"/>
        </w:pBdr>
        <w:spacing w:line="360" w:lineRule="auto"/>
        <w:jc w:val="both"/>
        <w:rPr>
          <w:rFonts w:ascii="Palatino Linotype" w:eastAsia="Palatino Linotype" w:hAnsi="Palatino Linotype" w:cs="Palatino Linotype"/>
          <w:color w:val="0D0D0D"/>
        </w:rPr>
      </w:pPr>
    </w:p>
    <w:p w:rsidR="00367C66" w:rsidRPr="003D0253" w:rsidRDefault="00D821B4">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b/>
          <w:bCs/>
          <w:color w:val="000000"/>
        </w:rPr>
        <w:lastRenderedPageBreak/>
        <w:t>Número de Cédula Profesional</w:t>
      </w: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color w:val="000000"/>
        </w:rPr>
        <w:t xml:space="preserve">Por cuanto hace al </w:t>
      </w:r>
      <w:r w:rsidRPr="003D0253">
        <w:rPr>
          <w:rFonts w:ascii="Palatino Linotype" w:eastAsia="Palatino Linotype" w:hAnsi="Palatino Linotype" w:cs="Palatino Linotype"/>
          <w:b/>
          <w:bCs/>
          <w:color w:val="000000"/>
        </w:rPr>
        <w:t>Número de Cédula Profesional</w:t>
      </w:r>
      <w:r w:rsidRPr="003D0253">
        <w:rPr>
          <w:rFonts w:ascii="Palatino Linotype" w:eastAsia="Palatino Linotype" w:hAnsi="Palatino Linotype" w:cs="Palatino Linotype"/>
          <w:color w:val="000000"/>
        </w:rPr>
        <w:t>, es un dato que es susceptible de consulta en el Registro Nacional de Profesiones que se localiza en la página electrónica de la Secretaría de Educación Pública y/o equivalente de las entidades federativas, es decir, es un dato que obra en registros públicos</w:t>
      </w:r>
      <w:r w:rsidRPr="003D0253">
        <w:rPr>
          <w:rFonts w:ascii="Palatino Linotype" w:eastAsia="Palatino Linotype" w:hAnsi="Palatino Linotype" w:cs="Palatino Linotype"/>
          <w:b/>
          <w:bCs/>
          <w:color w:val="000000"/>
        </w:rPr>
        <w:t xml:space="preserve">, no susceptible de actualizar causal alguna de clasificación, </w:t>
      </w:r>
      <w:r w:rsidRPr="003D0253">
        <w:rPr>
          <w:rFonts w:ascii="Palatino Linotype" w:eastAsia="Palatino Linotype" w:hAnsi="Palatino Linotype" w:cs="Palatino Linotype"/>
          <w:color w:val="000000"/>
        </w:rPr>
        <w:t xml:space="preserve"> por lo que de dicha consulta es posible conocer también el nombre del profesionista relacionado a tal número de cédula;  constituye por tanto dentro del contrato de compra de los bienes adquiridos por el ayuntamiento un medio de dar certeza respecto a que los estados financieros presentados como requisito para la celebración del contrato hayan sido procesados por un profesional en la materia.</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b/>
          <w:bCs/>
          <w:color w:val="000000"/>
        </w:rPr>
      </w:pPr>
    </w:p>
    <w:p w:rsidR="00367C66" w:rsidRPr="003D0253" w:rsidRDefault="00D821B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3D0253">
        <w:rPr>
          <w:rFonts w:ascii="Palatino Linotype" w:eastAsia="Palatino Linotype" w:hAnsi="Palatino Linotype" w:cs="Palatino Linotype"/>
          <w:color w:val="000000"/>
        </w:rPr>
        <w:t xml:space="preserve">Ahora bien, existen datos que si bien fueron testados por ser susceptibles de ser clasificados, los mismos no fueron acompañados por el Acuerdo del Comité de Transparencia que funde y motive tal clasificación a saber y de forma enunciativa </w:t>
      </w:r>
    </w:p>
    <w:p w:rsidR="00367C66" w:rsidRPr="003D0253" w:rsidRDefault="00367C66">
      <w:pPr>
        <w:spacing w:line="360" w:lineRule="auto"/>
        <w:jc w:val="both"/>
        <w:rPr>
          <w:rFonts w:ascii="Palatino Linotype" w:eastAsia="Palatino Linotype" w:hAnsi="Palatino Linotype" w:cs="Palatino Linotype"/>
        </w:rPr>
      </w:pPr>
    </w:p>
    <w:p w:rsidR="00367C66" w:rsidRPr="003D0253" w:rsidRDefault="00D821B4">
      <w:pPr>
        <w:numPr>
          <w:ilvl w:val="0"/>
          <w:numId w:val="6"/>
        </w:numPr>
        <w:pBdr>
          <w:top w:val="nil"/>
          <w:left w:val="nil"/>
          <w:bottom w:val="nil"/>
          <w:right w:val="nil"/>
          <w:between w:val="nil"/>
        </w:pBdr>
        <w:ind w:left="0" w:firstLine="0"/>
        <w:rPr>
          <w:rFonts w:ascii="Palatino Linotype" w:eastAsia="Palatino Linotype" w:hAnsi="Palatino Linotype" w:cs="Palatino Linotype"/>
          <w:color w:val="000000"/>
        </w:rPr>
      </w:pPr>
      <w:r w:rsidRPr="003D0253">
        <w:rPr>
          <w:rFonts w:ascii="Palatino Linotype" w:eastAsia="Palatino Linotype" w:hAnsi="Palatino Linotype" w:cs="Palatino Linotype"/>
          <w:b/>
          <w:bCs/>
          <w:color w:val="000000"/>
        </w:rPr>
        <w:t>Número y folio de credencial de elector del representante legal del proveedor</w:t>
      </w:r>
      <w:r w:rsidRPr="003D0253">
        <w:rPr>
          <w:rFonts w:ascii="Palatino Linotype" w:eastAsia="Palatino Linotype" w:hAnsi="Palatino Linotype" w:cs="Palatino Linotype"/>
          <w:color w:val="000000"/>
        </w:rPr>
        <w:t>.</w:t>
      </w:r>
    </w:p>
    <w:p w:rsidR="00367C66" w:rsidRPr="003D0253" w:rsidRDefault="00D821B4">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La Credencial para Votar constituyen datos personales el nombre, domicilio, huella digital, fotografía del elector, clave de registro o elector, Clave Única del Registro de Población y firma, tal como se refiere en el artículo 156 numeral 1, incisos d), g) e i) de la Ley General de Instituciones y Procedimientos Electorales que enlista los datos que, cuando menos, debe contener la credencial para votar, como son: </w:t>
      </w: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r w:rsidRPr="003D0253">
        <w:rPr>
          <w:rFonts w:ascii="Palatino Linotype" w:eastAsia="Palatino Linotype" w:hAnsi="Palatino Linotype" w:cs="Palatino Linotype"/>
          <w:b/>
          <w:bCs/>
          <w:i/>
          <w:iCs/>
        </w:rPr>
        <w:t>Artículo 156</w:t>
      </w:r>
      <w:r w:rsidRPr="003D0253">
        <w:rPr>
          <w:rFonts w:ascii="Palatino Linotype" w:eastAsia="Palatino Linotype" w:hAnsi="Palatino Linotype" w:cs="Palatino Linotype"/>
          <w:i/>
          <w:iCs/>
        </w:rPr>
        <w:t>.</w:t>
      </w: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b/>
          <w:bCs/>
          <w:i/>
          <w:iCs/>
        </w:rPr>
        <w:t>1.</w:t>
      </w:r>
      <w:r w:rsidRPr="003D0253">
        <w:rPr>
          <w:rFonts w:ascii="Palatino Linotype" w:eastAsia="Palatino Linotype" w:hAnsi="Palatino Linotype" w:cs="Palatino Linotype"/>
          <w:i/>
          <w:iCs/>
        </w:rPr>
        <w:t xml:space="preserve"> </w:t>
      </w:r>
      <w:r w:rsidRPr="003D0253">
        <w:rPr>
          <w:rFonts w:ascii="Palatino Linotype" w:eastAsia="Palatino Linotype" w:hAnsi="Palatino Linotype" w:cs="Palatino Linotype"/>
          <w:b/>
          <w:bCs/>
          <w:i/>
          <w:iCs/>
          <w:u w:val="single"/>
        </w:rPr>
        <w:t>La credencial para votar deberá contener, cuando menos, los siguientes datos del elector</w:t>
      </w:r>
      <w:r w:rsidRPr="003D0253">
        <w:rPr>
          <w:rFonts w:ascii="Palatino Linotype" w:eastAsia="Palatino Linotype" w:hAnsi="Palatino Linotype" w:cs="Palatino Linotype"/>
          <w:i/>
          <w:iCs/>
        </w:rPr>
        <w:t>:</w:t>
      </w: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lastRenderedPageBreak/>
        <w:t>…</w:t>
      </w: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 xml:space="preserve">d) </w:t>
      </w:r>
      <w:r w:rsidRPr="003D0253">
        <w:rPr>
          <w:rFonts w:ascii="Palatino Linotype" w:eastAsia="Palatino Linotype" w:hAnsi="Palatino Linotype" w:cs="Palatino Linotype"/>
          <w:b/>
          <w:bCs/>
          <w:i/>
          <w:iCs/>
          <w:u w:val="single"/>
        </w:rPr>
        <w:t>Domicilio</w:t>
      </w:r>
      <w:r w:rsidRPr="003D0253">
        <w:rPr>
          <w:rFonts w:ascii="Palatino Linotype" w:eastAsia="Palatino Linotype" w:hAnsi="Palatino Linotype" w:cs="Palatino Linotype"/>
          <w:i/>
          <w:iCs/>
        </w:rPr>
        <w:t>;</w:t>
      </w: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 xml:space="preserve">g) </w:t>
      </w:r>
      <w:r w:rsidRPr="003D0253">
        <w:rPr>
          <w:rFonts w:ascii="Palatino Linotype" w:eastAsia="Palatino Linotype" w:hAnsi="Palatino Linotype" w:cs="Palatino Linotype"/>
          <w:b/>
          <w:bCs/>
          <w:i/>
          <w:iCs/>
        </w:rPr>
        <w:t>Firma</w:t>
      </w:r>
      <w:r w:rsidRPr="003D0253">
        <w:rPr>
          <w:rFonts w:ascii="Palatino Linotype" w:eastAsia="Palatino Linotype" w:hAnsi="Palatino Linotype" w:cs="Palatino Linotype"/>
          <w:i/>
          <w:iCs/>
        </w:rPr>
        <w:t xml:space="preserve">, </w:t>
      </w:r>
      <w:r w:rsidRPr="003D0253">
        <w:rPr>
          <w:rFonts w:ascii="Palatino Linotype" w:eastAsia="Palatino Linotype" w:hAnsi="Palatino Linotype" w:cs="Palatino Linotype"/>
          <w:b/>
          <w:bCs/>
          <w:i/>
          <w:iCs/>
          <w:u w:val="single"/>
        </w:rPr>
        <w:t>huella digital</w:t>
      </w:r>
      <w:r w:rsidRPr="003D0253">
        <w:rPr>
          <w:rFonts w:ascii="Palatino Linotype" w:eastAsia="Palatino Linotype" w:hAnsi="Palatino Linotype" w:cs="Palatino Linotype"/>
          <w:i/>
          <w:iCs/>
        </w:rPr>
        <w:t xml:space="preserve"> y </w:t>
      </w:r>
      <w:r w:rsidRPr="003D0253">
        <w:rPr>
          <w:rFonts w:ascii="Palatino Linotype" w:eastAsia="Palatino Linotype" w:hAnsi="Palatino Linotype" w:cs="Palatino Linotype"/>
          <w:b/>
          <w:bCs/>
          <w:i/>
          <w:iCs/>
          <w:u w:val="single"/>
        </w:rPr>
        <w:t>fotografía del elector</w:t>
      </w:r>
      <w:r w:rsidRPr="003D0253">
        <w:rPr>
          <w:rFonts w:ascii="Palatino Linotype" w:eastAsia="Palatino Linotype" w:hAnsi="Palatino Linotype" w:cs="Palatino Linotype"/>
          <w:i/>
          <w:iCs/>
        </w:rPr>
        <w:t>;</w:t>
      </w: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w:t>
      </w: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 xml:space="preserve">i) </w:t>
      </w:r>
      <w:r w:rsidRPr="003D0253">
        <w:rPr>
          <w:rFonts w:ascii="Palatino Linotype" w:eastAsia="Palatino Linotype" w:hAnsi="Palatino Linotype" w:cs="Palatino Linotype"/>
          <w:b/>
          <w:bCs/>
          <w:i/>
          <w:iCs/>
          <w:u w:val="single"/>
        </w:rPr>
        <w:t>Clave Única del Registro de Población</w:t>
      </w:r>
      <w:r w:rsidRPr="003D0253">
        <w:rPr>
          <w:rFonts w:ascii="Palatino Linotype" w:eastAsia="Palatino Linotype" w:hAnsi="Palatino Linotype" w:cs="Palatino Linotype"/>
          <w:i/>
          <w:iCs/>
        </w:rPr>
        <w:t>. ” (Sic)</w:t>
      </w:r>
    </w:p>
    <w:p w:rsidR="00367C66" w:rsidRPr="003D0253" w:rsidRDefault="00367C66">
      <w:pPr>
        <w:tabs>
          <w:tab w:val="left" w:pos="8222"/>
        </w:tabs>
        <w:ind w:left="851" w:right="902"/>
        <w:jc w:val="both"/>
        <w:rPr>
          <w:rFonts w:ascii="Palatino Linotype" w:eastAsia="Palatino Linotype" w:hAnsi="Palatino Linotype" w:cs="Palatino Linotype"/>
          <w:i/>
          <w:iCs/>
        </w:rPr>
      </w:pPr>
    </w:p>
    <w:p w:rsidR="00367C66" w:rsidRPr="003D0253" w:rsidRDefault="00D821B4">
      <w:pPr>
        <w:tabs>
          <w:tab w:val="left" w:pos="8222"/>
        </w:tabs>
        <w:ind w:left="851" w:right="902"/>
        <w:jc w:val="both"/>
        <w:rPr>
          <w:rFonts w:ascii="Palatino Linotype" w:eastAsia="Palatino Linotype" w:hAnsi="Palatino Linotype" w:cs="Palatino Linotype"/>
          <w:i/>
          <w:iCs/>
        </w:rPr>
      </w:pPr>
      <w:r w:rsidRPr="003D0253">
        <w:rPr>
          <w:rFonts w:ascii="Palatino Linotype" w:eastAsia="Palatino Linotype" w:hAnsi="Palatino Linotype" w:cs="Palatino Linotype"/>
          <w:i/>
          <w:iCs/>
        </w:rPr>
        <w:t>Énfasis añadido.</w:t>
      </w:r>
    </w:p>
    <w:p w:rsidR="00367C66" w:rsidRPr="003D0253" w:rsidRDefault="00367C66">
      <w:pPr>
        <w:tabs>
          <w:tab w:val="left" w:pos="8222"/>
        </w:tabs>
        <w:ind w:left="851" w:right="902"/>
        <w:jc w:val="both"/>
        <w:rPr>
          <w:rFonts w:ascii="Palatino Linotype" w:eastAsia="Palatino Linotype" w:hAnsi="Palatino Linotype" w:cs="Palatino Linotype"/>
          <w:i/>
          <w:iCs/>
        </w:rPr>
      </w:pPr>
    </w:p>
    <w:p w:rsidR="00367C66" w:rsidRPr="003D0253" w:rsidRDefault="00D821B4">
      <w:pPr>
        <w:numPr>
          <w:ilvl w:val="0"/>
          <w:numId w:val="1"/>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Así, el conocimiento de dichos datos afecta la esfera más íntima de su Titular, en razón de que su utilización indebida pueda dar origen a un riesgo grave para éste.</w:t>
      </w:r>
    </w:p>
    <w:p w:rsidR="00367C66" w:rsidRPr="003D0253" w:rsidRDefault="00367C6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67C66" w:rsidRPr="003D0253" w:rsidRDefault="00D821B4">
      <w:pPr>
        <w:numPr>
          <w:ilvl w:val="0"/>
          <w:numId w:val="1"/>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Asimismo, en el caso particular de la clave de elector, debe precisarse que es un código alfa numérico compuesto por letras de los apellidos y nombre de la persona, seguido de la fecha de nacimiento y finalmente una serie de números indispensables para su inscripción en el Registro Federal de Electores que, a su vez, hace identificable a la persona que corresponde dicha credencial para votar, tan es así, que el Sistema de Administración Tributaria en su catálogo de trámites contempla como identificación oficial los siguientes documentos:</w:t>
      </w:r>
    </w:p>
    <w:p w:rsidR="00367C66" w:rsidRPr="003D0253" w:rsidRDefault="00D821B4">
      <w:pPr>
        <w:spacing w:before="240" w:after="240" w:line="360" w:lineRule="auto"/>
        <w:ind w:right="49"/>
        <w:jc w:val="center"/>
        <w:rPr>
          <w:rFonts w:ascii="Palatino Linotype" w:eastAsia="Palatino Linotype" w:hAnsi="Palatino Linotype" w:cs="Palatino Linotype"/>
        </w:rPr>
      </w:pPr>
      <w:r w:rsidRPr="003D0253">
        <w:rPr>
          <w:rFonts w:ascii="Palatino Linotype" w:eastAsia="Palatino Linotype" w:hAnsi="Palatino Linotype" w:cs="Palatino Linotype"/>
          <w:noProof/>
          <w:lang w:val="es-MX"/>
        </w:rPr>
        <w:drawing>
          <wp:inline distT="0" distB="0" distL="0" distR="0">
            <wp:extent cx="3880778" cy="1929187"/>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b="2760"/>
                    <a:stretch>
                      <a:fillRect/>
                    </a:stretch>
                  </pic:blipFill>
                  <pic:spPr>
                    <a:xfrm>
                      <a:off x="0" y="0"/>
                      <a:ext cx="3880778" cy="1929187"/>
                    </a:xfrm>
                    <a:prstGeom prst="rect">
                      <a:avLst/>
                    </a:prstGeom>
                    <a:ln/>
                  </pic:spPr>
                </pic:pic>
              </a:graphicData>
            </a:graphic>
          </wp:inline>
        </w:drawing>
      </w:r>
      <w:r w:rsidRPr="003D0253">
        <w:rPr>
          <w:noProof/>
          <w:lang w:val="es-MX"/>
        </w:rPr>
        <mc:AlternateContent>
          <mc:Choice Requires="wpg">
            <w:drawing>
              <wp:anchor distT="0" distB="0" distL="114300" distR="114300" simplePos="0" relativeHeight="251658240" behindDoc="0" locked="0" layoutInCell="1" hidden="0" allowOverlap="1">
                <wp:simplePos x="0" y="0"/>
                <wp:positionH relativeFrom="column">
                  <wp:posOffset>972260</wp:posOffset>
                </wp:positionH>
                <wp:positionV relativeFrom="paragraph">
                  <wp:posOffset>1633093</wp:posOffset>
                </wp:positionV>
                <wp:extent cx="3397913" cy="26348"/>
                <wp:effectExtent l="0" t="0" r="0" b="0"/>
                <wp:wrapNone/>
                <wp:docPr id="2" name="Conector recto de flecha 2"/>
                <wp:cNvGraphicFramePr/>
                <a:graphic xmlns:a="http://schemas.openxmlformats.org/drawingml/2006/main">
                  <a:graphicData uri="http://schemas.microsoft.com/office/word/2010/wordprocessingShape">
                    <wps:wsp>
                      <wps:cNvCnPr/>
                      <wps:spPr>
                        <a:xfrm>
                          <a:off x="3653394" y="3773176"/>
                          <a:ext cx="3385213" cy="13648"/>
                        </a:xfrm>
                        <a:prstGeom prst="straightConnector1">
                          <a:avLst/>
                        </a:prstGeom>
                        <a:noFill/>
                        <a:ln w="12700" cap="flat" cmpd="sng">
                          <a:solidFill>
                            <a:srgbClr val="FF0000"/>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972260</wp:posOffset>
                </wp:positionH>
                <wp:positionV relativeFrom="paragraph">
                  <wp:posOffset>1633093</wp:posOffset>
                </wp:positionV>
                <wp:extent cx="3397913" cy="26348"/>
                <wp:effectExtent b="0" l="0" r="0" t="0"/>
                <wp:wrapNone/>
                <wp:docPr id="2"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3397913" cy="26348"/>
                        </a:xfrm>
                        <a:prstGeom prst="rect"/>
                        <a:ln/>
                      </pic:spPr>
                    </pic:pic>
                  </a:graphicData>
                </a:graphic>
              </wp:anchor>
            </w:drawing>
          </mc:Fallback>
        </mc:AlternateContent>
      </w:r>
    </w:p>
    <w:p w:rsidR="00367C66" w:rsidRPr="003D0253" w:rsidRDefault="00D821B4">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lastRenderedPageBreak/>
        <w:t xml:space="preserve">Respecto a la edad, número identificador (OCR) y código de barras bidimensional y cifrado contenidos en las credenciales para votar, se advierte que se trata de elementos de información, control y presentación, de conformidad a lo señalado por el Instituto Nacional Electoral, en la página de Internet Institucional, http://portalanterior.ine.mx/archivos2/portal/credencial/pdf-credencial/ABC_credenciales_ INE_2015.pdf, como se muestra a continuación, en su parte medular: </w:t>
      </w:r>
    </w:p>
    <w:p w:rsidR="00367C66" w:rsidRPr="003D0253" w:rsidRDefault="00D821B4">
      <w:pPr>
        <w:spacing w:before="240" w:after="240" w:line="360" w:lineRule="auto"/>
        <w:jc w:val="center"/>
        <w:rPr>
          <w:rFonts w:ascii="Palatino Linotype" w:eastAsia="Palatino Linotype" w:hAnsi="Palatino Linotype" w:cs="Palatino Linotype"/>
        </w:rPr>
      </w:pPr>
      <w:r w:rsidRPr="003D0253">
        <w:rPr>
          <w:rFonts w:ascii="Palatino Linotype" w:eastAsia="Palatino Linotype" w:hAnsi="Palatino Linotype" w:cs="Palatino Linotype"/>
          <w:noProof/>
          <w:lang w:val="es-MX"/>
        </w:rPr>
        <w:drawing>
          <wp:inline distT="0" distB="0" distL="0" distR="0">
            <wp:extent cx="5934360" cy="196332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934360" cy="1963320"/>
                    </a:xfrm>
                    <a:prstGeom prst="rect">
                      <a:avLst/>
                    </a:prstGeom>
                    <a:ln/>
                  </pic:spPr>
                </pic:pic>
              </a:graphicData>
            </a:graphic>
          </wp:inline>
        </w:drawing>
      </w:r>
      <w:r w:rsidRPr="003D0253">
        <w:rPr>
          <w:noProof/>
          <w:lang w:val="es-MX"/>
        </w:rPr>
        <mc:AlternateContent>
          <mc:Choice Requires="wps">
            <w:drawing>
              <wp:anchor distT="0" distB="0" distL="114300" distR="114300" simplePos="0" relativeHeight="251659264" behindDoc="0" locked="0" layoutInCell="1" hidden="0" allowOverlap="1">
                <wp:simplePos x="0" y="0"/>
                <wp:positionH relativeFrom="column">
                  <wp:posOffset>1290320</wp:posOffset>
                </wp:positionH>
                <wp:positionV relativeFrom="paragraph">
                  <wp:posOffset>297790</wp:posOffset>
                </wp:positionV>
                <wp:extent cx="2707659" cy="317500"/>
                <wp:effectExtent l="0" t="0" r="0" b="0"/>
                <wp:wrapNone/>
                <wp:docPr id="4" name="Rectángulo 4"/>
                <wp:cNvGraphicFramePr/>
                <a:graphic xmlns:a="http://schemas.openxmlformats.org/drawingml/2006/main">
                  <a:graphicData uri="http://schemas.microsoft.com/office/word/2010/wordprocessingShape">
                    <wps:wsp>
                      <wps:cNvSpPr/>
                      <wps:spPr>
                        <a:xfrm>
                          <a:off x="4001696" y="3630775"/>
                          <a:ext cx="2688609" cy="298450"/>
                        </a:xfrm>
                        <a:prstGeom prst="rect">
                          <a:avLst/>
                        </a:prstGeom>
                        <a:noFill/>
                        <a:ln w="19050" cap="flat" cmpd="sng">
                          <a:solidFill>
                            <a:srgbClr val="FF0000"/>
                          </a:solidFill>
                          <a:prstDash val="solid"/>
                          <a:miter lim="8000"/>
                          <a:headEnd type="none" w="sm" len="sm"/>
                          <a:tailEnd type="none" w="sm" len="sm"/>
                        </a:ln>
                      </wps:spPr>
                      <wps:txbx>
                        <w:txbxContent>
                          <w:p w:rsidR="00367C66" w:rsidRDefault="00367C66">
                            <w:pPr>
                              <w:textDirection w:val="btLr"/>
                            </w:pPr>
                          </w:p>
                        </w:txbxContent>
                      </wps:txbx>
                      <wps:bodyPr spcFirstLastPara="1" wrap="square" lIns="91425" tIns="91425" rIns="91425" bIns="91425" anchor="ctr" anchorCtr="0">
                        <a:noAutofit/>
                      </wps:bodyPr>
                    </wps:wsp>
                  </a:graphicData>
                </a:graphic>
              </wp:anchor>
            </w:drawing>
          </mc:Choice>
          <mc:Fallback>
            <w:pict>
              <v:rect id="Rectángulo 4" o:spid="_x0000_s1026" style="position:absolute;left:0;text-align:left;margin-left:101.6pt;margin-top:23.45pt;width:213.2pt;height: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" filled="f" strokecolor="red" strokeweight="1.5pt">
                <v:stroke startarrowwidth="narrow" startarrowlength="short" endarrowwidth="narrow" endarrowlength="short" miterlimit="5243f"/>
                <v:textbox inset="2.53958mm,2.53958mm,2.53958mm,2.53958mm">
                  <w:txbxContent>
                    <w:p w:rsidR="00367C66" w:rsidRDefault="00367C66">
                      <w:pPr>
                        <w:textDirection w:val="btLr"/>
                      </w:pPr>
                    </w:p>
                  </w:txbxContent>
                </v:textbox>
              </v:rect>
            </w:pict>
          </mc:Fallback>
        </mc:AlternateContent>
      </w:r>
      <w:r w:rsidRPr="003D0253">
        <w:rPr>
          <w:noProof/>
          <w:lang w:val="es-MX"/>
        </w:rPr>
        <mc:AlternateContent>
          <mc:Choice Requires="wps">
            <w:drawing>
              <wp:anchor distT="0" distB="0" distL="114300" distR="114300" simplePos="0" relativeHeight="251660288" behindDoc="0" locked="0" layoutInCell="1" hidden="0" allowOverlap="1">
                <wp:simplePos x="0" y="0"/>
                <wp:positionH relativeFrom="column">
                  <wp:posOffset>205739</wp:posOffset>
                </wp:positionH>
                <wp:positionV relativeFrom="paragraph">
                  <wp:posOffset>812523</wp:posOffset>
                </wp:positionV>
                <wp:extent cx="783324" cy="544489"/>
                <wp:effectExtent l="0" t="0" r="0" b="0"/>
                <wp:wrapNone/>
                <wp:docPr id="6" name="Rectángulo 6"/>
                <wp:cNvGraphicFramePr/>
                <a:graphic xmlns:a="http://schemas.openxmlformats.org/drawingml/2006/main">
                  <a:graphicData uri="http://schemas.microsoft.com/office/word/2010/wordprocessingShape">
                    <wps:wsp>
                      <wps:cNvSpPr/>
                      <wps:spPr>
                        <a:xfrm>
                          <a:off x="4963863" y="3517281"/>
                          <a:ext cx="764274" cy="525439"/>
                        </a:xfrm>
                        <a:prstGeom prst="rect">
                          <a:avLst/>
                        </a:prstGeom>
                        <a:noFill/>
                        <a:ln w="19050" cap="flat" cmpd="sng">
                          <a:solidFill>
                            <a:srgbClr val="FF0000"/>
                          </a:solidFill>
                          <a:prstDash val="solid"/>
                          <a:miter lim="8000"/>
                          <a:headEnd type="none" w="sm" len="sm"/>
                          <a:tailEnd type="none" w="sm" len="sm"/>
                        </a:ln>
                      </wps:spPr>
                      <wps:txbx>
                        <w:txbxContent>
                          <w:p w:rsidR="00367C66" w:rsidRDefault="00367C66">
                            <w:pPr>
                              <w:textDirection w:val="btLr"/>
                            </w:pPr>
                          </w:p>
                        </w:txbxContent>
                      </wps:txbx>
                      <wps:bodyPr spcFirstLastPara="1" wrap="square" lIns="91425" tIns="91425" rIns="91425" bIns="91425" anchor="ctr" anchorCtr="0">
                        <a:noAutofit/>
                      </wps:bodyPr>
                    </wps:wsp>
                  </a:graphicData>
                </a:graphic>
              </wp:anchor>
            </w:drawing>
          </mc:Choice>
          <mc:Fallback>
            <w:pict>
              <v:rect id="Rectángulo 6" o:spid="_x0000_s1027" style="position:absolute;left:0;text-align:left;margin-left:16.2pt;margin-top:64pt;width:61.7pt;height:4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" filled="f" strokecolor="red" strokeweight="1.5pt">
                <v:stroke startarrowwidth="narrow" startarrowlength="short" endarrowwidth="narrow" endarrowlength="short" miterlimit="5243f"/>
                <v:textbox inset="2.53958mm,2.53958mm,2.53958mm,2.53958mm">
                  <w:txbxContent>
                    <w:p w:rsidR="00367C66" w:rsidRDefault="00367C66">
                      <w:pPr>
                        <w:textDirection w:val="btLr"/>
                      </w:pPr>
                    </w:p>
                  </w:txbxContent>
                </v:textbox>
              </v:rect>
            </w:pict>
          </mc:Fallback>
        </mc:AlternateContent>
      </w:r>
    </w:p>
    <w:p w:rsidR="00367C66" w:rsidRPr="003D0253" w:rsidRDefault="00D821B4">
      <w:pPr>
        <w:widowControl w:val="0"/>
        <w:spacing w:before="240" w:after="240" w:line="360" w:lineRule="auto"/>
        <w:jc w:val="center"/>
        <w:rPr>
          <w:rFonts w:ascii="Palatino Linotype" w:eastAsia="Palatino Linotype" w:hAnsi="Palatino Linotype" w:cs="Palatino Linotype"/>
        </w:rPr>
      </w:pPr>
      <w:r w:rsidRPr="003D0253">
        <w:rPr>
          <w:rFonts w:ascii="Palatino Linotype" w:eastAsia="Palatino Linotype" w:hAnsi="Palatino Linotype" w:cs="Palatino Linotype"/>
          <w:noProof/>
          <w:lang w:val="es-MX"/>
        </w:rPr>
        <w:drawing>
          <wp:inline distT="0" distB="0" distL="0" distR="0">
            <wp:extent cx="5844648" cy="2591513"/>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844648" cy="2591513"/>
                    </a:xfrm>
                    <a:prstGeom prst="rect">
                      <a:avLst/>
                    </a:prstGeom>
                    <a:ln/>
                  </pic:spPr>
                </pic:pic>
              </a:graphicData>
            </a:graphic>
          </wp:inline>
        </w:drawing>
      </w:r>
      <w:r w:rsidRPr="003D0253">
        <w:rPr>
          <w:noProof/>
          <w:lang w:val="es-MX"/>
        </w:rPr>
        <mc:AlternateContent>
          <mc:Choice Requires="wps">
            <w:drawing>
              <wp:anchor distT="0" distB="0" distL="114300" distR="114300" simplePos="0" relativeHeight="251661312" behindDoc="0" locked="0" layoutInCell="1" hidden="0" allowOverlap="1">
                <wp:simplePos x="0" y="0"/>
                <wp:positionH relativeFrom="column">
                  <wp:posOffset>1140460</wp:posOffset>
                </wp:positionH>
                <wp:positionV relativeFrom="paragraph">
                  <wp:posOffset>196850</wp:posOffset>
                </wp:positionV>
                <wp:extent cx="2523414" cy="469426"/>
                <wp:effectExtent l="0" t="0" r="0" b="0"/>
                <wp:wrapNone/>
                <wp:docPr id="1" name="Rectángulo 1"/>
                <wp:cNvGraphicFramePr/>
                <a:graphic xmlns:a="http://schemas.openxmlformats.org/drawingml/2006/main">
                  <a:graphicData uri="http://schemas.microsoft.com/office/word/2010/wordprocessingShape">
                    <wps:wsp>
                      <wps:cNvSpPr/>
                      <wps:spPr>
                        <a:xfrm>
                          <a:off x="4093818" y="3554812"/>
                          <a:ext cx="2504364" cy="450376"/>
                        </a:xfrm>
                        <a:prstGeom prst="rect">
                          <a:avLst/>
                        </a:prstGeom>
                        <a:noFill/>
                        <a:ln w="19050" cap="flat" cmpd="sng">
                          <a:solidFill>
                            <a:srgbClr val="FF0000"/>
                          </a:solidFill>
                          <a:prstDash val="solid"/>
                          <a:miter lim="8000"/>
                          <a:headEnd type="none" w="sm" len="sm"/>
                          <a:tailEnd type="none" w="sm" len="sm"/>
                        </a:ln>
                      </wps:spPr>
                      <wps:txbx>
                        <w:txbxContent>
                          <w:p w:rsidR="00367C66" w:rsidRDefault="00367C66">
                            <w:pPr>
                              <w:textDirection w:val="btLr"/>
                            </w:pPr>
                          </w:p>
                        </w:txbxContent>
                      </wps:txbx>
                      <wps:bodyPr spcFirstLastPara="1" wrap="square" lIns="91425" tIns="91425" rIns="91425" bIns="91425" anchor="ctr" anchorCtr="0">
                        <a:noAutofit/>
                      </wps:bodyPr>
                    </wps:wsp>
                  </a:graphicData>
                </a:graphic>
              </wp:anchor>
            </w:drawing>
          </mc:Choice>
          <mc:Fallback>
            <w:pict>
              <v:rect id="Rectángulo 1" o:spid="_x0000_s1028" style="position:absolute;left:0;text-align:left;margin-left:89.8pt;margin-top:15.5pt;width:198.7pt;height:36.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" filled="f" strokecolor="red" strokeweight="1.5pt">
                <v:stroke startarrowwidth="narrow" startarrowlength="short" endarrowwidth="narrow" endarrowlength="short" miterlimit="5243f"/>
                <v:textbox inset="2.53958mm,2.53958mm,2.53958mm,2.53958mm">
                  <w:txbxContent>
                    <w:p w:rsidR="00367C66" w:rsidRDefault="00367C66">
                      <w:pPr>
                        <w:textDirection w:val="btLr"/>
                      </w:pPr>
                    </w:p>
                  </w:txbxContent>
                </v:textbox>
              </v:rect>
            </w:pict>
          </mc:Fallback>
        </mc:AlternateContent>
      </w:r>
      <w:r w:rsidRPr="003D0253">
        <w:rPr>
          <w:noProof/>
          <w:lang w:val="es-MX"/>
        </w:rPr>
        <mc:AlternateContent>
          <mc:Choice Requires="wps">
            <w:drawing>
              <wp:anchor distT="0" distB="0" distL="114300" distR="114300" simplePos="0" relativeHeight="251662336" behindDoc="0" locked="0" layoutInCell="1" hidden="0" allowOverlap="1">
                <wp:simplePos x="0" y="0"/>
                <wp:positionH relativeFrom="column">
                  <wp:posOffset>1139190</wp:posOffset>
                </wp:positionH>
                <wp:positionV relativeFrom="paragraph">
                  <wp:posOffset>1232535</wp:posOffset>
                </wp:positionV>
                <wp:extent cx="2523414" cy="355600"/>
                <wp:effectExtent l="0" t="0" r="0" b="0"/>
                <wp:wrapNone/>
                <wp:docPr id="3" name="Rectángulo 3"/>
                <wp:cNvGraphicFramePr/>
                <a:graphic xmlns:a="http://schemas.openxmlformats.org/drawingml/2006/main">
                  <a:graphicData uri="http://schemas.microsoft.com/office/word/2010/wordprocessingShape">
                    <wps:wsp>
                      <wps:cNvSpPr/>
                      <wps:spPr>
                        <a:xfrm>
                          <a:off x="4093818" y="3611725"/>
                          <a:ext cx="2504364" cy="336550"/>
                        </a:xfrm>
                        <a:prstGeom prst="rect">
                          <a:avLst/>
                        </a:prstGeom>
                        <a:noFill/>
                        <a:ln w="19050" cap="flat" cmpd="sng">
                          <a:solidFill>
                            <a:srgbClr val="FF0000"/>
                          </a:solidFill>
                          <a:prstDash val="solid"/>
                          <a:miter lim="8000"/>
                          <a:headEnd type="none" w="sm" len="sm"/>
                          <a:tailEnd type="none" w="sm" len="sm"/>
                        </a:ln>
                      </wps:spPr>
                      <wps:txbx>
                        <w:txbxContent>
                          <w:p w:rsidR="00367C66" w:rsidRDefault="00367C66">
                            <w:pPr>
                              <w:textDirection w:val="btLr"/>
                            </w:pPr>
                          </w:p>
                        </w:txbxContent>
                      </wps:txbx>
                      <wps:bodyPr spcFirstLastPara="1" wrap="square" lIns="91425" tIns="91425" rIns="91425" bIns="91425" anchor="ctr" anchorCtr="0">
                        <a:noAutofit/>
                      </wps:bodyPr>
                    </wps:wsp>
                  </a:graphicData>
                </a:graphic>
              </wp:anchor>
            </w:drawing>
          </mc:Choice>
          <mc:Fallback>
            <w:pict>
              <v:rect id="Rectángulo 3" o:spid="_x0000_s1029" style="position:absolute;left:0;text-align:left;margin-left:89.7pt;margin-top:97.05pt;width:198.7pt;height:2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" filled="f" strokecolor="red" strokeweight="1.5pt">
                <v:stroke startarrowwidth="narrow" startarrowlength="short" endarrowwidth="narrow" endarrowlength="short" miterlimit="5243f"/>
                <v:textbox inset="2.53958mm,2.53958mm,2.53958mm,2.53958mm">
                  <w:txbxContent>
                    <w:p w:rsidR="00367C66" w:rsidRDefault="00367C66">
                      <w:pPr>
                        <w:textDirection w:val="btLr"/>
                      </w:pPr>
                    </w:p>
                  </w:txbxContent>
                </v:textbox>
              </v:rect>
            </w:pict>
          </mc:Fallback>
        </mc:AlternateContent>
      </w:r>
      <w:r w:rsidRPr="003D0253">
        <w:rPr>
          <w:noProof/>
          <w:lang w:val="es-MX"/>
        </w:rPr>
        <mc:AlternateContent>
          <mc:Choice Requires="wps">
            <w:drawing>
              <wp:anchor distT="0" distB="0" distL="114300" distR="114300" simplePos="0" relativeHeight="251663360" behindDoc="0" locked="0" layoutInCell="1" hidden="0" allowOverlap="1">
                <wp:simplePos x="0" y="0"/>
                <wp:positionH relativeFrom="column">
                  <wp:posOffset>371475</wp:posOffset>
                </wp:positionH>
                <wp:positionV relativeFrom="paragraph">
                  <wp:posOffset>370840</wp:posOffset>
                </wp:positionV>
                <wp:extent cx="394364" cy="1875145"/>
                <wp:effectExtent l="0" t="0" r="0" b="0"/>
                <wp:wrapNone/>
                <wp:docPr id="5" name="Rectángulo 5"/>
                <wp:cNvGraphicFramePr/>
                <a:graphic xmlns:a="http://schemas.openxmlformats.org/drawingml/2006/main">
                  <a:graphicData uri="http://schemas.microsoft.com/office/word/2010/wordprocessingShape">
                    <wps:wsp>
                      <wps:cNvSpPr/>
                      <wps:spPr>
                        <a:xfrm>
                          <a:off x="5158343" y="2851953"/>
                          <a:ext cx="375314" cy="1856095"/>
                        </a:xfrm>
                        <a:prstGeom prst="rect">
                          <a:avLst/>
                        </a:prstGeom>
                        <a:noFill/>
                        <a:ln w="19050" cap="flat" cmpd="sng">
                          <a:solidFill>
                            <a:srgbClr val="FF0000"/>
                          </a:solidFill>
                          <a:prstDash val="solid"/>
                          <a:miter lim="8000"/>
                          <a:headEnd type="none" w="sm" len="sm"/>
                          <a:tailEnd type="none" w="sm" len="sm"/>
                        </a:ln>
                      </wps:spPr>
                      <wps:txbx>
                        <w:txbxContent>
                          <w:p w:rsidR="00367C66" w:rsidRDefault="00367C66">
                            <w:pPr>
                              <w:textDirection w:val="btLr"/>
                            </w:pPr>
                          </w:p>
                        </w:txbxContent>
                      </wps:txbx>
                      <wps:bodyPr spcFirstLastPara="1" wrap="square" lIns="91425" tIns="91425" rIns="91425" bIns="91425" anchor="ctr" anchorCtr="0">
                        <a:noAutofit/>
                      </wps:bodyPr>
                    </wps:wsp>
                  </a:graphicData>
                </a:graphic>
              </wp:anchor>
            </w:drawing>
          </mc:Choice>
          <mc:Fallback>
            <w:pict>
              <v:rect id="Rectángulo 5" o:spid="_x0000_s1030" style="position:absolute;left:0;text-align:left;margin-left:29.25pt;margin-top:29.2pt;width:31.05pt;height:147.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" filled="f" strokecolor="red" strokeweight="1.5pt">
                <v:stroke startarrowwidth="narrow" startarrowlength="short" endarrowwidth="narrow" endarrowlength="short" miterlimit="5243f"/>
                <v:textbox inset="2.53958mm,2.53958mm,2.53958mm,2.53958mm">
                  <w:txbxContent>
                    <w:p w:rsidR="00367C66" w:rsidRDefault="00367C66">
                      <w:pPr>
                        <w:textDirection w:val="btLr"/>
                      </w:pPr>
                    </w:p>
                  </w:txbxContent>
                </v:textbox>
              </v:rect>
            </w:pict>
          </mc:Fallback>
        </mc:AlternateContent>
      </w:r>
    </w:p>
    <w:p w:rsidR="00367C66" w:rsidRPr="003D0253" w:rsidRDefault="00D821B4">
      <w:pPr>
        <w:widowControl w:val="0"/>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 xml:space="preserve">En esa tesitura, en el caso del número identificador (OCR), debe precisarse que éste es </w:t>
      </w:r>
      <w:r w:rsidRPr="003D0253">
        <w:rPr>
          <w:rFonts w:ascii="Palatino Linotype" w:eastAsia="Palatino Linotype" w:hAnsi="Palatino Linotype" w:cs="Palatino Linotype"/>
          <w:color w:val="000000"/>
        </w:rPr>
        <w:lastRenderedPageBreak/>
        <w:t xml:space="preserve">generalmente utilizado en la realización de diversas operaciones bancarias y, en algunos casos, como un medio de identificación de las personas, por lo cual, su conocimiento y utilización, concierne únicamente a su titular. </w:t>
      </w:r>
    </w:p>
    <w:p w:rsidR="00367C66" w:rsidRPr="003D0253" w:rsidRDefault="00D821B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367C66" w:rsidRPr="003D0253" w:rsidRDefault="00367C66">
      <w:pPr>
        <w:spacing w:line="360" w:lineRule="auto"/>
        <w:jc w:val="both"/>
        <w:rPr>
          <w:rFonts w:ascii="Palatino Linotype" w:eastAsia="Palatino Linotype" w:hAnsi="Palatino Linotype" w:cs="Palatino Linotype"/>
        </w:rPr>
      </w:pPr>
    </w:p>
    <w:p w:rsidR="00367C66" w:rsidRPr="003D0253" w:rsidRDefault="00D821B4">
      <w:pPr>
        <w:numPr>
          <w:ilvl w:val="0"/>
          <w:numId w:val="1"/>
        </w:numPr>
        <w:spacing w:line="360" w:lineRule="auto"/>
        <w:ind w:left="0" w:firstLine="0"/>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 xml:space="preserve">Por lo anteriormente expuesto y fundado, este </w:t>
      </w:r>
      <w:r w:rsidRPr="003D0253">
        <w:rPr>
          <w:rFonts w:ascii="Palatino Linotype" w:eastAsia="Palatino Linotype" w:hAnsi="Palatino Linotype" w:cs="Palatino Linotype"/>
          <w:b/>
          <w:bCs/>
          <w:color w:val="000000"/>
        </w:rPr>
        <w:t>ÓRGANO GARANTE</w:t>
      </w:r>
      <w:r w:rsidRPr="003D0253">
        <w:rPr>
          <w:rFonts w:ascii="Palatino Linotype" w:eastAsia="Palatino Linotype" w:hAnsi="Palatino Linotype" w:cs="Palatino Linotype"/>
          <w:color w:val="000000"/>
        </w:rPr>
        <w:t xml:space="preserve"> emite los siguientes:</w:t>
      </w:r>
    </w:p>
    <w:p w:rsidR="00367C66" w:rsidRPr="003D0253" w:rsidRDefault="00D821B4">
      <w:pPr>
        <w:keepNext/>
        <w:keepLines/>
        <w:spacing w:before="240" w:line="360" w:lineRule="auto"/>
        <w:jc w:val="center"/>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R E S O L U T I V O S</w:t>
      </w:r>
    </w:p>
    <w:p w:rsidR="00367C66" w:rsidRPr="003D0253" w:rsidRDefault="00D821B4">
      <w:pPr>
        <w:spacing w:line="360" w:lineRule="auto"/>
        <w:ind w:right="48"/>
        <w:jc w:val="both"/>
        <w:rPr>
          <w:rFonts w:ascii="Palatino Linotype" w:eastAsia="Palatino Linotype" w:hAnsi="Palatino Linotype" w:cs="Palatino Linotype"/>
        </w:rPr>
      </w:pPr>
      <w:r w:rsidRPr="003D0253">
        <w:rPr>
          <w:rFonts w:ascii="Palatino Linotype" w:eastAsia="Palatino Linotype" w:hAnsi="Palatino Linotype" w:cs="Palatino Linotype"/>
          <w:b/>
          <w:bCs/>
        </w:rPr>
        <w:t xml:space="preserve">PRIMERO. </w:t>
      </w:r>
      <w:r w:rsidRPr="003D0253">
        <w:rPr>
          <w:rFonts w:ascii="Palatino Linotype" w:eastAsia="Palatino Linotype" w:hAnsi="Palatino Linotype" w:cs="Palatino Linotype"/>
        </w:rPr>
        <w:t>Resultan parcialmente fundadas las</w:t>
      </w:r>
      <w:r w:rsidRPr="003D0253">
        <w:rPr>
          <w:rFonts w:ascii="Palatino Linotype" w:eastAsia="Palatino Linotype" w:hAnsi="Palatino Linotype" w:cs="Palatino Linotype"/>
          <w:b/>
          <w:bCs/>
        </w:rPr>
        <w:t xml:space="preserve"> </w:t>
      </w:r>
      <w:r w:rsidRPr="003D0253">
        <w:rPr>
          <w:rFonts w:ascii="Palatino Linotype" w:eastAsia="Palatino Linotype" w:hAnsi="Palatino Linotype" w:cs="Palatino Linotype"/>
        </w:rPr>
        <w:t xml:space="preserve">razones o motivos de inconformidad hechos valer en el recursos de revisión </w:t>
      </w:r>
      <w:r w:rsidRPr="003D0253">
        <w:rPr>
          <w:rFonts w:ascii="Palatino Linotype" w:eastAsia="Palatino Linotype" w:hAnsi="Palatino Linotype" w:cs="Palatino Linotype"/>
          <w:b/>
          <w:bCs/>
        </w:rPr>
        <w:t xml:space="preserve">03428/INFOEM/IP/RR/2026, </w:t>
      </w:r>
      <w:r w:rsidRPr="003D0253">
        <w:rPr>
          <w:rFonts w:ascii="Palatino Linotype" w:eastAsia="Palatino Linotype" w:hAnsi="Palatino Linotype" w:cs="Palatino Linotype"/>
        </w:rPr>
        <w:t xml:space="preserve">en términos de los </w:t>
      </w:r>
      <w:r w:rsidRPr="003D0253">
        <w:rPr>
          <w:rFonts w:ascii="Palatino Linotype" w:eastAsia="Palatino Linotype" w:hAnsi="Palatino Linotype" w:cs="Palatino Linotype"/>
          <w:b/>
          <w:bCs/>
        </w:rPr>
        <w:t>considerandos</w:t>
      </w:r>
      <w:r w:rsidRPr="003D0253">
        <w:rPr>
          <w:rFonts w:ascii="Palatino Linotype" w:eastAsia="Palatino Linotype" w:hAnsi="Palatino Linotype" w:cs="Palatino Linotype"/>
        </w:rPr>
        <w:t xml:space="preserve"> </w:t>
      </w:r>
      <w:r w:rsidRPr="003D0253">
        <w:rPr>
          <w:rFonts w:ascii="Palatino Linotype" w:eastAsia="Palatino Linotype" w:hAnsi="Palatino Linotype" w:cs="Palatino Linotype"/>
          <w:b/>
          <w:bCs/>
        </w:rPr>
        <w:t xml:space="preserve">CUARTO y QUINTO </w:t>
      </w:r>
      <w:r w:rsidRPr="003D0253">
        <w:rPr>
          <w:rFonts w:ascii="Palatino Linotype" w:eastAsia="Palatino Linotype" w:hAnsi="Palatino Linotype" w:cs="Palatino Linotype"/>
        </w:rPr>
        <w:t>de la presente resolución.</w:t>
      </w:r>
    </w:p>
    <w:p w:rsidR="00367C66" w:rsidRPr="003D0253" w:rsidRDefault="00367C66">
      <w:pPr>
        <w:spacing w:line="360" w:lineRule="auto"/>
        <w:ind w:right="48"/>
        <w:jc w:val="both"/>
        <w:rPr>
          <w:rFonts w:ascii="Palatino Linotype" w:eastAsia="Palatino Linotype" w:hAnsi="Palatino Linotype" w:cs="Palatino Linotype"/>
        </w:rPr>
      </w:pPr>
    </w:p>
    <w:p w:rsidR="00367C66" w:rsidRPr="003D0253" w:rsidRDefault="00D821B4">
      <w:pPr>
        <w:spacing w:line="360" w:lineRule="auto"/>
        <w:ind w:right="48"/>
        <w:jc w:val="both"/>
        <w:rPr>
          <w:rFonts w:ascii="Palatino Linotype" w:eastAsia="Palatino Linotype" w:hAnsi="Palatino Linotype" w:cs="Palatino Linotype"/>
          <w:i/>
          <w:iCs/>
          <w:color w:val="000000"/>
        </w:rPr>
      </w:pPr>
      <w:bookmarkStart w:id="12" w:name="_heading=h.1kqb4d954zaj" w:colFirst="0" w:colLast="0"/>
      <w:bookmarkEnd w:id="12"/>
      <w:r w:rsidRPr="003D0253">
        <w:rPr>
          <w:rFonts w:ascii="Palatino Linotype" w:eastAsia="Palatino Linotype" w:hAnsi="Palatino Linotype" w:cs="Palatino Linotype"/>
          <w:b/>
          <w:bCs/>
        </w:rPr>
        <w:t>SEGUNDO.</w:t>
      </w:r>
      <w:r w:rsidRPr="003D0253">
        <w:rPr>
          <w:rFonts w:ascii="Palatino Linotype" w:eastAsia="Palatino Linotype" w:hAnsi="Palatino Linotype" w:cs="Palatino Linotype"/>
          <w:color w:val="2F5496"/>
        </w:rPr>
        <w:t xml:space="preserve"> </w:t>
      </w:r>
      <w:r w:rsidRPr="003D0253">
        <w:rPr>
          <w:rFonts w:ascii="Palatino Linotype" w:eastAsia="Palatino Linotype" w:hAnsi="Palatino Linotype" w:cs="Palatino Linotype"/>
        </w:rPr>
        <w:t xml:space="preserve">Se </w:t>
      </w:r>
      <w:r w:rsidRPr="003D0253">
        <w:rPr>
          <w:rFonts w:ascii="Palatino Linotype" w:eastAsia="Palatino Linotype" w:hAnsi="Palatino Linotype" w:cs="Palatino Linotype"/>
          <w:b/>
          <w:bCs/>
        </w:rPr>
        <w:t xml:space="preserve">MODIFICA </w:t>
      </w:r>
      <w:r w:rsidRPr="003D0253">
        <w:rPr>
          <w:rFonts w:ascii="Palatino Linotype" w:eastAsia="Palatino Linotype" w:hAnsi="Palatino Linotype" w:cs="Palatino Linotype"/>
        </w:rPr>
        <w:t xml:space="preserve">la respuesta del </w:t>
      </w:r>
      <w:r w:rsidRPr="003D0253">
        <w:rPr>
          <w:rFonts w:ascii="Palatino Linotype" w:eastAsia="Palatino Linotype" w:hAnsi="Palatino Linotype" w:cs="Palatino Linotype"/>
          <w:b/>
          <w:bCs/>
        </w:rPr>
        <w:t>Ayuntamiento de Juchitepec</w:t>
      </w:r>
      <w:r w:rsidRPr="003D0253">
        <w:rPr>
          <w:rFonts w:ascii="Palatino Linotype" w:eastAsia="Palatino Linotype" w:hAnsi="Palatino Linotype" w:cs="Palatino Linotype"/>
        </w:rPr>
        <w:t>, a la solicitud de información</w:t>
      </w:r>
      <w:r w:rsidRPr="003D0253">
        <w:rPr>
          <w:rFonts w:ascii="Palatino Linotype" w:eastAsia="Palatino Linotype" w:hAnsi="Palatino Linotype" w:cs="Palatino Linotype"/>
          <w:b/>
          <w:bCs/>
        </w:rPr>
        <w:t xml:space="preserve"> 00115/JUCHITE/IP/2026 </w:t>
      </w:r>
      <w:r w:rsidRPr="003D0253">
        <w:rPr>
          <w:rFonts w:ascii="Palatino Linotype" w:eastAsia="Palatino Linotype" w:hAnsi="Palatino Linotype" w:cs="Palatino Linotype"/>
        </w:rPr>
        <w:t>y</w:t>
      </w:r>
      <w:r w:rsidRPr="003D0253">
        <w:rPr>
          <w:rFonts w:ascii="Palatino Linotype" w:eastAsia="Palatino Linotype" w:hAnsi="Palatino Linotype" w:cs="Palatino Linotype"/>
          <w:b/>
          <w:bCs/>
        </w:rPr>
        <w:t xml:space="preserve"> </w:t>
      </w:r>
      <w:r w:rsidRPr="003D0253">
        <w:rPr>
          <w:rFonts w:ascii="Palatino Linotype" w:eastAsia="Palatino Linotype" w:hAnsi="Palatino Linotype" w:cs="Palatino Linotype"/>
        </w:rPr>
        <w:t xml:space="preserve">se </w:t>
      </w:r>
      <w:r w:rsidRPr="003D0253">
        <w:rPr>
          <w:rFonts w:ascii="Palatino Linotype" w:eastAsia="Palatino Linotype" w:hAnsi="Palatino Linotype" w:cs="Palatino Linotype"/>
          <w:b/>
          <w:bCs/>
        </w:rPr>
        <w:t>ORDENA</w:t>
      </w:r>
      <w:r w:rsidRPr="003D0253">
        <w:rPr>
          <w:rFonts w:ascii="Palatino Linotype" w:eastAsia="Palatino Linotype" w:hAnsi="Palatino Linotype" w:cs="Palatino Linotype"/>
        </w:rPr>
        <w:t xml:space="preserve"> entregar vía Sistema de Acceso a la Información Mexiquense </w:t>
      </w:r>
      <w:r w:rsidRPr="003D0253">
        <w:rPr>
          <w:rFonts w:ascii="Palatino Linotype" w:eastAsia="Palatino Linotype" w:hAnsi="Palatino Linotype" w:cs="Palatino Linotype"/>
          <w:b/>
          <w:bCs/>
        </w:rPr>
        <w:t>(SAIMEX)</w:t>
      </w:r>
      <w:r w:rsidRPr="003D0253">
        <w:rPr>
          <w:rFonts w:ascii="Palatino Linotype" w:eastAsia="Palatino Linotype" w:hAnsi="Palatino Linotype" w:cs="Palatino Linotype"/>
        </w:rPr>
        <w:t>, de ser procedente en versión pública</w:t>
      </w:r>
      <w:r w:rsidR="00FF0037" w:rsidRPr="003D0253">
        <w:rPr>
          <w:rFonts w:ascii="Palatino Linotype" w:eastAsia="Palatino Linotype" w:hAnsi="Palatino Linotype" w:cs="Palatino Linotype"/>
        </w:rPr>
        <w:t xml:space="preserve"> y </w:t>
      </w:r>
      <w:r w:rsidR="00FF0037" w:rsidRPr="003D0253">
        <w:rPr>
          <w:rFonts w:ascii="Palatino Linotype" w:eastAsia="Palatino Linotype" w:hAnsi="Palatino Linotype" w:cs="Palatino Linotype"/>
          <w:b/>
        </w:rPr>
        <w:t>en formato PDF o en el que se encuentre</w:t>
      </w:r>
      <w:r w:rsidRPr="003D0253">
        <w:rPr>
          <w:rFonts w:ascii="Palatino Linotype" w:eastAsia="Palatino Linotype" w:hAnsi="Palatino Linotype" w:cs="Palatino Linotype"/>
        </w:rPr>
        <w:t xml:space="preserve">, de </w:t>
      </w:r>
      <w:r w:rsidRPr="003D0253">
        <w:rPr>
          <w:rFonts w:ascii="Palatino Linotype" w:eastAsia="Palatino Linotype" w:hAnsi="Palatino Linotype" w:cs="Palatino Linotype"/>
          <w:b/>
          <w:bCs/>
        </w:rPr>
        <w:t xml:space="preserve">los trabajos de mantenimiento, pintura y cambio de imagen de la fachada del Palacio Municipal, realizados durante el inicio de la administración 2025-2027, </w:t>
      </w:r>
      <w:r w:rsidR="00FF0037" w:rsidRPr="003D0253">
        <w:rPr>
          <w:rFonts w:ascii="Palatino Linotype" w:eastAsia="Palatino Linotype" w:hAnsi="Palatino Linotype" w:cs="Palatino Linotype"/>
        </w:rPr>
        <w:t>el o los documentos con los que contara</w:t>
      </w:r>
      <w:r w:rsidR="001E001B" w:rsidRPr="003D0253">
        <w:rPr>
          <w:rFonts w:ascii="Palatino Linotype" w:eastAsia="Palatino Linotype" w:hAnsi="Palatino Linotype" w:cs="Palatino Linotype"/>
        </w:rPr>
        <w:t xml:space="preserve"> al 05 de febrero de 2026</w:t>
      </w:r>
      <w:r w:rsidR="00FF0037" w:rsidRPr="003D0253">
        <w:rPr>
          <w:rFonts w:ascii="Palatino Linotype" w:eastAsia="Palatino Linotype" w:hAnsi="Palatino Linotype" w:cs="Palatino Linotype"/>
        </w:rPr>
        <w:t xml:space="preserve">, </w:t>
      </w:r>
      <w:r w:rsidRPr="003D0253">
        <w:rPr>
          <w:rFonts w:ascii="Palatino Linotype" w:eastAsia="Palatino Linotype" w:hAnsi="Palatino Linotype" w:cs="Palatino Linotype"/>
        </w:rPr>
        <w:t>donde conste lo siguiente:</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i/>
          <w:iCs/>
          <w:color w:val="000000"/>
        </w:rPr>
      </w:pPr>
    </w:p>
    <w:p w:rsidR="00367C66" w:rsidRPr="003D0253" w:rsidRDefault="00D821B4">
      <w:pPr>
        <w:numPr>
          <w:ilvl w:val="3"/>
          <w:numId w:val="1"/>
        </w:numPr>
        <w:pBdr>
          <w:top w:val="nil"/>
          <w:left w:val="nil"/>
          <w:bottom w:val="nil"/>
          <w:right w:val="nil"/>
          <w:between w:val="nil"/>
        </w:pBdr>
        <w:ind w:left="1418" w:right="709" w:hanging="851"/>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lastRenderedPageBreak/>
        <w:t>Datos del Proveedor y Adjudicación de la empresa o persona física que suministro la pintura y los materiales</w:t>
      </w:r>
    </w:p>
    <w:p w:rsidR="00367C66" w:rsidRPr="003D0253" w:rsidRDefault="00D821B4">
      <w:pPr>
        <w:pBdr>
          <w:top w:val="nil"/>
          <w:left w:val="nil"/>
          <w:bottom w:val="nil"/>
          <w:right w:val="nil"/>
          <w:between w:val="nil"/>
        </w:pBdr>
        <w:ind w:left="1440"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a). Nombre completo</w:t>
      </w:r>
    </w:p>
    <w:p w:rsidR="00367C66" w:rsidRPr="003D0253" w:rsidRDefault="00D821B4">
      <w:pPr>
        <w:pBdr>
          <w:top w:val="nil"/>
          <w:left w:val="nil"/>
          <w:bottom w:val="nil"/>
          <w:right w:val="nil"/>
          <w:between w:val="nil"/>
        </w:pBdr>
        <w:ind w:left="1440"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b). Razón Social</w:t>
      </w:r>
    </w:p>
    <w:p w:rsidR="00367C66" w:rsidRPr="003D0253" w:rsidRDefault="00D821B4">
      <w:pPr>
        <w:pBdr>
          <w:top w:val="nil"/>
          <w:left w:val="nil"/>
          <w:bottom w:val="nil"/>
          <w:right w:val="nil"/>
          <w:between w:val="nil"/>
        </w:pBdr>
        <w:ind w:left="1440"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c). RFC</w:t>
      </w:r>
    </w:p>
    <w:p w:rsidR="00367C66" w:rsidRPr="003D0253" w:rsidRDefault="00D821B4">
      <w:pPr>
        <w:numPr>
          <w:ilvl w:val="3"/>
          <w:numId w:val="1"/>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Contrato de compra-venta o servicio. </w:t>
      </w:r>
    </w:p>
    <w:p w:rsidR="00367C66" w:rsidRPr="003D0253" w:rsidRDefault="00D821B4">
      <w:pPr>
        <w:pBdr>
          <w:top w:val="nil"/>
          <w:left w:val="nil"/>
          <w:bottom w:val="nil"/>
          <w:right w:val="nil"/>
          <w:between w:val="nil"/>
        </w:pBdr>
        <w:ind w:left="1440"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a). Procedimiento de contratación </w:t>
      </w:r>
    </w:p>
    <w:p w:rsidR="00367C66" w:rsidRPr="003D0253" w:rsidRDefault="00D821B4">
      <w:pPr>
        <w:pBdr>
          <w:top w:val="nil"/>
          <w:left w:val="nil"/>
          <w:bottom w:val="nil"/>
          <w:right w:val="nil"/>
          <w:between w:val="nil"/>
        </w:pBdr>
        <w:ind w:left="1440"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b). En caso de ser Adjudicación Directa, entregar el dictamen que justifica la excepción a la licitación. </w:t>
      </w:r>
    </w:p>
    <w:p w:rsidR="00367C66" w:rsidRPr="003D0253" w:rsidRDefault="00D821B4">
      <w:pPr>
        <w:numPr>
          <w:ilvl w:val="3"/>
          <w:numId w:val="1"/>
        </w:numPr>
        <w:pBdr>
          <w:top w:val="nil"/>
          <w:left w:val="nil"/>
          <w:bottom w:val="nil"/>
          <w:right w:val="nil"/>
          <w:between w:val="nil"/>
        </w:pBdr>
        <w:ind w:left="1418" w:right="709" w:hanging="851"/>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Copia digital de las facturas (CFDI) por conceptos de pintura (vinílica, esmalte, etc.), selladores, impermeabilizantes y herramientas. </w:t>
      </w:r>
    </w:p>
    <w:p w:rsidR="00367C66" w:rsidRPr="003D0253" w:rsidRDefault="00D821B4">
      <w:pPr>
        <w:numPr>
          <w:ilvl w:val="3"/>
          <w:numId w:val="1"/>
        </w:numPr>
        <w:pBdr>
          <w:top w:val="nil"/>
          <w:left w:val="nil"/>
          <w:bottom w:val="nil"/>
          <w:right w:val="nil"/>
          <w:between w:val="nil"/>
        </w:pBdr>
        <w:ind w:left="567" w:right="709" w:firstLine="0"/>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Costo desglosado de la mano de obra:</w:t>
      </w:r>
    </w:p>
    <w:p w:rsidR="00367C66" w:rsidRPr="003D0253" w:rsidRDefault="00D821B4">
      <w:pPr>
        <w:pBdr>
          <w:top w:val="nil"/>
          <w:left w:val="nil"/>
          <w:bottom w:val="nil"/>
          <w:right w:val="nil"/>
          <w:between w:val="nil"/>
        </w:pBdr>
        <w:ind w:left="1440"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a). Si fue externo, factura del servicio</w:t>
      </w:r>
    </w:p>
    <w:p w:rsidR="00367C66" w:rsidRPr="003D0253" w:rsidRDefault="00D821B4">
      <w:pPr>
        <w:pBdr>
          <w:top w:val="nil"/>
          <w:left w:val="nil"/>
          <w:bottom w:val="nil"/>
          <w:right w:val="nil"/>
          <w:between w:val="nil"/>
        </w:pBdr>
        <w:ind w:left="1440" w:right="709"/>
        <w:jc w:val="both"/>
        <w:rPr>
          <w:rFonts w:ascii="Palatino Linotype" w:eastAsia="Palatino Linotype" w:hAnsi="Palatino Linotype" w:cs="Palatino Linotype"/>
          <w:b/>
          <w:bCs/>
          <w:color w:val="000000"/>
        </w:rPr>
      </w:pPr>
      <w:r w:rsidRPr="003D0253">
        <w:rPr>
          <w:rFonts w:ascii="Palatino Linotype" w:eastAsia="Palatino Linotype" w:hAnsi="Palatino Linotype" w:cs="Palatino Linotype"/>
          <w:b/>
          <w:bCs/>
          <w:color w:val="000000"/>
        </w:rPr>
        <w:t xml:space="preserve">b). Si fue con personal del Ayuntamiento, copia de la lista de raya del personal asignado y bitácora de actividades. </w:t>
      </w:r>
    </w:p>
    <w:p w:rsidR="00367C66" w:rsidRPr="003D0253" w:rsidRDefault="00367C66">
      <w:pPr>
        <w:pBdr>
          <w:top w:val="nil"/>
          <w:left w:val="nil"/>
          <w:bottom w:val="nil"/>
          <w:right w:val="nil"/>
          <w:between w:val="nil"/>
        </w:pBdr>
        <w:ind w:left="708"/>
        <w:rPr>
          <w:rFonts w:ascii="Palatino Linotype" w:eastAsia="Palatino Linotype" w:hAnsi="Palatino Linotype" w:cs="Palatino Linotype"/>
          <w:i/>
          <w:iCs/>
          <w:color w:val="000000"/>
        </w:rPr>
      </w:pPr>
    </w:p>
    <w:p w:rsidR="00367C66" w:rsidRPr="003D0253" w:rsidRDefault="00D821B4">
      <w:pPr>
        <w:tabs>
          <w:tab w:val="left" w:pos="993"/>
        </w:tabs>
        <w:spacing w:line="360" w:lineRule="auto"/>
        <w:jc w:val="both"/>
        <w:rPr>
          <w:rFonts w:ascii="Palatino Linotype" w:eastAsia="Palatino Linotype" w:hAnsi="Palatino Linotype" w:cs="Palatino Linotype"/>
        </w:rPr>
      </w:pPr>
      <w:r w:rsidRPr="003D0253">
        <w:rPr>
          <w:rFonts w:ascii="Palatino Linotype" w:eastAsia="Palatino Linotype" w:hAnsi="Palatino Linotype" w:cs="Palatino Linotype"/>
          <w:color w:val="000000"/>
        </w:rPr>
        <w:t xml:space="preserve">Para </w:t>
      </w:r>
      <w:r w:rsidRPr="003D0253">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3D0253">
        <w:rPr>
          <w:rFonts w:ascii="Palatino Linotype" w:eastAsia="Palatino Linotype" w:hAnsi="Palatino Linotype" w:cs="Palatino Linotype"/>
          <w:b/>
          <w:bCs/>
        </w:rPr>
        <w:t>RECURRENTE</w:t>
      </w:r>
      <w:r w:rsidRPr="003D0253">
        <w:rPr>
          <w:rFonts w:ascii="Palatino Linotype" w:eastAsia="Palatino Linotype" w:hAnsi="Palatino Linotype" w:cs="Palatino Linotype"/>
        </w:rPr>
        <w:t>.</w:t>
      </w:r>
    </w:p>
    <w:p w:rsidR="00367C66" w:rsidRPr="003D0253" w:rsidRDefault="00367C66">
      <w:pPr>
        <w:tabs>
          <w:tab w:val="left" w:pos="993"/>
        </w:tabs>
        <w:spacing w:line="360" w:lineRule="auto"/>
        <w:jc w:val="both"/>
        <w:rPr>
          <w:rFonts w:ascii="Palatino Linotype" w:eastAsia="Palatino Linotype" w:hAnsi="Palatino Linotype" w:cs="Palatino Linotype"/>
        </w:rPr>
      </w:pPr>
    </w:p>
    <w:p w:rsidR="00367C66" w:rsidRPr="003D0253" w:rsidRDefault="00D821B4" w:rsidP="00516554">
      <w:pPr>
        <w:spacing w:line="360" w:lineRule="auto"/>
        <w:jc w:val="both"/>
        <w:rPr>
          <w:rFonts w:ascii="Palatino Linotype" w:eastAsia="Palatino Linotype" w:hAnsi="Palatino Linotype" w:cs="Palatino Linotype"/>
        </w:rPr>
      </w:pPr>
      <w:r w:rsidRPr="003D0253">
        <w:rPr>
          <w:rFonts w:ascii="Palatino Linotype" w:eastAsia="Palatino Linotype" w:hAnsi="Palatino Linotype" w:cs="Palatino Linotype"/>
        </w:rPr>
        <w:t>Para el caso de que la información que se ordena entregar en el inciso b) del numeral 2,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w:t>
      </w:r>
    </w:p>
    <w:p w:rsidR="00367C66" w:rsidRPr="003D0253" w:rsidRDefault="00367C66">
      <w:pPr>
        <w:tabs>
          <w:tab w:val="left" w:pos="993"/>
        </w:tabs>
        <w:spacing w:line="360" w:lineRule="auto"/>
        <w:jc w:val="both"/>
        <w:rPr>
          <w:rFonts w:ascii="Palatino Linotype" w:eastAsia="Palatino Linotype" w:hAnsi="Palatino Linotype" w:cs="Palatino Linotype"/>
        </w:rPr>
      </w:pPr>
    </w:p>
    <w:p w:rsidR="00367C66" w:rsidRPr="003D0253" w:rsidRDefault="00D821B4">
      <w:pPr>
        <w:shd w:val="clear" w:color="auto" w:fill="FFFFFF"/>
        <w:spacing w:line="360" w:lineRule="auto"/>
        <w:ind w:right="49"/>
        <w:jc w:val="both"/>
        <w:rPr>
          <w:rFonts w:ascii="Palatino Linotype" w:eastAsia="Palatino Linotype" w:hAnsi="Palatino Linotype" w:cs="Palatino Linotype"/>
          <w:color w:val="222222"/>
        </w:rPr>
      </w:pPr>
      <w:r w:rsidRPr="003D0253">
        <w:rPr>
          <w:rFonts w:ascii="Palatino Linotype" w:eastAsia="Palatino Linotype" w:hAnsi="Palatino Linotype" w:cs="Palatino Linotype"/>
          <w:b/>
          <w:bCs/>
          <w:color w:val="222222"/>
        </w:rPr>
        <w:lastRenderedPageBreak/>
        <w:t xml:space="preserve">TERCERO. </w:t>
      </w:r>
      <w:r w:rsidRPr="003D0253">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3D0253">
        <w:rPr>
          <w:rFonts w:ascii="Palatino Linotype" w:eastAsia="Palatino Linotype" w:hAnsi="Palatino Linotype" w:cs="Palatino Linotype"/>
          <w:b/>
          <w:bCs/>
          <w:color w:val="222222"/>
        </w:rPr>
        <w:t>dé cumplimiento a lo ordenado dentro del plazo de diez días hábiles,</w:t>
      </w:r>
      <w:r w:rsidRPr="003D0253">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67C66" w:rsidRPr="003D0253" w:rsidRDefault="00367C66">
      <w:pPr>
        <w:shd w:val="clear" w:color="auto" w:fill="FFFFFF"/>
        <w:spacing w:line="360" w:lineRule="auto"/>
        <w:ind w:right="49"/>
        <w:jc w:val="both"/>
        <w:rPr>
          <w:rFonts w:ascii="Palatino Linotype" w:eastAsia="Palatino Linotype" w:hAnsi="Palatino Linotype" w:cs="Palatino Linotype"/>
          <w:b/>
          <w:bCs/>
          <w:color w:val="222222"/>
        </w:rPr>
      </w:pPr>
    </w:p>
    <w:p w:rsidR="00367C66" w:rsidRPr="003D0253" w:rsidRDefault="00D821B4">
      <w:pPr>
        <w:shd w:val="clear" w:color="auto" w:fill="FFFFFF"/>
        <w:spacing w:line="360" w:lineRule="auto"/>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b/>
          <w:bCs/>
          <w:color w:val="000000"/>
        </w:rPr>
        <w:t>CUARTO.</w:t>
      </w:r>
      <w:r w:rsidRPr="003D0253">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3D0253">
        <w:rPr>
          <w:rFonts w:ascii="Palatino Linotype" w:eastAsia="Palatino Linotype" w:hAnsi="Palatino Linotype" w:cs="Palatino Linotype"/>
          <w:b/>
          <w:bCs/>
          <w:color w:val="000000"/>
        </w:rPr>
        <w:t>SUJETO OBLIGADO</w:t>
      </w:r>
      <w:r w:rsidRPr="003D0253">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367C66" w:rsidRPr="003D0253" w:rsidRDefault="00367C66">
      <w:pPr>
        <w:spacing w:line="360" w:lineRule="auto"/>
        <w:rPr>
          <w:rFonts w:ascii="Palatino Linotype" w:eastAsia="Palatino Linotype" w:hAnsi="Palatino Linotype" w:cs="Palatino Linotype"/>
        </w:rPr>
      </w:pPr>
    </w:p>
    <w:p w:rsidR="00367C66" w:rsidRPr="003D0253" w:rsidRDefault="00D821B4">
      <w:pPr>
        <w:shd w:val="clear" w:color="auto" w:fill="FFFFFF"/>
        <w:spacing w:line="360" w:lineRule="auto"/>
        <w:jc w:val="both"/>
        <w:rPr>
          <w:rFonts w:ascii="Palatino Linotype" w:eastAsia="Palatino Linotype" w:hAnsi="Palatino Linotype" w:cs="Palatino Linotype"/>
          <w:color w:val="000000"/>
        </w:rPr>
      </w:pPr>
      <w:r w:rsidRPr="003D0253">
        <w:rPr>
          <w:rFonts w:ascii="Palatino Linotype" w:eastAsia="Palatino Linotype" w:hAnsi="Palatino Linotype" w:cs="Palatino Linotype"/>
          <w:b/>
          <w:bCs/>
        </w:rPr>
        <w:t xml:space="preserve">QUINTO. </w:t>
      </w:r>
      <w:r w:rsidRPr="003D0253">
        <w:rPr>
          <w:rFonts w:ascii="Palatino Linotype" w:eastAsia="Palatino Linotype" w:hAnsi="Palatino Linotype" w:cs="Palatino Linotype"/>
          <w:b/>
          <w:bCs/>
          <w:color w:val="222222"/>
        </w:rPr>
        <w:t xml:space="preserve">Notifíquese </w:t>
      </w:r>
      <w:r w:rsidRPr="003D0253">
        <w:rPr>
          <w:rFonts w:ascii="Palatino Linotype" w:eastAsia="Palatino Linotype" w:hAnsi="Palatino Linotype" w:cs="Palatino Linotype"/>
          <w:color w:val="222222"/>
        </w:rPr>
        <w:t xml:space="preserve">al </w:t>
      </w:r>
      <w:r w:rsidRPr="003D0253">
        <w:rPr>
          <w:rFonts w:ascii="Palatino Linotype" w:eastAsia="Palatino Linotype" w:hAnsi="Palatino Linotype" w:cs="Palatino Linotype"/>
          <w:b/>
          <w:bCs/>
          <w:color w:val="222222"/>
        </w:rPr>
        <w:t>RECURRENTE</w:t>
      </w:r>
      <w:r w:rsidRPr="003D0253">
        <w:rPr>
          <w:rFonts w:ascii="Palatino Linotype" w:eastAsia="Palatino Linotype" w:hAnsi="Palatino Linotype" w:cs="Palatino Linotype"/>
          <w:color w:val="222222"/>
        </w:rPr>
        <w:t xml:space="preserve"> </w:t>
      </w:r>
      <w:r w:rsidRPr="003D0253">
        <w:rPr>
          <w:rFonts w:ascii="Palatino Linotype" w:eastAsia="Palatino Linotype" w:hAnsi="Palatino Linotype" w:cs="Palatino Linotype"/>
        </w:rPr>
        <w:t>la presente resolución vía Sistema de Acceso a la Información Mexiquense (SAIMEX).</w:t>
      </w:r>
    </w:p>
    <w:p w:rsidR="00367C66" w:rsidRPr="003D0253" w:rsidRDefault="00367C66">
      <w:pPr>
        <w:shd w:val="clear" w:color="auto" w:fill="FFFFFF"/>
        <w:spacing w:line="360" w:lineRule="auto"/>
        <w:jc w:val="both"/>
        <w:rPr>
          <w:rFonts w:ascii="Palatino Linotype" w:eastAsia="Palatino Linotype" w:hAnsi="Palatino Linotype" w:cs="Palatino Linotype"/>
        </w:rPr>
      </w:pPr>
    </w:p>
    <w:p w:rsidR="00367C66" w:rsidRPr="003D0253" w:rsidRDefault="00D821B4">
      <w:pPr>
        <w:spacing w:line="360" w:lineRule="auto"/>
        <w:ind w:right="-93"/>
        <w:jc w:val="both"/>
        <w:rPr>
          <w:rFonts w:ascii="Palatino Linotype" w:eastAsia="Palatino Linotype" w:hAnsi="Palatino Linotype" w:cs="Palatino Linotype"/>
        </w:rPr>
      </w:pPr>
      <w:r w:rsidRPr="003D0253">
        <w:rPr>
          <w:rFonts w:ascii="Palatino Linotype" w:eastAsia="Palatino Linotype" w:hAnsi="Palatino Linotype" w:cs="Palatino Linotype"/>
          <w:b/>
          <w:bCs/>
        </w:rPr>
        <w:t>SEXTO.</w:t>
      </w:r>
      <w:r w:rsidRPr="003D0253">
        <w:rPr>
          <w:rFonts w:ascii="Palatino Linotype" w:eastAsia="Palatino Linotype" w:hAnsi="Palatino Linotype" w:cs="Palatino Linotype"/>
        </w:rPr>
        <w:t xml:space="preserve"> Se hace del conocimiento del </w:t>
      </w:r>
      <w:r w:rsidRPr="003D0253">
        <w:rPr>
          <w:rFonts w:ascii="Palatino Linotype" w:eastAsia="Palatino Linotype" w:hAnsi="Palatino Linotype" w:cs="Palatino Linotype"/>
          <w:b/>
          <w:bCs/>
        </w:rPr>
        <w:t>RECURRENTE</w:t>
      </w:r>
      <w:r w:rsidRPr="003D0253">
        <w:rPr>
          <w:rFonts w:ascii="Palatino Linotype" w:eastAsia="Palatino Linotype" w:hAnsi="Palatino Linotype" w:cs="Palatino Linotype"/>
          <w:color w:val="222222"/>
        </w:rPr>
        <w:t xml:space="preserve"> </w:t>
      </w:r>
      <w:r w:rsidRPr="003D0253">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367C66" w:rsidRPr="003D0253" w:rsidRDefault="00367C66">
      <w:pPr>
        <w:spacing w:line="360" w:lineRule="auto"/>
        <w:ind w:right="-93"/>
        <w:jc w:val="both"/>
        <w:rPr>
          <w:rFonts w:ascii="Palatino Linotype" w:eastAsia="Palatino Linotype" w:hAnsi="Palatino Linotype" w:cs="Palatino Linotype"/>
        </w:rPr>
      </w:pPr>
    </w:p>
    <w:p w:rsidR="00516554" w:rsidRPr="003D0253" w:rsidRDefault="00516554" w:rsidP="00516554">
      <w:pPr>
        <w:spacing w:before="240" w:after="240" w:line="360" w:lineRule="auto"/>
        <w:ind w:right="-142" w:firstLine="1"/>
        <w:jc w:val="both"/>
        <w:rPr>
          <w:rFonts w:ascii="Palatino Linotype" w:hAnsi="Palatino Linotype"/>
        </w:rPr>
      </w:pPr>
      <w:bookmarkStart w:id="13" w:name="_heading=h.niyi2hym3vn" w:colFirst="0" w:colLast="0"/>
      <w:bookmarkStart w:id="14" w:name="_Hlk99014733"/>
      <w:bookmarkEnd w:id="13"/>
      <w:r w:rsidRPr="003D0253">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3D0253">
        <w:rPr>
          <w:rFonts w:ascii="Palatino Linotype" w:hAnsi="Palatino Linotype" w:cs="Palatino Linotype"/>
          <w:color w:val="000000" w:themeColor="text1"/>
        </w:rPr>
        <w:t>ALEXIS TAPIA RAMÍREZ.</w:t>
      </w:r>
    </w:p>
    <w:bookmarkEnd w:id="14"/>
    <w:p w:rsidR="00367C66" w:rsidRPr="003D0253" w:rsidRDefault="00367C66">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p w:rsidR="00E46A1C" w:rsidRPr="003D0253" w:rsidRDefault="00E46A1C">
      <w:pPr>
        <w:spacing w:before="240" w:after="240" w:line="360" w:lineRule="auto"/>
        <w:jc w:val="both"/>
        <w:rPr>
          <w:rFonts w:ascii="Palatino Linotype" w:eastAsia="Palatino Linotype" w:hAnsi="Palatino Linotype" w:cs="Palatino Linotype"/>
        </w:rPr>
      </w:pPr>
    </w:p>
    <w:sectPr w:rsidR="00E46A1C" w:rsidRPr="003D0253" w:rsidSect="003D0253">
      <w:headerReference w:type="default" r:id="rId19"/>
      <w:footerReference w:type="default" r:id="rId20"/>
      <w:headerReference w:type="first" r:id="rId21"/>
      <w:footerReference w:type="first" r:id="rId22"/>
      <w:pgSz w:w="12240" w:h="15840"/>
      <w:pgMar w:top="1417" w:right="758" w:bottom="141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569" w:rsidRDefault="00CC6569">
      <w:r>
        <w:separator/>
      </w:r>
    </w:p>
  </w:endnote>
  <w:endnote w:type="continuationSeparator" w:id="0">
    <w:p w:rsidR="00CC6569" w:rsidRDefault="00CC6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9C2CDCCA-6235-4200-B3D7-D8B0FF27426A}"/>
  </w:font>
  <w:font w:name="Palatino Linotype">
    <w:panose1 w:val="02040502050505030304"/>
    <w:charset w:val="00"/>
    <w:family w:val="roman"/>
    <w:pitch w:val="variable"/>
    <w:sig w:usb0="E0000287" w:usb1="40000013" w:usb2="00000000" w:usb3="00000000" w:csb0="0000019F" w:csb1="00000000"/>
    <w:embedRegular r:id="rId2" w:fontKey="{95FC8052-6BEF-4516-847C-DF9835245029}"/>
    <w:embedBold r:id="rId3" w:fontKey="{72E22AFA-4144-49BB-BE99-0B202113AC1D}"/>
    <w:embedItalic r:id="rId4" w:fontKey="{4B352AA5-890F-47BB-9944-C230FD234AC4}"/>
    <w:embedBoldItalic r:id="rId5" w:fontKey="{CDAF7585-3ABC-47E4-B45D-0F636E2B2A51}"/>
  </w:font>
  <w:font w:name="Calibri">
    <w:panose1 w:val="020F0502020204030204"/>
    <w:charset w:val="00"/>
    <w:family w:val="swiss"/>
    <w:pitch w:val="variable"/>
    <w:sig w:usb0="E4002EFF" w:usb1="C200247B" w:usb2="00000009" w:usb3="00000000" w:csb0="000001FF" w:csb1="00000000"/>
    <w:embedRegular r:id="rId6" w:fontKey="{2F8FE673-7712-4825-A67F-9509973B8125}"/>
  </w:font>
  <w:font w:name="Georgia">
    <w:panose1 w:val="02040502050405020303"/>
    <w:charset w:val="00"/>
    <w:family w:val="roman"/>
    <w:pitch w:val="variable"/>
    <w:sig w:usb0="00000287" w:usb1="00000000" w:usb2="00000000" w:usb3="00000000" w:csb0="0000009F" w:csb1="00000000"/>
    <w:embedItalic r:id="rId7" w:fontKey="{E6C10850-9FBB-4428-BED0-30A34D281B0B}"/>
  </w:font>
  <w:font w:name="Cambria">
    <w:panose1 w:val="02040503050406030204"/>
    <w:charset w:val="00"/>
    <w:family w:val="roman"/>
    <w:pitch w:val="variable"/>
    <w:sig w:usb0="E00006FF" w:usb1="420024FF" w:usb2="02000000" w:usb3="00000000" w:csb0="0000019F" w:csb1="00000000"/>
    <w:embedRegular r:id="rId8" w:fontKey="{0C9279B0-0DEA-4C82-8202-1FBCA628876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C66" w:rsidRPr="003D0253" w:rsidRDefault="00D821B4">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rPr>
    </w:pPr>
    <w:r w:rsidRPr="003D0253">
      <w:rPr>
        <w:rFonts w:ascii="Palatino Linotype" w:eastAsia="Palatino Linotype" w:hAnsi="Palatino Linotype" w:cs="Palatino Linotype"/>
        <w:b/>
        <w:bCs/>
        <w:color w:val="000000"/>
        <w:sz w:val="22"/>
      </w:rPr>
      <w:t xml:space="preserve">Página </w:t>
    </w:r>
    <w:r w:rsidRPr="003D0253">
      <w:rPr>
        <w:rFonts w:ascii="Palatino Linotype" w:eastAsia="Palatino Linotype" w:hAnsi="Palatino Linotype" w:cs="Palatino Linotype"/>
        <w:b/>
        <w:bCs/>
        <w:color w:val="000000"/>
        <w:sz w:val="22"/>
      </w:rPr>
      <w:fldChar w:fldCharType="begin"/>
    </w:r>
    <w:r w:rsidRPr="003D0253">
      <w:rPr>
        <w:rFonts w:ascii="Palatino Linotype" w:eastAsia="Palatino Linotype" w:hAnsi="Palatino Linotype" w:cs="Palatino Linotype"/>
        <w:b/>
        <w:bCs/>
        <w:color w:val="000000"/>
        <w:sz w:val="22"/>
      </w:rPr>
      <w:instrText>PAGE</w:instrText>
    </w:r>
    <w:r w:rsidRPr="003D0253">
      <w:rPr>
        <w:rFonts w:ascii="Palatino Linotype" w:eastAsia="Palatino Linotype" w:hAnsi="Palatino Linotype" w:cs="Palatino Linotype"/>
        <w:b/>
        <w:bCs/>
        <w:color w:val="000000"/>
        <w:sz w:val="22"/>
      </w:rPr>
      <w:fldChar w:fldCharType="separate"/>
    </w:r>
    <w:r w:rsidR="00E87BCC">
      <w:rPr>
        <w:rFonts w:ascii="Palatino Linotype" w:eastAsia="Palatino Linotype" w:hAnsi="Palatino Linotype" w:cs="Palatino Linotype"/>
        <w:b/>
        <w:bCs/>
        <w:noProof/>
        <w:color w:val="000000"/>
        <w:sz w:val="22"/>
      </w:rPr>
      <w:t>10</w:t>
    </w:r>
    <w:r w:rsidRPr="003D0253">
      <w:rPr>
        <w:rFonts w:ascii="Palatino Linotype" w:eastAsia="Palatino Linotype" w:hAnsi="Palatino Linotype" w:cs="Palatino Linotype"/>
        <w:b/>
        <w:bCs/>
        <w:color w:val="000000"/>
        <w:sz w:val="22"/>
      </w:rPr>
      <w:fldChar w:fldCharType="end"/>
    </w:r>
    <w:r w:rsidRPr="003D0253">
      <w:rPr>
        <w:rFonts w:ascii="Palatino Linotype" w:eastAsia="Palatino Linotype" w:hAnsi="Palatino Linotype" w:cs="Palatino Linotype"/>
        <w:color w:val="000000"/>
        <w:sz w:val="22"/>
      </w:rPr>
      <w:t xml:space="preserve"> de </w:t>
    </w:r>
    <w:r w:rsidRPr="003D0253">
      <w:rPr>
        <w:rFonts w:ascii="Palatino Linotype" w:eastAsia="Palatino Linotype" w:hAnsi="Palatino Linotype" w:cs="Palatino Linotype"/>
        <w:b/>
        <w:bCs/>
        <w:color w:val="000000"/>
        <w:sz w:val="22"/>
      </w:rPr>
      <w:fldChar w:fldCharType="begin"/>
    </w:r>
    <w:r w:rsidRPr="003D0253">
      <w:rPr>
        <w:rFonts w:ascii="Palatino Linotype" w:eastAsia="Palatino Linotype" w:hAnsi="Palatino Linotype" w:cs="Palatino Linotype"/>
        <w:b/>
        <w:bCs/>
        <w:color w:val="000000"/>
        <w:sz w:val="22"/>
      </w:rPr>
      <w:instrText>NUMPAGES</w:instrText>
    </w:r>
    <w:r w:rsidRPr="003D0253">
      <w:rPr>
        <w:rFonts w:ascii="Palatino Linotype" w:eastAsia="Palatino Linotype" w:hAnsi="Palatino Linotype" w:cs="Palatino Linotype"/>
        <w:b/>
        <w:bCs/>
        <w:color w:val="000000"/>
        <w:sz w:val="22"/>
      </w:rPr>
      <w:fldChar w:fldCharType="separate"/>
    </w:r>
    <w:r w:rsidR="00E87BCC">
      <w:rPr>
        <w:rFonts w:ascii="Palatino Linotype" w:eastAsia="Palatino Linotype" w:hAnsi="Palatino Linotype" w:cs="Palatino Linotype"/>
        <w:b/>
        <w:bCs/>
        <w:noProof/>
        <w:color w:val="000000"/>
        <w:sz w:val="22"/>
      </w:rPr>
      <w:t>63</w:t>
    </w:r>
    <w:r w:rsidRPr="003D0253">
      <w:rPr>
        <w:rFonts w:ascii="Palatino Linotype" w:eastAsia="Palatino Linotype" w:hAnsi="Palatino Linotype" w:cs="Palatino Linotype"/>
        <w:b/>
        <w:bCs/>
        <w:color w:val="000000"/>
        <w:sz w:val="22"/>
      </w:rPr>
      <w:fldChar w:fldCharType="end"/>
    </w:r>
  </w:p>
  <w:p w:rsidR="00367C66" w:rsidRDefault="00367C66">
    <w:pPr>
      <w:pBdr>
        <w:top w:val="nil"/>
        <w:left w:val="nil"/>
        <w:bottom w:val="nil"/>
        <w:right w:val="nil"/>
        <w:between w:val="nil"/>
      </w:pBdr>
      <w:tabs>
        <w:tab w:val="center" w:pos="4252"/>
        <w:tab w:val="right" w:pos="8504"/>
      </w:tabs>
      <w:rPr>
        <w:color w:val="000000"/>
      </w:rPr>
    </w:pPr>
  </w:p>
  <w:p w:rsidR="00367C66" w:rsidRDefault="00367C66">
    <w:pPr>
      <w:pBdr>
        <w:top w:val="nil"/>
        <w:left w:val="nil"/>
        <w:bottom w:val="nil"/>
        <w:right w:val="nil"/>
        <w:between w:val="nil"/>
      </w:pBdr>
      <w:tabs>
        <w:tab w:val="center" w:pos="4252"/>
        <w:tab w:val="right" w:pos="8504"/>
      </w:tabs>
      <w:ind w:firstLine="708"/>
      <w:rPr>
        <w:rFonts w:ascii="Cambria" w:eastAsia="Cambria" w:hAnsi="Cambria" w:cs="Cambria"/>
        <w:color w:val="000000"/>
      </w:rPr>
    </w:pPr>
  </w:p>
  <w:p w:rsidR="00367C66" w:rsidRDefault="00367C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C66" w:rsidRPr="003D0253" w:rsidRDefault="00D821B4">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3D0253">
      <w:rPr>
        <w:rFonts w:ascii="Palatino Linotype" w:eastAsia="Arial" w:hAnsi="Palatino Linotype" w:cs="Arial"/>
        <w:b/>
        <w:bCs/>
        <w:color w:val="000000"/>
        <w:sz w:val="22"/>
        <w:szCs w:val="20"/>
      </w:rPr>
      <w:t xml:space="preserve">Página </w:t>
    </w:r>
    <w:r w:rsidRPr="003D0253">
      <w:rPr>
        <w:rFonts w:ascii="Palatino Linotype" w:eastAsia="Arial" w:hAnsi="Palatino Linotype" w:cs="Arial"/>
        <w:b/>
        <w:bCs/>
        <w:color w:val="000000"/>
        <w:sz w:val="22"/>
        <w:szCs w:val="20"/>
      </w:rPr>
      <w:fldChar w:fldCharType="begin"/>
    </w:r>
    <w:r w:rsidRPr="003D0253">
      <w:rPr>
        <w:rFonts w:ascii="Palatino Linotype" w:eastAsia="Arial" w:hAnsi="Palatino Linotype" w:cs="Arial"/>
        <w:b/>
        <w:bCs/>
        <w:color w:val="000000"/>
        <w:sz w:val="22"/>
        <w:szCs w:val="20"/>
      </w:rPr>
      <w:instrText>PAGE</w:instrText>
    </w:r>
    <w:r w:rsidRPr="003D0253">
      <w:rPr>
        <w:rFonts w:ascii="Palatino Linotype" w:eastAsia="Arial" w:hAnsi="Palatino Linotype" w:cs="Arial"/>
        <w:b/>
        <w:bCs/>
        <w:color w:val="000000"/>
        <w:sz w:val="22"/>
        <w:szCs w:val="20"/>
      </w:rPr>
      <w:fldChar w:fldCharType="separate"/>
    </w:r>
    <w:r w:rsidR="00E87BCC">
      <w:rPr>
        <w:rFonts w:ascii="Palatino Linotype" w:eastAsia="Arial" w:hAnsi="Palatino Linotype" w:cs="Arial"/>
        <w:b/>
        <w:bCs/>
        <w:noProof/>
        <w:color w:val="000000"/>
        <w:sz w:val="22"/>
        <w:szCs w:val="20"/>
      </w:rPr>
      <w:t>1</w:t>
    </w:r>
    <w:r w:rsidRPr="003D0253">
      <w:rPr>
        <w:rFonts w:ascii="Palatino Linotype" w:eastAsia="Arial" w:hAnsi="Palatino Linotype" w:cs="Arial"/>
        <w:b/>
        <w:bCs/>
        <w:color w:val="000000"/>
        <w:sz w:val="22"/>
        <w:szCs w:val="20"/>
      </w:rPr>
      <w:fldChar w:fldCharType="end"/>
    </w:r>
    <w:r w:rsidRPr="003D0253">
      <w:rPr>
        <w:rFonts w:ascii="Palatino Linotype" w:eastAsia="Arial" w:hAnsi="Palatino Linotype" w:cs="Arial"/>
        <w:color w:val="000000"/>
        <w:sz w:val="22"/>
        <w:szCs w:val="20"/>
      </w:rPr>
      <w:t xml:space="preserve"> de </w:t>
    </w:r>
    <w:r w:rsidRPr="003D0253">
      <w:rPr>
        <w:rFonts w:ascii="Palatino Linotype" w:eastAsia="Arial" w:hAnsi="Palatino Linotype" w:cs="Arial"/>
        <w:b/>
        <w:bCs/>
        <w:color w:val="000000"/>
        <w:sz w:val="22"/>
        <w:szCs w:val="20"/>
      </w:rPr>
      <w:fldChar w:fldCharType="begin"/>
    </w:r>
    <w:r w:rsidRPr="003D0253">
      <w:rPr>
        <w:rFonts w:ascii="Palatino Linotype" w:eastAsia="Arial" w:hAnsi="Palatino Linotype" w:cs="Arial"/>
        <w:b/>
        <w:bCs/>
        <w:color w:val="000000"/>
        <w:sz w:val="22"/>
        <w:szCs w:val="20"/>
      </w:rPr>
      <w:instrText>NUMPAGES</w:instrText>
    </w:r>
    <w:r w:rsidRPr="003D0253">
      <w:rPr>
        <w:rFonts w:ascii="Palatino Linotype" w:eastAsia="Arial" w:hAnsi="Palatino Linotype" w:cs="Arial"/>
        <w:b/>
        <w:bCs/>
        <w:color w:val="000000"/>
        <w:sz w:val="22"/>
        <w:szCs w:val="20"/>
      </w:rPr>
      <w:fldChar w:fldCharType="separate"/>
    </w:r>
    <w:r w:rsidR="00E87BCC">
      <w:rPr>
        <w:rFonts w:ascii="Palatino Linotype" w:eastAsia="Arial" w:hAnsi="Palatino Linotype" w:cs="Arial"/>
        <w:b/>
        <w:bCs/>
        <w:noProof/>
        <w:color w:val="000000"/>
        <w:sz w:val="22"/>
        <w:szCs w:val="20"/>
      </w:rPr>
      <w:t>63</w:t>
    </w:r>
    <w:r w:rsidRPr="003D0253">
      <w:rPr>
        <w:rFonts w:ascii="Palatino Linotype" w:eastAsia="Arial" w:hAnsi="Palatino Linotype" w:cs="Arial"/>
        <w:b/>
        <w:bCs/>
        <w:color w:val="000000"/>
        <w:sz w:val="22"/>
        <w:szCs w:val="20"/>
      </w:rPr>
      <w:fldChar w:fldCharType="end"/>
    </w:r>
  </w:p>
  <w:p w:rsidR="00367C66" w:rsidRDefault="00367C66">
    <w:pPr>
      <w:pBdr>
        <w:top w:val="nil"/>
        <w:left w:val="nil"/>
        <w:bottom w:val="nil"/>
        <w:right w:val="nil"/>
        <w:between w:val="nil"/>
      </w:pBdr>
      <w:tabs>
        <w:tab w:val="center" w:pos="4252"/>
        <w:tab w:val="right" w:pos="8504"/>
      </w:tabs>
      <w:rPr>
        <w:rFonts w:ascii="Cambria" w:eastAsia="Cambria" w:hAnsi="Cambria" w:cs="Cambria"/>
        <w:color w:val="000000"/>
      </w:rPr>
    </w:pPr>
  </w:p>
  <w:p w:rsidR="00367C66" w:rsidRDefault="00367C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569" w:rsidRDefault="00CC6569">
      <w:r>
        <w:separator/>
      </w:r>
    </w:p>
  </w:footnote>
  <w:footnote w:type="continuationSeparator" w:id="0">
    <w:p w:rsidR="00CC6569" w:rsidRDefault="00CC6569">
      <w:r>
        <w:continuationSeparator/>
      </w:r>
    </w:p>
  </w:footnote>
  <w:footnote w:id="1">
    <w:p w:rsidR="00367C66" w:rsidRDefault="00D821B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Convención Americana sobre Derechos Humanos. Artículo 13.</w:t>
      </w:r>
    </w:p>
  </w:footnote>
  <w:footnote w:id="2">
    <w:p w:rsidR="00367C66" w:rsidRDefault="00D821B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Constitución Política de los Estados Unidos Mexicanos. Artículo sexto, sección A, fracción I.</w:t>
      </w:r>
    </w:p>
  </w:footnote>
  <w:footnote w:id="3">
    <w:p w:rsidR="00367C66" w:rsidRDefault="00D821B4">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367C66" w:rsidRDefault="00D821B4">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Ibídem. Parr. 87.</w:t>
      </w:r>
    </w:p>
  </w:footnote>
  <w:footnote w:id="5">
    <w:p w:rsidR="00367C66" w:rsidRDefault="00D821B4">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w:t>
      </w:r>
      <w:r>
        <w:rPr>
          <w:rFonts w:ascii="Palatino Linotype" w:eastAsia="Palatino Linotype" w:hAnsi="Palatino Linotype" w:cs="Palatino Linotype"/>
          <w:b/>
          <w:bCs/>
          <w:color w:val="000000"/>
          <w:sz w:val="20"/>
          <w:szCs w:val="20"/>
        </w:rPr>
        <w:t>Artículo 9.</w:t>
      </w:r>
      <w:r>
        <w:rPr>
          <w:rFonts w:ascii="Palatino Linotype" w:eastAsia="Palatino Linotype" w:hAnsi="Palatino Linotype" w:cs="Palatino Linotype"/>
          <w:color w:val="000000"/>
          <w:sz w:val="20"/>
          <w:szCs w:val="20"/>
        </w:rPr>
        <w:t xml:space="preserve"> El Instituto deberá regir su funcionamiento de acuerdo a los siguientes principios:</w:t>
      </w:r>
    </w:p>
    <w:p w:rsidR="00367C66" w:rsidRDefault="00D821B4">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t>
      </w:r>
    </w:p>
    <w:p w:rsidR="00367C66" w:rsidRDefault="00D821B4">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II. Eficacia:</w:t>
      </w:r>
      <w:r>
        <w:rPr>
          <w:rFonts w:ascii="Palatino Linotype" w:eastAsia="Palatino Linotype" w:hAnsi="Palatino Linotype" w:cs="Palatino Linotype"/>
          <w:color w:val="000000"/>
          <w:sz w:val="20"/>
          <w:szCs w:val="20"/>
        </w:rPr>
        <w:t xml:space="preserve"> Obligación del Instituto para tutelar, de manera efectiva, el derecho de acceso a la información</w:t>
      </w:r>
    </w:p>
    <w:p w:rsidR="00367C66" w:rsidRDefault="00D821B4">
      <w:pPr>
        <w:pBdr>
          <w:top w:val="nil"/>
          <w:left w:val="nil"/>
          <w:bottom w:val="nil"/>
          <w:right w:val="nil"/>
          <w:between w:val="nil"/>
        </w:pBdr>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w:t>
      </w:r>
    </w:p>
    <w:p w:rsidR="00367C66" w:rsidRDefault="00D821B4">
      <w:pPr>
        <w:pBdr>
          <w:top w:val="nil"/>
          <w:left w:val="nil"/>
          <w:bottom w:val="nil"/>
          <w:right w:val="nil"/>
          <w:between w:val="nil"/>
        </w:pBdr>
        <w:jc w:val="both"/>
        <w:rPr>
          <w:rFonts w:ascii="Cambria" w:eastAsia="Cambria" w:hAnsi="Cambria" w:cs="Cambria"/>
          <w:color w:val="000000"/>
          <w:sz w:val="20"/>
          <w:szCs w:val="20"/>
        </w:rPr>
      </w:pPr>
      <w:r>
        <w:rPr>
          <w:rFonts w:ascii="Palatino Linotype" w:eastAsia="Palatino Linotype" w:hAnsi="Palatino Linotype" w:cs="Palatino Linotype"/>
          <w:b/>
          <w:bCs/>
          <w:color w:val="000000"/>
          <w:sz w:val="20"/>
          <w:szCs w:val="20"/>
        </w:rPr>
        <w:t>IX. Profesionalismo:</w:t>
      </w:r>
      <w:r>
        <w:rPr>
          <w:rFonts w:ascii="Palatino Linotype" w:eastAsia="Palatino Linotype" w:hAnsi="Palatino Linotype" w:cs="Palatino Linotype"/>
          <w:color w:val="000000"/>
          <w:sz w:val="20"/>
          <w:szCs w:val="20"/>
        </w:rPr>
        <w:t xml:space="preserve"> Los servidores públicos que laboren en el Instituto deberán sujetar su actuación a conocimientos técnicos, teóricos y metodológicos que garanticen un desempeño eficiente y eficaz en el ejercicio de la función pública que tienen encomendada; y</w:t>
      </w:r>
    </w:p>
  </w:footnote>
  <w:footnote w:id="6">
    <w:p w:rsidR="00367C66" w:rsidRDefault="00D821B4">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7">
    <w:p w:rsidR="00367C66" w:rsidRDefault="00D821B4">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8">
    <w:p w:rsidR="00367C66" w:rsidRDefault="00D821B4">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9">
    <w:p w:rsidR="00367C66" w:rsidRDefault="00D821B4">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10">
    <w:p w:rsidR="00367C66" w:rsidRDefault="00D821B4">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1">
    <w:p w:rsidR="00367C66" w:rsidRDefault="00D821B4">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959" w:type="dxa"/>
      <w:tblInd w:w="3686" w:type="dxa"/>
      <w:tblLayout w:type="fixed"/>
      <w:tblLook w:val="0400" w:firstRow="0" w:lastRow="0" w:firstColumn="0" w:lastColumn="0" w:noHBand="0" w:noVBand="1"/>
    </w:tblPr>
    <w:tblGrid>
      <w:gridCol w:w="2701"/>
      <w:gridCol w:w="4258"/>
    </w:tblGrid>
    <w:tr w:rsidR="00367C66" w:rsidTr="003D0253">
      <w:tc>
        <w:tcPr>
          <w:tcW w:w="2701" w:type="dxa"/>
          <w:vAlign w:val="center"/>
        </w:tcPr>
        <w:p w:rsidR="00367C66" w:rsidRPr="003D0253" w:rsidRDefault="00D821B4">
          <w:pPr>
            <w:rPr>
              <w:rFonts w:ascii="Palatino Linotype" w:eastAsia="Palatino Linotype" w:hAnsi="Palatino Linotype" w:cs="Palatino Linotype"/>
              <w:b/>
              <w:bCs/>
              <w:szCs w:val="22"/>
            </w:rPr>
          </w:pPr>
          <w:r w:rsidRPr="003D0253">
            <w:rPr>
              <w:rFonts w:ascii="Palatino Linotype" w:eastAsia="Palatino Linotype" w:hAnsi="Palatino Linotype" w:cs="Palatino Linotype"/>
              <w:b/>
              <w:bCs/>
              <w:szCs w:val="22"/>
            </w:rPr>
            <w:t>Recurso de Revisión:</w:t>
          </w:r>
        </w:p>
      </w:tc>
      <w:tc>
        <w:tcPr>
          <w:tcW w:w="4258" w:type="dxa"/>
          <w:vAlign w:val="center"/>
        </w:tcPr>
        <w:p w:rsidR="00367C66" w:rsidRPr="003D0253" w:rsidRDefault="00D821B4">
          <w:pPr>
            <w:rPr>
              <w:rFonts w:ascii="Palatino Linotype" w:eastAsia="Palatino Linotype" w:hAnsi="Palatino Linotype" w:cs="Palatino Linotype"/>
              <w:szCs w:val="22"/>
            </w:rPr>
          </w:pPr>
          <w:r w:rsidRPr="003D0253">
            <w:rPr>
              <w:rFonts w:ascii="Palatino Linotype" w:eastAsia="Palatino Linotype" w:hAnsi="Palatino Linotype" w:cs="Palatino Linotype"/>
              <w:szCs w:val="22"/>
            </w:rPr>
            <w:t xml:space="preserve">03428/INFOEM/IP/RR/2026 </w:t>
          </w:r>
        </w:p>
      </w:tc>
    </w:tr>
    <w:tr w:rsidR="00367C66" w:rsidTr="003D0253">
      <w:trPr>
        <w:trHeight w:val="228"/>
      </w:trPr>
      <w:tc>
        <w:tcPr>
          <w:tcW w:w="2701" w:type="dxa"/>
          <w:vAlign w:val="center"/>
        </w:tcPr>
        <w:p w:rsidR="00367C66" w:rsidRPr="003D0253" w:rsidRDefault="00D821B4">
          <w:pPr>
            <w:rPr>
              <w:rFonts w:ascii="Palatino Linotype" w:eastAsia="Palatino Linotype" w:hAnsi="Palatino Linotype" w:cs="Palatino Linotype"/>
              <w:b/>
              <w:bCs/>
              <w:szCs w:val="22"/>
            </w:rPr>
          </w:pPr>
          <w:r w:rsidRPr="003D0253">
            <w:rPr>
              <w:rFonts w:ascii="Palatino Linotype" w:eastAsia="Palatino Linotype" w:hAnsi="Palatino Linotype" w:cs="Palatino Linotype"/>
              <w:b/>
              <w:bCs/>
              <w:szCs w:val="22"/>
            </w:rPr>
            <w:t>Sujeto Obligado:</w:t>
          </w:r>
        </w:p>
      </w:tc>
      <w:tc>
        <w:tcPr>
          <w:tcW w:w="4258" w:type="dxa"/>
          <w:vAlign w:val="center"/>
        </w:tcPr>
        <w:p w:rsidR="00367C66" w:rsidRPr="003D0253" w:rsidRDefault="00D821B4">
          <w:pPr>
            <w:rPr>
              <w:rFonts w:ascii="Palatino Linotype" w:eastAsia="Palatino Linotype" w:hAnsi="Palatino Linotype" w:cs="Palatino Linotype"/>
              <w:szCs w:val="22"/>
            </w:rPr>
          </w:pPr>
          <w:r w:rsidRPr="003D0253">
            <w:rPr>
              <w:rFonts w:ascii="Palatino Linotype" w:eastAsia="Palatino Linotype" w:hAnsi="Palatino Linotype" w:cs="Palatino Linotype"/>
              <w:szCs w:val="22"/>
            </w:rPr>
            <w:t>Ayuntamiento de Juchitepec</w:t>
          </w:r>
        </w:p>
      </w:tc>
    </w:tr>
    <w:tr w:rsidR="00367C66" w:rsidTr="003D0253">
      <w:tc>
        <w:tcPr>
          <w:tcW w:w="2701" w:type="dxa"/>
          <w:vAlign w:val="center"/>
        </w:tcPr>
        <w:p w:rsidR="00367C66" w:rsidRPr="003D0253" w:rsidRDefault="00D821B4">
          <w:pPr>
            <w:rPr>
              <w:rFonts w:ascii="Palatino Linotype" w:eastAsia="Palatino Linotype" w:hAnsi="Palatino Linotype" w:cs="Palatino Linotype"/>
              <w:b/>
              <w:bCs/>
              <w:szCs w:val="22"/>
            </w:rPr>
          </w:pPr>
          <w:r w:rsidRPr="003D0253">
            <w:rPr>
              <w:rFonts w:ascii="Palatino Linotype" w:eastAsia="Palatino Linotype" w:hAnsi="Palatino Linotype" w:cs="Palatino Linotype"/>
              <w:b/>
              <w:bCs/>
              <w:szCs w:val="22"/>
            </w:rPr>
            <w:t>Comisionada ponente:</w:t>
          </w:r>
        </w:p>
      </w:tc>
      <w:tc>
        <w:tcPr>
          <w:tcW w:w="4258" w:type="dxa"/>
          <w:vAlign w:val="center"/>
        </w:tcPr>
        <w:p w:rsidR="00367C66" w:rsidRPr="003D0253" w:rsidRDefault="00D821B4">
          <w:pPr>
            <w:ind w:right="-533"/>
            <w:rPr>
              <w:rFonts w:ascii="Palatino Linotype" w:eastAsia="Palatino Linotype" w:hAnsi="Palatino Linotype" w:cs="Palatino Linotype"/>
              <w:szCs w:val="22"/>
            </w:rPr>
          </w:pPr>
          <w:r w:rsidRPr="003D0253">
            <w:rPr>
              <w:rFonts w:ascii="Palatino Linotype" w:eastAsia="Palatino Linotype" w:hAnsi="Palatino Linotype" w:cs="Palatino Linotype"/>
              <w:szCs w:val="22"/>
            </w:rPr>
            <w:t xml:space="preserve">María del Rosario Mejía Ayala  </w:t>
          </w:r>
        </w:p>
      </w:tc>
    </w:tr>
  </w:tbl>
  <w:p w:rsidR="00367C66" w:rsidRDefault="003D0253" w:rsidP="003D0253">
    <w:pPr>
      <w:pBdr>
        <w:top w:val="nil"/>
        <w:left w:val="nil"/>
        <w:bottom w:val="nil"/>
        <w:right w:val="nil"/>
        <w:between w:val="nil"/>
      </w:pBdr>
      <w:tabs>
        <w:tab w:val="center" w:pos="4252"/>
        <w:tab w:val="right" w:pos="8504"/>
        <w:tab w:val="left" w:pos="2326"/>
      </w:tabs>
      <w:rPr>
        <w:rFonts w:ascii="Cambria" w:eastAsia="Cambria" w:hAnsi="Cambria" w:cs="Cambria"/>
        <w:color w:val="000000"/>
      </w:rPr>
    </w:pPr>
    <w:r>
      <w:rPr>
        <w:noProof/>
        <w:lang w:val="es-MX"/>
      </w:rPr>
      <w:drawing>
        <wp:anchor distT="0" distB="0" distL="0" distR="0" simplePos="0" relativeHeight="251658240" behindDoc="1" locked="0" layoutInCell="1" hidden="0" allowOverlap="1">
          <wp:simplePos x="0" y="0"/>
          <wp:positionH relativeFrom="page">
            <wp:align>right</wp:align>
          </wp:positionH>
          <wp:positionV relativeFrom="paragraph">
            <wp:posOffset>-994482</wp:posOffset>
          </wp:positionV>
          <wp:extent cx="7635875" cy="9943465"/>
          <wp:effectExtent l="0" t="0" r="3175" b="635"/>
          <wp:wrapNone/>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r w:rsidR="00D821B4">
      <w:rPr>
        <w:rFonts w:ascii="Cambria" w:eastAsia="Cambria" w:hAnsi="Cambria" w:cs="Cambria"/>
        <w:color w:val="000000"/>
      </w:rPr>
      <w:tab/>
    </w:r>
  </w:p>
  <w:p w:rsidR="003D0253" w:rsidRPr="003D0253" w:rsidRDefault="003D0253" w:rsidP="003D0253">
    <w:pPr>
      <w:pBdr>
        <w:top w:val="nil"/>
        <w:left w:val="nil"/>
        <w:bottom w:val="nil"/>
        <w:right w:val="nil"/>
        <w:between w:val="nil"/>
      </w:pBdr>
      <w:tabs>
        <w:tab w:val="center" w:pos="4252"/>
        <w:tab w:val="right" w:pos="8504"/>
        <w:tab w:val="left" w:pos="2326"/>
      </w:tabs>
      <w:rPr>
        <w:rFonts w:ascii="Cambria" w:eastAsia="Cambria" w:hAnsi="Cambria" w:cs="Cambria"/>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522" w:type="dxa"/>
      <w:tblInd w:w="3256" w:type="dxa"/>
      <w:tblLayout w:type="fixed"/>
      <w:tblLook w:val="0400" w:firstRow="0" w:lastRow="0" w:firstColumn="0" w:lastColumn="0" w:noHBand="0" w:noVBand="1"/>
    </w:tblPr>
    <w:tblGrid>
      <w:gridCol w:w="3123"/>
      <w:gridCol w:w="4399"/>
    </w:tblGrid>
    <w:tr w:rsidR="00367C66" w:rsidTr="003D0253">
      <w:trPr>
        <w:trHeight w:val="277"/>
      </w:trPr>
      <w:tc>
        <w:tcPr>
          <w:tcW w:w="3123" w:type="dxa"/>
          <w:vAlign w:val="center"/>
        </w:tcPr>
        <w:p w:rsidR="00367C66" w:rsidRPr="003D0253" w:rsidRDefault="00D821B4">
          <w:pPr>
            <w:rPr>
              <w:rFonts w:ascii="Palatino Linotype" w:eastAsia="Palatino Linotype" w:hAnsi="Palatino Linotype" w:cs="Palatino Linotype"/>
              <w:b/>
              <w:bCs/>
              <w:szCs w:val="22"/>
            </w:rPr>
          </w:pPr>
          <w:r w:rsidRPr="003D0253">
            <w:rPr>
              <w:rFonts w:ascii="Palatino Linotype" w:eastAsia="Palatino Linotype" w:hAnsi="Palatino Linotype" w:cs="Palatino Linotype"/>
              <w:b/>
              <w:bCs/>
              <w:szCs w:val="22"/>
            </w:rPr>
            <w:t>Recurso de Revisión:</w:t>
          </w:r>
        </w:p>
      </w:tc>
      <w:tc>
        <w:tcPr>
          <w:tcW w:w="4399" w:type="dxa"/>
          <w:vAlign w:val="center"/>
        </w:tcPr>
        <w:p w:rsidR="00367C66" w:rsidRPr="003D0253" w:rsidRDefault="00D821B4">
          <w:pPr>
            <w:rPr>
              <w:rFonts w:ascii="Palatino Linotype" w:eastAsia="Palatino Linotype" w:hAnsi="Palatino Linotype" w:cs="Palatino Linotype"/>
              <w:szCs w:val="22"/>
            </w:rPr>
          </w:pPr>
          <w:r w:rsidRPr="003D0253">
            <w:rPr>
              <w:rFonts w:ascii="Palatino Linotype" w:eastAsia="Palatino Linotype" w:hAnsi="Palatino Linotype" w:cs="Palatino Linotype"/>
              <w:szCs w:val="22"/>
            </w:rPr>
            <w:t xml:space="preserve">03428/INFOEM/IP/RR/2026 </w:t>
          </w:r>
        </w:p>
      </w:tc>
    </w:tr>
    <w:tr w:rsidR="00367C66" w:rsidTr="003D0253">
      <w:tc>
        <w:tcPr>
          <w:tcW w:w="3123" w:type="dxa"/>
          <w:vAlign w:val="center"/>
        </w:tcPr>
        <w:p w:rsidR="00367C66" w:rsidRPr="003D0253" w:rsidRDefault="00D821B4">
          <w:pPr>
            <w:rPr>
              <w:rFonts w:ascii="Palatino Linotype" w:eastAsia="Palatino Linotype" w:hAnsi="Palatino Linotype" w:cs="Palatino Linotype"/>
              <w:b/>
              <w:bCs/>
              <w:szCs w:val="22"/>
            </w:rPr>
          </w:pPr>
          <w:r w:rsidRPr="003D0253">
            <w:rPr>
              <w:rFonts w:ascii="Palatino Linotype" w:eastAsia="Palatino Linotype" w:hAnsi="Palatino Linotype" w:cs="Palatino Linotype"/>
              <w:b/>
              <w:bCs/>
              <w:szCs w:val="22"/>
            </w:rPr>
            <w:t>Recurrente:</w:t>
          </w:r>
        </w:p>
      </w:tc>
      <w:tc>
        <w:tcPr>
          <w:tcW w:w="4399" w:type="dxa"/>
          <w:vAlign w:val="center"/>
        </w:tcPr>
        <w:p w:rsidR="00367C66" w:rsidRPr="003D0253" w:rsidRDefault="005264B0">
          <w:pPr>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367C66" w:rsidTr="003D0253">
      <w:trPr>
        <w:trHeight w:val="228"/>
      </w:trPr>
      <w:tc>
        <w:tcPr>
          <w:tcW w:w="3123" w:type="dxa"/>
          <w:vAlign w:val="center"/>
        </w:tcPr>
        <w:p w:rsidR="00367C66" w:rsidRPr="003D0253" w:rsidRDefault="00D821B4">
          <w:pPr>
            <w:rPr>
              <w:rFonts w:ascii="Palatino Linotype" w:eastAsia="Palatino Linotype" w:hAnsi="Palatino Linotype" w:cs="Palatino Linotype"/>
              <w:b/>
              <w:bCs/>
              <w:szCs w:val="22"/>
            </w:rPr>
          </w:pPr>
          <w:r w:rsidRPr="003D0253">
            <w:rPr>
              <w:rFonts w:ascii="Palatino Linotype" w:eastAsia="Palatino Linotype" w:hAnsi="Palatino Linotype" w:cs="Palatino Linotype"/>
              <w:b/>
              <w:bCs/>
              <w:szCs w:val="22"/>
            </w:rPr>
            <w:t>Sujeto Obligado:</w:t>
          </w:r>
        </w:p>
      </w:tc>
      <w:tc>
        <w:tcPr>
          <w:tcW w:w="4399" w:type="dxa"/>
          <w:vAlign w:val="center"/>
        </w:tcPr>
        <w:p w:rsidR="00367C66" w:rsidRPr="003D0253" w:rsidRDefault="00D821B4">
          <w:pPr>
            <w:rPr>
              <w:rFonts w:ascii="Palatino Linotype" w:eastAsia="Palatino Linotype" w:hAnsi="Palatino Linotype" w:cs="Palatino Linotype"/>
              <w:szCs w:val="22"/>
            </w:rPr>
          </w:pPr>
          <w:r w:rsidRPr="003D0253">
            <w:rPr>
              <w:rFonts w:ascii="Palatino Linotype" w:eastAsia="Palatino Linotype" w:hAnsi="Palatino Linotype" w:cs="Palatino Linotype"/>
              <w:szCs w:val="22"/>
            </w:rPr>
            <w:t>Ayuntamiento de Juchitepec</w:t>
          </w:r>
        </w:p>
      </w:tc>
    </w:tr>
    <w:tr w:rsidR="00367C66" w:rsidTr="003D0253">
      <w:tc>
        <w:tcPr>
          <w:tcW w:w="3123" w:type="dxa"/>
          <w:vAlign w:val="center"/>
        </w:tcPr>
        <w:p w:rsidR="00367C66" w:rsidRPr="003D0253" w:rsidRDefault="00D821B4">
          <w:pPr>
            <w:rPr>
              <w:rFonts w:ascii="Palatino Linotype" w:eastAsia="Palatino Linotype" w:hAnsi="Palatino Linotype" w:cs="Palatino Linotype"/>
              <w:b/>
              <w:bCs/>
              <w:szCs w:val="22"/>
            </w:rPr>
          </w:pPr>
          <w:r w:rsidRPr="003D0253">
            <w:rPr>
              <w:rFonts w:ascii="Palatino Linotype" w:eastAsia="Palatino Linotype" w:hAnsi="Palatino Linotype" w:cs="Palatino Linotype"/>
              <w:b/>
              <w:bCs/>
              <w:szCs w:val="22"/>
            </w:rPr>
            <w:t>Comisionada Ponente:</w:t>
          </w:r>
        </w:p>
      </w:tc>
      <w:tc>
        <w:tcPr>
          <w:tcW w:w="4399" w:type="dxa"/>
          <w:vAlign w:val="center"/>
        </w:tcPr>
        <w:p w:rsidR="00367C66" w:rsidRPr="003D0253" w:rsidRDefault="00D821B4">
          <w:pPr>
            <w:ind w:right="-533"/>
            <w:rPr>
              <w:rFonts w:ascii="Palatino Linotype" w:eastAsia="Palatino Linotype" w:hAnsi="Palatino Linotype" w:cs="Palatino Linotype"/>
              <w:szCs w:val="22"/>
            </w:rPr>
          </w:pPr>
          <w:r w:rsidRPr="003D0253">
            <w:rPr>
              <w:rFonts w:ascii="Palatino Linotype" w:eastAsia="Palatino Linotype" w:hAnsi="Palatino Linotype" w:cs="Palatino Linotype"/>
              <w:szCs w:val="22"/>
            </w:rPr>
            <w:t>María del Rosario Mejía Ayala</w:t>
          </w:r>
        </w:p>
      </w:tc>
    </w:tr>
  </w:tbl>
  <w:p w:rsidR="00367C66" w:rsidRPr="003D0253" w:rsidRDefault="003D0253" w:rsidP="003D0253">
    <w:pPr>
      <w:pBdr>
        <w:top w:val="nil"/>
        <w:left w:val="nil"/>
        <w:bottom w:val="nil"/>
        <w:right w:val="nil"/>
        <w:between w:val="nil"/>
      </w:pBdr>
      <w:tabs>
        <w:tab w:val="center" w:pos="4252"/>
        <w:tab w:val="right" w:pos="8504"/>
      </w:tabs>
      <w:rPr>
        <w:rFonts w:ascii="Cambria" w:eastAsia="Cambria" w:hAnsi="Cambria" w:cs="Cambria"/>
        <w:color w:val="000000"/>
      </w:rPr>
    </w:pPr>
    <w:r w:rsidRPr="003D0253">
      <w:rPr>
        <w:noProof/>
        <w:lang w:val="es-MX"/>
      </w:rPr>
      <w:drawing>
        <wp:anchor distT="0" distB="0" distL="0" distR="0" simplePos="0" relativeHeight="251659264" behindDoc="1" locked="0" layoutInCell="1" hidden="0" allowOverlap="1">
          <wp:simplePos x="0" y="0"/>
          <wp:positionH relativeFrom="page">
            <wp:align>right</wp:align>
          </wp:positionH>
          <wp:positionV relativeFrom="paragraph">
            <wp:posOffset>-1261014</wp:posOffset>
          </wp:positionV>
          <wp:extent cx="7635875" cy="9943465"/>
          <wp:effectExtent l="0" t="0" r="3175" b="635"/>
          <wp:wrapNone/>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C39BB"/>
    <w:multiLevelType w:val="hybridMultilevel"/>
    <w:tmpl w:val="38C2B49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12805F78"/>
    <w:multiLevelType w:val="hybridMultilevel"/>
    <w:tmpl w:val="8F786056"/>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2" w15:restartNumberingAfterBreak="0">
    <w:nsid w:val="18EE18D4"/>
    <w:multiLevelType w:val="multilevel"/>
    <w:tmpl w:val="4AEEE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614DB9"/>
    <w:multiLevelType w:val="multilevel"/>
    <w:tmpl w:val="D77074C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811367"/>
    <w:multiLevelType w:val="multilevel"/>
    <w:tmpl w:val="0B007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B86590"/>
    <w:multiLevelType w:val="multilevel"/>
    <w:tmpl w:val="0706F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076246"/>
    <w:multiLevelType w:val="multilevel"/>
    <w:tmpl w:val="B5B2DE28"/>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4F9976AE"/>
    <w:multiLevelType w:val="multilevel"/>
    <w:tmpl w:val="70248474"/>
    <w:lvl w:ilvl="0">
      <w:start w:val="2"/>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8" w15:restartNumberingAfterBreak="0">
    <w:nsid w:val="5CD6361A"/>
    <w:multiLevelType w:val="multilevel"/>
    <w:tmpl w:val="7092353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 w15:restartNumberingAfterBreak="0">
    <w:nsid w:val="5E246340"/>
    <w:multiLevelType w:val="multilevel"/>
    <w:tmpl w:val="A8EACD7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777ABC"/>
    <w:multiLevelType w:val="multilevel"/>
    <w:tmpl w:val="A2AC1CB6"/>
    <w:lvl w:ilvl="0">
      <w:start w:val="1"/>
      <w:numFmt w:val="decimal"/>
      <w:lvlText w:val="%1."/>
      <w:lvlJc w:val="left"/>
      <w:pPr>
        <w:ind w:left="1778"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3052DA"/>
    <w:multiLevelType w:val="multilevel"/>
    <w:tmpl w:val="8A1012B6"/>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B41ABD"/>
    <w:multiLevelType w:val="multilevel"/>
    <w:tmpl w:val="0C101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11B68D3"/>
    <w:multiLevelType w:val="multilevel"/>
    <w:tmpl w:val="6096D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2B0183C"/>
    <w:multiLevelType w:val="multilevel"/>
    <w:tmpl w:val="F25E938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7AE45A9C"/>
    <w:multiLevelType w:val="multilevel"/>
    <w:tmpl w:val="B14AE7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2"/>
  </w:num>
  <w:num w:numId="3">
    <w:abstractNumId w:val="13"/>
  </w:num>
  <w:num w:numId="4">
    <w:abstractNumId w:val="2"/>
  </w:num>
  <w:num w:numId="5">
    <w:abstractNumId w:val="4"/>
  </w:num>
  <w:num w:numId="6">
    <w:abstractNumId w:val="5"/>
  </w:num>
  <w:num w:numId="7">
    <w:abstractNumId w:val="15"/>
  </w:num>
  <w:num w:numId="8">
    <w:abstractNumId w:val="7"/>
  </w:num>
  <w:num w:numId="9">
    <w:abstractNumId w:val="14"/>
  </w:num>
  <w:num w:numId="10">
    <w:abstractNumId w:val="9"/>
  </w:num>
  <w:num w:numId="11">
    <w:abstractNumId w:val="11"/>
  </w:num>
  <w:num w:numId="12">
    <w:abstractNumId w:val="3"/>
  </w:num>
  <w:num w:numId="13">
    <w:abstractNumId w:val="8"/>
  </w:num>
  <w:num w:numId="14">
    <w:abstractNumId w:val="6"/>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C66"/>
    <w:rsid w:val="0004261B"/>
    <w:rsid w:val="001041DE"/>
    <w:rsid w:val="001E001B"/>
    <w:rsid w:val="00367C66"/>
    <w:rsid w:val="003D0253"/>
    <w:rsid w:val="00516554"/>
    <w:rsid w:val="005264B0"/>
    <w:rsid w:val="00622BDA"/>
    <w:rsid w:val="00754C6F"/>
    <w:rsid w:val="0086759B"/>
    <w:rsid w:val="00AA470A"/>
    <w:rsid w:val="00CC6569"/>
    <w:rsid w:val="00D328B9"/>
    <w:rsid w:val="00D821B4"/>
    <w:rsid w:val="00E46A1C"/>
    <w:rsid w:val="00E87BCC"/>
    <w:rsid w:val="00FF00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71D306-7AC8-4E28-8E3A-5EE777C2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516554"/>
    <w:pPr>
      <w:tabs>
        <w:tab w:val="center" w:pos="4419"/>
        <w:tab w:val="right" w:pos="8838"/>
      </w:tabs>
    </w:pPr>
  </w:style>
  <w:style w:type="character" w:customStyle="1" w:styleId="EncabezadoCar">
    <w:name w:val="Encabezado Car"/>
    <w:basedOn w:val="Fuentedeprrafopredeter"/>
    <w:link w:val="Encabezado"/>
    <w:uiPriority w:val="99"/>
    <w:rsid w:val="00516554"/>
  </w:style>
  <w:style w:type="paragraph" w:styleId="Piedepgina">
    <w:name w:val="footer"/>
    <w:basedOn w:val="Normal"/>
    <w:link w:val="PiedepginaCar"/>
    <w:uiPriority w:val="99"/>
    <w:unhideWhenUsed/>
    <w:rsid w:val="00516554"/>
    <w:pPr>
      <w:tabs>
        <w:tab w:val="center" w:pos="4419"/>
        <w:tab w:val="right" w:pos="8838"/>
      </w:tabs>
    </w:pPr>
  </w:style>
  <w:style w:type="character" w:customStyle="1" w:styleId="PiedepginaCar">
    <w:name w:val="Pie de página Car"/>
    <w:basedOn w:val="Fuentedeprrafopredeter"/>
    <w:link w:val="Piedepgina"/>
    <w:uiPriority w:val="99"/>
    <w:rsid w:val="00516554"/>
  </w:style>
  <w:style w:type="paragraph" w:styleId="Prrafodelista">
    <w:name w:val="List Paragraph"/>
    <w:basedOn w:val="Normal"/>
    <w:uiPriority w:val="34"/>
    <w:qFormat/>
    <w:rsid w:val="003D0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1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DCBuX5ZYfqSYiYrgFn3XU1ZE2A==">CgMxLjAyDmgubzdqdWowa2c0dG1kMg5oLnc4bXdzeWR0cGZ1ZTIOaC5xODY0Z2dia2F4bGIyDmguNmc5N3BwZGNta2dkMg5oLmFoeGNnazQxemlxNzIOaC5vd2poN3podGtkaGwyDGguNDV2bHgzeDQ0bTINaC5lMXN5dm9qbTkzaTIOaC5qcTN5aWc0OWx0bmQyDmguc3U4dGoxZHJoYnhiMg5oLmExbTd1eDFjd2NxMDIOaC4xa3FiNGQ5NTR6YWoyDWgubml5aTJoeW0zdm44AHIhMVF1WnNsUlRsdkprWG9YM3J3Q3J3a0o4bE8yMmJfTk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63</Pages>
  <Words>14622</Words>
  <Characters>80426</Characters>
  <Application>Microsoft Office Word</Application>
  <DocSecurity>0</DocSecurity>
  <Lines>670</Lines>
  <Paragraphs>189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15</cp:revision>
  <cp:lastPrinted>2026-06-18T18:44:00Z</cp:lastPrinted>
  <dcterms:created xsi:type="dcterms:W3CDTF">2026-06-15T17:31:00Z</dcterms:created>
  <dcterms:modified xsi:type="dcterms:W3CDTF">2026-07-06T17:14:00Z</dcterms:modified>
</cp:coreProperties>
</file>