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41324" w14:textId="77777777" w:rsidR="00EE4241" w:rsidRPr="00DF0DBC" w:rsidRDefault="00E8425A">
      <w:pPr>
        <w:spacing w:line="360" w:lineRule="auto"/>
        <w:ind w:right="49" w:hanging="22"/>
        <w:jc w:val="both"/>
        <w:rPr>
          <w:rFonts w:ascii="Palatino Linotype" w:eastAsia="Palatino Linotype" w:hAnsi="Palatino Linotype" w:cs="Palatino Linotype"/>
          <w:sz w:val="22"/>
          <w:szCs w:val="22"/>
        </w:rPr>
      </w:pPr>
      <w:bookmarkStart w:id="0" w:name="_GoBack"/>
      <w:bookmarkEnd w:id="0"/>
      <w:r w:rsidRPr="00DF0DB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Pr="00DF0DBC">
        <w:rPr>
          <w:rFonts w:ascii="Palatino Linotype" w:eastAsia="Palatino Linotype" w:hAnsi="Palatino Linotype" w:cs="Palatino Linotype"/>
          <w:b/>
          <w:bCs/>
          <w:sz w:val="22"/>
          <w:szCs w:val="22"/>
        </w:rPr>
        <w:t>cinco de febrero</w:t>
      </w:r>
      <w:r w:rsidRPr="00DF0DBC">
        <w:rPr>
          <w:rFonts w:ascii="Palatino Linotype" w:eastAsia="Palatino Linotype" w:hAnsi="Palatino Linotype" w:cs="Palatino Linotype"/>
          <w:sz w:val="22"/>
          <w:szCs w:val="22"/>
        </w:rPr>
        <w:t xml:space="preserve"> </w:t>
      </w:r>
      <w:r w:rsidRPr="00DF0DBC">
        <w:rPr>
          <w:rFonts w:ascii="Palatino Linotype" w:eastAsia="Palatino Linotype" w:hAnsi="Palatino Linotype" w:cs="Palatino Linotype"/>
          <w:b/>
          <w:bCs/>
          <w:sz w:val="22"/>
          <w:szCs w:val="22"/>
        </w:rPr>
        <w:t>de dos mil veintiséis.</w:t>
      </w:r>
    </w:p>
    <w:p w14:paraId="4C3F362D" w14:textId="77777777" w:rsidR="00EE4241" w:rsidRPr="00DF0DBC" w:rsidRDefault="00EE4241">
      <w:pPr>
        <w:spacing w:line="360" w:lineRule="auto"/>
        <w:ind w:right="49"/>
        <w:jc w:val="both"/>
        <w:rPr>
          <w:rFonts w:ascii="Palatino Linotype" w:eastAsia="Palatino Linotype" w:hAnsi="Palatino Linotype" w:cs="Palatino Linotype"/>
          <w:sz w:val="22"/>
          <w:szCs w:val="22"/>
        </w:rPr>
      </w:pPr>
    </w:p>
    <w:p w14:paraId="300E3DFB" w14:textId="77777777" w:rsidR="00EE4241" w:rsidRPr="00DF0DBC" w:rsidRDefault="00E8425A">
      <w:pPr>
        <w:spacing w:line="360" w:lineRule="auto"/>
        <w:ind w:right="4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 xml:space="preserve">VISTO </w:t>
      </w:r>
      <w:r w:rsidRPr="00DF0DBC">
        <w:rPr>
          <w:rFonts w:ascii="Palatino Linotype" w:eastAsia="Palatino Linotype" w:hAnsi="Palatino Linotype" w:cs="Palatino Linotype"/>
          <w:sz w:val="22"/>
          <w:szCs w:val="22"/>
        </w:rPr>
        <w:t xml:space="preserve">el expediente relativo al recurso de revisión </w:t>
      </w:r>
      <w:r w:rsidRPr="00DF0DBC">
        <w:rPr>
          <w:rFonts w:ascii="Palatino Linotype" w:eastAsia="Palatino Linotype" w:hAnsi="Palatino Linotype" w:cs="Palatino Linotype"/>
          <w:b/>
          <w:bCs/>
          <w:sz w:val="22"/>
          <w:szCs w:val="22"/>
        </w:rPr>
        <w:t xml:space="preserve">13844/INFOEM/IP/RR/2025, </w:t>
      </w:r>
      <w:r w:rsidRPr="00DF0DBC">
        <w:rPr>
          <w:rFonts w:ascii="Palatino Linotype" w:eastAsia="Palatino Linotype" w:hAnsi="Palatino Linotype" w:cs="Palatino Linotype"/>
          <w:sz w:val="22"/>
          <w:szCs w:val="22"/>
        </w:rPr>
        <w:t xml:space="preserve">interpuesto por </w:t>
      </w:r>
      <w:r w:rsidRPr="00DF0DBC">
        <w:rPr>
          <w:rFonts w:ascii="Palatino Linotype" w:eastAsia="Palatino Linotype" w:hAnsi="Palatino Linotype" w:cs="Palatino Linotype"/>
          <w:b/>
          <w:bCs/>
          <w:sz w:val="22"/>
          <w:szCs w:val="22"/>
        </w:rPr>
        <w:t>un Usuario que no proporcionó su nombre</w:t>
      </w:r>
      <w:r w:rsidRPr="00DF0DBC">
        <w:rPr>
          <w:rFonts w:ascii="Palatino Linotype" w:eastAsia="Palatino Linotype" w:hAnsi="Palatino Linotype" w:cs="Palatino Linotype"/>
          <w:sz w:val="22"/>
          <w:szCs w:val="22"/>
        </w:rPr>
        <w:t xml:space="preserve">, en lo sucesivo la parte </w:t>
      </w:r>
      <w:r w:rsidRPr="00DF0DBC">
        <w:rPr>
          <w:rFonts w:ascii="Palatino Linotype" w:eastAsia="Palatino Linotype" w:hAnsi="Palatino Linotype" w:cs="Palatino Linotype"/>
          <w:b/>
          <w:bCs/>
          <w:sz w:val="22"/>
          <w:szCs w:val="22"/>
        </w:rPr>
        <w:t>Recurrente</w:t>
      </w:r>
      <w:r w:rsidRPr="00DF0DBC">
        <w:rPr>
          <w:rFonts w:ascii="Palatino Linotype" w:eastAsia="Palatino Linotype" w:hAnsi="Palatino Linotype" w:cs="Palatino Linotype"/>
          <w:sz w:val="22"/>
          <w:szCs w:val="22"/>
        </w:rPr>
        <w:t xml:space="preserve">, en contra de la respuesta a la solicitud de información por parte del </w:t>
      </w:r>
      <w:r w:rsidRPr="00DF0DBC">
        <w:rPr>
          <w:rFonts w:ascii="Palatino Linotype" w:eastAsia="Palatino Linotype" w:hAnsi="Palatino Linotype" w:cs="Palatino Linotype"/>
          <w:b/>
          <w:bCs/>
          <w:sz w:val="22"/>
          <w:szCs w:val="22"/>
        </w:rPr>
        <w:t>Ayuntamiento de Toluca</w:t>
      </w:r>
      <w:r w:rsidRPr="00DF0DBC">
        <w:rPr>
          <w:rFonts w:ascii="Palatino Linotype" w:eastAsia="Palatino Linotype" w:hAnsi="Palatino Linotype" w:cs="Palatino Linotype"/>
          <w:sz w:val="22"/>
          <w:szCs w:val="22"/>
        </w:rPr>
        <w:t xml:space="preserve">, en lo sucesivo el </w:t>
      </w:r>
      <w:r w:rsidRPr="00DF0DBC">
        <w:rPr>
          <w:rFonts w:ascii="Palatino Linotype" w:eastAsia="Palatino Linotype" w:hAnsi="Palatino Linotype" w:cs="Palatino Linotype"/>
          <w:b/>
          <w:bCs/>
          <w:sz w:val="22"/>
          <w:szCs w:val="22"/>
        </w:rPr>
        <w:t xml:space="preserve">Sujeto Obligado; </w:t>
      </w:r>
      <w:r w:rsidRPr="00DF0DBC">
        <w:rPr>
          <w:rFonts w:ascii="Palatino Linotype" w:eastAsia="Palatino Linotype" w:hAnsi="Palatino Linotype" w:cs="Palatino Linotype"/>
          <w:sz w:val="22"/>
          <w:szCs w:val="22"/>
        </w:rPr>
        <w:t>se procede a dictar la presente resolución, con base en lo siguiente.</w:t>
      </w:r>
    </w:p>
    <w:p w14:paraId="2D6C93A9" w14:textId="77777777" w:rsidR="00EE4241" w:rsidRPr="00DF0DBC" w:rsidRDefault="00EE4241">
      <w:pPr>
        <w:spacing w:line="360" w:lineRule="auto"/>
        <w:ind w:right="49"/>
        <w:jc w:val="both"/>
        <w:rPr>
          <w:rFonts w:ascii="Palatino Linotype" w:eastAsia="Palatino Linotype" w:hAnsi="Palatino Linotype" w:cs="Palatino Linotype"/>
          <w:sz w:val="22"/>
          <w:szCs w:val="22"/>
        </w:rPr>
      </w:pPr>
    </w:p>
    <w:p w14:paraId="39698D31" w14:textId="77777777" w:rsidR="00EE4241" w:rsidRPr="00DF0DBC" w:rsidRDefault="00E8425A">
      <w:pPr>
        <w:spacing w:line="360" w:lineRule="auto"/>
        <w:ind w:right="49"/>
        <w:jc w:val="center"/>
        <w:rPr>
          <w:rFonts w:ascii="Palatino Linotype" w:eastAsia="Palatino Linotype" w:hAnsi="Palatino Linotype" w:cs="Palatino Linotype"/>
          <w:b/>
          <w:bCs/>
          <w:sz w:val="22"/>
          <w:szCs w:val="22"/>
        </w:rPr>
      </w:pPr>
      <w:r w:rsidRPr="00DF0DBC">
        <w:rPr>
          <w:rFonts w:ascii="Palatino Linotype" w:eastAsia="Palatino Linotype" w:hAnsi="Palatino Linotype" w:cs="Palatino Linotype"/>
          <w:b/>
          <w:bCs/>
          <w:sz w:val="22"/>
          <w:szCs w:val="22"/>
        </w:rPr>
        <w:t>I.</w:t>
      </w:r>
      <w:r w:rsidRPr="00DF0DBC">
        <w:rPr>
          <w:rFonts w:ascii="Palatino Linotype" w:eastAsia="Palatino Linotype" w:hAnsi="Palatino Linotype" w:cs="Palatino Linotype"/>
          <w:b/>
          <w:bCs/>
          <w:sz w:val="22"/>
          <w:szCs w:val="22"/>
        </w:rPr>
        <w:tab/>
        <w:t xml:space="preserve">A N T E C E D E N T E S </w:t>
      </w:r>
    </w:p>
    <w:p w14:paraId="215A5FA1" w14:textId="77777777" w:rsidR="00EE4241" w:rsidRPr="00DF0DBC" w:rsidRDefault="00EE4241">
      <w:pPr>
        <w:spacing w:line="360" w:lineRule="auto"/>
        <w:ind w:right="49"/>
        <w:jc w:val="both"/>
        <w:rPr>
          <w:rFonts w:ascii="Palatino Linotype" w:eastAsia="Palatino Linotype" w:hAnsi="Palatino Linotype" w:cs="Palatino Linotype"/>
          <w:sz w:val="22"/>
          <w:szCs w:val="22"/>
        </w:rPr>
      </w:pPr>
    </w:p>
    <w:p w14:paraId="23135A43"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1.</w:t>
      </w:r>
      <w:r w:rsidRPr="00DF0DBC">
        <w:rPr>
          <w:rFonts w:ascii="Palatino Linotype" w:eastAsia="Palatino Linotype" w:hAnsi="Palatino Linotype" w:cs="Palatino Linotype"/>
          <w:sz w:val="22"/>
          <w:szCs w:val="22"/>
        </w:rPr>
        <w:t xml:space="preserve"> </w:t>
      </w:r>
      <w:r w:rsidRPr="00DF0DBC">
        <w:rPr>
          <w:rFonts w:ascii="Palatino Linotype" w:eastAsia="Palatino Linotype" w:hAnsi="Palatino Linotype" w:cs="Palatino Linotype"/>
          <w:b/>
          <w:bCs/>
          <w:sz w:val="22"/>
          <w:szCs w:val="22"/>
        </w:rPr>
        <w:t>Solicitud de Acceso a la Información. El diez de noviembre de dos mil veinticinco</w:t>
      </w:r>
      <w:r w:rsidRPr="00DF0DBC">
        <w:rPr>
          <w:rFonts w:ascii="Palatino Linotype" w:eastAsia="Palatino Linotype" w:hAnsi="Palatino Linotype" w:cs="Palatino Linotype"/>
          <w:sz w:val="22"/>
          <w:szCs w:val="22"/>
        </w:rPr>
        <w:t xml:space="preserve">, </w:t>
      </w:r>
      <w:r w:rsidRPr="00DF0DBC">
        <w:rPr>
          <w:rFonts w:ascii="Palatino Linotype" w:eastAsia="Palatino Linotype" w:hAnsi="Palatino Linotype" w:cs="Palatino Linotype"/>
          <w:b/>
          <w:bCs/>
          <w:sz w:val="22"/>
          <w:szCs w:val="22"/>
        </w:rPr>
        <w:t>LA PARTE</w:t>
      </w:r>
      <w:r w:rsidRPr="00DF0DBC">
        <w:rPr>
          <w:rFonts w:ascii="Palatino Linotype" w:eastAsia="Palatino Linotype" w:hAnsi="Palatino Linotype" w:cs="Palatino Linotype"/>
          <w:sz w:val="22"/>
          <w:szCs w:val="22"/>
        </w:rPr>
        <w:t xml:space="preserve"> </w:t>
      </w:r>
      <w:r w:rsidRPr="00DF0DBC">
        <w:rPr>
          <w:rFonts w:ascii="Palatino Linotype" w:eastAsia="Palatino Linotype" w:hAnsi="Palatino Linotype" w:cs="Palatino Linotype"/>
          <w:b/>
          <w:bCs/>
          <w:sz w:val="22"/>
          <w:szCs w:val="22"/>
        </w:rPr>
        <w:t>RECURRENTE</w:t>
      </w:r>
      <w:r w:rsidRPr="00DF0DBC">
        <w:rPr>
          <w:rFonts w:ascii="Palatino Linotype" w:eastAsia="Palatino Linotype" w:hAnsi="Palatino Linotype" w:cs="Palatino Linotype"/>
          <w:sz w:val="22"/>
          <w:szCs w:val="22"/>
        </w:rPr>
        <w:t xml:space="preserve"> formuló solicitud de acceso a información pública a través del </w:t>
      </w:r>
      <w:r w:rsidRPr="00DF0DBC">
        <w:rPr>
          <w:rFonts w:ascii="Palatino Linotype" w:eastAsia="Palatino Linotype" w:hAnsi="Palatino Linotype" w:cs="Palatino Linotype"/>
          <w:b/>
          <w:bCs/>
          <w:sz w:val="22"/>
          <w:szCs w:val="22"/>
        </w:rPr>
        <w:t>SAIMEX</w:t>
      </w:r>
      <w:r w:rsidRPr="00DF0DBC">
        <w:rPr>
          <w:rFonts w:ascii="Palatino Linotype" w:eastAsia="Palatino Linotype" w:hAnsi="Palatino Linotype" w:cs="Palatino Linotype"/>
          <w:sz w:val="22"/>
          <w:szCs w:val="22"/>
        </w:rPr>
        <w:t xml:space="preserve">, en la que requirió lo siguiente: </w:t>
      </w:r>
    </w:p>
    <w:p w14:paraId="387A8DB6"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509B62FF" w14:textId="77777777" w:rsidR="00EE4241" w:rsidRPr="00DF0DBC" w:rsidRDefault="00E8425A">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bCs/>
          <w:sz w:val="22"/>
          <w:szCs w:val="22"/>
        </w:rPr>
      </w:pPr>
      <w:bookmarkStart w:id="1" w:name="_heading=h.3znysh7" w:colFirst="0" w:colLast="0"/>
      <w:bookmarkEnd w:id="1"/>
      <w:r w:rsidRPr="00DF0DBC">
        <w:rPr>
          <w:rFonts w:ascii="Palatino Linotype" w:eastAsia="Palatino Linotype" w:hAnsi="Palatino Linotype" w:cs="Palatino Linotype"/>
          <w:b/>
          <w:bCs/>
          <w:sz w:val="22"/>
          <w:szCs w:val="22"/>
        </w:rPr>
        <w:t>06160/TOLUCA/IP/2025</w:t>
      </w:r>
    </w:p>
    <w:p w14:paraId="7431AF58" w14:textId="77777777" w:rsidR="00EE4241" w:rsidRPr="00DF0DBC" w:rsidRDefault="00E8425A">
      <w:pPr>
        <w:spacing w:line="276" w:lineRule="auto"/>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sz w:val="22"/>
          <w:szCs w:val="22"/>
        </w:rPr>
        <w:t xml:space="preserve"> </w:t>
      </w:r>
      <w:r w:rsidRPr="00DF0DBC">
        <w:rPr>
          <w:rFonts w:ascii="Palatino Linotype" w:eastAsia="Palatino Linotype" w:hAnsi="Palatino Linotype" w:cs="Palatino Linotype"/>
          <w:i/>
          <w:iCs/>
          <w:sz w:val="22"/>
          <w:szCs w:val="22"/>
        </w:rPr>
        <w:t>solicito fecha, lugar y nombre de los todos los eventos que se han realizado por parte del gobierno y que van dirigidos a los jovenes.</w:t>
      </w:r>
      <w:r w:rsidRPr="00DF0DBC">
        <w:rPr>
          <w:rFonts w:ascii="Palatino Linotype" w:eastAsia="Palatino Linotype" w:hAnsi="Palatino Linotype" w:cs="Palatino Linotype"/>
          <w:b/>
          <w:bCs/>
          <w:i/>
          <w:iCs/>
          <w:sz w:val="22"/>
          <w:szCs w:val="22"/>
        </w:rPr>
        <w:t>” (Sic.)</w:t>
      </w:r>
    </w:p>
    <w:p w14:paraId="3120B396" w14:textId="77777777" w:rsidR="00EE4241" w:rsidRPr="00DF0DBC" w:rsidRDefault="00EE4241">
      <w:pPr>
        <w:spacing w:line="360" w:lineRule="auto"/>
        <w:ind w:left="567" w:right="843"/>
        <w:jc w:val="both"/>
        <w:rPr>
          <w:rFonts w:ascii="Palatino Linotype" w:eastAsia="Palatino Linotype" w:hAnsi="Palatino Linotype" w:cs="Palatino Linotype"/>
          <w:i/>
          <w:iCs/>
          <w:sz w:val="22"/>
          <w:szCs w:val="22"/>
        </w:rPr>
      </w:pPr>
    </w:p>
    <w:p w14:paraId="4E965BA1" w14:textId="77777777" w:rsidR="00EE4241" w:rsidRPr="00DF0DBC" w:rsidRDefault="00E8425A">
      <w:pPr>
        <w:spacing w:line="360" w:lineRule="auto"/>
        <w:ind w:right="4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Modalidad elegida para la entrega de la información:</w:t>
      </w:r>
      <w:r w:rsidRPr="00DF0DBC">
        <w:rPr>
          <w:rFonts w:ascii="Palatino Linotype" w:eastAsia="Palatino Linotype" w:hAnsi="Palatino Linotype" w:cs="Palatino Linotype"/>
          <w:sz w:val="22"/>
          <w:szCs w:val="22"/>
        </w:rPr>
        <w:t xml:space="preserve"> a través del Sistema de Acceso a la Información Mexiquense (SAIMEX).</w:t>
      </w:r>
    </w:p>
    <w:p w14:paraId="79461D08" w14:textId="77777777" w:rsidR="00EE4241" w:rsidRPr="00DF0DBC" w:rsidRDefault="00EE4241">
      <w:pPr>
        <w:widowControl w:val="0"/>
        <w:spacing w:line="360" w:lineRule="auto"/>
        <w:jc w:val="both"/>
        <w:rPr>
          <w:rFonts w:ascii="Palatino Linotype" w:eastAsia="Palatino Linotype" w:hAnsi="Palatino Linotype" w:cs="Palatino Linotype"/>
          <w:b/>
          <w:bCs/>
          <w:sz w:val="22"/>
          <w:szCs w:val="22"/>
        </w:rPr>
      </w:pPr>
    </w:p>
    <w:p w14:paraId="11D4AB2E" w14:textId="77777777" w:rsidR="00EE4241" w:rsidRPr="00DF0DBC" w:rsidRDefault="00E8425A">
      <w:pPr>
        <w:widowControl w:val="0"/>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2. Respuesta.</w:t>
      </w:r>
      <w:r w:rsidRPr="00DF0DBC">
        <w:rPr>
          <w:rFonts w:ascii="Palatino Linotype" w:eastAsia="Palatino Linotype" w:hAnsi="Palatino Linotype" w:cs="Palatino Linotype"/>
          <w:sz w:val="22"/>
          <w:szCs w:val="22"/>
        </w:rPr>
        <w:t xml:space="preserve"> El </w:t>
      </w:r>
      <w:r w:rsidRPr="00DF0DBC">
        <w:rPr>
          <w:rFonts w:ascii="Palatino Linotype" w:eastAsia="Palatino Linotype" w:hAnsi="Palatino Linotype" w:cs="Palatino Linotype"/>
          <w:b/>
          <w:bCs/>
          <w:sz w:val="22"/>
          <w:szCs w:val="22"/>
        </w:rPr>
        <w:t>dos de diciembre de dos mil veinticinco</w:t>
      </w:r>
      <w:r w:rsidRPr="00DF0DBC">
        <w:rPr>
          <w:rFonts w:ascii="Palatino Linotype" w:eastAsia="Palatino Linotype" w:hAnsi="Palatino Linotype" w:cs="Palatino Linotype"/>
          <w:sz w:val="22"/>
          <w:szCs w:val="22"/>
        </w:rPr>
        <w:t>, el Sujeto Obligado dio respuesta a la solicitud en los siguientes términos:</w:t>
      </w:r>
    </w:p>
    <w:p w14:paraId="26B7AD26" w14:textId="77777777" w:rsidR="00EE4241" w:rsidRPr="00DF0DBC" w:rsidRDefault="00E8425A">
      <w:pPr>
        <w:widowControl w:val="0"/>
        <w:spacing w:line="360" w:lineRule="auto"/>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6F7A4F70" w14:textId="77777777" w:rsidR="00EE4241" w:rsidRPr="00DF0DBC" w:rsidRDefault="00E8425A">
      <w:pPr>
        <w:widowControl w:val="0"/>
        <w:spacing w:line="360" w:lineRule="auto"/>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En atención a la solicitud con folio 05561/TOLUCA/IP/2025, me permito adjuntar al presente la respuesta correspondiente, Sin más por el momento, reciba un saludo.</w:t>
      </w:r>
    </w:p>
    <w:p w14:paraId="42466436" w14:textId="77777777" w:rsidR="00EE4241" w:rsidRPr="00DF0DBC" w:rsidRDefault="00E8425A">
      <w:pPr>
        <w:widowControl w:val="0"/>
        <w:spacing w:line="360" w:lineRule="auto"/>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ATENTAMENTE</w:t>
      </w:r>
    </w:p>
    <w:p w14:paraId="217F5472" w14:textId="77777777" w:rsidR="00EE4241" w:rsidRPr="00DF0DBC" w:rsidRDefault="00E8425A">
      <w:pPr>
        <w:widowControl w:val="0"/>
        <w:spacing w:line="360" w:lineRule="auto"/>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Dr. Nahum Miguel Mendoza Morales”</w:t>
      </w:r>
    </w:p>
    <w:p w14:paraId="2CD75150" w14:textId="77777777" w:rsidR="00EE4241" w:rsidRPr="00DF0DBC" w:rsidRDefault="00EE4241">
      <w:pPr>
        <w:widowControl w:val="0"/>
        <w:spacing w:line="360" w:lineRule="auto"/>
        <w:ind w:left="567" w:right="843"/>
        <w:jc w:val="both"/>
        <w:rPr>
          <w:rFonts w:ascii="Palatino Linotype" w:eastAsia="Palatino Linotype" w:hAnsi="Palatino Linotype" w:cs="Palatino Linotype"/>
          <w:i/>
          <w:iCs/>
          <w:sz w:val="22"/>
          <w:szCs w:val="22"/>
        </w:rPr>
      </w:pPr>
    </w:p>
    <w:p w14:paraId="5B5730DE" w14:textId="77777777" w:rsidR="00EE4241" w:rsidRPr="00DF0DBC" w:rsidRDefault="00E8425A">
      <w:pPr>
        <w:widowControl w:val="0"/>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El Sujeto Obligado adjuntó el oficio de la Dirección de Cultura y Turismo mediante el cual refiere que no es la instancia competente para generar, administrar y sistematizar información relacionada con eventos gubernamentales específicamente dirigidos al sector juvenil. </w:t>
      </w:r>
    </w:p>
    <w:p w14:paraId="3AFAA770" w14:textId="77777777" w:rsidR="00EE4241" w:rsidRPr="00DF0DBC" w:rsidRDefault="00EE4241">
      <w:pPr>
        <w:widowControl w:val="0"/>
        <w:spacing w:line="360" w:lineRule="auto"/>
        <w:jc w:val="both"/>
        <w:rPr>
          <w:rFonts w:ascii="Palatino Linotype" w:eastAsia="Palatino Linotype" w:hAnsi="Palatino Linotype" w:cs="Palatino Linotype"/>
          <w:sz w:val="22"/>
          <w:szCs w:val="22"/>
        </w:rPr>
      </w:pPr>
    </w:p>
    <w:p w14:paraId="3CF65804"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 xml:space="preserve">3. Del Recurso de Revisión. </w:t>
      </w:r>
      <w:r w:rsidRPr="00DF0DBC">
        <w:rPr>
          <w:rFonts w:ascii="Palatino Linotype" w:eastAsia="Palatino Linotype" w:hAnsi="Palatino Linotype" w:cs="Palatino Linotype"/>
          <w:sz w:val="22"/>
          <w:szCs w:val="22"/>
        </w:rPr>
        <w:t>Inconforme con la respuesta del</w:t>
      </w:r>
      <w:r w:rsidRPr="00DF0DBC">
        <w:rPr>
          <w:rFonts w:ascii="Palatino Linotype" w:eastAsia="Palatino Linotype" w:hAnsi="Palatino Linotype" w:cs="Palatino Linotype"/>
          <w:b/>
          <w:bCs/>
          <w:sz w:val="22"/>
          <w:szCs w:val="22"/>
        </w:rPr>
        <w:t xml:space="preserve"> SUJETO OBLIGADO, </w:t>
      </w:r>
      <w:r w:rsidRPr="00DF0DBC">
        <w:rPr>
          <w:rFonts w:ascii="Palatino Linotype" w:eastAsia="Palatino Linotype" w:hAnsi="Palatino Linotype" w:cs="Palatino Linotype"/>
          <w:sz w:val="22"/>
          <w:szCs w:val="22"/>
        </w:rPr>
        <w:t xml:space="preserve">el </w:t>
      </w:r>
      <w:r w:rsidRPr="00DF0DBC">
        <w:rPr>
          <w:rFonts w:ascii="Palatino Linotype" w:eastAsia="Palatino Linotype" w:hAnsi="Palatino Linotype" w:cs="Palatino Linotype"/>
          <w:b/>
          <w:bCs/>
          <w:sz w:val="22"/>
          <w:szCs w:val="22"/>
        </w:rPr>
        <w:t xml:space="preserve">cinco de diciembre de dos mil veinticinco, LA PARTE RECURRENTE </w:t>
      </w:r>
      <w:r w:rsidRPr="00DF0DBC">
        <w:rPr>
          <w:rFonts w:ascii="Palatino Linotype" w:eastAsia="Palatino Linotype" w:hAnsi="Palatino Linotype" w:cs="Palatino Linotype"/>
          <w:sz w:val="22"/>
          <w:szCs w:val="22"/>
        </w:rPr>
        <w:t xml:space="preserve">interpuso el recurso de revisión, mediante el cual y manifestó lo siguiente: </w:t>
      </w:r>
    </w:p>
    <w:p w14:paraId="519B739C"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53AEFF90" w14:textId="77777777" w:rsidR="00EE4241" w:rsidRPr="00DF0DBC" w:rsidRDefault="00E8425A">
      <w:pPr>
        <w:numPr>
          <w:ilvl w:val="0"/>
          <w:numId w:val="1"/>
        </w:numPr>
        <w:pBdr>
          <w:top w:val="nil"/>
          <w:left w:val="nil"/>
          <w:bottom w:val="nil"/>
          <w:right w:val="nil"/>
          <w:between w:val="nil"/>
        </w:pBdr>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Acto Impugnado:</w:t>
      </w:r>
      <w:r w:rsidRPr="00DF0DBC">
        <w:rPr>
          <w:rFonts w:ascii="Palatino Linotype" w:eastAsia="Palatino Linotype" w:hAnsi="Palatino Linotype" w:cs="Palatino Linotype"/>
          <w:i/>
          <w:iCs/>
          <w:sz w:val="22"/>
          <w:szCs w:val="22"/>
        </w:rPr>
        <w:t xml:space="preserve"> “la información esta incompleta no esta todo lo solicitado falta” (Sic.)</w:t>
      </w:r>
    </w:p>
    <w:p w14:paraId="7B8F139F" w14:textId="77777777" w:rsidR="00EE4241" w:rsidRPr="00DF0DBC" w:rsidRDefault="00EE4241">
      <w:pPr>
        <w:pBdr>
          <w:top w:val="nil"/>
          <w:left w:val="nil"/>
          <w:bottom w:val="nil"/>
          <w:right w:val="nil"/>
          <w:between w:val="nil"/>
        </w:pBdr>
        <w:spacing w:line="276" w:lineRule="auto"/>
        <w:ind w:left="720" w:right="560"/>
        <w:jc w:val="both"/>
        <w:rPr>
          <w:rFonts w:ascii="Palatino Linotype" w:eastAsia="Palatino Linotype" w:hAnsi="Palatino Linotype" w:cs="Palatino Linotype"/>
          <w:i/>
          <w:iCs/>
          <w:sz w:val="22"/>
          <w:szCs w:val="22"/>
        </w:rPr>
      </w:pPr>
    </w:p>
    <w:p w14:paraId="3AF0B293" w14:textId="77777777" w:rsidR="00EE4241" w:rsidRPr="00DF0DBC" w:rsidRDefault="00E8425A">
      <w:pPr>
        <w:numPr>
          <w:ilvl w:val="0"/>
          <w:numId w:val="1"/>
        </w:numPr>
        <w:pBdr>
          <w:top w:val="nil"/>
          <w:left w:val="nil"/>
          <w:bottom w:val="nil"/>
          <w:right w:val="nil"/>
          <w:between w:val="nil"/>
        </w:pBdr>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Motivo de inconformidad:</w:t>
      </w:r>
      <w:r w:rsidRPr="00DF0DBC">
        <w:rPr>
          <w:rFonts w:ascii="Palatino Linotype" w:eastAsia="Palatino Linotype" w:hAnsi="Palatino Linotype" w:cs="Palatino Linotype"/>
          <w:sz w:val="22"/>
          <w:szCs w:val="22"/>
        </w:rPr>
        <w:t xml:space="preserve"> “</w:t>
      </w:r>
      <w:r w:rsidRPr="00DF0DBC">
        <w:rPr>
          <w:rFonts w:ascii="Palatino Linotype" w:eastAsia="Palatino Linotype" w:hAnsi="Palatino Linotype" w:cs="Palatino Linotype"/>
          <w:i/>
          <w:iCs/>
          <w:sz w:val="22"/>
          <w:szCs w:val="22"/>
        </w:rPr>
        <w:t>la información esta incompleta no esta todo lo solicitado falta</w:t>
      </w:r>
      <w:r w:rsidRPr="00DF0DBC">
        <w:rPr>
          <w:rFonts w:ascii="Palatino Linotype" w:eastAsia="Palatino Linotype" w:hAnsi="Palatino Linotype" w:cs="Palatino Linotype"/>
          <w:sz w:val="22"/>
          <w:szCs w:val="22"/>
        </w:rPr>
        <w:t>” (Sic.)</w:t>
      </w:r>
    </w:p>
    <w:p w14:paraId="3EFF75F6" w14:textId="77777777" w:rsidR="00EE4241" w:rsidRPr="00DF0DBC" w:rsidRDefault="00EE4241">
      <w:pPr>
        <w:pBdr>
          <w:top w:val="nil"/>
          <w:left w:val="nil"/>
          <w:bottom w:val="nil"/>
          <w:right w:val="nil"/>
          <w:between w:val="nil"/>
        </w:pBdr>
        <w:ind w:left="720"/>
        <w:rPr>
          <w:rFonts w:ascii="Palatino Linotype" w:eastAsia="Palatino Linotype" w:hAnsi="Palatino Linotype" w:cs="Palatino Linotype"/>
          <w:i/>
          <w:iCs/>
          <w:sz w:val="22"/>
          <w:szCs w:val="22"/>
        </w:rPr>
      </w:pPr>
    </w:p>
    <w:p w14:paraId="695D3FEC"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 xml:space="preserve">4. Turno. </w:t>
      </w:r>
      <w:r w:rsidRPr="00DF0DB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DF0DBC">
        <w:rPr>
          <w:rFonts w:ascii="Palatino Linotype" w:eastAsia="Palatino Linotype" w:hAnsi="Palatino Linotype" w:cs="Palatino Linotype"/>
          <w:b/>
          <w:bCs/>
          <w:sz w:val="22"/>
          <w:szCs w:val="22"/>
        </w:rPr>
        <w:t>13844/INFOEM/IP/RR/2025</w:t>
      </w:r>
      <w:r w:rsidRPr="00DF0DBC">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DF0DBC">
        <w:rPr>
          <w:rFonts w:ascii="Palatino Linotype" w:eastAsia="Palatino Linotype" w:hAnsi="Palatino Linotype" w:cs="Palatino Linotype"/>
          <w:b/>
          <w:bCs/>
          <w:sz w:val="22"/>
          <w:szCs w:val="22"/>
        </w:rPr>
        <w:t>Guadalupe Ramírez Peña</w:t>
      </w:r>
      <w:r w:rsidRPr="00DF0DBC">
        <w:rPr>
          <w:rFonts w:ascii="Palatino Linotype" w:eastAsia="Palatino Linotype" w:hAnsi="Palatino Linotype" w:cs="Palatino Linotype"/>
          <w:sz w:val="22"/>
          <w:szCs w:val="22"/>
        </w:rPr>
        <w:t>, para su análisis, estudio, elaboración del proyecto y presentación ante el Pleno de este Instituto.</w:t>
      </w:r>
    </w:p>
    <w:p w14:paraId="396A2D9B"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39646A3A" w14:textId="77777777" w:rsidR="00EE4241" w:rsidRPr="00DF0DBC" w:rsidRDefault="00E8425A">
      <w:pPr>
        <w:spacing w:line="360" w:lineRule="auto"/>
        <w:jc w:val="both"/>
        <w:rPr>
          <w:rFonts w:ascii="Palatino Linotype" w:eastAsia="Palatino Linotype" w:hAnsi="Palatino Linotype" w:cs="Palatino Linotype"/>
          <w:b/>
          <w:bCs/>
          <w:sz w:val="22"/>
          <w:szCs w:val="22"/>
        </w:rPr>
      </w:pPr>
      <w:r w:rsidRPr="00DF0DBC">
        <w:rPr>
          <w:rFonts w:ascii="Palatino Linotype" w:eastAsia="Palatino Linotype" w:hAnsi="Palatino Linotype" w:cs="Palatino Linotype"/>
          <w:b/>
          <w:bCs/>
          <w:sz w:val="22"/>
          <w:szCs w:val="22"/>
        </w:rPr>
        <w:t xml:space="preserve">5. Admisión. </w:t>
      </w:r>
      <w:r w:rsidRPr="00DF0DBC">
        <w:rPr>
          <w:rFonts w:ascii="Palatino Linotype" w:eastAsia="Palatino Linotype" w:hAnsi="Palatino Linotype" w:cs="Palatino Linotype"/>
          <w:sz w:val="22"/>
          <w:szCs w:val="22"/>
        </w:rPr>
        <w:t xml:space="preserve">El </w:t>
      </w:r>
      <w:r w:rsidRPr="00DF0DBC">
        <w:rPr>
          <w:rFonts w:ascii="Palatino Linotype" w:eastAsia="Palatino Linotype" w:hAnsi="Palatino Linotype" w:cs="Palatino Linotype"/>
          <w:b/>
          <w:bCs/>
          <w:sz w:val="22"/>
          <w:szCs w:val="22"/>
        </w:rPr>
        <w:t>diez</w:t>
      </w:r>
      <w:r w:rsidRPr="00DF0DBC">
        <w:rPr>
          <w:rFonts w:ascii="Palatino Linotype" w:eastAsia="Palatino Linotype" w:hAnsi="Palatino Linotype" w:cs="Palatino Linotype"/>
          <w:sz w:val="22"/>
          <w:szCs w:val="22"/>
        </w:rPr>
        <w:t xml:space="preserve"> </w:t>
      </w:r>
      <w:r w:rsidRPr="00DF0DBC">
        <w:rPr>
          <w:rFonts w:ascii="Palatino Linotype" w:eastAsia="Palatino Linotype" w:hAnsi="Palatino Linotype" w:cs="Palatino Linotype"/>
          <w:b/>
          <w:bCs/>
          <w:sz w:val="22"/>
          <w:szCs w:val="22"/>
        </w:rPr>
        <w:t>de diciembre de dos mil veinticinco</w:t>
      </w:r>
      <w:r w:rsidRPr="00DF0DBC">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DF0DBC">
        <w:rPr>
          <w:rFonts w:ascii="Palatino Linotype" w:eastAsia="Palatino Linotype" w:hAnsi="Palatino Linotype" w:cs="Palatino Linotype"/>
          <w:b/>
          <w:bCs/>
          <w:sz w:val="22"/>
          <w:szCs w:val="22"/>
        </w:rPr>
        <w:t>.</w:t>
      </w:r>
    </w:p>
    <w:p w14:paraId="5C4C0185" w14:textId="77777777" w:rsidR="00EE4241" w:rsidRPr="00DF0DBC" w:rsidRDefault="00EE4241">
      <w:pPr>
        <w:spacing w:line="360" w:lineRule="auto"/>
        <w:jc w:val="both"/>
        <w:rPr>
          <w:rFonts w:ascii="Palatino Linotype" w:eastAsia="Palatino Linotype" w:hAnsi="Palatino Linotype" w:cs="Palatino Linotype"/>
          <w:b/>
          <w:bCs/>
          <w:sz w:val="22"/>
          <w:szCs w:val="22"/>
        </w:rPr>
      </w:pPr>
    </w:p>
    <w:p w14:paraId="6AE32BF9"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6. Manifestaciones.</w:t>
      </w:r>
      <w:r w:rsidRPr="00DF0DBC">
        <w:rPr>
          <w:rFonts w:ascii="Palatino Linotype" w:eastAsia="Palatino Linotype" w:hAnsi="Palatino Linotype" w:cs="Palatino Linotype"/>
          <w:sz w:val="22"/>
          <w:szCs w:val="22"/>
        </w:rPr>
        <w:t xml:space="preserve"> De las constancias que obran en el expediente electrónico del SAIMEX, se advierte que el Sujeto Obligado rindió su informe justificado, el </w:t>
      </w:r>
      <w:r w:rsidRPr="00DF0DBC">
        <w:rPr>
          <w:rFonts w:ascii="Palatino Linotype" w:eastAsia="Palatino Linotype" w:hAnsi="Palatino Linotype" w:cs="Palatino Linotype"/>
          <w:b/>
          <w:bCs/>
          <w:sz w:val="22"/>
          <w:szCs w:val="22"/>
        </w:rPr>
        <w:t>dieciocho de noviembre de dos mil veinticinco,</w:t>
      </w:r>
      <w:r w:rsidRPr="00DF0DBC">
        <w:rPr>
          <w:rFonts w:ascii="Palatino Linotype" w:eastAsia="Palatino Linotype" w:hAnsi="Palatino Linotype" w:cs="Palatino Linotype"/>
          <w:sz w:val="22"/>
          <w:szCs w:val="22"/>
        </w:rPr>
        <w:t xml:space="preserve"> mediante los documentos electrónicos denominados 13809-2025-DGA.pdf; 13844-2025-DGECyT.pdf; y Ratificación 13844.pdf, a través de los cuales ratifica la respuesta inicial. El contenido de los documentos electrónicos se puso a disposición del Recurrente el </w:t>
      </w:r>
      <w:r w:rsidRPr="00DF0DBC">
        <w:rPr>
          <w:rFonts w:ascii="Palatino Linotype" w:eastAsia="Palatino Linotype" w:hAnsi="Palatino Linotype" w:cs="Palatino Linotype"/>
          <w:b/>
          <w:bCs/>
          <w:sz w:val="22"/>
          <w:szCs w:val="22"/>
        </w:rPr>
        <w:t>veintinueve de enero de dos mil veinticinco</w:t>
      </w:r>
      <w:r w:rsidRPr="00DF0DBC">
        <w:rPr>
          <w:rFonts w:ascii="Palatino Linotype" w:eastAsia="Palatino Linotype" w:hAnsi="Palatino Linotype" w:cs="Palatino Linotype"/>
          <w:sz w:val="22"/>
          <w:szCs w:val="22"/>
        </w:rPr>
        <w:t xml:space="preserve">. </w:t>
      </w:r>
    </w:p>
    <w:p w14:paraId="281AD570" w14:textId="77777777" w:rsidR="00EE4241" w:rsidRPr="00DF0DBC" w:rsidRDefault="00EE4241">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87AE568" w14:textId="77777777" w:rsidR="00EE4241" w:rsidRPr="00DF0DBC" w:rsidRDefault="00E8425A">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8. Cierre de instrucción</w:t>
      </w:r>
      <w:r w:rsidRPr="00DF0DBC">
        <w:rPr>
          <w:rFonts w:ascii="Palatino Linotype" w:eastAsia="Palatino Linotype" w:hAnsi="Palatino Linotype" w:cs="Palatino Linotype"/>
          <w:sz w:val="22"/>
          <w:szCs w:val="22"/>
        </w:rPr>
        <w:t xml:space="preserve">. En fecha </w:t>
      </w:r>
      <w:r w:rsidRPr="00DF0DBC">
        <w:rPr>
          <w:rFonts w:ascii="Palatino Linotype" w:eastAsia="Palatino Linotype" w:hAnsi="Palatino Linotype" w:cs="Palatino Linotype"/>
          <w:b/>
          <w:bCs/>
          <w:sz w:val="22"/>
          <w:szCs w:val="22"/>
        </w:rPr>
        <w:t>cinco</w:t>
      </w:r>
      <w:r w:rsidRPr="00DF0DBC">
        <w:rPr>
          <w:rFonts w:ascii="Palatino Linotype" w:eastAsia="Palatino Linotype" w:hAnsi="Palatino Linotype" w:cs="Palatino Linotype"/>
          <w:sz w:val="22"/>
          <w:szCs w:val="22"/>
        </w:rPr>
        <w:t xml:space="preserve"> </w:t>
      </w:r>
      <w:r w:rsidRPr="00DF0DBC">
        <w:rPr>
          <w:rFonts w:ascii="Palatino Linotype" w:eastAsia="Palatino Linotype" w:hAnsi="Palatino Linotype" w:cs="Palatino Linotype"/>
          <w:b/>
          <w:bCs/>
          <w:sz w:val="22"/>
          <w:szCs w:val="22"/>
        </w:rPr>
        <w:t>de febrero de dos mil veintiséis</w:t>
      </w:r>
      <w:r w:rsidRPr="00DF0DBC">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0DBF97B5" w14:textId="77777777" w:rsidR="00EE4241" w:rsidRPr="00DF0DBC" w:rsidRDefault="00EE4241">
      <w:pPr>
        <w:spacing w:line="360" w:lineRule="auto"/>
        <w:ind w:right="49"/>
        <w:jc w:val="both"/>
        <w:rPr>
          <w:rFonts w:ascii="Palatino Linotype" w:eastAsia="Palatino Linotype" w:hAnsi="Palatino Linotype" w:cs="Palatino Linotype"/>
          <w:sz w:val="22"/>
          <w:szCs w:val="22"/>
        </w:rPr>
      </w:pPr>
    </w:p>
    <w:p w14:paraId="0A2BB4D4" w14:textId="77777777" w:rsidR="00EE4241" w:rsidRPr="00DF0DBC" w:rsidRDefault="00E8425A">
      <w:pPr>
        <w:spacing w:line="360" w:lineRule="auto"/>
        <w:ind w:right="4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Debido a que fue debidamente sustanciado </w:t>
      </w:r>
      <w:r w:rsidRPr="00DF0DBC">
        <w:rPr>
          <w:rFonts w:ascii="Palatino Linotype" w:eastAsia="Palatino Linotype" w:hAnsi="Palatino Linotype" w:cs="Palatino Linotype"/>
          <w:sz w:val="22"/>
          <w:szCs w:val="22"/>
        </w:rPr>
        <w:tab/>
        <w:t xml:space="preserve">el expediente electrónico y no existe diligencia pendiente de desahogo, se emite la Resolución que conforme a Derecho proceda, de acuerdo con los siguientes: </w:t>
      </w:r>
    </w:p>
    <w:p w14:paraId="49C4D3B9" w14:textId="77777777" w:rsidR="00EE4241" w:rsidRPr="00DF0DBC" w:rsidRDefault="00EE4241">
      <w:pPr>
        <w:spacing w:line="360" w:lineRule="auto"/>
        <w:ind w:right="49"/>
        <w:jc w:val="both"/>
        <w:rPr>
          <w:rFonts w:ascii="Palatino Linotype" w:eastAsia="Palatino Linotype" w:hAnsi="Palatino Linotype" w:cs="Palatino Linotype"/>
          <w:sz w:val="22"/>
          <w:szCs w:val="22"/>
        </w:rPr>
      </w:pPr>
    </w:p>
    <w:p w14:paraId="1EFB4E94" w14:textId="77777777" w:rsidR="00EE4241" w:rsidRPr="00DF0DBC" w:rsidRDefault="00E8425A">
      <w:pPr>
        <w:spacing w:line="360" w:lineRule="auto"/>
        <w:ind w:left="720" w:right="49" w:hanging="720"/>
        <w:jc w:val="center"/>
        <w:rPr>
          <w:rFonts w:ascii="Palatino Linotype" w:eastAsia="Palatino Linotype" w:hAnsi="Palatino Linotype" w:cs="Palatino Linotype"/>
          <w:b/>
          <w:bCs/>
          <w:sz w:val="22"/>
          <w:szCs w:val="22"/>
        </w:rPr>
      </w:pPr>
      <w:r w:rsidRPr="00DF0DBC">
        <w:rPr>
          <w:rFonts w:ascii="Palatino Linotype" w:eastAsia="Palatino Linotype" w:hAnsi="Palatino Linotype" w:cs="Palatino Linotype"/>
          <w:b/>
          <w:bCs/>
          <w:sz w:val="22"/>
          <w:szCs w:val="22"/>
        </w:rPr>
        <w:t>II.</w:t>
      </w:r>
      <w:r w:rsidRPr="00DF0DBC">
        <w:rPr>
          <w:rFonts w:ascii="Palatino Linotype" w:eastAsia="Palatino Linotype" w:hAnsi="Palatino Linotype" w:cs="Palatino Linotype"/>
          <w:b/>
          <w:bCs/>
          <w:sz w:val="22"/>
          <w:szCs w:val="22"/>
        </w:rPr>
        <w:tab/>
        <w:t xml:space="preserve">C O N S I D E R A N D O: </w:t>
      </w:r>
    </w:p>
    <w:p w14:paraId="2A024C99" w14:textId="77777777" w:rsidR="00EE4241" w:rsidRPr="00DF0DBC" w:rsidRDefault="00EE4241">
      <w:pPr>
        <w:spacing w:line="360" w:lineRule="auto"/>
        <w:ind w:right="49"/>
        <w:jc w:val="both"/>
        <w:rPr>
          <w:rFonts w:ascii="Palatino Linotype" w:eastAsia="Palatino Linotype" w:hAnsi="Palatino Linotype" w:cs="Palatino Linotype"/>
          <w:sz w:val="22"/>
          <w:szCs w:val="22"/>
        </w:rPr>
      </w:pPr>
    </w:p>
    <w:p w14:paraId="35415257"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Primero. Competencia.</w:t>
      </w:r>
      <w:r w:rsidRPr="00DF0DB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009565" w14:textId="77777777" w:rsidR="00EE4241" w:rsidRPr="00DF0DBC" w:rsidRDefault="00E8425A">
      <w:pPr>
        <w:spacing w:before="240"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 xml:space="preserve">Segundo. Oportunidad y Procedibilidad del Recurso de Revisión. </w:t>
      </w:r>
      <w:r w:rsidRPr="00DF0DBC">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F700999" w14:textId="77777777" w:rsidR="00EE4241" w:rsidRPr="00DF0DBC" w:rsidRDefault="00E8425A">
      <w:pPr>
        <w:spacing w:before="240"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082D1E7C" w14:textId="77777777" w:rsidR="00EE4241" w:rsidRPr="00DF0DBC" w:rsidRDefault="00E8425A">
      <w:pPr>
        <w:spacing w:line="360" w:lineRule="auto"/>
        <w:ind w:left="851" w:right="900"/>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 xml:space="preserve">“Artículo 178. </w:t>
      </w:r>
      <w:r w:rsidRPr="00DF0DBC">
        <w:rPr>
          <w:rFonts w:ascii="Palatino Linotype" w:eastAsia="Palatino Linotype" w:hAnsi="Palatino Linotype" w:cs="Palatino Linotype"/>
          <w:i/>
          <w:iCs/>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5F71DBD" w14:textId="77777777" w:rsidR="00EE4241" w:rsidRPr="00DF0DBC" w:rsidRDefault="00E8425A">
      <w:pPr>
        <w:spacing w:before="240" w:after="240" w:line="360" w:lineRule="auto"/>
        <w:ind w:right="49"/>
        <w:jc w:val="both"/>
        <w:rPr>
          <w:rFonts w:ascii="Palatino Linotype" w:eastAsia="Palatino Linotype" w:hAnsi="Palatino Linotype" w:cs="Palatino Linotype"/>
          <w:b/>
          <w:bCs/>
          <w:sz w:val="22"/>
          <w:szCs w:val="22"/>
        </w:rPr>
      </w:pPr>
      <w:r w:rsidRPr="00DF0DBC">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DF0DBC">
        <w:rPr>
          <w:rFonts w:ascii="Palatino Linotype" w:eastAsia="Palatino Linotype" w:hAnsi="Palatino Linotype" w:cs="Palatino Linotype"/>
          <w:b/>
          <w:bCs/>
          <w:sz w:val="22"/>
          <w:szCs w:val="22"/>
        </w:rPr>
        <w:t>SUJETO OBLIGADO</w:t>
      </w:r>
      <w:r w:rsidRPr="00DF0DBC">
        <w:rPr>
          <w:rFonts w:ascii="Palatino Linotype" w:eastAsia="Palatino Linotype" w:hAnsi="Palatino Linotype" w:cs="Palatino Linotype"/>
          <w:sz w:val="22"/>
          <w:szCs w:val="22"/>
        </w:rPr>
        <w:t xml:space="preserve"> remitió la respuesta a la solicitud de información el día </w:t>
      </w:r>
      <w:r w:rsidRPr="00DF0DBC">
        <w:rPr>
          <w:rFonts w:ascii="Palatino Linotype" w:eastAsia="Palatino Linotype" w:hAnsi="Palatino Linotype" w:cs="Palatino Linotype"/>
          <w:b/>
          <w:bCs/>
          <w:sz w:val="22"/>
          <w:szCs w:val="22"/>
        </w:rPr>
        <w:t xml:space="preserve">dos de diciembre de dos mil veinticinco, </w:t>
      </w:r>
      <w:r w:rsidRPr="00DF0DBC">
        <w:rPr>
          <w:rFonts w:ascii="Palatino Linotype" w:eastAsia="Palatino Linotype" w:hAnsi="Palatino Linotype" w:cs="Palatino Linotype"/>
          <w:sz w:val="22"/>
          <w:szCs w:val="22"/>
        </w:rPr>
        <w:t xml:space="preserve">mientras que el recurso de revisión interpuesto por la parte </w:t>
      </w:r>
      <w:r w:rsidRPr="00DF0DBC">
        <w:rPr>
          <w:rFonts w:ascii="Palatino Linotype" w:eastAsia="Palatino Linotype" w:hAnsi="Palatino Linotype" w:cs="Palatino Linotype"/>
          <w:b/>
          <w:bCs/>
          <w:sz w:val="22"/>
          <w:szCs w:val="22"/>
        </w:rPr>
        <w:t>RECURRENTE</w:t>
      </w:r>
      <w:r w:rsidRPr="00DF0DBC">
        <w:rPr>
          <w:rFonts w:ascii="Palatino Linotype" w:eastAsia="Palatino Linotype" w:hAnsi="Palatino Linotype" w:cs="Palatino Linotype"/>
          <w:sz w:val="22"/>
          <w:szCs w:val="22"/>
        </w:rPr>
        <w:t xml:space="preserve">, se tuvo por presentado el </w:t>
      </w:r>
      <w:r w:rsidRPr="00DF0DBC">
        <w:rPr>
          <w:rFonts w:ascii="Palatino Linotype" w:eastAsia="Palatino Linotype" w:hAnsi="Palatino Linotype" w:cs="Palatino Linotype"/>
          <w:b/>
          <w:bCs/>
          <w:sz w:val="22"/>
          <w:szCs w:val="22"/>
        </w:rPr>
        <w:t>cinco de diciembre del año dos mil veinticinco</w:t>
      </w:r>
      <w:r w:rsidRPr="00DF0DBC">
        <w:rPr>
          <w:rFonts w:ascii="Palatino Linotype" w:eastAsia="Palatino Linotype" w:hAnsi="Palatino Linotype" w:cs="Palatino Linotype"/>
          <w:sz w:val="22"/>
          <w:szCs w:val="22"/>
        </w:rPr>
        <w:t xml:space="preserve">; esto es, al </w:t>
      </w:r>
      <w:r w:rsidRPr="00DF0DBC">
        <w:rPr>
          <w:rFonts w:ascii="Palatino Linotype" w:eastAsia="Palatino Linotype" w:hAnsi="Palatino Linotype" w:cs="Palatino Linotype"/>
          <w:b/>
          <w:bCs/>
          <w:sz w:val="22"/>
          <w:szCs w:val="22"/>
        </w:rPr>
        <w:t>tercer día</w:t>
      </w:r>
      <w:r w:rsidRPr="00DF0DBC">
        <w:rPr>
          <w:rFonts w:ascii="Palatino Linotype" w:eastAsia="Palatino Linotype" w:hAnsi="Palatino Linotype" w:cs="Palatino Linotype"/>
          <w:sz w:val="22"/>
          <w:szCs w:val="22"/>
        </w:rPr>
        <w:t xml:space="preserve"> que se tuvo conocimiento de la respuesta.</w:t>
      </w:r>
    </w:p>
    <w:p w14:paraId="343CB952" w14:textId="77777777" w:rsidR="00EE4241" w:rsidRPr="00DF0DBC" w:rsidRDefault="00E8425A">
      <w:pPr>
        <w:spacing w:before="240" w:after="240" w:line="360" w:lineRule="auto"/>
        <w:ind w:right="4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89E5A94"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Por otro lado, es de suma importancia mencionar que, si bien la parte Recurrente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E05A6CD" w14:textId="77777777" w:rsidR="00EE4241" w:rsidRPr="00DF0DBC" w:rsidRDefault="00E8425A">
      <w:pPr>
        <w:ind w:left="426" w:right="701"/>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br/>
      </w:r>
      <w:r w:rsidRPr="00DF0DBC">
        <w:rPr>
          <w:rFonts w:ascii="Palatino Linotype" w:eastAsia="Palatino Linotype" w:hAnsi="Palatino Linotype" w:cs="Palatino Linotype"/>
          <w:b/>
          <w:bCs/>
          <w:i/>
          <w:iCs/>
          <w:sz w:val="22"/>
          <w:szCs w:val="22"/>
        </w:rPr>
        <w:t xml:space="preserve">"Las solicitudes anónimas, </w:t>
      </w:r>
      <w:r w:rsidRPr="00DF0DBC">
        <w:rPr>
          <w:rFonts w:ascii="Palatino Linotype" w:eastAsia="Palatino Linotype" w:hAnsi="Palatino Linotype" w:cs="Palatino Linotype"/>
          <w:i/>
          <w:iCs/>
          <w:sz w:val="22"/>
          <w:szCs w:val="22"/>
        </w:rPr>
        <w:t>con nombre incompleto o seudónimo </w:t>
      </w:r>
      <w:r w:rsidRPr="00DF0DBC">
        <w:rPr>
          <w:rFonts w:ascii="Palatino Linotype" w:eastAsia="Palatino Linotype" w:hAnsi="Palatino Linotype" w:cs="Palatino Linotype"/>
          <w:b/>
          <w:bCs/>
          <w:i/>
          <w:iCs/>
          <w:sz w:val="22"/>
          <w:szCs w:val="22"/>
        </w:rPr>
        <w:t>serán procedentes para su trámite por parte del sujeto obligado ante quien se presente.</w:t>
      </w:r>
      <w:r w:rsidRPr="00DF0DBC">
        <w:rPr>
          <w:rFonts w:ascii="Palatino Linotype" w:eastAsia="Palatino Linotype" w:hAnsi="Palatino Linotype" w:cs="Palatino Linotype"/>
          <w:i/>
          <w:iCs/>
          <w:sz w:val="22"/>
          <w:szCs w:val="22"/>
        </w:rPr>
        <w:t xml:space="preserve"> No podrá requerirse información adicional con motivo del nombre proporcionado por el solicitante."</w:t>
      </w:r>
    </w:p>
    <w:p w14:paraId="09DCC172" w14:textId="77777777" w:rsidR="00EE4241" w:rsidRPr="00DF0DBC" w:rsidRDefault="00E8425A">
      <w:pPr>
        <w:spacing w:before="240" w:after="240" w:line="360" w:lineRule="auto"/>
        <w:ind w:right="4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4F5E404" w14:textId="77777777" w:rsidR="00EE4241" w:rsidRPr="00DF0DBC" w:rsidRDefault="00E8425A">
      <w:pPr>
        <w:spacing w:before="240" w:after="240" w:line="360" w:lineRule="auto"/>
        <w:ind w:right="4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83950BC" w14:textId="77777777" w:rsidR="00EE4241" w:rsidRPr="00DF0DBC" w:rsidRDefault="00E8425A">
      <w:pPr>
        <w:spacing w:before="240"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V de la ley de la materia, que a la letra dice:</w:t>
      </w:r>
    </w:p>
    <w:p w14:paraId="69DB09B2" w14:textId="77777777" w:rsidR="00EE4241" w:rsidRPr="00DF0DBC" w:rsidRDefault="00E8425A">
      <w:pPr>
        <w:spacing w:line="360" w:lineRule="auto"/>
        <w:ind w:left="851" w:right="1041"/>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b/>
          <w:bCs/>
          <w:i/>
          <w:iCs/>
          <w:sz w:val="22"/>
          <w:szCs w:val="22"/>
        </w:rPr>
        <w:t xml:space="preserve">Artículo 179. </w:t>
      </w:r>
      <w:r w:rsidRPr="00DF0DBC">
        <w:rPr>
          <w:rFonts w:ascii="Palatino Linotype" w:eastAsia="Palatino Linotype" w:hAnsi="Palatino Linotype" w:cs="Palatino Linotype"/>
          <w:i/>
          <w:iCs/>
          <w:sz w:val="22"/>
          <w:szCs w:val="22"/>
        </w:rPr>
        <w:t>El recurso de revisión es un medio de protección que la Ley otorga a los particulares, para hacer valer su derecho de acceso a la información pública, y procederá en contra de las siguientes causas:</w:t>
      </w:r>
    </w:p>
    <w:p w14:paraId="130FE3DC" w14:textId="77777777" w:rsidR="00EE4241" w:rsidRPr="00DF0DBC" w:rsidRDefault="00E8425A">
      <w:pPr>
        <w:spacing w:line="360" w:lineRule="auto"/>
        <w:ind w:left="851" w:right="1041"/>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p>
    <w:p w14:paraId="63A51B81" w14:textId="77777777" w:rsidR="00EE4241" w:rsidRPr="00DF0DBC" w:rsidRDefault="00E8425A">
      <w:pPr>
        <w:spacing w:line="360" w:lineRule="auto"/>
        <w:ind w:left="851" w:right="1041"/>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V. La entrega de información incompleta;</w:t>
      </w:r>
    </w:p>
    <w:p w14:paraId="501D00A0" w14:textId="77777777" w:rsidR="00EE4241" w:rsidRPr="00DF0DBC" w:rsidRDefault="00E8425A">
      <w:pPr>
        <w:spacing w:line="360" w:lineRule="auto"/>
        <w:ind w:left="851" w:right="1041"/>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p>
    <w:p w14:paraId="03ADCF06" w14:textId="77777777" w:rsidR="00EE4241" w:rsidRPr="00DF0DBC" w:rsidRDefault="00E8425A">
      <w:pPr>
        <w:spacing w:before="240"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 xml:space="preserve">Tercero. Materia de la revisión. </w:t>
      </w:r>
      <w:r w:rsidRPr="00DF0DBC">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DF0DBC">
        <w:rPr>
          <w:rFonts w:ascii="Palatino Linotype" w:eastAsia="Palatino Linotype" w:hAnsi="Palatino Linotype" w:cs="Palatino Linotype"/>
          <w:b/>
          <w:bCs/>
          <w:sz w:val="22"/>
          <w:szCs w:val="22"/>
        </w:rPr>
        <w:t xml:space="preserve">verificar si la respuesta otorgada por el Sujeto Obligado es adecuada y suficiente para satisfacer el derecho de acceso a la información pública </w:t>
      </w:r>
      <w:r w:rsidRPr="00DF0DBC">
        <w:rPr>
          <w:rFonts w:ascii="Palatino Linotype" w:eastAsia="Palatino Linotype" w:hAnsi="Palatino Linotype" w:cs="Palatino Linotype"/>
          <w:sz w:val="22"/>
          <w:szCs w:val="22"/>
        </w:rPr>
        <w:t xml:space="preserve">de la parte </w:t>
      </w:r>
      <w:r w:rsidRPr="00DF0DBC">
        <w:rPr>
          <w:rFonts w:ascii="Palatino Linotype" w:eastAsia="Palatino Linotype" w:hAnsi="Palatino Linotype" w:cs="Palatino Linotype"/>
          <w:b/>
          <w:bCs/>
          <w:sz w:val="22"/>
          <w:szCs w:val="22"/>
        </w:rPr>
        <w:t>Recurrente</w:t>
      </w:r>
      <w:r w:rsidRPr="00DF0DBC">
        <w:rPr>
          <w:rFonts w:ascii="Palatino Linotype" w:eastAsia="Palatino Linotype" w:hAnsi="Palatino Linotype" w:cs="Palatino Linotype"/>
          <w:sz w:val="22"/>
          <w:szCs w:val="22"/>
        </w:rPr>
        <w:t>, o en su defecto, en caso de ser procedente, ordenar la entrega de información.</w:t>
      </w:r>
    </w:p>
    <w:p w14:paraId="3DEBC4F0"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 xml:space="preserve">Cuarto. Estudio del asunto. </w:t>
      </w:r>
      <w:r w:rsidRPr="00DF0DBC">
        <w:rPr>
          <w:rFonts w:ascii="Palatino Linotype" w:eastAsia="Palatino Linotype" w:hAnsi="Palatino Linotype" w:cs="Palatino Linotype"/>
          <w:sz w:val="22"/>
          <w:szCs w:val="22"/>
        </w:rPr>
        <w:t xml:space="preserve">En principio, es conveniente analizar si la respuesta del </w:t>
      </w:r>
      <w:r w:rsidRPr="00DF0DBC">
        <w:rPr>
          <w:rFonts w:ascii="Palatino Linotype" w:eastAsia="Palatino Linotype" w:hAnsi="Palatino Linotype" w:cs="Palatino Linotype"/>
          <w:b/>
          <w:bCs/>
          <w:sz w:val="22"/>
          <w:szCs w:val="22"/>
        </w:rPr>
        <w:t>SUJETO OBLIGADO</w:t>
      </w:r>
      <w:r w:rsidRPr="00DF0DBC">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8EF0807"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2513AA0B" w14:textId="77777777" w:rsidR="00EE4241" w:rsidRPr="00DF0DBC" w:rsidRDefault="00E8425A">
      <w:pPr>
        <w:spacing w:line="276" w:lineRule="auto"/>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b/>
          <w:bCs/>
          <w:i/>
          <w:iCs/>
          <w:sz w:val="22"/>
          <w:szCs w:val="22"/>
        </w:rPr>
        <w:t>Artículo 4</w:t>
      </w:r>
      <w:r w:rsidRPr="00DF0DBC">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E6F35FE" w14:textId="77777777" w:rsidR="00EE4241" w:rsidRPr="00DF0DBC" w:rsidRDefault="00E8425A">
      <w:pPr>
        <w:spacing w:line="276" w:lineRule="auto"/>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DF0DBC">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B7754DA" w14:textId="77777777" w:rsidR="00EE4241" w:rsidRPr="00DF0DBC" w:rsidRDefault="00E8425A">
      <w:pPr>
        <w:spacing w:line="276" w:lineRule="auto"/>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DF0DBC">
        <w:rPr>
          <w:rFonts w:ascii="Palatino Linotype" w:eastAsia="Palatino Linotype" w:hAnsi="Palatino Linotype" w:cs="Palatino Linotype"/>
          <w:i/>
          <w:iCs/>
          <w:sz w:val="22"/>
          <w:szCs w:val="22"/>
        </w:rPr>
        <w:t>.”</w:t>
      </w:r>
    </w:p>
    <w:p w14:paraId="7BFEE12B" w14:textId="77777777" w:rsidR="00EE4241" w:rsidRPr="00DF0DBC" w:rsidRDefault="00EE4241">
      <w:pPr>
        <w:spacing w:line="276" w:lineRule="auto"/>
        <w:jc w:val="both"/>
        <w:rPr>
          <w:rFonts w:ascii="Palatino Linotype" w:eastAsia="Palatino Linotype" w:hAnsi="Palatino Linotype" w:cs="Palatino Linotype"/>
          <w:sz w:val="22"/>
          <w:szCs w:val="22"/>
        </w:rPr>
      </w:pPr>
    </w:p>
    <w:p w14:paraId="7C1134BD"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3B213C42"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051184B9" w14:textId="77777777" w:rsidR="00EE4241" w:rsidRPr="00DF0DBC" w:rsidRDefault="00E8425A">
      <w:pPr>
        <w:spacing w:line="276" w:lineRule="auto"/>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“Artículo 12.-</w:t>
      </w:r>
      <w:r w:rsidRPr="00DF0DBC">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0C1D7165" w14:textId="77777777" w:rsidR="00EE4241" w:rsidRPr="00DF0DBC" w:rsidRDefault="00EE4241">
      <w:pPr>
        <w:spacing w:line="276" w:lineRule="auto"/>
        <w:ind w:left="567" w:right="616"/>
        <w:jc w:val="both"/>
        <w:rPr>
          <w:rFonts w:ascii="Palatino Linotype" w:eastAsia="Palatino Linotype" w:hAnsi="Palatino Linotype" w:cs="Palatino Linotype"/>
          <w:i/>
          <w:iCs/>
          <w:sz w:val="22"/>
          <w:szCs w:val="22"/>
        </w:rPr>
      </w:pPr>
    </w:p>
    <w:p w14:paraId="6093EE68" w14:textId="77777777" w:rsidR="00EE4241" w:rsidRPr="00DF0DBC" w:rsidRDefault="00E8425A">
      <w:pPr>
        <w:spacing w:line="276" w:lineRule="auto"/>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DF0DBC">
        <w:rPr>
          <w:rFonts w:ascii="Palatino Linotype" w:eastAsia="Palatino Linotype" w:hAnsi="Palatino Linotype" w:cs="Palatino Linotype"/>
          <w:i/>
          <w:iCs/>
          <w:sz w:val="22"/>
          <w:szCs w:val="22"/>
        </w:rPr>
        <w:t xml:space="preserve">. </w:t>
      </w:r>
      <w:r w:rsidRPr="00DF0DBC">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262DE6E5" w14:textId="77777777" w:rsidR="00EE4241" w:rsidRPr="00DF0DBC" w:rsidRDefault="00EE4241">
      <w:pPr>
        <w:spacing w:line="360" w:lineRule="auto"/>
        <w:ind w:right="-93"/>
        <w:jc w:val="both"/>
        <w:rPr>
          <w:rFonts w:ascii="Palatino Linotype" w:eastAsia="Palatino Linotype" w:hAnsi="Palatino Linotype" w:cs="Palatino Linotype"/>
          <w:sz w:val="22"/>
          <w:szCs w:val="22"/>
        </w:rPr>
      </w:pPr>
    </w:p>
    <w:p w14:paraId="49FFB43C" w14:textId="77777777" w:rsidR="00EE4241" w:rsidRPr="00DF0DBC" w:rsidRDefault="00E8425A">
      <w:pPr>
        <w:spacing w:line="360" w:lineRule="auto"/>
        <w:ind w:right="-93"/>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71B241DA" w14:textId="77777777" w:rsidR="00EE4241" w:rsidRPr="00DF0DBC" w:rsidRDefault="00EE4241">
      <w:pPr>
        <w:spacing w:line="360" w:lineRule="auto"/>
        <w:ind w:right="-93"/>
        <w:jc w:val="both"/>
        <w:rPr>
          <w:rFonts w:ascii="Palatino Linotype" w:eastAsia="Palatino Linotype" w:hAnsi="Palatino Linotype" w:cs="Palatino Linotype"/>
          <w:sz w:val="22"/>
          <w:szCs w:val="22"/>
        </w:rPr>
      </w:pPr>
    </w:p>
    <w:p w14:paraId="5E954327" w14:textId="77777777" w:rsidR="00EE4241" w:rsidRPr="00DF0DBC" w:rsidRDefault="00E8425A">
      <w:pPr>
        <w:spacing w:line="360" w:lineRule="auto"/>
        <w:ind w:right="-93"/>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DF0DBC">
        <w:rPr>
          <w:rFonts w:ascii="Palatino Linotype" w:eastAsia="Palatino Linotype" w:hAnsi="Palatino Linotype" w:cs="Palatino Linotype"/>
          <w:b/>
          <w:bCs/>
          <w:sz w:val="22"/>
          <w:szCs w:val="22"/>
        </w:rPr>
        <w:t xml:space="preserve"> </w:t>
      </w:r>
    </w:p>
    <w:p w14:paraId="1F3E0BDB" w14:textId="77777777" w:rsidR="00EE4241" w:rsidRPr="00DF0DBC" w:rsidRDefault="00EE4241">
      <w:pPr>
        <w:spacing w:line="360" w:lineRule="auto"/>
        <w:jc w:val="both"/>
        <w:rPr>
          <w:rFonts w:ascii="Palatino Linotype" w:eastAsia="Palatino Linotype" w:hAnsi="Palatino Linotype" w:cs="Palatino Linotype"/>
          <w:b/>
          <w:bCs/>
          <w:sz w:val="22"/>
          <w:szCs w:val="22"/>
        </w:rPr>
      </w:pPr>
    </w:p>
    <w:p w14:paraId="2A599E7C"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DF0DBC">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B21D14A" w14:textId="77777777" w:rsidR="00EE4241" w:rsidRPr="00DF0DBC" w:rsidRDefault="00EE4241">
      <w:pPr>
        <w:spacing w:line="360" w:lineRule="auto"/>
        <w:ind w:right="-93"/>
        <w:jc w:val="both"/>
        <w:rPr>
          <w:rFonts w:ascii="Palatino Linotype" w:eastAsia="Palatino Linotype" w:hAnsi="Palatino Linotype" w:cs="Palatino Linotype"/>
          <w:sz w:val="22"/>
          <w:szCs w:val="22"/>
        </w:rPr>
      </w:pPr>
    </w:p>
    <w:p w14:paraId="6B66E058"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4B96F5A"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38F1B260" w14:textId="77777777" w:rsidR="00EE4241" w:rsidRPr="00DF0DBC" w:rsidRDefault="00E8425A">
      <w:pPr>
        <w:spacing w:line="360" w:lineRule="auto"/>
        <w:ind w:right="4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B54EF2F" w14:textId="77777777" w:rsidR="00EE4241" w:rsidRPr="00DF0DBC" w:rsidRDefault="00EE4241">
      <w:pPr>
        <w:spacing w:line="360" w:lineRule="auto"/>
        <w:ind w:right="49"/>
        <w:jc w:val="both"/>
        <w:rPr>
          <w:rFonts w:ascii="Palatino Linotype" w:eastAsia="Palatino Linotype" w:hAnsi="Palatino Linotype" w:cs="Palatino Linotype"/>
          <w:sz w:val="22"/>
          <w:szCs w:val="22"/>
        </w:rPr>
      </w:pPr>
    </w:p>
    <w:p w14:paraId="74689D89"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C708B33" w14:textId="77777777" w:rsidR="00EE4241" w:rsidRPr="00DF0DBC" w:rsidRDefault="00EE4241">
      <w:pPr>
        <w:spacing w:line="360" w:lineRule="auto"/>
        <w:ind w:left="567" w:right="616"/>
        <w:jc w:val="both"/>
        <w:rPr>
          <w:rFonts w:ascii="Palatino Linotype" w:eastAsia="Palatino Linotype" w:hAnsi="Palatino Linotype" w:cs="Palatino Linotype"/>
          <w:i/>
          <w:iCs/>
          <w:sz w:val="22"/>
          <w:szCs w:val="22"/>
        </w:rPr>
      </w:pPr>
    </w:p>
    <w:p w14:paraId="34991C3D"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b/>
          <w:bCs/>
          <w:i/>
          <w:iCs/>
          <w:sz w:val="22"/>
          <w:szCs w:val="22"/>
        </w:rPr>
        <w:t xml:space="preserve">Artículo 3. </w:t>
      </w:r>
      <w:r w:rsidRPr="00DF0DBC">
        <w:rPr>
          <w:rFonts w:ascii="Palatino Linotype" w:eastAsia="Palatino Linotype" w:hAnsi="Palatino Linotype" w:cs="Palatino Linotype"/>
          <w:i/>
          <w:iCs/>
          <w:sz w:val="22"/>
          <w:szCs w:val="22"/>
        </w:rPr>
        <w:t>Para los efectos de la presente Ley se entenderá por:</w:t>
      </w:r>
    </w:p>
    <w:p w14:paraId="70DD1B9C"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p>
    <w:p w14:paraId="6D792C80"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XI. Documento:</w:t>
      </w:r>
      <w:r w:rsidRPr="00DF0DBC">
        <w:rPr>
          <w:rFonts w:ascii="Palatino Linotype" w:eastAsia="Palatino Linotype" w:hAnsi="Palatino Linotype" w:cs="Palatino Linotype"/>
          <w:i/>
          <w:iCs/>
          <w:sz w:val="22"/>
          <w:szCs w:val="22"/>
        </w:rPr>
        <w:t xml:space="preserve"> Los expedientes, reportes, estudios, actas</w:t>
      </w:r>
      <w:r w:rsidRPr="00DF0DBC">
        <w:rPr>
          <w:rFonts w:ascii="Palatino Linotype" w:eastAsia="Palatino Linotype" w:hAnsi="Palatino Linotype" w:cs="Palatino Linotype"/>
          <w:b/>
          <w:bCs/>
          <w:i/>
          <w:iCs/>
          <w:sz w:val="22"/>
          <w:szCs w:val="22"/>
        </w:rPr>
        <w:t>,</w:t>
      </w:r>
      <w:r w:rsidRPr="00DF0DBC">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CAD1C04" w14:textId="77777777" w:rsidR="00EE4241" w:rsidRPr="00DF0DBC" w:rsidRDefault="00EE4241">
      <w:pPr>
        <w:spacing w:line="360" w:lineRule="auto"/>
        <w:ind w:left="851" w:right="899"/>
        <w:jc w:val="both"/>
        <w:rPr>
          <w:rFonts w:ascii="Palatino Linotype" w:eastAsia="Palatino Linotype" w:hAnsi="Palatino Linotype" w:cs="Palatino Linotype"/>
          <w:sz w:val="22"/>
          <w:szCs w:val="22"/>
        </w:rPr>
      </w:pPr>
    </w:p>
    <w:p w14:paraId="7818A67B"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4B7C580"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7920B369" w14:textId="77777777" w:rsidR="00EE4241" w:rsidRPr="00DF0DBC" w:rsidRDefault="00E8425A">
      <w:pPr>
        <w:ind w:left="567" w:right="616"/>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sz w:val="22"/>
          <w:szCs w:val="22"/>
        </w:rPr>
        <w:t>“</w:t>
      </w:r>
      <w:r w:rsidRPr="00DF0DBC">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DF0DBC">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8FC345"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04431F49"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1E13F8AE" w14:textId="77777777" w:rsidR="00EE4241" w:rsidRPr="00DF0DBC" w:rsidRDefault="00E8425A">
      <w:pPr>
        <w:ind w:left="567" w:right="616"/>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14:paraId="7F37F7C9" w14:textId="77777777" w:rsidR="00EE4241" w:rsidRPr="00DF0DBC" w:rsidRDefault="00E8425A">
      <w:pPr>
        <w:ind w:left="567" w:right="616"/>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14:paraId="2129CC4A" w14:textId="77777777" w:rsidR="00EE4241" w:rsidRPr="00DF0DBC" w:rsidRDefault="00EE4241">
      <w:pPr>
        <w:tabs>
          <w:tab w:val="left" w:pos="8647"/>
        </w:tabs>
        <w:spacing w:line="360" w:lineRule="auto"/>
        <w:jc w:val="both"/>
        <w:rPr>
          <w:rFonts w:ascii="Palatino Linotype" w:eastAsia="Palatino Linotype" w:hAnsi="Palatino Linotype" w:cs="Palatino Linotype"/>
          <w:b/>
          <w:bCs/>
          <w:sz w:val="22"/>
          <w:szCs w:val="22"/>
        </w:rPr>
      </w:pPr>
    </w:p>
    <w:p w14:paraId="5B8EE682" w14:textId="77777777" w:rsidR="00EE4241" w:rsidRPr="00DF0DBC" w:rsidRDefault="00E8425A">
      <w:pPr>
        <w:spacing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Del análisis de la solicitud de información motivo del recurso de revisión que ahora se resuelve, se tiene que el Recurrente solicitó al </w:t>
      </w:r>
      <w:r w:rsidRPr="00DF0DBC">
        <w:rPr>
          <w:rFonts w:ascii="Palatino Linotype" w:eastAsia="Palatino Linotype" w:hAnsi="Palatino Linotype" w:cs="Palatino Linotype"/>
          <w:b/>
          <w:bCs/>
          <w:sz w:val="22"/>
          <w:szCs w:val="22"/>
        </w:rPr>
        <w:t>Ayuntamiento de Toluca,</w:t>
      </w:r>
      <w:r w:rsidRPr="00DF0DBC">
        <w:rPr>
          <w:rFonts w:ascii="Palatino Linotype" w:eastAsia="Palatino Linotype" w:hAnsi="Palatino Linotype" w:cs="Palatino Linotype"/>
          <w:sz w:val="22"/>
          <w:szCs w:val="22"/>
        </w:rPr>
        <w:t xml:space="preserve"> la siguiente información:</w:t>
      </w:r>
    </w:p>
    <w:p w14:paraId="142DE8D7" w14:textId="77777777" w:rsidR="00EE4241" w:rsidRPr="00DF0DBC" w:rsidRDefault="00E8425A">
      <w:pPr>
        <w:numPr>
          <w:ilvl w:val="0"/>
          <w:numId w:val="5"/>
        </w:numPr>
        <w:pBdr>
          <w:top w:val="nil"/>
          <w:left w:val="nil"/>
          <w:bottom w:val="nil"/>
          <w:right w:val="nil"/>
          <w:between w:val="nil"/>
        </w:pBdr>
        <w:spacing w:line="360" w:lineRule="auto"/>
        <w:ind w:left="567"/>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De los eventos realizados por el Ayuntamiento dirigidos a jóvenes</w:t>
      </w:r>
    </w:p>
    <w:p w14:paraId="404A2AE4" w14:textId="77777777" w:rsidR="00EE4241" w:rsidRPr="00DF0DBC" w:rsidRDefault="00E8425A">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DF0DBC">
        <w:rPr>
          <w:rFonts w:ascii="Palatino Linotype" w:eastAsia="Palatino Linotype" w:hAnsi="Palatino Linotype" w:cs="Palatino Linotype"/>
          <w:b/>
          <w:bCs/>
          <w:sz w:val="22"/>
          <w:szCs w:val="22"/>
        </w:rPr>
        <w:t>Fecha;</w:t>
      </w:r>
    </w:p>
    <w:p w14:paraId="785C3BCD" w14:textId="77777777" w:rsidR="00EE4241" w:rsidRPr="00DF0DBC" w:rsidRDefault="00E8425A">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DF0DBC">
        <w:rPr>
          <w:rFonts w:ascii="Palatino Linotype" w:eastAsia="Palatino Linotype" w:hAnsi="Palatino Linotype" w:cs="Palatino Linotype"/>
          <w:b/>
          <w:bCs/>
          <w:sz w:val="22"/>
          <w:szCs w:val="22"/>
        </w:rPr>
        <w:t>Lugar;</w:t>
      </w:r>
    </w:p>
    <w:p w14:paraId="056F128D" w14:textId="77777777" w:rsidR="00EE4241" w:rsidRPr="00DF0DBC" w:rsidRDefault="00E8425A">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bCs/>
          <w:sz w:val="22"/>
          <w:szCs w:val="22"/>
        </w:rPr>
      </w:pPr>
      <w:r w:rsidRPr="00DF0DBC">
        <w:rPr>
          <w:rFonts w:ascii="Palatino Linotype" w:eastAsia="Palatino Linotype" w:hAnsi="Palatino Linotype" w:cs="Palatino Linotype"/>
          <w:b/>
          <w:bCs/>
          <w:sz w:val="22"/>
          <w:szCs w:val="22"/>
        </w:rPr>
        <w:t>Nombre.</w:t>
      </w:r>
    </w:p>
    <w:p w14:paraId="11274E11" w14:textId="77777777" w:rsidR="00EE4241" w:rsidRPr="00DF0DBC" w:rsidRDefault="00E8425A">
      <w:pPr>
        <w:spacing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En principio de cuentas es de mencionar que el particular señaló el término “eventos” que de acuerdo a la RAE, es un suceso importante y programado, de índole social, académica, artística o deportiva. Es decir, al referir únicamente evento sin especificar algún tema determinado, se determina que se refiere a todos los eventos de cualquier naturaleza que estén dirigidos a los jóvenes.</w:t>
      </w:r>
    </w:p>
    <w:p w14:paraId="2BEAA769" w14:textId="77777777" w:rsidR="00EE4241" w:rsidRPr="00DF0DBC" w:rsidRDefault="00E8425A">
      <w:pPr>
        <w:spacing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Dicho lo anterior, es necesario traer a contexto el Código Reglamentario Municipal del Ayuntamiento de Toluca, el cual contiene lo siguiente:</w:t>
      </w:r>
    </w:p>
    <w:p w14:paraId="64253AB0" w14:textId="77777777" w:rsidR="00EE4241" w:rsidRPr="00DF0DBC" w:rsidRDefault="00EE4241">
      <w:pPr>
        <w:spacing w:after="240" w:line="360" w:lineRule="auto"/>
        <w:jc w:val="both"/>
        <w:rPr>
          <w:rFonts w:ascii="Palatino Linotype" w:eastAsia="Palatino Linotype" w:hAnsi="Palatino Linotype" w:cs="Palatino Linotype"/>
          <w:sz w:val="22"/>
          <w:szCs w:val="22"/>
        </w:rPr>
      </w:pPr>
    </w:p>
    <w:p w14:paraId="03496016" w14:textId="77777777" w:rsidR="00EE4241" w:rsidRPr="00DF0DBC" w:rsidRDefault="00E8425A">
      <w:pPr>
        <w:spacing w:after="240"/>
        <w:ind w:left="567" w:right="843"/>
        <w:jc w:val="center"/>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SECCIÓN SEXTA</w:t>
      </w:r>
    </w:p>
    <w:p w14:paraId="30F7DFEB" w14:textId="77777777" w:rsidR="00EE4241" w:rsidRPr="00DF0DBC" w:rsidRDefault="00E8425A">
      <w:pPr>
        <w:spacing w:after="240"/>
        <w:ind w:left="567" w:right="843"/>
        <w:jc w:val="center"/>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DE LA DIRECCIÓN GENERAL DE GOBIERNO</w:t>
      </w:r>
    </w:p>
    <w:p w14:paraId="30560F7E"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Artículo 3.27. La o el titular de la Dirección General de Gobierno tendrá las siguientes atribuciones:</w:t>
      </w:r>
    </w:p>
    <w:p w14:paraId="709D2C70"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p>
    <w:p w14:paraId="58BEB275"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XV. Promover que los jóvenes cumplan con el trámite para la obtención de la Cartilla del Servicio Militar Nacional, realizando la convocatoria oportuna para los habitantes del municipio; y</w:t>
      </w:r>
    </w:p>
    <w:p w14:paraId="26D11064"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p>
    <w:p w14:paraId="3D6E96A8" w14:textId="77777777" w:rsidR="00EE4241" w:rsidRPr="00DF0DBC" w:rsidRDefault="00E8425A">
      <w:pPr>
        <w:spacing w:after="240"/>
        <w:ind w:left="567" w:right="843"/>
        <w:jc w:val="center"/>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SECCIÓN DÉCIMA CUARTA</w:t>
      </w:r>
    </w:p>
    <w:p w14:paraId="56968C10" w14:textId="77777777" w:rsidR="00EE4241" w:rsidRPr="00DF0DBC" w:rsidRDefault="00E8425A">
      <w:pPr>
        <w:spacing w:after="240"/>
        <w:ind w:left="567" w:right="843"/>
        <w:jc w:val="center"/>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DE LA DIRECCIÓN GENERAL DE BIENESTAR</w:t>
      </w:r>
    </w:p>
    <w:p w14:paraId="68882444"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Artículo 3.46. La o el titular de la Dirección General de Bienestar, tendrá las siguientes atribuciones:</w:t>
      </w:r>
    </w:p>
    <w:p w14:paraId="49E43878"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 Planear, impulsar y operar programas, proyectos y acciones para garantizar el pleno ejercicio de los derechos sociales consagrados en la Constitución Política de los Estados Unidos Mexicanos y la Constitución del Estado Libre y Soberano de México, asegurando el acceso de toda la población al desarrollo social; </w:t>
      </w:r>
    </w:p>
    <w:p w14:paraId="53571F6C"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II. Participar, en el ámbito de sus atribuciones en el Sistema Nacional de Desarrollo Social; </w:t>
      </w:r>
    </w:p>
    <w:p w14:paraId="505D452E"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III. Impulsar, supervisar, controlar y evaluar los programas en materia de asistencia social dirigidos a la población en situación de vulnerabilidad del municipio; </w:t>
      </w:r>
    </w:p>
    <w:p w14:paraId="2533D279"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IV. Promover, respetar y difundir las costumbres y tradiciones de los pueblos indígenas, preservando sus lenguas y escritura, llevando a cabo acciones concretas; </w:t>
      </w:r>
    </w:p>
    <w:p w14:paraId="501E40DA"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V. Promover la inclusión de los pueblos indígenas, para que accedan a los beneficios que otorgan los programas federales y estatales en materia de Bienestar; </w:t>
      </w:r>
    </w:p>
    <w:p w14:paraId="33AABD51"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VI. Promover y ejecutar cursos y talleres dirigidos a la ciudadanía toluqueña para el desarrollo de habilidades que generen autoempleo; </w:t>
      </w:r>
    </w:p>
    <w:p w14:paraId="382DA943"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VII. Coordinar con las instancias responsables del gobierno municipal, la ejecución de programas integrales de recreación, desarrollo social y económico, incluidos los de salud, educación, vivienda, empleo, deporte y desarrollo urbano, con miras a disminuir los factores que pueden generar conductas antisociales;</w:t>
      </w:r>
    </w:p>
    <w:p w14:paraId="4AC34B34"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VIII. Coordinar las acciones que deriven de los convenios suscritos con el gobierno Federal y con el gobierno del Estado de México, cuyo objeto detente el desarrollo y bienestar social; </w:t>
      </w:r>
    </w:p>
    <w:p w14:paraId="4128D7E4"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IX. Promover la participación y colaboración conjunta de los sectores social y privado para la atención de las necesidades básicas de la población del municipio; </w:t>
      </w:r>
    </w:p>
    <w:p w14:paraId="56EF230A"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 Generar y promover, en coordinación con dependencias federales, estatales y con organismos no gubernamentales, la ejecución de programas, proyectos y acciones para mejorar las condiciones de vida de las comunidades indígenas reconocidas en el municipio de Toluca; y </w:t>
      </w:r>
    </w:p>
    <w:p w14:paraId="2F200EFA"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XI. Las demás que le confieran otros ordenamientos jurídicos, el H. Ayuntamiento y la Presidenta o Presidente Municipal. </w:t>
      </w:r>
    </w:p>
    <w:p w14:paraId="7BEB4636"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Artículo 3.47. Para el ejercicio de sus atribuciones, la Dirección General de Bienestar se auxiliará de una Coordinación de Apoyo Técnico; una Delegación Administrativa; una Unidad de Diagnóstico Social; una Dirección de Programas Sociales y Asuntos Indígenas; una </w:t>
      </w:r>
      <w:r w:rsidRPr="00DF0DBC">
        <w:rPr>
          <w:rFonts w:ascii="Palatino Linotype" w:eastAsia="Palatino Linotype" w:hAnsi="Palatino Linotype" w:cs="Palatino Linotype"/>
          <w:b/>
          <w:bCs/>
          <w:i/>
          <w:iCs/>
          <w:sz w:val="22"/>
          <w:szCs w:val="22"/>
        </w:rPr>
        <w:t>Dirección de Apoyo a la Juventud</w:t>
      </w:r>
      <w:r w:rsidRPr="00DF0DBC">
        <w:rPr>
          <w:rFonts w:ascii="Palatino Linotype" w:eastAsia="Palatino Linotype" w:hAnsi="Palatino Linotype" w:cs="Palatino Linotype"/>
          <w:i/>
          <w:iCs/>
          <w:sz w:val="22"/>
          <w:szCs w:val="22"/>
        </w:rPr>
        <w:t>, una Dirección de Convivencia Social, Inclusión y No Discriminación y las demás Unidades Administrativas necesarias para el cumplimiento de sus atribuciones.</w:t>
      </w:r>
    </w:p>
    <w:p w14:paraId="0BF18B11" w14:textId="77777777" w:rsidR="00EE4241" w:rsidRPr="00DF0DBC" w:rsidRDefault="00EE4241">
      <w:pPr>
        <w:spacing w:after="240" w:line="360" w:lineRule="auto"/>
        <w:jc w:val="both"/>
        <w:rPr>
          <w:rFonts w:ascii="Palatino Linotype" w:eastAsia="Palatino Linotype" w:hAnsi="Palatino Linotype" w:cs="Palatino Linotype"/>
          <w:sz w:val="22"/>
          <w:szCs w:val="22"/>
        </w:rPr>
      </w:pPr>
    </w:p>
    <w:p w14:paraId="4C70D1FC" w14:textId="77777777" w:rsidR="00EE4241" w:rsidRPr="00DF0DBC" w:rsidRDefault="00E8425A">
      <w:pPr>
        <w:spacing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Tal y como se advierte, la Dirección de General del Bienestar cuenta con la Dirección de Apoyo a la Juventud, la cual cuenta con las siguientes atribuciones:</w:t>
      </w:r>
    </w:p>
    <w:p w14:paraId="1F347CFA" w14:textId="77777777" w:rsidR="00EE4241" w:rsidRPr="00DF0DBC" w:rsidRDefault="00E8425A">
      <w:pPr>
        <w:spacing w:after="240"/>
        <w:ind w:left="567" w:right="843"/>
        <w:jc w:val="center"/>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SUBSECCIÓN SEGUNDA</w:t>
      </w:r>
    </w:p>
    <w:p w14:paraId="3BAB40C9" w14:textId="77777777" w:rsidR="00EE4241" w:rsidRPr="00DF0DBC" w:rsidRDefault="00E8425A">
      <w:pPr>
        <w:spacing w:after="240"/>
        <w:ind w:left="567" w:right="843"/>
        <w:jc w:val="center"/>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DIRECCIÓN DE APOYO A LA JUVENTUD</w:t>
      </w:r>
    </w:p>
    <w:p w14:paraId="33E1412D"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Artículo 3.61. La o el titular de la Dirección de Apoyo a la Juventud, tendrá las siguientes atribuciones: </w:t>
      </w:r>
    </w:p>
    <w:p w14:paraId="638E333D"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I. Proponer el programa municipal de atención a la juventud; </w:t>
      </w:r>
    </w:p>
    <w:p w14:paraId="61508778"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II. Planear, programar, coordinar, promover, ejecutar y evaluar el programa municipal de atención a la juventud; </w:t>
      </w:r>
    </w:p>
    <w:p w14:paraId="6969FE67"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III. Coordinar y fortalecer los trabajos de las dependencias municipales, que tengan relación con la juventud; </w:t>
      </w:r>
    </w:p>
    <w:p w14:paraId="2251A045"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IV. Fomentar la vinculación con los sectores público, social y privado, para el desarrollo de proyectos que beneficien a la juventud; </w:t>
      </w:r>
    </w:p>
    <w:p w14:paraId="307E2B4B"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V. Promover tareas y formular programas que favorezcan la organización juvenil; </w:t>
      </w:r>
    </w:p>
    <w:p w14:paraId="734FA6DF"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VI. Impulsar la capacitación de las y los jóvenes en sus empleos, ampliando la información sobre el mercado de trabajo disponible; </w:t>
      </w:r>
    </w:p>
    <w:p w14:paraId="51C1B5EB"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VII. Apoyar el desarrollo de actividades culturales, artísticas y la expresión creativa de las y los jóvenes; </w:t>
      </w:r>
    </w:p>
    <w:p w14:paraId="0F6CCA6C"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VIII. Colaborar en las acciones de orientación vocacional y el aprovechamiento del servicio social de la juventud del municipio; </w:t>
      </w:r>
    </w:p>
    <w:p w14:paraId="5B9E40BD"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IX. Coadyuvar en la atención a los problemas de salud de la juventud, principalmente en los renglones de medicina preventiva, orientación en el campo de la sexualidad, planificación familiar, adicciones y salud mental; </w:t>
      </w:r>
    </w:p>
    <w:p w14:paraId="612672A4"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X. Favorecer la participación de la comunidad en acciones de bienestar juvenil y promover la utilización de espacios públicos; </w:t>
      </w:r>
    </w:p>
    <w:p w14:paraId="1B08F192"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XI. Promover servicios educativos de cualquier tipo o modalidad, de acuerdo a los programas establecidos; </w:t>
      </w:r>
    </w:p>
    <w:p w14:paraId="41282869"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XII. Fomentar las acciones de capacitación y organización de los padres de familia y tutores, para que cumplan adecuadamente sus responsabilidades con sus hijas, hijos o pupilos;</w:t>
      </w:r>
    </w:p>
    <w:p w14:paraId="3CA30ABA"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XIII. Participar activamente y adicionar los objetivos de la Agenda 2030, con la finalidad de favorecer un Desarrollo Sostenible en la juventud del municipio; </w:t>
      </w:r>
    </w:p>
    <w:p w14:paraId="55DF5F74"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XIV. Potenciar el enfoque de juventud en las políticas transversales de desarrollo mediante la definición de estrategias gubernamentales, fortaleciendo el vínculo entre las diversas instituciones de juventud u otras instancias de gobierno; y </w:t>
      </w:r>
    </w:p>
    <w:p w14:paraId="755DD5D4"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XV. Las demás que le asignen otros ordenamientos, el presidente municipal y la o el Director General de Desarrollo Social.</w:t>
      </w:r>
    </w:p>
    <w:p w14:paraId="2BE12D6A" w14:textId="77777777" w:rsidR="00EE4241" w:rsidRPr="00DF0DBC" w:rsidRDefault="00E8425A">
      <w:pPr>
        <w:spacing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Tal y como se advierte, la Dirección General del Bienestar, a través de la de Apoyo a la Juventud es la unidad administrativa competente para generar, administrar y poseer información relacionada con programas, eventos y acciones dirigidas a los jóvenes del Municipio de Toluca. </w:t>
      </w:r>
    </w:p>
    <w:p w14:paraId="7897F7AC" w14:textId="77777777" w:rsidR="00EE4241" w:rsidRPr="00DF0DBC" w:rsidRDefault="00E8425A">
      <w:pPr>
        <w:spacing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Sin embargo, el Titular de la Unidad de Transparencia turnó la solicitud a la Dirección de Cultura y Turismo, que de acuerdo al Código Reglamentario Municipal tiene las siguientes atribuciones:</w:t>
      </w:r>
    </w:p>
    <w:p w14:paraId="79057C37"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Artículo 3.48. La o el titular de la Dirección General de Educación, Cultura y Turismo tendrá las siguientes atribuciones: </w:t>
      </w:r>
    </w:p>
    <w:p w14:paraId="627B3833"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 Planear e implementar acciones que impulsen actividades artísticas y culturales permanentes en el territorio municipal. </w:t>
      </w:r>
    </w:p>
    <w:p w14:paraId="2C27DDDC"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II. Promover apoyos en materia de educación, cultura, turismo y artes, fomentando el desarrollo cultural de la comunidad. </w:t>
      </w:r>
    </w:p>
    <w:p w14:paraId="107718E4" w14:textId="77777777" w:rsidR="00EE4241" w:rsidRPr="00DF0DBC" w:rsidRDefault="00E8425A">
      <w:pPr>
        <w:spacing w:after="240"/>
        <w:ind w:left="567" w:right="843"/>
        <w:jc w:val="both"/>
        <w:rPr>
          <w:rFonts w:ascii="Palatino Linotype" w:eastAsia="Palatino Linotype" w:hAnsi="Palatino Linotype" w:cs="Palatino Linotype"/>
          <w:b/>
          <w:bCs/>
          <w:i/>
          <w:iCs/>
          <w:sz w:val="22"/>
          <w:szCs w:val="22"/>
        </w:rPr>
      </w:pPr>
      <w:r w:rsidRPr="00DF0DBC">
        <w:rPr>
          <w:rFonts w:ascii="Palatino Linotype" w:eastAsia="Palatino Linotype" w:hAnsi="Palatino Linotype" w:cs="Palatino Linotype"/>
          <w:b/>
          <w:bCs/>
          <w:i/>
          <w:iCs/>
          <w:sz w:val="22"/>
          <w:szCs w:val="22"/>
        </w:rPr>
        <w:t xml:space="preserve">III. Fomentar iniciativas que fortalezcan el desarrollo cultural y artistico de la juventud en el ámbito municipal. </w:t>
      </w:r>
    </w:p>
    <w:p w14:paraId="44029FBF"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IV. Promover y fomentar actividades en disciplinas como música, danza, teatro, literatura, artes plásticas, visuales, electrónicas y digitales. </w:t>
      </w:r>
    </w:p>
    <w:p w14:paraId="33B72FB7"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V. Impulsar la lectura y la difusión de obras literarias mediante conferencias, talleres, presentaciones de libros y recitales. </w:t>
      </w:r>
    </w:p>
    <w:p w14:paraId="15AE4458"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VI. Organizar y promover foros académicos y culturales sobre diversos temas relacionados con la cultura. </w:t>
      </w:r>
    </w:p>
    <w:p w14:paraId="598094AC"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VII. Estimular e impulsar el intercambio cultural entre instituciones educativas estatales y federales. </w:t>
      </w:r>
    </w:p>
    <w:p w14:paraId="34D466DF"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VIII. Coordinar e impulsar la realización de talleres con enfoque artístico y cultural. </w:t>
      </w:r>
    </w:p>
    <w:p w14:paraId="537B516D"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IX. Fortalecer la identidad cultural del municipio a través del reconocimiento de creadores, artistas y personas que contribuyen al desarrollo cultural local. </w:t>
      </w:r>
    </w:p>
    <w:p w14:paraId="3CEFA953"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 Gestionar la celebración de convenios de coordinación con los gobiernos federal, estatal y municipal para atender asuntos de competencia de la Dirección. </w:t>
      </w:r>
    </w:p>
    <w:p w14:paraId="513FB01D"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XI. Organizar, coordinar y promover eventos culturales y recreativos, como exposiciones artísticas, muestras gastronómicas, ferias y actividades turísticas. </w:t>
      </w:r>
    </w:p>
    <w:p w14:paraId="13543602"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XII. Fomentar, preservar y difundir, en coordinación con los gobiernos estatal y federal, las actividades y sitios de interés turístico del municipio. </w:t>
      </w:r>
    </w:p>
    <w:p w14:paraId="20A8ACAA"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XIII. Organizar, promover, coordinar y supervisar acciones que fortalezcan el turismo municipal, aprovechando sus recursos y proyectando su imagen a nivel nacional e internacional. </w:t>
      </w:r>
    </w:p>
    <w:p w14:paraId="01F4C99B"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XIV. Coadyuvar en la prestación de servicios educativos en todos sus tipos, niveles y modalidades, conforme a la normativa aplicable. </w:t>
      </w:r>
    </w:p>
    <w:p w14:paraId="26E6FC9A"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XV. Gestionar y suscribir convenios con autoridades educativas, asociaciones civiles y organizaciones no gubernamentales para coordinar y realizar actividades educativas. </w:t>
      </w:r>
    </w:p>
    <w:p w14:paraId="067569C2"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XVI. Participar en el mantenimiento y equipamiento de escuelas públicas ubicadas en el municipio, de acuerdo con los recursos disponibles. </w:t>
      </w:r>
    </w:p>
    <w:p w14:paraId="6166D85E"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XVII. Coordinar y promover la participación ciudadana en eventos educativos, cívicos y sociales. </w:t>
      </w:r>
    </w:p>
    <w:p w14:paraId="41878463"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XVIII. Fortalecer de manera integral las bibliotecas públicas municipales, en colaboración con instancias de los tres niveles de gobierno, promoviendo la lectura, la investigación y el acceso libre al conocimiento. </w:t>
      </w:r>
    </w:p>
    <w:p w14:paraId="06EE9592"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XIX. Promover, apoyar y difundir programas de alfabetización y educación básica para adultos, así como fortalecer la modalidad no escolarizada en niveles medio superior y superior. </w:t>
      </w:r>
    </w:p>
    <w:p w14:paraId="09ECC015"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XX. Impulsar acciones que contribuyan al desarrollo integral de las instituciones educativas y mejoren la seguridad de las comunidades escolares. </w:t>
      </w:r>
    </w:p>
    <w:p w14:paraId="5A91A864"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XXI. Gestionar, promover y fomentar actividades de lectura en instituciones educativas, bibliotecas municipales y entre la población en general. </w:t>
      </w:r>
    </w:p>
    <w:p w14:paraId="20F5D81A" w14:textId="77777777" w:rsidR="00EE4241" w:rsidRPr="00DF0DBC" w:rsidRDefault="00E8425A">
      <w:pPr>
        <w:spacing w:after="240"/>
        <w:ind w:left="567" w:right="843"/>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XXII. Promover acciones orientadas al respeto de los derechos humanos, la educación cívica y los valores sociales.</w:t>
      </w:r>
    </w:p>
    <w:p w14:paraId="127013C5" w14:textId="77777777" w:rsidR="00EE4241" w:rsidRPr="00DF0DBC" w:rsidRDefault="00EE4241">
      <w:pPr>
        <w:spacing w:line="360" w:lineRule="auto"/>
        <w:ind w:firstLine="1"/>
        <w:jc w:val="both"/>
        <w:rPr>
          <w:rFonts w:ascii="Palatino Linotype" w:eastAsia="Palatino Linotype" w:hAnsi="Palatino Linotype" w:cs="Palatino Linotype"/>
          <w:sz w:val="22"/>
          <w:szCs w:val="22"/>
        </w:rPr>
      </w:pPr>
    </w:p>
    <w:p w14:paraId="70B33A7D" w14:textId="77777777" w:rsidR="00EE4241" w:rsidRPr="00DF0DBC" w:rsidRDefault="00E8425A">
      <w:pPr>
        <w:spacing w:line="360" w:lineRule="auto"/>
        <w:ind w:firstLine="1"/>
        <w:jc w:val="both"/>
        <w:rPr>
          <w:rFonts w:ascii="Palatino Linotype" w:eastAsia="Palatino Linotype" w:hAnsi="Palatino Linotype" w:cs="Palatino Linotype"/>
          <w:sz w:val="22"/>
          <w:szCs w:val="22"/>
        </w:rPr>
      </w:pPr>
      <w:bookmarkStart w:id="2" w:name="_heading=h.wk2a6k3tefwh" w:colFirst="0" w:colLast="0"/>
      <w:bookmarkEnd w:id="2"/>
      <w:r w:rsidRPr="00DF0DBC">
        <w:rPr>
          <w:rFonts w:ascii="Palatino Linotype" w:eastAsia="Palatino Linotype" w:hAnsi="Palatino Linotype" w:cs="Palatino Linotype"/>
          <w:sz w:val="22"/>
          <w:szCs w:val="22"/>
        </w:rPr>
        <w:t>Tal y como se advierte, la Dirección de Cultura y Turismo, tiene entre sus atribuciones fomentar el desarrollo cultural y artística de la juventud en el ámbito municipal; por lo que contrario a lo que indicó en respuesta si tiene atribuciones para generar, administrar y poseer la información requerida por el particular; además, como se ha demostrado, no es la única unidad administrativa dentro de la estructura orgánica municipal que tiene atribuciones, funciones y competencias respecto a la información requerida por el particular respecto a eventos enfocados a los jóvenes, existiendo la Dirección General de Bienestar.</w:t>
      </w:r>
    </w:p>
    <w:p w14:paraId="26D7CA05" w14:textId="77777777" w:rsidR="00EE4241" w:rsidRPr="00DF0DBC" w:rsidRDefault="00EE4241">
      <w:pPr>
        <w:spacing w:line="360" w:lineRule="auto"/>
        <w:ind w:firstLine="1"/>
        <w:jc w:val="both"/>
        <w:rPr>
          <w:rFonts w:ascii="Palatino Linotype" w:eastAsia="Palatino Linotype" w:hAnsi="Palatino Linotype" w:cs="Palatino Linotype"/>
          <w:sz w:val="22"/>
          <w:szCs w:val="22"/>
        </w:rPr>
      </w:pPr>
    </w:p>
    <w:p w14:paraId="3F6DD7FD" w14:textId="77777777" w:rsidR="00EE4241" w:rsidRPr="00DF0DBC" w:rsidRDefault="00E8425A">
      <w:pPr>
        <w:spacing w:line="360" w:lineRule="auto"/>
        <w:ind w:firstLine="1"/>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Por lo que al no haber turnado la solicitud a la Dirección General del Bienestar es que se tiene que no se siguió con ello el procedimiento para la atención a las solicitudes de acceso a la información, establecido en los artículos 151, 160, 162, 163, 164, 165 y 166, de la Ley de Transparencia y Acceso a la Información Pública del Estado de México y Municipios:  </w:t>
      </w:r>
    </w:p>
    <w:p w14:paraId="7403EB42" w14:textId="77777777" w:rsidR="00EE4241" w:rsidRPr="00DF0DBC" w:rsidRDefault="00E8425A">
      <w:pPr>
        <w:spacing w:after="240" w:line="360" w:lineRule="auto"/>
        <w:ind w:left="284"/>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556547D3" w14:textId="77777777" w:rsidR="00EE4241" w:rsidRPr="00DF0DBC" w:rsidRDefault="00E8425A">
      <w:pPr>
        <w:spacing w:after="240" w:line="360" w:lineRule="auto"/>
        <w:ind w:left="284"/>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 La respuesta a los requerimientos informativos, deberá notificarse al interesado en el menor tiempo posible, que no podrá exceder de quince días hábiles, contados a partir del día siguiente a la presentación de esta.  </w:t>
      </w:r>
    </w:p>
    <w:p w14:paraId="29814571" w14:textId="77777777" w:rsidR="00EE4241" w:rsidRPr="00DF0DBC" w:rsidRDefault="00E8425A">
      <w:pPr>
        <w:spacing w:after="240" w:line="360" w:lineRule="auto"/>
        <w:ind w:left="284"/>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5F51C715" w14:textId="77777777" w:rsidR="00EE4241" w:rsidRPr="00DF0DBC" w:rsidRDefault="00E8425A">
      <w:pPr>
        <w:spacing w:after="240" w:line="360" w:lineRule="auto"/>
        <w:ind w:left="284"/>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F4F51F6" w14:textId="77777777" w:rsidR="00EE4241" w:rsidRPr="00DF0DBC" w:rsidRDefault="00E8425A">
      <w:pPr>
        <w:spacing w:after="240" w:line="360" w:lineRule="auto"/>
        <w:ind w:left="284"/>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01082256" w14:textId="77777777" w:rsidR="00EE4241" w:rsidRPr="00DF0DBC" w:rsidRDefault="00E8425A">
      <w:pPr>
        <w:spacing w:after="240" w:line="360" w:lineRule="auto"/>
        <w:ind w:left="284"/>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3019FA29"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En este orden de ideas, se reitera que la solicitud no turnó la solicitud a la Unidad Administrativa que cuenta con atribuciones, funciones y competencias para generar, administrar y poseer la información requerida por el particular, con lo que no se acreditó la correcta búsqueda exhaustiva y razonable.</w:t>
      </w:r>
    </w:p>
    <w:p w14:paraId="6F9EC438" w14:textId="77777777" w:rsidR="00EE4241" w:rsidRPr="00DF0DBC" w:rsidRDefault="00EE424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8DA8F12" w14:textId="77777777" w:rsidR="00EE4241" w:rsidRPr="00DF0DBC" w:rsidRDefault="00EE4241">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33AF6501" w14:textId="77777777" w:rsidR="00EE4241" w:rsidRPr="00DF0DBC" w:rsidRDefault="00E8425A">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Ahora bien, a efecto de demostrar la existencia de la información, se procedió a realizar una consulta en la página oficial del Ayuntamiento de Toluca, localizando, en el apartado “Dirección de Apoyo a la Juventud Recreación y Convivencia Social” la siguiente información:</w:t>
      </w:r>
    </w:p>
    <w:p w14:paraId="6AC2AB6E" w14:textId="77777777" w:rsidR="00EE4241" w:rsidRPr="00DF0DBC" w:rsidRDefault="00EE4241">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49379385" w14:textId="77777777" w:rsidR="00EE4241" w:rsidRPr="00DF0DBC" w:rsidRDefault="00E8425A">
      <w:pPr>
        <w:numPr>
          <w:ilvl w:val="0"/>
          <w:numId w:val="6"/>
        </w:num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https://www2.toluca.gob.mx/tag/direccion-de-apoyo-a-la-juventud-recreacion-y-convivencia-social/</w:t>
      </w:r>
    </w:p>
    <w:p w14:paraId="7423391E" w14:textId="77777777" w:rsidR="00EE4241" w:rsidRPr="00DF0DBC" w:rsidRDefault="00E8425A">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noProof/>
          <w:sz w:val="22"/>
          <w:szCs w:val="22"/>
        </w:rPr>
        <w:drawing>
          <wp:inline distT="0" distB="0" distL="0" distR="0" wp14:anchorId="4BBA831B" wp14:editId="4D448557">
            <wp:extent cx="5743860" cy="7022526"/>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43860" cy="7022526"/>
                    </a:xfrm>
                    <a:prstGeom prst="rect">
                      <a:avLst/>
                    </a:prstGeom>
                    <a:ln/>
                  </pic:spPr>
                </pic:pic>
              </a:graphicData>
            </a:graphic>
          </wp:inline>
        </w:drawing>
      </w:r>
    </w:p>
    <w:p w14:paraId="06533202" w14:textId="77777777" w:rsidR="00EE4241" w:rsidRPr="00DF0DBC" w:rsidRDefault="00EE4241">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p>
    <w:p w14:paraId="40B21ED0" w14:textId="77777777" w:rsidR="00EE4241" w:rsidRPr="00DF0DBC" w:rsidRDefault="00E8425A">
      <w:pPr>
        <w:pBdr>
          <w:top w:val="nil"/>
          <w:left w:val="nil"/>
          <w:bottom w:val="nil"/>
          <w:right w:val="nil"/>
          <w:between w:val="nil"/>
        </w:pBdr>
        <w:spacing w:line="360" w:lineRule="auto"/>
        <w:ind w:right="9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Tal y como se advierte, el Ayuntamiento de Toluca ha realizado eventos dirigidos a los Jóvenes del Municipio de Toluca, entonces, se advierte que estamos en presencia lo un hecho notorio, el cual se sustenta conforme a las siguientes tesis jurisprudenciales:</w:t>
      </w:r>
    </w:p>
    <w:p w14:paraId="0C54F239" w14:textId="77777777" w:rsidR="00EE4241" w:rsidRPr="00DF0DBC" w:rsidRDefault="00E8425A">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i/>
          <w:iCs/>
          <w:sz w:val="22"/>
          <w:szCs w:val="22"/>
        </w:rPr>
        <w:t>“HECHOS NOTORIOS. CONCEPTOS GENERAL Y JURÍDICO. Conforme al artículo 88 del Código Federal de Procedimientos Civiles los tribunales pueden invocar hechos notorios aunque no hayan sido alegados ni probados por las partes.</w:t>
      </w:r>
      <w:r w:rsidRPr="00DF0DBC">
        <w:rPr>
          <w:rFonts w:ascii="Palatino Linotype" w:eastAsia="Palatino Linotype" w:hAnsi="Palatino Linotype" w:cs="Palatino Linotype"/>
          <w:i/>
          <w:iCs/>
          <w:sz w:val="22"/>
          <w:szCs w:val="22"/>
        </w:rPr>
        <w:t xml:space="preserve"> Por hechos notorios deben entenderse, en general, aquellos que por el conocimiento humano se consideran ciertos e indiscutibles, ya sea que pertenezcan a la historia, a la ciencia, a la naturaleza</w:t>
      </w:r>
      <w:r w:rsidRPr="00DF0DBC">
        <w:rPr>
          <w:rFonts w:ascii="Palatino Linotype" w:eastAsia="Palatino Linotype" w:hAnsi="Palatino Linotype" w:cs="Palatino Linotype"/>
          <w:b/>
          <w:bCs/>
          <w:i/>
          <w:iCs/>
          <w:sz w:val="22"/>
          <w:szCs w:val="22"/>
        </w:rPr>
        <w:t>, a las vicisitudes de la vida pública actual o a circunstancias comúnmente conocidas en un determinado lugar</w:t>
      </w:r>
      <w:r w:rsidRPr="00DF0DBC">
        <w:rPr>
          <w:rFonts w:ascii="Palatino Linotype" w:eastAsia="Palatino Linotype" w:hAnsi="Palatino Linotype" w:cs="Palatino Linotype"/>
          <w:i/>
          <w:iCs/>
          <w:sz w:val="22"/>
          <w:szCs w:val="22"/>
        </w:rPr>
        <w:t xml:space="preserve">, </w:t>
      </w:r>
      <w:r w:rsidRPr="00DF0DBC">
        <w:rPr>
          <w:rFonts w:ascii="Palatino Linotype" w:eastAsia="Palatino Linotype" w:hAnsi="Palatino Linotype" w:cs="Palatino Linotype"/>
          <w:b/>
          <w:bCs/>
          <w:i/>
          <w:iCs/>
          <w:sz w:val="22"/>
          <w:szCs w:val="22"/>
        </w:rPr>
        <w:t>de modo que toda persona de ese medio esté en condiciones de saberlo</w:t>
      </w:r>
      <w:r w:rsidRPr="00DF0DBC">
        <w:rPr>
          <w:rFonts w:ascii="Palatino Linotype" w:eastAsia="Palatino Linotype" w:hAnsi="Palatino Linotype" w:cs="Palatino Linotype"/>
          <w:i/>
          <w:iCs/>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31DD3453" w14:textId="77777777" w:rsidR="00EE4241" w:rsidRPr="00DF0DBC" w:rsidRDefault="00E8425A">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b/>
          <w:bCs/>
          <w:i/>
          <w:iCs/>
          <w:sz w:val="22"/>
          <w:szCs w:val="22"/>
        </w:rPr>
        <w:t>PÁGINAS WEB O ELECTRÓNICAS. SU CONTENIDO ES UN HECHO NOTORIO Y SUSCEPTIBLE DE SER VALORADO EN UNA DECISIÓN JUDICIAL.</w:t>
      </w:r>
      <w:r w:rsidRPr="00DF0DBC">
        <w:rPr>
          <w:rFonts w:ascii="Palatino Linotype" w:eastAsia="Palatino Linotype" w:hAnsi="Palatino Linotype" w:cs="Palatino Linotype"/>
          <w:i/>
          <w:iCs/>
          <w:sz w:val="22"/>
          <w:szCs w:val="22"/>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0E2D0FCC" w14:textId="77777777" w:rsidR="00EE4241" w:rsidRPr="00DF0DBC" w:rsidRDefault="00E8425A">
      <w:pPr>
        <w:pBdr>
          <w:top w:val="nil"/>
          <w:left w:val="nil"/>
          <w:bottom w:val="nil"/>
          <w:right w:val="nil"/>
          <w:between w:val="nil"/>
        </w:pBdr>
        <w:spacing w:before="120" w:after="120" w:line="360" w:lineRule="auto"/>
        <w:ind w:left="851" w:right="902"/>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b/>
          <w:bCs/>
          <w:i/>
          <w:iCs/>
          <w:sz w:val="22"/>
          <w:szCs w:val="22"/>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DF0DBC">
        <w:rPr>
          <w:rFonts w:ascii="Palatino Linotype" w:eastAsia="Palatino Linotype" w:hAnsi="Palatino Linotype" w:cs="Palatino Linotype"/>
          <w:i/>
          <w:iCs/>
          <w:sz w:val="22"/>
          <w:szCs w:val="22"/>
        </w:rPr>
        <w:t>. Los datos que aparecen en las páginas electrónicas oficiales que los órganos de gobierno utilizan para poner a disposición del público, entre otros servicios, la descripción de sus plazas, el directorio de sus empleados o el estado que guardan sus expedientes, constituyen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71C3CF10" w14:textId="77777777" w:rsidR="00EE4241" w:rsidRPr="00DF0DBC" w:rsidRDefault="00E8425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Por consiguiente, se estima dable que previa búsqueda exhaustiva y razonable se haga entrega de los documentos donde conste la fecha, lugar y nombre de los eventos dirigidos a los jóvenes por parte del Ayuntamiento. </w:t>
      </w:r>
    </w:p>
    <w:p w14:paraId="7FEB7D5D" w14:textId="77777777" w:rsidR="00EE4241" w:rsidRPr="00DF0DBC" w:rsidRDefault="00E8425A">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Ahora bien, no escapa de la óptica de este Organismo Garante que el Recurrente fue omiso en señalar el periodo sobre el cual requería la información, siendo aplicable el criterio de interpretación 03/19 emitido por el entonces Instituto Nacional de Transparencia Acceso a la Información y Protección de Datos Personales, INAI, en el cual es del tenor literal siguiente:</w:t>
      </w:r>
    </w:p>
    <w:p w14:paraId="08355000" w14:textId="77777777" w:rsidR="00EE4241" w:rsidRPr="00DF0DBC" w:rsidRDefault="00E8425A">
      <w:pPr>
        <w:pBdr>
          <w:top w:val="nil"/>
          <w:left w:val="nil"/>
          <w:bottom w:val="nil"/>
          <w:right w:val="nil"/>
          <w:between w:val="nil"/>
        </w:pBdr>
        <w:spacing w:before="240" w:after="240"/>
        <w:ind w:left="851" w:right="900"/>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b/>
          <w:bCs/>
          <w:i/>
          <w:iCs/>
          <w:sz w:val="22"/>
          <w:szCs w:val="22"/>
        </w:rPr>
        <w:t>Periodo de búsqueda de la información</w:t>
      </w:r>
      <w:r w:rsidRPr="00DF0DBC">
        <w:rPr>
          <w:rFonts w:ascii="Palatino Linotype" w:eastAsia="Palatino Linotype" w:hAnsi="Palatino Linotype" w:cs="Palatino Linotype"/>
          <w:i/>
          <w:iCs/>
          <w:sz w:val="22"/>
          <w:szCs w:val="22"/>
        </w:rPr>
        <w:t>.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  </w:t>
      </w:r>
    </w:p>
    <w:p w14:paraId="004AC32E" w14:textId="77777777" w:rsidR="00EE4241" w:rsidRPr="00DF0DBC" w:rsidRDefault="00E8425A">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De manera que, ante la omisión por parte de la solicitante, la información que es susceptible de entrega, en su caso, corresponde a la que el </w:t>
      </w:r>
      <w:r w:rsidRPr="00DF0DBC">
        <w:rPr>
          <w:rFonts w:ascii="Palatino Linotype" w:eastAsia="Palatino Linotype" w:hAnsi="Palatino Linotype" w:cs="Palatino Linotype"/>
          <w:b/>
          <w:bCs/>
          <w:sz w:val="22"/>
          <w:szCs w:val="22"/>
        </w:rPr>
        <w:t xml:space="preserve">Sujeto Obligado </w:t>
      </w:r>
      <w:r w:rsidRPr="00DF0DBC">
        <w:rPr>
          <w:rFonts w:ascii="Palatino Linotype" w:eastAsia="Palatino Linotype" w:hAnsi="Palatino Linotype" w:cs="Palatino Linotype"/>
          <w:sz w:val="22"/>
          <w:szCs w:val="22"/>
        </w:rPr>
        <w:t> hubiera generado, administre o posea en el año inmediato anterior contado a partir de la fecha de presentación de la solicitud, es decir, del diez de noviembre de dos mil veinticuatro al diez de noviembre de dos mil veinticinco.</w:t>
      </w:r>
    </w:p>
    <w:p w14:paraId="4F2E7182"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 xml:space="preserve">Quinto. Versión Pública. </w:t>
      </w:r>
      <w:r w:rsidRPr="00DF0DBC">
        <w:rPr>
          <w:rFonts w:ascii="Palatino Linotype" w:eastAsia="Palatino Linotype" w:hAnsi="Palatino Linotype" w:cs="Palatino Linotype"/>
          <w:sz w:val="22"/>
          <w:szCs w:val="22"/>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43C5721A"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08B72A90"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En ese sentido, el Sujeto Obligado tendrá que elaborar la versión pública de los documentos que vaya a entregar para dar cumplimiento a esta resolución a fin de satisfacer el derecho de acceso a la información pública del recurrente sin menoscabar el derecho a la protección de los datos personales de terceros. </w:t>
      </w:r>
    </w:p>
    <w:p w14:paraId="75E884FD"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7442E454" w14:textId="77777777" w:rsidR="00EE4241" w:rsidRPr="00DF0DBC" w:rsidRDefault="00E8425A">
      <w:pPr>
        <w:spacing w:line="360" w:lineRule="auto"/>
        <w:ind w:right="50"/>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Lo anterior, de conformidad con lo que señalan los artículos 3 fracciones IX, XX, XXI y XLV, 91, 132 fracciones II y III, y 143 de la Ley de Transparencia y Acceso a la Información Pública del Estado de México y Municipios que establecen: </w:t>
      </w:r>
    </w:p>
    <w:p w14:paraId="453E659F" w14:textId="77777777" w:rsidR="00EE4241" w:rsidRPr="00DF0DBC" w:rsidRDefault="00EE4241">
      <w:pPr>
        <w:spacing w:line="360" w:lineRule="auto"/>
        <w:ind w:right="50"/>
        <w:jc w:val="both"/>
        <w:rPr>
          <w:rFonts w:ascii="Palatino Linotype" w:eastAsia="Palatino Linotype" w:hAnsi="Palatino Linotype" w:cs="Palatino Linotype"/>
          <w:sz w:val="22"/>
          <w:szCs w:val="22"/>
        </w:rPr>
      </w:pPr>
    </w:p>
    <w:p w14:paraId="05CD6F63"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b/>
          <w:bCs/>
          <w:i/>
          <w:iCs/>
          <w:sz w:val="22"/>
          <w:szCs w:val="22"/>
        </w:rPr>
        <w:t>Artículo 3.</w:t>
      </w:r>
      <w:r w:rsidRPr="00DF0DBC">
        <w:rPr>
          <w:rFonts w:ascii="Palatino Linotype" w:eastAsia="Palatino Linotype" w:hAnsi="Palatino Linotype" w:cs="Palatino Linotype"/>
          <w:i/>
          <w:iCs/>
          <w:sz w:val="22"/>
          <w:szCs w:val="22"/>
        </w:rPr>
        <w:t xml:space="preserve"> Para los efectos de la presente Ley se entenderá por:</w:t>
      </w:r>
    </w:p>
    <w:p w14:paraId="3536EEA6"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p>
    <w:p w14:paraId="176E2D4D"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IX. Datos personales: La información concerniente a una persona, identificada o identificable según lo dispuesto por la Ley de Protección de Datos Personales del Estado de México; </w:t>
      </w:r>
    </w:p>
    <w:p w14:paraId="78CC9206"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XX. Información clasificada: Aquella considerada por la presente Ley como reservada o confidencial;</w:t>
      </w:r>
    </w:p>
    <w:p w14:paraId="5B0AF314"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E1C2CB1"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XLV. Versión pública: Documento en el que se elimine, suprime o borra la información clasificada como reservada o confidencial para permitir su acceso.</w:t>
      </w:r>
    </w:p>
    <w:p w14:paraId="29EB67C1"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p>
    <w:p w14:paraId="46F82EB4"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Artículo 91.</w:t>
      </w:r>
      <w:r w:rsidRPr="00DF0DBC">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p>
    <w:p w14:paraId="3A249631"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Artículo 132.</w:t>
      </w:r>
      <w:r w:rsidRPr="00DF0DBC">
        <w:rPr>
          <w:rFonts w:ascii="Palatino Linotype" w:eastAsia="Palatino Linotype" w:hAnsi="Palatino Linotype" w:cs="Palatino Linotype"/>
          <w:i/>
          <w:iCs/>
          <w:sz w:val="22"/>
          <w:szCs w:val="22"/>
        </w:rPr>
        <w:t xml:space="preserve"> La clasificación de la información se llevará a cabo en el momento en que:</w:t>
      </w:r>
    </w:p>
    <w:p w14:paraId="28A2B7BC" w14:textId="77777777" w:rsidR="00EE4241" w:rsidRPr="00DF0DBC" w:rsidRDefault="00E8425A">
      <w:pPr>
        <w:tabs>
          <w:tab w:val="left" w:pos="1134"/>
        </w:tabs>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 Se reciba una solicitud de acceso a la información;</w:t>
      </w:r>
    </w:p>
    <w:p w14:paraId="056F6A49" w14:textId="77777777" w:rsidR="00EE4241" w:rsidRPr="00DF0DBC" w:rsidRDefault="00E8425A">
      <w:pPr>
        <w:tabs>
          <w:tab w:val="left" w:pos="1134"/>
        </w:tabs>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II. Se determine mediante resolución de autoridad competente; o</w:t>
      </w:r>
    </w:p>
    <w:p w14:paraId="1E4D34D5" w14:textId="77777777" w:rsidR="00EE4241" w:rsidRPr="00DF0DBC" w:rsidRDefault="00E8425A">
      <w:pPr>
        <w:tabs>
          <w:tab w:val="left" w:pos="1134"/>
        </w:tabs>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III. Se generen versiones públicas para dar cumplimiento a las obligaciones de transparencia previstas en esta Ley.</w:t>
      </w:r>
    </w:p>
    <w:p w14:paraId="12F09FB5"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p>
    <w:p w14:paraId="342B8B71"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Artículo 143</w:t>
      </w:r>
      <w:r w:rsidRPr="00DF0DBC">
        <w:rPr>
          <w:rFonts w:ascii="Palatino Linotype" w:eastAsia="Palatino Linotype" w:hAnsi="Palatino Linotype" w:cs="Palatino Linotype"/>
          <w:i/>
          <w:iCs/>
          <w:sz w:val="22"/>
          <w:szCs w:val="22"/>
        </w:rPr>
        <w:t>. Para los efectos de esta Ley se considera información confidencial, la clasificada como tal, de manera permanente, por su naturaleza, cuando:</w:t>
      </w:r>
    </w:p>
    <w:p w14:paraId="059139BB"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 Se refiera a la información privada y los datos personales concernientes a una persona física o jurídico colectiva identificada o identificable;</w:t>
      </w:r>
    </w:p>
    <w:p w14:paraId="2F607FF2"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2419258E"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III. La que presenten los particulares a los sujetos obligados, de conformidad con lo dispuesto por las leyes o los tratados internacionales.</w:t>
      </w:r>
    </w:p>
    <w:p w14:paraId="73C28CBA"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099DBB1A"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031F8DEB" w14:textId="77777777" w:rsidR="00EE4241" w:rsidRPr="00DF0DBC" w:rsidRDefault="00EE4241">
      <w:pPr>
        <w:ind w:right="616"/>
        <w:jc w:val="both"/>
        <w:rPr>
          <w:rFonts w:ascii="Palatino Linotype" w:eastAsia="Palatino Linotype" w:hAnsi="Palatino Linotype" w:cs="Palatino Linotype"/>
          <w:i/>
          <w:iCs/>
          <w:sz w:val="22"/>
          <w:szCs w:val="22"/>
        </w:rPr>
      </w:pPr>
    </w:p>
    <w:p w14:paraId="6C94300F"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w:t>
      </w:r>
    </w:p>
    <w:p w14:paraId="0C04986E"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27586A70"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Por otro lado, es de destacar que los artículos Quincuagésimo, Quincuagésimo primero, Quincuagésimo segundo, de los Lineamientos Generales en Materia de Clasificación y Desclasificación de la Información, así como para la Elaboración de Versiones Públicas vigentes a la fecha de la solicitud señalan las formalidades que deberá llevar el acuerdo de clasificación que deberá emitir el Sujeto Obligado, siendo estas las siguientes:</w:t>
      </w:r>
    </w:p>
    <w:p w14:paraId="05F80031"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162BFF71"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b/>
          <w:bCs/>
          <w:i/>
          <w:iCs/>
          <w:sz w:val="22"/>
          <w:szCs w:val="22"/>
        </w:rPr>
        <w:t>Quincuagésimo</w:t>
      </w:r>
      <w:r w:rsidRPr="00DF0DBC">
        <w:rPr>
          <w:rFonts w:ascii="Palatino Linotype" w:eastAsia="Palatino Linotype" w:hAnsi="Palatino Linotype" w:cs="Palatino Linotype"/>
          <w:i/>
          <w:iCs/>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30F348E6"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Quincuagésimo primero.</w:t>
      </w:r>
      <w:r w:rsidRPr="00DF0DBC">
        <w:rPr>
          <w:rFonts w:ascii="Palatino Linotype" w:eastAsia="Palatino Linotype" w:hAnsi="Palatino Linotype" w:cs="Palatino Linotype"/>
          <w:i/>
          <w:iCs/>
          <w:sz w:val="22"/>
          <w:szCs w:val="22"/>
        </w:rPr>
        <w:t xml:space="preserve"> Toda acta del Comité de Transparencia deberá contener: </w:t>
      </w:r>
    </w:p>
    <w:p w14:paraId="004077E6"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 El número de sesión y fecha; </w:t>
      </w:r>
    </w:p>
    <w:p w14:paraId="44446BF3"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II. El nombre del área que solicitó la clasificación de información; </w:t>
      </w:r>
    </w:p>
    <w:p w14:paraId="0FEE285E"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III. La fundamentación legal y motivación correspondiente; </w:t>
      </w:r>
    </w:p>
    <w:p w14:paraId="3E8F4CE7"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IV. La resolución o resoluciones aprobadas; y </w:t>
      </w:r>
    </w:p>
    <w:p w14:paraId="1A8620F2"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V. La rúbrica o firma digital de cada integrante del Comité de Transparencia. </w:t>
      </w:r>
    </w:p>
    <w:p w14:paraId="26AAB464"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7DD716F3"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 Los motivos y razonamientos que sustenten la confirmación o modificación de la prueba de daño;</w:t>
      </w:r>
    </w:p>
    <w:p w14:paraId="3F985214"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II. Descripción de las partes o secciones reservadas, en caso de clasificación parcial; </w:t>
      </w:r>
    </w:p>
    <w:p w14:paraId="51918F06"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III. El periodo por el que mantendrá su clasificación y fecha de expiración; y </w:t>
      </w:r>
    </w:p>
    <w:p w14:paraId="5828B723"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IV. El nombre del titular y área encargada de realizar la versión pública del documento, en su caso. </w:t>
      </w:r>
    </w:p>
    <w:p w14:paraId="2D06B160"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74CF8CC8"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5958DDD9"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Quincuagésimo segundo.</w:t>
      </w:r>
      <w:r w:rsidRPr="00DF0DBC">
        <w:rPr>
          <w:rFonts w:ascii="Palatino Linotype" w:eastAsia="Palatino Linotype" w:hAnsi="Palatino Linotype" w:cs="Palatino Linotype"/>
          <w:i/>
          <w:iCs/>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143BE26"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5EE29C5B"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 Fijar la fecha en que se elaboró la versión pública y la fecha en la cual el Comité de Transparencia confirmó dicha versión;</w:t>
      </w:r>
    </w:p>
    <w:p w14:paraId="3695461F"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II. Señalar dentro del documento el tipo de información confidencial que fue testada en cada caso específico, de conformidad con el lineamiento trigésimo octavo; y</w:t>
      </w:r>
    </w:p>
    <w:p w14:paraId="17AFDECB"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III. Señalar las personas o instancias autorizadas a acceder a la información clasificada.</w:t>
      </w:r>
    </w:p>
    <w:p w14:paraId="5102C8D1"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72DEE72B"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6C575661"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De igual forma, deberá observar los Lineamientos Quincuagésimo cuarto, Quincuagésimo quinto, Quincuagésimo séptimo y Quincuagésimo octavo, vigentes a la fecha de la solicitud de información establecen lo siguiente: </w:t>
      </w:r>
    </w:p>
    <w:p w14:paraId="6D99A785" w14:textId="77777777" w:rsidR="00EE4241" w:rsidRPr="00DF0DBC" w:rsidRDefault="00EE4241">
      <w:pPr>
        <w:spacing w:line="360" w:lineRule="auto"/>
        <w:jc w:val="both"/>
        <w:rPr>
          <w:rFonts w:ascii="Palatino Linotype" w:eastAsia="Palatino Linotype" w:hAnsi="Palatino Linotype" w:cs="Palatino Linotype"/>
          <w:sz w:val="22"/>
          <w:szCs w:val="22"/>
        </w:rPr>
      </w:pPr>
    </w:p>
    <w:p w14:paraId="3ABC82E4" w14:textId="77777777" w:rsidR="00EE4241" w:rsidRPr="00DF0DBC" w:rsidRDefault="00E8425A">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r w:rsidRPr="00DF0DBC">
        <w:rPr>
          <w:rFonts w:ascii="Palatino Linotype" w:eastAsia="Palatino Linotype" w:hAnsi="Palatino Linotype" w:cs="Palatino Linotype"/>
          <w:b/>
          <w:bCs/>
          <w:i/>
          <w:iCs/>
          <w:sz w:val="22"/>
          <w:szCs w:val="22"/>
        </w:rPr>
        <w:t>Quincuagésimo cuarto.</w:t>
      </w:r>
      <w:r w:rsidRPr="00DF0DBC">
        <w:rPr>
          <w:rFonts w:ascii="Palatino Linotype" w:eastAsia="Palatino Linotype" w:hAnsi="Palatino Linotype" w:cs="Palatino Linotype"/>
          <w:i/>
          <w:iCs/>
          <w:sz w:val="22"/>
          <w:szCs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6CF63C1E"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Quincuagésimo quinto.</w:t>
      </w:r>
      <w:r w:rsidRPr="00DF0DBC">
        <w:rPr>
          <w:rFonts w:ascii="Palatino Linotype" w:eastAsia="Palatino Linotype" w:hAnsi="Palatino Linotype" w:cs="Palatino Linotype"/>
          <w:i/>
          <w:iCs/>
          <w:sz w:val="22"/>
          <w:szCs w:val="22"/>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D6D3C31"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w:t>
      </w:r>
    </w:p>
    <w:p w14:paraId="22AAEFDB"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b/>
          <w:bCs/>
          <w:i/>
          <w:iCs/>
          <w:sz w:val="22"/>
          <w:szCs w:val="22"/>
        </w:rPr>
        <w:t>Quincuagésimo séptimo.</w:t>
      </w:r>
      <w:r w:rsidRPr="00DF0DBC">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12C0660D"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 La relativa a las Obligaciones de Transparencia que contempla el Título V de la Ley General y las demás disposiciones legales aplicables; </w:t>
      </w:r>
    </w:p>
    <w:p w14:paraId="7A17AAC1"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II. El nombre de los integrantes de los sujetos obligados en los documentos, y sus firmas autógrafas o digitales, cuando sean utilizados en el ejercicio de las facultades conferidas para el desempeño del servicio público, y</w:t>
      </w:r>
    </w:p>
    <w:p w14:paraId="78FEAA7E"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CDF91B1"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07E51F20" w14:textId="77777777" w:rsidR="00EE4241" w:rsidRPr="00DF0DBC" w:rsidRDefault="00E8425A">
      <w:pPr>
        <w:ind w:left="567" w:right="616"/>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7BE7D0B5" w14:textId="77777777" w:rsidR="00EE4241" w:rsidRPr="00DF0DBC" w:rsidRDefault="00EE4241">
      <w:pPr>
        <w:ind w:right="616"/>
        <w:jc w:val="both"/>
        <w:rPr>
          <w:rFonts w:ascii="Palatino Linotype" w:eastAsia="Palatino Linotype" w:hAnsi="Palatino Linotype" w:cs="Palatino Linotype"/>
          <w:i/>
          <w:iCs/>
          <w:sz w:val="22"/>
          <w:szCs w:val="22"/>
        </w:rPr>
      </w:pPr>
    </w:p>
    <w:p w14:paraId="073EB7E7" w14:textId="77777777" w:rsidR="00EE4241" w:rsidRPr="00DF0DBC" w:rsidRDefault="00EE4241">
      <w:pPr>
        <w:ind w:right="616"/>
        <w:jc w:val="both"/>
        <w:rPr>
          <w:rFonts w:ascii="Palatino Linotype" w:eastAsia="Palatino Linotype" w:hAnsi="Palatino Linotype" w:cs="Palatino Linotype"/>
          <w:i/>
          <w:iCs/>
          <w:sz w:val="22"/>
          <w:szCs w:val="22"/>
        </w:rPr>
      </w:pPr>
    </w:p>
    <w:p w14:paraId="0C21CE0C" w14:textId="77777777" w:rsidR="00EE4241" w:rsidRPr="00DF0DBC" w:rsidRDefault="00E8425A">
      <w:pPr>
        <w:spacing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 xml:space="preserve">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 </w:t>
      </w:r>
    </w:p>
    <w:p w14:paraId="07EA4D86" w14:textId="77777777" w:rsidR="00EE4241" w:rsidRPr="00DF0DBC" w:rsidRDefault="00E8425A">
      <w:pPr>
        <w:spacing w:before="240"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III de la Ley de Transparencia y Acceso a la Información Pública del Estado de México y Municipios, este Pleno:</w:t>
      </w:r>
    </w:p>
    <w:p w14:paraId="42ACB2C5" w14:textId="77777777" w:rsidR="00EE4241" w:rsidRPr="00DF0DBC" w:rsidRDefault="00E8425A">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bCs/>
          <w:sz w:val="22"/>
          <w:szCs w:val="22"/>
        </w:rPr>
      </w:pPr>
      <w:r w:rsidRPr="00DF0DBC">
        <w:rPr>
          <w:rFonts w:ascii="Palatino Linotype" w:eastAsia="Palatino Linotype" w:hAnsi="Palatino Linotype" w:cs="Palatino Linotype"/>
          <w:b/>
          <w:bCs/>
          <w:sz w:val="22"/>
          <w:szCs w:val="22"/>
        </w:rPr>
        <w:t>R E S U E L V E:</w:t>
      </w:r>
    </w:p>
    <w:p w14:paraId="76530608" w14:textId="77777777" w:rsidR="00EE4241" w:rsidRPr="00DF0DBC" w:rsidRDefault="00E8425A">
      <w:pPr>
        <w:spacing w:before="240" w:after="240" w:line="360" w:lineRule="auto"/>
        <w:jc w:val="both"/>
        <w:rPr>
          <w:rFonts w:ascii="Palatino Linotype" w:eastAsia="Palatino Linotype" w:hAnsi="Palatino Linotype" w:cs="Palatino Linotype"/>
          <w:b/>
          <w:bCs/>
          <w:sz w:val="22"/>
          <w:szCs w:val="22"/>
        </w:rPr>
      </w:pPr>
      <w:r w:rsidRPr="00DF0DBC">
        <w:rPr>
          <w:rFonts w:ascii="Palatino Linotype" w:eastAsia="Palatino Linotype" w:hAnsi="Palatino Linotype" w:cs="Palatino Linotype"/>
          <w:b/>
          <w:bCs/>
          <w:sz w:val="22"/>
          <w:szCs w:val="22"/>
        </w:rPr>
        <w:t xml:space="preserve">Primero. </w:t>
      </w:r>
      <w:r w:rsidRPr="00DF0DBC">
        <w:rPr>
          <w:rFonts w:ascii="Palatino Linotype" w:eastAsia="Palatino Linotype" w:hAnsi="Palatino Linotype" w:cs="Palatino Linotype"/>
          <w:sz w:val="22"/>
          <w:szCs w:val="22"/>
        </w:rPr>
        <w:t>Resultan</w:t>
      </w:r>
      <w:r w:rsidRPr="00DF0DBC">
        <w:rPr>
          <w:rFonts w:ascii="Palatino Linotype" w:eastAsia="Palatino Linotype" w:hAnsi="Palatino Linotype" w:cs="Palatino Linotype"/>
          <w:b/>
          <w:bCs/>
          <w:sz w:val="22"/>
          <w:szCs w:val="22"/>
        </w:rPr>
        <w:t xml:space="preserve"> fundados </w:t>
      </w:r>
      <w:r w:rsidRPr="00DF0DBC">
        <w:rPr>
          <w:rFonts w:ascii="Palatino Linotype" w:eastAsia="Palatino Linotype" w:hAnsi="Palatino Linotype" w:cs="Palatino Linotype"/>
          <w:sz w:val="22"/>
          <w:szCs w:val="22"/>
        </w:rPr>
        <w:t xml:space="preserve">los motivos de inconformidad hechos valer por </w:t>
      </w:r>
      <w:r w:rsidRPr="00DF0DBC">
        <w:rPr>
          <w:rFonts w:ascii="Palatino Linotype" w:eastAsia="Palatino Linotype" w:hAnsi="Palatino Linotype" w:cs="Palatino Linotype"/>
          <w:b/>
          <w:bCs/>
          <w:sz w:val="22"/>
          <w:szCs w:val="22"/>
        </w:rPr>
        <w:t>la parte Recurrente</w:t>
      </w:r>
      <w:r w:rsidRPr="00DF0DBC">
        <w:rPr>
          <w:rFonts w:ascii="Palatino Linotype" w:eastAsia="Palatino Linotype" w:hAnsi="Palatino Linotype" w:cs="Palatino Linotype"/>
          <w:sz w:val="22"/>
          <w:szCs w:val="22"/>
        </w:rPr>
        <w:t xml:space="preserve"> en el Recurso de Revisión</w:t>
      </w:r>
      <w:r w:rsidRPr="00DF0DBC">
        <w:rPr>
          <w:rFonts w:ascii="Palatino Linotype" w:eastAsia="Palatino Linotype" w:hAnsi="Palatino Linotype" w:cs="Palatino Linotype"/>
          <w:b/>
          <w:bCs/>
          <w:sz w:val="22"/>
          <w:szCs w:val="22"/>
        </w:rPr>
        <w:t xml:space="preserve"> 13844/INFOEM/IP/RR/2025, </w:t>
      </w:r>
      <w:r w:rsidRPr="00DF0DBC">
        <w:rPr>
          <w:rFonts w:ascii="Palatino Linotype" w:eastAsia="Palatino Linotype" w:hAnsi="Palatino Linotype" w:cs="Palatino Linotype"/>
          <w:sz w:val="22"/>
          <w:szCs w:val="22"/>
        </w:rPr>
        <w:t>por lo que</w:t>
      </w:r>
      <w:r w:rsidRPr="00DF0DBC">
        <w:rPr>
          <w:rFonts w:ascii="Palatino Linotype" w:eastAsia="Palatino Linotype" w:hAnsi="Palatino Linotype" w:cs="Palatino Linotype"/>
          <w:b/>
          <w:bCs/>
          <w:sz w:val="22"/>
          <w:szCs w:val="22"/>
        </w:rPr>
        <w:t xml:space="preserve">, en términos del Considerando Cuarto </w:t>
      </w:r>
      <w:r w:rsidRPr="00DF0DBC">
        <w:rPr>
          <w:rFonts w:ascii="Palatino Linotype" w:eastAsia="Palatino Linotype" w:hAnsi="Palatino Linotype" w:cs="Palatino Linotype"/>
          <w:sz w:val="22"/>
          <w:szCs w:val="22"/>
        </w:rPr>
        <w:t>de la presente resolución</w:t>
      </w:r>
      <w:r w:rsidRPr="00DF0DBC">
        <w:rPr>
          <w:rFonts w:ascii="Palatino Linotype" w:eastAsia="Palatino Linotype" w:hAnsi="Palatino Linotype" w:cs="Palatino Linotype"/>
          <w:b/>
          <w:bCs/>
          <w:sz w:val="22"/>
          <w:szCs w:val="22"/>
        </w:rPr>
        <w:t>, se REVOCA l</w:t>
      </w:r>
      <w:r w:rsidRPr="00DF0DBC">
        <w:rPr>
          <w:rFonts w:ascii="Palatino Linotype" w:eastAsia="Palatino Linotype" w:hAnsi="Palatino Linotype" w:cs="Palatino Linotype"/>
          <w:sz w:val="22"/>
          <w:szCs w:val="22"/>
        </w:rPr>
        <w:t>a respuesta del</w:t>
      </w:r>
      <w:r w:rsidRPr="00DF0DBC">
        <w:rPr>
          <w:rFonts w:ascii="Palatino Linotype" w:eastAsia="Palatino Linotype" w:hAnsi="Palatino Linotype" w:cs="Palatino Linotype"/>
          <w:b/>
          <w:bCs/>
          <w:sz w:val="22"/>
          <w:szCs w:val="22"/>
        </w:rPr>
        <w:t xml:space="preserve"> Sujeto Obligado.</w:t>
      </w:r>
    </w:p>
    <w:p w14:paraId="6A1B5245" w14:textId="77777777" w:rsidR="00EE4241" w:rsidRPr="00DF0DBC" w:rsidRDefault="00E8425A">
      <w:pPr>
        <w:spacing w:before="240" w:after="240" w:line="360" w:lineRule="auto"/>
        <w:jc w:val="both"/>
        <w:rPr>
          <w:rFonts w:ascii="Palatino Linotype" w:eastAsia="Palatino Linotype" w:hAnsi="Palatino Linotype" w:cs="Palatino Linotype"/>
          <w:b/>
          <w:bCs/>
          <w:sz w:val="22"/>
          <w:szCs w:val="22"/>
        </w:rPr>
      </w:pPr>
      <w:bookmarkStart w:id="3" w:name="_heading=h.j3ppyxwlb1s2" w:colFirst="0" w:colLast="0"/>
      <w:bookmarkEnd w:id="3"/>
      <w:r w:rsidRPr="00DF0DBC">
        <w:rPr>
          <w:rFonts w:ascii="Palatino Linotype" w:eastAsia="Palatino Linotype" w:hAnsi="Palatino Linotype" w:cs="Palatino Linotype"/>
          <w:b/>
          <w:bCs/>
          <w:sz w:val="22"/>
          <w:szCs w:val="22"/>
        </w:rPr>
        <w:t xml:space="preserve">Segundo. Se Ordena al Sujeto Obligado </w:t>
      </w:r>
      <w:r w:rsidRPr="00DF0DBC">
        <w:rPr>
          <w:rFonts w:ascii="Palatino Linotype" w:eastAsia="Palatino Linotype" w:hAnsi="Palatino Linotype" w:cs="Palatino Linotype"/>
          <w:sz w:val="22"/>
          <w:szCs w:val="22"/>
        </w:rPr>
        <w:t>que en términos de los</w:t>
      </w:r>
      <w:r w:rsidRPr="00DF0DBC">
        <w:rPr>
          <w:rFonts w:ascii="Palatino Linotype" w:eastAsia="Palatino Linotype" w:hAnsi="Palatino Linotype" w:cs="Palatino Linotype"/>
          <w:b/>
          <w:bCs/>
          <w:sz w:val="22"/>
          <w:szCs w:val="22"/>
        </w:rPr>
        <w:t xml:space="preserve"> Considerandos Cuarto y Quinto </w:t>
      </w:r>
      <w:r w:rsidRPr="00DF0DBC">
        <w:rPr>
          <w:rFonts w:ascii="Palatino Linotype" w:eastAsia="Palatino Linotype" w:hAnsi="Palatino Linotype" w:cs="Palatino Linotype"/>
          <w:sz w:val="22"/>
          <w:szCs w:val="22"/>
        </w:rPr>
        <w:t xml:space="preserve">de esta resolución, haga entrega a </w:t>
      </w:r>
      <w:r w:rsidRPr="00DF0DBC">
        <w:rPr>
          <w:rFonts w:ascii="Palatino Linotype" w:eastAsia="Palatino Linotype" w:hAnsi="Palatino Linotype" w:cs="Palatino Linotype"/>
          <w:b/>
          <w:bCs/>
          <w:sz w:val="22"/>
          <w:szCs w:val="22"/>
        </w:rPr>
        <w:t xml:space="preserve">la parte Recurrente a través del SAIMEX, de ser el caso </w:t>
      </w:r>
      <w:r w:rsidRPr="00DF0DBC">
        <w:rPr>
          <w:rFonts w:ascii="Palatino Linotype" w:eastAsia="Palatino Linotype" w:hAnsi="Palatino Linotype" w:cs="Palatino Linotype"/>
          <w:sz w:val="22"/>
          <w:szCs w:val="22"/>
        </w:rPr>
        <w:t>en versión pública, los documentos donde conste la siguiente información:</w:t>
      </w:r>
    </w:p>
    <w:p w14:paraId="35301A87" w14:textId="77777777" w:rsidR="00EE4241" w:rsidRPr="00DF0DBC" w:rsidRDefault="00E8425A">
      <w:pPr>
        <w:numPr>
          <w:ilvl w:val="0"/>
          <w:numId w:val="3"/>
        </w:numPr>
        <w:pBdr>
          <w:top w:val="nil"/>
          <w:left w:val="nil"/>
          <w:bottom w:val="nil"/>
          <w:right w:val="nil"/>
          <w:between w:val="nil"/>
        </w:pBdr>
        <w:spacing w:before="240" w:after="240" w:line="360" w:lineRule="auto"/>
        <w:jc w:val="both"/>
        <w:rPr>
          <w:rFonts w:ascii="Palatino Linotype" w:eastAsia="Palatino Linotype" w:hAnsi="Palatino Linotype" w:cs="Palatino Linotype"/>
          <w:b/>
          <w:bCs/>
          <w:sz w:val="22"/>
          <w:szCs w:val="22"/>
        </w:rPr>
      </w:pPr>
      <w:r w:rsidRPr="00DF0DBC">
        <w:rPr>
          <w:rFonts w:ascii="Palatino Linotype" w:eastAsia="Palatino Linotype" w:hAnsi="Palatino Linotype" w:cs="Palatino Linotype"/>
          <w:b/>
          <w:bCs/>
          <w:sz w:val="22"/>
          <w:szCs w:val="22"/>
        </w:rPr>
        <w:t>Fecha, lugar y nombre de los eventos dirigidos a los Jóvenes por parte del Ayuntamiento de Toluca, del periodo comprendido del diez de noviembre de dos mil veinticuatro al diez de noviembre de dos mil veinticinco.</w:t>
      </w:r>
    </w:p>
    <w:p w14:paraId="11767161" w14:textId="77777777" w:rsidR="00EE4241" w:rsidRPr="00DF0DBC" w:rsidRDefault="00E8425A">
      <w:pPr>
        <w:pBdr>
          <w:top w:val="nil"/>
          <w:left w:val="nil"/>
          <w:bottom w:val="nil"/>
          <w:right w:val="nil"/>
          <w:between w:val="nil"/>
        </w:pBdr>
        <w:spacing w:line="360" w:lineRule="auto"/>
        <w:ind w:left="284" w:right="560"/>
        <w:jc w:val="both"/>
        <w:rPr>
          <w:rFonts w:ascii="Palatino Linotype" w:eastAsia="Palatino Linotype" w:hAnsi="Palatino Linotype" w:cs="Palatino Linotype"/>
          <w:i/>
          <w:iCs/>
          <w:sz w:val="22"/>
          <w:szCs w:val="22"/>
        </w:rPr>
      </w:pPr>
      <w:r w:rsidRPr="00DF0DBC">
        <w:rPr>
          <w:rFonts w:ascii="Palatino Linotype" w:eastAsia="Palatino Linotype" w:hAnsi="Palatino Linotype" w:cs="Palatino Linotype"/>
          <w:i/>
          <w:iCs/>
          <w:sz w:val="22"/>
          <w:szCs w:val="22"/>
        </w:rPr>
        <w:t>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14:paraId="07E862E5" w14:textId="77777777" w:rsidR="00EE4241" w:rsidRPr="00DF0DBC" w:rsidRDefault="00E8425A">
      <w:pPr>
        <w:spacing w:before="240"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 xml:space="preserve">Tercero.  Notifíquese vía SAIMEX, </w:t>
      </w:r>
      <w:r w:rsidRPr="00DF0DBC">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92697B2" w14:textId="77777777" w:rsidR="00EE4241" w:rsidRPr="00DF0DBC" w:rsidRDefault="00E8425A">
      <w:pPr>
        <w:spacing w:before="240" w:after="240" w:line="360" w:lineRule="auto"/>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b/>
          <w:bCs/>
          <w:sz w:val="22"/>
          <w:szCs w:val="22"/>
        </w:rPr>
        <w:t xml:space="preserve">Cuarto. </w:t>
      </w:r>
      <w:r w:rsidRPr="00DF0DBC">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DF0DBC">
        <w:rPr>
          <w:rFonts w:ascii="Palatino Linotype" w:eastAsia="Palatino Linotype" w:hAnsi="Palatino Linotype" w:cs="Palatino Linotype"/>
          <w:b/>
          <w:bCs/>
          <w:sz w:val="22"/>
          <w:szCs w:val="22"/>
        </w:rPr>
        <w:t>Sujeto Obligado</w:t>
      </w:r>
      <w:r w:rsidRPr="00DF0DBC">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589683D2" w14:textId="77777777" w:rsidR="00EE4241" w:rsidRPr="00DF0DBC" w:rsidRDefault="00E8425A">
      <w:pPr>
        <w:spacing w:line="360" w:lineRule="auto"/>
        <w:jc w:val="both"/>
        <w:rPr>
          <w:rFonts w:ascii="Palatino Linotype" w:eastAsia="Palatino Linotype" w:hAnsi="Palatino Linotype" w:cs="Palatino Linotype"/>
          <w:sz w:val="22"/>
          <w:szCs w:val="22"/>
        </w:rPr>
      </w:pPr>
      <w:bookmarkStart w:id="4" w:name="_heading=h.tyjcwt" w:colFirst="0" w:colLast="0"/>
      <w:bookmarkEnd w:id="4"/>
      <w:r w:rsidRPr="00DF0DBC">
        <w:rPr>
          <w:rFonts w:ascii="Palatino Linotype" w:eastAsia="Palatino Linotype" w:hAnsi="Palatino Linotype" w:cs="Palatino Linotype"/>
          <w:b/>
          <w:bCs/>
          <w:sz w:val="22"/>
          <w:szCs w:val="22"/>
        </w:rPr>
        <w:t xml:space="preserve">Quinto. Notifíquese vía SAIMEX, </w:t>
      </w:r>
      <w:r w:rsidRPr="00DF0DBC">
        <w:rPr>
          <w:rFonts w:ascii="Palatino Linotype" w:eastAsia="Palatino Linotype" w:hAnsi="Palatino Linotype" w:cs="Palatino Linotype"/>
          <w:sz w:val="22"/>
          <w:szCs w:val="22"/>
        </w:rPr>
        <w:t>a</w:t>
      </w:r>
      <w:r w:rsidRPr="00DF0DBC">
        <w:rPr>
          <w:rFonts w:ascii="Palatino Linotype" w:eastAsia="Palatino Linotype" w:hAnsi="Palatino Linotype" w:cs="Palatino Linotype"/>
          <w:b/>
          <w:bCs/>
          <w:sz w:val="22"/>
          <w:szCs w:val="22"/>
        </w:rPr>
        <w:t xml:space="preserve"> la parte Recurrente</w:t>
      </w:r>
      <w:r w:rsidRPr="00DF0DBC">
        <w:rPr>
          <w:rFonts w:ascii="Palatino Linotype" w:eastAsia="Palatino Linotype" w:hAnsi="Palatino Linotype" w:cs="Palatino Linotype"/>
          <w:sz w:val="22"/>
          <w:szCs w:val="22"/>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w:t>
      </w:r>
    </w:p>
    <w:p w14:paraId="214BE862" w14:textId="77777777" w:rsidR="00EE4241" w:rsidRPr="00DF0DBC" w:rsidRDefault="00EE4241">
      <w:pPr>
        <w:spacing w:line="360" w:lineRule="auto"/>
        <w:ind w:right="-93"/>
        <w:jc w:val="both"/>
        <w:rPr>
          <w:rFonts w:ascii="Palatino Linotype" w:eastAsia="Palatino Linotype" w:hAnsi="Palatino Linotype" w:cs="Palatino Linotype"/>
          <w:sz w:val="22"/>
          <w:szCs w:val="22"/>
        </w:rPr>
      </w:pPr>
      <w:bookmarkStart w:id="5" w:name="_heading=h.jl0dlasot4f" w:colFirst="0" w:colLast="0"/>
      <w:bookmarkEnd w:id="5"/>
    </w:p>
    <w:p w14:paraId="781EA9F3" w14:textId="77777777" w:rsidR="00EE4241" w:rsidRPr="001B2F7C" w:rsidRDefault="00E8425A">
      <w:pPr>
        <w:spacing w:line="360" w:lineRule="auto"/>
        <w:ind w:right="-93"/>
        <w:jc w:val="both"/>
        <w:rPr>
          <w:rFonts w:ascii="Palatino Linotype" w:eastAsia="Palatino Linotype" w:hAnsi="Palatino Linotype" w:cs="Palatino Linotype"/>
          <w:sz w:val="22"/>
          <w:szCs w:val="22"/>
        </w:rPr>
      </w:pPr>
      <w:r w:rsidRPr="00DF0DBC">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p>
    <w:p w14:paraId="4B6AD1E1" w14:textId="77777777" w:rsidR="00EE4241" w:rsidRPr="001B2F7C" w:rsidRDefault="00EE4241">
      <w:pPr>
        <w:spacing w:line="360" w:lineRule="auto"/>
        <w:ind w:right="-93"/>
        <w:jc w:val="both"/>
        <w:rPr>
          <w:rFonts w:ascii="Palatino Linotype" w:eastAsia="Palatino Linotype" w:hAnsi="Palatino Linotype" w:cs="Palatino Linotype"/>
          <w:sz w:val="22"/>
          <w:szCs w:val="22"/>
        </w:rPr>
      </w:pPr>
    </w:p>
    <w:p w14:paraId="5C026F4A" w14:textId="77777777" w:rsidR="00EE4241" w:rsidRPr="001B2F7C" w:rsidRDefault="00EE4241">
      <w:pPr>
        <w:spacing w:line="360" w:lineRule="auto"/>
        <w:ind w:right="-93"/>
        <w:jc w:val="both"/>
        <w:rPr>
          <w:rFonts w:ascii="Palatino Linotype" w:eastAsia="Palatino Linotype" w:hAnsi="Palatino Linotype" w:cs="Palatino Linotype"/>
          <w:sz w:val="22"/>
          <w:szCs w:val="22"/>
        </w:rPr>
      </w:pPr>
    </w:p>
    <w:p w14:paraId="64745FD1" w14:textId="77777777" w:rsidR="00EE4241" w:rsidRPr="001B2F7C" w:rsidRDefault="00EE4241">
      <w:pPr>
        <w:spacing w:line="360" w:lineRule="auto"/>
        <w:ind w:right="-93"/>
        <w:jc w:val="both"/>
        <w:rPr>
          <w:rFonts w:ascii="Palatino Linotype" w:eastAsia="Palatino Linotype" w:hAnsi="Palatino Linotype" w:cs="Palatino Linotype"/>
          <w:sz w:val="22"/>
          <w:szCs w:val="22"/>
        </w:rPr>
      </w:pPr>
    </w:p>
    <w:p w14:paraId="5F8CD161" w14:textId="77777777" w:rsidR="00EE4241" w:rsidRPr="001B2F7C" w:rsidRDefault="00EE4241">
      <w:pPr>
        <w:spacing w:line="360" w:lineRule="auto"/>
        <w:ind w:right="-93"/>
        <w:jc w:val="both"/>
        <w:rPr>
          <w:rFonts w:ascii="Palatino Linotype" w:eastAsia="Palatino Linotype" w:hAnsi="Palatino Linotype" w:cs="Palatino Linotype"/>
          <w:sz w:val="22"/>
          <w:szCs w:val="22"/>
        </w:rPr>
      </w:pPr>
    </w:p>
    <w:p w14:paraId="38496B21" w14:textId="77777777" w:rsidR="00EE4241" w:rsidRPr="001B2F7C" w:rsidRDefault="00EE4241">
      <w:pPr>
        <w:spacing w:line="360" w:lineRule="auto"/>
        <w:ind w:right="-93"/>
        <w:jc w:val="both"/>
        <w:rPr>
          <w:rFonts w:ascii="Palatino Linotype" w:eastAsia="Palatino Linotype" w:hAnsi="Palatino Linotype" w:cs="Palatino Linotype"/>
          <w:sz w:val="22"/>
          <w:szCs w:val="22"/>
        </w:rPr>
      </w:pPr>
    </w:p>
    <w:p w14:paraId="739F923F" w14:textId="62DA6C34" w:rsidR="00EE4241" w:rsidRPr="001B2F7C" w:rsidRDefault="00EE4241">
      <w:pPr>
        <w:spacing w:line="360" w:lineRule="auto"/>
        <w:ind w:right="49"/>
        <w:jc w:val="both"/>
        <w:rPr>
          <w:rFonts w:ascii="Palatino Linotype" w:eastAsia="Palatino Linotype" w:hAnsi="Palatino Linotype" w:cs="Palatino Linotype"/>
          <w:sz w:val="22"/>
          <w:szCs w:val="22"/>
        </w:rPr>
      </w:pPr>
    </w:p>
    <w:p w14:paraId="7075E885" w14:textId="76662A27" w:rsidR="001B2F7C" w:rsidRPr="001B2F7C" w:rsidRDefault="001B2F7C">
      <w:pPr>
        <w:spacing w:line="360" w:lineRule="auto"/>
        <w:ind w:right="49"/>
        <w:jc w:val="both"/>
        <w:rPr>
          <w:rFonts w:ascii="Palatino Linotype" w:eastAsia="Palatino Linotype" w:hAnsi="Palatino Linotype" w:cs="Palatino Linotype"/>
          <w:sz w:val="22"/>
          <w:szCs w:val="22"/>
        </w:rPr>
      </w:pPr>
    </w:p>
    <w:p w14:paraId="486C137A" w14:textId="75340C27" w:rsidR="001B2F7C" w:rsidRPr="001B2F7C" w:rsidRDefault="001B2F7C">
      <w:pPr>
        <w:spacing w:line="360" w:lineRule="auto"/>
        <w:ind w:right="49"/>
        <w:jc w:val="both"/>
        <w:rPr>
          <w:rFonts w:ascii="Palatino Linotype" w:eastAsia="Palatino Linotype" w:hAnsi="Palatino Linotype" w:cs="Palatino Linotype"/>
          <w:sz w:val="22"/>
          <w:szCs w:val="22"/>
        </w:rPr>
      </w:pPr>
    </w:p>
    <w:p w14:paraId="68C33664" w14:textId="240A8ED8" w:rsidR="001B2F7C" w:rsidRPr="001B2F7C" w:rsidRDefault="001B2F7C">
      <w:pPr>
        <w:spacing w:line="360" w:lineRule="auto"/>
        <w:ind w:right="49"/>
        <w:jc w:val="both"/>
        <w:rPr>
          <w:rFonts w:ascii="Palatino Linotype" w:eastAsia="Palatino Linotype" w:hAnsi="Palatino Linotype" w:cs="Palatino Linotype"/>
          <w:sz w:val="22"/>
          <w:szCs w:val="22"/>
        </w:rPr>
      </w:pPr>
    </w:p>
    <w:p w14:paraId="4416B941" w14:textId="36CDC2B6" w:rsidR="001B2F7C" w:rsidRPr="001B2F7C" w:rsidRDefault="001B2F7C">
      <w:pPr>
        <w:spacing w:line="360" w:lineRule="auto"/>
        <w:ind w:right="49"/>
        <w:jc w:val="both"/>
        <w:rPr>
          <w:rFonts w:ascii="Palatino Linotype" w:eastAsia="Palatino Linotype" w:hAnsi="Palatino Linotype" w:cs="Palatino Linotype"/>
          <w:sz w:val="22"/>
          <w:szCs w:val="22"/>
        </w:rPr>
      </w:pPr>
    </w:p>
    <w:p w14:paraId="0EB3A0A1" w14:textId="1C25F22B" w:rsidR="001B2F7C" w:rsidRPr="001B2F7C" w:rsidRDefault="001B2F7C">
      <w:pPr>
        <w:spacing w:line="360" w:lineRule="auto"/>
        <w:ind w:right="49"/>
        <w:jc w:val="both"/>
        <w:rPr>
          <w:rFonts w:ascii="Palatino Linotype" w:eastAsia="Palatino Linotype" w:hAnsi="Palatino Linotype" w:cs="Palatino Linotype"/>
          <w:sz w:val="22"/>
          <w:szCs w:val="22"/>
        </w:rPr>
      </w:pPr>
    </w:p>
    <w:p w14:paraId="76C81F81" w14:textId="766D876E" w:rsidR="001B2F7C" w:rsidRPr="001B2F7C" w:rsidRDefault="001B2F7C">
      <w:pPr>
        <w:spacing w:line="360" w:lineRule="auto"/>
        <w:ind w:right="49"/>
        <w:jc w:val="both"/>
        <w:rPr>
          <w:rFonts w:ascii="Palatino Linotype" w:eastAsia="Palatino Linotype" w:hAnsi="Palatino Linotype" w:cs="Palatino Linotype"/>
          <w:sz w:val="22"/>
          <w:szCs w:val="22"/>
        </w:rPr>
      </w:pPr>
    </w:p>
    <w:p w14:paraId="62F172A2" w14:textId="63C78B70" w:rsidR="001B2F7C" w:rsidRPr="001B2F7C" w:rsidRDefault="001B2F7C">
      <w:pPr>
        <w:spacing w:line="360" w:lineRule="auto"/>
        <w:ind w:right="49"/>
        <w:jc w:val="both"/>
        <w:rPr>
          <w:rFonts w:ascii="Palatino Linotype" w:eastAsia="Palatino Linotype" w:hAnsi="Palatino Linotype" w:cs="Palatino Linotype"/>
          <w:sz w:val="22"/>
          <w:szCs w:val="22"/>
        </w:rPr>
      </w:pPr>
    </w:p>
    <w:p w14:paraId="793D38AD" w14:textId="3CB441C1" w:rsidR="001B2F7C" w:rsidRPr="001B2F7C" w:rsidRDefault="001B2F7C">
      <w:pPr>
        <w:spacing w:line="360" w:lineRule="auto"/>
        <w:ind w:right="49"/>
        <w:jc w:val="both"/>
        <w:rPr>
          <w:rFonts w:ascii="Palatino Linotype" w:eastAsia="Palatino Linotype" w:hAnsi="Palatino Linotype" w:cs="Palatino Linotype"/>
          <w:sz w:val="22"/>
          <w:szCs w:val="22"/>
        </w:rPr>
      </w:pPr>
    </w:p>
    <w:p w14:paraId="6A4B5B28" w14:textId="67F509C3" w:rsidR="001B2F7C" w:rsidRPr="001B2F7C" w:rsidRDefault="001B2F7C">
      <w:pPr>
        <w:spacing w:line="360" w:lineRule="auto"/>
        <w:ind w:right="49"/>
        <w:jc w:val="both"/>
        <w:rPr>
          <w:rFonts w:ascii="Palatino Linotype" w:eastAsia="Palatino Linotype" w:hAnsi="Palatino Linotype" w:cs="Palatino Linotype"/>
          <w:sz w:val="22"/>
          <w:szCs w:val="22"/>
        </w:rPr>
      </w:pPr>
    </w:p>
    <w:p w14:paraId="3E845DD3" w14:textId="77103546" w:rsidR="001B2F7C" w:rsidRPr="001B2F7C" w:rsidRDefault="001B2F7C">
      <w:pPr>
        <w:spacing w:line="360" w:lineRule="auto"/>
        <w:ind w:right="49"/>
        <w:jc w:val="both"/>
        <w:rPr>
          <w:rFonts w:ascii="Palatino Linotype" w:eastAsia="Palatino Linotype" w:hAnsi="Palatino Linotype" w:cs="Palatino Linotype"/>
          <w:sz w:val="22"/>
          <w:szCs w:val="22"/>
        </w:rPr>
      </w:pPr>
    </w:p>
    <w:p w14:paraId="43D8C587" w14:textId="6E1E92B3" w:rsidR="001B2F7C" w:rsidRPr="001B2F7C" w:rsidRDefault="001B2F7C">
      <w:pPr>
        <w:spacing w:line="360" w:lineRule="auto"/>
        <w:ind w:right="49"/>
        <w:jc w:val="both"/>
        <w:rPr>
          <w:rFonts w:ascii="Palatino Linotype" w:eastAsia="Palatino Linotype" w:hAnsi="Palatino Linotype" w:cs="Palatino Linotype"/>
          <w:sz w:val="22"/>
          <w:szCs w:val="22"/>
        </w:rPr>
      </w:pPr>
    </w:p>
    <w:p w14:paraId="25EEC1E2" w14:textId="5390C175" w:rsidR="001B2F7C" w:rsidRPr="001B2F7C" w:rsidRDefault="001B2F7C">
      <w:pPr>
        <w:spacing w:line="360" w:lineRule="auto"/>
        <w:ind w:right="49"/>
        <w:jc w:val="both"/>
        <w:rPr>
          <w:rFonts w:ascii="Palatino Linotype" w:eastAsia="Palatino Linotype" w:hAnsi="Palatino Linotype" w:cs="Palatino Linotype"/>
          <w:sz w:val="22"/>
          <w:szCs w:val="22"/>
        </w:rPr>
      </w:pPr>
    </w:p>
    <w:p w14:paraId="735A94D8" w14:textId="750D1F85" w:rsidR="001B2F7C" w:rsidRPr="001B2F7C" w:rsidRDefault="001B2F7C">
      <w:pPr>
        <w:spacing w:line="360" w:lineRule="auto"/>
        <w:ind w:right="49"/>
        <w:jc w:val="both"/>
        <w:rPr>
          <w:rFonts w:ascii="Palatino Linotype" w:eastAsia="Palatino Linotype" w:hAnsi="Palatino Linotype" w:cs="Palatino Linotype"/>
          <w:sz w:val="22"/>
          <w:szCs w:val="22"/>
        </w:rPr>
      </w:pPr>
    </w:p>
    <w:p w14:paraId="137F37AA" w14:textId="12874276" w:rsidR="001B2F7C" w:rsidRPr="001B2F7C" w:rsidRDefault="001B2F7C">
      <w:pPr>
        <w:spacing w:line="360" w:lineRule="auto"/>
        <w:ind w:right="49"/>
        <w:jc w:val="both"/>
        <w:rPr>
          <w:rFonts w:ascii="Palatino Linotype" w:eastAsia="Palatino Linotype" w:hAnsi="Palatino Linotype" w:cs="Palatino Linotype"/>
          <w:sz w:val="22"/>
          <w:szCs w:val="22"/>
        </w:rPr>
      </w:pPr>
    </w:p>
    <w:p w14:paraId="6A0D6A34" w14:textId="1FB035B8" w:rsidR="001B2F7C" w:rsidRPr="001B2F7C" w:rsidRDefault="001B2F7C">
      <w:pPr>
        <w:spacing w:line="360" w:lineRule="auto"/>
        <w:ind w:right="49"/>
        <w:jc w:val="both"/>
        <w:rPr>
          <w:rFonts w:ascii="Palatino Linotype" w:eastAsia="Palatino Linotype" w:hAnsi="Palatino Linotype" w:cs="Palatino Linotype"/>
          <w:sz w:val="22"/>
          <w:szCs w:val="22"/>
        </w:rPr>
      </w:pPr>
    </w:p>
    <w:p w14:paraId="46098BBD" w14:textId="7742BED4" w:rsidR="001B2F7C" w:rsidRPr="001B2F7C" w:rsidRDefault="001B2F7C">
      <w:pPr>
        <w:spacing w:line="360" w:lineRule="auto"/>
        <w:ind w:right="49"/>
        <w:jc w:val="both"/>
        <w:rPr>
          <w:rFonts w:ascii="Palatino Linotype" w:eastAsia="Palatino Linotype" w:hAnsi="Palatino Linotype" w:cs="Palatino Linotype"/>
          <w:sz w:val="22"/>
          <w:szCs w:val="22"/>
        </w:rPr>
      </w:pPr>
    </w:p>
    <w:p w14:paraId="569FBDCE" w14:textId="49416C2A" w:rsidR="001B2F7C" w:rsidRPr="001B2F7C" w:rsidRDefault="001B2F7C">
      <w:pPr>
        <w:spacing w:line="360" w:lineRule="auto"/>
        <w:ind w:right="49"/>
        <w:jc w:val="both"/>
        <w:rPr>
          <w:rFonts w:ascii="Palatino Linotype" w:eastAsia="Palatino Linotype" w:hAnsi="Palatino Linotype" w:cs="Palatino Linotype"/>
          <w:sz w:val="22"/>
          <w:szCs w:val="22"/>
        </w:rPr>
      </w:pPr>
    </w:p>
    <w:p w14:paraId="6DDF6969" w14:textId="2EDBDF66" w:rsidR="001B2F7C" w:rsidRPr="001B2F7C" w:rsidRDefault="001B2F7C">
      <w:pPr>
        <w:spacing w:line="360" w:lineRule="auto"/>
        <w:ind w:right="49"/>
        <w:jc w:val="both"/>
        <w:rPr>
          <w:rFonts w:ascii="Palatino Linotype" w:eastAsia="Palatino Linotype" w:hAnsi="Palatino Linotype" w:cs="Palatino Linotype"/>
          <w:sz w:val="22"/>
          <w:szCs w:val="22"/>
        </w:rPr>
      </w:pPr>
    </w:p>
    <w:p w14:paraId="44162871" w14:textId="77777777" w:rsidR="001B2F7C" w:rsidRPr="001B2F7C" w:rsidRDefault="001B2F7C">
      <w:pPr>
        <w:spacing w:line="360" w:lineRule="auto"/>
        <w:ind w:right="49"/>
        <w:jc w:val="both"/>
        <w:rPr>
          <w:rFonts w:ascii="Palatino Linotype" w:eastAsia="Palatino Linotype" w:hAnsi="Palatino Linotype" w:cs="Palatino Linotype"/>
          <w:sz w:val="22"/>
          <w:szCs w:val="22"/>
        </w:rPr>
      </w:pPr>
    </w:p>
    <w:sectPr w:rsidR="001B2F7C" w:rsidRPr="001B2F7C">
      <w:headerReference w:type="default" r:id="rId9"/>
      <w:footerReference w:type="default" r:id="rId10"/>
      <w:headerReference w:type="first" r:id="rId11"/>
      <w:footerReference w:type="first" r:id="rId1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2052E8" w14:textId="77777777" w:rsidR="00EF1C19" w:rsidRDefault="00EF1C19">
      <w:r>
        <w:separator/>
      </w:r>
    </w:p>
  </w:endnote>
  <w:endnote w:type="continuationSeparator" w:id="0">
    <w:p w14:paraId="39DEBD62" w14:textId="77777777" w:rsidR="00EF1C19" w:rsidRDefault="00EF1C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F84161B8-D38B-4819-A9E1-F9ED5BA709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DF63624-3BE6-48AE-A701-7D729EAE4607}"/>
    <w:embedBold r:id="rId3" w:fontKey="{3EF57A56-8251-416B-9F57-7C8432D9C459}"/>
    <w:embedItalic r:id="rId4" w:fontKey="{4D27DC06-11BD-4FBB-8BE2-51291092692D}"/>
    <w:embedBoldItalic r:id="rId5" w:fontKey="{E31E0D46-2D8A-498E-A58D-4E5000CCF10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8379D36-376D-4F89-B48B-FD6B9898E03E}"/>
    <w:embedBold r:id="rId7" w:fontKey="{713B6FEC-A30F-467A-9C90-AC6C695E2FB0}"/>
    <w:embedItalic r:id="rId8" w:fontKey="{7CE72694-A4D4-4E70-B64B-E88912B198E3}"/>
  </w:font>
  <w:font w:name="Georgia">
    <w:panose1 w:val="02040502050405020303"/>
    <w:charset w:val="00"/>
    <w:family w:val="roman"/>
    <w:pitch w:val="variable"/>
    <w:sig w:usb0="00000287" w:usb1="00000000" w:usb2="00000000" w:usb3="00000000" w:csb0="0000009F" w:csb1="00000000"/>
    <w:embedItalic r:id="rId9" w:fontKey="{96E7A2AB-F4B0-4E24-8B25-71A19586B12C}"/>
  </w:font>
  <w:font w:name="Calibri Light">
    <w:panose1 w:val="020F0302020204030204"/>
    <w:charset w:val="00"/>
    <w:family w:val="swiss"/>
    <w:pitch w:val="variable"/>
    <w:sig w:usb0="E4002EFF" w:usb1="C200247B" w:usb2="00000009" w:usb3="00000000" w:csb0="000001FF" w:csb1="00000000"/>
    <w:embedRegular r:id="rId10" w:fontKey="{5F172A04-3F17-4E0C-A5C7-E281622CEA6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FDD67" w14:textId="66C41247" w:rsidR="00EE4241" w:rsidRDefault="00E8425A">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9E0A97">
      <w:rPr>
        <w:b/>
        <w:bCs/>
        <w:noProof/>
        <w:color w:val="000000"/>
      </w:rPr>
      <w:t>5</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9E0A97">
      <w:rPr>
        <w:b/>
        <w:bCs/>
        <w:noProof/>
        <w:color w:val="000000"/>
      </w:rPr>
      <w:t>30</w:t>
    </w:r>
    <w:r>
      <w:rPr>
        <w:b/>
        <w:bCs/>
        <w:color w:val="000000"/>
      </w:rPr>
      <w:fldChar w:fldCharType="end"/>
    </w:r>
  </w:p>
  <w:p w14:paraId="4F9D5FFB" w14:textId="77777777" w:rsidR="00EE4241" w:rsidRDefault="00EE424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E5315" w14:textId="65209D21" w:rsidR="00EE4241" w:rsidRDefault="00E8425A">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9E0A97">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9E0A97">
      <w:rPr>
        <w:b/>
        <w:bCs/>
        <w:noProof/>
        <w:color w:val="000000"/>
      </w:rPr>
      <w:t>30</w:t>
    </w:r>
    <w:r>
      <w:rPr>
        <w:b/>
        <w:bCs/>
        <w:color w:val="000000"/>
      </w:rPr>
      <w:fldChar w:fldCharType="end"/>
    </w:r>
  </w:p>
  <w:p w14:paraId="44E60C2B" w14:textId="77777777" w:rsidR="00EE4241" w:rsidRDefault="00EE424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459E3" w14:textId="77777777" w:rsidR="00EF1C19" w:rsidRDefault="00EF1C19">
      <w:r>
        <w:separator/>
      </w:r>
    </w:p>
  </w:footnote>
  <w:footnote w:type="continuationSeparator" w:id="0">
    <w:p w14:paraId="4F2141E9" w14:textId="77777777" w:rsidR="00EF1C19" w:rsidRDefault="00EF1C1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C68E1" w14:textId="77777777" w:rsidR="00EE4241" w:rsidRDefault="00E8425A">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4BFFC4C6" wp14:editId="2E2CB427">
          <wp:simplePos x="0" y="0"/>
          <wp:positionH relativeFrom="column">
            <wp:posOffset>0</wp:posOffset>
          </wp:positionH>
          <wp:positionV relativeFrom="paragraph">
            <wp:posOffset>-401952</wp:posOffset>
          </wp:positionV>
          <wp:extent cx="7809876" cy="10165823"/>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603" w:type="dxa"/>
      <w:tblInd w:w="3611" w:type="dxa"/>
      <w:tblLayout w:type="fixed"/>
      <w:tblLook w:val="0400" w:firstRow="0" w:lastRow="0" w:firstColumn="0" w:lastColumn="0" w:noHBand="0" w:noVBand="1"/>
    </w:tblPr>
    <w:tblGrid>
      <w:gridCol w:w="2551"/>
      <w:gridCol w:w="3052"/>
    </w:tblGrid>
    <w:tr w:rsidR="00EE4241" w14:paraId="02ED6600" w14:textId="77777777">
      <w:tc>
        <w:tcPr>
          <w:tcW w:w="2551" w:type="dxa"/>
          <w:vAlign w:val="center"/>
        </w:tcPr>
        <w:p w14:paraId="7FE051A2" w14:textId="77777777" w:rsidR="00EE4241" w:rsidRDefault="00E8425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Recurso de Revisión:</w:t>
          </w:r>
        </w:p>
        <w:p w14:paraId="5BA8A225" w14:textId="77777777" w:rsidR="00EE4241" w:rsidRDefault="00EE424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p>
      </w:tc>
      <w:tc>
        <w:tcPr>
          <w:tcW w:w="3052" w:type="dxa"/>
          <w:vAlign w:val="center"/>
        </w:tcPr>
        <w:p w14:paraId="6F614DAA" w14:textId="77777777" w:rsidR="00EE4241" w:rsidRDefault="00E8425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13844/INFOEM/IP/RR/2025</w:t>
          </w:r>
        </w:p>
      </w:tc>
    </w:tr>
    <w:tr w:rsidR="00EE4241" w14:paraId="515D621C" w14:textId="77777777">
      <w:trPr>
        <w:trHeight w:val="217"/>
      </w:trPr>
      <w:tc>
        <w:tcPr>
          <w:tcW w:w="2551" w:type="dxa"/>
          <w:vAlign w:val="center"/>
        </w:tcPr>
        <w:p w14:paraId="686ECF8F" w14:textId="77777777" w:rsidR="00EE4241" w:rsidRDefault="00E8425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Sujeto obligado:</w:t>
          </w:r>
        </w:p>
      </w:tc>
      <w:tc>
        <w:tcPr>
          <w:tcW w:w="3052" w:type="dxa"/>
          <w:vAlign w:val="center"/>
        </w:tcPr>
        <w:p w14:paraId="7E1D9EAE" w14:textId="77777777" w:rsidR="00EE4241" w:rsidRDefault="00E8425A">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Ayuntamiento de Toluca</w:t>
          </w:r>
        </w:p>
      </w:tc>
    </w:tr>
    <w:tr w:rsidR="00EE4241" w14:paraId="7C83FB9B" w14:textId="77777777">
      <w:tc>
        <w:tcPr>
          <w:tcW w:w="2551" w:type="dxa"/>
          <w:vAlign w:val="center"/>
        </w:tcPr>
        <w:p w14:paraId="0689B167" w14:textId="77777777" w:rsidR="00EE4241" w:rsidRDefault="00E8425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Comisionada ponente:</w:t>
          </w:r>
        </w:p>
      </w:tc>
      <w:tc>
        <w:tcPr>
          <w:tcW w:w="3052" w:type="dxa"/>
          <w:vAlign w:val="center"/>
        </w:tcPr>
        <w:p w14:paraId="6B677F1A" w14:textId="77777777" w:rsidR="00EE4241" w:rsidRDefault="00E8425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b/>
              <w:bCs/>
              <w:color w:val="000000"/>
              <w:sz w:val="22"/>
              <w:szCs w:val="22"/>
            </w:rPr>
            <w:t>Guadalupe Ramírez Peña</w:t>
          </w:r>
        </w:p>
      </w:tc>
    </w:tr>
  </w:tbl>
  <w:p w14:paraId="6E58708D" w14:textId="77777777" w:rsidR="00EE4241" w:rsidRDefault="00EE4241">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59010" w14:textId="77777777" w:rsidR="00EE4241" w:rsidRDefault="00E8425A">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407F5F1" wp14:editId="4072D3C0">
          <wp:simplePos x="0" y="0"/>
          <wp:positionH relativeFrom="column">
            <wp:posOffset>-929003</wp:posOffset>
          </wp:positionH>
          <wp:positionV relativeFrom="paragraph">
            <wp:posOffset>-644523</wp:posOffset>
          </wp:positionV>
          <wp:extent cx="7809865" cy="1016571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5461" w:type="dxa"/>
      <w:tblInd w:w="3611" w:type="dxa"/>
      <w:tblLayout w:type="fixed"/>
      <w:tblLook w:val="0400" w:firstRow="0" w:lastRow="0" w:firstColumn="0" w:lastColumn="0" w:noHBand="0" w:noVBand="1"/>
    </w:tblPr>
    <w:tblGrid>
      <w:gridCol w:w="2343"/>
      <w:gridCol w:w="3118"/>
    </w:tblGrid>
    <w:tr w:rsidR="00EE4241" w14:paraId="71F2490C" w14:textId="77777777">
      <w:tc>
        <w:tcPr>
          <w:tcW w:w="2343" w:type="dxa"/>
          <w:vAlign w:val="center"/>
        </w:tcPr>
        <w:p w14:paraId="7DE46ED4" w14:textId="77777777" w:rsidR="00EE4241" w:rsidRDefault="00E8425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Recurso de Revisión:</w:t>
          </w:r>
        </w:p>
        <w:p w14:paraId="3F7CC3FC" w14:textId="77777777" w:rsidR="00EE4241" w:rsidRDefault="00EE424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307775E3" w14:textId="77777777" w:rsidR="00EE4241" w:rsidRDefault="00E8425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13844/INFOEM/IP/RR/2025</w:t>
          </w:r>
        </w:p>
      </w:tc>
    </w:tr>
    <w:tr w:rsidR="00EE4241" w14:paraId="4C21DBD9" w14:textId="77777777">
      <w:tc>
        <w:tcPr>
          <w:tcW w:w="2343" w:type="dxa"/>
          <w:vAlign w:val="center"/>
        </w:tcPr>
        <w:p w14:paraId="76E94B6A" w14:textId="77777777" w:rsidR="00EE4241" w:rsidRDefault="00E8425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Recurrente:</w:t>
          </w:r>
        </w:p>
      </w:tc>
      <w:tc>
        <w:tcPr>
          <w:tcW w:w="3118" w:type="dxa"/>
          <w:vAlign w:val="center"/>
        </w:tcPr>
        <w:p w14:paraId="6EFF1DA9" w14:textId="77777777" w:rsidR="00EE4241" w:rsidRDefault="00EE4241">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p>
      </w:tc>
    </w:tr>
    <w:tr w:rsidR="00EE4241" w14:paraId="605EDD1E" w14:textId="77777777">
      <w:trPr>
        <w:trHeight w:val="152"/>
      </w:trPr>
      <w:tc>
        <w:tcPr>
          <w:tcW w:w="2343" w:type="dxa"/>
          <w:vAlign w:val="center"/>
        </w:tcPr>
        <w:p w14:paraId="49FBEC9F" w14:textId="77777777" w:rsidR="00EE4241" w:rsidRDefault="00E8425A">
          <w:pP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Sujeto obligado:</w:t>
          </w:r>
        </w:p>
        <w:p w14:paraId="60B172F7" w14:textId="77777777" w:rsidR="00EE4241" w:rsidRDefault="00EE4241">
          <w:pPr>
            <w:tabs>
              <w:tab w:val="center" w:pos="4419"/>
              <w:tab w:val="right" w:pos="8838"/>
            </w:tabs>
            <w:rPr>
              <w:rFonts w:ascii="Palatino Linotype" w:eastAsia="Palatino Linotype" w:hAnsi="Palatino Linotype" w:cs="Palatino Linotype"/>
              <w:b/>
              <w:bCs/>
              <w:color w:val="000000"/>
              <w:sz w:val="20"/>
              <w:szCs w:val="20"/>
            </w:rPr>
          </w:pPr>
        </w:p>
      </w:tc>
      <w:tc>
        <w:tcPr>
          <w:tcW w:w="3118" w:type="dxa"/>
          <w:vAlign w:val="center"/>
        </w:tcPr>
        <w:p w14:paraId="12945A74" w14:textId="77777777" w:rsidR="00EE4241" w:rsidRDefault="00E8425A">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2"/>
              <w:szCs w:val="22"/>
            </w:rPr>
            <w:t>Ayuntamiento de Toluca</w:t>
          </w:r>
        </w:p>
      </w:tc>
    </w:tr>
    <w:tr w:rsidR="00EE4241" w14:paraId="65C27BE1" w14:textId="77777777">
      <w:tc>
        <w:tcPr>
          <w:tcW w:w="2343" w:type="dxa"/>
          <w:vAlign w:val="center"/>
        </w:tcPr>
        <w:p w14:paraId="3255C4F4" w14:textId="77777777" w:rsidR="00EE4241" w:rsidRDefault="00E8425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Comisionada ponente:</w:t>
          </w:r>
        </w:p>
      </w:tc>
      <w:tc>
        <w:tcPr>
          <w:tcW w:w="3118" w:type="dxa"/>
          <w:vAlign w:val="center"/>
        </w:tcPr>
        <w:p w14:paraId="1F71A48D" w14:textId="77777777" w:rsidR="00EE4241" w:rsidRDefault="00E8425A">
          <w:pPr>
            <w:pBdr>
              <w:top w:val="nil"/>
              <w:left w:val="nil"/>
              <w:bottom w:val="nil"/>
              <w:right w:val="nil"/>
              <w:between w:val="nil"/>
            </w:pBdr>
            <w:tabs>
              <w:tab w:val="center" w:pos="4419"/>
              <w:tab w:val="right" w:pos="8838"/>
            </w:tabs>
            <w:rPr>
              <w:rFonts w:ascii="Palatino Linotype" w:eastAsia="Palatino Linotype" w:hAnsi="Palatino Linotype" w:cs="Palatino Linotype"/>
              <w:b/>
              <w:bCs/>
              <w:color w:val="000000"/>
              <w:sz w:val="20"/>
              <w:szCs w:val="20"/>
            </w:rPr>
          </w:pPr>
          <w:r>
            <w:rPr>
              <w:rFonts w:ascii="Palatino Linotype" w:eastAsia="Palatino Linotype" w:hAnsi="Palatino Linotype" w:cs="Palatino Linotype"/>
              <w:b/>
              <w:bCs/>
              <w:color w:val="000000"/>
              <w:sz w:val="20"/>
              <w:szCs w:val="20"/>
            </w:rPr>
            <w:t>Guadalupe Ramírez Peña</w:t>
          </w:r>
        </w:p>
      </w:tc>
    </w:tr>
  </w:tbl>
  <w:p w14:paraId="71174B97" w14:textId="77777777" w:rsidR="00EE4241" w:rsidRDefault="00E8425A">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71D2C"/>
    <w:multiLevelType w:val="multilevel"/>
    <w:tmpl w:val="981E2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73BA7"/>
    <w:multiLevelType w:val="multilevel"/>
    <w:tmpl w:val="5B86BB8E"/>
    <w:lvl w:ilvl="0">
      <w:start w:val="10"/>
      <w:numFmt w:val="bullet"/>
      <w:pStyle w:val="Listaconvietas"/>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4C5127"/>
    <w:multiLevelType w:val="multilevel"/>
    <w:tmpl w:val="39B66D2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2005EC"/>
    <w:multiLevelType w:val="multilevel"/>
    <w:tmpl w:val="9F482410"/>
    <w:lvl w:ilvl="0">
      <w:start w:val="5"/>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5C84099C"/>
    <w:multiLevelType w:val="multilevel"/>
    <w:tmpl w:val="C3F2B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BE54A9"/>
    <w:multiLevelType w:val="multilevel"/>
    <w:tmpl w:val="2A5C9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1"/>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241"/>
    <w:rsid w:val="001B2F7C"/>
    <w:rsid w:val="009E0A97"/>
    <w:rsid w:val="00DF0DBC"/>
    <w:rsid w:val="00E8425A"/>
    <w:rsid w:val="00EE4241"/>
    <w:rsid w:val="00EF1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722DA"/>
  <w15:docId w15:val="{3B89BECE-85B5-45FF-BB56-99F6E10AE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5"/>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15" w:type="dxa"/>
        <w:right w:w="115" w:type="dxa"/>
      </w:tblCellMar>
    </w:tblPr>
  </w:style>
  <w:style w:type="table" w:customStyle="1" w:styleId="a7">
    <w:basedOn w:val="TableNormal4"/>
    <w:tblPr>
      <w:tblStyleRowBandSize w:val="1"/>
      <w:tblStyleColBandSize w:val="1"/>
      <w:tblCellMar>
        <w:left w:w="115" w:type="dxa"/>
        <w:right w:w="115" w:type="dxa"/>
      </w:tblCellMar>
    </w:tblPr>
  </w:style>
  <w:style w:type="table" w:customStyle="1" w:styleId="a8">
    <w:basedOn w:val="TableNormal4"/>
    <w:tblPr>
      <w:tblStyleRowBandSize w:val="1"/>
      <w:tblStyleColBandSize w:val="1"/>
      <w:tblCellMar>
        <w:left w:w="115" w:type="dxa"/>
        <w:right w:w="115" w:type="dxa"/>
      </w:tblCellMar>
    </w:tblPr>
  </w:style>
  <w:style w:type="table" w:customStyle="1" w:styleId="a9">
    <w:basedOn w:val="TableNormal4"/>
    <w:tblPr>
      <w:tblStyleRowBandSize w:val="1"/>
      <w:tblStyleColBandSize w:val="1"/>
      <w:tblCellMar>
        <w:top w:w="15" w:type="dxa"/>
        <w:left w:w="115" w:type="dxa"/>
        <w:bottom w:w="15" w:type="dxa"/>
        <w:right w:w="115" w:type="dxa"/>
      </w:tblCellMar>
    </w:tblPr>
  </w:style>
  <w:style w:type="table" w:customStyle="1" w:styleId="aa">
    <w:basedOn w:val="TableNormal4"/>
    <w:tblPr>
      <w:tblStyleRowBandSize w:val="1"/>
      <w:tblStyleColBandSize w:val="1"/>
      <w:tblCellMar>
        <w:top w:w="15" w:type="dxa"/>
        <w:left w:w="115" w:type="dxa"/>
        <w:bottom w:w="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08" w:type="dxa"/>
        <w:right w:w="108" w:type="dxa"/>
      </w:tblCellMar>
    </w:tblPr>
  </w:style>
  <w:style w:type="table" w:customStyle="1" w:styleId="af0">
    <w:basedOn w:val="TableNormal3"/>
    <w:tblPr>
      <w:tblStyleRowBandSize w:val="1"/>
      <w:tblStyleColBandSize w:val="1"/>
      <w:tblCellMar>
        <w:left w:w="108" w:type="dxa"/>
        <w:right w:w="108" w:type="dxa"/>
      </w:tblCellMar>
    </w:tblPr>
  </w:style>
  <w:style w:type="table" w:customStyle="1" w:styleId="af1">
    <w:basedOn w:val="TableNormal3"/>
    <w:tblPr>
      <w:tblStyleRowBandSize w:val="1"/>
      <w:tblStyleColBandSize w:val="1"/>
      <w:tblCellMar>
        <w:top w:w="15" w:type="dxa"/>
        <w:left w:w="115" w:type="dxa"/>
        <w:bottom w:w="15" w:type="dxa"/>
        <w:right w:w="115" w:type="dxa"/>
      </w:tblCellMar>
    </w:tblPr>
  </w:style>
  <w:style w:type="table" w:customStyle="1" w:styleId="af2">
    <w:basedOn w:val="TableNormal3"/>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top w:w="15" w:type="dxa"/>
        <w:left w:w="115" w:type="dxa"/>
        <w:bottom w:w="15" w:type="dxa"/>
        <w:right w:w="115" w:type="dxa"/>
      </w:tblCellMar>
    </w:tblPr>
  </w:style>
  <w:style w:type="table" w:customStyle="1" w:styleId="af5">
    <w:basedOn w:val="TableNormal2"/>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3"/>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table" w:customStyle="1" w:styleId="af6">
    <w:basedOn w:val="TableNormal1"/>
    <w:tblPr>
      <w:tblStyleRowBandSize w:val="1"/>
      <w:tblStyleColBandSize w:val="1"/>
      <w:tblCellMar>
        <w:top w:w="15" w:type="dxa"/>
        <w:left w:w="115" w:type="dxa"/>
        <w:bottom w:w="15" w:type="dxa"/>
        <w:right w:w="115" w:type="dxa"/>
      </w:tblCellMar>
    </w:tblPr>
  </w:style>
  <w:style w:type="table" w:customStyle="1" w:styleId="af7">
    <w:basedOn w:val="TableNormal1"/>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 w:type="paragraph" w:customStyle="1" w:styleId="Citas">
    <w:name w:val="Citas"/>
    <w:basedOn w:val="Normal"/>
    <w:qFormat/>
    <w:rsid w:val="00F607D4"/>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8">
    <w:basedOn w:val="TableNormal0"/>
    <w:tblPr>
      <w:tblStyleRowBandSize w:val="1"/>
      <w:tblStyleColBandSize w:val="1"/>
      <w:tblCellMar>
        <w:top w:w="15" w:type="dxa"/>
        <w:left w:w="115" w:type="dxa"/>
        <w:bottom w:w="15" w:type="dxa"/>
        <w:right w:w="115" w:type="dxa"/>
      </w:tblCellMar>
    </w:tblPr>
  </w:style>
  <w:style w:type="table" w:customStyle="1" w:styleId="af9">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JqmYtSeZRrklIzBO6uAg+VAL7A==">CgMxLjAyCWguM3pueXNoNzIOaC53azJhNmszdGVmd2gyDmguajNwcHl4d2xiMXMyMghoLnR5amN3dDINaC5qbDBkbGFzb3Q0ZjgAciExY3A1VzdCSW5Zck96YzNzdmpXejl5c3BzTExuWWlYR20=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7847</Words>
  <Characters>43160</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2026-02-09T16:42:00Z</cp:lastPrinted>
  <dcterms:created xsi:type="dcterms:W3CDTF">2026-03-24T18:08:00Z</dcterms:created>
  <dcterms:modified xsi:type="dcterms:W3CDTF">2026-03-24T18:08:00Z</dcterms:modified>
</cp:coreProperties>
</file>