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727" w:rsidRPr="0071055D" w:rsidRDefault="0093402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w:t>
      </w:r>
      <w:r w:rsidR="0071055D" w:rsidRPr="0071055D">
        <w:rPr>
          <w:rFonts w:ascii="Palatino Linotype" w:eastAsia="Palatino Linotype" w:hAnsi="Palatino Linotype" w:cs="Palatino Linotype"/>
          <w:color w:val="000000"/>
        </w:rPr>
        <w:t xml:space="preserve">n Metepec, Estado de México; </w:t>
      </w:r>
      <w:r w:rsidR="0071055D" w:rsidRPr="0071055D">
        <w:rPr>
          <w:rFonts w:ascii="Palatino Linotype" w:eastAsia="Palatino Linotype" w:hAnsi="Palatino Linotype" w:cs="Palatino Linotype"/>
          <w:b/>
          <w:color w:val="000000"/>
        </w:rPr>
        <w:t>de fecha</w:t>
      </w:r>
      <w:r w:rsidRPr="0071055D">
        <w:rPr>
          <w:rFonts w:ascii="Palatino Linotype" w:eastAsia="Palatino Linotype" w:hAnsi="Palatino Linotype" w:cs="Palatino Linotype"/>
          <w:b/>
          <w:color w:val="000000"/>
        </w:rPr>
        <w:t xml:space="preserve"> catorce</w:t>
      </w:r>
      <w:r w:rsidR="00B94328" w:rsidRPr="0071055D">
        <w:rPr>
          <w:rFonts w:ascii="Palatino Linotype" w:eastAsia="Palatino Linotype" w:hAnsi="Palatino Linotype" w:cs="Palatino Linotype"/>
          <w:b/>
          <w:color w:val="000000"/>
        </w:rPr>
        <w:t xml:space="preserve"> </w:t>
      </w:r>
      <w:r w:rsidR="0071055D" w:rsidRPr="0071055D">
        <w:rPr>
          <w:rFonts w:ascii="Palatino Linotype" w:eastAsia="Palatino Linotype" w:hAnsi="Palatino Linotype" w:cs="Palatino Linotype"/>
          <w:b/>
          <w:color w:val="000000"/>
        </w:rPr>
        <w:t xml:space="preserve">(14) </w:t>
      </w:r>
      <w:r w:rsidR="00B94328" w:rsidRPr="0071055D">
        <w:rPr>
          <w:rFonts w:ascii="Palatino Linotype" w:eastAsia="Palatino Linotype" w:hAnsi="Palatino Linotype" w:cs="Palatino Linotype"/>
          <w:b/>
          <w:color w:val="000000"/>
        </w:rPr>
        <w:t>de enero de dos mil veintiséis</w:t>
      </w:r>
      <w:r w:rsidRPr="0071055D">
        <w:rPr>
          <w:rFonts w:ascii="Palatino Linotype" w:eastAsia="Palatino Linotype" w:hAnsi="Palatino Linotype" w:cs="Palatino Linotype"/>
          <w:color w:val="000000"/>
        </w:rPr>
        <w:t xml:space="preserve">. </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6wn8qh3qjxhg" w:colFirst="0" w:colLast="0"/>
      <w:bookmarkEnd w:id="0"/>
      <w:r w:rsidRPr="0071055D">
        <w:rPr>
          <w:rFonts w:ascii="Palatino Linotype" w:eastAsia="Palatino Linotype" w:hAnsi="Palatino Linotype" w:cs="Palatino Linotype"/>
          <w:b/>
          <w:color w:val="000000"/>
        </w:rPr>
        <w:t>VISTO</w:t>
      </w:r>
      <w:r w:rsidRPr="0071055D">
        <w:rPr>
          <w:rFonts w:ascii="Palatino Linotype" w:eastAsia="Palatino Linotype" w:hAnsi="Palatino Linotype" w:cs="Palatino Linotype"/>
          <w:color w:val="000000"/>
        </w:rPr>
        <w:t xml:space="preserve"> el expediente electrónico formado con motivo del Recurso de Revisión </w:t>
      </w:r>
      <w:r w:rsidR="00B94328" w:rsidRPr="0071055D">
        <w:rPr>
          <w:rFonts w:ascii="Palatino Linotype" w:eastAsia="Palatino Linotype" w:hAnsi="Palatino Linotype" w:cs="Palatino Linotype"/>
          <w:b/>
          <w:bCs/>
          <w:color w:val="000000"/>
        </w:rPr>
        <w:t>1</w:t>
      </w:r>
      <w:r w:rsidRPr="0071055D">
        <w:rPr>
          <w:rFonts w:ascii="Palatino Linotype" w:eastAsia="Palatino Linotype" w:hAnsi="Palatino Linotype" w:cs="Palatino Linotype"/>
          <w:b/>
          <w:bCs/>
          <w:color w:val="000000"/>
        </w:rPr>
        <w:t>2383/INFOEM/IP/RR/2025</w:t>
      </w:r>
      <w:r w:rsidRPr="0071055D">
        <w:rPr>
          <w:rFonts w:ascii="Palatino Linotype" w:eastAsia="Palatino Linotype" w:hAnsi="Palatino Linotype" w:cs="Palatino Linotype"/>
          <w:color w:val="000000"/>
        </w:rPr>
        <w:t xml:space="preserve">, promovido por </w:t>
      </w:r>
      <w:r w:rsidRPr="0071055D">
        <w:rPr>
          <w:rFonts w:ascii="Palatino Linotype" w:eastAsia="Palatino Linotype" w:hAnsi="Palatino Linotype" w:cs="Palatino Linotype"/>
          <w:b/>
          <w:bCs/>
          <w:color w:val="000000"/>
        </w:rPr>
        <w:t>una persona que no proporciona datos de identificación</w:t>
      </w:r>
      <w:r w:rsidRPr="0071055D">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71055D">
        <w:rPr>
          <w:rFonts w:ascii="Palatino Linotype" w:eastAsia="Palatino Linotype" w:hAnsi="Palatino Linotype" w:cs="Palatino Linotype"/>
          <w:b/>
          <w:bCs/>
          <w:color w:val="000000"/>
        </w:rPr>
        <w:t>EL RECURRENTE</w:t>
      </w:r>
      <w:r w:rsidRPr="0071055D">
        <w:rPr>
          <w:rFonts w:ascii="Palatino Linotype" w:eastAsia="Palatino Linotype" w:hAnsi="Palatino Linotype" w:cs="Palatino Linotype"/>
          <w:color w:val="000000"/>
        </w:rPr>
        <w:t xml:space="preserve">, en contra de la respuesta del </w:t>
      </w:r>
      <w:r w:rsidRPr="0071055D">
        <w:rPr>
          <w:rFonts w:ascii="Palatino Linotype" w:eastAsia="Palatino Linotype" w:hAnsi="Palatino Linotype" w:cs="Palatino Linotype"/>
          <w:b/>
          <w:bCs/>
          <w:color w:val="000000"/>
        </w:rPr>
        <w:t>Consejo Estatal para el Desarrollo Integral de los Pueblos Indígenas del Estado de México</w:t>
      </w:r>
      <w:r w:rsidRPr="0071055D">
        <w:rPr>
          <w:rFonts w:ascii="Palatino Linotype" w:eastAsia="Palatino Linotype" w:hAnsi="Palatino Linotype" w:cs="Palatino Linotype"/>
          <w:color w:val="000000"/>
        </w:rPr>
        <w:t xml:space="preserve">, en </w:t>
      </w:r>
      <w:r w:rsidR="0071055D" w:rsidRPr="0071055D">
        <w:rPr>
          <w:rFonts w:ascii="Palatino Linotype" w:eastAsia="Palatino Linotype" w:hAnsi="Palatino Linotype" w:cs="Palatino Linotype"/>
          <w:color w:val="000000"/>
        </w:rPr>
        <w:t>adelante</w:t>
      </w:r>
      <w:r w:rsidRPr="0071055D">
        <w:rPr>
          <w:rFonts w:ascii="Palatino Linotype" w:eastAsia="Palatino Linotype" w:hAnsi="Palatino Linotype" w:cs="Palatino Linotype"/>
          <w:color w:val="000000"/>
        </w:rPr>
        <w:t xml:space="preserve"> </w:t>
      </w:r>
      <w:r w:rsidRPr="0071055D">
        <w:rPr>
          <w:rFonts w:ascii="Palatino Linotype" w:eastAsia="Palatino Linotype" w:hAnsi="Palatino Linotype" w:cs="Palatino Linotype"/>
          <w:b/>
          <w:bCs/>
          <w:color w:val="000000"/>
        </w:rPr>
        <w:t>EL SUJETO OBLIGADO</w:t>
      </w:r>
      <w:r w:rsidRPr="0071055D">
        <w:rPr>
          <w:rFonts w:ascii="Palatino Linotype" w:eastAsia="Palatino Linotype" w:hAnsi="Palatino Linotype" w:cs="Palatino Linotype"/>
          <w:color w:val="000000"/>
        </w:rPr>
        <w:t>, se procede a dictar la presente resolución, con base en los siguientes:</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t>A N T E C E D E N T E S</w:t>
      </w:r>
    </w:p>
    <w:p w:rsidR="00A66727" w:rsidRPr="0071055D" w:rsidRDefault="00A66727">
      <w:pPr>
        <w:spacing w:line="360" w:lineRule="auto"/>
        <w:rPr>
          <w:rFonts w:ascii="Palatino Linotype" w:eastAsia="Palatino Linotype" w:hAnsi="Palatino Linotype" w:cs="Palatino Linotype"/>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 xml:space="preserve">veintidós de septiembre de dos mil veinticinco, </w:t>
      </w:r>
      <w:r w:rsidRPr="0071055D">
        <w:rPr>
          <w:rFonts w:ascii="Palatino Linotype" w:eastAsia="Palatino Linotype" w:hAnsi="Palatino Linotype" w:cs="Palatino Linotype"/>
          <w:color w:val="000000"/>
        </w:rPr>
        <w:t xml:space="preserve">se presentó ante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vía </w:t>
      </w:r>
      <w:r w:rsidRPr="0071055D">
        <w:rPr>
          <w:rFonts w:ascii="Palatino Linotype" w:eastAsia="Palatino Linotype" w:hAnsi="Palatino Linotype" w:cs="Palatino Linotype"/>
          <w:b/>
          <w:bCs/>
          <w:color w:val="000000"/>
        </w:rPr>
        <w:t>SAIMEX</w:t>
      </w:r>
      <w:r w:rsidRPr="0071055D">
        <w:rPr>
          <w:rFonts w:ascii="Palatino Linotype" w:eastAsia="Palatino Linotype" w:hAnsi="Palatino Linotype" w:cs="Palatino Linotype"/>
          <w:color w:val="000000"/>
        </w:rPr>
        <w:t>, la solicitud de información pública registrada con el número</w:t>
      </w:r>
      <w:r w:rsidRPr="0071055D">
        <w:rPr>
          <w:rFonts w:ascii="Palatino Linotype" w:eastAsia="Palatino Linotype" w:hAnsi="Palatino Linotype" w:cs="Palatino Linotype"/>
          <w:b/>
          <w:bCs/>
          <w:color w:val="000000"/>
        </w:rPr>
        <w:t xml:space="preserve"> 00097/CEDIPIEM/IP/2025, </w:t>
      </w:r>
      <w:r w:rsidR="0071055D" w:rsidRPr="0071055D">
        <w:rPr>
          <w:rFonts w:ascii="Palatino Linotype" w:eastAsia="Palatino Linotype" w:hAnsi="Palatino Linotype" w:cs="Palatino Linotype"/>
          <w:color w:val="000000"/>
        </w:rPr>
        <w:t xml:space="preserve">en la que </w:t>
      </w:r>
      <w:r w:rsidRPr="0071055D">
        <w:rPr>
          <w:rFonts w:ascii="Palatino Linotype" w:eastAsia="Palatino Linotype" w:hAnsi="Palatino Linotype" w:cs="Palatino Linotype"/>
          <w:color w:val="000000"/>
        </w:rPr>
        <w:t>se solicitó la siguiente información:</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strike/>
          <w:color w:val="000000"/>
        </w:rPr>
      </w:pPr>
    </w:p>
    <w:p w:rsidR="00A66727" w:rsidRPr="0071055D" w:rsidRDefault="00934026">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“solicito la copia de la contratación formal de Melquiades Escobedo.”. (Sic.)</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71055D" w:rsidRPr="0071055D" w:rsidRDefault="0071055D">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A66727" w:rsidRPr="0071055D" w:rsidRDefault="00934026">
      <w:pPr>
        <w:numPr>
          <w:ilvl w:val="0"/>
          <w:numId w:val="1"/>
        </w:num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rPr>
      </w:pPr>
      <w:bookmarkStart w:id="1" w:name="_GoBack"/>
      <w:bookmarkEnd w:id="1"/>
      <w:r w:rsidRPr="0071055D">
        <w:rPr>
          <w:rFonts w:ascii="Palatino Linotype" w:eastAsia="Palatino Linotype" w:hAnsi="Palatino Linotype" w:cs="Palatino Linotype"/>
          <w:b/>
          <w:bCs/>
          <w:color w:val="000000"/>
        </w:rPr>
        <w:t>Modalidad de entrega</w:t>
      </w:r>
      <w:r w:rsidRPr="0071055D">
        <w:rPr>
          <w:rFonts w:ascii="Palatino Linotype" w:eastAsia="Palatino Linotype" w:hAnsi="Palatino Linotype" w:cs="Palatino Linotype"/>
          <w:color w:val="000000"/>
        </w:rPr>
        <w:t>: Vía SAIMEX.</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lastRenderedPageBreak/>
        <w:t>El</w:t>
      </w:r>
      <w:r w:rsidRPr="0071055D">
        <w:rPr>
          <w:rFonts w:ascii="Palatino Linotype" w:eastAsia="Palatino Linotype" w:hAnsi="Palatino Linotype" w:cs="Palatino Linotype"/>
          <w:b/>
          <w:bCs/>
          <w:color w:val="000000"/>
        </w:rPr>
        <w:t xml:space="preserve"> veintinueve de septiembre de dos mil veinticinco, </w:t>
      </w: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realizó el requerimiento correspondiente al Jefe del Departamento de Recursos Humanos y Materiales.</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 xml:space="preserve">trece de octubre de dos mil veinticinco, </w:t>
      </w: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dio respuesta, en los siguientes términos:</w:t>
      </w:r>
    </w:p>
    <w:p w:rsidR="00A66727" w:rsidRPr="0071055D" w:rsidRDefault="00934026">
      <w:pPr>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6727" w:rsidRPr="0071055D" w:rsidRDefault="00A66727">
      <w:pPr>
        <w:ind w:left="567" w:right="567"/>
        <w:jc w:val="both"/>
        <w:rPr>
          <w:rFonts w:ascii="Palatino Linotype" w:eastAsia="Palatino Linotype" w:hAnsi="Palatino Linotype" w:cs="Palatino Linotype"/>
          <w:i/>
          <w:iCs/>
        </w:rPr>
      </w:pPr>
    </w:p>
    <w:p w:rsidR="00A66727" w:rsidRPr="0071055D" w:rsidRDefault="00934026">
      <w:pPr>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Se anexa oficio número 229C0101000300S/704/2025” (Sic)</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Se adjuntó el siguiente archivo electrónico:</w:t>
      </w:r>
    </w:p>
    <w:p w:rsidR="00A66727" w:rsidRPr="0071055D" w:rsidRDefault="00934026">
      <w:pPr>
        <w:numPr>
          <w:ilvl w:val="0"/>
          <w:numId w:val="1"/>
        </w:numPr>
        <w:pBdr>
          <w:top w:val="nil"/>
          <w:left w:val="nil"/>
          <w:bottom w:val="nil"/>
          <w:right w:val="nil"/>
          <w:between w:val="nil"/>
        </w:pBdr>
        <w:spacing w:line="360" w:lineRule="auto"/>
        <w:ind w:left="567" w:right="567" w:firstLine="0"/>
        <w:jc w:val="both"/>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t>OTUT 97.pdf</w:t>
      </w:r>
      <w:r w:rsidRPr="0071055D">
        <w:rPr>
          <w:rFonts w:ascii="Palatino Linotype" w:eastAsia="Palatino Linotype" w:hAnsi="Palatino Linotype" w:cs="Palatino Linotype"/>
          <w:color w:val="000000"/>
        </w:rPr>
        <w:t>: Oficio 229C0101000300S/704/2025 de fecha trece de octubre de dos mil veinticinco, suscrito por el Jefe de la Unidad de Información, Planeación, Programación y Evaluación y Titular de la Unidad de Transparencia del CEDIPIEM, mediante el cual informa que se realizó una búsqu</w:t>
      </w:r>
      <w:r w:rsidR="0071055D">
        <w:rPr>
          <w:rFonts w:ascii="Palatino Linotype" w:eastAsia="Palatino Linotype" w:hAnsi="Palatino Linotype" w:cs="Palatino Linotype"/>
          <w:color w:val="000000"/>
        </w:rPr>
        <w:t xml:space="preserve">eda exhaustiva y razonable de la </w:t>
      </w:r>
      <w:r w:rsidRPr="0071055D">
        <w:rPr>
          <w:rFonts w:ascii="Palatino Linotype" w:eastAsia="Palatino Linotype" w:hAnsi="Palatino Linotype" w:cs="Palatino Linotype"/>
          <w:color w:val="000000"/>
        </w:rPr>
        <w:t xml:space="preserve">plantilla de personal que obra en los archivos del Departamento de Recursos Humanos y Materiales adscrito a la Unidad de Apoyo Administrativo del Consejo Estatal para Desarrollo Integral de los Pueblos Indígenas del Estado de México, con corte a la segunda quincena del mes de septiembre de dos mil veinticinco, en el cual no se identificó que el servidor público referido en la solitud de información tenga o haya tenido alguna relación laboral con ese Organismo Descentralizado como servidor público general, de </w:t>
      </w:r>
      <w:r w:rsidRPr="0071055D">
        <w:rPr>
          <w:rFonts w:ascii="Palatino Linotype" w:eastAsia="Palatino Linotype" w:hAnsi="Palatino Linotype" w:cs="Palatino Linotype"/>
          <w:color w:val="000000"/>
        </w:rPr>
        <w:lastRenderedPageBreak/>
        <w:t xml:space="preserve">confianza y/o honorarios, por lo que no le es posible proporcionar información al respecto. </w:t>
      </w:r>
    </w:p>
    <w:p w:rsidR="00A66727" w:rsidRPr="0071055D" w:rsidRDefault="00A66727">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veintinueve de octubre de dos mil veinticinco</w:t>
      </w:r>
      <w:r w:rsidRPr="0071055D">
        <w:rPr>
          <w:rFonts w:ascii="Palatino Linotype" w:eastAsia="Palatino Linotype" w:hAnsi="Palatino Linotype" w:cs="Palatino Linotype"/>
          <w:color w:val="000000"/>
        </w:rPr>
        <w:t xml:space="preserve">, el Solicitante interpuso </w:t>
      </w:r>
      <w:r w:rsidRPr="0071055D">
        <w:rPr>
          <w:rFonts w:ascii="Palatino Linotype" w:eastAsia="Palatino Linotype" w:hAnsi="Palatino Linotype" w:cs="Palatino Linotype"/>
          <w:b/>
          <w:bCs/>
          <w:color w:val="000000"/>
        </w:rPr>
        <w:t xml:space="preserve">RECURSO DE REVISIÓN 12383/INFOEM/IP/RR/2025, </w:t>
      </w:r>
      <w:r w:rsidRPr="0071055D">
        <w:rPr>
          <w:rFonts w:ascii="Palatino Linotype" w:eastAsia="Palatino Linotype" w:hAnsi="Palatino Linotype" w:cs="Palatino Linotype"/>
          <w:color w:val="000000"/>
        </w:rPr>
        <w:t xml:space="preserve">en contra de la respuesta emitida por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señalando las siguientes razones o motivos de inconformidad:</w:t>
      </w:r>
    </w:p>
    <w:p w:rsidR="0071055D" w:rsidRPr="0071055D" w:rsidRDefault="0071055D">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color w:val="000000"/>
        </w:rPr>
      </w:pPr>
    </w:p>
    <w:p w:rsidR="00A66727" w:rsidRPr="0071055D" w:rsidRDefault="0071055D" w:rsidP="0071055D">
      <w:pPr>
        <w:pStyle w:val="Prrafodelista"/>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sz w:val="24"/>
          <w:szCs w:val="24"/>
        </w:rPr>
      </w:pPr>
      <w:r w:rsidRPr="0071055D">
        <w:rPr>
          <w:rFonts w:ascii="Palatino Linotype" w:eastAsia="Palatino Linotype" w:hAnsi="Palatino Linotype" w:cs="Palatino Linotype"/>
          <w:b/>
          <w:bCs/>
          <w:color w:val="000000"/>
          <w:sz w:val="24"/>
          <w:szCs w:val="24"/>
        </w:rPr>
        <w:t>ACTO IMPUGNADO</w:t>
      </w:r>
    </w:p>
    <w:p w:rsidR="00A66727" w:rsidRPr="0071055D" w:rsidRDefault="00934026" w:rsidP="0071055D">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“l sujeto obligado, realizó una búsqueda exhaustiva y razonable en los archivos del Departamento de Recursos Humanos y Materiales, sin identificar registro alguno de relación laboral con el C. Melquiades Escobedo, por lo que manifestó estar imposibilitado para proporcionar la información solicitada. pero existe evidencia pública y administrativa que demuestra que una persona con ese nombre sí ha desempeñado funciones institucionales dentro del CEDIPIEM, por lo que la respuesta resulta contradictoria, insuficiente y posiblemente encubridora de información pública.” (Sic.)</w:t>
      </w:r>
    </w:p>
    <w:p w:rsidR="00A66727" w:rsidRPr="0071055D" w:rsidRDefault="00A66727" w:rsidP="0071055D">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p>
    <w:p w:rsidR="00A66727" w:rsidRPr="0071055D" w:rsidRDefault="0071055D" w:rsidP="0071055D">
      <w:pPr>
        <w:pStyle w:val="Prrafodelista"/>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sz w:val="24"/>
          <w:szCs w:val="24"/>
        </w:rPr>
      </w:pPr>
      <w:r w:rsidRPr="0071055D">
        <w:rPr>
          <w:rFonts w:ascii="Palatino Linotype" w:eastAsia="Palatino Linotype" w:hAnsi="Palatino Linotype" w:cs="Palatino Linotype"/>
          <w:b/>
          <w:bCs/>
          <w:color w:val="000000"/>
          <w:sz w:val="24"/>
          <w:szCs w:val="24"/>
        </w:rPr>
        <w:t>RAZONES O MOTIVOS DE LA INCONFORMIDAD</w:t>
      </w:r>
    </w:p>
    <w:p w:rsidR="00A66727" w:rsidRPr="0071055D" w:rsidRDefault="00934026" w:rsidP="0071055D">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“La respuesta del CEDIPIEM contradice información pública y verificable que acredita la participación del C. Melquiades Escobedo en actividades institucionales del propio Consejo. Al afirmar que no existe registro alguno de relación o actividad, el sujeto obligado incurre en una posible omisión deliberada o negligente, El CEDIPIEM limitó la búsqueda únicamente al Departamento de Recursos Humanos y Materiales, omitiendo consultar otras áreas que podrían contar con información, como la Subdirección Operativa, la Unidad de Apoyo Administrativo, </w:t>
      </w:r>
      <w:r w:rsidRPr="0071055D">
        <w:rPr>
          <w:rFonts w:ascii="Palatino Linotype" w:eastAsia="Palatino Linotype" w:hAnsi="Palatino Linotype" w:cs="Palatino Linotype"/>
          <w:i/>
          <w:iCs/>
          <w:color w:val="000000"/>
        </w:rPr>
        <w:lastRenderedPageBreak/>
        <w:t>finanzas o el oRGANO INTERNO DE CONTROL. En caso de no contar con la información, el sujeto obligado debió emitir un acta de inexistencia validada por el Comité de Transparencia, conforme al La afirmación categórica de inexistencia, pese a la evidencia pública del desempeño institucional del C. Melquiades Escobedo, puede constituir una negativa dolosa o negligente de acceso a la información pública. Esta conducta representar una posible falta administrativa grave, por lo que debe darse vista al Órgano Interno de Control (OIC) del CEDIPIEM para la investigación correspondiente.” (Sic.)</w:t>
      </w:r>
    </w:p>
    <w:p w:rsidR="00A66727" w:rsidRPr="0071055D" w:rsidRDefault="00A6672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Consecutivamente</w:t>
      </w:r>
      <w:r w:rsidRPr="0071055D">
        <w:rPr>
          <w:rFonts w:ascii="Palatino Linotype" w:eastAsia="Palatino Linotype" w:hAnsi="Palatino Linotype" w:cs="Palatino Linotype"/>
          <w:i/>
          <w:iCs/>
          <w:color w:val="000000"/>
        </w:rPr>
        <w:t xml:space="preserve">, </w:t>
      </w:r>
      <w:r w:rsidRPr="0071055D">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el recurso de referencia, fue turnado</w:t>
      </w:r>
      <w:r w:rsidRP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color w:val="000000"/>
        </w:rPr>
        <w:t xml:space="preserve">a la Comisionada </w:t>
      </w:r>
      <w:r w:rsidRPr="0071055D">
        <w:rPr>
          <w:rFonts w:ascii="Palatino Linotype" w:eastAsia="Palatino Linotype" w:hAnsi="Palatino Linotype" w:cs="Palatino Linotype"/>
          <w:b/>
          <w:bCs/>
          <w:color w:val="000000"/>
        </w:rPr>
        <w:t>María del Rosario Mejía Ayala,</w:t>
      </w:r>
      <w:r w:rsidRPr="0071055D">
        <w:rPr>
          <w:rFonts w:ascii="Palatino Linotype" w:eastAsia="Palatino Linotype" w:hAnsi="Palatino Linotype" w:cs="Palatino Linotype"/>
          <w:color w:val="000000"/>
        </w:rPr>
        <w:t xml:space="preserve"> respectivamente,</w:t>
      </w:r>
      <w:r w:rsidRP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color w:val="000000"/>
        </w:rPr>
        <w:t>con el objeto de su análisis.</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71055D">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2" w:name="_heading=h.3znysh7" w:colFirst="0" w:colLast="0"/>
      <w:bookmarkEnd w:id="2"/>
      <w:r w:rsidRPr="0071055D">
        <w:rPr>
          <w:rFonts w:ascii="Palatino Linotype" w:eastAsia="Palatino Linotype" w:hAnsi="Palatino Linotype" w:cs="Palatino Linotype"/>
          <w:color w:val="000000"/>
        </w:rPr>
        <w:t>La Comisionada p</w:t>
      </w:r>
      <w:r w:rsidR="00934026" w:rsidRPr="0071055D">
        <w:rPr>
          <w:rFonts w:ascii="Palatino Linotype" w:eastAsia="Palatino Linotype" w:hAnsi="Palatino Linotype" w:cs="Palatino Linotype"/>
          <w:color w:val="000000"/>
        </w:rPr>
        <w:t xml:space="preserve">onente con fundamento en lo dispuesto por el artículo 185 fracción II de la ley de la materia, a través del </w:t>
      </w:r>
      <w:r w:rsidR="00934026" w:rsidRPr="0071055D">
        <w:rPr>
          <w:rFonts w:ascii="Palatino Linotype" w:eastAsia="Palatino Linotype" w:hAnsi="Palatino Linotype" w:cs="Palatino Linotype"/>
          <w:b/>
          <w:bCs/>
          <w:color w:val="000000"/>
        </w:rPr>
        <w:t xml:space="preserve">acuerdo de admisión </w:t>
      </w:r>
      <w:r w:rsidR="00934026" w:rsidRPr="0071055D">
        <w:rPr>
          <w:rFonts w:ascii="Palatino Linotype" w:eastAsia="Palatino Linotype" w:hAnsi="Palatino Linotype" w:cs="Palatino Linotype"/>
          <w:color w:val="000000"/>
        </w:rPr>
        <w:t xml:space="preserve">de fecha </w:t>
      </w:r>
      <w:r w:rsidR="00934026" w:rsidRPr="0071055D">
        <w:rPr>
          <w:rFonts w:ascii="Palatino Linotype" w:eastAsia="Palatino Linotype" w:hAnsi="Palatino Linotype" w:cs="Palatino Linotype"/>
          <w:b/>
          <w:bCs/>
          <w:color w:val="000000"/>
        </w:rPr>
        <w:t>treinta de octubre de dos mil veinticinco</w:t>
      </w:r>
      <w:r w:rsidR="00934026" w:rsidRPr="0071055D">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 lo que a su derecho conviniera, ofrecieran pruebas y alegatos según corresponda al caso concreto, de esta forma para que el </w:t>
      </w:r>
      <w:r w:rsidR="00934026" w:rsidRPr="0071055D">
        <w:rPr>
          <w:rFonts w:ascii="Palatino Linotype" w:eastAsia="Palatino Linotype" w:hAnsi="Palatino Linotype" w:cs="Palatino Linotype"/>
          <w:b/>
          <w:bCs/>
          <w:color w:val="000000"/>
        </w:rPr>
        <w:t xml:space="preserve">SUJETO OBLIGADO </w:t>
      </w:r>
      <w:r w:rsidR="00934026" w:rsidRPr="0071055D">
        <w:rPr>
          <w:rFonts w:ascii="Palatino Linotype" w:eastAsia="Palatino Linotype" w:hAnsi="Palatino Linotype" w:cs="Palatino Linotype"/>
          <w:color w:val="000000"/>
        </w:rPr>
        <w:t>presentara el Informe Justificado procedente.</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 xml:space="preserve">en fecha </w:t>
      </w:r>
      <w:r w:rsidRPr="0071055D">
        <w:rPr>
          <w:rFonts w:ascii="Palatino Linotype" w:eastAsia="Palatino Linotype" w:hAnsi="Palatino Linotype" w:cs="Palatino Linotype"/>
          <w:b/>
          <w:bCs/>
          <w:color w:val="000000"/>
        </w:rPr>
        <w:t>once de noviembre de dos mil veinticinco</w:t>
      </w:r>
      <w:r w:rsidRPr="0071055D">
        <w:rPr>
          <w:rFonts w:ascii="Palatino Linotype" w:eastAsia="Palatino Linotype" w:hAnsi="Palatino Linotype" w:cs="Palatino Linotype"/>
          <w:color w:val="000000"/>
        </w:rPr>
        <w:t xml:space="preserve">, rindió el informe justificado correspondiente, por medio del cual ratifica su repuesta, mismos que fueron puestos a la vista del particular el </w:t>
      </w:r>
      <w:r w:rsidRPr="0071055D">
        <w:rPr>
          <w:rFonts w:ascii="Palatino Linotype" w:eastAsia="Palatino Linotype" w:hAnsi="Palatino Linotype" w:cs="Palatino Linotype"/>
          <w:b/>
          <w:bCs/>
          <w:color w:val="000000"/>
        </w:rPr>
        <w:t>diecisiete de diciembre de dos mil veinticinco.</w:t>
      </w:r>
    </w:p>
    <w:p w:rsidR="00A66727" w:rsidRPr="0071055D" w:rsidRDefault="00934026">
      <w:pPr>
        <w:numPr>
          <w:ilvl w:val="0"/>
          <w:numId w:val="4"/>
        </w:numPr>
        <w:pBdr>
          <w:top w:val="nil"/>
          <w:left w:val="nil"/>
          <w:bottom w:val="nil"/>
          <w:right w:val="nil"/>
          <w:between w:val="nil"/>
        </w:pBdr>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lastRenderedPageBreak/>
        <w:t xml:space="preserve">Por su parte, el </w:t>
      </w:r>
      <w:r w:rsidRPr="0071055D">
        <w:rPr>
          <w:rFonts w:ascii="Palatino Linotype" w:eastAsia="Palatino Linotype" w:hAnsi="Palatino Linotype" w:cs="Palatino Linotype"/>
          <w:b/>
          <w:bCs/>
          <w:color w:val="000000"/>
        </w:rPr>
        <w:t>RECURRENTE</w:t>
      </w:r>
      <w:r w:rsidRPr="0071055D">
        <w:rPr>
          <w:rFonts w:ascii="Palatino Linotype" w:eastAsia="Palatino Linotype" w:hAnsi="Palatino Linotype" w:cs="Palatino Linotype"/>
          <w:color w:val="000000"/>
        </w:rPr>
        <w:t xml:space="preserve"> dejó de realizar manifestaciones que a su derecho conviniera y asistiera. </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diecisiete de diciembre de dos mil veinticinco</w:t>
      </w:r>
      <w:r w:rsidRPr="0071055D">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h662ru3bupnt" w:colFirst="0" w:colLast="0"/>
      <w:bookmarkEnd w:id="3"/>
      <w:r w:rsidRPr="0071055D">
        <w:rPr>
          <w:rFonts w:ascii="Palatino Linotype" w:eastAsia="Palatino Linotype" w:hAnsi="Palatino Linotype" w:cs="Palatino Linotype"/>
          <w:color w:val="000000"/>
        </w:rPr>
        <w:t xml:space="preserve">La Comisionada Ponente mediante acuerdo del </w:t>
      </w:r>
      <w:r w:rsidRPr="0071055D">
        <w:rPr>
          <w:rFonts w:ascii="Palatino Linotype" w:eastAsia="Palatino Linotype" w:hAnsi="Palatino Linotype" w:cs="Palatino Linotype"/>
          <w:b/>
          <w:bCs/>
          <w:color w:val="000000"/>
        </w:rPr>
        <w:t>trece de enero de dos mil veinticinco</w:t>
      </w:r>
      <w:r w:rsidRPr="0071055D">
        <w:rPr>
          <w:rFonts w:ascii="Palatino Linotype" w:eastAsia="Palatino Linotype" w:hAnsi="Palatino Linotype" w:cs="Palatino Linotype"/>
          <w:color w:val="000000"/>
        </w:rPr>
        <w:t>, decretó el cierre de instrucción del expediente, por lo que no habiendo más que hacer constar, y</w:t>
      </w:r>
    </w:p>
    <w:p w:rsidR="00A66727" w:rsidRPr="0071055D" w:rsidRDefault="00A66727">
      <w:pPr>
        <w:spacing w:line="360" w:lineRule="auto"/>
        <w:rPr>
          <w:rFonts w:ascii="Palatino Linotype" w:eastAsia="Palatino Linotype" w:hAnsi="Palatino Linotype" w:cs="Palatino Linotype"/>
          <w:b/>
          <w:bCs/>
        </w:rPr>
      </w:pPr>
    </w:p>
    <w:p w:rsidR="00A66727" w:rsidRDefault="00934026">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t>C</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O</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N</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S</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I</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D</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E</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R</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A</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N</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D</w:t>
      </w:r>
      <w:r w:rsid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b/>
          <w:bCs/>
          <w:color w:val="000000"/>
        </w:rPr>
        <w:t>O</w:t>
      </w:r>
    </w:p>
    <w:p w:rsidR="0071055D" w:rsidRPr="0071055D" w:rsidRDefault="0071055D">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A66727" w:rsidRPr="0071055D" w:rsidRDefault="00934026">
      <w:pPr>
        <w:pStyle w:val="Ttulo2"/>
        <w:spacing w:before="0" w:line="360" w:lineRule="auto"/>
        <w:rPr>
          <w:rFonts w:ascii="Palatino Linotype" w:eastAsia="Palatino Linotype" w:hAnsi="Palatino Linotype" w:cs="Palatino Linotype"/>
          <w:b/>
          <w:bCs/>
          <w:color w:val="000000"/>
          <w:sz w:val="24"/>
          <w:szCs w:val="24"/>
        </w:rPr>
      </w:pPr>
      <w:bookmarkStart w:id="4" w:name="_heading=h.btsa1tjiz21l" w:colFirst="0" w:colLast="0"/>
      <w:bookmarkEnd w:id="4"/>
      <w:r w:rsidRPr="0071055D">
        <w:rPr>
          <w:rFonts w:ascii="Palatino Linotype" w:eastAsia="Palatino Linotype" w:hAnsi="Palatino Linotype" w:cs="Palatino Linotype"/>
          <w:b/>
          <w:bCs/>
          <w:color w:val="000000"/>
          <w:sz w:val="24"/>
          <w:szCs w:val="24"/>
        </w:rPr>
        <w:t>PRIMERO. De la competencia</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71055D">
        <w:rPr>
          <w:rFonts w:ascii="Palatino Linotype" w:eastAsia="Palatino Linotype" w:hAnsi="Palatino Linotype" w:cs="Palatino Linotype"/>
          <w:b/>
          <w:bCs/>
          <w:color w:val="000000"/>
          <w:highlight w:val="white"/>
        </w:rPr>
        <w:t>Constitución Política de los Estados Unidos Mexicanos</w:t>
      </w:r>
      <w:r w:rsidRPr="0071055D">
        <w:rPr>
          <w:rFonts w:ascii="Palatino Linotype" w:eastAsia="Palatino Linotype" w:hAnsi="Palatino Linotype" w:cs="Palatino Linotype"/>
          <w:color w:val="000000"/>
          <w:highlight w:val="white"/>
        </w:rPr>
        <w:t>; 5, párrafos trigésimo segundo, trigésimo tercero y trigésimo cuarto fracciones IV y V de la </w:t>
      </w:r>
      <w:r w:rsidRPr="0071055D">
        <w:rPr>
          <w:rFonts w:ascii="Palatino Linotype" w:eastAsia="Palatino Linotype" w:hAnsi="Palatino Linotype" w:cs="Palatino Linotype"/>
          <w:b/>
          <w:bCs/>
          <w:color w:val="000000"/>
          <w:highlight w:val="white"/>
        </w:rPr>
        <w:t>Constitución Política del Estado Libre y Soberano de México</w:t>
      </w:r>
      <w:r w:rsidRPr="0071055D">
        <w:rPr>
          <w:rFonts w:ascii="Palatino Linotype" w:eastAsia="Palatino Linotype" w:hAnsi="Palatino Linotype" w:cs="Palatino Linotype"/>
          <w:color w:val="000000"/>
          <w:highlight w:val="white"/>
        </w:rPr>
        <w:t>; artículos 1, 2 fracción II, 13, 29, 36 fracciones I y II, 176, 178, 179, 181 párrafo tercero y 185 de la </w:t>
      </w:r>
      <w:r w:rsidRPr="0071055D">
        <w:rPr>
          <w:rFonts w:ascii="Palatino Linotype" w:eastAsia="Palatino Linotype" w:hAnsi="Palatino Linotype" w:cs="Palatino Linotype"/>
          <w:b/>
          <w:bCs/>
          <w:color w:val="000000"/>
          <w:highlight w:val="white"/>
        </w:rPr>
        <w:t>Ley de Transparencia y Acceso a la Información Pública del Estado de México y Municipios</w:t>
      </w:r>
      <w:r w:rsidRPr="0071055D">
        <w:rPr>
          <w:rFonts w:ascii="Palatino Linotype" w:eastAsia="Palatino Linotype" w:hAnsi="Palatino Linotype" w:cs="Palatino Linotype"/>
          <w:color w:val="000000"/>
          <w:highlight w:val="white"/>
        </w:rPr>
        <w:t>; y 7, 9 fracciones I y XXIII, y 11 del </w:t>
      </w:r>
      <w:r w:rsidRPr="0071055D">
        <w:rPr>
          <w:rFonts w:ascii="Palatino Linotype" w:eastAsia="Palatino Linotype" w:hAnsi="Palatino Linotype" w:cs="Palatino Linotype"/>
          <w:b/>
          <w:bCs/>
          <w:color w:val="000000"/>
          <w:highlight w:val="white"/>
        </w:rPr>
        <w:t>Reglamento Interior del Instituto de Transparencia, Acceso a la Información Pública y Protección de Datos Personales del Estado de México y Municipios</w:t>
      </w:r>
    </w:p>
    <w:p w:rsidR="00A66727" w:rsidRPr="0071055D" w:rsidRDefault="00A6672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5" w:name="_heading=h.rgnir2b3gwx4" w:colFirst="0" w:colLast="0"/>
      <w:bookmarkEnd w:id="5"/>
    </w:p>
    <w:p w:rsidR="00A66727" w:rsidRPr="0071055D" w:rsidRDefault="0093402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6" w:name="_heading=h.nsi3dv3g87iz" w:colFirst="0" w:colLast="0"/>
      <w:bookmarkEnd w:id="6"/>
      <w:r w:rsidRPr="0071055D">
        <w:rPr>
          <w:rFonts w:ascii="Palatino Linotype" w:eastAsia="Palatino Linotype" w:hAnsi="Palatino Linotype" w:cs="Palatino Linotype"/>
          <w:b/>
          <w:bCs/>
          <w:color w:val="000000"/>
        </w:rPr>
        <w:lastRenderedPageBreak/>
        <w:t>SEGUNDO. De la oportunidad y procedencia.</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lngcki8yq7ws" w:colFirst="0" w:colLast="0"/>
      <w:bookmarkEnd w:id="7"/>
      <w:r w:rsidRPr="0071055D">
        <w:rPr>
          <w:rFonts w:ascii="Palatino Linotype" w:eastAsia="Palatino Linotype" w:hAnsi="Palatino Linotype" w:cs="Palatino Linotype"/>
          <w:color w:val="000000"/>
        </w:rPr>
        <w:t xml:space="preserve">El medio de impugnación fue presentado a través del </w:t>
      </w:r>
      <w:r w:rsidRPr="0071055D">
        <w:rPr>
          <w:rFonts w:ascii="Palatino Linotype" w:eastAsia="Palatino Linotype" w:hAnsi="Palatino Linotype" w:cs="Palatino Linotype"/>
          <w:b/>
          <w:bCs/>
          <w:color w:val="000000"/>
        </w:rPr>
        <w:t>SAIMEX,</w:t>
      </w:r>
      <w:r w:rsidRPr="0071055D">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entregó su respuesta el </w:t>
      </w:r>
      <w:r w:rsidRPr="0071055D">
        <w:rPr>
          <w:rFonts w:ascii="Palatino Linotype" w:eastAsia="Palatino Linotype" w:hAnsi="Palatino Linotype" w:cs="Palatino Linotype"/>
          <w:b/>
          <w:bCs/>
          <w:color w:val="000000"/>
        </w:rPr>
        <w:t xml:space="preserve">trece de octubre de dos mil veinticinco, </w:t>
      </w:r>
      <w:r w:rsidRPr="0071055D">
        <w:rPr>
          <w:rFonts w:ascii="Palatino Linotype" w:eastAsia="Palatino Linotype" w:hAnsi="Palatino Linotype" w:cs="Palatino Linotype"/>
          <w:color w:val="000000"/>
        </w:rPr>
        <w:t xml:space="preserve">de tal forma que el plazo para interponer el recurso de revisión transcurrió del día </w:t>
      </w:r>
      <w:r w:rsidRPr="0071055D">
        <w:rPr>
          <w:rFonts w:ascii="Palatino Linotype" w:eastAsia="Palatino Linotype" w:hAnsi="Palatino Linotype" w:cs="Palatino Linotype"/>
          <w:b/>
          <w:bCs/>
          <w:color w:val="000000"/>
        </w:rPr>
        <w:t>catorce de octubre al tres de noviembre de dos mil veinticinco</w:t>
      </w:r>
      <w:r w:rsidRPr="0071055D">
        <w:rPr>
          <w:rFonts w:ascii="Palatino Linotype" w:eastAsia="Palatino Linotype" w:hAnsi="Palatino Linotype" w:cs="Palatino Linotype"/>
          <w:color w:val="000000"/>
        </w:rPr>
        <w:t xml:space="preserve">; en consecuencia, el ahora </w:t>
      </w:r>
      <w:r w:rsidRPr="0071055D">
        <w:rPr>
          <w:rFonts w:ascii="Palatino Linotype" w:eastAsia="Palatino Linotype" w:hAnsi="Palatino Linotype" w:cs="Palatino Linotype"/>
          <w:b/>
          <w:bCs/>
          <w:color w:val="000000"/>
        </w:rPr>
        <w:t>RECURRENTE</w:t>
      </w:r>
      <w:r w:rsidRPr="0071055D">
        <w:rPr>
          <w:rFonts w:ascii="Palatino Linotype" w:eastAsia="Palatino Linotype" w:hAnsi="Palatino Linotype" w:cs="Palatino Linotype"/>
          <w:color w:val="000000"/>
        </w:rPr>
        <w:t xml:space="preserve"> presentó su inconformidad el </w:t>
      </w:r>
      <w:r w:rsidRPr="0071055D">
        <w:rPr>
          <w:rFonts w:ascii="Palatino Linotype" w:eastAsia="Palatino Linotype" w:hAnsi="Palatino Linotype" w:cs="Palatino Linotype"/>
          <w:b/>
          <w:bCs/>
          <w:color w:val="000000"/>
        </w:rPr>
        <w:t>veintinueve de octubre de dos mil veinticinco,</w:t>
      </w:r>
      <w:r w:rsidRPr="0071055D">
        <w:rPr>
          <w:rFonts w:ascii="Palatino Linotype" w:eastAsia="Palatino Linotype" w:hAnsi="Palatino Linotype" w:cs="Palatino Linotype"/>
          <w:color w:val="000000"/>
        </w:rPr>
        <w:t xml:space="preserve"> es decir dentro del lapso legalmente establecido para tal efecto.</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66727" w:rsidRPr="0071055D" w:rsidRDefault="00934026">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r w:rsidRPr="0071055D">
        <w:rPr>
          <w:rFonts w:ascii="Palatino Linotype" w:eastAsia="Palatino Linotype" w:hAnsi="Palatino Linotype" w:cs="Palatino Linotype"/>
          <w:b/>
          <w:bCs/>
          <w:i/>
          <w:iCs/>
          <w:color w:val="000000"/>
        </w:rPr>
        <w:t>Las solicitudes anónimas</w:t>
      </w:r>
      <w:r w:rsidRPr="0071055D">
        <w:rPr>
          <w:rFonts w:ascii="Palatino Linotype" w:eastAsia="Palatino Linotype" w:hAnsi="Palatino Linotype" w:cs="Palatino Linotype"/>
          <w:i/>
          <w:iCs/>
          <w:color w:val="000000"/>
        </w:rPr>
        <w:t xml:space="preserve">, con nombre incompleto o seudónimo </w:t>
      </w:r>
      <w:r w:rsidRPr="0071055D">
        <w:rPr>
          <w:rFonts w:ascii="Palatino Linotype" w:eastAsia="Palatino Linotype" w:hAnsi="Palatino Linotype" w:cs="Palatino Linotype"/>
          <w:b/>
          <w:bCs/>
          <w:i/>
          <w:iCs/>
          <w:color w:val="000000"/>
        </w:rPr>
        <w:t>serán procedentes para su trámite por parte del sujeto obligado ante quien se presente</w:t>
      </w:r>
      <w:r w:rsidRPr="0071055D">
        <w:rPr>
          <w:rFonts w:ascii="Palatino Linotype" w:eastAsia="Palatino Linotype" w:hAnsi="Palatino Linotype" w:cs="Palatino Linotype"/>
          <w:i/>
          <w:iCs/>
          <w:color w:val="000000"/>
        </w:rPr>
        <w:t>. No podrá requerirse información adicional con motivo del nombre proporcionado por el solicitante."</w:t>
      </w:r>
    </w:p>
    <w:p w:rsidR="00A66727" w:rsidRPr="0071055D" w:rsidRDefault="00A66727">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r w:rsidRPr="0071055D">
        <w:rPr>
          <w:rFonts w:ascii="Palatino Linotype" w:eastAsia="Palatino Linotype" w:hAnsi="Palatino Linotype" w:cs="Palatino Linotype"/>
          <w:b/>
          <w:bCs/>
          <w:i/>
          <w:iCs/>
          <w:color w:val="000000"/>
        </w:rPr>
        <w:t>Artículo 6.-</w:t>
      </w:r>
      <w:r w:rsidRPr="0071055D">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71055D">
        <w:rPr>
          <w:rFonts w:ascii="Palatino Linotype" w:eastAsia="Palatino Linotype" w:hAnsi="Palatino Linotype" w:cs="Palatino Linotype"/>
          <w:i/>
          <w:iCs/>
          <w:color w:val="000000"/>
        </w:rPr>
        <w:lastRenderedPageBreak/>
        <w:t>ejercido en los términos dispuestos por la ley. El derecho a la información será garantizado por el Estado.</w:t>
      </w:r>
    </w:p>
    <w:p w:rsidR="00A66727" w:rsidRPr="0071055D" w:rsidRDefault="00A66727">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Para efectos de lo dispuesto en el presente artículo se observará lo siguiente:</w:t>
      </w:r>
    </w:p>
    <w:p w:rsidR="00A66727" w:rsidRPr="0071055D" w:rsidRDefault="00A66727">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A66727" w:rsidRPr="0071055D" w:rsidRDefault="00A66727">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sidRPr="0071055D">
        <w:rPr>
          <w:rFonts w:ascii="Palatino Linotype" w:eastAsia="Palatino Linotype" w:hAnsi="Palatino Linotype" w:cs="Palatino Linotype"/>
          <w:color w:val="000000"/>
        </w:rPr>
        <w:t>(Sic)</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r w:rsidRPr="0071055D">
        <w:rPr>
          <w:rFonts w:ascii="Palatino Linotype" w:eastAsia="Palatino Linotype" w:hAnsi="Palatino Linotype" w:cs="Palatino Linotype"/>
          <w:b/>
          <w:bCs/>
          <w:i/>
          <w:iCs/>
          <w:color w:val="000000"/>
        </w:rPr>
        <w:t>Artículo 5.-</w:t>
      </w:r>
      <w:r w:rsidRPr="0071055D">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sidRPr="0071055D">
        <w:rPr>
          <w:rFonts w:ascii="Palatino Linotype" w:eastAsia="Palatino Linotype" w:hAnsi="Palatino Linotype" w:cs="Palatino Linotype"/>
          <w:i/>
          <w:iCs/>
          <w:color w:val="000000"/>
        </w:rPr>
        <w:lastRenderedPageBreak/>
        <w:t>será oportuna, clara, veraz y de fácil acceso. Este derecho se regirá por los principios y bases siguientes:</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1055D">
        <w:rPr>
          <w:rFonts w:ascii="Palatino Linotype" w:eastAsia="Palatino Linotype" w:hAnsi="Palatino Linotype" w:cs="Palatino Linotype"/>
          <w:color w:val="000000"/>
        </w:rPr>
        <w:t>(Sic)</w:t>
      </w:r>
    </w:p>
    <w:p w:rsidR="00A66727" w:rsidRPr="0071055D" w:rsidRDefault="00A66727">
      <w:pPr>
        <w:tabs>
          <w:tab w:val="left" w:pos="7655"/>
        </w:tabs>
        <w:spacing w:line="360" w:lineRule="auto"/>
        <w:ind w:left="567"/>
        <w:jc w:val="both"/>
        <w:rPr>
          <w:rFonts w:ascii="Palatino Linotype" w:eastAsia="Palatino Linotype" w:hAnsi="Palatino Linotype" w:cs="Palatino Linotype"/>
          <w:i/>
          <w:iCs/>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r w:rsidRPr="0071055D">
        <w:rPr>
          <w:rFonts w:ascii="Palatino Linotype" w:eastAsia="Palatino Linotype" w:hAnsi="Palatino Linotype" w:cs="Palatino Linotype"/>
          <w:b/>
          <w:bCs/>
          <w:i/>
          <w:iCs/>
          <w:color w:val="000000"/>
        </w:rPr>
        <w:t>Artículo 1</w:t>
      </w:r>
      <w:r w:rsidRPr="0071055D">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A66727" w:rsidRPr="0071055D" w:rsidRDefault="0093402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w:t>
      </w:r>
      <w:r w:rsidRPr="0071055D">
        <w:rPr>
          <w:rFonts w:ascii="Palatino Linotype" w:eastAsia="Palatino Linotype" w:hAnsi="Palatino Linotype" w:cs="Palatino Linotype"/>
        </w:rPr>
        <w:lastRenderedPageBreak/>
        <w:t xml:space="preserve">tener acceso a la información pública, es decir, dicho </w:t>
      </w:r>
      <w:r w:rsidRPr="0071055D">
        <w:rPr>
          <w:rFonts w:ascii="Palatino Linotype" w:eastAsia="Palatino Linotype" w:hAnsi="Palatino Linotype" w:cs="Palatino Linotype"/>
          <w:i/>
          <w:iCs/>
        </w:rPr>
        <w:t>derecho fundamental exime a quien lo ejerce</w:t>
      </w:r>
      <w:r w:rsidRPr="0071055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66727" w:rsidRPr="0071055D" w:rsidRDefault="00A66727">
      <w:pPr>
        <w:spacing w:line="360" w:lineRule="auto"/>
        <w:jc w:val="both"/>
        <w:rPr>
          <w:rFonts w:ascii="Palatino Linotype" w:eastAsia="Palatino Linotype" w:hAnsi="Palatino Linotype" w:cs="Palatino Linotype"/>
          <w:b/>
          <w:bCs/>
        </w:rPr>
      </w:pPr>
    </w:p>
    <w:p w:rsidR="00A66727" w:rsidRPr="0071055D" w:rsidRDefault="00934026">
      <w:pPr>
        <w:numPr>
          <w:ilvl w:val="0"/>
          <w:numId w:val="4"/>
        </w:numPr>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En consecuencia, dado lo expuesto y fundado con anterioridad, se estima que el requisito relativo al nombre del </w:t>
      </w:r>
      <w:r w:rsidRPr="0071055D">
        <w:rPr>
          <w:rFonts w:ascii="Palatino Linotype" w:eastAsia="Palatino Linotype" w:hAnsi="Palatino Linotype" w:cs="Palatino Linotype"/>
          <w:b/>
          <w:bCs/>
        </w:rPr>
        <w:t>RECURRENTE</w:t>
      </w:r>
      <w:r w:rsidRPr="0071055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A66727" w:rsidRPr="0071055D" w:rsidRDefault="00A66727">
      <w:pPr>
        <w:spacing w:line="360" w:lineRule="auto"/>
        <w:jc w:val="both"/>
        <w:rPr>
          <w:rFonts w:ascii="Palatino Linotype" w:eastAsia="Palatino Linotype" w:hAnsi="Palatino Linotype" w:cs="Palatino Linotype"/>
          <w:b/>
          <w:bCs/>
        </w:rPr>
      </w:pPr>
    </w:p>
    <w:p w:rsidR="00A66727" w:rsidRPr="0071055D" w:rsidRDefault="00934026">
      <w:pPr>
        <w:numPr>
          <w:ilvl w:val="0"/>
          <w:numId w:val="4"/>
        </w:numPr>
        <w:spacing w:line="360" w:lineRule="auto"/>
        <w:ind w:left="0" w:firstLine="0"/>
        <w:jc w:val="both"/>
        <w:rPr>
          <w:rFonts w:ascii="Palatino Linotype" w:eastAsia="Palatino Linotype" w:hAnsi="Palatino Linotype" w:cs="Palatino Linotype"/>
          <w:b/>
          <w:bCs/>
        </w:rPr>
      </w:pPr>
      <w:r w:rsidRPr="0071055D">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66727" w:rsidRPr="0071055D" w:rsidRDefault="00934026">
      <w:pPr>
        <w:pStyle w:val="Ttulo1"/>
        <w:spacing w:before="0" w:line="360" w:lineRule="auto"/>
        <w:rPr>
          <w:rFonts w:ascii="Palatino Linotype" w:eastAsia="Palatino Linotype" w:hAnsi="Palatino Linotype" w:cs="Palatino Linotype"/>
          <w:b/>
          <w:bCs/>
          <w:color w:val="000000"/>
          <w:sz w:val="24"/>
          <w:szCs w:val="24"/>
        </w:rPr>
      </w:pPr>
      <w:bookmarkStart w:id="8" w:name="_heading=h.newmghrq6js6" w:colFirst="0" w:colLast="0"/>
      <w:bookmarkEnd w:id="8"/>
      <w:r w:rsidRPr="0071055D">
        <w:rPr>
          <w:rFonts w:ascii="Palatino Linotype" w:eastAsia="Palatino Linotype" w:hAnsi="Palatino Linotype" w:cs="Palatino Linotype"/>
          <w:b/>
          <w:bCs/>
          <w:color w:val="000000"/>
          <w:sz w:val="24"/>
          <w:szCs w:val="24"/>
        </w:rPr>
        <w:lastRenderedPageBreak/>
        <w:t xml:space="preserve">TERCERO. Del planteamiento de la </w:t>
      </w:r>
      <w:r w:rsidRPr="0071055D">
        <w:rPr>
          <w:rFonts w:ascii="Palatino Linotype" w:eastAsia="Palatino Linotype" w:hAnsi="Palatino Linotype" w:cs="Palatino Linotype"/>
          <w:b/>
          <w:bCs/>
          <w:i/>
          <w:iCs/>
          <w:color w:val="000000"/>
          <w:sz w:val="24"/>
          <w:szCs w:val="24"/>
        </w:rPr>
        <w:t>Litis</w:t>
      </w:r>
      <w:r w:rsidRPr="0071055D">
        <w:rPr>
          <w:rFonts w:ascii="Palatino Linotype" w:eastAsia="Palatino Linotype" w:hAnsi="Palatino Linotype" w:cs="Palatino Linotype"/>
          <w:b/>
          <w:bCs/>
          <w:color w:val="000000"/>
          <w:sz w:val="24"/>
          <w:szCs w:val="24"/>
        </w:rPr>
        <w:t>.</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71055D">
        <w:rPr>
          <w:rFonts w:ascii="Palatino Linotype" w:eastAsia="Palatino Linotype" w:hAnsi="Palatino Linotype" w:cs="Palatino Linotype"/>
          <w:color w:val="000000"/>
        </w:rPr>
        <w:t xml:space="preserve">El </w:t>
      </w:r>
      <w:r w:rsidRPr="0071055D">
        <w:rPr>
          <w:rFonts w:ascii="Palatino Linotype" w:eastAsia="Palatino Linotype" w:hAnsi="Palatino Linotype" w:cs="Palatino Linotype"/>
          <w:b/>
          <w:bCs/>
          <w:color w:val="000000"/>
        </w:rPr>
        <w:t>RECURRENTE</w:t>
      </w:r>
      <w:r w:rsidRPr="0071055D">
        <w:rPr>
          <w:rFonts w:ascii="Palatino Linotype" w:eastAsia="Palatino Linotype" w:hAnsi="Palatino Linotype" w:cs="Palatino Linotype"/>
          <w:color w:val="000000"/>
        </w:rPr>
        <w:t xml:space="preserve"> solicitó </w:t>
      </w:r>
      <w:r w:rsidRPr="0071055D">
        <w:rPr>
          <w:rFonts w:ascii="Palatino Linotype" w:eastAsia="Palatino Linotype" w:hAnsi="Palatino Linotype" w:cs="Palatino Linotype"/>
          <w:b/>
          <w:bCs/>
          <w:color w:val="000000"/>
        </w:rPr>
        <w:t>copia de la contratación formal de Melquiades Escobedo.</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En respuesta, 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a través del Jefe de la Unidad de Información, Planeación, Programación y Evaluación y Titular de la Unidad de Transparencia del CEDIPIEM, informó que se realizó una búsqueda exhaustiva y razonable a la plantilla de personal que obra en los archivos del Departamento de Recursos Humanos y Materiales adscrito a la Unidad de Apoyo Administrativo del Consejo Estatal para el Desarrollo Integral de los Pueblos Indígenas del Estado de México, con corte a la segunda quincena de septiembre de 2025, en el cual no se identificó que la persona mencionada en la solicitud de información tenga o haya tenido alguna relación laboral con ese Organismo Descentralizado como servidor público general, de confianza y/o honorarios, por lo que le es imposible proporcionar información al respecto.</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Derivado de lo anterior el </w:t>
      </w:r>
      <w:r w:rsidRPr="0071055D">
        <w:rPr>
          <w:rFonts w:ascii="Palatino Linotype" w:eastAsia="Palatino Linotype" w:hAnsi="Palatino Linotype" w:cs="Palatino Linotype"/>
          <w:b/>
          <w:bCs/>
          <w:color w:val="000000"/>
        </w:rPr>
        <w:t>RECURRENTE</w:t>
      </w:r>
      <w:r w:rsidRPr="0071055D">
        <w:rPr>
          <w:rFonts w:ascii="Palatino Linotype" w:eastAsia="Palatino Linotype" w:hAnsi="Palatino Linotype" w:cs="Palatino Linotype"/>
          <w:color w:val="000000"/>
        </w:rPr>
        <w:t xml:space="preserve">, se inconformó por </w:t>
      </w:r>
      <w:r w:rsidRPr="0071055D">
        <w:rPr>
          <w:rFonts w:ascii="Palatino Linotype" w:eastAsia="Palatino Linotype" w:hAnsi="Palatino Linotype" w:cs="Palatino Linotype"/>
          <w:b/>
          <w:bCs/>
          <w:color w:val="000000"/>
        </w:rPr>
        <w:t>la entrega de información incompleta</w:t>
      </w:r>
      <w:r w:rsidRPr="0071055D">
        <w:rPr>
          <w:rFonts w:ascii="Palatino Linotype" w:eastAsia="Palatino Linotype" w:hAnsi="Palatino Linotype" w:cs="Palatino Linotype"/>
          <w:color w:val="000000"/>
        </w:rPr>
        <w:t xml:space="preserve">, en los siguientes términos: </w:t>
      </w:r>
      <w:r w:rsidRPr="0071055D">
        <w:rPr>
          <w:rFonts w:ascii="Palatino Linotype" w:eastAsia="Palatino Linotype" w:hAnsi="Palatino Linotype" w:cs="Palatino Linotype"/>
          <w:i/>
          <w:iCs/>
          <w:color w:val="000000"/>
        </w:rPr>
        <w:t>“información incompleta.” (Sic)</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En dichas condiciones, la </w:t>
      </w:r>
      <w:r w:rsidRPr="0071055D">
        <w:rPr>
          <w:rFonts w:ascii="Palatino Linotype" w:eastAsia="Palatino Linotype" w:hAnsi="Palatino Linotype" w:cs="Palatino Linotype"/>
          <w:i/>
          <w:iCs/>
          <w:color w:val="000000"/>
        </w:rPr>
        <w:t>Litis</w:t>
      </w:r>
      <w:r w:rsidRPr="0071055D">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71055D">
        <w:rPr>
          <w:rFonts w:ascii="Palatino Linotype" w:eastAsia="Palatino Linotype" w:hAnsi="Palatino Linotype" w:cs="Palatino Linotype"/>
          <w:b/>
          <w:bCs/>
          <w:color w:val="000000"/>
        </w:rPr>
        <w:t xml:space="preserve">fracción I </w:t>
      </w:r>
      <w:r w:rsidRPr="0071055D">
        <w:rPr>
          <w:rFonts w:ascii="Palatino Linotype" w:eastAsia="Palatino Linotype" w:hAnsi="Palatino Linotype" w:cs="Palatino Linotype"/>
          <w:color w:val="000000"/>
        </w:rPr>
        <w:t>de la Ley</w:t>
      </w:r>
      <w:r w:rsidRPr="0071055D">
        <w:rPr>
          <w:rFonts w:ascii="Palatino Linotype" w:eastAsia="Palatino Linotype" w:hAnsi="Palatino Linotype" w:cs="Palatino Linotype"/>
          <w:b/>
          <w:bCs/>
          <w:color w:val="000000"/>
        </w:rPr>
        <w:t xml:space="preserve"> de Transparencia y Acceso a la Información Pública del Estado de </w:t>
      </w:r>
      <w:r w:rsidRPr="0071055D">
        <w:rPr>
          <w:rFonts w:ascii="Palatino Linotype" w:eastAsia="Palatino Linotype" w:hAnsi="Palatino Linotype" w:cs="Palatino Linotype"/>
          <w:color w:val="000000"/>
        </w:rPr>
        <w:t>México</w:t>
      </w:r>
      <w:r w:rsidRPr="0071055D">
        <w:rPr>
          <w:rFonts w:ascii="Palatino Linotype" w:eastAsia="Palatino Linotype" w:hAnsi="Palatino Linotype" w:cs="Palatino Linotype"/>
          <w:b/>
          <w:bCs/>
          <w:color w:val="000000"/>
        </w:rPr>
        <w:t xml:space="preserve"> y Municipios</w:t>
      </w:r>
      <w:r w:rsidRPr="0071055D">
        <w:rPr>
          <w:rFonts w:ascii="Palatino Linotype" w:eastAsia="Palatino Linotype" w:hAnsi="Palatino Linotype" w:cs="Palatino Linotype"/>
          <w:color w:val="000000"/>
        </w:rPr>
        <w:t xml:space="preserve">; fracción que determina la hipótesis jurídica relativa a </w:t>
      </w:r>
      <w:r w:rsidRPr="0071055D">
        <w:rPr>
          <w:rFonts w:ascii="Palatino Linotype" w:eastAsia="Palatino Linotype" w:hAnsi="Palatino Linotype" w:cs="Palatino Linotype"/>
          <w:b/>
          <w:bCs/>
          <w:color w:val="000000"/>
        </w:rPr>
        <w:t xml:space="preserve">la negativa a la información solicitada </w:t>
      </w:r>
      <w:r w:rsidRPr="0071055D">
        <w:rPr>
          <w:rFonts w:ascii="Palatino Linotype" w:eastAsia="Palatino Linotype" w:hAnsi="Palatino Linotype" w:cs="Palatino Linotype"/>
          <w:color w:val="000000"/>
        </w:rPr>
        <w:t xml:space="preserve">por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contexto del cual se dolió </w:t>
      </w:r>
      <w:r w:rsidRPr="0071055D">
        <w:rPr>
          <w:rFonts w:ascii="Palatino Linotype" w:eastAsia="Palatino Linotype" w:hAnsi="Palatino Linotype" w:cs="Palatino Linotype"/>
          <w:b/>
          <w:bCs/>
          <w:color w:val="000000"/>
        </w:rPr>
        <w:t xml:space="preserve">EL RECURRENTE </w:t>
      </w:r>
      <w:r w:rsidRPr="0071055D">
        <w:rPr>
          <w:rFonts w:ascii="Palatino Linotype" w:eastAsia="Palatino Linotype" w:hAnsi="Palatino Linotype" w:cs="Palatino Linotype"/>
          <w:color w:val="000000"/>
        </w:rPr>
        <w:t>al momento de interponer su inconformidad.</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lastRenderedPageBreak/>
        <w:t xml:space="preserve">De modo tal que el recurso de revisión se abocara en determinar si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con su respuesta ciertamente actualiza la causal de procedencia</w:t>
      </w:r>
      <w:r w:rsidRP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934026">
      <w:pPr>
        <w:keepNext/>
        <w:keepLines/>
        <w:spacing w:line="360" w:lineRule="auto"/>
        <w:rPr>
          <w:rFonts w:ascii="Palatino Linotype" w:eastAsia="Palatino Linotype" w:hAnsi="Palatino Linotype" w:cs="Palatino Linotype"/>
          <w:b/>
          <w:bCs/>
        </w:rPr>
      </w:pPr>
      <w:r w:rsidRPr="0071055D">
        <w:rPr>
          <w:rFonts w:ascii="Palatino Linotype" w:eastAsia="Palatino Linotype" w:hAnsi="Palatino Linotype" w:cs="Palatino Linotype"/>
          <w:b/>
          <w:bCs/>
        </w:rPr>
        <w:t>CUARTO. Del estudio y resolución del asunto</w:t>
      </w:r>
    </w:p>
    <w:p w:rsidR="00A66727" w:rsidRPr="0071055D" w:rsidRDefault="00934026">
      <w:pPr>
        <w:keepNext/>
        <w:keepLines/>
        <w:numPr>
          <w:ilvl w:val="0"/>
          <w:numId w:val="8"/>
        </w:numPr>
        <w:spacing w:after="240" w:line="360" w:lineRule="auto"/>
        <w:ind w:left="786"/>
        <w:rPr>
          <w:rFonts w:ascii="Palatino Linotype" w:eastAsia="Palatino Linotype" w:hAnsi="Palatino Linotype" w:cs="Palatino Linotype"/>
          <w:b/>
          <w:bCs/>
        </w:rPr>
      </w:pPr>
      <w:bookmarkStart w:id="9" w:name="_heading=h.1t3h5sf" w:colFirst="0" w:colLast="0"/>
      <w:bookmarkEnd w:id="9"/>
      <w:r w:rsidRPr="0071055D">
        <w:rPr>
          <w:rFonts w:ascii="Palatino Linotype" w:eastAsia="Palatino Linotype" w:hAnsi="Palatino Linotype" w:cs="Palatino Linotype"/>
          <w:b/>
          <w:bCs/>
        </w:rPr>
        <w:t>Del derecho de acceso a la información.</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A66727" w:rsidRPr="0071055D" w:rsidRDefault="00A66727">
      <w:pPr>
        <w:spacing w:line="360" w:lineRule="auto"/>
        <w:ind w:right="48"/>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Definiendo el Derecho de Acceso a la Información Pública como: </w:t>
      </w:r>
      <w:r w:rsidRPr="0071055D">
        <w:rPr>
          <w:rFonts w:ascii="Palatino Linotype" w:eastAsia="Palatino Linotype" w:hAnsi="Palatino Linotype" w:cs="Palatino Linotype"/>
          <w:i/>
          <w:iCs/>
        </w:rPr>
        <w:t>La igualdad de oportunidades para recibir, buscar e impartir información</w:t>
      </w:r>
      <w:r w:rsidRPr="0071055D">
        <w:rPr>
          <w:rFonts w:ascii="Palatino Linotype" w:eastAsia="Palatino Linotype" w:hAnsi="Palatino Linotype" w:cs="Palatino Linotype"/>
          <w:i/>
          <w:iCs/>
          <w:vertAlign w:val="superscript"/>
        </w:rPr>
        <w:footnoteReference w:id="1"/>
      </w:r>
      <w:r w:rsidRPr="0071055D">
        <w:rPr>
          <w:rFonts w:ascii="Palatino Linotype" w:eastAsia="Palatino Linotype" w:hAnsi="Palatino Linotype" w:cs="Palatino Linotype"/>
          <w:i/>
          <w:iC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w:t>
      </w:r>
      <w:r w:rsidRPr="0071055D">
        <w:rPr>
          <w:rFonts w:ascii="Palatino Linotype" w:eastAsia="Palatino Linotype" w:hAnsi="Palatino Linotype" w:cs="Palatino Linotype"/>
          <w:i/>
          <w:iCs/>
        </w:rPr>
        <w:lastRenderedPageBreak/>
        <w:t>y municipal,</w:t>
      </w:r>
      <w:r w:rsidRPr="0071055D">
        <w:rPr>
          <w:rFonts w:ascii="Palatino Linotype" w:eastAsia="Palatino Linotype" w:hAnsi="Palatino Linotype" w:cs="Palatino Linotype"/>
          <w:i/>
          <w:iCs/>
          <w:vertAlign w:val="superscript"/>
        </w:rPr>
        <w:footnoteReference w:id="2"/>
      </w:r>
      <w:r w:rsidRPr="0071055D">
        <w:rPr>
          <w:rFonts w:ascii="Palatino Linotype" w:eastAsia="Palatino Linotype" w:hAnsi="Palatino Linotype" w:cs="Palatino Linotype"/>
        </w:rPr>
        <w:t>que se constituye como una herramienta fundamental para ejercer</w:t>
      </w:r>
      <w:r w:rsidRPr="0071055D">
        <w:rPr>
          <w:rFonts w:ascii="Palatino Linotype" w:eastAsia="Palatino Linotype" w:hAnsi="Palatino Linotype" w:cs="Palatino Linotype"/>
          <w:i/>
          <w:iCs/>
        </w:rPr>
        <w:t xml:space="preserve"> el control democrático de las gestiones estatales, de forma tal que puedan cuestionar, indagar y considerar si se está dando un adecuado cumplimiento a las funciones públicas,</w:t>
      </w:r>
      <w:r w:rsidRPr="0071055D">
        <w:rPr>
          <w:rFonts w:ascii="Palatino Linotype" w:eastAsia="Palatino Linotype" w:hAnsi="Palatino Linotype" w:cs="Palatino Linotype"/>
          <w:i/>
          <w:iCs/>
          <w:vertAlign w:val="superscript"/>
        </w:rPr>
        <w:footnoteReference w:id="3"/>
      </w:r>
      <w:r w:rsidRPr="0071055D">
        <w:rPr>
          <w:rFonts w:ascii="Palatino Linotype" w:eastAsia="Palatino Linotype" w:hAnsi="Palatino Linotype" w:cs="Palatino Linotype"/>
        </w:rPr>
        <w:t>fomentando</w:t>
      </w:r>
      <w:r w:rsidRPr="0071055D">
        <w:rPr>
          <w:rFonts w:ascii="Palatino Linotype" w:eastAsia="Palatino Linotype" w:hAnsi="Palatino Linotype" w:cs="Palatino Linotype"/>
          <w:i/>
          <w:iCs/>
        </w:rPr>
        <w:t xml:space="preserve"> la transparencia de las actividades estatales y </w:t>
      </w:r>
      <w:r w:rsidRPr="0071055D">
        <w:rPr>
          <w:rFonts w:ascii="Palatino Linotype" w:eastAsia="Palatino Linotype" w:hAnsi="Palatino Linotype" w:cs="Palatino Linotype"/>
        </w:rPr>
        <w:t>promoviendo</w:t>
      </w:r>
      <w:r w:rsidRPr="0071055D">
        <w:rPr>
          <w:rFonts w:ascii="Palatino Linotype" w:eastAsia="Palatino Linotype" w:hAnsi="Palatino Linotype" w:cs="Palatino Linotype"/>
          <w:i/>
          <w:iCs/>
        </w:rPr>
        <w:t xml:space="preserve"> la responsabilidad de los funcionarios sobre su gestión pública,</w:t>
      </w:r>
      <w:r w:rsidRPr="0071055D">
        <w:rPr>
          <w:rFonts w:ascii="Palatino Linotype" w:eastAsia="Palatino Linotype" w:hAnsi="Palatino Linotype" w:cs="Palatino Linotype"/>
          <w:i/>
          <w:iCs/>
          <w:vertAlign w:val="superscript"/>
        </w:rPr>
        <w:footnoteReference w:id="4"/>
      </w:r>
      <w:r w:rsidRPr="0071055D">
        <w:rPr>
          <w:rFonts w:ascii="Palatino Linotype" w:eastAsia="Palatino Linotype" w:hAnsi="Palatino Linotype" w:cs="Palatino Linotype"/>
        </w:rPr>
        <w:t>que permite</w:t>
      </w:r>
      <w:r w:rsidRPr="0071055D">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p>
    <w:p w:rsidR="00A66727" w:rsidRPr="0071055D" w:rsidRDefault="00A66727">
      <w:pPr>
        <w:spacing w:line="360" w:lineRule="auto"/>
        <w:ind w:right="49"/>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A66727" w:rsidRPr="0071055D" w:rsidRDefault="00934026">
      <w:pPr>
        <w:tabs>
          <w:tab w:val="left" w:pos="7655"/>
        </w:tabs>
        <w:spacing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r w:rsidRPr="0071055D">
        <w:rPr>
          <w:rFonts w:ascii="Palatino Linotype" w:eastAsia="Palatino Linotype" w:hAnsi="Palatino Linotype" w:cs="Palatino Linotype"/>
          <w:b/>
          <w:bCs/>
          <w:i/>
          <w:iCs/>
        </w:rPr>
        <w:t>Artículo 1.-</w:t>
      </w:r>
      <w:r w:rsidRPr="0071055D">
        <w:rPr>
          <w:rFonts w:ascii="Palatino Linotype" w:eastAsia="Palatino Linotype" w:hAnsi="Palatino Linotype" w:cs="Palatino Linotype"/>
          <w:i/>
          <w:iCs/>
        </w:rPr>
        <w:t xml:space="preserve"> </w:t>
      </w:r>
    </w:p>
    <w:p w:rsidR="00A66727" w:rsidRPr="0071055D" w:rsidRDefault="00934026">
      <w:pPr>
        <w:tabs>
          <w:tab w:val="left" w:pos="7655"/>
        </w:tabs>
        <w:spacing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p>
    <w:p w:rsidR="00A66727" w:rsidRPr="0071055D" w:rsidRDefault="00934026">
      <w:pPr>
        <w:tabs>
          <w:tab w:val="left" w:pos="7655"/>
        </w:tabs>
        <w:spacing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Todas las</w:t>
      </w:r>
      <w:r w:rsidRPr="0071055D">
        <w:rPr>
          <w:rFonts w:ascii="Palatino Linotype" w:eastAsia="Palatino Linotype" w:hAnsi="Palatino Linotype" w:cs="Palatino Linotype"/>
        </w:rPr>
        <w:t xml:space="preserve"> </w:t>
      </w:r>
      <w:r w:rsidRPr="0071055D">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66727" w:rsidRPr="0071055D" w:rsidRDefault="00934026">
      <w:pPr>
        <w:tabs>
          <w:tab w:val="left" w:pos="7655"/>
        </w:tabs>
        <w:spacing w:line="360" w:lineRule="auto"/>
        <w:ind w:left="567" w:right="567"/>
        <w:jc w:val="both"/>
        <w:rPr>
          <w:rFonts w:ascii="Palatino Linotype" w:eastAsia="Palatino Linotype" w:hAnsi="Palatino Linotype" w:cs="Palatino Linotype"/>
        </w:rPr>
      </w:pPr>
      <w:r w:rsidRPr="0071055D">
        <w:rPr>
          <w:rFonts w:ascii="Palatino Linotype" w:eastAsia="Palatino Linotype" w:hAnsi="Palatino Linotype" w:cs="Palatino Linotype"/>
          <w:i/>
          <w:iCs/>
        </w:rPr>
        <w:t>(…)</w:t>
      </w:r>
      <w:r w:rsidRPr="0071055D">
        <w:rPr>
          <w:rFonts w:ascii="Palatino Linotype" w:eastAsia="Palatino Linotype" w:hAnsi="Palatino Linotype" w:cs="Palatino Linotype"/>
        </w:rPr>
        <w:t>”.</w:t>
      </w:r>
    </w:p>
    <w:p w:rsidR="00A66727" w:rsidRPr="0071055D" w:rsidRDefault="00A66727">
      <w:pPr>
        <w:spacing w:line="360" w:lineRule="auto"/>
        <w:ind w:right="900"/>
        <w:jc w:val="both"/>
        <w:rPr>
          <w:rFonts w:ascii="Palatino Linotype" w:eastAsia="Palatino Linotype" w:hAnsi="Palatino Linotype" w:cs="Palatino Linotype"/>
          <w:b/>
          <w:bCs/>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A66727" w:rsidRPr="0071055D" w:rsidRDefault="00A66727">
      <w:pPr>
        <w:spacing w:line="360" w:lineRule="auto"/>
        <w:ind w:right="49"/>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66727" w:rsidRPr="0071055D" w:rsidRDefault="00934026">
      <w:pPr>
        <w:spacing w:after="240" w:line="360" w:lineRule="auto"/>
        <w:ind w:left="567" w:right="567"/>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Constitución Política de los Estados Unidos Mexicanos</w:t>
      </w:r>
    </w:p>
    <w:p w:rsidR="00A66727" w:rsidRPr="0071055D" w:rsidRDefault="00934026">
      <w:pPr>
        <w:spacing w:before="240" w:after="240" w:line="360" w:lineRule="auto"/>
        <w:ind w:left="567" w:right="567"/>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“Artículo 6.</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Para efectos de lo dispuesto en el presente artículo se observará lo siguiente:</w:t>
      </w:r>
    </w:p>
    <w:p w:rsidR="00A66727" w:rsidRPr="0071055D" w:rsidRDefault="00934026">
      <w:pPr>
        <w:spacing w:before="240" w:after="240" w:line="360" w:lineRule="auto"/>
        <w:ind w:left="567" w:right="567"/>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A</w:t>
      </w: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rPr>
        <w:t>Para el ejercicio del derecho de acceso a la información</w:t>
      </w:r>
      <w:r w:rsidRPr="0071055D">
        <w:rPr>
          <w:rFonts w:ascii="Palatino Linotype" w:eastAsia="Palatino Linotype" w:hAnsi="Palatino Linotype" w:cs="Palatino Linotype"/>
          <w:i/>
          <w:iCs/>
        </w:rPr>
        <w:t xml:space="preserve">, la Federación y </w:t>
      </w:r>
      <w:r w:rsidRPr="0071055D">
        <w:rPr>
          <w:rFonts w:ascii="Palatino Linotype" w:eastAsia="Palatino Linotype" w:hAnsi="Palatino Linotype" w:cs="Palatino Linotype"/>
          <w:b/>
          <w:bCs/>
          <w:i/>
          <w:iCs/>
        </w:rPr>
        <w:t>las entidades federativas, en el ámbito de sus respectivas competencias, se regirán por los siguientes principios y bases:</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I. Toda la información en posesión de cualquier</w:t>
      </w: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rPr>
        <w:t>autoridad</w:t>
      </w:r>
      <w:r w:rsidRPr="0071055D">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w:t>
      </w:r>
      <w:r w:rsidRPr="0071055D">
        <w:rPr>
          <w:rFonts w:ascii="Palatino Linotype" w:eastAsia="Palatino Linotype" w:hAnsi="Palatino Linotype" w:cs="Palatino Linotype"/>
          <w:i/>
          <w:iCs/>
        </w:rPr>
        <w:lastRenderedPageBreak/>
        <w:t xml:space="preserve">sindicato que reciba y ejerza recursos públicos o realice actos de autoridad en el ámbito federal, estatal y </w:t>
      </w:r>
      <w:r w:rsidRPr="0071055D">
        <w:rPr>
          <w:rFonts w:ascii="Palatino Linotype" w:eastAsia="Palatino Linotype" w:hAnsi="Palatino Linotype" w:cs="Palatino Linotype"/>
          <w:b/>
          <w:bCs/>
          <w:i/>
          <w:iCs/>
        </w:rPr>
        <w:t>municipal</w:t>
      </w: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rPr>
        <w:t>es pública</w:t>
      </w:r>
      <w:r w:rsidRPr="0071055D">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71055D">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71055D">
        <w:rPr>
          <w:rFonts w:ascii="Palatino Linotype" w:eastAsia="Palatino Linotype" w:hAnsi="Palatino Linotype" w:cs="Palatino Linotype"/>
          <w:i/>
          <w:iCs/>
        </w:rPr>
        <w:t>, la ley determinará los supuestos específicos bajo los cuales procederá la declaración de inexistencia de la información.”</w:t>
      </w:r>
    </w:p>
    <w:p w:rsidR="00A66727" w:rsidRPr="0071055D" w:rsidRDefault="00A66727">
      <w:pPr>
        <w:tabs>
          <w:tab w:val="left" w:pos="567"/>
        </w:tabs>
        <w:spacing w:before="240" w:line="360" w:lineRule="auto"/>
        <w:ind w:left="567" w:right="567"/>
        <w:jc w:val="both"/>
        <w:rPr>
          <w:rFonts w:ascii="Palatino Linotype" w:eastAsia="Palatino Linotype" w:hAnsi="Palatino Linotype" w:cs="Palatino Linotype"/>
          <w:b/>
          <w:bCs/>
          <w:i/>
          <w:iCs/>
        </w:rPr>
      </w:pPr>
    </w:p>
    <w:p w:rsidR="00A66727" w:rsidRPr="0071055D" w:rsidRDefault="00934026">
      <w:pPr>
        <w:spacing w:after="240" w:line="360" w:lineRule="auto"/>
        <w:ind w:left="567" w:right="567"/>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Constitución Política del Estado Libre y Soberano de México</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“Artículo 5</w:t>
      </w:r>
      <w:r w:rsidRPr="0071055D">
        <w:rPr>
          <w:rFonts w:ascii="Palatino Linotype" w:eastAsia="Palatino Linotype" w:hAnsi="Palatino Linotype" w:cs="Palatino Linotype"/>
          <w:i/>
          <w:iCs/>
        </w:rPr>
        <w:t xml:space="preserve">.- </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71055D">
        <w:rPr>
          <w:rFonts w:ascii="Palatino Linotype" w:eastAsia="Palatino Linotype" w:hAnsi="Palatino Linotype" w:cs="Palatino Linotype"/>
          <w:i/>
          <w:iCs/>
        </w:rPr>
        <w:t>.</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Este derecho se regirá por los principios y bases siguientes</w:t>
      </w:r>
      <w:r w:rsidRPr="0071055D">
        <w:rPr>
          <w:rFonts w:ascii="Palatino Linotype" w:eastAsia="Palatino Linotype" w:hAnsi="Palatino Linotype" w:cs="Palatino Linotype"/>
          <w:i/>
          <w:iCs/>
        </w:rPr>
        <w:t>:</w:t>
      </w:r>
    </w:p>
    <w:p w:rsidR="00A66727" w:rsidRPr="0071055D" w:rsidRDefault="00934026">
      <w:pPr>
        <w:spacing w:before="240" w:after="240" w:line="360" w:lineRule="auto"/>
        <w:ind w:left="567" w:right="567"/>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lastRenderedPageBreak/>
        <w:t>I. Toda la información en posesión de cualquier autoridad, entidad, órgano y organismos de los</w:t>
      </w:r>
      <w:r w:rsidRPr="0071055D">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71055D">
        <w:rPr>
          <w:rFonts w:ascii="Palatino Linotype" w:eastAsia="Palatino Linotype" w:hAnsi="Palatino Linotype" w:cs="Palatino Linotype"/>
          <w:b/>
          <w:bCs/>
          <w:i/>
          <w:iCs/>
        </w:rPr>
        <w:t>municipales</w:t>
      </w:r>
      <w:r w:rsidRPr="0071055D">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1055D">
        <w:rPr>
          <w:rFonts w:ascii="Palatino Linotype" w:eastAsia="Palatino Linotype" w:hAnsi="Palatino Linotype" w:cs="Palatino Linotype"/>
          <w:b/>
          <w:bCs/>
          <w:i/>
          <w:iCs/>
        </w:rPr>
        <w:t>es pública</w:t>
      </w:r>
      <w:r w:rsidRPr="0071055D">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71055D">
        <w:rPr>
          <w:rFonts w:ascii="Palatino Linotype" w:eastAsia="Palatino Linotype" w:hAnsi="Palatino Linotype" w:cs="Palatino Linotype"/>
          <w:b/>
          <w:bCs/>
          <w:i/>
          <w:iCs/>
        </w:rPr>
        <w:t>En la interpretación de este derecho deberá prevalecer el principio de máxima publicidad</w:t>
      </w: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rPr>
        <w:t>Los sujetos obligados deberán documentar todo acto que derive del ejercicio de sus facultades, competencias o funciones</w:t>
      </w:r>
      <w:r w:rsidRPr="0071055D">
        <w:rPr>
          <w:rFonts w:ascii="Palatino Linotype" w:eastAsia="Palatino Linotype" w:hAnsi="Palatino Linotype" w:cs="Palatino Linotype"/>
          <w:i/>
          <w:iCs/>
        </w:rPr>
        <w:t>, la ley determinará los supuestos específicos bajo los cuales procederá la declaración de inexistencia de la información.”</w:t>
      </w:r>
    </w:p>
    <w:p w:rsidR="00A66727" w:rsidRPr="0071055D" w:rsidRDefault="00934026">
      <w:pPr>
        <w:numPr>
          <w:ilvl w:val="0"/>
          <w:numId w:val="4"/>
        </w:numPr>
        <w:spacing w:before="240"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71055D">
        <w:rPr>
          <w:rFonts w:ascii="Palatino Linotype" w:eastAsia="Palatino Linotype" w:hAnsi="Palatino Linotype" w:cs="Palatino Linotype"/>
          <w:i/>
          <w:iCs/>
        </w:rPr>
        <w:t>por los principios de simplicidad, rapidez gratuidad del procedimiento, auxilio y orientación a los particulares</w:t>
      </w:r>
      <w:r w:rsidRPr="0071055D">
        <w:rPr>
          <w:rFonts w:ascii="Palatino Linotype" w:eastAsia="Palatino Linotype" w:hAnsi="Palatino Linotype" w:cs="Palatino Linotype"/>
        </w:rPr>
        <w:t>, contemplando el derecho de las personas con discapacidad y hablantes de lengua indígena.</w:t>
      </w:r>
    </w:p>
    <w:p w:rsidR="00A66727" w:rsidRPr="0071055D" w:rsidRDefault="00A66727">
      <w:pPr>
        <w:spacing w:line="360" w:lineRule="auto"/>
        <w:ind w:right="49"/>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El Derecho de Acceso a la Información se garantiza y respeta oportunamente, y según lo que dispone la Ley, las </w:t>
      </w:r>
      <w:r w:rsidRPr="0071055D">
        <w:rPr>
          <w:rFonts w:ascii="Palatino Linotype" w:eastAsia="Palatino Linotype" w:hAnsi="Palatino Linotype" w:cs="Palatino Linotype"/>
          <w:i/>
          <w:iCs/>
        </w:rPr>
        <w:t>solicitudes de acceso a la información</w:t>
      </w:r>
      <w:r w:rsidRPr="0071055D">
        <w:rPr>
          <w:rFonts w:ascii="Palatino Linotype" w:eastAsia="Palatino Linotype" w:hAnsi="Palatino Linotype" w:cs="Palatino Linotype"/>
        </w:rPr>
        <w:t>.</w:t>
      </w:r>
    </w:p>
    <w:p w:rsidR="00A66727" w:rsidRPr="0071055D" w:rsidRDefault="00A66727">
      <w:pPr>
        <w:spacing w:line="360" w:lineRule="auto"/>
        <w:ind w:right="49"/>
        <w:jc w:val="both"/>
        <w:rPr>
          <w:rFonts w:ascii="Palatino Linotype" w:eastAsia="Palatino Linotype" w:hAnsi="Palatino Linotype" w:cs="Palatino Linotype"/>
        </w:rPr>
      </w:pPr>
    </w:p>
    <w:p w:rsidR="00A66727" w:rsidRPr="0071055D" w:rsidRDefault="00934026">
      <w:pPr>
        <w:numPr>
          <w:ilvl w:val="0"/>
          <w:numId w:val="4"/>
        </w:numPr>
        <w:spacing w:line="360" w:lineRule="auto"/>
        <w:ind w:left="0" w:right="49" w:firstLine="0"/>
        <w:jc w:val="both"/>
        <w:rPr>
          <w:rFonts w:ascii="Palatino Linotype" w:eastAsia="Palatino Linotype" w:hAnsi="Palatino Linotype" w:cs="Palatino Linotype"/>
        </w:rPr>
      </w:pPr>
      <w:bookmarkStart w:id="10" w:name="_heading=h.4d34og8" w:colFirst="0" w:colLast="0"/>
      <w:bookmarkEnd w:id="10"/>
      <w:r w:rsidRPr="0071055D">
        <w:rPr>
          <w:rFonts w:ascii="Palatino Linotype" w:eastAsia="Palatino Linotype" w:hAnsi="Palatino Linotype" w:cs="Palatino Linotype"/>
        </w:rPr>
        <w:lastRenderedPageBreak/>
        <w:t xml:space="preserve">Así entonces, se procede analizar, en primer lugar, si el </w:t>
      </w:r>
      <w:r w:rsidRPr="0071055D">
        <w:rPr>
          <w:rFonts w:ascii="Palatino Linotype" w:eastAsia="Palatino Linotype" w:hAnsi="Palatino Linotype" w:cs="Palatino Linotype"/>
          <w:b/>
          <w:bCs/>
        </w:rPr>
        <w:t>SUJETO OBLIGADO</w:t>
      </w:r>
      <w:r w:rsidRPr="0071055D">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66727" w:rsidRPr="0071055D" w:rsidRDefault="00A66727">
      <w:pPr>
        <w:spacing w:line="360" w:lineRule="auto"/>
        <w:ind w:right="49"/>
        <w:jc w:val="both"/>
        <w:rPr>
          <w:rFonts w:ascii="Palatino Linotype" w:eastAsia="Palatino Linotype" w:hAnsi="Palatino Linotype" w:cs="Palatino Linotype"/>
        </w:rPr>
      </w:pPr>
    </w:p>
    <w:p w:rsidR="00A66727" w:rsidRPr="0071055D" w:rsidRDefault="00934026">
      <w:pPr>
        <w:keepNext/>
        <w:keepLines/>
        <w:spacing w:after="240" w:line="360" w:lineRule="auto"/>
        <w:rPr>
          <w:rFonts w:ascii="Palatino Linotype" w:eastAsia="Palatino Linotype" w:hAnsi="Palatino Linotype" w:cs="Palatino Linotype"/>
          <w:b/>
          <w:bCs/>
        </w:rPr>
      </w:pPr>
      <w:bookmarkStart w:id="11" w:name="_heading=h.2s8eyo1" w:colFirst="0" w:colLast="0"/>
      <w:bookmarkEnd w:id="11"/>
      <w:r w:rsidRPr="0071055D">
        <w:rPr>
          <w:rFonts w:ascii="Palatino Linotype" w:eastAsia="Palatino Linotype" w:hAnsi="Palatino Linotype" w:cs="Palatino Linotype"/>
          <w:b/>
          <w:bCs/>
        </w:rPr>
        <w:t>II. De la información solicitada y la respuesta del SUJETO OBLIGADO</w:t>
      </w: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71055D">
        <w:rPr>
          <w:rFonts w:ascii="Palatino Linotype" w:eastAsia="Palatino Linotype" w:hAnsi="Palatino Linotype" w:cs="Palatino Linotype"/>
          <w:b/>
          <w:bCs/>
        </w:rPr>
        <w:t>SUJETO OBLIGADO</w:t>
      </w:r>
      <w:r w:rsidRPr="0071055D">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A66727" w:rsidRPr="0071055D" w:rsidRDefault="00A6672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Ahora bien, recapitulando las constancias que integran el expediente electrónico en que se actúa, se tiene que el particular solicitó </w:t>
      </w:r>
      <w:r w:rsidRPr="0071055D">
        <w:rPr>
          <w:rFonts w:ascii="Palatino Linotype" w:eastAsia="Palatino Linotype" w:hAnsi="Palatino Linotype" w:cs="Palatino Linotype"/>
          <w:b/>
          <w:bCs/>
        </w:rPr>
        <w:t>copia de la contratación formal de la persona que refiere en la solicitud de información</w:t>
      </w:r>
      <w:r w:rsidRPr="0071055D">
        <w:rPr>
          <w:rFonts w:ascii="Palatino Linotype" w:eastAsia="Palatino Linotype" w:hAnsi="Palatino Linotype" w:cs="Palatino Linotype"/>
        </w:rPr>
        <w:t>.</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rPr>
        <w:t xml:space="preserve">Al respecto el </w:t>
      </w:r>
      <w:r w:rsidRPr="0071055D">
        <w:rPr>
          <w:rFonts w:ascii="Palatino Linotype" w:eastAsia="Palatino Linotype" w:hAnsi="Palatino Linotype" w:cs="Palatino Linotype"/>
          <w:b/>
          <w:bCs/>
        </w:rPr>
        <w:t xml:space="preserve">SUJETO </w:t>
      </w:r>
      <w:r w:rsidRPr="0071055D">
        <w:rPr>
          <w:rFonts w:ascii="Palatino Linotype" w:eastAsia="Palatino Linotype" w:hAnsi="Palatino Linotype" w:cs="Palatino Linotype"/>
          <w:b/>
          <w:bCs/>
          <w:color w:val="000000"/>
        </w:rPr>
        <w:t>OBLIGADO,</w:t>
      </w:r>
      <w:r w:rsidRPr="0071055D">
        <w:rPr>
          <w:rFonts w:ascii="Palatino Linotype" w:eastAsia="Palatino Linotype" w:hAnsi="Palatino Linotype" w:cs="Palatino Linotype"/>
          <w:color w:val="000000"/>
        </w:rPr>
        <w:t xml:space="preserve"> a través del Jefe de la Unidad de Información, Planeación, Programación y Evaluación y Titular de la Unidad de Transparencia informó, que después de realizar una búsqueda exhaustiva y razonable a la plantilla de personal que obra en los archivos del Departamento de Recursos Humanos y Materiales adscritos a la Unidad de Apoyo Administrativo del Consejo Estatal para el Desarrollo Integral de los Pueblos Indígenas del Estado de México, con corte a la segunda quincena de septiembre de </w:t>
      </w:r>
      <w:r w:rsidRPr="0071055D">
        <w:rPr>
          <w:rFonts w:ascii="Palatino Linotype" w:eastAsia="Palatino Linotype" w:hAnsi="Palatino Linotype" w:cs="Palatino Linotype"/>
          <w:color w:val="000000"/>
        </w:rPr>
        <w:lastRenderedPageBreak/>
        <w:t>2025, en el cual no se identificó que la persona de la que se requiere información, tenga o haya tenido alguna relación laboral con ese Organismo Descentralizado como servidor púbico general, de confianza y/o honorarios.</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En consecuencia, el </w:t>
      </w:r>
      <w:r w:rsidRPr="0071055D">
        <w:rPr>
          <w:rFonts w:ascii="Palatino Linotype" w:eastAsia="Palatino Linotype" w:hAnsi="Palatino Linotype" w:cs="Palatino Linotype"/>
          <w:b/>
          <w:bCs/>
        </w:rPr>
        <w:t xml:space="preserve">RECURRENTE, </w:t>
      </w:r>
      <w:r w:rsidRPr="0071055D">
        <w:rPr>
          <w:rFonts w:ascii="Palatino Linotype" w:eastAsia="Palatino Linotype" w:hAnsi="Palatino Linotype" w:cs="Palatino Linotype"/>
        </w:rPr>
        <w:t xml:space="preserve">se inconformó </w:t>
      </w:r>
      <w:r w:rsidRPr="0071055D">
        <w:rPr>
          <w:rFonts w:ascii="Palatino Linotype" w:eastAsia="Palatino Linotype" w:hAnsi="Palatino Linotype" w:cs="Palatino Linotype"/>
          <w:b/>
          <w:bCs/>
        </w:rPr>
        <w:t xml:space="preserve">por la negativa de la información solicitada, </w:t>
      </w:r>
      <w:r w:rsidRPr="0071055D">
        <w:rPr>
          <w:rFonts w:ascii="Palatino Linotype" w:eastAsia="Palatino Linotype" w:hAnsi="Palatino Linotype" w:cs="Palatino Linotype"/>
        </w:rPr>
        <w:t xml:space="preserve">por el </w:t>
      </w:r>
      <w:r w:rsidRPr="0071055D">
        <w:rPr>
          <w:rFonts w:ascii="Palatino Linotype" w:eastAsia="Palatino Linotype" w:hAnsi="Palatino Linotype" w:cs="Palatino Linotype"/>
          <w:b/>
          <w:bCs/>
        </w:rPr>
        <w:t xml:space="preserve">SUJETO OBLIGADO. </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Ahora bien, a fin de determinar que 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cumplió con la búsqueda exhaustiva exigida por la ley, basta traer a contexto las atribuciones del área que brindó respuesta a la solicitud de información, por lo que resulta necesario traer a colación lo establecido en el artículo 16 del Reglamento Interior del Consejo Estatal para el Desarrollo Integral de los Pueblos Indígenas del Estado de México , que a la letra establece:</w:t>
      </w:r>
    </w:p>
    <w:p w:rsidR="00A66727" w:rsidRPr="0071055D" w:rsidRDefault="00934026">
      <w:pPr>
        <w:pBdr>
          <w:top w:val="nil"/>
          <w:left w:val="nil"/>
          <w:bottom w:val="nil"/>
          <w:right w:val="nil"/>
          <w:between w:val="nil"/>
        </w:pBdr>
        <w:spacing w:line="360" w:lineRule="auto"/>
        <w:ind w:left="567" w:right="567"/>
        <w:jc w:val="both"/>
        <w:rPr>
          <w:i/>
          <w:iCs/>
        </w:rPr>
      </w:pPr>
      <w:r w:rsidRPr="0071055D">
        <w:rPr>
          <w:b/>
          <w:bCs/>
          <w:i/>
          <w:iCs/>
        </w:rPr>
        <w:t>UNIDAD DE APOYO ADMINISTRATIVO</w:t>
      </w:r>
    </w:p>
    <w:p w:rsidR="00A66727" w:rsidRPr="0071055D" w:rsidRDefault="00934026">
      <w:pPr>
        <w:pBdr>
          <w:top w:val="nil"/>
          <w:left w:val="nil"/>
          <w:bottom w:val="nil"/>
          <w:right w:val="nil"/>
          <w:between w:val="nil"/>
        </w:pBdr>
        <w:spacing w:line="360" w:lineRule="auto"/>
        <w:ind w:left="567" w:right="567"/>
        <w:jc w:val="both"/>
        <w:rPr>
          <w:i/>
          <w:iCs/>
        </w:rPr>
      </w:pPr>
      <w:r w:rsidRPr="0071055D">
        <w:rPr>
          <w:b/>
          <w:bCs/>
          <w:i/>
          <w:iCs/>
        </w:rPr>
        <w:t xml:space="preserve">Artículo 16. </w:t>
      </w:r>
      <w:r w:rsidRPr="0071055D">
        <w:rPr>
          <w:i/>
          <w:iCs/>
        </w:rPr>
        <w:t>Corresponde a la Unidad de Apoyo Administrativo:</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 xml:space="preserve">I. </w:t>
      </w:r>
      <w:r w:rsidRPr="0071055D">
        <w:rPr>
          <w:b/>
          <w:bCs/>
          <w:i/>
          <w:iCs/>
        </w:rPr>
        <w:t>Planear, organizar y controlar el suministro, administración y aplicación de los recursos humanos</w:t>
      </w:r>
      <w:r w:rsidRPr="0071055D">
        <w:rPr>
          <w:i/>
          <w:iCs/>
        </w:rPr>
        <w:t xml:space="preserve">, materiales y financieros, así como los servicios generales necesarios para el funcionamiento de las unidades administrativas del CEDIPIEM, en términos de la normatividad en la materia; </w:t>
      </w:r>
    </w:p>
    <w:p w:rsidR="00A66727" w:rsidRPr="0071055D" w:rsidRDefault="00934026">
      <w:pPr>
        <w:pBdr>
          <w:top w:val="nil"/>
          <w:left w:val="nil"/>
          <w:bottom w:val="nil"/>
          <w:right w:val="nil"/>
          <w:between w:val="nil"/>
        </w:pBdr>
        <w:spacing w:line="360" w:lineRule="auto"/>
        <w:ind w:left="567" w:right="567"/>
        <w:jc w:val="both"/>
        <w:rPr>
          <w:i/>
          <w:iCs/>
        </w:rPr>
      </w:pPr>
      <w:r w:rsidRPr="0071055D">
        <w:rPr>
          <w:b/>
          <w:bCs/>
          <w:i/>
          <w:iCs/>
        </w:rPr>
        <w:t>II. Establecer políticas y procedimientos para la administración de los recursos humanos,</w:t>
      </w:r>
      <w:r w:rsidRPr="0071055D">
        <w:rPr>
          <w:i/>
          <w:iCs/>
        </w:rPr>
        <w:t xml:space="preserve"> materiales y financieros, y llevar a cabo su seguimiento y control, de acuerdo con los objetivos, lineamientos y estrategias definidas en los programas, proyectos y acciones del CEDIPIEM;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 xml:space="preserve">III. Integrar el anteproyecto de presupuesto anual de ingresos y de egresos del CEDIPIEM y someterlo a consideración del Vocal Ejecutivo, así como realizar la calendarización de los recursos del presupuesto autorizado;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lastRenderedPageBreak/>
        <w:t xml:space="preserve">IV. Ejecutar los procedimientos sobre el ejercicio y control del presupuesto asignado al CEDIPIEM;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V. Autorizar los reportes de avance programático-presupuestal del CEDIPIEM;</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 xml:space="preserve"> VI. Coordinar, consolidar y controlar la información sobre el ejercicio del gasto y la captación de ingresos e informar al Vocal Ejecutivo sobre el comportamiento del mismo; VII. Proponer al Vocal Ejecutivo las transferencias del presupuesto de las partidas autorizadas, con base en las necesidades de operación del CEDIPIEM y conforme a la normatividad aplicable;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VIII. Vigilar el cumplimiento de las disposiciones legales en materia de adquisiciones, arrendamientos, administración de servicios generales y recursos materiales;</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 xml:space="preserve">XIII. Elaborar, someter a revisión y suscribir los contratos y convenios derivados de los procedimientos adquisitivos de bienes, arrendamientos, servicios, obra pública y servicios relativos con la misma, con base en la normatividad aplicable, previo acuerdo del Vocal Ejecutivo;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w:t>
      </w:r>
    </w:p>
    <w:p w:rsidR="00A66727" w:rsidRPr="0071055D" w:rsidRDefault="00934026">
      <w:pPr>
        <w:pBdr>
          <w:top w:val="nil"/>
          <w:left w:val="nil"/>
          <w:bottom w:val="nil"/>
          <w:right w:val="nil"/>
          <w:between w:val="nil"/>
        </w:pBdr>
        <w:spacing w:line="360" w:lineRule="auto"/>
        <w:ind w:left="567" w:right="567"/>
        <w:jc w:val="both"/>
        <w:rPr>
          <w:i/>
          <w:iCs/>
        </w:rPr>
      </w:pPr>
      <w:r w:rsidRPr="0071055D">
        <w:rPr>
          <w:b/>
          <w:bCs/>
          <w:i/>
          <w:iCs/>
          <w:u w:val="single"/>
        </w:rPr>
        <w:t>XVI. Tramitar los movimientos de altas, bajas, cambios, permisos y licencias del personal del CEDIPIEM, en términos de las disposiciones legales</w:t>
      </w:r>
      <w:r w:rsidRPr="0071055D">
        <w:rPr>
          <w:i/>
          <w:iCs/>
        </w:rPr>
        <w:t xml:space="preserve">; </w:t>
      </w:r>
    </w:p>
    <w:p w:rsidR="00A66727" w:rsidRPr="0071055D" w:rsidRDefault="00934026">
      <w:pPr>
        <w:pBdr>
          <w:top w:val="nil"/>
          <w:left w:val="nil"/>
          <w:bottom w:val="nil"/>
          <w:right w:val="nil"/>
          <w:between w:val="nil"/>
        </w:pBdr>
        <w:spacing w:line="360" w:lineRule="auto"/>
        <w:ind w:left="567" w:right="567"/>
        <w:jc w:val="both"/>
        <w:rPr>
          <w:i/>
          <w:iCs/>
        </w:rPr>
      </w:pPr>
      <w:r w:rsidRPr="0071055D">
        <w:rPr>
          <w:i/>
          <w:iCs/>
        </w:rPr>
        <w:t xml:space="preserve">XVII. Promover la capacitación y profesionalización de las personas servidoras públicas del CEDIPIEM; </w:t>
      </w:r>
    </w:p>
    <w:p w:rsidR="00A66727" w:rsidRPr="0071055D" w:rsidRDefault="00934026">
      <w:pPr>
        <w:pBdr>
          <w:top w:val="nil"/>
          <w:left w:val="nil"/>
          <w:bottom w:val="nil"/>
          <w:right w:val="nil"/>
          <w:between w:val="nil"/>
        </w:pBdr>
        <w:spacing w:line="360" w:lineRule="auto"/>
        <w:ind w:left="567" w:right="567"/>
        <w:jc w:val="both"/>
        <w:rPr>
          <w:b/>
          <w:bCs/>
          <w:i/>
          <w:iCs/>
        </w:rPr>
      </w:pPr>
      <w:r w:rsidRPr="0071055D">
        <w:rPr>
          <w:b/>
          <w:bCs/>
          <w:i/>
          <w:iCs/>
        </w:rPr>
        <w:t xml:space="preserve">XVIII. Vigilar la aplicación de las condiciones generales de trabajo del CEDIPIEM; </w:t>
      </w:r>
    </w:p>
    <w:p w:rsidR="00A66727" w:rsidRDefault="00934026">
      <w:pPr>
        <w:pBdr>
          <w:top w:val="nil"/>
          <w:left w:val="nil"/>
          <w:bottom w:val="nil"/>
          <w:right w:val="nil"/>
          <w:between w:val="nil"/>
        </w:pBdr>
        <w:spacing w:line="360" w:lineRule="auto"/>
        <w:ind w:left="567" w:right="567"/>
        <w:jc w:val="both"/>
        <w:rPr>
          <w:i/>
          <w:iCs/>
        </w:rPr>
      </w:pPr>
      <w:r w:rsidRPr="0071055D">
        <w:rPr>
          <w:i/>
          <w:iCs/>
        </w:rPr>
        <w:t>(…)</w:t>
      </w:r>
    </w:p>
    <w:p w:rsidR="0071055D" w:rsidRPr="0071055D" w:rsidRDefault="0071055D">
      <w:pPr>
        <w:pBdr>
          <w:top w:val="nil"/>
          <w:left w:val="nil"/>
          <w:bottom w:val="nil"/>
          <w:right w:val="nil"/>
          <w:between w:val="nil"/>
        </w:pBdr>
        <w:spacing w:line="360" w:lineRule="auto"/>
        <w:ind w:left="567" w:right="567"/>
        <w:jc w:val="both"/>
        <w:rPr>
          <w:i/>
          <w:iCs/>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Así mismo el Manual General de Organización del Consejo Estatal para el Desarrollo Integral de los Pueblos Indígenas del Estado de México, establece disposiciones aplicables </w:t>
      </w:r>
      <w:r w:rsidRPr="0071055D">
        <w:rPr>
          <w:rFonts w:ascii="Palatino Linotype" w:eastAsia="Palatino Linotype" w:hAnsi="Palatino Linotype" w:cs="Palatino Linotype"/>
          <w:color w:val="000000"/>
        </w:rPr>
        <w:lastRenderedPageBreak/>
        <w:t xml:space="preserve">para la administración de los recursos humanos a través de diversas Unidades Administrativas, estableciendo las siguientes: </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u w:val="single"/>
        </w:rPr>
      </w:pPr>
      <w:r w:rsidRPr="0071055D">
        <w:rPr>
          <w:rFonts w:ascii="Palatino Linotype" w:eastAsia="Palatino Linotype" w:hAnsi="Palatino Linotype" w:cs="Palatino Linotype"/>
          <w:b/>
          <w:bCs/>
          <w:i/>
          <w:iCs/>
          <w:u w:val="single"/>
        </w:rPr>
        <w:t>211C0101000100S ÓRGANO INTERNO DE CONTROL</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OBJETIVO:</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u w:val="single"/>
        </w:rPr>
        <w:t>Supervisar y verificar el cumplimiento de la normatividad, políticas y disposiciones aplicables en la administración de los recursos humanos, materiales y financieros</w:t>
      </w:r>
      <w:r w:rsidRPr="0071055D">
        <w:rPr>
          <w:rFonts w:ascii="Palatino Linotype" w:eastAsia="Palatino Linotype" w:hAnsi="Palatino Linotype" w:cs="Palatino Linotype"/>
          <w:i/>
          <w:iCs/>
        </w:rPr>
        <w:t>, (…) mediante la ejecución de auditorías y acciones de control y evaluación; asimismo vigilar la correcta ejecución de los programas, proyectos y acciones a cargo del Organismo.</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u w:val="single"/>
        </w:rPr>
      </w:pPr>
      <w:r w:rsidRPr="0071055D">
        <w:rPr>
          <w:rFonts w:ascii="Palatino Linotype" w:eastAsia="Palatino Linotype" w:hAnsi="Palatino Linotype" w:cs="Palatino Linotype"/>
          <w:b/>
          <w:bCs/>
          <w:i/>
          <w:iCs/>
          <w:u w:val="single"/>
        </w:rPr>
        <w:t>211C0101000200S UNIDAD DE APOYO ADMINISTRATIVO OBJETIVO</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u w:val="single"/>
        </w:rPr>
        <w:t>Programar, dirigir y controlar las actividades relacionadas con el manejo de los recursos humanos, materiales y financieros</w:t>
      </w:r>
      <w:r w:rsidRPr="0071055D">
        <w:rPr>
          <w:rFonts w:ascii="Palatino Linotype" w:eastAsia="Palatino Linotype" w:hAnsi="Palatino Linotype" w:cs="Palatino Linotype"/>
          <w:i/>
          <w:iCs/>
        </w:rPr>
        <w:t>, así como la prestación de servicios generales que requieran las unidades administrativas del Consejo Estatal para el Desarrollo Integral de los Pueblos Indígenas del Estado de México, para el cumplimiento de sus funciones.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FUNCIONES:</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rPr>
        <w:t xml:space="preserve">Diseñar e instrumentar los procedimientos para el reclutamiento, selección, </w:t>
      </w:r>
      <w:r w:rsidRPr="0071055D">
        <w:rPr>
          <w:rFonts w:ascii="Palatino Linotype" w:eastAsia="Palatino Linotype" w:hAnsi="Palatino Linotype" w:cs="Palatino Linotype"/>
          <w:b/>
          <w:bCs/>
          <w:i/>
          <w:iCs/>
          <w:u w:val="single"/>
        </w:rPr>
        <w:t>contratación,</w:t>
      </w:r>
      <w:r w:rsidRPr="0071055D">
        <w:rPr>
          <w:rFonts w:ascii="Palatino Linotype" w:eastAsia="Palatino Linotype" w:hAnsi="Palatino Linotype" w:cs="Palatino Linotype"/>
          <w:b/>
          <w:bCs/>
          <w:i/>
          <w:iCs/>
        </w:rPr>
        <w:t xml:space="preserve"> capacitación, inducción, desarrollo y administración del personal</w:t>
      </w:r>
      <w:r w:rsidRPr="0071055D">
        <w:rPr>
          <w:rFonts w:ascii="Palatino Linotype" w:eastAsia="Palatino Linotype" w:hAnsi="Palatino Linotype" w:cs="Palatino Linotype"/>
          <w:i/>
          <w:iCs/>
        </w:rPr>
        <w:t xml:space="preserve"> que labora en el CEDIPIEM, conforme a la normatividad establecida por la Secretaría de Finanzas.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--Supervisar el cumplimiento de los lineamientos</w:t>
      </w:r>
      <w:r w:rsidRPr="0071055D">
        <w:rPr>
          <w:rFonts w:ascii="Palatino Linotype" w:eastAsia="Palatino Linotype" w:hAnsi="Palatino Linotype" w:cs="Palatino Linotype"/>
          <w:i/>
          <w:iCs/>
        </w:rPr>
        <w:t xml:space="preserve"> establecidos por la Secretaría de </w:t>
      </w:r>
      <w:r w:rsidRPr="0071055D">
        <w:rPr>
          <w:rFonts w:ascii="Palatino Linotype" w:eastAsia="Palatino Linotype" w:hAnsi="Palatino Linotype" w:cs="Palatino Linotype"/>
          <w:b/>
          <w:bCs/>
          <w:i/>
          <w:iCs/>
        </w:rPr>
        <w:t>Finanzas en materia de administración de recursos humanos,</w:t>
      </w:r>
      <w:r w:rsidRPr="0071055D">
        <w:rPr>
          <w:rFonts w:ascii="Palatino Linotype" w:eastAsia="Palatino Linotype" w:hAnsi="Palatino Linotype" w:cs="Palatino Linotype"/>
          <w:i/>
          <w:iCs/>
        </w:rPr>
        <w:t xml:space="preserve"> materiales, financieros y servicios generales.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211C0101000201S DEPARTAMENTO DE RECURSOS HUMANOS Y MATERIALES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lastRenderedPageBreak/>
        <w:t xml:space="preserve">OBJETIVO: </w:t>
      </w:r>
      <w:r w:rsidRPr="0071055D">
        <w:rPr>
          <w:rFonts w:ascii="Palatino Linotype" w:eastAsia="Palatino Linotype" w:hAnsi="Palatino Linotype" w:cs="Palatino Linotype"/>
          <w:b/>
          <w:bCs/>
          <w:i/>
          <w:iCs/>
        </w:rPr>
        <w:t>Operar los</w:t>
      </w:r>
      <w:r w:rsidRPr="0071055D">
        <w:rPr>
          <w:rFonts w:ascii="Palatino Linotype" w:eastAsia="Palatino Linotype" w:hAnsi="Palatino Linotype" w:cs="Palatino Linotype"/>
          <w:i/>
          <w:iCs/>
        </w:rPr>
        <w:t xml:space="preserve"> procedimientos para la administración y </w:t>
      </w:r>
      <w:r w:rsidRPr="0071055D">
        <w:rPr>
          <w:rFonts w:ascii="Palatino Linotype" w:eastAsia="Palatino Linotype" w:hAnsi="Palatino Linotype" w:cs="Palatino Linotype"/>
          <w:b/>
          <w:bCs/>
          <w:i/>
          <w:iCs/>
        </w:rPr>
        <w:t>desarrollo de los recursos humanos</w:t>
      </w:r>
      <w:r w:rsidRPr="0071055D">
        <w:rPr>
          <w:rFonts w:ascii="Palatino Linotype" w:eastAsia="Palatino Linotype" w:hAnsi="Palatino Linotype" w:cs="Palatino Linotype"/>
          <w:i/>
          <w:iCs/>
        </w:rPr>
        <w:t>, así como para la adquisición, almacenamiento, suministro y control de los recursos materiales y servicios generales que requieran las unidades administrativas del Consejo Estatal para el Desarrollo Integral de los Pueblos Indígenas del Estado de México, para el desarrollo de sus funciones</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FUNCIONES:</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u w:val="single"/>
        </w:rPr>
      </w:pP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u w:val="single"/>
        </w:rPr>
        <w:t>Elaborar y mantener actualizada la plantilla y los expedientes del personal adscrito al Consejo Estatal para el Desarrollo Integral de los Pueblos Indígenas del Estado de México.</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xml:space="preserve">− </w:t>
      </w:r>
      <w:r w:rsidRPr="0071055D">
        <w:rPr>
          <w:rFonts w:ascii="Palatino Linotype" w:eastAsia="Palatino Linotype" w:hAnsi="Palatino Linotype" w:cs="Palatino Linotype"/>
          <w:b/>
          <w:bCs/>
          <w:i/>
          <w:iCs/>
          <w:u w:val="single"/>
        </w:rPr>
        <w:t>Realizar el reclutamiento, selección, contratación, inducción y desarrollo del personal</w:t>
      </w:r>
      <w:r w:rsidRPr="0071055D">
        <w:rPr>
          <w:rFonts w:ascii="Palatino Linotype" w:eastAsia="Palatino Linotype" w:hAnsi="Palatino Linotype" w:cs="Palatino Linotype"/>
          <w:i/>
          <w:iCs/>
        </w:rPr>
        <w:t xml:space="preserve"> que labora en el Consejo Estatal para el Desarrollo Integral de los Pueblos Indígenas del Estado de México, de conformidad con la normatividad vigente en la materia.</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b/>
          <w:bCs/>
          <w:i/>
          <w:iCs/>
        </w:rPr>
        <w:t>− Realizar las altas, bajas, licencias, promociones, incapacidades y demás movimientos del personal que presta sus servicios en el CEDIPIEM</w:t>
      </w:r>
      <w:r w:rsidRPr="0071055D">
        <w:rPr>
          <w:rFonts w:ascii="Palatino Linotype" w:eastAsia="Palatino Linotype" w:hAnsi="Palatino Linotype" w:cs="Palatino Linotype"/>
          <w:i/>
          <w:iCs/>
        </w:rPr>
        <w:t>, con base en la normatividad y procedimientos establecidos por la Dirección General de Personal de la Secretaría de Finanzas del Gobierno del Estado de México.</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Efectuar el registro y control de las asistencias, faltas y demás incidencias en que incurra el personal, para realizar las afectaciones correspondientes conforme a la normatividad establecida por la Secretaría de Finanzas.</w:t>
      </w: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Verificar que los lineamientos emitidos por la Secretaría de Finanzas en materia de administración de recursos humanos, materiales y servicios generales, se cumplan de conformidad con las disposiciones establecidas.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b/>
          <w:bCs/>
          <w:i/>
          <w:iCs/>
        </w:rPr>
      </w:pPr>
      <w:r w:rsidRPr="0071055D">
        <w:rPr>
          <w:rFonts w:ascii="Palatino Linotype" w:eastAsia="Palatino Linotype" w:hAnsi="Palatino Linotype" w:cs="Palatino Linotype"/>
          <w:b/>
          <w:bCs/>
          <w:i/>
          <w:iCs/>
        </w:rPr>
        <w:t>211C0101000202S DEPARTAMENTO DE FINANZAS</w:t>
      </w:r>
    </w:p>
    <w:p w:rsidR="00A66727" w:rsidRPr="0071055D" w:rsidRDefault="00A66727">
      <w:pPr>
        <w:pBdr>
          <w:top w:val="nil"/>
          <w:left w:val="nil"/>
          <w:bottom w:val="nil"/>
          <w:right w:val="nil"/>
          <w:between w:val="nil"/>
        </w:pBdr>
        <w:ind w:left="567" w:right="614"/>
        <w:jc w:val="both"/>
        <w:rPr>
          <w:rFonts w:ascii="Palatino Linotype" w:eastAsia="Palatino Linotype" w:hAnsi="Palatino Linotype" w:cs="Palatino Linotype"/>
          <w:i/>
          <w:iCs/>
        </w:rPr>
      </w:pPr>
    </w:p>
    <w:p w:rsidR="00A66727" w:rsidRPr="0071055D" w:rsidRDefault="00934026">
      <w:pPr>
        <w:pBdr>
          <w:top w:val="nil"/>
          <w:left w:val="nil"/>
          <w:bottom w:val="nil"/>
          <w:right w:val="nil"/>
          <w:between w:val="nil"/>
        </w:pBdr>
        <w:ind w:left="567" w:right="614"/>
        <w:jc w:val="both"/>
        <w:rPr>
          <w:rFonts w:ascii="Palatino Linotype" w:eastAsia="Palatino Linotype" w:hAnsi="Palatino Linotype" w:cs="Palatino Linotype"/>
          <w:i/>
          <w:iCs/>
        </w:rPr>
      </w:pPr>
      <w:r w:rsidRPr="0071055D">
        <w:rPr>
          <w:rFonts w:ascii="Palatino Linotype" w:eastAsia="Palatino Linotype" w:hAnsi="Palatino Linotype" w:cs="Palatino Linotype"/>
          <w:i/>
          <w:iCs/>
        </w:rPr>
        <w:t>− Revisar y registrar las facturas y documentos comprobatorios remitidos por el Departamento de Recursos Humanos y Materiales para amparar las erogaciones realizadas.</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Con lo antes descrito se vislumbra que además del Departamento de Recursos Humanos, existen diversas Unidades Administrativas que llevan a cabo actividades </w:t>
      </w:r>
      <w:r w:rsidRPr="0071055D">
        <w:rPr>
          <w:rFonts w:ascii="Palatino Linotype" w:eastAsia="Palatino Linotype" w:hAnsi="Palatino Linotype" w:cs="Palatino Linotype"/>
          <w:color w:val="000000"/>
        </w:rPr>
        <w:lastRenderedPageBreak/>
        <w:t xml:space="preserve">relacionadas con las administración de los recursos humanos, sin embargo del expediente electrónico </w:t>
      </w:r>
      <w:r w:rsidR="0071055D">
        <w:rPr>
          <w:rFonts w:ascii="Palatino Linotype" w:eastAsia="Palatino Linotype" w:hAnsi="Palatino Linotype" w:cs="Palatino Linotype"/>
          <w:color w:val="000000"/>
        </w:rPr>
        <w:t xml:space="preserve">en el que se </w:t>
      </w:r>
      <w:r w:rsidRPr="0071055D">
        <w:rPr>
          <w:rFonts w:ascii="Palatino Linotype" w:eastAsia="Palatino Linotype" w:hAnsi="Palatino Linotype" w:cs="Palatino Linotype"/>
          <w:color w:val="000000"/>
        </w:rPr>
        <w:t xml:space="preserve">actúa, no se advierte que se les haya realizado el requerimiento de la información, por tanto se advierte que 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 xml:space="preserve">no llevo a cabo la búsqueda exhaustiva exigida por la ley de la materia. </w:t>
      </w:r>
    </w:p>
    <w:p w:rsidR="00A66727" w:rsidRPr="0071055D" w:rsidRDefault="00A667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Al respecto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66727" w:rsidRPr="0071055D" w:rsidRDefault="00A66727">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71055D">
        <w:rPr>
          <w:rFonts w:ascii="Palatino Linotype" w:eastAsia="Palatino Linotype" w:hAnsi="Palatino Linotype" w:cs="Palatino Linotype"/>
          <w:color w:val="000000"/>
          <w:vertAlign w:val="superscript"/>
        </w:rPr>
        <w:footnoteReference w:id="5"/>
      </w:r>
      <w:r w:rsidRPr="0071055D">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71055D">
        <w:rPr>
          <w:rFonts w:ascii="Palatino Linotype" w:eastAsia="Palatino Linotype" w:hAnsi="Palatino Linotype" w:cs="Palatino Linotype"/>
          <w:color w:val="000000"/>
          <w:vertAlign w:val="superscript"/>
        </w:rPr>
        <w:footnoteReference w:id="6"/>
      </w:r>
      <w:r w:rsidRPr="0071055D">
        <w:rPr>
          <w:rFonts w:ascii="Palatino Linotype" w:eastAsia="Palatino Linotype" w:hAnsi="Palatino Linotype" w:cs="Palatino Linotype"/>
          <w:color w:val="000000"/>
        </w:rPr>
        <w:t>.</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lastRenderedPageBreak/>
        <w:t>De conformidad con lo dispuesto en la Ley de Transparencia y Acceso a la Información Pública del Estado de México y Municipios, las Unidades de Transparencia tendrán, entre sus atribuciones, las siguientes:</w:t>
      </w:r>
    </w:p>
    <w:p w:rsidR="00A66727" w:rsidRPr="0071055D" w:rsidRDefault="00934026">
      <w:pPr>
        <w:numPr>
          <w:ilvl w:val="1"/>
          <w:numId w:val="5"/>
        </w:numPr>
        <w:pBdr>
          <w:top w:val="nil"/>
          <w:left w:val="nil"/>
          <w:bottom w:val="nil"/>
          <w:right w:val="nil"/>
          <w:between w:val="nil"/>
        </w:pBdr>
        <w:spacing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Recibir, tramitar y dar respuesta a las solicitudes de acceso a la información;</w:t>
      </w:r>
    </w:p>
    <w:p w:rsidR="00A66727" w:rsidRPr="0071055D" w:rsidRDefault="00934026">
      <w:pPr>
        <w:numPr>
          <w:ilvl w:val="1"/>
          <w:numId w:val="5"/>
        </w:numPr>
        <w:pBdr>
          <w:top w:val="nil"/>
          <w:left w:val="nil"/>
          <w:bottom w:val="nil"/>
          <w:right w:val="nil"/>
          <w:between w:val="nil"/>
        </w:pBdr>
        <w:spacing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A66727" w:rsidRPr="0071055D" w:rsidRDefault="00934026">
      <w:pPr>
        <w:numPr>
          <w:ilvl w:val="1"/>
          <w:numId w:val="5"/>
        </w:numPr>
        <w:pBdr>
          <w:top w:val="nil"/>
          <w:left w:val="nil"/>
          <w:bottom w:val="nil"/>
          <w:right w:val="nil"/>
          <w:between w:val="nil"/>
        </w:pBdr>
        <w:spacing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Entregar, en su caso, a los particulares la información solicitada; y </w:t>
      </w:r>
    </w:p>
    <w:p w:rsidR="00A66727" w:rsidRPr="0071055D" w:rsidRDefault="00934026">
      <w:pPr>
        <w:numPr>
          <w:ilvl w:val="1"/>
          <w:numId w:val="5"/>
        </w:numPr>
        <w:pBdr>
          <w:top w:val="nil"/>
          <w:left w:val="nil"/>
          <w:bottom w:val="nil"/>
          <w:right w:val="nil"/>
          <w:between w:val="nil"/>
        </w:pBdr>
        <w:spacing w:after="240"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Efectuar las notificaciones a los solicitantes.</w:t>
      </w: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71055D">
        <w:rPr>
          <w:rFonts w:ascii="Palatino Linotype" w:eastAsia="Palatino Linotype" w:hAnsi="Palatino Linotype" w:cs="Palatino Linotype"/>
          <w:b/>
          <w:bCs/>
          <w:color w:val="000000"/>
        </w:rPr>
        <w:t xml:space="preserve">SUJETO OBLIGADO </w:t>
      </w:r>
      <w:r w:rsidRPr="0071055D">
        <w:rPr>
          <w:rFonts w:ascii="Palatino Linotype" w:eastAsia="Palatino Linotype" w:hAnsi="Palatino Linotype" w:cs="Palatino Linotype"/>
          <w:color w:val="000000"/>
        </w:rPr>
        <w:t>a propuesta del responsable de la Unidad de Transparencia</w:t>
      </w:r>
      <w:r w:rsidRPr="0071055D">
        <w:rPr>
          <w:rFonts w:ascii="Palatino Linotype" w:eastAsia="Palatino Linotype" w:hAnsi="Palatino Linotype" w:cs="Palatino Linotype"/>
          <w:color w:val="000000"/>
          <w:vertAlign w:val="superscript"/>
        </w:rPr>
        <w:footnoteReference w:id="7"/>
      </w:r>
      <w:r w:rsidRPr="0071055D">
        <w:rPr>
          <w:rFonts w:ascii="Palatino Linotype" w:eastAsia="Palatino Linotype" w:hAnsi="Palatino Linotype" w:cs="Palatino Linotype"/>
          <w:color w:val="000000"/>
        </w:rPr>
        <w:t xml:space="preserve"> y tendrán, entre sus atribuciones, las siguientes</w:t>
      </w:r>
      <w:r w:rsidRPr="0071055D">
        <w:rPr>
          <w:rFonts w:ascii="Palatino Linotype" w:eastAsia="Palatino Linotype" w:hAnsi="Palatino Linotype" w:cs="Palatino Linotype"/>
          <w:color w:val="000000"/>
          <w:vertAlign w:val="superscript"/>
        </w:rPr>
        <w:footnoteReference w:id="8"/>
      </w:r>
      <w:r w:rsidRPr="0071055D">
        <w:rPr>
          <w:rFonts w:ascii="Palatino Linotype" w:eastAsia="Palatino Linotype" w:hAnsi="Palatino Linotype" w:cs="Palatino Linotype"/>
          <w:color w:val="000000"/>
        </w:rPr>
        <w:t>:</w:t>
      </w:r>
    </w:p>
    <w:p w:rsidR="00A66727" w:rsidRPr="0071055D" w:rsidRDefault="00934026">
      <w:pPr>
        <w:numPr>
          <w:ilvl w:val="1"/>
          <w:numId w:val="6"/>
        </w:numPr>
        <w:pBdr>
          <w:top w:val="nil"/>
          <w:left w:val="nil"/>
          <w:bottom w:val="nil"/>
          <w:right w:val="nil"/>
          <w:between w:val="nil"/>
        </w:pBdr>
        <w:spacing w:before="240"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Localizar la información que le solicite la Unidad de Transparencia; y</w:t>
      </w:r>
    </w:p>
    <w:p w:rsidR="00A66727" w:rsidRPr="0071055D" w:rsidRDefault="00934026">
      <w:pPr>
        <w:numPr>
          <w:ilvl w:val="1"/>
          <w:numId w:val="6"/>
        </w:numPr>
        <w:pBdr>
          <w:top w:val="nil"/>
          <w:left w:val="nil"/>
          <w:bottom w:val="nil"/>
          <w:right w:val="nil"/>
          <w:between w:val="nil"/>
        </w:pBdr>
        <w:spacing w:after="240" w:line="360" w:lineRule="auto"/>
        <w:ind w:left="709" w:hanging="142"/>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Proporcionar la información que obre en los archivos y que le sea solicitada por la Unidad de Transparencia.</w:t>
      </w: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color w:val="000000"/>
        </w:rPr>
        <w:t xml:space="preserve">De tal manera que cada una de las áreas administrativas del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w:t>
      </w:r>
      <w:r w:rsidRPr="0071055D">
        <w:rPr>
          <w:rFonts w:ascii="Palatino Linotype" w:eastAsia="Palatino Linotype" w:hAnsi="Palatino Linotype" w:cs="Palatino Linotype"/>
          <w:color w:val="000000"/>
        </w:rPr>
        <w:lastRenderedPageBreak/>
        <w:t>proporcionar la información que se requiera a través de las solicitudes de acceso a la información.</w:t>
      </w:r>
    </w:p>
    <w:p w:rsidR="00A66727" w:rsidRPr="0071055D" w:rsidRDefault="00A66727">
      <w:pPr>
        <w:spacing w:line="360" w:lineRule="auto"/>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53</w:t>
      </w:r>
      <w:r w:rsidRPr="0071055D">
        <w:rPr>
          <w:rFonts w:ascii="Palatino Linotype" w:eastAsia="Palatino Linotype" w:hAnsi="Palatino Linotype" w:cs="Palatino Linotype"/>
          <w:i/>
          <w:iCs/>
          <w:color w:val="000000"/>
        </w:rPr>
        <w:t xml:space="preserve">. Las Unidades de Transparencia tendrán las siguientes funciones: </w:t>
      </w:r>
    </w:p>
    <w:p w:rsidR="00A66727" w:rsidRPr="0071055D" w:rsidRDefault="00A66727">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b/>
          <w:bCs/>
          <w:i/>
          <w:iCs/>
          <w:color w:val="000000"/>
        </w:rPr>
        <w:t xml:space="preserve">II. Recibir, tramitar y dar respuesta a las solicitudes de acceso a la información;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 Entregar, en su caso, a los particulares la información solicitada;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VI. Efectuar las notificaciones a los solicitantes;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X. Presentar ante el Comité, el proyecto de clasificación de información;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lastRenderedPageBreak/>
        <w:t xml:space="preserve">XI. Promover e implementar políticas de transparencia proactiva procurando su accesibilidad;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XII. Fomentar la transparencia y accesibilidad al interior del sujeto obligado; </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A66727" w:rsidRPr="0071055D" w:rsidRDefault="00934026">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A66727" w:rsidRPr="0071055D" w:rsidRDefault="00934026">
      <w:pPr>
        <w:pBdr>
          <w:top w:val="nil"/>
          <w:left w:val="nil"/>
          <w:bottom w:val="nil"/>
          <w:right w:val="nil"/>
          <w:between w:val="nil"/>
        </w:pBdr>
        <w:tabs>
          <w:tab w:val="left" w:pos="426"/>
        </w:tabs>
        <w:spacing w:after="240"/>
        <w:ind w:left="567" w:right="567"/>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A66727" w:rsidRPr="0071055D" w:rsidRDefault="00A6672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rsidR="00A66727" w:rsidRPr="0071055D" w:rsidRDefault="00A6672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bookmarkStart w:id="12" w:name="_heading=h.iqcos1dk4hfk" w:colFirst="0" w:colLast="0"/>
      <w:bookmarkEnd w:id="12"/>
      <w:r w:rsidRPr="0071055D">
        <w:rPr>
          <w:rFonts w:ascii="Palatino Linotype" w:eastAsia="Palatino Linotype" w:hAnsi="Palatino Linotype" w:cs="Palatino Linotype"/>
          <w:color w:val="000000"/>
        </w:rPr>
        <w:t xml:space="preserve">En este sentido, se advierte que si bien 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remitió respuesta a través del servidor público habilitado de una de las Unidades Administrativas que pudiera contar con la información requerida, tal y como lo señala la ley, también lo es que no se cumplió con el procedimiento de búsqueda exhaustiva y razonable, toda vez que no se advierte que se haya realizado el requerimiento a las diversas áreas que pudieran contar con la información; ello aunado que quien </w:t>
      </w:r>
      <w:r w:rsidRPr="0071055D">
        <w:rPr>
          <w:rFonts w:ascii="Palatino Linotype" w:eastAsia="Palatino Linotype" w:hAnsi="Palatino Linotype" w:cs="Palatino Linotype"/>
        </w:rPr>
        <w:t>brindó</w:t>
      </w:r>
      <w:r w:rsidRPr="0071055D">
        <w:rPr>
          <w:rFonts w:ascii="Palatino Linotype" w:eastAsia="Palatino Linotype" w:hAnsi="Palatino Linotype" w:cs="Palatino Linotype"/>
          <w:color w:val="000000"/>
        </w:rPr>
        <w:t xml:space="preserve"> respuesta, solo se limitó a informar no se identificó que la persona referida en la solicitud de información, tenga o haya tenido alguna </w:t>
      </w:r>
      <w:r w:rsidRPr="0071055D">
        <w:rPr>
          <w:rFonts w:ascii="Palatino Linotype" w:eastAsia="Palatino Linotype" w:hAnsi="Palatino Linotype" w:cs="Palatino Linotype"/>
          <w:color w:val="000000"/>
        </w:rPr>
        <w:lastRenderedPageBreak/>
        <w:t>relación laboral con ese Organismo Descentralizado, situación de la que se duele el particular, dando origen al expediente en que se actúa.</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b/>
          <w:bCs/>
          <w:color w:val="000000"/>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Por lo anterior, personal de este Instituto procedió a realizar la indagación correspondiente, respecto a lo requerido por el particular que permitiera conocer si la persona a la que se refiere el solicitante, pertenece o en su defecto perteneció a su plantilla de personal en administraciones anteriores, por lo que al realizar una búsqueda en la Plataforma Nacional de Transparencia, se advierte que en la administración 2021, el servidor público de referencia pertenecía a la plantilla de personal, ostentando el cargo de Jefe de la Unidad de Apoyo Administrativo, tal y como se muestra en la captura de pantalla siguiente:</w:t>
      </w:r>
    </w:p>
    <w:p w:rsidR="00A66727" w:rsidRPr="0071055D" w:rsidRDefault="0093402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71055D">
        <w:rPr>
          <w:noProof/>
        </w:rPr>
        <mc:AlternateContent>
          <mc:Choice Requires="wps">
            <w:drawing>
              <wp:inline distT="0" distB="0" distL="0" distR="0">
                <wp:extent cx="314325" cy="314325"/>
                <wp:effectExtent l="0" t="0" r="0" b="0"/>
                <wp:docPr id="8" name="Rectángulo 8" descr="blob:https://web.whatsapp.com/1334aef1-2893-42e3-a41e-48f00e071ef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A66727" w:rsidRDefault="00A66727">
                            <w:pPr>
                              <w:textDirection w:val="btLr"/>
                            </w:pPr>
                          </w:p>
                        </w:txbxContent>
                      </wps:txbx>
                      <wps:bodyPr spcFirstLastPara="1" wrap="square" lIns="91425" tIns="91425" rIns="91425" bIns="91425" anchor="ctr" anchorCtr="0">
                        <a:noAutofit/>
                      </wps:bodyPr>
                    </wps:wsp>
                  </a:graphicData>
                </a:graphic>
              </wp:inline>
            </w:drawing>
          </mc:Choice>
          <mc:Fallback>
            <w:pict>
              <v:rect id="Rectángulo 8" o:spid="_x0000_s1026" alt="blob:https://web.whatsapp.com/1334aef1-2893-42e3-a41e-48f00e071ef0"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Hn/gEAAM4DAAAOAAAAZHJzL2Uyb0RvYy54bWysU9uO0zAQfUfiHyy/t7lut42arhCrIqQV&#10;VLvwAY4zbiwltrHdJv0cvoUfY+yWbYE3xIs7t56ZOWeyfpiGnhzBOqlVTbN5Sgkorlup9jX9+mU7&#10;W1LiPFMt67WCmp7A0YfN2zfr0VSQ6073LViCIMpVo6lp572pksTxDgbm5tqAwqTQdmAeXbtPWstG&#10;RB/6JE/TRTJq2xqrOTiH0cdzkm4ivhDA/WchHHjS1xRn8/G18W3Cm2zWrNpbZjrJL2Owf5hiYFJh&#10;01eoR+YZOVj5F9QgudVOCz/neki0EJJD3AG3ydI/tnnpmIG4C5LjzCtN7v/B8k/HnSWyrSkKpdiA&#10;Ej0jaT++q/2h1wSDLTiOhDW9bqqgjkN5RmjmY4eKMGPiIllRlAxENsuXq2JW5lDMWJnBrFyKNIX0&#10;PgMRuR7x79jyxewsMh88h2YgbhJ2CL9ICZlqepetikWKip1qWizy+2BHrWDyhGNBkZbLkOeh4Gxj&#10;PrkCGev8B9ADCUZNLW4VFWLHJ+fPpb9KQl+lt7LvY4te/RZAzBBJrtMGy0/NhNXBbHR7QhKd4VuJ&#10;vZ6Y8ztm8YwySkY8rZq6bwdmgZL+o0LtVlmZ3+Et3jr21mluHaZ4p1EA7i0lZ+e9jxd8nvLdwWsh&#10;40bXYS7j4tFETi4HHq7y1o9V189w8xMAAP//AwBQSwMEFAAGAAgAAAAhAIGcpsXWAAAAAwEAAA8A&#10;AABkcnMvZG93bnJldi54bWxMj0FPwzAMhe9I/IfISNxYSjUmVppOgOAAJ9bxA9zGNBWNU5psK/8e&#10;Awe4+Ml61nufy83sB3WgKfaBDVwuMlDEbbA9dwZed48X16BiQrY4BCYDnxRhU52elFjYcOQtHerU&#10;KQnhWKABl9JYaB1bRx7jIozE4r2FyWOSdeq0nfAo4X7QeZattMeepcHhSPeO2vd67w28LAPlD3m8&#10;qzu/dnOze376wJUx52fz7Q2oRHP6O4ZvfEGHSpiasGcb1WBAHkk/U7zl+gpU86u6KvV/9uoLAAD/&#10;/wMAUEsBAi0AFAAGAAgAAAAhALaDOJL+AAAA4QEAABMAAAAAAAAAAAAAAAAAAAAAAFtDb250ZW50&#10;X1R5cGVzXS54bWxQSwECLQAUAAYACAAAACEAOP0h/9YAAACUAQAACwAAAAAAAAAAAAAAAAAvAQAA&#10;X3JlbHMvLnJlbHNQSwECLQAUAAYACAAAACEAtHsh5/4BAADOAwAADgAAAAAAAAAAAAAAAAAuAgAA&#10;ZHJzL2Uyb0RvYy54bWxQSwECLQAUAAYACAAAACEAgZymxdYAAAADAQAADwAAAAAAAAAAAAAAAABY&#10;BAAAZHJzL2Rvd25yZXYueG1sUEsFBgAAAAAEAAQA8wAAAFsFAAAAAA==&#10;" filled="f" stroked="f">
                <v:textbox inset="2.53958mm,2.53958mm,2.53958mm,2.53958mm">
                  <w:txbxContent>
                    <w:p w:rsidR="00A66727" w:rsidRDefault="00A66727">
                      <w:pPr>
                        <w:textDirection w:val="btLr"/>
                      </w:pPr>
                    </w:p>
                  </w:txbxContent>
                </v:textbox>
                <w10:anchorlock/>
              </v:rect>
            </w:pict>
          </mc:Fallback>
        </mc:AlternateContent>
      </w:r>
      <w:r w:rsidRPr="0071055D">
        <w:t xml:space="preserve"> </w:t>
      </w:r>
      <w:r w:rsidRPr="0071055D">
        <w:rPr>
          <w:noProof/>
        </w:rPr>
        <mc:AlternateContent>
          <mc:Choice Requires="wps">
            <w:drawing>
              <wp:inline distT="0" distB="0" distL="0" distR="0">
                <wp:extent cx="314325" cy="314325"/>
                <wp:effectExtent l="0" t="0" r="0" b="0"/>
                <wp:docPr id="7" name="Rectángulo 7" descr="blob:https://web.whatsapp.com/1334aef1-2893-42e3-a41e-48f00e071ef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A66727" w:rsidRDefault="00A66727">
                            <w:pPr>
                              <w:textDirection w:val="btLr"/>
                            </w:pPr>
                          </w:p>
                        </w:txbxContent>
                      </wps:txbx>
                      <wps:bodyPr spcFirstLastPara="1" wrap="square" lIns="91425" tIns="91425" rIns="91425" bIns="91425" anchor="ctr" anchorCtr="0">
                        <a:noAutofit/>
                      </wps:bodyPr>
                    </wps:wsp>
                  </a:graphicData>
                </a:graphic>
              </wp:inline>
            </w:drawing>
          </mc:Choice>
          <mc:Fallback>
            <w:pict>
              <v:rect id="Rectángulo 7" o:spid="_x0000_s1027" alt="blob:https://web.whatsapp.com/1334aef1-2893-42e3-a41e-48f00e071ef0"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gZAgIAANUDAAAOAAAAZHJzL2Uyb0RvYy54bWysU0tu2zAQ3RfoHQjubX3jHywHRQMXBYLW&#10;SNoDUNTQIiCRLElb8nF6ll6sQ9qN3XYXZEPPz29m3hut78e+I0ewTmpV0WyaUgKK60aqfUW/f9tO&#10;FpQ4z1TDOq2goidw9H7z/t16MCvIdau7BixBEOVWg6lo671ZJYnjLfTMTbUBhUmhbc88unafNJYN&#10;iN53SZ6ms2TQtjFWc3AOow/nJN1EfCGA+69COPCkqyjO5uNr41uHN9ms2WpvmWklv4zBXjFFz6TC&#10;pi9QD8wzcrDyP6hecqudFn7KdZ9oISSHuANuk6X/bPPcMgNxFyTHmRea3NvB8i/HnSWyqeicEsV6&#10;lOgJSfv1U+0PnSYYbMBxJKzudL0K6jiUZ4B6OrSoCDMmLpIVRclAZJN8sSwmZQ7FhJUZTMqFSFNI&#10;5xmIyPWAf8eWz2ZnkfngOTQDcaOwffhFSshY0btsWcxSVOxU0WKWz4MdtYLRE44FRVouQp6HgrON&#10;+eQKZKzzn0D3JBgVtbhVVIgdH50/l/4pCX2V3squiy069VcAMUMkuU4bLD/WY+QtC3OFSK2bE3Lp&#10;DN9KbPnInN8xi9eUUTLghVXU/TgwC5R0nxVKuMzK/A5P8taxt0596zDFW406cG8pOTsffTzk87Af&#10;Dl4LGRe7DnOZGm8nUnO583Cct36sun6Nm98AAAD//wMAUEsDBBQABgAIAAAAIQCBnKbF1gAAAAMB&#10;AAAPAAAAZHJzL2Rvd25yZXYueG1sTI9BT8MwDIXvSPyHyEjcWEo1JlaaToDgACfW8QPcxjQVjVOa&#10;bCv/HgMHuPjJetZ7n8vN7Ad1oCn2gQ1cLjJQxG2wPXcGXnePF9egYkK2OAQmA58UYVOdnpRY2HDk&#10;LR3q1CkJ4VigAZfSWGgdW0ce4yKMxOK9hcljknXqtJ3wKOF+0HmWrbTHnqXB4Uj3jtr3eu8NvCwD&#10;5Q95vKs7v3Zzs3t++sCVMedn8+0NqERz+juGb3xBh0qYmrBnG9VgQB5JP1O85foKVPOruir1f/bq&#10;CwAA//8DAFBLAQItABQABgAIAAAAIQC2gziS/gAAAOEBAAATAAAAAAAAAAAAAAAAAAAAAABbQ29u&#10;dGVudF9UeXBlc10ueG1sUEsBAi0AFAAGAAgAAAAhADj9If/WAAAAlAEAAAsAAAAAAAAAAAAAAAAA&#10;LwEAAF9yZWxzLy5yZWxzUEsBAi0AFAAGAAgAAAAhAKBliBkCAgAA1QMAAA4AAAAAAAAAAAAAAAAA&#10;LgIAAGRycy9lMm9Eb2MueG1sUEsBAi0AFAAGAAgAAAAhAIGcpsXWAAAAAwEAAA8AAAAAAAAAAAAA&#10;AAAAXAQAAGRycy9kb3ducmV2LnhtbFBLBQYAAAAABAAEAPMAAABfBQAAAAA=&#10;" filled="f" stroked="f">
                <v:textbox inset="2.53958mm,2.53958mm,2.53958mm,2.53958mm">
                  <w:txbxContent>
                    <w:p w:rsidR="00A66727" w:rsidRDefault="00A66727">
                      <w:pPr>
                        <w:textDirection w:val="btLr"/>
                      </w:pPr>
                    </w:p>
                  </w:txbxContent>
                </v:textbox>
                <w10:anchorlock/>
              </v:rect>
            </w:pict>
          </mc:Fallback>
        </mc:AlternateContent>
      </w:r>
      <w:r w:rsidRPr="0071055D">
        <w:rPr>
          <w:noProof/>
        </w:rPr>
        <w:drawing>
          <wp:inline distT="0" distB="0" distL="0" distR="0">
            <wp:extent cx="4692675" cy="353036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92675" cy="3530369"/>
                    </a:xfrm>
                    <a:prstGeom prst="rect">
                      <a:avLst/>
                    </a:prstGeom>
                    <a:ln/>
                  </pic:spPr>
                </pic:pic>
              </a:graphicData>
            </a:graphic>
          </wp:inline>
        </w:drawing>
      </w: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lastRenderedPageBreak/>
        <w:t>Así mismo, de la búsqueda realizada por este Instituto, se obtuvo que mediante Acuerdo CT-AXT-07/01/2025, el Comité de Transparencia del Consejo Estatal para el Desarrollo Integral de los Pueblos Indígenas del Estado de México en fecha 19 de mayo de 2025, clasificó como confidencial los datos personales que obran en el expediente laboral de la persona referida en el requerimiento de información, quien se encontraba en funciones al 19 de mayo de la presente anualidad como Jefe de la Unidad de Apoyo Administrativo, tal y como se  muestra con la siguiente captura de pantalla:</w:t>
      </w:r>
    </w:p>
    <w:p w:rsidR="00A66727" w:rsidRPr="0071055D" w:rsidRDefault="00934026">
      <w:pPr>
        <w:pBdr>
          <w:top w:val="nil"/>
          <w:left w:val="nil"/>
          <w:bottom w:val="nil"/>
          <w:right w:val="nil"/>
          <w:between w:val="nil"/>
        </w:pBdr>
        <w:ind w:left="708"/>
        <w:rPr>
          <w:rFonts w:ascii="Palatino Linotype" w:eastAsia="Palatino Linotype" w:hAnsi="Palatino Linotype" w:cs="Palatino Linotype"/>
          <w:color w:val="000000"/>
        </w:rPr>
      </w:pPr>
      <w:r w:rsidRPr="0071055D">
        <w:rPr>
          <w:rFonts w:ascii="Palatino Linotype" w:eastAsia="Palatino Linotype" w:hAnsi="Palatino Linotype" w:cs="Palatino Linotype"/>
          <w:noProof/>
          <w:color w:val="000000"/>
        </w:rPr>
        <w:drawing>
          <wp:inline distT="0" distB="0" distL="0" distR="0">
            <wp:extent cx="4449452" cy="282626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49452" cy="2826261"/>
                    </a:xfrm>
                    <a:prstGeom prst="rect">
                      <a:avLst/>
                    </a:prstGeom>
                    <a:ln/>
                  </pic:spPr>
                </pic:pic>
              </a:graphicData>
            </a:graphic>
          </wp:inline>
        </w:drawing>
      </w:r>
    </w:p>
    <w:p w:rsidR="00A66727" w:rsidRDefault="00A66727">
      <w:pPr>
        <w:pBdr>
          <w:top w:val="nil"/>
          <w:left w:val="nil"/>
          <w:bottom w:val="nil"/>
          <w:right w:val="nil"/>
          <w:between w:val="nil"/>
        </w:pBdr>
        <w:tabs>
          <w:tab w:val="left" w:pos="426"/>
          <w:tab w:val="left" w:pos="567"/>
        </w:tabs>
        <w:spacing w:line="360" w:lineRule="auto"/>
        <w:ind w:left="360"/>
        <w:jc w:val="both"/>
        <w:rPr>
          <w:rFonts w:ascii="Palatino Linotype" w:eastAsia="Palatino Linotype" w:hAnsi="Palatino Linotype" w:cs="Palatino Linotype"/>
          <w:color w:val="242424"/>
          <w:highlight w:val="white"/>
        </w:rPr>
      </w:pPr>
    </w:p>
    <w:p w:rsidR="0071055D" w:rsidRPr="0071055D" w:rsidRDefault="0071055D">
      <w:pPr>
        <w:pBdr>
          <w:top w:val="nil"/>
          <w:left w:val="nil"/>
          <w:bottom w:val="nil"/>
          <w:right w:val="nil"/>
          <w:between w:val="nil"/>
        </w:pBdr>
        <w:tabs>
          <w:tab w:val="left" w:pos="426"/>
          <w:tab w:val="left" w:pos="567"/>
        </w:tabs>
        <w:spacing w:line="360" w:lineRule="auto"/>
        <w:ind w:left="360"/>
        <w:jc w:val="both"/>
        <w:rPr>
          <w:rFonts w:ascii="Palatino Linotype" w:eastAsia="Palatino Linotype" w:hAnsi="Palatino Linotype" w:cs="Palatino Linotype"/>
          <w:color w:val="242424"/>
          <w:highlight w:val="white"/>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r w:rsidRPr="0071055D">
        <w:rPr>
          <w:rFonts w:ascii="Palatino Linotype" w:eastAsia="Palatino Linotype" w:hAnsi="Palatino Linotype" w:cs="Palatino Linotype"/>
          <w:color w:val="242424"/>
          <w:highlight w:val="white"/>
        </w:rPr>
        <w:t xml:space="preserve">Es así que, </w:t>
      </w:r>
      <w:r w:rsidRPr="0071055D">
        <w:rPr>
          <w:rFonts w:ascii="Palatino Linotype" w:eastAsia="Palatino Linotype" w:hAnsi="Palatino Linotype" w:cs="Palatino Linotype"/>
          <w:b/>
          <w:bCs/>
          <w:color w:val="000000"/>
        </w:rPr>
        <w:t>EL SUJETO OBLIGADO</w:t>
      </w:r>
      <w:r w:rsidRPr="0071055D">
        <w:rPr>
          <w:rFonts w:ascii="Palatino Linotype" w:eastAsia="Palatino Linotype" w:hAnsi="Palatino Linotype" w:cs="Palatino Linotype"/>
          <w:color w:val="000000"/>
        </w:rPr>
        <w:t xml:space="preserve"> debe contar con la información pública solicitada, en ejercicio de sus funciones de derecho público, motivo por el cual se actualiza el supuesto jurídico, previsto en el artículo 12 de la Ley de Transparencia y Acceso a la Información Pública del Estado de México y Municipios.</w:t>
      </w:r>
    </w:p>
    <w:p w:rsidR="00A66727" w:rsidRPr="0071055D" w:rsidRDefault="00A66727">
      <w:pPr>
        <w:pBdr>
          <w:top w:val="nil"/>
          <w:left w:val="nil"/>
          <w:bottom w:val="nil"/>
          <w:right w:val="nil"/>
          <w:between w:val="nil"/>
        </w:pBdr>
        <w:spacing w:line="360" w:lineRule="auto"/>
        <w:ind w:left="360" w:right="902"/>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lastRenderedPageBreak/>
        <w:t>“</w:t>
      </w:r>
      <w:r w:rsidRPr="0071055D">
        <w:rPr>
          <w:rFonts w:ascii="Palatino Linotype" w:eastAsia="Palatino Linotype" w:hAnsi="Palatino Linotype" w:cs="Palatino Linotype"/>
          <w:b/>
          <w:bCs/>
          <w:i/>
          <w:iCs/>
          <w:color w:val="000000"/>
        </w:rPr>
        <w:t>Artículo 12.</w:t>
      </w:r>
      <w:r w:rsidRPr="0071055D">
        <w:rPr>
          <w:rFonts w:ascii="Palatino Linotype" w:eastAsia="Palatino Linotype" w:hAnsi="Palatino Linotype" w:cs="Palatino Linotype"/>
          <w:i/>
          <w:iCs/>
          <w:color w:val="000000"/>
        </w:rPr>
        <w:t> Quienes generen, recopilen, administren, manejen, procesen, archiven o conserven información pública serán responsables de la misma en los términos de las disposiciones jurídicas aplicables.</w:t>
      </w:r>
    </w:p>
    <w:p w:rsidR="00A66727" w:rsidRPr="0071055D" w:rsidRDefault="00A66727">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66727" w:rsidRPr="0071055D" w:rsidRDefault="00A66727">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p>
    <w:p w:rsidR="00A66727" w:rsidRPr="0071055D" w:rsidRDefault="00934026">
      <w:pPr>
        <w:numPr>
          <w:ilvl w:val="0"/>
          <w:numId w:val="4"/>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No obstante, como ya fue señalado en párrafos anteriores, el Sujeto Obligado tiene el deber de documentar todos los actos que deriven del ejercicio de sus funciones y al mismo tiempo hacer pública la información que se les requiera y que obre en sus archivos.</w:t>
      </w:r>
    </w:p>
    <w:p w:rsidR="00A66727" w:rsidRPr="0071055D" w:rsidRDefault="00A66727">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A66727" w:rsidRDefault="00934026">
      <w:pPr>
        <w:numPr>
          <w:ilvl w:val="0"/>
          <w:numId w:val="4"/>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71055D" w:rsidRPr="0071055D" w:rsidRDefault="0071055D" w:rsidP="0071055D">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r w:rsidRPr="0071055D">
        <w:rPr>
          <w:rFonts w:ascii="Palatino Linotype" w:eastAsia="Palatino Linotype" w:hAnsi="Palatino Linotype" w:cs="Palatino Linotype"/>
        </w:rPr>
        <w:t xml:space="preserve">De lo anterior se observa que el </w:t>
      </w:r>
      <w:r w:rsidRPr="0071055D">
        <w:rPr>
          <w:rFonts w:ascii="Palatino Linotype" w:eastAsia="Palatino Linotype" w:hAnsi="Palatino Linotype" w:cs="Palatino Linotype"/>
          <w:b/>
          <w:bCs/>
        </w:rPr>
        <w:t xml:space="preserve">SUJETO OBLIGADO, </w:t>
      </w:r>
      <w:r w:rsidRPr="0071055D">
        <w:rPr>
          <w:rFonts w:ascii="Palatino Linotype" w:eastAsia="Palatino Linotype" w:hAnsi="Palatino Linotype" w:cs="Palatino Linotype"/>
        </w:rPr>
        <w:t xml:space="preserve">no cumplimento la búsqueda exhaustiva que exige la ley de la materia, toda vez que solo se limitó a informar que en la plantilla de personal que obra en el Departamento de Recursos Humanos y Materiales adscrito a la Unidad de Apoyo Administrativo, con corte a la segunda quincena del mes de </w:t>
      </w:r>
      <w:r w:rsidRPr="0071055D">
        <w:rPr>
          <w:rFonts w:ascii="Palatino Linotype" w:eastAsia="Palatino Linotype" w:hAnsi="Palatino Linotype" w:cs="Palatino Linotype"/>
        </w:rPr>
        <w:lastRenderedPageBreak/>
        <w:t>septiembre del presente año, no se identificó que la persona aludida tenga o haya tenido alguna relación laboral con ese Organismo Descentralizado, sin embargo de la búsqueda realizada por el personal de este Organismo, se advierte que existe antecedente de que perteneció a la plantilla de personal, por tanto debe de poseer información respecto al servidor público referido, por lo que es viable ordenar el Contrato laboral del servidor público de referencia.</w:t>
      </w:r>
    </w:p>
    <w:p w:rsidR="00A66727" w:rsidRPr="0071055D" w:rsidRDefault="00934026">
      <w:pPr>
        <w:numPr>
          <w:ilvl w:val="0"/>
          <w:numId w:val="2"/>
        </w:numPr>
        <w:pBdr>
          <w:top w:val="nil"/>
          <w:left w:val="nil"/>
          <w:bottom w:val="nil"/>
          <w:right w:val="nil"/>
          <w:between w:val="nil"/>
        </w:pBdr>
        <w:spacing w:before="240" w:line="360" w:lineRule="auto"/>
        <w:ind w:right="48"/>
        <w:jc w:val="both"/>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t>Del Contrato Laboral.</w:t>
      </w:r>
    </w:p>
    <w:p w:rsidR="00A66727" w:rsidRPr="0071055D" w:rsidRDefault="0093402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Por lo que respecta al contrato laboral del servidor público descrito en la solicitud de información inicial, es necesario traer en contexto lo establecido en los artículos 5, 6, 7, 8, 11, 12, 13 y 14 de la Ley del Trabajo de los Servidores públicos del Estado y Municipios, lo cuales refieren lo siguiente:</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r w:rsidRPr="0071055D">
        <w:rPr>
          <w:rFonts w:ascii="Palatino Linotype" w:eastAsia="Palatino Linotype" w:hAnsi="Palatino Linotype" w:cs="Palatino Linotype"/>
          <w:b/>
          <w:bCs/>
          <w:i/>
          <w:iCs/>
          <w:color w:val="000000"/>
        </w:rPr>
        <w:t>ARTÍCULO 5.-</w:t>
      </w:r>
      <w:r w:rsidRPr="0071055D">
        <w:rPr>
          <w:rFonts w:ascii="Palatino Linotype" w:eastAsia="Palatino Linotype" w:hAnsi="Palatino Linotype" w:cs="Palatino Linotype"/>
          <w:i/>
          <w:iCs/>
          <w:color w:val="00000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6.</w:t>
      </w:r>
      <w:r w:rsidRPr="0071055D">
        <w:rPr>
          <w:rFonts w:ascii="Palatino Linotype" w:eastAsia="Palatino Linotype" w:hAnsi="Palatino Linotype" w:cs="Palatino Linotype"/>
          <w:i/>
          <w:iCs/>
          <w:color w:val="000000"/>
        </w:rPr>
        <w:t xml:space="preserve"> Los servidores públicos se clasifican en generales y de confianza, los cuales, de acuerdo con la duración de sus relaciones de trabajo pueden ser: por tiempo u obra determinados o por tiempo indeterminado.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7.</w:t>
      </w:r>
      <w:r w:rsidRPr="0071055D">
        <w:rPr>
          <w:rFonts w:ascii="Palatino Linotype" w:eastAsia="Palatino Linotype" w:hAnsi="Palatino Linotype" w:cs="Palatino Linotype"/>
          <w:i/>
          <w:iCs/>
          <w:color w:val="000000"/>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b/>
          <w:bCs/>
          <w:i/>
          <w:iCs/>
          <w:color w:val="000000"/>
        </w:rPr>
        <w:t xml:space="preserve">ARTÍCULO 8. Se entiende por servidores públicos de confianza: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lastRenderedPageBreak/>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II. Aquéllos que tengan esa calidad en razón de la naturaleza de las funciones que desempeñen y no de la designación que se dé al puesto.</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Sin que lo anterior implique o signifique transgredir derechos laborales, sociales o colectivos adquiridos por los trabajadores. No se consideran funciones de confianza las de dirección, supervisión e inspección que realizan los integrantes del Sistema Educativo Estatal en los planteles educativos del propio sistema.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11.</w:t>
      </w:r>
      <w:r w:rsidRPr="0071055D">
        <w:rPr>
          <w:rFonts w:ascii="Palatino Linotype" w:eastAsia="Palatino Linotype" w:hAnsi="Palatino Linotype" w:cs="Palatino Linotype"/>
          <w:i/>
          <w:iCs/>
          <w:color w:val="000000"/>
        </w:rPr>
        <w:t xml:space="preserve"> Los servidores públicos generales podrán ocupar puestos de confianza. Para este efecto, en caso de ser sindicalizados podrán renunciar a esa condición, o bien obtener licencia del sindicato correspondiente antes de ocupar dicho puesto.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Para este efecto, en caso de ser sindicalizados deberán renunciar a esa condición, o bien obtener licencia del sindicato correspondiente con antelación para ocupar dicho puesto</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 xml:space="preserve">ARTÍCULO 12. Son servidores públicos por tiempo indeterminado quienes sean nombrados </w:t>
      </w:r>
      <w:r w:rsidRPr="0071055D">
        <w:rPr>
          <w:rFonts w:ascii="Palatino Linotype" w:eastAsia="Palatino Linotype" w:hAnsi="Palatino Linotype" w:cs="Palatino Linotype"/>
          <w:i/>
          <w:iCs/>
          <w:color w:val="000000"/>
        </w:rPr>
        <w:t xml:space="preserve">con tal carácter en plazas presupuestales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13.</w:t>
      </w:r>
      <w:r w:rsidRPr="0071055D">
        <w:rPr>
          <w:rFonts w:ascii="Palatino Linotype" w:eastAsia="Palatino Linotype" w:hAnsi="Palatino Linotype" w:cs="Palatino Linotype"/>
          <w:i/>
          <w:iCs/>
          <w:color w:val="000000"/>
        </w:rPr>
        <w:t xml:space="preserve"> Son servidores públicos sujetos a una relación laboral por tiempo u obra determinados, aquéllos que presten sus servicios bajo esas condiciones, en razón de que la naturaleza del servicio así lo exija.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lastRenderedPageBreak/>
        <w:t>ARTÍCULO 14.</w:t>
      </w:r>
      <w:r w:rsidRPr="0071055D">
        <w:rPr>
          <w:rFonts w:ascii="Palatino Linotype" w:eastAsia="Palatino Linotype" w:hAnsi="Palatino Linotype" w:cs="Palatino Linotype"/>
          <w:i/>
          <w:iCs/>
          <w:color w:val="000000"/>
        </w:rPr>
        <w:t xml:space="preserve"> Sólo se podrá contratar la prestación de servicios por tiempo determinado en los siguientes casos: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 Cuando tenga por objeto sustituir interinamente a un servidor público;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 Cuando sea necesario realizar labores que se presentan en forma esporádica;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III. Cuando aumenten las cargas de trabajo o haya rezago y se establezca un programa especial para desahogarlo, o para apoyar programas de inversión.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b/>
          <w:bCs/>
          <w:color w:val="000000"/>
        </w:rPr>
      </w:pPr>
      <w:r w:rsidRPr="0071055D">
        <w:rPr>
          <w:rFonts w:ascii="Palatino Linotype" w:eastAsia="Palatino Linotype" w:hAnsi="Palatino Linotype" w:cs="Palatino Linotype"/>
          <w:color w:val="000000"/>
        </w:rPr>
        <w:t xml:space="preserve">De lo anterior, se tiene la clasificación de los servidores públicos del Estado de México, los cuales son generales o de confianza, contratados por tiempo indeterminado o por tiempo determinado, según corresponda a las necesidades de la plaza a ocupar, en todo caso, están sujetos a lo dispuesto en el artículo 5 de la citada Ley, el cual dispone que </w:t>
      </w:r>
      <w:r w:rsidRPr="0071055D">
        <w:rPr>
          <w:rFonts w:ascii="Palatino Linotype" w:eastAsia="Palatino Linotype" w:hAnsi="Palatino Linotype" w:cs="Palatino Linotype"/>
          <w:b/>
          <w:bCs/>
          <w:color w:val="000000"/>
        </w:rPr>
        <w:t>deberán contar con un contrato, nombramiento o formato único de movimiento de personal,</w:t>
      </w:r>
      <w:r w:rsidRPr="0071055D">
        <w:rPr>
          <w:rFonts w:ascii="Palatino Linotype" w:eastAsia="Palatino Linotype" w:hAnsi="Palatino Linotype" w:cs="Palatino Linotype"/>
          <w:color w:val="000000"/>
        </w:rPr>
        <w:t xml:space="preserve"> de conformidad con el artículo 48, 49 y 50, los cuales disponen lo siguiente:</w:t>
      </w:r>
    </w:p>
    <w:p w:rsidR="00A66727" w:rsidRPr="0071055D" w:rsidRDefault="00934026">
      <w:pPr>
        <w:pBdr>
          <w:top w:val="nil"/>
          <w:left w:val="nil"/>
          <w:bottom w:val="nil"/>
          <w:right w:val="nil"/>
          <w:between w:val="nil"/>
        </w:pBdr>
        <w:spacing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48.</w:t>
      </w:r>
      <w:r w:rsidRPr="0071055D">
        <w:rPr>
          <w:rFonts w:ascii="Palatino Linotype" w:eastAsia="Palatino Linotype" w:hAnsi="Palatino Linotype" w:cs="Palatino Linotype"/>
          <w:i/>
          <w:iCs/>
          <w:color w:val="000000"/>
        </w:rPr>
        <w:t xml:space="preserve"> Para iniciar la prestación de los servicios se requiere: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i/>
          <w:iCs/>
          <w:color w:val="000000"/>
        </w:rPr>
        <w:t xml:space="preserve">I. Tener conferido el nombramiento, </w:t>
      </w:r>
      <w:r w:rsidRPr="0071055D">
        <w:rPr>
          <w:rFonts w:ascii="Palatino Linotype" w:eastAsia="Palatino Linotype" w:hAnsi="Palatino Linotype" w:cs="Palatino Linotype"/>
          <w:b/>
          <w:bCs/>
          <w:i/>
          <w:iCs/>
          <w:color w:val="000000"/>
        </w:rPr>
        <w:t xml:space="preserve">contrato respectivo o formato único de Movimientos de Personal;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 Rendir la protesta de ley en caso de nombramiento; y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III. Tomar posesión del cargo.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b/>
          <w:bCs/>
          <w:i/>
          <w:iCs/>
          <w:color w:val="000000"/>
        </w:rPr>
        <w:t>ARTÍCULO 49.-</w:t>
      </w:r>
      <w:r w:rsidRPr="0071055D">
        <w:rPr>
          <w:rFonts w:ascii="Palatino Linotype" w:eastAsia="Palatino Linotype" w:hAnsi="Palatino Linotype" w:cs="Palatino Linotype"/>
          <w:i/>
          <w:iCs/>
          <w:color w:val="000000"/>
        </w:rPr>
        <w:t xml:space="preserve"> Los nombramientos, </w:t>
      </w:r>
      <w:r w:rsidRPr="0071055D">
        <w:rPr>
          <w:rFonts w:ascii="Palatino Linotype" w:eastAsia="Palatino Linotype" w:hAnsi="Palatino Linotype" w:cs="Palatino Linotype"/>
          <w:b/>
          <w:bCs/>
          <w:i/>
          <w:iCs/>
          <w:color w:val="000000"/>
        </w:rPr>
        <w:t>contratos o formato único de Movimientos de Personal de los servidores públicos deberán contener:</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lastRenderedPageBreak/>
        <w:t xml:space="preserve">I. Nombre completo del servidor público;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II. Cargo para el que es designado, fecha de inicio de sus servicios y lugar de adscripción;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i/>
          <w:iCs/>
          <w:color w:val="000000"/>
        </w:rPr>
        <w:t>III. Carácter del nombramiento, ya sea de servidores públicos generales o de confianza, así como la temporalidad del mismo;</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i/>
          <w:iCs/>
          <w:color w:val="000000"/>
        </w:rPr>
        <w:t xml:space="preserve">IV. Remuneración correspondiente al puesto;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i/>
          <w:iCs/>
          <w:color w:val="000000"/>
        </w:rPr>
        <w:t xml:space="preserve">V. Jornada de trabajo;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r w:rsidRPr="0071055D">
        <w:rPr>
          <w:rFonts w:ascii="Palatino Linotype" w:eastAsia="Palatino Linotype" w:hAnsi="Palatino Linotype" w:cs="Palatino Linotype"/>
          <w:i/>
          <w:iCs/>
          <w:color w:val="000000"/>
        </w:rPr>
        <w:t xml:space="preserve">VI. Derogada;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 xml:space="preserve">VII. Firma del servidor público autorizado para emitir el nombramiento, contrato o formato único de Movimientos de Personal, así como el fundamento legal de esa atribución. </w:t>
      </w:r>
    </w:p>
    <w:p w:rsidR="00A66727" w:rsidRPr="0071055D" w:rsidRDefault="00934026">
      <w:pPr>
        <w:pBdr>
          <w:top w:val="nil"/>
          <w:left w:val="nil"/>
          <w:bottom w:val="nil"/>
          <w:right w:val="nil"/>
          <w:between w:val="nil"/>
        </w:pBdr>
        <w:spacing w:before="240" w:after="240"/>
        <w:ind w:left="567" w:right="539"/>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b/>
          <w:bCs/>
          <w:i/>
          <w:iCs/>
          <w:color w:val="000000"/>
        </w:rPr>
        <w:t>ARTÍCULO 50.-</w:t>
      </w:r>
      <w:r w:rsidRPr="0071055D">
        <w:rPr>
          <w:rFonts w:ascii="Palatino Linotype" w:eastAsia="Palatino Linotype" w:hAnsi="Palatino Linotype" w:cs="Palatino Linotype"/>
          <w:i/>
          <w:iCs/>
          <w:color w:val="000000"/>
        </w:rPr>
        <w:t xml:space="preserve"> </w:t>
      </w:r>
      <w:r w:rsidRPr="0071055D">
        <w:rPr>
          <w:rFonts w:ascii="Palatino Linotype" w:eastAsia="Palatino Linotype" w:hAnsi="Palatino Linotype" w:cs="Palatino Linotype"/>
          <w:b/>
          <w:bCs/>
          <w:i/>
          <w:iCs/>
          <w:color w:val="000000"/>
        </w:rPr>
        <w:t>El nombramiento, contrato o formato único de Movimientos de Personal</w:t>
      </w:r>
      <w:r w:rsidRPr="0071055D">
        <w:rPr>
          <w:rFonts w:ascii="Palatino Linotype" w:eastAsia="Palatino Linotype" w:hAnsi="Palatino Linotype" w:cs="Palatino Linotype"/>
          <w:i/>
          <w:iCs/>
          <w:color w:val="000000"/>
        </w:rPr>
        <w:t xml:space="preserve"> aceptado obliga al servidor público a cumplir con los deberes inherentes al puesto especificado en el mismo y a las consecuencias que sean conforme a la ley, al uso y a la buena fe.”</w:t>
      </w:r>
    </w:p>
    <w:p w:rsidR="00A66727" w:rsidRPr="0071055D" w:rsidRDefault="00A66727">
      <w:pPr>
        <w:pBdr>
          <w:top w:val="nil"/>
          <w:left w:val="nil"/>
          <w:bottom w:val="nil"/>
          <w:right w:val="nil"/>
          <w:between w:val="nil"/>
        </w:pBdr>
        <w:spacing w:before="240" w:after="240"/>
        <w:ind w:left="567" w:right="539"/>
        <w:jc w:val="both"/>
        <w:rPr>
          <w:rFonts w:ascii="Palatino Linotype" w:eastAsia="Palatino Linotype" w:hAnsi="Palatino Linotype" w:cs="Palatino Linotype"/>
          <w:b/>
          <w:bCs/>
          <w:i/>
          <w:iCs/>
          <w:color w:val="000000"/>
        </w:rPr>
      </w:pPr>
    </w:p>
    <w:p w:rsidR="00A66727" w:rsidRPr="0071055D" w:rsidRDefault="00934026">
      <w:pPr>
        <w:numPr>
          <w:ilvl w:val="0"/>
          <w:numId w:val="4"/>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 xml:space="preserve">En este sentido, se advierte que </w:t>
      </w:r>
      <w:r w:rsidRPr="0071055D">
        <w:rPr>
          <w:rFonts w:ascii="Palatino Linotype" w:eastAsia="Palatino Linotype" w:hAnsi="Palatino Linotype" w:cs="Palatino Linotype"/>
          <w:b/>
          <w:bCs/>
          <w:color w:val="000000"/>
        </w:rPr>
        <w:t>el nombramiento, contrato o formato único de movimiento de personal son los documentos que tienen como finalidad establecer la relación laboral entre el servidor público y la institución pública</w:t>
      </w:r>
      <w:r w:rsidRPr="0071055D">
        <w:rPr>
          <w:rFonts w:ascii="Palatino Linotype" w:eastAsia="Palatino Linotype" w:hAnsi="Palatino Linotype" w:cs="Palatino Linotype"/>
          <w:color w:val="000000"/>
        </w:rPr>
        <w:t xml:space="preserve"> ya que de acuerdo a la Ley del Trabajo de los Servidores Públicos; para laborar en una institución pública, es necesario contar ya </w:t>
      </w:r>
      <w:r w:rsidRPr="0071055D">
        <w:rPr>
          <w:rFonts w:ascii="Palatino Linotype" w:eastAsia="Palatino Linotype" w:hAnsi="Palatino Linotype" w:cs="Palatino Linotype"/>
          <w:b/>
          <w:bCs/>
          <w:color w:val="000000"/>
        </w:rPr>
        <w:t>con un contrato, formato único movimientos de personal o nombramiento</w:t>
      </w:r>
      <w:r w:rsidRPr="0071055D">
        <w:rPr>
          <w:rFonts w:ascii="Palatino Linotype" w:eastAsia="Palatino Linotype" w:hAnsi="Palatino Linotype" w:cs="Palatino Linotype"/>
          <w:color w:val="000000"/>
        </w:rPr>
        <w:t>.</w:t>
      </w:r>
    </w:p>
    <w:p w:rsidR="00A66727" w:rsidRDefault="00A66727">
      <w:pPr>
        <w:pBdr>
          <w:top w:val="nil"/>
          <w:left w:val="nil"/>
          <w:bottom w:val="nil"/>
          <w:right w:val="nil"/>
          <w:between w:val="nil"/>
        </w:pBdr>
        <w:ind w:left="708"/>
        <w:rPr>
          <w:rFonts w:ascii="Palatino Linotype" w:eastAsia="Palatino Linotype" w:hAnsi="Palatino Linotype" w:cs="Palatino Linotype"/>
          <w:color w:val="000000"/>
          <w:highlight w:val="green"/>
        </w:rPr>
      </w:pPr>
    </w:p>
    <w:p w:rsidR="0071055D" w:rsidRDefault="0071055D">
      <w:pPr>
        <w:pBdr>
          <w:top w:val="nil"/>
          <w:left w:val="nil"/>
          <w:bottom w:val="nil"/>
          <w:right w:val="nil"/>
          <w:between w:val="nil"/>
        </w:pBdr>
        <w:ind w:left="708"/>
        <w:rPr>
          <w:rFonts w:ascii="Palatino Linotype" w:eastAsia="Palatino Linotype" w:hAnsi="Palatino Linotype" w:cs="Palatino Linotype"/>
          <w:color w:val="000000"/>
          <w:highlight w:val="green"/>
        </w:rPr>
      </w:pPr>
    </w:p>
    <w:p w:rsidR="0071055D" w:rsidRPr="0071055D" w:rsidRDefault="0071055D">
      <w:pPr>
        <w:pBdr>
          <w:top w:val="nil"/>
          <w:left w:val="nil"/>
          <w:bottom w:val="nil"/>
          <w:right w:val="nil"/>
          <w:between w:val="nil"/>
        </w:pBdr>
        <w:ind w:left="708"/>
        <w:rPr>
          <w:rFonts w:ascii="Palatino Linotype" w:eastAsia="Palatino Linotype" w:hAnsi="Palatino Linotype" w:cs="Palatino Linotype"/>
          <w:color w:val="000000"/>
          <w:highlight w:val="green"/>
        </w:rPr>
      </w:pPr>
    </w:p>
    <w:p w:rsidR="00A66727" w:rsidRPr="0071055D" w:rsidRDefault="00934026">
      <w:pPr>
        <w:numPr>
          <w:ilvl w:val="0"/>
          <w:numId w:val="2"/>
        </w:numPr>
        <w:pBdr>
          <w:top w:val="nil"/>
          <w:left w:val="nil"/>
          <w:bottom w:val="nil"/>
          <w:right w:val="nil"/>
          <w:between w:val="nil"/>
        </w:pBdr>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lastRenderedPageBreak/>
        <w:t>Formato Único de Movimientos de Personal</w:t>
      </w: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Es así que, para que un servidor público entre en funciones debe tener un nombramiento, contrato o formato único de movimientos de personal, el cual debe obrar en el expediente correspondiente.</w:t>
      </w:r>
    </w:p>
    <w:p w:rsidR="00A66727" w:rsidRPr="0071055D" w:rsidRDefault="00A66727">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highlight w:val="green"/>
        </w:rPr>
      </w:pP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Sobre el expediente del personal de los Sujetos Obligados, es que resulta oportuno traer a contexto el contenido del artículo 98 fracción XVII, de la Ley anteriormente mencionada, que refiere que son obligaciones de las instituciones públicas, el integrar los expedientes de los servidores públicos y proporcionar las constancias que éstos soliciten para el trámite de los asuntos de su interés en los términos que señalen los ordenamientos respectivos, artículo del cual se inserta su contenido para mejor entendimiento:</w:t>
      </w:r>
    </w:p>
    <w:p w:rsidR="00A66727" w:rsidRPr="0071055D" w:rsidRDefault="00934026">
      <w:pPr>
        <w:pBdr>
          <w:top w:val="nil"/>
          <w:left w:val="nil"/>
          <w:bottom w:val="nil"/>
          <w:right w:val="nil"/>
          <w:between w:val="nil"/>
        </w:pBdr>
        <w:ind w:left="708"/>
        <w:jc w:val="center"/>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De las Obligaciones de las Instituciones Públicas</w:t>
      </w:r>
    </w:p>
    <w:p w:rsidR="00A66727" w:rsidRPr="0071055D" w:rsidRDefault="00934026">
      <w:pPr>
        <w:pBdr>
          <w:top w:val="nil"/>
          <w:left w:val="nil"/>
          <w:bottom w:val="nil"/>
          <w:right w:val="nil"/>
          <w:between w:val="nil"/>
        </w:pBdr>
        <w:ind w:left="708"/>
        <w:jc w:val="center"/>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CAPITULO I</w:t>
      </w:r>
    </w:p>
    <w:p w:rsidR="00A66727" w:rsidRPr="0071055D" w:rsidRDefault="00934026">
      <w:pPr>
        <w:pBdr>
          <w:top w:val="nil"/>
          <w:left w:val="nil"/>
          <w:bottom w:val="nil"/>
          <w:right w:val="nil"/>
          <w:between w:val="nil"/>
        </w:pBdr>
        <w:ind w:left="708"/>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De las Obligaciones en General</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i/>
          <w:iCs/>
          <w:color w:val="000000"/>
        </w:rPr>
      </w:pPr>
    </w:p>
    <w:p w:rsidR="00A66727" w:rsidRPr="0071055D" w:rsidRDefault="00934026">
      <w:pPr>
        <w:pBdr>
          <w:top w:val="nil"/>
          <w:left w:val="nil"/>
          <w:bottom w:val="nil"/>
          <w:right w:val="nil"/>
          <w:between w:val="nil"/>
        </w:pBdr>
        <w:ind w:left="708"/>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ARTÍCULO 98. Son obligaciones de las instituciones públicas:</w:t>
      </w:r>
    </w:p>
    <w:p w:rsidR="00A66727" w:rsidRPr="0071055D" w:rsidRDefault="00934026">
      <w:pPr>
        <w:pBdr>
          <w:top w:val="nil"/>
          <w:left w:val="nil"/>
          <w:bottom w:val="nil"/>
          <w:right w:val="nil"/>
          <w:between w:val="nil"/>
        </w:pBdr>
        <w:ind w:left="708"/>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w:t>
      </w:r>
    </w:p>
    <w:p w:rsidR="00A66727" w:rsidRPr="0071055D" w:rsidRDefault="00934026">
      <w:pPr>
        <w:pBdr>
          <w:top w:val="nil"/>
          <w:left w:val="nil"/>
          <w:bottom w:val="nil"/>
          <w:right w:val="nil"/>
          <w:between w:val="nil"/>
        </w:pBdr>
        <w:ind w:left="708"/>
        <w:rPr>
          <w:rFonts w:ascii="Palatino Linotype" w:eastAsia="Palatino Linotype" w:hAnsi="Palatino Linotype" w:cs="Palatino Linotype"/>
          <w:i/>
          <w:iCs/>
          <w:color w:val="000000"/>
        </w:rPr>
      </w:pPr>
      <w:r w:rsidRPr="0071055D">
        <w:rPr>
          <w:rFonts w:ascii="Palatino Linotype" w:eastAsia="Palatino Linotype" w:hAnsi="Palatino Linotype" w:cs="Palatino Linotype"/>
          <w:i/>
          <w:iCs/>
          <w:color w:val="000000"/>
        </w:rPr>
        <w:t>XVII. Integrar los expedientes de los servidores públicos y proporcionar las constancias que éstos soliciten para el trámite de los asuntos de su interés en los términos que señalen los ordenamientos respectivos.</w:t>
      </w:r>
    </w:p>
    <w:p w:rsidR="00A66727" w:rsidRDefault="00A66727">
      <w:pPr>
        <w:pBdr>
          <w:top w:val="nil"/>
          <w:left w:val="nil"/>
          <w:bottom w:val="nil"/>
          <w:right w:val="nil"/>
          <w:between w:val="nil"/>
        </w:pBdr>
        <w:ind w:left="708"/>
        <w:rPr>
          <w:rFonts w:ascii="Palatino Linotype" w:eastAsia="Palatino Linotype" w:hAnsi="Palatino Linotype" w:cs="Palatino Linotype"/>
          <w:color w:val="000000"/>
        </w:rPr>
      </w:pPr>
    </w:p>
    <w:p w:rsidR="0071055D" w:rsidRPr="0071055D" w:rsidRDefault="0071055D">
      <w:pPr>
        <w:pBdr>
          <w:top w:val="nil"/>
          <w:left w:val="nil"/>
          <w:bottom w:val="nil"/>
          <w:right w:val="nil"/>
          <w:between w:val="nil"/>
        </w:pBdr>
        <w:ind w:left="708"/>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En conclusión, el FUMP (Formato Único de Movimientos de Personal) es el documento que evidencia los movimientos de alta, baja, transferencia, promoción, democión y licencia de los servidores públicos, es decir, es el documento oficial en el que se establece la relación laboral, el término de la misma o el cambio de adscripción de los servidores públicos.</w:t>
      </w:r>
    </w:p>
    <w:p w:rsidR="00A66727" w:rsidRPr="0071055D" w:rsidRDefault="00934026">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71055D">
        <w:rPr>
          <w:rFonts w:ascii="Palatino Linotype" w:eastAsia="Palatino Linotype" w:hAnsi="Palatino Linotype" w:cs="Palatino Linotype"/>
          <w:b/>
          <w:bCs/>
          <w:color w:val="000000"/>
        </w:rPr>
        <w:lastRenderedPageBreak/>
        <w:t>Nombramiento</w:t>
      </w: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71055D">
        <w:rPr>
          <w:rFonts w:ascii="Palatino Linotype" w:eastAsia="Palatino Linotype" w:hAnsi="Palatino Linotype" w:cs="Palatino Linotype"/>
          <w:color w:val="000000"/>
        </w:rPr>
        <w:t>Ahora bien, por cuanto hace al requerimiento consistente en el “nombramiento” del servidor público de referencia, resulta necesario señalar, de nueva cuenta, lo que establece la Ley del Trabajo de los Servidores Públicos del Estado de México, misma, que como ya ha quedado de manifiesto, tiene por objeto regular las relaciones de trabajo comprendidas entre los poderes públicos del Estado y los Municipios, y sus respectivos servidores públicos</w:t>
      </w:r>
      <w:r w:rsidRPr="0071055D">
        <w:rPr>
          <w:rFonts w:ascii="Palatino Linotype" w:eastAsia="Palatino Linotype" w:hAnsi="Palatino Linotype" w:cs="Palatino Linotype"/>
          <w:color w:val="000000"/>
          <w:vertAlign w:val="superscript"/>
        </w:rPr>
        <w:footnoteReference w:id="9"/>
      </w:r>
      <w:r w:rsidRPr="0071055D">
        <w:rPr>
          <w:rFonts w:ascii="Palatino Linotype" w:eastAsia="Palatino Linotype" w:hAnsi="Palatino Linotype" w:cs="Palatino Linotype"/>
          <w:color w:val="000000"/>
        </w:rPr>
        <w:t>, establecidas mediante nombramiento, formato único de movimiento de personal, contrato o por cualquier otro acto que tenga como consecuencia la prestación personal subordinada del servicio y la percepción de un sueldo.</w:t>
      </w:r>
    </w:p>
    <w:p w:rsidR="00A66727" w:rsidRPr="0071055D" w:rsidRDefault="00A66727">
      <w:pPr>
        <w:pBdr>
          <w:top w:val="nil"/>
          <w:left w:val="nil"/>
          <w:bottom w:val="nil"/>
          <w:right w:val="nil"/>
          <w:between w:val="nil"/>
        </w:pBdr>
        <w:ind w:left="708"/>
        <w:rPr>
          <w:rFonts w:ascii="Palatino Linotype" w:eastAsia="Palatino Linotype" w:hAnsi="Palatino Linotype" w:cs="Palatino Linotype"/>
          <w:i/>
          <w:iCs/>
          <w:color w:val="000000"/>
        </w:rPr>
      </w:pPr>
    </w:p>
    <w:p w:rsidR="00A66727" w:rsidRPr="0071055D" w:rsidRDefault="00934026" w:rsidP="0071055D">
      <w:pPr>
        <w:pStyle w:val="Prrafodelista"/>
        <w:numPr>
          <w:ilvl w:val="0"/>
          <w:numId w:val="4"/>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sz w:val="24"/>
          <w:szCs w:val="24"/>
        </w:rPr>
      </w:pPr>
      <w:r w:rsidRPr="0071055D">
        <w:rPr>
          <w:rFonts w:ascii="Palatino Linotype" w:eastAsia="Palatino Linotype" w:hAnsi="Palatino Linotype" w:cs="Palatino Linotype"/>
          <w:color w:val="000000"/>
          <w:sz w:val="24"/>
          <w:szCs w:val="24"/>
        </w:rPr>
        <w:t>Así las cosas, de la normatividad anteriormente referida, se puede observar que el nombramiento constituye un documento contenido en el expediente laboral del servidor público y que resulta ser el documento  por medio del cual una persona acepta y protesta un cargo o comisión, sin embargo, y toda vez que el particular no es experto en la materia pudiera no indicar con precisión el documento al cual desea acceder, y tomando en consideración que este instituto tiene la facultad, de conformidad con el artículo 13</w:t>
      </w:r>
      <w:r w:rsidRPr="0071055D">
        <w:rPr>
          <w:rFonts w:eastAsia="Palatino Linotype"/>
          <w:sz w:val="24"/>
          <w:szCs w:val="24"/>
          <w:vertAlign w:val="superscript"/>
        </w:rPr>
        <w:footnoteReference w:id="10"/>
      </w:r>
      <w:r w:rsidRPr="0071055D">
        <w:rPr>
          <w:rFonts w:ascii="Palatino Linotype" w:eastAsia="Palatino Linotype" w:hAnsi="Palatino Linotype" w:cs="Palatino Linotype"/>
          <w:color w:val="000000"/>
          <w:sz w:val="24"/>
          <w:szCs w:val="24"/>
        </w:rPr>
        <w:t xml:space="preserve"> de la Ley de Transparencia Estatal de suplir cualquier deficiencia, se entiende que el particular requiere acceso a el </w:t>
      </w:r>
      <w:r w:rsidRPr="0071055D">
        <w:rPr>
          <w:rFonts w:ascii="Palatino Linotype" w:eastAsia="Palatino Linotype" w:hAnsi="Palatino Linotype" w:cs="Palatino Linotype"/>
          <w:b/>
          <w:bCs/>
          <w:color w:val="000000"/>
          <w:sz w:val="24"/>
          <w:szCs w:val="24"/>
        </w:rPr>
        <w:t>nombramiento, formato único de movimiento de personal, contrato o cualquier documento mediante el cual se acredite la relación de trabajo del servidor público aludido.</w:t>
      </w:r>
    </w:p>
    <w:p w:rsidR="00A66727" w:rsidRPr="0071055D" w:rsidRDefault="00934026">
      <w:pPr>
        <w:numPr>
          <w:ilvl w:val="0"/>
          <w:numId w:val="4"/>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lastRenderedPageBreak/>
        <w:t>Por lo anteriormente expuesto, este Órgano Garante considera fundadas las razones o motivos de inconformidad que plantea el</w:t>
      </w:r>
      <w:r w:rsidRPr="0071055D">
        <w:rPr>
          <w:rFonts w:ascii="Palatino Linotype" w:eastAsia="Palatino Linotype" w:hAnsi="Palatino Linotype" w:cs="Palatino Linotype"/>
          <w:b/>
          <w:bCs/>
          <w:color w:val="000000"/>
        </w:rPr>
        <w:t xml:space="preserve"> RECURRENTE</w:t>
      </w:r>
      <w:r w:rsidRPr="0071055D">
        <w:rPr>
          <w:rFonts w:ascii="Palatino Linotype" w:eastAsia="Palatino Linotype" w:hAnsi="Palatino Linotype" w:cs="Palatino Linotype"/>
          <w:color w:val="000000"/>
        </w:rPr>
        <w:t xml:space="preserve">, determinando </w:t>
      </w:r>
      <w:r w:rsidR="00003A47" w:rsidRPr="0071055D">
        <w:rPr>
          <w:rFonts w:ascii="Palatino Linotype" w:eastAsia="Palatino Linotype" w:hAnsi="Palatino Linotype" w:cs="Palatino Linotype"/>
          <w:b/>
          <w:bCs/>
          <w:color w:val="000000"/>
        </w:rPr>
        <w:t xml:space="preserve">REVOCAR </w:t>
      </w:r>
      <w:r w:rsidRPr="0071055D">
        <w:rPr>
          <w:rFonts w:ascii="Palatino Linotype" w:eastAsia="Palatino Linotype" w:hAnsi="Palatino Linotype" w:cs="Palatino Linotype"/>
          <w:color w:val="000000"/>
        </w:rPr>
        <w:t xml:space="preserve">la respuesta del </w:t>
      </w:r>
      <w:r w:rsidRPr="0071055D">
        <w:rPr>
          <w:rFonts w:ascii="Palatino Linotype" w:eastAsia="Palatino Linotype" w:hAnsi="Palatino Linotype" w:cs="Palatino Linotype"/>
          <w:b/>
          <w:bCs/>
          <w:color w:val="000000"/>
        </w:rPr>
        <w:t>SUJETO OBLIGADO</w:t>
      </w:r>
      <w:r w:rsidRPr="0071055D">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1055D">
        <w:rPr>
          <w:rFonts w:ascii="Palatino Linotype" w:eastAsia="Palatino Linotype" w:hAnsi="Palatino Linotype" w:cs="Palatino Linotype"/>
          <w:b/>
          <w:bCs/>
          <w:color w:val="000000"/>
        </w:rPr>
        <w:t>ÓRGANO GARANTE</w:t>
      </w:r>
      <w:r w:rsidRPr="0071055D">
        <w:rPr>
          <w:rFonts w:ascii="Palatino Linotype" w:eastAsia="Palatino Linotype" w:hAnsi="Palatino Linotype" w:cs="Palatino Linotype"/>
          <w:color w:val="000000"/>
        </w:rPr>
        <w:t xml:space="preserve"> emite los siguientes.</w:t>
      </w:r>
    </w:p>
    <w:p w:rsidR="00A66727" w:rsidRPr="0071055D" w:rsidRDefault="00A66727">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A66727" w:rsidRPr="0071055D" w:rsidRDefault="0093402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13" w:name="_heading=h.lnxbz9" w:colFirst="0" w:colLast="0"/>
      <w:bookmarkEnd w:id="13"/>
      <w:r w:rsidRPr="0071055D">
        <w:rPr>
          <w:rFonts w:ascii="Palatino Linotype" w:eastAsia="Palatino Linotype" w:hAnsi="Palatino Linotype" w:cs="Palatino Linotype"/>
          <w:b/>
          <w:bCs/>
          <w:color w:val="000000"/>
        </w:rPr>
        <w:t>QUINTO. De la versión pública.</w:t>
      </w:r>
    </w:p>
    <w:p w:rsidR="00A66727" w:rsidRPr="0071055D" w:rsidRDefault="00934026">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Debe destacarse que, debido a la naturaleza de la información solicitada</w:t>
      </w:r>
      <w:r w:rsidRPr="0071055D">
        <w:rPr>
          <w:rFonts w:ascii="Palatino Linotype" w:eastAsia="Palatino Linotype" w:hAnsi="Palatino Linotype" w:cs="Palatino Linotype"/>
          <w:b/>
          <w:bCs/>
          <w:color w:val="000000"/>
        </w:rPr>
        <w:t xml:space="preserve"> </w:t>
      </w:r>
      <w:r w:rsidRPr="0071055D">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A66727" w:rsidRPr="0071055D" w:rsidRDefault="00A6672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A66727" w:rsidRPr="0071055D" w:rsidRDefault="00934026">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71055D">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rsidR="00A66727" w:rsidRPr="0071055D" w:rsidRDefault="00A6672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2"/>
        <w:tblW w:w="97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7229"/>
      </w:tblGrid>
      <w:tr w:rsidR="00A66727" w:rsidRPr="0071055D" w:rsidTr="0071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66727" w:rsidRPr="0071055D" w:rsidRDefault="00934026">
            <w:pPr>
              <w:spacing w:line="360" w:lineRule="auto"/>
              <w:rPr>
                <w:rFonts w:ascii="Palatino Linotype" w:eastAsia="Palatino Linotype" w:hAnsi="Palatino Linotype" w:cs="Palatino Linotype"/>
              </w:rPr>
            </w:pPr>
            <w:r w:rsidRPr="0071055D">
              <w:rPr>
                <w:rFonts w:ascii="Palatino Linotype" w:eastAsia="Palatino Linotype" w:hAnsi="Palatino Linotype" w:cs="Palatino Linotype"/>
                <w:b w:val="0"/>
                <w:bCs w:val="0"/>
              </w:rPr>
              <w:t>a) Requisitos previos.</w:t>
            </w:r>
          </w:p>
        </w:tc>
        <w:tc>
          <w:tcPr>
            <w:tcW w:w="7229" w:type="dxa"/>
          </w:tcPr>
          <w:p w:rsidR="00A66727" w:rsidRPr="0071055D" w:rsidRDefault="0093402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Los artículos 100 y 122 de la Ley Estatal y de la Ley General, respectivamente, señalan que si los </w:t>
            </w:r>
            <w:r w:rsidRPr="0071055D">
              <w:rPr>
                <w:rFonts w:ascii="Palatino Linotype" w:eastAsia="Palatino Linotype" w:hAnsi="Palatino Linotype" w:cs="Palatino Linotype"/>
                <w:b w:val="0"/>
                <w:bCs w:val="0"/>
              </w:rPr>
              <w:t>Sujetos Obligados</w:t>
            </w:r>
            <w:r w:rsidRPr="0071055D">
              <w:rPr>
                <w:rFonts w:ascii="Palatino Linotype" w:eastAsia="Palatino Linotype" w:hAnsi="Palatino Linotype" w:cs="Palatino Linotype"/>
              </w:rPr>
              <w:t xml:space="preserve"> determinan que la información actualiza alguno de los supuestos </w:t>
            </w:r>
            <w:r w:rsidRPr="0071055D">
              <w:rPr>
                <w:rFonts w:ascii="Palatino Linotype" w:eastAsia="Palatino Linotype" w:hAnsi="Palatino Linotype" w:cs="Palatino Linotype"/>
              </w:rPr>
              <w:lastRenderedPageBreak/>
              <w:t xml:space="preserve">de clasificación, es deber de los titulares de las áreas proponer su clasificación y no del Comité de Transparencia. </w:t>
            </w:r>
          </w:p>
          <w:p w:rsidR="00A66727" w:rsidRPr="0071055D" w:rsidRDefault="0093402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Al hacerlo tienen que precisar de qué información se trata, señalando el supuesto de clasificación (confidencialidad o reserva).</w:t>
            </w:r>
          </w:p>
          <w:p w:rsidR="00A66727" w:rsidRPr="0071055D" w:rsidRDefault="0093402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Además, se debe señalar el procedimiento, de los tres que establecen los artículos 132 y 106 de la Ley Estatal y General, respectivamente.</w:t>
            </w:r>
          </w:p>
          <w:p w:rsidR="00A66727" w:rsidRPr="0071055D" w:rsidRDefault="0093402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71055D">
              <w:rPr>
                <w:rFonts w:ascii="Palatino Linotype" w:eastAsia="Palatino Linotype" w:hAnsi="Palatino Linotype" w:cs="Palatino Linotype"/>
                <w:b w:val="0"/>
                <w:bCs w:val="0"/>
                <w:u w:val="single"/>
              </w:rPr>
              <w:t xml:space="preserve">no se puede hacer un acuerdo para clasificar de manera general todos los documentos de un expediente o área,  </w:t>
            </w:r>
            <w:r w:rsidRPr="0071055D">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A66727" w:rsidRPr="0071055D" w:rsidTr="0071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66727" w:rsidRPr="0071055D" w:rsidRDefault="00934026">
            <w:pPr>
              <w:spacing w:line="360" w:lineRule="auto"/>
              <w:rPr>
                <w:rFonts w:ascii="Palatino Linotype" w:eastAsia="Palatino Linotype" w:hAnsi="Palatino Linotype" w:cs="Palatino Linotype"/>
              </w:rPr>
            </w:pPr>
            <w:r w:rsidRPr="0071055D">
              <w:rPr>
                <w:rFonts w:ascii="Palatino Linotype" w:eastAsia="Palatino Linotype" w:hAnsi="Palatino Linotype" w:cs="Palatino Linotype"/>
                <w:b w:val="0"/>
                <w:bCs w:val="0"/>
              </w:rPr>
              <w:lastRenderedPageBreak/>
              <w:t>b) Supuestos de clasificación.</w:t>
            </w:r>
          </w:p>
        </w:tc>
        <w:tc>
          <w:tcPr>
            <w:tcW w:w="7229" w:type="dxa"/>
          </w:tcPr>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71055D">
              <w:rPr>
                <w:rFonts w:ascii="Palatino Linotype" w:eastAsia="Palatino Linotype" w:hAnsi="Palatino Linotype" w:cs="Palatino Linotype"/>
              </w:rPr>
              <w:lastRenderedPageBreak/>
              <w:t>manera restrictiva y limitada, por lo que debe acreditarse que se cumple con esta condición y no se pueden ampliar las excepciones o supuestos de clasificación aduciendo analogía o mayoría de razón.</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El </w:t>
            </w:r>
            <w:r w:rsidRPr="0071055D">
              <w:rPr>
                <w:rFonts w:ascii="Palatino Linotype" w:eastAsia="Palatino Linotype" w:hAnsi="Palatino Linotype" w:cs="Palatino Linotype"/>
                <w:b/>
                <w:bCs/>
              </w:rPr>
              <w:t>SUJETO OBLIGADO</w:t>
            </w:r>
            <w:r w:rsidRPr="0071055D">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66727" w:rsidRPr="0071055D" w:rsidTr="0071055D">
        <w:tc>
          <w:tcPr>
            <w:cnfStyle w:val="001000000000" w:firstRow="0" w:lastRow="0" w:firstColumn="1" w:lastColumn="0" w:oddVBand="0" w:evenVBand="0" w:oddHBand="0" w:evenHBand="0" w:firstRowFirstColumn="0" w:firstRowLastColumn="0" w:lastRowFirstColumn="0" w:lastRowLastColumn="0"/>
            <w:tcW w:w="2547" w:type="dxa"/>
          </w:tcPr>
          <w:p w:rsidR="00A66727" w:rsidRPr="0071055D" w:rsidRDefault="00934026">
            <w:pPr>
              <w:spacing w:line="360" w:lineRule="auto"/>
              <w:rPr>
                <w:rFonts w:ascii="Palatino Linotype" w:eastAsia="Palatino Linotype" w:hAnsi="Palatino Linotype" w:cs="Palatino Linotype"/>
              </w:rPr>
            </w:pPr>
            <w:r w:rsidRPr="0071055D">
              <w:rPr>
                <w:rFonts w:ascii="Palatino Linotype" w:eastAsia="Palatino Linotype" w:hAnsi="Palatino Linotype" w:cs="Palatino Linotype"/>
                <w:b w:val="0"/>
                <w:bCs w:val="0"/>
              </w:rPr>
              <w:lastRenderedPageBreak/>
              <w:t>c) Formalidades para emitir el acuerdo de clasificación.</w:t>
            </w:r>
          </w:p>
        </w:tc>
        <w:tc>
          <w:tcPr>
            <w:tcW w:w="7229" w:type="dxa"/>
          </w:tcPr>
          <w:p w:rsidR="00A66727" w:rsidRPr="0071055D" w:rsidRDefault="009340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A66727" w:rsidRPr="0071055D" w:rsidRDefault="009340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Es necesario que </w:t>
            </w:r>
            <w:r w:rsidRPr="0071055D">
              <w:rPr>
                <w:rFonts w:ascii="Palatino Linotype" w:eastAsia="Palatino Linotype" w:hAnsi="Palatino Linotype" w:cs="Palatino Linotype"/>
                <w:b/>
                <w:bCs/>
                <w:u w:val="single"/>
              </w:rPr>
              <w:t>el acto reúna con los requisitos elementales</w:t>
            </w:r>
            <w:r w:rsidRPr="0071055D">
              <w:rPr>
                <w:rFonts w:ascii="Palatino Linotype" w:eastAsia="Palatino Linotype" w:hAnsi="Palatino Linotype" w:cs="Palatino Linotype"/>
              </w:rPr>
              <w:t>, entre ellos, que la autoridad que va a emitir el acto de autoridad sea la legalmente facultada para ello.</w:t>
            </w:r>
          </w:p>
          <w:p w:rsidR="00A66727" w:rsidRPr="0071055D" w:rsidRDefault="009340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w:t>
            </w:r>
            <w:r w:rsidRPr="0071055D">
              <w:rPr>
                <w:rFonts w:ascii="Palatino Linotype" w:eastAsia="Palatino Linotype" w:hAnsi="Palatino Linotype" w:cs="Palatino Linotype"/>
              </w:rPr>
              <w:lastRenderedPageBreak/>
              <w:t>previamente por los titulares de áreas y que son sujetas a control, en primera instancia, por el Comité de Transparencia.</w:t>
            </w:r>
          </w:p>
        </w:tc>
      </w:tr>
      <w:tr w:rsidR="00A66727" w:rsidRPr="0071055D" w:rsidTr="0071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66727" w:rsidRPr="0071055D" w:rsidRDefault="00A66727">
            <w:pPr>
              <w:spacing w:line="360" w:lineRule="auto"/>
              <w:rPr>
                <w:rFonts w:ascii="Palatino Linotype" w:eastAsia="Palatino Linotype" w:hAnsi="Palatino Linotype" w:cs="Palatino Linotype"/>
              </w:rPr>
            </w:pPr>
          </w:p>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val="0"/>
                <w:bCs w:val="0"/>
              </w:rPr>
              <w:t xml:space="preserve">d) Requisitos de fondo del acuerdo de clasificación. </w:t>
            </w:r>
          </w:p>
        </w:tc>
        <w:tc>
          <w:tcPr>
            <w:tcW w:w="7229" w:type="dxa"/>
          </w:tcPr>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1055D">
              <w:rPr>
                <w:rFonts w:ascii="Palatino Linotype" w:eastAsia="Palatino Linotype" w:hAnsi="Palatino Linotype" w:cs="Palatino Linotype"/>
                <w:b/>
                <w:bCs/>
              </w:rPr>
              <w:t>Sujetos Obligados</w:t>
            </w:r>
            <w:r w:rsidRPr="0071055D">
              <w:rPr>
                <w:rFonts w:ascii="Palatino Linotype" w:eastAsia="Palatino Linotype" w:hAnsi="Palatino Linotype" w:cs="Palatino Linotype"/>
              </w:rPr>
              <w:t xml:space="preserve">, por lo que deberán fundar y motivar debidamente la clasificación. </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De lo anterior, se desprende que para una correcta </w:t>
            </w:r>
            <w:r w:rsidRPr="0071055D">
              <w:rPr>
                <w:rFonts w:ascii="Palatino Linotype" w:eastAsia="Palatino Linotype" w:hAnsi="Palatino Linotype" w:cs="Palatino Linotype"/>
                <w:b/>
                <w:bCs/>
              </w:rPr>
              <w:t>clasificación total o parcial</w:t>
            </w:r>
            <w:r w:rsidRPr="0071055D">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lastRenderedPageBreak/>
              <w:t>En ese mismo sentido, el numeral trigésimo tercero fracción V de los Lineamientos Generales, precisa que para motivar la clasificación se deben acreditar las circunstancias de tiempo, modo y lugar.</w:t>
            </w:r>
          </w:p>
          <w:p w:rsidR="00A66727" w:rsidRPr="0071055D" w:rsidRDefault="009340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Ahora bien, </w:t>
            </w:r>
            <w:r w:rsidRPr="0071055D">
              <w:rPr>
                <w:rFonts w:ascii="Palatino Linotype" w:eastAsia="Palatino Linotype" w:hAnsi="Palatino Linotype" w:cs="Palatino Linotype"/>
                <w:b/>
                <w:bCs/>
                <w:u w:val="single"/>
              </w:rPr>
              <w:t>para cada caso además de fundar y motivar</w:t>
            </w:r>
            <w:r w:rsidRPr="0071055D">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66727" w:rsidRPr="0071055D" w:rsidTr="0071055D">
        <w:tc>
          <w:tcPr>
            <w:cnfStyle w:val="001000000000" w:firstRow="0" w:lastRow="0" w:firstColumn="1" w:lastColumn="0" w:oddVBand="0" w:evenVBand="0" w:oddHBand="0" w:evenHBand="0" w:firstRowFirstColumn="0" w:firstRowLastColumn="0" w:lastRowFirstColumn="0" w:lastRowLastColumn="0"/>
            <w:tcW w:w="2547" w:type="dxa"/>
          </w:tcPr>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val="0"/>
                <w:bCs w:val="0"/>
              </w:rPr>
              <w:lastRenderedPageBreak/>
              <w:t xml:space="preserve">e) Condiciones especiales de la clasificación de la información como confidencial. </w:t>
            </w:r>
          </w:p>
          <w:p w:rsidR="00A66727" w:rsidRPr="0071055D" w:rsidRDefault="00A66727">
            <w:pPr>
              <w:spacing w:line="360" w:lineRule="auto"/>
              <w:rPr>
                <w:rFonts w:ascii="Palatino Linotype" w:eastAsia="Palatino Linotype" w:hAnsi="Palatino Linotype" w:cs="Palatino Linotype"/>
              </w:rPr>
            </w:pPr>
          </w:p>
        </w:tc>
        <w:tc>
          <w:tcPr>
            <w:tcW w:w="7229" w:type="dxa"/>
          </w:tcPr>
          <w:p w:rsidR="00A66727" w:rsidRPr="0071055D" w:rsidRDefault="009340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A66727" w:rsidRPr="0071055D" w:rsidRDefault="009340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66727" w:rsidRPr="0071055D" w:rsidRDefault="0093402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71055D">
              <w:rPr>
                <w:rFonts w:ascii="Palatino Linotype" w:eastAsia="Palatino Linotype" w:hAnsi="Palatino Linotype" w:cs="Palatino Linotype"/>
              </w:rPr>
              <w:t xml:space="preserve">Pero si la información que se pretende clasificar como confidencial no se encuentra en los supuestos de los artículos señalados y es posible, se deberá consultar al titular de los datos </w:t>
            </w:r>
            <w:r w:rsidRPr="0071055D">
              <w:rPr>
                <w:rFonts w:ascii="Palatino Linotype" w:eastAsia="Palatino Linotype" w:hAnsi="Palatino Linotype" w:cs="Palatino Linotype"/>
              </w:rPr>
              <w:lastRenderedPageBreak/>
              <w:t>si permite o no el acceso. De no ser posible, la realización de la consulta, procede, fundando y motivando, la clasificación.</w:t>
            </w:r>
          </w:p>
        </w:tc>
      </w:tr>
    </w:tbl>
    <w:p w:rsidR="00A66727" w:rsidRPr="0071055D" w:rsidRDefault="00A66727">
      <w:pPr>
        <w:tabs>
          <w:tab w:val="left" w:pos="284"/>
        </w:tabs>
        <w:spacing w:before="240" w:line="360" w:lineRule="auto"/>
        <w:jc w:val="both"/>
        <w:rPr>
          <w:rFonts w:ascii="Palatino Linotype" w:eastAsia="Palatino Linotype" w:hAnsi="Palatino Linotype" w:cs="Palatino Linotype"/>
        </w:rPr>
      </w:pPr>
    </w:p>
    <w:p w:rsidR="00A66727" w:rsidRDefault="00934026">
      <w:pPr>
        <w:numPr>
          <w:ilvl w:val="0"/>
          <w:numId w:val="4"/>
        </w:numPr>
        <w:spacing w:line="360" w:lineRule="auto"/>
        <w:ind w:left="0" w:firstLine="0"/>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Por lo anteriormente expuesto y fundado, este </w:t>
      </w:r>
      <w:r w:rsidRPr="0071055D">
        <w:rPr>
          <w:rFonts w:ascii="Palatino Linotype" w:eastAsia="Palatino Linotype" w:hAnsi="Palatino Linotype" w:cs="Palatino Linotype"/>
          <w:b/>
          <w:bCs/>
        </w:rPr>
        <w:t>ÓRGANO GARANTE</w:t>
      </w:r>
      <w:r w:rsidRPr="0071055D">
        <w:rPr>
          <w:rFonts w:ascii="Palatino Linotype" w:eastAsia="Palatino Linotype" w:hAnsi="Palatino Linotype" w:cs="Palatino Linotype"/>
        </w:rPr>
        <w:t xml:space="preserve"> emite los siguientes:</w:t>
      </w:r>
    </w:p>
    <w:p w:rsidR="0071055D" w:rsidRPr="0071055D" w:rsidRDefault="0071055D" w:rsidP="0071055D">
      <w:pPr>
        <w:spacing w:line="360" w:lineRule="auto"/>
        <w:jc w:val="both"/>
        <w:rPr>
          <w:rFonts w:ascii="Palatino Linotype" w:eastAsia="Palatino Linotype" w:hAnsi="Palatino Linotype" w:cs="Palatino Linotype"/>
        </w:rPr>
      </w:pPr>
    </w:p>
    <w:p w:rsidR="00A66727" w:rsidRPr="0071055D" w:rsidRDefault="00934026">
      <w:pPr>
        <w:keepNext/>
        <w:keepLines/>
        <w:spacing w:line="360" w:lineRule="auto"/>
        <w:jc w:val="center"/>
        <w:rPr>
          <w:rFonts w:ascii="Palatino Linotype" w:eastAsia="Palatino Linotype" w:hAnsi="Palatino Linotype" w:cs="Palatino Linotype"/>
          <w:b/>
          <w:bCs/>
        </w:rPr>
      </w:pPr>
      <w:bookmarkStart w:id="14" w:name="_heading=h.35nkun2" w:colFirst="0" w:colLast="0"/>
      <w:bookmarkEnd w:id="14"/>
      <w:r w:rsidRPr="0071055D">
        <w:rPr>
          <w:rFonts w:ascii="Palatino Linotype" w:eastAsia="Palatino Linotype" w:hAnsi="Palatino Linotype" w:cs="Palatino Linotype"/>
          <w:b/>
          <w:bCs/>
        </w:rPr>
        <w:t xml:space="preserve">R E S O L U T I V O S </w:t>
      </w:r>
    </w:p>
    <w:p w:rsidR="00A66727" w:rsidRPr="0071055D" w:rsidRDefault="00A66727">
      <w:pPr>
        <w:spacing w:line="360" w:lineRule="auto"/>
        <w:rPr>
          <w:rFonts w:ascii="Palatino Linotype" w:eastAsia="Palatino Linotype" w:hAnsi="Palatino Linotype" w:cs="Palatino Linotype"/>
        </w:rPr>
      </w:pPr>
    </w:p>
    <w:p w:rsidR="00A66727" w:rsidRPr="0071055D" w:rsidRDefault="00934026">
      <w:pPr>
        <w:spacing w:line="360" w:lineRule="auto"/>
        <w:jc w:val="both"/>
        <w:rPr>
          <w:rFonts w:ascii="Palatino Linotype" w:eastAsia="Palatino Linotype" w:hAnsi="Palatino Linotype" w:cs="Palatino Linotype"/>
          <w:color w:val="000000"/>
        </w:rPr>
      </w:pPr>
      <w:bookmarkStart w:id="15" w:name="_heading=h.1ksv4uv" w:colFirst="0" w:colLast="0"/>
      <w:bookmarkEnd w:id="15"/>
      <w:r w:rsidRPr="0071055D">
        <w:rPr>
          <w:rFonts w:ascii="Palatino Linotype" w:eastAsia="Palatino Linotype" w:hAnsi="Palatino Linotype" w:cs="Palatino Linotype"/>
          <w:b/>
          <w:bCs/>
          <w:color w:val="000000"/>
        </w:rPr>
        <w:t>PRIMERO</w:t>
      </w:r>
      <w:r w:rsidRPr="0071055D">
        <w:rPr>
          <w:rFonts w:ascii="Palatino Linotype" w:eastAsia="Palatino Linotype" w:hAnsi="Palatino Linotype" w:cs="Palatino Linotype"/>
          <w:color w:val="000000"/>
        </w:rPr>
        <w:t xml:space="preserve">. Resultan parcialmente fundadas las razones o motivos de inconformidad hechos valer en el recurso de revisión </w:t>
      </w:r>
      <w:r w:rsidRPr="0071055D">
        <w:rPr>
          <w:rFonts w:ascii="Palatino Linotype" w:eastAsia="Palatino Linotype" w:hAnsi="Palatino Linotype" w:cs="Palatino Linotype"/>
          <w:b/>
          <w:bCs/>
          <w:color w:val="000000"/>
        </w:rPr>
        <w:t>12383/INFOEM/IP/RR/2025</w:t>
      </w:r>
      <w:r w:rsidRPr="0071055D">
        <w:rPr>
          <w:rFonts w:ascii="Palatino Linotype" w:eastAsia="Palatino Linotype" w:hAnsi="Palatino Linotype" w:cs="Palatino Linotype"/>
          <w:color w:val="000000"/>
        </w:rPr>
        <w:t xml:space="preserve"> en términos delos Considerandos </w:t>
      </w:r>
      <w:r w:rsidRPr="0071055D">
        <w:rPr>
          <w:rFonts w:ascii="Palatino Linotype" w:eastAsia="Palatino Linotype" w:hAnsi="Palatino Linotype" w:cs="Palatino Linotype"/>
          <w:b/>
          <w:bCs/>
          <w:color w:val="000000"/>
        </w:rPr>
        <w:t>CUARTO</w:t>
      </w:r>
      <w:r w:rsidRPr="0071055D">
        <w:rPr>
          <w:rFonts w:ascii="Palatino Linotype" w:eastAsia="Palatino Linotype" w:hAnsi="Palatino Linotype" w:cs="Palatino Linotype"/>
          <w:b/>
          <w:color w:val="000000"/>
        </w:rPr>
        <w:t xml:space="preserve"> y QUINTO</w:t>
      </w:r>
      <w:r w:rsidRPr="0071055D">
        <w:rPr>
          <w:rFonts w:ascii="Palatino Linotype" w:eastAsia="Palatino Linotype" w:hAnsi="Palatino Linotype" w:cs="Palatino Linotype"/>
          <w:color w:val="000000"/>
        </w:rPr>
        <w:t xml:space="preserve"> de la presente resolución.</w:t>
      </w:r>
    </w:p>
    <w:p w:rsidR="00A66727" w:rsidRPr="0071055D" w:rsidRDefault="00A66727">
      <w:pPr>
        <w:spacing w:line="360" w:lineRule="auto"/>
        <w:jc w:val="both"/>
        <w:rPr>
          <w:rFonts w:ascii="Palatino Linotype" w:eastAsia="Palatino Linotype" w:hAnsi="Palatino Linotype" w:cs="Palatino Linotype"/>
          <w:b/>
          <w:bCs/>
        </w:rPr>
      </w:pPr>
    </w:p>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bCs/>
        </w:rPr>
        <w:t xml:space="preserve">SEGUNDO. </w:t>
      </w:r>
      <w:r w:rsidRPr="0071055D">
        <w:rPr>
          <w:rFonts w:ascii="Palatino Linotype" w:eastAsia="Palatino Linotype" w:hAnsi="Palatino Linotype" w:cs="Palatino Linotype"/>
        </w:rPr>
        <w:t xml:space="preserve">Se </w:t>
      </w:r>
      <w:r w:rsidR="00003A47" w:rsidRPr="0071055D">
        <w:rPr>
          <w:rFonts w:ascii="Palatino Linotype" w:eastAsia="Palatino Linotype" w:hAnsi="Palatino Linotype" w:cs="Palatino Linotype"/>
          <w:b/>
          <w:bCs/>
        </w:rPr>
        <w:t>REVOCA</w:t>
      </w:r>
      <w:r w:rsidRPr="0071055D">
        <w:rPr>
          <w:rFonts w:ascii="Palatino Linotype" w:eastAsia="Palatino Linotype" w:hAnsi="Palatino Linotype" w:cs="Palatino Linotype"/>
          <w:b/>
          <w:bCs/>
        </w:rPr>
        <w:t xml:space="preserve"> </w:t>
      </w:r>
      <w:r w:rsidRPr="0071055D">
        <w:rPr>
          <w:rFonts w:ascii="Palatino Linotype" w:eastAsia="Palatino Linotype" w:hAnsi="Palatino Linotype" w:cs="Palatino Linotype"/>
        </w:rPr>
        <w:t xml:space="preserve">la respuesta del </w:t>
      </w:r>
      <w:r w:rsidRPr="0071055D">
        <w:rPr>
          <w:rFonts w:ascii="Palatino Linotype" w:eastAsia="Palatino Linotype" w:hAnsi="Palatino Linotype" w:cs="Palatino Linotype"/>
          <w:b/>
          <w:bCs/>
        </w:rPr>
        <w:t>Consejo Estatal para el Desarrollo Integral de los Pueblos Indígenas del Estado de México</w:t>
      </w:r>
      <w:r w:rsidRPr="0071055D">
        <w:rPr>
          <w:rFonts w:ascii="Palatino Linotype" w:eastAsia="Palatino Linotype" w:hAnsi="Palatino Linotype" w:cs="Palatino Linotype"/>
        </w:rPr>
        <w:t>, a la solicitud de información</w:t>
      </w:r>
      <w:r w:rsidRPr="0071055D">
        <w:rPr>
          <w:rFonts w:ascii="Palatino Linotype" w:eastAsia="Palatino Linotype" w:hAnsi="Palatino Linotype" w:cs="Palatino Linotype"/>
          <w:b/>
          <w:bCs/>
        </w:rPr>
        <w:t xml:space="preserve"> 00097/CEDIPIEM/IP/2025 </w:t>
      </w:r>
      <w:r w:rsidRPr="0071055D">
        <w:rPr>
          <w:rFonts w:ascii="Palatino Linotype" w:eastAsia="Palatino Linotype" w:hAnsi="Palatino Linotype" w:cs="Palatino Linotype"/>
        </w:rPr>
        <w:t>y</w:t>
      </w:r>
      <w:r w:rsidRPr="0071055D">
        <w:rPr>
          <w:rFonts w:ascii="Palatino Linotype" w:eastAsia="Palatino Linotype" w:hAnsi="Palatino Linotype" w:cs="Palatino Linotype"/>
          <w:b/>
          <w:bCs/>
        </w:rPr>
        <w:t xml:space="preserve"> </w:t>
      </w:r>
      <w:r w:rsidRPr="0071055D">
        <w:rPr>
          <w:rFonts w:ascii="Palatino Linotype" w:eastAsia="Palatino Linotype" w:hAnsi="Palatino Linotype" w:cs="Palatino Linotype"/>
        </w:rPr>
        <w:t xml:space="preserve">se </w:t>
      </w:r>
      <w:r w:rsidRPr="0071055D">
        <w:rPr>
          <w:rFonts w:ascii="Palatino Linotype" w:eastAsia="Palatino Linotype" w:hAnsi="Palatino Linotype" w:cs="Palatino Linotype"/>
          <w:b/>
          <w:bCs/>
        </w:rPr>
        <w:t>ORDENA</w:t>
      </w:r>
      <w:r w:rsidRPr="0071055D">
        <w:rPr>
          <w:rFonts w:ascii="Palatino Linotype" w:eastAsia="Palatino Linotype" w:hAnsi="Palatino Linotype" w:cs="Palatino Linotype"/>
        </w:rPr>
        <w:t xml:space="preserve"> entregar vía Sistema de Acceso a la Información Mexiquense </w:t>
      </w:r>
      <w:r w:rsidRPr="0071055D">
        <w:rPr>
          <w:rFonts w:ascii="Palatino Linotype" w:eastAsia="Palatino Linotype" w:hAnsi="Palatino Linotype" w:cs="Palatino Linotype"/>
          <w:b/>
          <w:bCs/>
        </w:rPr>
        <w:t>(SAIMEX)</w:t>
      </w:r>
      <w:r w:rsidRPr="0071055D">
        <w:rPr>
          <w:rFonts w:ascii="Palatino Linotype" w:eastAsia="Palatino Linotype" w:hAnsi="Palatino Linotype" w:cs="Palatino Linotype"/>
        </w:rPr>
        <w:t xml:space="preserve">, previa búsqueda exhaustiva y razonable, en versión pública: </w:t>
      </w: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934026">
      <w:pPr>
        <w:numPr>
          <w:ilvl w:val="0"/>
          <w:numId w:val="7"/>
        </w:numPr>
        <w:pBdr>
          <w:top w:val="nil"/>
          <w:left w:val="nil"/>
          <w:bottom w:val="nil"/>
          <w:right w:val="nil"/>
          <w:between w:val="nil"/>
        </w:pBdr>
        <w:spacing w:line="360" w:lineRule="auto"/>
        <w:ind w:left="567" w:right="567" w:firstLine="0"/>
        <w:jc w:val="both"/>
        <w:rPr>
          <w:rFonts w:ascii="Palatino Linotype" w:eastAsia="Palatino Linotype" w:hAnsi="Palatino Linotype" w:cs="Palatino Linotype"/>
          <w:b/>
          <w:bCs/>
          <w:color w:val="000000"/>
        </w:rPr>
      </w:pPr>
      <w:bookmarkStart w:id="16" w:name="_heading=h.b2w4z151zok3" w:colFirst="0" w:colLast="0"/>
      <w:bookmarkEnd w:id="16"/>
      <w:r w:rsidRPr="0071055D">
        <w:rPr>
          <w:rFonts w:ascii="Palatino Linotype" w:eastAsia="Palatino Linotype" w:hAnsi="Palatino Linotype" w:cs="Palatino Linotype"/>
          <w:b/>
          <w:bCs/>
          <w:color w:val="000000"/>
        </w:rPr>
        <w:t xml:space="preserve">Contrato, Nombramiento o Formato Único de Movimiento de Personal de la persona referida en la solicitud de información </w:t>
      </w:r>
      <w:r w:rsidRPr="0071055D">
        <w:rPr>
          <w:rFonts w:ascii="Palatino Linotype" w:eastAsia="Palatino Linotype" w:hAnsi="Palatino Linotype" w:cs="Palatino Linotype"/>
          <w:b/>
          <w:bCs/>
        </w:rPr>
        <w:t>0097/CEDIPIEM/IP/2025.</w:t>
      </w:r>
    </w:p>
    <w:p w:rsidR="00A66727" w:rsidRPr="0071055D" w:rsidRDefault="00A66727">
      <w:pPr>
        <w:pBdr>
          <w:top w:val="nil"/>
          <w:left w:val="nil"/>
          <w:bottom w:val="nil"/>
          <w:right w:val="nil"/>
          <w:between w:val="nil"/>
        </w:pBdr>
        <w:spacing w:line="360" w:lineRule="auto"/>
        <w:ind w:left="1287"/>
        <w:jc w:val="both"/>
        <w:rPr>
          <w:rFonts w:ascii="Palatino Linotype" w:eastAsia="Palatino Linotype" w:hAnsi="Palatino Linotype" w:cs="Palatino Linotype"/>
          <w:b/>
          <w:bCs/>
          <w:color w:val="000000"/>
        </w:rPr>
      </w:pPr>
    </w:p>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w:t>
      </w:r>
      <w:r w:rsidRPr="0071055D">
        <w:rPr>
          <w:rFonts w:ascii="Palatino Linotype" w:eastAsia="Palatino Linotype" w:hAnsi="Palatino Linotype" w:cs="Palatino Linotype"/>
        </w:rPr>
        <w:lastRenderedPageBreak/>
        <w:t xml:space="preserve">Acceso a la Información Pública del Estado de México y Municipios, en el que funde y motive las razones sobre los datos que se supriman o eliminen dentro del soporte documental respectivo objeto de las versiones públicas que se formulen y se pongan a disposición </w:t>
      </w:r>
      <w:r w:rsidRPr="0071055D">
        <w:rPr>
          <w:rFonts w:ascii="Palatino Linotype" w:eastAsia="Palatino Linotype" w:hAnsi="Palatino Linotype" w:cs="Palatino Linotype"/>
          <w:b/>
          <w:bCs/>
        </w:rPr>
        <w:t>del RECURRENTE</w:t>
      </w:r>
      <w:r w:rsidRPr="0071055D">
        <w:rPr>
          <w:rFonts w:ascii="Palatino Linotype" w:eastAsia="Palatino Linotype" w:hAnsi="Palatino Linotype" w:cs="Palatino Linotype"/>
        </w:rPr>
        <w:t>.</w:t>
      </w: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bCs/>
        </w:rPr>
        <w:t xml:space="preserve">TERCERO. </w:t>
      </w:r>
      <w:r w:rsidRPr="0071055D">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1055D">
        <w:rPr>
          <w:rFonts w:ascii="Palatino Linotype" w:eastAsia="Palatino Linotype" w:hAnsi="Palatino Linotype" w:cs="Palatino Linotype"/>
          <w:b/>
          <w:bCs/>
        </w:rPr>
        <w:t xml:space="preserve">dé cumplimiento a lo ordenado dentro del plazo de diez días hábiles, </w:t>
      </w:r>
      <w:r w:rsidRPr="0071055D">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A66727" w:rsidRPr="0071055D" w:rsidRDefault="00A66727">
      <w:pPr>
        <w:tabs>
          <w:tab w:val="left" w:pos="284"/>
          <w:tab w:val="left" w:pos="8080"/>
        </w:tabs>
        <w:spacing w:line="360" w:lineRule="auto"/>
        <w:ind w:right="49"/>
        <w:jc w:val="both"/>
        <w:rPr>
          <w:rFonts w:ascii="Palatino Linotype" w:eastAsia="Palatino Linotype" w:hAnsi="Palatino Linotype" w:cs="Palatino Linotype"/>
          <w:b/>
          <w:bCs/>
        </w:rPr>
      </w:pPr>
    </w:p>
    <w:p w:rsidR="00A66727" w:rsidRPr="0071055D" w:rsidRDefault="00934026">
      <w:pPr>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bCs/>
        </w:rPr>
        <w:t xml:space="preserve">CUARTO. </w:t>
      </w:r>
      <w:r w:rsidRPr="0071055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1055D">
        <w:rPr>
          <w:rFonts w:ascii="Palatino Linotype" w:eastAsia="Palatino Linotype" w:hAnsi="Palatino Linotype" w:cs="Palatino Linotype"/>
          <w:b/>
          <w:bCs/>
        </w:rPr>
        <w:t>SUJETO OBLIGADO</w:t>
      </w:r>
      <w:r w:rsidRPr="0071055D">
        <w:rPr>
          <w:rFonts w:ascii="Palatino Linotype" w:eastAsia="Palatino Linotype" w:hAnsi="Palatino Linotype" w:cs="Palatino Linotype"/>
        </w:rPr>
        <w:t xml:space="preserve"> de manera fundada y motivada, podrá solicitar una ampliación de plazo para el cumplimiento de la presente resolución.</w:t>
      </w:r>
    </w:p>
    <w:p w:rsidR="00A66727" w:rsidRPr="0071055D" w:rsidRDefault="00A66727">
      <w:pPr>
        <w:shd w:val="clear" w:color="auto" w:fill="FFFFFF"/>
        <w:tabs>
          <w:tab w:val="left" w:pos="284"/>
        </w:tabs>
        <w:spacing w:line="360" w:lineRule="auto"/>
        <w:jc w:val="both"/>
        <w:rPr>
          <w:rFonts w:ascii="Palatino Linotype" w:eastAsia="Palatino Linotype" w:hAnsi="Palatino Linotype" w:cs="Palatino Linotype"/>
          <w:b/>
          <w:bCs/>
        </w:rPr>
      </w:pPr>
    </w:p>
    <w:p w:rsidR="00A66727" w:rsidRPr="0071055D" w:rsidRDefault="00934026">
      <w:pPr>
        <w:shd w:val="clear" w:color="auto" w:fill="FFFFFF"/>
        <w:tabs>
          <w:tab w:val="left" w:pos="284"/>
        </w:tabs>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bCs/>
        </w:rPr>
        <w:t xml:space="preserve">QUINTO. Notifíquese </w:t>
      </w:r>
      <w:r w:rsidRPr="0071055D">
        <w:rPr>
          <w:rFonts w:ascii="Palatino Linotype" w:eastAsia="Palatino Linotype" w:hAnsi="Palatino Linotype" w:cs="Palatino Linotype"/>
        </w:rPr>
        <w:t xml:space="preserve">al </w:t>
      </w:r>
      <w:r w:rsidRPr="0071055D">
        <w:rPr>
          <w:rFonts w:ascii="Palatino Linotype" w:eastAsia="Palatino Linotype" w:hAnsi="Palatino Linotype" w:cs="Palatino Linotype"/>
          <w:b/>
          <w:bCs/>
        </w:rPr>
        <w:t xml:space="preserve">RECURRENTE </w:t>
      </w:r>
      <w:r w:rsidRPr="0071055D">
        <w:rPr>
          <w:rFonts w:ascii="Palatino Linotype" w:eastAsia="Palatino Linotype" w:hAnsi="Palatino Linotype" w:cs="Palatino Linotype"/>
        </w:rPr>
        <w:t>la presente resolución a través del Sistema de Acceso a la Información Mexiquense (SAIMEX).</w:t>
      </w:r>
    </w:p>
    <w:p w:rsidR="00A66727" w:rsidRPr="0071055D" w:rsidRDefault="00A66727">
      <w:pPr>
        <w:shd w:val="clear" w:color="auto" w:fill="FFFFFF"/>
        <w:tabs>
          <w:tab w:val="left" w:pos="284"/>
        </w:tabs>
        <w:spacing w:line="360" w:lineRule="auto"/>
        <w:jc w:val="both"/>
        <w:rPr>
          <w:rFonts w:ascii="Palatino Linotype" w:eastAsia="Palatino Linotype" w:hAnsi="Palatino Linotype" w:cs="Palatino Linotype"/>
        </w:rPr>
      </w:pPr>
    </w:p>
    <w:p w:rsidR="00A66727" w:rsidRPr="0071055D" w:rsidRDefault="00934026">
      <w:pPr>
        <w:shd w:val="clear" w:color="auto" w:fill="FFFFFF"/>
        <w:tabs>
          <w:tab w:val="left" w:pos="284"/>
        </w:tabs>
        <w:spacing w:line="360" w:lineRule="auto"/>
        <w:jc w:val="both"/>
        <w:rPr>
          <w:rFonts w:ascii="Palatino Linotype" w:eastAsia="Palatino Linotype" w:hAnsi="Palatino Linotype" w:cs="Palatino Linotype"/>
        </w:rPr>
      </w:pPr>
      <w:r w:rsidRPr="0071055D">
        <w:rPr>
          <w:rFonts w:ascii="Palatino Linotype" w:eastAsia="Palatino Linotype" w:hAnsi="Palatino Linotype" w:cs="Palatino Linotype"/>
          <w:b/>
          <w:bCs/>
        </w:rPr>
        <w:lastRenderedPageBreak/>
        <w:t xml:space="preserve">SEXTO. </w:t>
      </w:r>
      <w:r w:rsidRPr="0071055D">
        <w:rPr>
          <w:rFonts w:ascii="Palatino Linotype" w:eastAsia="Palatino Linotype" w:hAnsi="Palatino Linotype" w:cs="Palatino Linotype"/>
        </w:rPr>
        <w:t xml:space="preserve"> Se hace del conocimiento del</w:t>
      </w:r>
      <w:r w:rsidRPr="0071055D">
        <w:rPr>
          <w:rFonts w:ascii="Palatino Linotype" w:eastAsia="Palatino Linotype" w:hAnsi="Palatino Linotype" w:cs="Palatino Linotype"/>
          <w:b/>
          <w:bCs/>
        </w:rPr>
        <w:t xml:space="preserve"> RECURRENTE </w:t>
      </w:r>
      <w:r w:rsidRPr="0071055D">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66727" w:rsidRPr="0071055D" w:rsidRDefault="00A66727">
      <w:pPr>
        <w:shd w:val="clear" w:color="auto" w:fill="FFFFFF"/>
        <w:tabs>
          <w:tab w:val="left" w:pos="284"/>
        </w:tabs>
        <w:spacing w:line="360" w:lineRule="auto"/>
        <w:jc w:val="both"/>
        <w:rPr>
          <w:rFonts w:ascii="Palatino Linotype" w:eastAsia="Palatino Linotype" w:hAnsi="Palatino Linotype" w:cs="Palatino Linotype"/>
        </w:rPr>
      </w:pPr>
    </w:p>
    <w:p w:rsidR="00A66727" w:rsidRPr="0071055D" w:rsidRDefault="00934026" w:rsidP="00B94328">
      <w:pPr>
        <w:spacing w:before="240" w:after="240" w:line="360" w:lineRule="auto"/>
        <w:ind w:right="47" w:firstLine="1"/>
        <w:jc w:val="both"/>
        <w:rPr>
          <w:rFonts w:ascii="Palatino Linotype" w:eastAsia="Palatino Linotype" w:hAnsi="Palatino Linotype" w:cs="Palatino Linotype"/>
        </w:rPr>
      </w:pPr>
      <w:r w:rsidRPr="0071055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B94328" w:rsidRPr="0071055D">
        <w:rPr>
          <w:rFonts w:ascii="Palatino Linotype" w:eastAsia="Palatino Linotype" w:hAnsi="Palatino Linotype" w:cs="Palatino Linotype"/>
        </w:rPr>
        <w:t>,</w:t>
      </w:r>
      <w:r w:rsidRPr="0071055D">
        <w:rPr>
          <w:rFonts w:ascii="Palatino Linotype" w:eastAsia="Palatino Linotype" w:hAnsi="Palatino Linotype" w:cs="Palatino Linotype"/>
        </w:rPr>
        <w:t xml:space="preserve"> EN LA PRIMERA SESIÓN ORDINARIA DEL CATORCE</w:t>
      </w:r>
      <w:r w:rsidR="00B94328" w:rsidRPr="0071055D">
        <w:rPr>
          <w:rFonts w:ascii="Palatino Linotype" w:eastAsia="Palatino Linotype" w:hAnsi="Palatino Linotype" w:cs="Palatino Linotype"/>
        </w:rPr>
        <w:t xml:space="preserve"> (14)  DE ENERO DE DOS MIL VEINTISÉ</w:t>
      </w:r>
      <w:r w:rsidRPr="0071055D">
        <w:rPr>
          <w:rFonts w:ascii="Palatino Linotype" w:eastAsia="Palatino Linotype" w:hAnsi="Palatino Linotype" w:cs="Palatino Linotype"/>
        </w:rPr>
        <w:t xml:space="preserve">IS, ANTE EL SECRETARIO TÉCNICO DEL PLENO ALEXIS TAPIA RAMÍREZ. </w:t>
      </w: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A66727">
      <w:pPr>
        <w:spacing w:line="360" w:lineRule="auto"/>
        <w:jc w:val="both"/>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p w:rsidR="00A66727" w:rsidRPr="0071055D" w:rsidRDefault="00A66727">
      <w:pPr>
        <w:spacing w:line="360" w:lineRule="auto"/>
        <w:rPr>
          <w:rFonts w:ascii="Palatino Linotype" w:eastAsia="Palatino Linotype" w:hAnsi="Palatino Linotype" w:cs="Palatino Linotype"/>
        </w:rPr>
      </w:pPr>
    </w:p>
    <w:sectPr w:rsidR="00A66727" w:rsidRPr="0071055D" w:rsidSect="0071055D">
      <w:headerReference w:type="default" r:id="rId10"/>
      <w:footerReference w:type="default" r:id="rId11"/>
      <w:headerReference w:type="first" r:id="rId12"/>
      <w:footerReference w:type="first" r:id="rId13"/>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78E" w:rsidRDefault="00EF578E">
      <w:r>
        <w:separator/>
      </w:r>
    </w:p>
  </w:endnote>
  <w:endnote w:type="continuationSeparator" w:id="0">
    <w:p w:rsidR="00EF578E" w:rsidRDefault="00EF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983733E-1508-4618-BD41-A65A4C5DE0FA}"/>
    <w:embedBold r:id="rId2" w:fontKey="{852AB30B-7F9C-4D0C-91C1-82BDBE394F4A}"/>
    <w:embedItalic r:id="rId3" w:fontKey="{FCB7655D-5B3D-42F9-98D2-85982F93AB16}"/>
    <w:embedBoldItalic r:id="rId4" w:fontKey="{CE8DC5B1-D32F-4BEA-9A3A-7844AEF13211}"/>
  </w:font>
  <w:font w:name="Noto Sans Symbols">
    <w:altName w:val="Times New Roman"/>
    <w:charset w:val="00"/>
    <w:family w:val="auto"/>
    <w:pitch w:val="default"/>
    <w:embedRegular r:id="rId5" w:fontKey="{F7911B39-8568-47B8-9D30-9AE14352429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4294F78-D12E-4353-B045-E9C8F0792250}"/>
  </w:font>
  <w:font w:name="Calibri Light">
    <w:panose1 w:val="020F0302020204030204"/>
    <w:charset w:val="00"/>
    <w:family w:val="swiss"/>
    <w:pitch w:val="variable"/>
    <w:sig w:usb0="E4002EFF" w:usb1="C200247B" w:usb2="00000009" w:usb3="00000000" w:csb0="000001FF" w:csb1="00000000"/>
    <w:embedRegular r:id="rId7" w:fontKey="{6DDEF85B-FDBB-4BA3-A454-708FDD49E228}"/>
  </w:font>
  <w:font w:name="Segoe UI">
    <w:panose1 w:val="020B0502040204020203"/>
    <w:charset w:val="00"/>
    <w:family w:val="swiss"/>
    <w:pitch w:val="variable"/>
    <w:sig w:usb0="E4002EFF" w:usb1="C000E47F" w:usb2="00000009" w:usb3="00000000" w:csb0="000001FF" w:csb1="00000000"/>
    <w:embedRegular r:id="rId8" w:fontKey="{F5D7885E-4E2E-4313-A328-4A35F7CB6E6F}"/>
  </w:font>
  <w:font w:name="Georgia">
    <w:panose1 w:val="02040502050405020303"/>
    <w:charset w:val="00"/>
    <w:family w:val="roman"/>
    <w:pitch w:val="variable"/>
    <w:sig w:usb0="00000287" w:usb1="00000000" w:usb2="00000000" w:usb3="00000000" w:csb0="0000009F" w:csb1="00000000"/>
    <w:embedItalic r:id="rId9" w:fontKey="{C525A0DE-E213-4CED-BCBB-8F20296E00C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27" w:rsidRPr="0071055D" w:rsidRDefault="0093402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71055D">
      <w:rPr>
        <w:rFonts w:ascii="Palatino Linotype" w:eastAsia="Arial" w:hAnsi="Palatino Linotype" w:cs="Arial"/>
        <w:b/>
        <w:bCs/>
        <w:color w:val="000000"/>
        <w:sz w:val="22"/>
        <w:szCs w:val="20"/>
      </w:rPr>
      <w:t xml:space="preserve">Página </w:t>
    </w:r>
    <w:r w:rsidRPr="0071055D">
      <w:rPr>
        <w:rFonts w:ascii="Palatino Linotype" w:eastAsia="Arial" w:hAnsi="Palatino Linotype" w:cs="Arial"/>
        <w:b/>
        <w:bCs/>
        <w:color w:val="000000"/>
        <w:sz w:val="22"/>
        <w:szCs w:val="20"/>
      </w:rPr>
      <w:fldChar w:fldCharType="begin"/>
    </w:r>
    <w:r w:rsidRPr="0071055D">
      <w:rPr>
        <w:rFonts w:ascii="Palatino Linotype" w:eastAsia="Arial" w:hAnsi="Palatino Linotype" w:cs="Arial"/>
        <w:b/>
        <w:bCs/>
        <w:color w:val="000000"/>
        <w:sz w:val="22"/>
        <w:szCs w:val="20"/>
      </w:rPr>
      <w:instrText>PAGE</w:instrText>
    </w:r>
    <w:r w:rsidRPr="0071055D">
      <w:rPr>
        <w:rFonts w:ascii="Palatino Linotype" w:eastAsia="Arial" w:hAnsi="Palatino Linotype" w:cs="Arial"/>
        <w:b/>
        <w:bCs/>
        <w:color w:val="000000"/>
        <w:sz w:val="22"/>
        <w:szCs w:val="20"/>
      </w:rPr>
      <w:fldChar w:fldCharType="separate"/>
    </w:r>
    <w:r w:rsidR="00D222ED">
      <w:rPr>
        <w:rFonts w:ascii="Palatino Linotype" w:eastAsia="Arial" w:hAnsi="Palatino Linotype" w:cs="Arial"/>
        <w:b/>
        <w:bCs/>
        <w:noProof/>
        <w:color w:val="000000"/>
        <w:sz w:val="22"/>
        <w:szCs w:val="20"/>
      </w:rPr>
      <w:t>22</w:t>
    </w:r>
    <w:r w:rsidRPr="0071055D">
      <w:rPr>
        <w:rFonts w:ascii="Palatino Linotype" w:eastAsia="Arial" w:hAnsi="Palatino Linotype" w:cs="Arial"/>
        <w:b/>
        <w:bCs/>
        <w:color w:val="000000"/>
        <w:sz w:val="22"/>
        <w:szCs w:val="20"/>
      </w:rPr>
      <w:fldChar w:fldCharType="end"/>
    </w:r>
    <w:r w:rsidRPr="0071055D">
      <w:rPr>
        <w:rFonts w:ascii="Palatino Linotype" w:eastAsia="Arial" w:hAnsi="Palatino Linotype" w:cs="Arial"/>
        <w:color w:val="000000"/>
        <w:sz w:val="22"/>
        <w:szCs w:val="20"/>
      </w:rPr>
      <w:t xml:space="preserve"> de </w:t>
    </w:r>
    <w:r w:rsidRPr="0071055D">
      <w:rPr>
        <w:rFonts w:ascii="Palatino Linotype" w:eastAsia="Arial" w:hAnsi="Palatino Linotype" w:cs="Arial"/>
        <w:b/>
        <w:bCs/>
        <w:color w:val="000000"/>
        <w:sz w:val="22"/>
        <w:szCs w:val="20"/>
      </w:rPr>
      <w:fldChar w:fldCharType="begin"/>
    </w:r>
    <w:r w:rsidRPr="0071055D">
      <w:rPr>
        <w:rFonts w:ascii="Palatino Linotype" w:eastAsia="Arial" w:hAnsi="Palatino Linotype" w:cs="Arial"/>
        <w:b/>
        <w:bCs/>
        <w:color w:val="000000"/>
        <w:sz w:val="22"/>
        <w:szCs w:val="20"/>
      </w:rPr>
      <w:instrText>NUMPAGES</w:instrText>
    </w:r>
    <w:r w:rsidRPr="0071055D">
      <w:rPr>
        <w:rFonts w:ascii="Palatino Linotype" w:eastAsia="Arial" w:hAnsi="Palatino Linotype" w:cs="Arial"/>
        <w:b/>
        <w:bCs/>
        <w:color w:val="000000"/>
        <w:sz w:val="22"/>
        <w:szCs w:val="20"/>
      </w:rPr>
      <w:fldChar w:fldCharType="separate"/>
    </w:r>
    <w:r w:rsidR="00D222ED">
      <w:rPr>
        <w:rFonts w:ascii="Palatino Linotype" w:eastAsia="Arial" w:hAnsi="Palatino Linotype" w:cs="Arial"/>
        <w:b/>
        <w:bCs/>
        <w:noProof/>
        <w:color w:val="000000"/>
        <w:sz w:val="22"/>
        <w:szCs w:val="20"/>
      </w:rPr>
      <w:t>42</w:t>
    </w:r>
    <w:r w:rsidRPr="0071055D">
      <w:rPr>
        <w:rFonts w:ascii="Palatino Linotype" w:eastAsia="Arial" w:hAnsi="Palatino Linotype" w:cs="Arial"/>
        <w:b/>
        <w:bCs/>
        <w:color w:val="000000"/>
        <w:sz w:val="22"/>
        <w:szCs w:val="20"/>
      </w:rPr>
      <w:fldChar w:fldCharType="end"/>
    </w:r>
  </w:p>
  <w:p w:rsidR="00A66727" w:rsidRDefault="00A66727">
    <w:pPr>
      <w:pBdr>
        <w:top w:val="nil"/>
        <w:left w:val="nil"/>
        <w:bottom w:val="nil"/>
        <w:right w:val="nil"/>
        <w:between w:val="nil"/>
      </w:pBdr>
      <w:tabs>
        <w:tab w:val="center" w:pos="4252"/>
        <w:tab w:val="right" w:pos="8504"/>
      </w:tabs>
      <w:rPr>
        <w:color w:val="000000"/>
      </w:rPr>
    </w:pPr>
  </w:p>
  <w:p w:rsidR="00A66727" w:rsidRDefault="00A6672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27" w:rsidRPr="0071055D" w:rsidRDefault="0093402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71055D">
      <w:rPr>
        <w:rFonts w:ascii="Palatino Linotype" w:eastAsia="Arial" w:hAnsi="Palatino Linotype" w:cs="Arial"/>
        <w:b/>
        <w:bCs/>
        <w:color w:val="000000"/>
        <w:sz w:val="22"/>
        <w:szCs w:val="20"/>
      </w:rPr>
      <w:t xml:space="preserve">Página </w:t>
    </w:r>
    <w:r w:rsidRPr="0071055D">
      <w:rPr>
        <w:rFonts w:ascii="Palatino Linotype" w:eastAsia="Arial" w:hAnsi="Palatino Linotype" w:cs="Arial"/>
        <w:b/>
        <w:bCs/>
        <w:color w:val="000000"/>
        <w:sz w:val="22"/>
        <w:szCs w:val="20"/>
      </w:rPr>
      <w:fldChar w:fldCharType="begin"/>
    </w:r>
    <w:r w:rsidRPr="0071055D">
      <w:rPr>
        <w:rFonts w:ascii="Palatino Linotype" w:eastAsia="Arial" w:hAnsi="Palatino Linotype" w:cs="Arial"/>
        <w:b/>
        <w:bCs/>
        <w:color w:val="000000"/>
        <w:sz w:val="22"/>
        <w:szCs w:val="20"/>
      </w:rPr>
      <w:instrText>PAGE</w:instrText>
    </w:r>
    <w:r w:rsidRPr="0071055D">
      <w:rPr>
        <w:rFonts w:ascii="Palatino Linotype" w:eastAsia="Arial" w:hAnsi="Palatino Linotype" w:cs="Arial"/>
        <w:b/>
        <w:bCs/>
        <w:color w:val="000000"/>
        <w:sz w:val="22"/>
        <w:szCs w:val="20"/>
      </w:rPr>
      <w:fldChar w:fldCharType="separate"/>
    </w:r>
    <w:r w:rsidR="00D222ED">
      <w:rPr>
        <w:rFonts w:ascii="Palatino Linotype" w:eastAsia="Arial" w:hAnsi="Palatino Linotype" w:cs="Arial"/>
        <w:b/>
        <w:bCs/>
        <w:noProof/>
        <w:color w:val="000000"/>
        <w:sz w:val="22"/>
        <w:szCs w:val="20"/>
      </w:rPr>
      <w:t>1</w:t>
    </w:r>
    <w:r w:rsidRPr="0071055D">
      <w:rPr>
        <w:rFonts w:ascii="Palatino Linotype" w:eastAsia="Arial" w:hAnsi="Palatino Linotype" w:cs="Arial"/>
        <w:b/>
        <w:bCs/>
        <w:color w:val="000000"/>
        <w:sz w:val="22"/>
        <w:szCs w:val="20"/>
      </w:rPr>
      <w:fldChar w:fldCharType="end"/>
    </w:r>
    <w:r w:rsidRPr="0071055D">
      <w:rPr>
        <w:rFonts w:ascii="Palatino Linotype" w:eastAsia="Arial" w:hAnsi="Palatino Linotype" w:cs="Arial"/>
        <w:color w:val="000000"/>
        <w:sz w:val="22"/>
        <w:szCs w:val="20"/>
      </w:rPr>
      <w:t xml:space="preserve"> de </w:t>
    </w:r>
    <w:r w:rsidRPr="0071055D">
      <w:rPr>
        <w:rFonts w:ascii="Palatino Linotype" w:eastAsia="Arial" w:hAnsi="Palatino Linotype" w:cs="Arial"/>
        <w:b/>
        <w:bCs/>
        <w:color w:val="000000"/>
        <w:sz w:val="22"/>
        <w:szCs w:val="20"/>
      </w:rPr>
      <w:fldChar w:fldCharType="begin"/>
    </w:r>
    <w:r w:rsidRPr="0071055D">
      <w:rPr>
        <w:rFonts w:ascii="Palatino Linotype" w:eastAsia="Arial" w:hAnsi="Palatino Linotype" w:cs="Arial"/>
        <w:b/>
        <w:bCs/>
        <w:color w:val="000000"/>
        <w:sz w:val="22"/>
        <w:szCs w:val="20"/>
      </w:rPr>
      <w:instrText>NUMPAGES</w:instrText>
    </w:r>
    <w:r w:rsidRPr="0071055D">
      <w:rPr>
        <w:rFonts w:ascii="Palatino Linotype" w:eastAsia="Arial" w:hAnsi="Palatino Linotype" w:cs="Arial"/>
        <w:b/>
        <w:bCs/>
        <w:color w:val="000000"/>
        <w:sz w:val="22"/>
        <w:szCs w:val="20"/>
      </w:rPr>
      <w:fldChar w:fldCharType="separate"/>
    </w:r>
    <w:r w:rsidR="00D222ED">
      <w:rPr>
        <w:rFonts w:ascii="Palatino Linotype" w:eastAsia="Arial" w:hAnsi="Palatino Linotype" w:cs="Arial"/>
        <w:b/>
        <w:bCs/>
        <w:noProof/>
        <w:color w:val="000000"/>
        <w:sz w:val="22"/>
        <w:szCs w:val="20"/>
      </w:rPr>
      <w:t>42</w:t>
    </w:r>
    <w:r w:rsidRPr="0071055D">
      <w:rPr>
        <w:rFonts w:ascii="Palatino Linotype" w:eastAsia="Arial" w:hAnsi="Palatino Linotype" w:cs="Arial"/>
        <w:b/>
        <w:bCs/>
        <w:color w:val="000000"/>
        <w:sz w:val="22"/>
        <w:szCs w:val="20"/>
      </w:rPr>
      <w:fldChar w:fldCharType="end"/>
    </w:r>
  </w:p>
  <w:p w:rsidR="00A66727" w:rsidRDefault="00A6672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78E" w:rsidRDefault="00EF578E">
      <w:r>
        <w:separator/>
      </w:r>
    </w:p>
  </w:footnote>
  <w:footnote w:type="continuationSeparator" w:id="0">
    <w:p w:rsidR="00EF578E" w:rsidRDefault="00EF578E">
      <w:r>
        <w:continuationSeparator/>
      </w:r>
    </w:p>
  </w:footnote>
  <w:footnote w:id="1">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rsidR="00A66727" w:rsidRDefault="00934026">
      <w:pPr>
        <w:pBdr>
          <w:top w:val="nil"/>
          <w:left w:val="nil"/>
          <w:bottom w:val="nil"/>
          <w:right w:val="nil"/>
          <w:between w:val="nil"/>
        </w:pBdr>
        <w:jc w:val="both"/>
        <w:rPr>
          <w:rFonts w:ascii="Palatino Linotype" w:eastAsia="Palatino Linotype" w:hAnsi="Palatino Linotype" w:cs="Palatino Linotype"/>
          <w:color w:val="000000"/>
        </w:rPr>
      </w:pPr>
      <w:r>
        <w:rPr>
          <w:vertAlign w:val="superscript"/>
        </w:rPr>
        <w:footnoteRef/>
      </w:r>
      <w:r>
        <w:rPr>
          <w:rFonts w:ascii="Palatino Linotype" w:eastAsia="Palatino Linotype" w:hAnsi="Palatino Linotype" w:cs="Palatino Linotype"/>
          <w:color w:val="000000"/>
        </w:rPr>
        <w:t xml:space="preserve"> Ley del Trabajo de los Servidores Públicos del Estado de México, Artículo 1.</w:t>
      </w:r>
    </w:p>
  </w:footnote>
  <w:footnote w:id="10">
    <w:p w:rsidR="00A66727" w:rsidRDefault="009340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13. El Instituto, en el ámbito de sus atribuciones, deberá suplir cualquier deficiencia para garantizar el ejercicio del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946" w:type="dxa"/>
      <w:tblInd w:w="2977" w:type="dxa"/>
      <w:tblLayout w:type="fixed"/>
      <w:tblLook w:val="0400" w:firstRow="0" w:lastRow="0" w:firstColumn="0" w:lastColumn="0" w:noHBand="0" w:noVBand="1"/>
    </w:tblPr>
    <w:tblGrid>
      <w:gridCol w:w="2835"/>
      <w:gridCol w:w="4111"/>
    </w:tblGrid>
    <w:tr w:rsidR="00A66727" w:rsidTr="0071055D">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Recurso de Revisión:</w:t>
          </w:r>
        </w:p>
      </w:tc>
      <w:tc>
        <w:tcPr>
          <w:tcW w:w="4111" w:type="dxa"/>
          <w:vAlign w:val="center"/>
        </w:tcPr>
        <w:p w:rsidR="00A66727" w:rsidRPr="0071055D" w:rsidRDefault="00934026">
          <w:pPr>
            <w:jc w:val="both"/>
            <w:rPr>
              <w:rFonts w:ascii="Palatino Linotype" w:eastAsia="Palatino Linotype" w:hAnsi="Palatino Linotype" w:cs="Palatino Linotype"/>
              <w:bCs/>
            </w:rPr>
          </w:pPr>
          <w:r w:rsidRPr="0071055D">
            <w:rPr>
              <w:rFonts w:ascii="Palatino Linotype" w:eastAsia="Palatino Linotype" w:hAnsi="Palatino Linotype" w:cs="Palatino Linotype"/>
              <w:bCs/>
            </w:rPr>
            <w:t>12383/INFOEM/IP/RR/2025</w:t>
          </w:r>
        </w:p>
      </w:tc>
    </w:tr>
    <w:tr w:rsidR="00A66727" w:rsidTr="0071055D">
      <w:trPr>
        <w:trHeight w:val="228"/>
      </w:trPr>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Sujeto Obligado:</w:t>
          </w:r>
        </w:p>
      </w:tc>
      <w:tc>
        <w:tcPr>
          <w:tcW w:w="4111" w:type="dxa"/>
          <w:vAlign w:val="center"/>
        </w:tcPr>
        <w:p w:rsidR="00A66727" w:rsidRPr="0071055D" w:rsidRDefault="00934026">
          <w:pPr>
            <w:rPr>
              <w:rFonts w:ascii="Palatino Linotype" w:eastAsia="Palatino Linotype" w:hAnsi="Palatino Linotype" w:cs="Palatino Linotype"/>
              <w:bCs/>
            </w:rPr>
          </w:pPr>
          <w:r w:rsidRPr="0071055D">
            <w:rPr>
              <w:rFonts w:ascii="Palatino Linotype" w:eastAsia="Palatino Linotype" w:hAnsi="Palatino Linotype" w:cs="Palatino Linotype"/>
              <w:bCs/>
              <w:color w:val="000000"/>
            </w:rPr>
            <w:t>Consejo Estatal para el Desarrollo Integral de los Pueblos Indígenas del Estado de México</w:t>
          </w:r>
        </w:p>
      </w:tc>
    </w:tr>
    <w:tr w:rsidR="00A66727" w:rsidTr="0071055D">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Comisionada Ponente:</w:t>
          </w:r>
        </w:p>
      </w:tc>
      <w:tc>
        <w:tcPr>
          <w:tcW w:w="4111" w:type="dxa"/>
          <w:vAlign w:val="center"/>
        </w:tcPr>
        <w:p w:rsidR="00A66727" w:rsidRPr="0071055D" w:rsidRDefault="00934026">
          <w:pPr>
            <w:ind w:right="-533"/>
            <w:jc w:val="both"/>
            <w:rPr>
              <w:rFonts w:ascii="Palatino Linotype" w:eastAsia="Palatino Linotype" w:hAnsi="Palatino Linotype" w:cs="Palatino Linotype"/>
              <w:bCs/>
            </w:rPr>
          </w:pPr>
          <w:r w:rsidRPr="0071055D">
            <w:rPr>
              <w:rFonts w:ascii="Palatino Linotype" w:eastAsia="Palatino Linotype" w:hAnsi="Palatino Linotype" w:cs="Palatino Linotype"/>
              <w:bCs/>
            </w:rPr>
            <w:t>María del Rosario Mejía Ayala</w:t>
          </w:r>
        </w:p>
      </w:tc>
    </w:tr>
  </w:tbl>
  <w:p w:rsidR="00A66727" w:rsidRDefault="0071055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0288" behindDoc="1" locked="0" layoutInCell="1" hidden="0" allowOverlap="1" wp14:anchorId="6B32D7F5" wp14:editId="1893C2D9">
          <wp:simplePos x="0" y="0"/>
          <wp:positionH relativeFrom="column">
            <wp:posOffset>-969166</wp:posOffset>
          </wp:positionH>
          <wp:positionV relativeFrom="paragraph">
            <wp:posOffset>-1597013</wp:posOffset>
          </wp:positionV>
          <wp:extent cx="7813085" cy="10170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r w:rsidR="00934026">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804" w:type="dxa"/>
      <w:tblInd w:w="3119" w:type="dxa"/>
      <w:tblLayout w:type="fixed"/>
      <w:tblLook w:val="0400" w:firstRow="0" w:lastRow="0" w:firstColumn="0" w:lastColumn="0" w:noHBand="0" w:noVBand="1"/>
    </w:tblPr>
    <w:tblGrid>
      <w:gridCol w:w="2835"/>
      <w:gridCol w:w="3969"/>
    </w:tblGrid>
    <w:tr w:rsidR="00A66727" w:rsidTr="0071055D">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Recurso de Revisión:</w:t>
          </w:r>
        </w:p>
      </w:tc>
      <w:tc>
        <w:tcPr>
          <w:tcW w:w="3969" w:type="dxa"/>
          <w:vAlign w:val="center"/>
        </w:tcPr>
        <w:p w:rsidR="00A66727" w:rsidRPr="0071055D" w:rsidRDefault="00934026" w:rsidP="0071055D">
          <w:pPr>
            <w:rPr>
              <w:rFonts w:ascii="Palatino Linotype" w:eastAsia="Palatino Linotype" w:hAnsi="Palatino Linotype" w:cs="Palatino Linotype"/>
              <w:bCs/>
            </w:rPr>
          </w:pPr>
          <w:r w:rsidRPr="0071055D">
            <w:rPr>
              <w:rFonts w:ascii="Palatino Linotype" w:eastAsia="Palatino Linotype" w:hAnsi="Palatino Linotype" w:cs="Palatino Linotype"/>
              <w:bCs/>
            </w:rPr>
            <w:t xml:space="preserve">12383/INFOEM/IP/RR/2025 </w:t>
          </w:r>
        </w:p>
      </w:tc>
    </w:tr>
    <w:tr w:rsidR="00A66727" w:rsidTr="0071055D">
      <w:tc>
        <w:tcPr>
          <w:tcW w:w="2835" w:type="dxa"/>
          <w:vAlign w:val="center"/>
        </w:tcPr>
        <w:p w:rsidR="00A66727" w:rsidRPr="0071055D" w:rsidRDefault="00934026">
          <w:pPr>
            <w:ind w:left="35" w:hanging="35"/>
            <w:rPr>
              <w:rFonts w:ascii="Palatino Linotype" w:eastAsia="Palatino Linotype" w:hAnsi="Palatino Linotype" w:cs="Palatino Linotype"/>
              <w:b/>
              <w:bCs/>
            </w:rPr>
          </w:pPr>
          <w:r w:rsidRPr="0071055D">
            <w:rPr>
              <w:rFonts w:ascii="Palatino Linotype" w:eastAsia="Palatino Linotype" w:hAnsi="Palatino Linotype" w:cs="Palatino Linotype"/>
              <w:b/>
              <w:bCs/>
            </w:rPr>
            <w:t>Recurrente:</w:t>
          </w:r>
        </w:p>
      </w:tc>
      <w:tc>
        <w:tcPr>
          <w:tcW w:w="3969" w:type="dxa"/>
          <w:vAlign w:val="center"/>
        </w:tcPr>
        <w:p w:rsidR="00A66727" w:rsidRPr="0071055D" w:rsidRDefault="00A66727" w:rsidP="0071055D">
          <w:pPr>
            <w:rPr>
              <w:rFonts w:ascii="Palatino Linotype" w:eastAsia="Palatino Linotype" w:hAnsi="Palatino Linotype" w:cs="Palatino Linotype"/>
              <w:bCs/>
            </w:rPr>
          </w:pPr>
        </w:p>
      </w:tc>
    </w:tr>
    <w:tr w:rsidR="00A66727" w:rsidTr="0071055D">
      <w:trPr>
        <w:trHeight w:val="228"/>
      </w:trPr>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Sujeto Obligado:</w:t>
          </w:r>
        </w:p>
      </w:tc>
      <w:tc>
        <w:tcPr>
          <w:tcW w:w="3969" w:type="dxa"/>
          <w:vAlign w:val="center"/>
        </w:tcPr>
        <w:p w:rsidR="00A66727" w:rsidRPr="0071055D" w:rsidRDefault="00934026" w:rsidP="0071055D">
          <w:pPr>
            <w:ind w:left="35" w:hanging="35"/>
            <w:rPr>
              <w:rFonts w:ascii="Palatino Linotype" w:eastAsia="Palatino Linotype" w:hAnsi="Palatino Linotype" w:cs="Palatino Linotype"/>
            </w:rPr>
          </w:pPr>
          <w:r w:rsidRPr="0071055D">
            <w:rPr>
              <w:rFonts w:ascii="Palatino Linotype" w:eastAsia="Palatino Linotype" w:hAnsi="Palatino Linotype" w:cs="Palatino Linotype"/>
              <w:bCs/>
              <w:color w:val="000000"/>
            </w:rPr>
            <w:t>Consejo Estatal para el Desarrollo Integral de los Pueblos Indígenas del Estado de México</w:t>
          </w:r>
        </w:p>
      </w:tc>
    </w:tr>
    <w:tr w:rsidR="00A66727" w:rsidTr="0071055D">
      <w:tc>
        <w:tcPr>
          <w:tcW w:w="2835" w:type="dxa"/>
          <w:vAlign w:val="center"/>
        </w:tcPr>
        <w:p w:rsidR="00A66727" w:rsidRPr="0071055D" w:rsidRDefault="00934026">
          <w:pPr>
            <w:rPr>
              <w:rFonts w:ascii="Palatino Linotype" w:eastAsia="Palatino Linotype" w:hAnsi="Palatino Linotype" w:cs="Palatino Linotype"/>
              <w:b/>
              <w:bCs/>
            </w:rPr>
          </w:pPr>
          <w:r w:rsidRPr="0071055D">
            <w:rPr>
              <w:rFonts w:ascii="Palatino Linotype" w:eastAsia="Palatino Linotype" w:hAnsi="Palatino Linotype" w:cs="Palatino Linotype"/>
              <w:b/>
              <w:bCs/>
            </w:rPr>
            <w:t>Comisionada Ponente:</w:t>
          </w:r>
        </w:p>
      </w:tc>
      <w:tc>
        <w:tcPr>
          <w:tcW w:w="3969" w:type="dxa"/>
          <w:vAlign w:val="center"/>
        </w:tcPr>
        <w:p w:rsidR="00A66727" w:rsidRPr="0071055D" w:rsidRDefault="00934026" w:rsidP="0071055D">
          <w:pPr>
            <w:ind w:right="-533"/>
            <w:rPr>
              <w:rFonts w:ascii="Palatino Linotype" w:eastAsia="Palatino Linotype" w:hAnsi="Palatino Linotype" w:cs="Palatino Linotype"/>
              <w:bCs/>
            </w:rPr>
          </w:pPr>
          <w:r w:rsidRPr="0071055D">
            <w:rPr>
              <w:rFonts w:ascii="Palatino Linotype" w:eastAsia="Palatino Linotype" w:hAnsi="Palatino Linotype" w:cs="Palatino Linotype"/>
              <w:bCs/>
            </w:rPr>
            <w:t>María del Rosario Mejía Ayala</w:t>
          </w:r>
        </w:p>
      </w:tc>
    </w:tr>
  </w:tbl>
  <w:p w:rsidR="00A66727" w:rsidRDefault="0071055D">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-895985</wp:posOffset>
          </wp:positionH>
          <wp:positionV relativeFrom="paragraph">
            <wp:posOffset>-1582899</wp:posOffset>
          </wp:positionV>
          <wp:extent cx="7813085" cy="1017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6375"/>
    <w:multiLevelType w:val="multilevel"/>
    <w:tmpl w:val="8B7E0C44"/>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B63AD6"/>
    <w:multiLevelType w:val="multilevel"/>
    <w:tmpl w:val="C7D028B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40E26992"/>
    <w:multiLevelType w:val="multilevel"/>
    <w:tmpl w:val="CE1C8B3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42003BB1"/>
    <w:multiLevelType w:val="multilevel"/>
    <w:tmpl w:val="82A2EFA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860170"/>
    <w:multiLevelType w:val="multilevel"/>
    <w:tmpl w:val="85F0D03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6D6D3737"/>
    <w:multiLevelType w:val="multilevel"/>
    <w:tmpl w:val="F072DB5C"/>
    <w:lvl w:ilvl="0">
      <w:start w:val="10"/>
      <w:numFmt w:val="decimal"/>
      <w:lvlText w:val="%1."/>
      <w:lvlJc w:val="left"/>
      <w:pPr>
        <w:ind w:left="36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FD7414"/>
    <w:multiLevelType w:val="multilevel"/>
    <w:tmpl w:val="0E16D8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B4B4053"/>
    <w:multiLevelType w:val="hybridMultilevel"/>
    <w:tmpl w:val="AFACD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D04F1F"/>
    <w:multiLevelType w:val="multilevel"/>
    <w:tmpl w:val="57EA436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8"/>
  </w:num>
  <w:num w:numId="6">
    <w:abstractNumId w:val="3"/>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727"/>
    <w:rsid w:val="00003A47"/>
    <w:rsid w:val="0018648B"/>
    <w:rsid w:val="002F7E09"/>
    <w:rsid w:val="00474333"/>
    <w:rsid w:val="0062558B"/>
    <w:rsid w:val="006848F3"/>
    <w:rsid w:val="0071055D"/>
    <w:rsid w:val="00934026"/>
    <w:rsid w:val="00A36612"/>
    <w:rsid w:val="00A66727"/>
    <w:rsid w:val="00B94328"/>
    <w:rsid w:val="00BB56CB"/>
    <w:rsid w:val="00CC7F1B"/>
    <w:rsid w:val="00D222ED"/>
    <w:rsid w:val="00EF578E"/>
    <w:rsid w:val="00F41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1BDE8-FB5A-4F94-8DBA-CF0390CF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character" w:customStyle="1" w:styleId="normaltextrun">
    <w:name w:val="normaltextrun"/>
    <w:basedOn w:val="Fuentedeprrafopredeter"/>
    <w:rsid w:val="004E7676"/>
  </w:style>
  <w:style w:type="character" w:customStyle="1" w:styleId="eop">
    <w:name w:val="eop"/>
    <w:basedOn w:val="Fuentedeprrafopredeter"/>
    <w:rsid w:val="004E7676"/>
  </w:style>
  <w:style w:type="table" w:styleId="Tabladecuadrcula6concolores">
    <w:name w:val="Grid Table 6 Colorful"/>
    <w:basedOn w:val="Tablanormal"/>
    <w:uiPriority w:val="51"/>
    <w:rsid w:val="008A54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F9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rPr>
      <w:color w:val="000000"/>
    </w:rPr>
    <w:tblPr>
      <w:tblStyleRowBandSize w:val="1"/>
      <w:tblStyleColBandSize w:val="1"/>
      <w:tblCellMar>
        <w:left w:w="108"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0upcb8tsp+FExP2iE0XKe160w==">CgMxLjAyDmguNnduOHFoM3FqeGhnMgloLjN6bnlzaDcyDmguaDY2MnJ1M2J1cG50Mg5oLmJ0c2ExdGppejIxbDIOaC5yZ25pcjJiM2d3eDQyDmgubnNpM2R2M2c4N2l6Mg5oLmxuZ2NraTh5cTd3czIOaC5uZXdtZ2hycTZqczYyCWguMXQzaDVzZjIJaC40ZDM0b2c4MgloLjJzOGV5bzEyDmguaXFjb3MxZGs0aGZrMghoLmxueGJ6OTIJaC4zNW5rdW4yMgloLjFrc3Y0dXYyDmguYjJ3NHoxNTF6b2szOAByITFRQ0FjemR6QWRQNWFIdzZRbFNKTXNBVG1HcFdya0lQ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9504</Words>
  <Characters>52273</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12</cp:revision>
  <cp:lastPrinted>2026-01-16T16:34:00Z</cp:lastPrinted>
  <dcterms:created xsi:type="dcterms:W3CDTF">2026-01-12T19:10:00Z</dcterms:created>
  <dcterms:modified xsi:type="dcterms:W3CDTF">2026-01-29T23:19:00Z</dcterms:modified>
</cp:coreProperties>
</file>