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5C4" w:rsidRPr="003B684E" w:rsidRDefault="002F1240">
      <w:pPr>
        <w:tabs>
          <w:tab w:val="left" w:pos="3465"/>
        </w:tabs>
        <w:spacing w:line="360" w:lineRule="auto"/>
        <w:ind w:right="-787"/>
        <w:jc w:val="both"/>
        <w:rPr>
          <w:rFonts w:ascii="Palatino Linotype" w:eastAsia="Palatino Linotype" w:hAnsi="Palatino Linotype" w:cs="Palatino Linotype"/>
        </w:rPr>
      </w:pPr>
      <w:bookmarkStart w:id="0" w:name="_GoBack"/>
      <w:bookmarkEnd w:id="0"/>
      <w:r w:rsidRPr="003B684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EE131A" w:rsidRPr="003B684E">
        <w:rPr>
          <w:rFonts w:ascii="Palatino Linotype" w:eastAsia="Palatino Linotype" w:hAnsi="Palatino Linotype" w:cs="Palatino Linotype"/>
        </w:rPr>
        <w:t>siete</w:t>
      </w:r>
      <w:r w:rsidR="003B684E" w:rsidRPr="003B684E">
        <w:rPr>
          <w:rFonts w:ascii="Palatino Linotype" w:eastAsia="Palatino Linotype" w:hAnsi="Palatino Linotype" w:cs="Palatino Linotype"/>
        </w:rPr>
        <w:t xml:space="preserve"> (07)</w:t>
      </w:r>
      <w:r w:rsidR="00EE131A" w:rsidRPr="003B684E">
        <w:rPr>
          <w:rFonts w:ascii="Palatino Linotype" w:eastAsia="Palatino Linotype" w:hAnsi="Palatino Linotype" w:cs="Palatino Linotype"/>
        </w:rPr>
        <w:t xml:space="preserve"> de mayo</w:t>
      </w:r>
      <w:r w:rsidR="00D77091" w:rsidRPr="003B684E">
        <w:rPr>
          <w:rFonts w:ascii="Palatino Linotype" w:eastAsia="Palatino Linotype" w:hAnsi="Palatino Linotype" w:cs="Palatino Linotype"/>
        </w:rPr>
        <w:t xml:space="preserve"> de dos mil veintiséis</w:t>
      </w:r>
      <w:r w:rsidRPr="003B684E">
        <w:rPr>
          <w:rFonts w:ascii="Palatino Linotype" w:eastAsia="Palatino Linotype" w:hAnsi="Palatino Linotype" w:cs="Palatino Linotype"/>
        </w:rPr>
        <w:t>.</w:t>
      </w:r>
    </w:p>
    <w:p w:rsidR="005555C4" w:rsidRPr="003B684E" w:rsidRDefault="005555C4">
      <w:pPr>
        <w:tabs>
          <w:tab w:val="left" w:pos="3465"/>
        </w:tabs>
        <w:spacing w:line="360" w:lineRule="auto"/>
        <w:ind w:right="-787"/>
        <w:jc w:val="both"/>
        <w:rPr>
          <w:rFonts w:ascii="Palatino Linotype" w:eastAsia="Palatino Linotype" w:hAnsi="Palatino Linotype" w:cs="Palatino Linotype"/>
        </w:rPr>
      </w:pPr>
    </w:p>
    <w:p w:rsidR="005555C4" w:rsidRPr="003B684E" w:rsidRDefault="002F1240">
      <w:pPr>
        <w:spacing w:line="360" w:lineRule="auto"/>
        <w:ind w:right="-787"/>
        <w:jc w:val="both"/>
        <w:rPr>
          <w:rFonts w:ascii="Palatino Linotype" w:eastAsia="Palatino Linotype" w:hAnsi="Palatino Linotype" w:cs="Palatino Linotype"/>
        </w:rPr>
      </w:pPr>
      <w:r w:rsidRPr="003B684E">
        <w:rPr>
          <w:rFonts w:ascii="Palatino Linotype" w:eastAsia="Palatino Linotype" w:hAnsi="Palatino Linotype" w:cs="Palatino Linotype"/>
          <w:b/>
        </w:rPr>
        <w:t xml:space="preserve">VISTAS </w:t>
      </w:r>
      <w:r w:rsidRPr="003B684E">
        <w:rPr>
          <w:rFonts w:ascii="Palatino Linotype" w:eastAsia="Palatino Linotype" w:hAnsi="Palatino Linotype" w:cs="Palatino Linotype"/>
        </w:rPr>
        <w:t xml:space="preserve">las constancias para resolver </w:t>
      </w:r>
      <w:r w:rsidRPr="003B684E">
        <w:rPr>
          <w:rFonts w:ascii="Palatino Linotype" w:eastAsia="Palatino Linotype" w:hAnsi="Palatino Linotype" w:cs="Palatino Linotype"/>
          <w:color w:val="000000"/>
        </w:rPr>
        <w:t xml:space="preserve">los Recursos de Revisión </w:t>
      </w:r>
      <w:r w:rsidR="00DB181F" w:rsidRPr="003B684E">
        <w:rPr>
          <w:rFonts w:ascii="Palatino Linotype" w:hAnsi="Palatino Linotype"/>
          <w:b/>
          <w:bCs/>
          <w:color w:val="000000"/>
        </w:rPr>
        <w:t>02803/INFOEM/IP/RR/2026, 02813/INFOEM/IP/RR/2026, 02818/INFOEM/IP/RR/2026, 02823/INFOEM/IP/RR/2026, 02828/INFOEM/IP/RR/2026, 02833/INFOEM/IP/RR/2026, 02838/INFOEM/IP/RR/2026, 02843/INFOEM/IP/RR/2026, 02848/INFOEM/IP/RR/2026 y 02853/INFOEM/IP/RR/2026</w:t>
      </w:r>
      <w:r w:rsidR="00DB181F" w:rsidRPr="003B684E">
        <w:rPr>
          <w:rFonts w:ascii="Palatino Linotype" w:hAnsi="Palatino Linotype" w:cs="Tahoma"/>
          <w:b/>
        </w:rPr>
        <w:t xml:space="preserve"> </w:t>
      </w:r>
      <w:r w:rsidRPr="003B684E">
        <w:rPr>
          <w:rFonts w:ascii="Palatino Linotype" w:eastAsia="Palatino Linotype" w:hAnsi="Palatino Linotype" w:cs="Palatino Linotype"/>
          <w:b/>
          <w:color w:val="000000"/>
        </w:rPr>
        <w:t>acumulados</w:t>
      </w:r>
      <w:r w:rsidRPr="003B684E">
        <w:rPr>
          <w:rFonts w:ascii="Palatino Linotype" w:eastAsia="Palatino Linotype" w:hAnsi="Palatino Linotype" w:cs="Palatino Linotype"/>
          <w:color w:val="000000"/>
        </w:rPr>
        <w:t>, promovidos por una persona que no registró nombre,</w:t>
      </w:r>
      <w:r w:rsidRPr="003B684E">
        <w:rPr>
          <w:rFonts w:ascii="Palatino Linotype" w:eastAsia="Palatino Linotype" w:hAnsi="Palatino Linotype" w:cs="Palatino Linotype"/>
        </w:rPr>
        <w:t xml:space="preserve"> en lo sucesivo </w:t>
      </w:r>
      <w:r w:rsidRPr="003B684E">
        <w:rPr>
          <w:rFonts w:ascii="Palatino Linotype" w:eastAsia="Palatino Linotype" w:hAnsi="Palatino Linotype" w:cs="Palatino Linotype"/>
          <w:b/>
        </w:rPr>
        <w:t>EL RECURRENTE</w:t>
      </w:r>
      <w:r w:rsidRPr="003B684E">
        <w:rPr>
          <w:rFonts w:ascii="Palatino Linotype" w:eastAsia="Palatino Linotype" w:hAnsi="Palatino Linotype" w:cs="Palatino Linotype"/>
        </w:rPr>
        <w:t xml:space="preserve">, en contra de las respuestas otorgadas a las solicitudes de información </w:t>
      </w:r>
      <w:r w:rsidR="00DB181F" w:rsidRPr="003B684E">
        <w:rPr>
          <w:rFonts w:ascii="Palatino Linotype" w:eastAsia="Palatino Linotype" w:hAnsi="Palatino Linotype" w:cs="Palatino Linotype"/>
          <w:b/>
        </w:rPr>
        <w:t>00875</w:t>
      </w:r>
      <w:r w:rsidR="00594DD7" w:rsidRPr="003B684E">
        <w:rPr>
          <w:rFonts w:ascii="Palatino Linotype" w:eastAsia="Palatino Linotype" w:hAnsi="Palatino Linotype" w:cs="Palatino Linotype"/>
          <w:b/>
        </w:rPr>
        <w:t>/TOLUCA/IP/</w:t>
      </w:r>
      <w:r w:rsidR="00DB181F" w:rsidRPr="003B684E">
        <w:rPr>
          <w:rFonts w:ascii="Palatino Linotype" w:eastAsia="Palatino Linotype" w:hAnsi="Palatino Linotype" w:cs="Palatino Linotype"/>
          <w:b/>
        </w:rPr>
        <w:t>2026</w:t>
      </w:r>
      <w:r w:rsidR="00B108BC" w:rsidRPr="003B684E">
        <w:rPr>
          <w:rFonts w:ascii="Palatino Linotype" w:eastAsia="Palatino Linotype" w:hAnsi="Palatino Linotype" w:cs="Palatino Linotype"/>
          <w:b/>
        </w:rPr>
        <w:t>,</w:t>
      </w:r>
      <w:r w:rsidR="00594DD7" w:rsidRPr="003B684E">
        <w:rPr>
          <w:rFonts w:ascii="Palatino Linotype" w:eastAsia="Palatino Linotype" w:hAnsi="Palatino Linotype" w:cs="Palatino Linotype"/>
          <w:b/>
        </w:rPr>
        <w:t xml:space="preserve"> </w:t>
      </w:r>
      <w:r w:rsidR="00DB181F" w:rsidRPr="003B684E">
        <w:rPr>
          <w:rFonts w:ascii="Palatino Linotype" w:eastAsia="Palatino Linotype" w:hAnsi="Palatino Linotype" w:cs="Palatino Linotype"/>
          <w:b/>
        </w:rPr>
        <w:t>00873</w:t>
      </w:r>
      <w:r w:rsidR="00594DD7" w:rsidRPr="003B684E">
        <w:rPr>
          <w:rFonts w:ascii="Palatino Linotype" w:eastAsia="Palatino Linotype" w:hAnsi="Palatino Linotype" w:cs="Palatino Linotype"/>
          <w:b/>
        </w:rPr>
        <w:t>/TOLUCA/IP/</w:t>
      </w:r>
      <w:r w:rsidR="00DB181F" w:rsidRPr="003B684E">
        <w:rPr>
          <w:rFonts w:ascii="Palatino Linotype" w:eastAsia="Palatino Linotype" w:hAnsi="Palatino Linotype" w:cs="Palatino Linotype"/>
          <w:b/>
        </w:rPr>
        <w:t>2026</w:t>
      </w:r>
      <w:r w:rsidR="00594DD7" w:rsidRPr="003B684E">
        <w:rPr>
          <w:rFonts w:ascii="Palatino Linotype" w:eastAsia="Palatino Linotype" w:hAnsi="Palatino Linotype" w:cs="Palatino Linotype"/>
          <w:b/>
        </w:rPr>
        <w:t xml:space="preserve">, </w:t>
      </w:r>
      <w:r w:rsidR="00DB181F" w:rsidRPr="003B684E">
        <w:rPr>
          <w:rFonts w:ascii="Palatino Linotype" w:eastAsia="Palatino Linotype" w:hAnsi="Palatino Linotype" w:cs="Palatino Linotype"/>
          <w:b/>
        </w:rPr>
        <w:t>00868</w:t>
      </w:r>
      <w:r w:rsidR="00594DD7" w:rsidRPr="003B684E">
        <w:rPr>
          <w:rFonts w:ascii="Palatino Linotype" w:eastAsia="Palatino Linotype" w:hAnsi="Palatino Linotype" w:cs="Palatino Linotype"/>
          <w:b/>
        </w:rPr>
        <w:t>/TOLUCA/IP/</w:t>
      </w:r>
      <w:r w:rsidR="00DB181F" w:rsidRPr="003B684E">
        <w:rPr>
          <w:rFonts w:ascii="Palatino Linotype" w:eastAsia="Palatino Linotype" w:hAnsi="Palatino Linotype" w:cs="Palatino Linotype"/>
          <w:b/>
        </w:rPr>
        <w:t>2026</w:t>
      </w:r>
      <w:r w:rsidR="00594DD7" w:rsidRPr="003B684E">
        <w:rPr>
          <w:rFonts w:ascii="Palatino Linotype" w:eastAsia="Palatino Linotype" w:hAnsi="Palatino Linotype" w:cs="Palatino Linotype"/>
          <w:b/>
        </w:rPr>
        <w:t xml:space="preserve">, </w:t>
      </w:r>
      <w:r w:rsidR="00DB181F" w:rsidRPr="003B684E">
        <w:rPr>
          <w:rFonts w:ascii="Palatino Linotype" w:eastAsia="Palatino Linotype" w:hAnsi="Palatino Linotype" w:cs="Palatino Linotype"/>
          <w:b/>
        </w:rPr>
        <w:t>00863</w:t>
      </w:r>
      <w:r w:rsidR="00594DD7" w:rsidRPr="003B684E">
        <w:rPr>
          <w:rFonts w:ascii="Palatino Linotype" w:eastAsia="Palatino Linotype" w:hAnsi="Palatino Linotype" w:cs="Palatino Linotype"/>
          <w:b/>
        </w:rPr>
        <w:t>/TOLUCA/IP/</w:t>
      </w:r>
      <w:r w:rsidR="00DB181F" w:rsidRPr="003B684E">
        <w:rPr>
          <w:rFonts w:ascii="Palatino Linotype" w:eastAsia="Palatino Linotype" w:hAnsi="Palatino Linotype" w:cs="Palatino Linotype"/>
          <w:b/>
        </w:rPr>
        <w:t>2026</w:t>
      </w:r>
      <w:r w:rsidR="00594DD7" w:rsidRPr="003B684E">
        <w:rPr>
          <w:rFonts w:ascii="Palatino Linotype" w:eastAsia="Palatino Linotype" w:hAnsi="Palatino Linotype" w:cs="Palatino Linotype"/>
          <w:b/>
        </w:rPr>
        <w:t xml:space="preserve">, </w:t>
      </w:r>
      <w:r w:rsidR="00DB181F" w:rsidRPr="003B684E">
        <w:rPr>
          <w:rFonts w:ascii="Palatino Linotype" w:eastAsia="Palatino Linotype" w:hAnsi="Palatino Linotype" w:cs="Palatino Linotype"/>
          <w:b/>
        </w:rPr>
        <w:t>00858</w:t>
      </w:r>
      <w:r w:rsidR="00594DD7" w:rsidRPr="003B684E">
        <w:rPr>
          <w:rFonts w:ascii="Palatino Linotype" w:eastAsia="Palatino Linotype" w:hAnsi="Palatino Linotype" w:cs="Palatino Linotype"/>
          <w:b/>
        </w:rPr>
        <w:t>/TOLUCA/IP/</w:t>
      </w:r>
      <w:r w:rsidR="00DB181F" w:rsidRPr="003B684E">
        <w:rPr>
          <w:rFonts w:ascii="Palatino Linotype" w:eastAsia="Palatino Linotype" w:hAnsi="Palatino Linotype" w:cs="Palatino Linotype"/>
          <w:b/>
        </w:rPr>
        <w:t>2026</w:t>
      </w:r>
      <w:r w:rsidR="00594DD7" w:rsidRPr="003B684E">
        <w:rPr>
          <w:rFonts w:ascii="Palatino Linotype" w:eastAsia="Palatino Linotype" w:hAnsi="Palatino Linotype" w:cs="Palatino Linotype"/>
          <w:b/>
        </w:rPr>
        <w:t xml:space="preserve">, </w:t>
      </w:r>
      <w:r w:rsidR="00DB181F" w:rsidRPr="003B684E">
        <w:rPr>
          <w:rFonts w:ascii="Palatino Linotype" w:eastAsia="Palatino Linotype" w:hAnsi="Palatino Linotype" w:cs="Palatino Linotype"/>
          <w:b/>
        </w:rPr>
        <w:t>00853</w:t>
      </w:r>
      <w:r w:rsidR="00594DD7" w:rsidRPr="003B684E">
        <w:rPr>
          <w:rFonts w:ascii="Palatino Linotype" w:eastAsia="Palatino Linotype" w:hAnsi="Palatino Linotype" w:cs="Palatino Linotype"/>
          <w:b/>
        </w:rPr>
        <w:t>/TOLUCA/IP/</w:t>
      </w:r>
      <w:r w:rsidR="00DB181F" w:rsidRPr="003B684E">
        <w:rPr>
          <w:rFonts w:ascii="Palatino Linotype" w:eastAsia="Palatino Linotype" w:hAnsi="Palatino Linotype" w:cs="Palatino Linotype"/>
          <w:b/>
        </w:rPr>
        <w:t>2026</w:t>
      </w:r>
      <w:r w:rsidR="00594DD7" w:rsidRPr="003B684E">
        <w:rPr>
          <w:rFonts w:ascii="Palatino Linotype" w:eastAsia="Palatino Linotype" w:hAnsi="Palatino Linotype" w:cs="Palatino Linotype"/>
          <w:b/>
        </w:rPr>
        <w:t xml:space="preserve">, </w:t>
      </w:r>
      <w:r w:rsidR="00DB181F" w:rsidRPr="003B684E">
        <w:rPr>
          <w:rFonts w:ascii="Palatino Linotype" w:eastAsia="Palatino Linotype" w:hAnsi="Palatino Linotype" w:cs="Palatino Linotype"/>
          <w:b/>
        </w:rPr>
        <w:t>00850</w:t>
      </w:r>
      <w:r w:rsidR="00594DD7" w:rsidRPr="003B684E">
        <w:rPr>
          <w:rFonts w:ascii="Palatino Linotype" w:eastAsia="Palatino Linotype" w:hAnsi="Palatino Linotype" w:cs="Palatino Linotype"/>
          <w:b/>
        </w:rPr>
        <w:t>/TOLUCA/IP/</w:t>
      </w:r>
      <w:r w:rsidR="00DB181F" w:rsidRPr="003B684E">
        <w:rPr>
          <w:rFonts w:ascii="Palatino Linotype" w:eastAsia="Palatino Linotype" w:hAnsi="Palatino Linotype" w:cs="Palatino Linotype"/>
          <w:b/>
        </w:rPr>
        <w:t>2026</w:t>
      </w:r>
      <w:r w:rsidR="00594DD7" w:rsidRPr="003B684E">
        <w:rPr>
          <w:rFonts w:ascii="Palatino Linotype" w:eastAsia="Palatino Linotype" w:hAnsi="Palatino Linotype" w:cs="Palatino Linotype"/>
          <w:b/>
        </w:rPr>
        <w:t xml:space="preserve">, </w:t>
      </w:r>
      <w:r w:rsidR="00DB181F" w:rsidRPr="003B684E">
        <w:rPr>
          <w:rFonts w:ascii="Palatino Linotype" w:eastAsia="Palatino Linotype" w:hAnsi="Palatino Linotype" w:cs="Palatino Linotype"/>
          <w:b/>
        </w:rPr>
        <w:t>00845</w:t>
      </w:r>
      <w:r w:rsidR="00594DD7" w:rsidRPr="003B684E">
        <w:rPr>
          <w:rFonts w:ascii="Palatino Linotype" w:eastAsia="Palatino Linotype" w:hAnsi="Palatino Linotype" w:cs="Palatino Linotype"/>
          <w:b/>
        </w:rPr>
        <w:t>/TOLUCA/IP/</w:t>
      </w:r>
      <w:r w:rsidR="00DB181F" w:rsidRPr="003B684E">
        <w:rPr>
          <w:rFonts w:ascii="Palatino Linotype" w:eastAsia="Palatino Linotype" w:hAnsi="Palatino Linotype" w:cs="Palatino Linotype"/>
          <w:b/>
        </w:rPr>
        <w:t>2026</w:t>
      </w:r>
      <w:r w:rsidR="00A73564" w:rsidRPr="003B684E">
        <w:rPr>
          <w:rFonts w:ascii="Palatino Linotype" w:eastAsia="Palatino Linotype" w:hAnsi="Palatino Linotype" w:cs="Palatino Linotype"/>
          <w:b/>
        </w:rPr>
        <w:t>,</w:t>
      </w:r>
      <w:r w:rsidR="00594DD7" w:rsidRPr="003B684E">
        <w:rPr>
          <w:rFonts w:ascii="Palatino Linotype" w:eastAsia="Palatino Linotype" w:hAnsi="Palatino Linotype" w:cs="Palatino Linotype"/>
          <w:b/>
        </w:rPr>
        <w:t xml:space="preserve"> </w:t>
      </w:r>
      <w:r w:rsidR="00DB181F" w:rsidRPr="003B684E">
        <w:rPr>
          <w:rFonts w:ascii="Palatino Linotype" w:eastAsia="Palatino Linotype" w:hAnsi="Palatino Linotype" w:cs="Palatino Linotype"/>
          <w:b/>
        </w:rPr>
        <w:t>00840</w:t>
      </w:r>
      <w:r w:rsidR="00594DD7" w:rsidRPr="003B684E">
        <w:rPr>
          <w:rFonts w:ascii="Palatino Linotype" w:eastAsia="Palatino Linotype" w:hAnsi="Palatino Linotype" w:cs="Palatino Linotype"/>
          <w:b/>
        </w:rPr>
        <w:t>/TOLUCA/IP/</w:t>
      </w:r>
      <w:r w:rsidR="00DB181F" w:rsidRPr="003B684E">
        <w:rPr>
          <w:rFonts w:ascii="Palatino Linotype" w:eastAsia="Palatino Linotype" w:hAnsi="Palatino Linotype" w:cs="Palatino Linotype"/>
          <w:b/>
        </w:rPr>
        <w:t xml:space="preserve">2026 </w:t>
      </w:r>
      <w:r w:rsidR="00DB181F" w:rsidRPr="003B684E">
        <w:rPr>
          <w:rFonts w:ascii="Palatino Linotype" w:eastAsia="Palatino Linotype" w:hAnsi="Palatino Linotype" w:cs="Palatino Linotype"/>
        </w:rPr>
        <w:t>y</w:t>
      </w:r>
      <w:r w:rsidR="00A73564" w:rsidRPr="003B684E">
        <w:rPr>
          <w:rFonts w:ascii="Palatino Linotype" w:eastAsia="Palatino Linotype" w:hAnsi="Palatino Linotype" w:cs="Palatino Linotype"/>
        </w:rPr>
        <w:t xml:space="preserve"> </w:t>
      </w:r>
      <w:r w:rsidR="00DB181F" w:rsidRPr="003B684E">
        <w:rPr>
          <w:rFonts w:ascii="Palatino Linotype" w:eastAsia="Palatino Linotype" w:hAnsi="Palatino Linotype" w:cs="Palatino Linotype"/>
          <w:b/>
        </w:rPr>
        <w:t>00835</w:t>
      </w:r>
      <w:r w:rsidR="00A73564" w:rsidRPr="003B684E">
        <w:rPr>
          <w:rFonts w:ascii="Palatino Linotype" w:eastAsia="Palatino Linotype" w:hAnsi="Palatino Linotype" w:cs="Palatino Linotype"/>
          <w:b/>
        </w:rPr>
        <w:t>/TOLUCA/IP/</w:t>
      </w:r>
      <w:r w:rsidR="00DB181F" w:rsidRPr="003B684E">
        <w:rPr>
          <w:rFonts w:ascii="Palatino Linotype" w:eastAsia="Palatino Linotype" w:hAnsi="Palatino Linotype" w:cs="Palatino Linotype"/>
          <w:b/>
        </w:rPr>
        <w:t>2026</w:t>
      </w:r>
      <w:r w:rsidR="00A73564" w:rsidRPr="003B684E">
        <w:rPr>
          <w:rFonts w:ascii="Palatino Linotype" w:eastAsia="Palatino Linotype" w:hAnsi="Palatino Linotype" w:cs="Palatino Linotype"/>
          <w:b/>
        </w:rPr>
        <w:t xml:space="preserve">, </w:t>
      </w:r>
      <w:r w:rsidRPr="003B684E">
        <w:rPr>
          <w:rFonts w:ascii="Palatino Linotype" w:eastAsia="Palatino Linotype" w:hAnsi="Palatino Linotype" w:cs="Palatino Linotype"/>
        </w:rPr>
        <w:t xml:space="preserve">por parte del </w:t>
      </w:r>
      <w:r w:rsidRPr="003B684E">
        <w:rPr>
          <w:rFonts w:ascii="Palatino Linotype" w:eastAsia="Palatino Linotype" w:hAnsi="Palatino Linotype" w:cs="Palatino Linotype"/>
          <w:b/>
        </w:rPr>
        <w:t xml:space="preserve">Ayuntamiento de Toluca, </w:t>
      </w:r>
      <w:r w:rsidRPr="003B684E">
        <w:rPr>
          <w:rFonts w:ascii="Palatino Linotype" w:eastAsia="Palatino Linotype" w:hAnsi="Palatino Linotype" w:cs="Palatino Linotype"/>
        </w:rPr>
        <w:t xml:space="preserve">en adelante el </w:t>
      </w:r>
      <w:r w:rsidRPr="003B684E">
        <w:rPr>
          <w:rFonts w:ascii="Palatino Linotype" w:eastAsia="Palatino Linotype" w:hAnsi="Palatino Linotype" w:cs="Palatino Linotype"/>
          <w:b/>
        </w:rPr>
        <w:t>SUJETO OBLIGADO</w:t>
      </w:r>
      <w:r w:rsidRPr="003B684E">
        <w:rPr>
          <w:rFonts w:ascii="Palatino Linotype" w:eastAsia="Palatino Linotype" w:hAnsi="Palatino Linotype" w:cs="Palatino Linotype"/>
        </w:rPr>
        <w:t>, se emite la presente resolución con base en los siguientes:</w:t>
      </w: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2F1240">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3B684E">
        <w:rPr>
          <w:rFonts w:ascii="Palatino Linotype" w:eastAsia="Palatino Linotype" w:hAnsi="Palatino Linotype" w:cs="Palatino Linotype"/>
          <w:b/>
          <w:color w:val="000000"/>
          <w:sz w:val="24"/>
          <w:szCs w:val="24"/>
        </w:rPr>
        <w:t>A N T E C E D E N T E S</w:t>
      </w:r>
    </w:p>
    <w:p w:rsidR="005555C4" w:rsidRPr="003B684E" w:rsidRDefault="005555C4">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5555C4" w:rsidRPr="003B684E"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El </w:t>
      </w:r>
      <w:r w:rsidR="00DB181F" w:rsidRPr="003B684E">
        <w:rPr>
          <w:rFonts w:ascii="Palatino Linotype" w:eastAsia="Palatino Linotype" w:hAnsi="Palatino Linotype" w:cs="Palatino Linotype"/>
          <w:b/>
          <w:color w:val="000000"/>
        </w:rPr>
        <w:t>veintiséis de enero de dos mil veintiséis</w:t>
      </w:r>
      <w:r w:rsidRPr="003B684E">
        <w:rPr>
          <w:rFonts w:ascii="Palatino Linotype" w:eastAsia="Palatino Linotype" w:hAnsi="Palatino Linotype" w:cs="Palatino Linotype"/>
          <w:color w:val="000000"/>
        </w:rPr>
        <w:t>,</w:t>
      </w:r>
      <w:r w:rsidRPr="003B684E">
        <w:rPr>
          <w:rFonts w:ascii="Palatino Linotype" w:eastAsia="Palatino Linotype" w:hAnsi="Palatino Linotype" w:cs="Palatino Linotype"/>
          <w:b/>
          <w:color w:val="000000"/>
        </w:rPr>
        <w:t xml:space="preserve"> </w:t>
      </w:r>
      <w:r w:rsidRPr="003B684E">
        <w:rPr>
          <w:rFonts w:ascii="Palatino Linotype" w:eastAsia="Palatino Linotype" w:hAnsi="Palatino Linotype" w:cs="Palatino Linotype"/>
          <w:color w:val="000000"/>
        </w:rPr>
        <w:t xml:space="preserve">se presentaron ante el Sujeto Obligado vía Sistema de Acceso a la Información Mexiquense, en adelante SAIMEX, las siguientes </w:t>
      </w:r>
      <w:r w:rsidRPr="003B684E">
        <w:rPr>
          <w:rFonts w:ascii="Palatino Linotype" w:eastAsia="Palatino Linotype" w:hAnsi="Palatino Linotype" w:cs="Palatino Linotype"/>
          <w:b/>
          <w:color w:val="000000"/>
        </w:rPr>
        <w:t>solicitudes de información</w:t>
      </w:r>
      <w:r w:rsidRPr="003B684E">
        <w:rPr>
          <w:rFonts w:ascii="Palatino Linotype" w:eastAsia="Palatino Linotype" w:hAnsi="Palatino Linotype" w:cs="Palatino Linotype"/>
          <w:color w:val="000000"/>
        </w:rPr>
        <w:t xml:space="preserve"> pública:</w:t>
      </w:r>
    </w:p>
    <w:p w:rsidR="005555C4"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tbl>
      <w:tblPr>
        <w:tblStyle w:val="a3"/>
        <w:tblW w:w="9776"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114"/>
        <w:gridCol w:w="6662"/>
      </w:tblGrid>
      <w:tr w:rsidR="003D2724" w:rsidRPr="003B684E" w:rsidTr="003B684E">
        <w:tc>
          <w:tcPr>
            <w:tcW w:w="3114" w:type="dxa"/>
            <w:shd w:val="clear" w:color="auto" w:fill="D9D9D9"/>
            <w:vAlign w:val="center"/>
          </w:tcPr>
          <w:p w:rsidR="003D2724" w:rsidRPr="003B684E" w:rsidRDefault="003D2724" w:rsidP="0018748D">
            <w:pPr>
              <w:jc w:val="center"/>
              <w:rPr>
                <w:rFonts w:ascii="Palatino Linotype" w:eastAsia="Palatino Linotype" w:hAnsi="Palatino Linotype" w:cs="Palatino Linotype"/>
                <w:b/>
              </w:rPr>
            </w:pPr>
            <w:r w:rsidRPr="003B684E">
              <w:rPr>
                <w:rFonts w:ascii="Palatino Linotype" w:eastAsia="Palatino Linotype" w:hAnsi="Palatino Linotype" w:cs="Palatino Linotype"/>
                <w:b/>
              </w:rPr>
              <w:t>Número de solicitud</w:t>
            </w:r>
          </w:p>
        </w:tc>
        <w:tc>
          <w:tcPr>
            <w:tcW w:w="6662" w:type="dxa"/>
            <w:shd w:val="clear" w:color="auto" w:fill="D9D9D9"/>
            <w:vAlign w:val="center"/>
          </w:tcPr>
          <w:p w:rsidR="003D2724" w:rsidRPr="003B684E" w:rsidRDefault="003D2724" w:rsidP="0018748D">
            <w:pPr>
              <w:jc w:val="center"/>
              <w:rPr>
                <w:rFonts w:ascii="Palatino Linotype" w:eastAsia="Palatino Linotype" w:hAnsi="Palatino Linotype" w:cs="Palatino Linotype"/>
                <w:b/>
              </w:rPr>
            </w:pPr>
            <w:r w:rsidRPr="003B684E">
              <w:rPr>
                <w:rFonts w:ascii="Palatino Linotype" w:eastAsia="Palatino Linotype" w:hAnsi="Palatino Linotype" w:cs="Palatino Linotype"/>
                <w:b/>
              </w:rPr>
              <w:t>Información requerida</w:t>
            </w:r>
          </w:p>
        </w:tc>
      </w:tr>
      <w:tr w:rsidR="003D2724" w:rsidRPr="003B684E" w:rsidTr="003B684E">
        <w:tc>
          <w:tcPr>
            <w:tcW w:w="3114" w:type="dxa"/>
            <w:vAlign w:val="center"/>
          </w:tcPr>
          <w:p w:rsidR="003D2724" w:rsidRPr="003B684E" w:rsidRDefault="00DC75FB" w:rsidP="00DC75FB">
            <w:pPr>
              <w:jc w:val="center"/>
              <w:rPr>
                <w:rFonts w:ascii="Palatino Linotype" w:eastAsia="Palatino Linotype" w:hAnsi="Palatino Linotype" w:cs="Palatino Linotype"/>
                <w:color w:val="000000"/>
              </w:rPr>
            </w:pPr>
            <w:r w:rsidRPr="003B684E">
              <w:rPr>
                <w:rFonts w:ascii="Palatino Linotype" w:eastAsia="Palatino Linotype" w:hAnsi="Palatino Linotype" w:cs="Palatino Linotype"/>
                <w:b/>
                <w:color w:val="000000"/>
              </w:rPr>
              <w:t>00875/TOLUCA/IP/2026</w:t>
            </w:r>
          </w:p>
        </w:tc>
        <w:tc>
          <w:tcPr>
            <w:tcW w:w="6662" w:type="dxa"/>
          </w:tcPr>
          <w:p w:rsidR="003D2724" w:rsidRPr="003B684E" w:rsidRDefault="00DC75FB" w:rsidP="0018748D">
            <w:pPr>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Del recurso de revisión </w:t>
            </w:r>
            <w:r w:rsidRPr="003B684E">
              <w:rPr>
                <w:rFonts w:ascii="Palatino Linotype" w:eastAsia="Palatino Linotype" w:hAnsi="Palatino Linotype" w:cs="Palatino Linotype"/>
                <w:b/>
                <w:i/>
              </w:rPr>
              <w:t>012908/INFOEM/IP/RR/2025</w:t>
            </w:r>
            <w:r w:rsidRPr="003B684E">
              <w:rPr>
                <w:rFonts w:ascii="Palatino Linotype" w:eastAsia="Palatino Linotype" w:hAnsi="Palatino Linotype" w:cs="Palatino Linotype"/>
                <w:i/>
              </w:rPr>
              <w:t xml:space="preserve"> solicitamos los siguientes documentos: - Solicitud original - Captura de pantalla </w:t>
            </w:r>
            <w:r w:rsidRPr="003B684E">
              <w:rPr>
                <w:rFonts w:ascii="Palatino Linotype" w:eastAsia="Palatino Linotype" w:hAnsi="Palatino Linotype" w:cs="Palatino Linotype"/>
                <w:i/>
              </w:rPr>
              <w:lastRenderedPageBreak/>
              <w:t>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3B684E" w:rsidTr="003B684E">
        <w:tc>
          <w:tcPr>
            <w:tcW w:w="3114" w:type="dxa"/>
            <w:vAlign w:val="center"/>
          </w:tcPr>
          <w:p w:rsidR="003D2724" w:rsidRPr="003B684E" w:rsidRDefault="00DC75FB" w:rsidP="0018748D">
            <w:pPr>
              <w:jc w:val="center"/>
              <w:rPr>
                <w:rFonts w:ascii="Palatino Linotype" w:eastAsia="Palatino Linotype" w:hAnsi="Palatino Linotype" w:cs="Palatino Linotype"/>
                <w:b/>
              </w:rPr>
            </w:pPr>
            <w:r w:rsidRPr="003B684E">
              <w:rPr>
                <w:rFonts w:ascii="Palatino Linotype" w:eastAsia="Palatino Linotype" w:hAnsi="Palatino Linotype" w:cs="Palatino Linotype"/>
                <w:b/>
                <w:color w:val="000000"/>
              </w:rPr>
              <w:lastRenderedPageBreak/>
              <w:t>00873/TOLUCA/IP/2026</w:t>
            </w:r>
          </w:p>
        </w:tc>
        <w:tc>
          <w:tcPr>
            <w:tcW w:w="6662" w:type="dxa"/>
          </w:tcPr>
          <w:p w:rsidR="003D2724" w:rsidRPr="003B684E" w:rsidRDefault="008749BD" w:rsidP="0018748D">
            <w:pPr>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Del recurso de revisión </w:t>
            </w:r>
            <w:r w:rsidRPr="003B684E">
              <w:rPr>
                <w:rFonts w:ascii="Palatino Linotype" w:eastAsia="Palatino Linotype" w:hAnsi="Palatino Linotype" w:cs="Palatino Linotype"/>
                <w:b/>
                <w:i/>
              </w:rPr>
              <w:t>012906/INFOEM/IP/RR/2025</w:t>
            </w:r>
            <w:r w:rsidRPr="003B684E">
              <w:rPr>
                <w:rFonts w:ascii="Palatino Linotype" w:eastAsia="Palatino Linotype" w:hAnsi="Palatino Linotype" w:cs="Palatino Linotype"/>
                <w:i/>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3B684E">
              <w:rPr>
                <w:rFonts w:ascii="Palatino Linotype" w:eastAsia="Palatino Linotype" w:hAnsi="Palatino Linotype" w:cs="Palatino Linotype"/>
                <w:i/>
              </w:rPr>
              <w:lastRenderedPageBreak/>
              <w:t>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3B684E" w:rsidTr="003B684E">
        <w:tc>
          <w:tcPr>
            <w:tcW w:w="3114" w:type="dxa"/>
            <w:vAlign w:val="center"/>
          </w:tcPr>
          <w:p w:rsidR="003D2724" w:rsidRPr="003B684E" w:rsidRDefault="00DC75FB" w:rsidP="0018748D">
            <w:pPr>
              <w:jc w:val="center"/>
              <w:rPr>
                <w:rFonts w:ascii="Palatino Linotype" w:eastAsia="Palatino Linotype" w:hAnsi="Palatino Linotype" w:cs="Palatino Linotype"/>
                <w:b/>
              </w:rPr>
            </w:pPr>
            <w:r w:rsidRPr="003B684E">
              <w:rPr>
                <w:rFonts w:ascii="Palatino Linotype" w:eastAsia="Palatino Linotype" w:hAnsi="Palatino Linotype" w:cs="Palatino Linotype"/>
                <w:b/>
                <w:color w:val="000000"/>
              </w:rPr>
              <w:lastRenderedPageBreak/>
              <w:t>00868/TOLUCA/IP/2026</w:t>
            </w:r>
          </w:p>
        </w:tc>
        <w:tc>
          <w:tcPr>
            <w:tcW w:w="6662" w:type="dxa"/>
          </w:tcPr>
          <w:p w:rsidR="003D2724" w:rsidRPr="003B684E" w:rsidRDefault="005E0712" w:rsidP="0018748D">
            <w:pPr>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Del recurso de revisión </w:t>
            </w:r>
            <w:r w:rsidRPr="003B684E">
              <w:rPr>
                <w:rFonts w:ascii="Palatino Linotype" w:eastAsia="Palatino Linotype" w:hAnsi="Palatino Linotype" w:cs="Palatino Linotype"/>
                <w:b/>
                <w:i/>
              </w:rPr>
              <w:t>012902/INFOEM/IP/RR/2025</w:t>
            </w:r>
            <w:r w:rsidRPr="003B684E">
              <w:rPr>
                <w:rFonts w:ascii="Palatino Linotype" w:eastAsia="Palatino Linotype" w:hAnsi="Palatino Linotype" w:cs="Palatino Linotype"/>
                <w:i/>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w:t>
            </w:r>
            <w:r w:rsidRPr="003B684E">
              <w:rPr>
                <w:rFonts w:ascii="Palatino Linotype" w:eastAsia="Palatino Linotype" w:hAnsi="Palatino Linotype" w:cs="Palatino Linotype"/>
                <w:i/>
              </w:rPr>
              <w:lastRenderedPageBreak/>
              <w:t>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3B684E" w:rsidTr="003B684E">
        <w:tc>
          <w:tcPr>
            <w:tcW w:w="3114" w:type="dxa"/>
            <w:vAlign w:val="center"/>
          </w:tcPr>
          <w:p w:rsidR="003D2724" w:rsidRPr="003B684E" w:rsidRDefault="00DC75FB" w:rsidP="0018748D">
            <w:pPr>
              <w:jc w:val="center"/>
              <w:rPr>
                <w:rFonts w:ascii="Palatino Linotype" w:eastAsia="Palatino Linotype" w:hAnsi="Palatino Linotype" w:cs="Palatino Linotype"/>
                <w:b/>
              </w:rPr>
            </w:pPr>
            <w:r w:rsidRPr="003B684E">
              <w:rPr>
                <w:rFonts w:ascii="Palatino Linotype" w:eastAsia="Palatino Linotype" w:hAnsi="Palatino Linotype" w:cs="Palatino Linotype"/>
                <w:b/>
                <w:color w:val="000000"/>
              </w:rPr>
              <w:lastRenderedPageBreak/>
              <w:t>00863/TOLUCA/IP/2026</w:t>
            </w:r>
          </w:p>
        </w:tc>
        <w:tc>
          <w:tcPr>
            <w:tcW w:w="6662" w:type="dxa"/>
          </w:tcPr>
          <w:p w:rsidR="003D2724" w:rsidRPr="003B684E" w:rsidRDefault="00076D1B" w:rsidP="0018748D">
            <w:pPr>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Del recurso de revisión </w:t>
            </w:r>
            <w:r w:rsidRPr="003B684E">
              <w:rPr>
                <w:rFonts w:ascii="Palatino Linotype" w:eastAsia="Palatino Linotype" w:hAnsi="Palatino Linotype" w:cs="Palatino Linotype"/>
                <w:b/>
                <w:i/>
              </w:rPr>
              <w:t>012897/INFOEM/IP/RR/2025</w:t>
            </w:r>
            <w:r w:rsidRPr="003B684E">
              <w:rPr>
                <w:rFonts w:ascii="Palatino Linotype" w:eastAsia="Palatino Linotype" w:hAnsi="Palatino Linotype" w:cs="Palatino Linotype"/>
                <w:i/>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w:t>
            </w:r>
            <w:r w:rsidRPr="003B684E">
              <w:rPr>
                <w:rFonts w:ascii="Palatino Linotype" w:eastAsia="Palatino Linotype" w:hAnsi="Palatino Linotype" w:cs="Palatino Linotype"/>
                <w:i/>
              </w:rPr>
              <w:lastRenderedPageBreak/>
              <w:t>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3B684E" w:rsidTr="003B684E">
        <w:tc>
          <w:tcPr>
            <w:tcW w:w="3114" w:type="dxa"/>
            <w:vAlign w:val="center"/>
          </w:tcPr>
          <w:p w:rsidR="003D2724" w:rsidRPr="003B684E" w:rsidRDefault="00DC75FB" w:rsidP="0018748D">
            <w:pPr>
              <w:jc w:val="center"/>
              <w:rPr>
                <w:rFonts w:ascii="Palatino Linotype" w:eastAsia="Palatino Linotype" w:hAnsi="Palatino Linotype" w:cs="Palatino Linotype"/>
                <w:b/>
              </w:rPr>
            </w:pPr>
            <w:r w:rsidRPr="003B684E">
              <w:rPr>
                <w:rFonts w:ascii="Palatino Linotype" w:eastAsia="Palatino Linotype" w:hAnsi="Palatino Linotype" w:cs="Palatino Linotype"/>
                <w:b/>
                <w:color w:val="000000"/>
              </w:rPr>
              <w:lastRenderedPageBreak/>
              <w:t>00858/TOLUCA/IP/2026</w:t>
            </w:r>
          </w:p>
        </w:tc>
        <w:tc>
          <w:tcPr>
            <w:tcW w:w="6662" w:type="dxa"/>
          </w:tcPr>
          <w:p w:rsidR="003D2724" w:rsidRPr="003B684E" w:rsidRDefault="00A311B7" w:rsidP="0018748D">
            <w:pPr>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Del recurso de revisión </w:t>
            </w:r>
            <w:r w:rsidRPr="003B684E">
              <w:rPr>
                <w:rFonts w:ascii="Palatino Linotype" w:eastAsia="Palatino Linotype" w:hAnsi="Palatino Linotype" w:cs="Palatino Linotype"/>
                <w:b/>
                <w:i/>
              </w:rPr>
              <w:t>012892/INFOEM/IP/RR/2025</w:t>
            </w:r>
            <w:r w:rsidRPr="003B684E">
              <w:rPr>
                <w:rFonts w:ascii="Palatino Linotype" w:eastAsia="Palatino Linotype" w:hAnsi="Palatino Linotype" w:cs="Palatino Linotype"/>
                <w:i/>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w:t>
            </w:r>
            <w:r w:rsidRPr="003B684E">
              <w:rPr>
                <w:rFonts w:ascii="Palatino Linotype" w:eastAsia="Palatino Linotype" w:hAnsi="Palatino Linotype" w:cs="Palatino Linotype"/>
                <w:i/>
              </w:rPr>
              <w:lastRenderedPageBreak/>
              <w:t>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3B684E" w:rsidTr="003B684E">
        <w:tc>
          <w:tcPr>
            <w:tcW w:w="3114" w:type="dxa"/>
            <w:vAlign w:val="center"/>
          </w:tcPr>
          <w:p w:rsidR="003D2724" w:rsidRPr="003B684E" w:rsidRDefault="00DC75FB" w:rsidP="0018748D">
            <w:pPr>
              <w:jc w:val="center"/>
              <w:rPr>
                <w:rFonts w:ascii="Palatino Linotype" w:eastAsia="Palatino Linotype" w:hAnsi="Palatino Linotype" w:cs="Palatino Linotype"/>
                <w:b/>
              </w:rPr>
            </w:pPr>
            <w:r w:rsidRPr="003B684E">
              <w:rPr>
                <w:rFonts w:ascii="Palatino Linotype" w:eastAsia="Palatino Linotype" w:hAnsi="Palatino Linotype" w:cs="Palatino Linotype"/>
                <w:b/>
                <w:color w:val="000000"/>
              </w:rPr>
              <w:lastRenderedPageBreak/>
              <w:t>00853/TOLUCA/IP/2026</w:t>
            </w:r>
          </w:p>
        </w:tc>
        <w:tc>
          <w:tcPr>
            <w:tcW w:w="6662" w:type="dxa"/>
          </w:tcPr>
          <w:p w:rsidR="003D2724" w:rsidRPr="003B684E" w:rsidRDefault="00A311B7" w:rsidP="0018748D">
            <w:pPr>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Del recurso de revisión </w:t>
            </w:r>
            <w:r w:rsidRPr="003B684E">
              <w:rPr>
                <w:rFonts w:ascii="Palatino Linotype" w:eastAsia="Palatino Linotype" w:hAnsi="Palatino Linotype" w:cs="Palatino Linotype"/>
                <w:b/>
                <w:i/>
              </w:rPr>
              <w:t>012863/INFOEM/IP/RR/2025</w:t>
            </w:r>
            <w:r w:rsidRPr="003B684E">
              <w:rPr>
                <w:rFonts w:ascii="Palatino Linotype" w:eastAsia="Palatino Linotype" w:hAnsi="Palatino Linotype" w:cs="Palatino Linotype"/>
                <w:i/>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3B684E" w:rsidTr="003B684E">
        <w:tc>
          <w:tcPr>
            <w:tcW w:w="3114" w:type="dxa"/>
            <w:vAlign w:val="center"/>
          </w:tcPr>
          <w:p w:rsidR="003D2724" w:rsidRPr="003B684E" w:rsidRDefault="00DC75FB" w:rsidP="0018748D">
            <w:pPr>
              <w:jc w:val="center"/>
              <w:rPr>
                <w:rFonts w:ascii="Palatino Linotype" w:eastAsia="Palatino Linotype" w:hAnsi="Palatino Linotype" w:cs="Palatino Linotype"/>
                <w:b/>
              </w:rPr>
            </w:pPr>
            <w:r w:rsidRPr="003B684E">
              <w:rPr>
                <w:rFonts w:ascii="Palatino Linotype" w:eastAsia="Palatino Linotype" w:hAnsi="Palatino Linotype" w:cs="Palatino Linotype"/>
                <w:b/>
                <w:color w:val="000000"/>
              </w:rPr>
              <w:t>00850/TOLUCA/IP/2026</w:t>
            </w:r>
          </w:p>
        </w:tc>
        <w:tc>
          <w:tcPr>
            <w:tcW w:w="6662" w:type="dxa"/>
          </w:tcPr>
          <w:p w:rsidR="003D2724" w:rsidRPr="003B684E" w:rsidRDefault="00A311B7" w:rsidP="0018748D">
            <w:pPr>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Del recurso de revisión </w:t>
            </w:r>
            <w:r w:rsidRPr="003B684E">
              <w:rPr>
                <w:rFonts w:ascii="Palatino Linotype" w:eastAsia="Palatino Linotype" w:hAnsi="Palatino Linotype" w:cs="Palatino Linotype"/>
                <w:b/>
                <w:i/>
              </w:rPr>
              <w:t>012860/INFOEM/IP/RR/2025</w:t>
            </w:r>
            <w:r w:rsidRPr="003B684E">
              <w:rPr>
                <w:rFonts w:ascii="Palatino Linotype" w:eastAsia="Palatino Linotype" w:hAnsi="Palatino Linotype" w:cs="Palatino Linotype"/>
                <w:i/>
              </w:rPr>
              <w:t xml:space="preserve"> solicitamos los siguientes documentos: - Solicitud original - Captura de pantalla </w:t>
            </w:r>
            <w:r w:rsidRPr="003B684E">
              <w:rPr>
                <w:rFonts w:ascii="Palatino Linotype" w:eastAsia="Palatino Linotype" w:hAnsi="Palatino Linotype" w:cs="Palatino Linotype"/>
                <w:i/>
              </w:rPr>
              <w:lastRenderedPageBreak/>
              <w:t>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3B684E" w:rsidTr="003B684E">
        <w:tc>
          <w:tcPr>
            <w:tcW w:w="3114" w:type="dxa"/>
            <w:vAlign w:val="center"/>
          </w:tcPr>
          <w:p w:rsidR="003D2724" w:rsidRPr="003B684E" w:rsidRDefault="00DC75FB" w:rsidP="0018748D">
            <w:pPr>
              <w:jc w:val="center"/>
              <w:rPr>
                <w:rFonts w:ascii="Palatino Linotype" w:eastAsia="Palatino Linotype" w:hAnsi="Palatino Linotype" w:cs="Palatino Linotype"/>
                <w:b/>
              </w:rPr>
            </w:pPr>
            <w:r w:rsidRPr="003B684E">
              <w:rPr>
                <w:rFonts w:ascii="Palatino Linotype" w:eastAsia="Palatino Linotype" w:hAnsi="Palatino Linotype" w:cs="Palatino Linotype"/>
                <w:b/>
                <w:color w:val="000000"/>
              </w:rPr>
              <w:lastRenderedPageBreak/>
              <w:t>00845/TOLUCA/IP/2026</w:t>
            </w:r>
          </w:p>
        </w:tc>
        <w:tc>
          <w:tcPr>
            <w:tcW w:w="6662" w:type="dxa"/>
          </w:tcPr>
          <w:p w:rsidR="003D2724" w:rsidRPr="003B684E" w:rsidRDefault="009A43F9" w:rsidP="0018748D">
            <w:pPr>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Del recurso de revisión </w:t>
            </w:r>
            <w:r w:rsidRPr="003B684E">
              <w:rPr>
                <w:rFonts w:ascii="Palatino Linotype" w:eastAsia="Palatino Linotype" w:hAnsi="Palatino Linotype" w:cs="Palatino Linotype"/>
                <w:b/>
                <w:i/>
              </w:rPr>
              <w:t>012856/INFOEM/IP/RR/2025</w:t>
            </w:r>
            <w:r w:rsidRPr="003B684E">
              <w:rPr>
                <w:rFonts w:ascii="Palatino Linotype" w:eastAsia="Palatino Linotype" w:hAnsi="Palatino Linotype" w:cs="Palatino Linotype"/>
                <w:i/>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3B684E">
              <w:rPr>
                <w:rFonts w:ascii="Palatino Linotype" w:eastAsia="Palatino Linotype" w:hAnsi="Palatino Linotype" w:cs="Palatino Linotype"/>
                <w:i/>
              </w:rPr>
              <w:lastRenderedPageBreak/>
              <w:t>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3B684E" w:rsidTr="003B684E">
        <w:tc>
          <w:tcPr>
            <w:tcW w:w="3114" w:type="dxa"/>
            <w:vAlign w:val="center"/>
          </w:tcPr>
          <w:p w:rsidR="003D2724" w:rsidRPr="003B684E" w:rsidRDefault="00DC75FB" w:rsidP="0018748D">
            <w:pPr>
              <w:jc w:val="center"/>
              <w:rPr>
                <w:rFonts w:ascii="Palatino Linotype" w:eastAsia="Palatino Linotype" w:hAnsi="Palatino Linotype" w:cs="Palatino Linotype"/>
                <w:b/>
              </w:rPr>
            </w:pPr>
            <w:r w:rsidRPr="003B684E">
              <w:rPr>
                <w:rFonts w:ascii="Palatino Linotype" w:eastAsia="Palatino Linotype" w:hAnsi="Palatino Linotype" w:cs="Palatino Linotype"/>
                <w:b/>
                <w:color w:val="000000"/>
              </w:rPr>
              <w:lastRenderedPageBreak/>
              <w:t>00840/TOLUCA/IP/2026</w:t>
            </w:r>
          </w:p>
        </w:tc>
        <w:tc>
          <w:tcPr>
            <w:tcW w:w="6662" w:type="dxa"/>
          </w:tcPr>
          <w:p w:rsidR="003D2724" w:rsidRPr="003B684E" w:rsidRDefault="00757360" w:rsidP="0018748D">
            <w:pPr>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Del recurso de revisión </w:t>
            </w:r>
            <w:r w:rsidRPr="003B684E">
              <w:rPr>
                <w:rFonts w:ascii="Palatino Linotype" w:eastAsia="Palatino Linotype" w:hAnsi="Palatino Linotype" w:cs="Palatino Linotype"/>
                <w:b/>
                <w:i/>
              </w:rPr>
              <w:t>012851/INFOEM/IP/RR/2025</w:t>
            </w:r>
            <w:r w:rsidRPr="003B684E">
              <w:rPr>
                <w:rFonts w:ascii="Palatino Linotype" w:eastAsia="Palatino Linotype" w:hAnsi="Palatino Linotype" w:cs="Palatino Linotype"/>
                <w:i/>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w:t>
            </w:r>
            <w:r w:rsidRPr="003B684E">
              <w:rPr>
                <w:rFonts w:ascii="Palatino Linotype" w:eastAsia="Palatino Linotype" w:hAnsi="Palatino Linotype" w:cs="Palatino Linotype"/>
                <w:i/>
              </w:rPr>
              <w:lastRenderedPageBreak/>
              <w:t>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3B684E" w:rsidTr="003B684E">
        <w:tc>
          <w:tcPr>
            <w:tcW w:w="3114" w:type="dxa"/>
            <w:vAlign w:val="center"/>
          </w:tcPr>
          <w:p w:rsidR="00702291" w:rsidRPr="003B684E" w:rsidRDefault="00DC75FB" w:rsidP="00702291">
            <w:pPr>
              <w:jc w:val="center"/>
              <w:rPr>
                <w:rFonts w:ascii="Palatino Linotype" w:eastAsia="Palatino Linotype" w:hAnsi="Palatino Linotype" w:cs="Palatino Linotype"/>
                <w:b/>
                <w:color w:val="000000"/>
              </w:rPr>
            </w:pPr>
            <w:r w:rsidRPr="003B684E">
              <w:rPr>
                <w:rFonts w:ascii="Palatino Linotype" w:eastAsia="Palatino Linotype" w:hAnsi="Palatino Linotype" w:cs="Palatino Linotype"/>
                <w:b/>
                <w:color w:val="000000"/>
              </w:rPr>
              <w:lastRenderedPageBreak/>
              <w:t>00835/TOLUCA/IP/2026</w:t>
            </w:r>
          </w:p>
        </w:tc>
        <w:tc>
          <w:tcPr>
            <w:tcW w:w="6662" w:type="dxa"/>
          </w:tcPr>
          <w:p w:rsidR="00702291" w:rsidRPr="003B684E" w:rsidRDefault="000228B0" w:rsidP="0018748D">
            <w:pPr>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Del recurso de revisión </w:t>
            </w:r>
            <w:r w:rsidRPr="003B684E">
              <w:rPr>
                <w:rFonts w:ascii="Palatino Linotype" w:eastAsia="Palatino Linotype" w:hAnsi="Palatino Linotype" w:cs="Palatino Linotype"/>
                <w:b/>
                <w:i/>
              </w:rPr>
              <w:t>012668/INFOEM/IP/RR/2025</w:t>
            </w:r>
            <w:r w:rsidRPr="003B684E">
              <w:rPr>
                <w:rFonts w:ascii="Palatino Linotype" w:eastAsia="Palatino Linotype" w:hAnsi="Palatino Linotype" w:cs="Palatino Linotype"/>
                <w:i/>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w:t>
            </w:r>
            <w:r w:rsidRPr="003B684E">
              <w:rPr>
                <w:rFonts w:ascii="Palatino Linotype" w:eastAsia="Palatino Linotype" w:hAnsi="Palatino Linotype" w:cs="Palatino Linotype"/>
                <w:i/>
              </w:rPr>
              <w:lastRenderedPageBreak/>
              <w:t>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rsidR="005555C4" w:rsidRPr="003B684E" w:rsidRDefault="005555C4">
      <w:pPr>
        <w:pBdr>
          <w:top w:val="nil"/>
          <w:left w:val="nil"/>
          <w:bottom w:val="nil"/>
          <w:right w:val="nil"/>
          <w:between w:val="nil"/>
        </w:pBdr>
        <w:ind w:left="567" w:right="-788"/>
        <w:jc w:val="both"/>
        <w:rPr>
          <w:rFonts w:ascii="Palatino Linotype" w:eastAsia="Palatino Linotype" w:hAnsi="Palatino Linotype" w:cs="Palatino Linotype"/>
          <w:b/>
        </w:rPr>
      </w:pPr>
    </w:p>
    <w:p w:rsidR="005555C4" w:rsidRPr="003B684E" w:rsidRDefault="005555C4">
      <w:pPr>
        <w:pBdr>
          <w:top w:val="nil"/>
          <w:left w:val="nil"/>
          <w:bottom w:val="nil"/>
          <w:right w:val="nil"/>
          <w:between w:val="nil"/>
        </w:pBdr>
        <w:ind w:right="-787"/>
        <w:jc w:val="both"/>
        <w:rPr>
          <w:rFonts w:ascii="Palatino Linotype" w:eastAsia="Palatino Linotype" w:hAnsi="Palatino Linotype" w:cs="Palatino Linotype"/>
          <w:i/>
          <w:color w:val="000000"/>
        </w:rPr>
      </w:pPr>
    </w:p>
    <w:p w:rsidR="005555C4" w:rsidRPr="003B684E" w:rsidRDefault="002F1240">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Se eligió como modalidad de entrega de la información: A través del </w:t>
      </w:r>
      <w:r w:rsidRPr="003B684E">
        <w:rPr>
          <w:rFonts w:ascii="Palatino Linotype" w:eastAsia="Palatino Linotype" w:hAnsi="Palatino Linotype" w:cs="Palatino Linotype"/>
          <w:b/>
          <w:color w:val="000000"/>
        </w:rPr>
        <w:t>SAIMEX.</w:t>
      </w:r>
    </w:p>
    <w:p w:rsidR="005555C4" w:rsidRPr="003B684E"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0F172E" w:rsidRPr="003B684E" w:rsidRDefault="003776D9" w:rsidP="00FE736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3B684E">
        <w:rPr>
          <w:rFonts w:ascii="Palatino Linotype" w:eastAsia="Palatino Linotype" w:hAnsi="Palatino Linotype" w:cs="Palatino Linotype"/>
          <w:color w:val="000000"/>
        </w:rPr>
        <w:t xml:space="preserve">En fecha </w:t>
      </w:r>
      <w:r w:rsidRPr="003B684E">
        <w:rPr>
          <w:rFonts w:ascii="Palatino Linotype" w:eastAsia="Palatino Linotype" w:hAnsi="Palatino Linotype" w:cs="Palatino Linotype"/>
          <w:b/>
          <w:color w:val="000000"/>
        </w:rPr>
        <w:t xml:space="preserve">diecisiete de febrero de dos mil </w:t>
      </w:r>
      <w:r w:rsidRPr="003B684E">
        <w:rPr>
          <w:rFonts w:ascii="Palatino Linotype" w:eastAsia="Palatino Linotype" w:hAnsi="Palatino Linotype" w:cs="Palatino Linotype"/>
          <w:color w:val="000000"/>
        </w:rPr>
        <w:t>veintiséis, e</w:t>
      </w:r>
      <w:r w:rsidR="000F172E" w:rsidRPr="003B684E">
        <w:rPr>
          <w:rFonts w:ascii="Palatino Linotype" w:eastAsia="Palatino Linotype" w:hAnsi="Palatino Linotype" w:cs="Palatino Linotype"/>
          <w:color w:val="000000"/>
        </w:rPr>
        <w:t xml:space="preserve">l Sujeto Obligado </w:t>
      </w:r>
      <w:r w:rsidR="000F172E" w:rsidRPr="003B684E">
        <w:rPr>
          <w:rFonts w:ascii="Palatino Linotype" w:eastAsia="Palatino Linotype" w:hAnsi="Palatino Linotype" w:cs="Palatino Linotype"/>
          <w:color w:val="000000"/>
          <w:lang w:val="es-ES"/>
        </w:rPr>
        <w:t xml:space="preserve">informó al Recurrente que el </w:t>
      </w:r>
      <w:r w:rsidR="000F172E" w:rsidRPr="003B684E">
        <w:rPr>
          <w:rFonts w:ascii="Palatino Linotype" w:eastAsia="Palatino Linotype" w:hAnsi="Palatino Linotype" w:cs="Palatino Linotype"/>
          <w:b/>
          <w:color w:val="000000"/>
          <w:lang w:val="es-ES"/>
        </w:rPr>
        <w:t>plazo para atender las solicitudes</w:t>
      </w:r>
      <w:r w:rsidR="000F172E" w:rsidRPr="003B684E">
        <w:rPr>
          <w:rFonts w:ascii="Palatino Linotype" w:eastAsia="Palatino Linotype" w:hAnsi="Palatino Linotype" w:cs="Palatino Linotype"/>
          <w:color w:val="000000"/>
          <w:lang w:val="es-ES"/>
        </w:rPr>
        <w:t xml:space="preserve"> se había </w:t>
      </w:r>
      <w:r w:rsidR="000F172E" w:rsidRPr="003B684E">
        <w:rPr>
          <w:rFonts w:ascii="Palatino Linotype" w:eastAsia="Palatino Linotype" w:hAnsi="Palatino Linotype" w:cs="Palatino Linotype"/>
          <w:b/>
          <w:color w:val="000000"/>
          <w:lang w:val="es-ES"/>
        </w:rPr>
        <w:t>ampliado</w:t>
      </w:r>
      <w:r w:rsidR="00DC75FB" w:rsidRPr="003B684E">
        <w:rPr>
          <w:rFonts w:ascii="Palatino Linotype" w:eastAsia="Palatino Linotype" w:hAnsi="Palatino Linotype" w:cs="Palatino Linotype"/>
          <w:color w:val="000000"/>
          <w:lang w:val="es-ES"/>
        </w:rPr>
        <w:t xml:space="preserve"> por un término de siete días, d</w:t>
      </w:r>
      <w:r w:rsidR="000F172E" w:rsidRPr="003B684E">
        <w:rPr>
          <w:rFonts w:ascii="Palatino Linotype" w:eastAsia="Palatino Linotype" w:hAnsi="Palatino Linotype" w:cs="Palatino Linotype"/>
          <w:color w:val="000000"/>
          <w:lang w:val="es-ES"/>
        </w:rPr>
        <w:t>ichas ampl</w:t>
      </w:r>
      <w:r w:rsidR="00FE7360" w:rsidRPr="003B684E">
        <w:rPr>
          <w:rFonts w:ascii="Palatino Linotype" w:eastAsia="Palatino Linotype" w:hAnsi="Palatino Linotype" w:cs="Palatino Linotype"/>
          <w:color w:val="000000"/>
          <w:lang w:val="es-ES"/>
        </w:rPr>
        <w:t xml:space="preserve">iaciones se aprobaron </w:t>
      </w:r>
      <w:r w:rsidR="00DC75FB" w:rsidRPr="003B684E">
        <w:rPr>
          <w:rFonts w:ascii="Palatino Linotype" w:eastAsia="Palatino Linotype" w:hAnsi="Palatino Linotype" w:cs="Palatino Linotype"/>
          <w:color w:val="000000"/>
        </w:rPr>
        <w:t>bajo el acuerdo CT/SE/68/03/2026, en la Sexagésima Octava Sesión Extraordinaria 2026,</w:t>
      </w:r>
      <w:r w:rsidR="00FE7360" w:rsidRPr="003B684E">
        <w:rPr>
          <w:rFonts w:ascii="Palatino Linotype" w:eastAsia="Palatino Linotype" w:hAnsi="Palatino Linotype" w:cs="Palatino Linotype"/>
          <w:color w:val="000000"/>
          <w:lang w:val="es-ES"/>
        </w:rPr>
        <w:t xml:space="preserve"> del Comité de Transparencia</w:t>
      </w:r>
      <w:r w:rsidR="000F172E" w:rsidRPr="003B684E">
        <w:rPr>
          <w:rFonts w:ascii="Palatino Linotype" w:eastAsia="Palatino Linotype" w:hAnsi="Palatino Linotype" w:cs="Palatino Linotype"/>
          <w:color w:val="000000"/>
          <w:lang w:val="es-ES"/>
        </w:rPr>
        <w:t>, sin que se hayan anexado los acuerdos correspondientes como se establece en el 163 de la Ley de Transparencia estatal.</w:t>
      </w:r>
    </w:p>
    <w:p w:rsidR="000F172E" w:rsidRPr="003B684E" w:rsidRDefault="000F172E" w:rsidP="000F172E">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5555C4" w:rsidRPr="003B684E"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3B684E">
        <w:rPr>
          <w:rFonts w:ascii="Palatino Linotype" w:eastAsia="Palatino Linotype" w:hAnsi="Palatino Linotype" w:cs="Palatino Linotype"/>
          <w:color w:val="000000"/>
        </w:rPr>
        <w:t xml:space="preserve">El </w:t>
      </w:r>
      <w:r w:rsidR="003776D9" w:rsidRPr="003B684E">
        <w:rPr>
          <w:rFonts w:ascii="Palatino Linotype" w:eastAsia="Palatino Linotype" w:hAnsi="Palatino Linotype" w:cs="Palatino Linotype"/>
          <w:b/>
          <w:color w:val="000000"/>
        </w:rPr>
        <w:t>veintiséis de febrero de dos mil veintiséis</w:t>
      </w:r>
      <w:r w:rsidRPr="003B684E">
        <w:rPr>
          <w:rFonts w:ascii="Palatino Linotype" w:eastAsia="Palatino Linotype" w:hAnsi="Palatino Linotype" w:cs="Palatino Linotype"/>
          <w:color w:val="000000"/>
        </w:rPr>
        <w:t xml:space="preserve">, el Sujeto Obligado emitió </w:t>
      </w:r>
      <w:r w:rsidRPr="003B684E">
        <w:rPr>
          <w:rFonts w:ascii="Palatino Linotype" w:eastAsia="Palatino Linotype" w:hAnsi="Palatino Linotype" w:cs="Palatino Linotype"/>
          <w:b/>
          <w:color w:val="000000"/>
        </w:rPr>
        <w:t>respuestas</w:t>
      </w:r>
      <w:r w:rsidRPr="003B684E">
        <w:rPr>
          <w:rFonts w:ascii="Palatino Linotype" w:eastAsia="Palatino Linotype" w:hAnsi="Palatino Linotype" w:cs="Palatino Linotype"/>
          <w:color w:val="000000"/>
        </w:rPr>
        <w:t xml:space="preserve"> a través de </w:t>
      </w:r>
      <w:r w:rsidR="003776D9" w:rsidRPr="003B684E">
        <w:rPr>
          <w:rFonts w:ascii="Palatino Linotype" w:eastAsia="Palatino Linotype" w:hAnsi="Palatino Linotype" w:cs="Palatino Linotype"/>
          <w:color w:val="000000"/>
        </w:rPr>
        <w:t>dos</w:t>
      </w:r>
      <w:r w:rsidRPr="003B684E">
        <w:rPr>
          <w:rFonts w:ascii="Palatino Linotype" w:eastAsia="Palatino Linotype" w:hAnsi="Palatino Linotype" w:cs="Palatino Linotype"/>
          <w:color w:val="000000"/>
        </w:rPr>
        <w:t xml:space="preserve"> archivos digitales </w:t>
      </w:r>
      <w:r w:rsidR="003776D9" w:rsidRPr="003B684E">
        <w:rPr>
          <w:rFonts w:ascii="Palatino Linotype" w:eastAsia="Palatino Linotype" w:hAnsi="Palatino Linotype" w:cs="Palatino Linotype"/>
          <w:color w:val="000000"/>
        </w:rPr>
        <w:t>en los siguientes términos</w:t>
      </w:r>
      <w:r w:rsidRPr="003B684E">
        <w:rPr>
          <w:rFonts w:ascii="Palatino Linotype" w:eastAsia="Palatino Linotype" w:hAnsi="Palatino Linotype" w:cs="Palatino Linotype"/>
          <w:color w:val="000000"/>
        </w:rPr>
        <w:t>:</w:t>
      </w:r>
    </w:p>
    <w:p w:rsidR="00D146E1" w:rsidRPr="003B684E"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b/>
          <w:color w:val="000000"/>
        </w:rPr>
      </w:pPr>
    </w:p>
    <w:p w:rsidR="00D146E1" w:rsidRPr="003B684E" w:rsidRDefault="003776D9" w:rsidP="003776D9">
      <w:pPr>
        <w:pStyle w:val="Prrafodelista"/>
        <w:numPr>
          <w:ilvl w:val="0"/>
          <w:numId w:val="36"/>
        </w:num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Se </w:t>
      </w:r>
      <w:r w:rsidR="000D7382" w:rsidRPr="003B684E">
        <w:rPr>
          <w:rFonts w:ascii="Palatino Linotype" w:eastAsia="Palatino Linotype" w:hAnsi="Palatino Linotype" w:cs="Palatino Linotype"/>
          <w:color w:val="000000"/>
        </w:rPr>
        <w:t>remite</w:t>
      </w:r>
      <w:r w:rsidR="00D146E1" w:rsidRPr="003B684E">
        <w:rPr>
          <w:rFonts w:ascii="Palatino Linotype" w:eastAsia="Palatino Linotype" w:hAnsi="Palatino Linotype" w:cs="Palatino Linotype"/>
          <w:color w:val="000000"/>
        </w:rPr>
        <w:t xml:space="preserve"> oficio signado por el Titular de la Unidad de Transparencia, </w:t>
      </w:r>
      <w:r w:rsidR="000D7382" w:rsidRPr="003B684E">
        <w:rPr>
          <w:rFonts w:ascii="Palatino Linotype" w:eastAsia="Palatino Linotype" w:hAnsi="Palatino Linotype" w:cs="Palatino Linotype"/>
          <w:color w:val="000000"/>
        </w:rPr>
        <w:t xml:space="preserve">en el que </w:t>
      </w:r>
      <w:r w:rsidR="00D146E1" w:rsidRPr="003B684E">
        <w:rPr>
          <w:rFonts w:ascii="Palatino Linotype" w:eastAsia="Palatino Linotype" w:hAnsi="Palatino Linotype" w:cs="Palatino Linotype"/>
          <w:color w:val="000000"/>
        </w:rPr>
        <w:t xml:space="preserve">refirió </w:t>
      </w:r>
      <w:r w:rsidR="000D7382" w:rsidRPr="003B684E">
        <w:rPr>
          <w:rFonts w:ascii="Palatino Linotype" w:eastAsia="Palatino Linotype" w:hAnsi="Palatino Linotype" w:cs="Palatino Linotype"/>
          <w:color w:val="000000"/>
        </w:rPr>
        <w:t>lo siguiente</w:t>
      </w:r>
      <w:r w:rsidR="00D146E1" w:rsidRPr="003B684E">
        <w:rPr>
          <w:rFonts w:ascii="Palatino Linotype" w:eastAsia="Palatino Linotype" w:hAnsi="Palatino Linotype" w:cs="Palatino Linotype"/>
          <w:color w:val="000000"/>
        </w:rPr>
        <w:t>:</w:t>
      </w:r>
    </w:p>
    <w:p w:rsidR="00D146E1" w:rsidRPr="003B684E" w:rsidRDefault="00D146E1" w:rsidP="003776D9">
      <w:pPr>
        <w:pBdr>
          <w:top w:val="nil"/>
          <w:left w:val="nil"/>
          <w:bottom w:val="nil"/>
          <w:right w:val="nil"/>
          <w:between w:val="nil"/>
        </w:pBdr>
        <w:tabs>
          <w:tab w:val="left" w:pos="0"/>
        </w:tabs>
        <w:ind w:left="720" w:right="-788"/>
        <w:jc w:val="both"/>
        <w:rPr>
          <w:rFonts w:ascii="Palatino Linotype" w:eastAsia="Palatino Linotype" w:hAnsi="Palatino Linotype" w:cs="Palatino Linotype"/>
          <w:color w:val="000000"/>
        </w:rPr>
      </w:pPr>
    </w:p>
    <w:p w:rsidR="00D146E1" w:rsidRPr="003B684E" w:rsidRDefault="00D146E1" w:rsidP="003776D9">
      <w:pPr>
        <w:pBdr>
          <w:top w:val="nil"/>
          <w:left w:val="nil"/>
          <w:bottom w:val="nil"/>
          <w:right w:val="nil"/>
          <w:between w:val="nil"/>
        </w:pBdr>
        <w:tabs>
          <w:tab w:val="left" w:pos="0"/>
        </w:tabs>
        <w:ind w:left="720" w:right="-788"/>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 xml:space="preserve">“… </w:t>
      </w:r>
      <w:r w:rsidRPr="003B684E">
        <w:rPr>
          <w:rFonts w:ascii="Palatino Linotype" w:eastAsia="Palatino Linotype" w:hAnsi="Palatino Linotype" w:cs="Palatino Linotype"/>
          <w:b/>
          <w:i/>
          <w:color w:val="000000"/>
        </w:rPr>
        <w:t>la descarga individual de cada acuse tendría que invertir recurso humano, tecnológico y de tiempo para entregar la información ad hoc, contraviniendo lo establecido en el artículo 12</w:t>
      </w:r>
      <w:r w:rsidRPr="003B684E">
        <w:rPr>
          <w:rFonts w:ascii="Palatino Linotype" w:eastAsia="Palatino Linotype" w:hAnsi="Palatino Linotype" w:cs="Palatino Linotype"/>
          <w:i/>
          <w:color w:val="000000"/>
        </w:rPr>
        <w:t xml:space="preserve"> de la Ley de Transparencia, Acceso a la Información Pública del </w:t>
      </w:r>
      <w:r w:rsidRPr="003B684E">
        <w:rPr>
          <w:rFonts w:ascii="Palatino Linotype" w:eastAsia="Palatino Linotype" w:hAnsi="Palatino Linotype" w:cs="Palatino Linotype"/>
          <w:i/>
          <w:color w:val="000000"/>
        </w:rPr>
        <w:lastRenderedPageBreak/>
        <w:t xml:space="preserve">Estado de México y Municipios, por lo que solo se hará entrega de la información como se encuentre en esta Unidad de Transparencia. </w:t>
      </w:r>
    </w:p>
    <w:p w:rsidR="00D146E1" w:rsidRPr="003B684E" w:rsidRDefault="00D146E1" w:rsidP="003776D9">
      <w:pPr>
        <w:pBdr>
          <w:top w:val="nil"/>
          <w:left w:val="nil"/>
          <w:bottom w:val="nil"/>
          <w:right w:val="nil"/>
          <w:between w:val="nil"/>
        </w:pBdr>
        <w:tabs>
          <w:tab w:val="left" w:pos="0"/>
        </w:tabs>
        <w:ind w:left="720" w:right="-788"/>
        <w:jc w:val="both"/>
        <w:rPr>
          <w:rFonts w:ascii="Palatino Linotype" w:eastAsia="Palatino Linotype" w:hAnsi="Palatino Linotype" w:cs="Palatino Linotype"/>
          <w:i/>
          <w:color w:val="000000"/>
        </w:rPr>
      </w:pPr>
    </w:p>
    <w:p w:rsidR="00D146E1" w:rsidRPr="003B684E" w:rsidRDefault="00D146E1" w:rsidP="003776D9">
      <w:pPr>
        <w:pBdr>
          <w:top w:val="nil"/>
          <w:left w:val="nil"/>
          <w:bottom w:val="nil"/>
          <w:right w:val="nil"/>
          <w:between w:val="nil"/>
        </w:pBdr>
        <w:tabs>
          <w:tab w:val="left" w:pos="0"/>
        </w:tabs>
        <w:ind w:left="720" w:right="-788"/>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…se informa que referente a su solicitud podrá ser consultada en la página del Instituto de Transparencia, Acceso a la Información Pública y Protección de Datos Personales del Estado de México y Municipios, puede ser consultado en el siguiente link:</w:t>
      </w:r>
    </w:p>
    <w:p w:rsidR="00D146E1" w:rsidRPr="003B684E" w:rsidRDefault="00D146E1" w:rsidP="0048543B">
      <w:pPr>
        <w:pBdr>
          <w:top w:val="nil"/>
          <w:left w:val="nil"/>
          <w:bottom w:val="nil"/>
          <w:right w:val="nil"/>
          <w:between w:val="nil"/>
        </w:pBdr>
        <w:tabs>
          <w:tab w:val="left" w:pos="0"/>
        </w:tabs>
        <w:ind w:right="-788"/>
        <w:jc w:val="center"/>
        <w:rPr>
          <w:rFonts w:ascii="Palatino Linotype" w:eastAsia="Palatino Linotype" w:hAnsi="Palatino Linotype" w:cs="Palatino Linotype"/>
          <w:i/>
          <w:color w:val="000000"/>
        </w:rPr>
      </w:pPr>
      <w:r w:rsidRPr="003B684E">
        <w:rPr>
          <w:rFonts w:ascii="Palatino Linotype" w:eastAsia="Palatino Linotype" w:hAnsi="Palatino Linotype" w:cs="Palatino Linotype"/>
          <w:i/>
          <w:noProof/>
          <w:color w:val="000000"/>
          <w:lang w:val="es-MX"/>
        </w:rPr>
        <w:drawing>
          <wp:inline distT="0" distB="0" distL="0" distR="0" wp14:anchorId="73CC9D5E" wp14:editId="6C0F6C20">
            <wp:extent cx="2753109" cy="390580"/>
            <wp:effectExtent l="152400" t="152400" r="352425" b="3714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53109" cy="390580"/>
                    </a:xfrm>
                    <a:prstGeom prst="rect">
                      <a:avLst/>
                    </a:prstGeom>
                    <a:ln>
                      <a:noFill/>
                    </a:ln>
                    <a:effectLst>
                      <a:outerShdw blurRad="292100" dist="139700" dir="2700000" algn="tl" rotWithShape="0">
                        <a:srgbClr val="333333">
                          <a:alpha val="65000"/>
                        </a:srgbClr>
                      </a:outerShdw>
                    </a:effectLst>
                  </pic:spPr>
                </pic:pic>
              </a:graphicData>
            </a:graphic>
          </wp:inline>
        </w:drawing>
      </w:r>
    </w:p>
    <w:p w:rsidR="00D146E1" w:rsidRPr="003B684E" w:rsidRDefault="00477282" w:rsidP="00477282">
      <w:pPr>
        <w:pStyle w:val="Prrafodelista"/>
        <w:numPr>
          <w:ilvl w:val="0"/>
          <w:numId w:val="36"/>
        </w:num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Documento </w:t>
      </w:r>
      <w:r w:rsidR="00D146E1" w:rsidRPr="003B684E">
        <w:rPr>
          <w:rFonts w:ascii="Palatino Linotype" w:eastAsia="Palatino Linotype" w:hAnsi="Palatino Linotype" w:cs="Palatino Linotype"/>
          <w:color w:val="000000"/>
        </w:rPr>
        <w:t>anexo</w:t>
      </w:r>
      <w:r w:rsidR="003D0A4D" w:rsidRPr="003B684E">
        <w:rPr>
          <w:rFonts w:ascii="Palatino Linotype" w:eastAsia="Palatino Linotype" w:hAnsi="Palatino Linotype" w:cs="Palatino Linotype"/>
          <w:color w:val="000000"/>
        </w:rPr>
        <w:t>, en el que</w:t>
      </w:r>
      <w:r w:rsidR="00D146E1" w:rsidRPr="003B684E">
        <w:rPr>
          <w:rFonts w:ascii="Palatino Linotype" w:eastAsia="Palatino Linotype" w:hAnsi="Palatino Linotype" w:cs="Palatino Linotype"/>
          <w:color w:val="000000"/>
        </w:rPr>
        <w:t xml:space="preserve"> se puede advertir </w:t>
      </w:r>
      <w:r w:rsidR="00B73EC7" w:rsidRPr="003B684E">
        <w:rPr>
          <w:rFonts w:ascii="Palatino Linotype" w:eastAsia="Palatino Linotype" w:hAnsi="Palatino Linotype" w:cs="Palatino Linotype"/>
          <w:color w:val="000000"/>
        </w:rPr>
        <w:t xml:space="preserve">el link </w:t>
      </w:r>
      <w:r w:rsidR="00D146E1" w:rsidRPr="003B684E">
        <w:rPr>
          <w:rFonts w:ascii="Palatino Linotype" w:eastAsia="Palatino Linotype" w:hAnsi="Palatino Linotype" w:cs="Palatino Linotype"/>
          <w:color w:val="000000"/>
        </w:rPr>
        <w:t>en formato abierto</w:t>
      </w:r>
      <w:r w:rsidRPr="003B684E">
        <w:rPr>
          <w:rFonts w:ascii="Palatino Linotype" w:eastAsia="Palatino Linotype" w:hAnsi="Palatino Linotype" w:cs="Palatino Linotype"/>
          <w:color w:val="000000"/>
        </w:rPr>
        <w:t xml:space="preserve"> </w:t>
      </w:r>
      <w:r w:rsidR="00B73EC7" w:rsidRPr="003B684E">
        <w:rPr>
          <w:rFonts w:ascii="Palatino Linotype" w:eastAsia="Palatino Linotype" w:hAnsi="Palatino Linotype" w:cs="Palatino Linotype"/>
          <w:color w:val="000000"/>
        </w:rPr>
        <w:t>y las indicaciones para la consulta de la información requerida.</w:t>
      </w:r>
    </w:p>
    <w:p w:rsidR="00B73EC7" w:rsidRPr="003B684E" w:rsidRDefault="00B73EC7" w:rsidP="00D146E1">
      <w:p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p>
    <w:p w:rsidR="00B73EC7" w:rsidRPr="003B684E" w:rsidRDefault="00B73EC7" w:rsidP="00B73EC7">
      <w:pPr>
        <w:pBdr>
          <w:top w:val="nil"/>
          <w:left w:val="nil"/>
          <w:bottom w:val="nil"/>
          <w:right w:val="nil"/>
          <w:between w:val="nil"/>
        </w:pBdr>
        <w:tabs>
          <w:tab w:val="left" w:pos="0"/>
        </w:tabs>
        <w:ind w:right="-788"/>
        <w:jc w:val="center"/>
        <w:rPr>
          <w:rFonts w:ascii="Palatino Linotype" w:eastAsia="Palatino Linotype" w:hAnsi="Palatino Linotype" w:cs="Palatino Linotype"/>
          <w:color w:val="000000"/>
        </w:rPr>
      </w:pPr>
      <w:r w:rsidRPr="003B684E">
        <w:rPr>
          <w:rFonts w:ascii="Palatino Linotype" w:eastAsia="Palatino Linotype" w:hAnsi="Palatino Linotype" w:cs="Palatino Linotype"/>
          <w:noProof/>
          <w:color w:val="000000"/>
          <w:lang w:val="es-MX"/>
        </w:rPr>
        <w:drawing>
          <wp:inline distT="0" distB="0" distL="0" distR="0" wp14:anchorId="40812B16" wp14:editId="6C531551">
            <wp:extent cx="2850722" cy="3070008"/>
            <wp:effectExtent l="152400" t="152400" r="368935" b="3594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60601" cy="3080647"/>
                    </a:xfrm>
                    <a:prstGeom prst="rect">
                      <a:avLst/>
                    </a:prstGeom>
                    <a:ln>
                      <a:noFill/>
                    </a:ln>
                    <a:effectLst>
                      <a:outerShdw blurRad="292100" dist="139700" dir="2700000" algn="tl" rotWithShape="0">
                        <a:srgbClr val="333333">
                          <a:alpha val="65000"/>
                        </a:srgbClr>
                      </a:outerShdw>
                    </a:effectLst>
                  </pic:spPr>
                </pic:pic>
              </a:graphicData>
            </a:graphic>
          </wp:inline>
        </w:drawing>
      </w:r>
    </w:p>
    <w:p w:rsidR="00D146E1" w:rsidRPr="003B684E"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b/>
          <w:color w:val="000000"/>
        </w:rPr>
      </w:pPr>
    </w:p>
    <w:p w:rsidR="005555C4" w:rsidRPr="003B684E" w:rsidRDefault="005555C4">
      <w:pPr>
        <w:pBdr>
          <w:top w:val="nil"/>
          <w:left w:val="nil"/>
          <w:bottom w:val="nil"/>
          <w:right w:val="nil"/>
          <w:between w:val="nil"/>
        </w:pBdr>
        <w:tabs>
          <w:tab w:val="left" w:pos="0"/>
        </w:tabs>
        <w:ind w:right="-787"/>
        <w:jc w:val="both"/>
        <w:rPr>
          <w:rFonts w:ascii="Palatino Linotype" w:eastAsia="Palatino Linotype" w:hAnsi="Palatino Linotype" w:cs="Palatino Linotype"/>
          <w:i/>
          <w:color w:val="000000"/>
        </w:rPr>
      </w:pPr>
    </w:p>
    <w:p w:rsidR="005555C4" w:rsidRPr="003B684E"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El</w:t>
      </w:r>
      <w:r w:rsidRPr="003B684E">
        <w:rPr>
          <w:rFonts w:ascii="Palatino Linotype" w:eastAsia="Palatino Linotype" w:hAnsi="Palatino Linotype" w:cs="Palatino Linotype"/>
          <w:b/>
          <w:color w:val="000000"/>
        </w:rPr>
        <w:t xml:space="preserve"> </w:t>
      </w:r>
      <w:r w:rsidR="00BF0A26" w:rsidRPr="003B684E">
        <w:rPr>
          <w:rFonts w:ascii="Palatino Linotype" w:eastAsia="Palatino Linotype" w:hAnsi="Palatino Linotype" w:cs="Palatino Linotype"/>
          <w:b/>
          <w:color w:val="000000"/>
        </w:rPr>
        <w:t>veintisiete de febrero</w:t>
      </w:r>
      <w:r w:rsidR="00893781" w:rsidRPr="003B684E">
        <w:rPr>
          <w:rFonts w:ascii="Palatino Linotype" w:eastAsia="Palatino Linotype" w:hAnsi="Palatino Linotype" w:cs="Palatino Linotype"/>
          <w:b/>
          <w:color w:val="000000"/>
        </w:rPr>
        <w:t xml:space="preserve"> de dos mil veintiséis</w:t>
      </w:r>
      <w:r w:rsidRPr="003B684E">
        <w:rPr>
          <w:rFonts w:ascii="Palatino Linotype" w:eastAsia="Palatino Linotype" w:hAnsi="Palatino Linotype" w:cs="Palatino Linotype"/>
          <w:color w:val="000000"/>
        </w:rPr>
        <w:t xml:space="preserve">, el particular interpuso los </w:t>
      </w:r>
      <w:r w:rsidRPr="003B684E">
        <w:rPr>
          <w:rFonts w:ascii="Palatino Linotype" w:eastAsia="Palatino Linotype" w:hAnsi="Palatino Linotype" w:cs="Palatino Linotype"/>
          <w:b/>
          <w:color w:val="000000"/>
        </w:rPr>
        <w:t>Recursos de Revisión</w:t>
      </w:r>
      <w:r w:rsidRPr="003B684E">
        <w:rPr>
          <w:rFonts w:ascii="Palatino Linotype" w:eastAsia="Palatino Linotype" w:hAnsi="Palatino Linotype" w:cs="Palatino Linotype"/>
          <w:color w:val="000000"/>
        </w:rPr>
        <w:t xml:space="preserve"> a los que se les asignaron los folios </w:t>
      </w:r>
      <w:r w:rsidR="00BF0A26" w:rsidRPr="003B684E">
        <w:rPr>
          <w:rFonts w:ascii="Palatino Linotype" w:hAnsi="Palatino Linotype"/>
          <w:b/>
          <w:bCs/>
          <w:color w:val="000000"/>
        </w:rPr>
        <w:t xml:space="preserve">02803/INFOEM/IP/RR/2026, </w:t>
      </w:r>
      <w:r w:rsidR="00BF0A26" w:rsidRPr="003B684E">
        <w:rPr>
          <w:rFonts w:ascii="Palatino Linotype" w:hAnsi="Palatino Linotype"/>
          <w:b/>
          <w:bCs/>
          <w:color w:val="000000"/>
        </w:rPr>
        <w:lastRenderedPageBreak/>
        <w:t>02813/INFOEM/IP/RR/2026, 02818/INFOEM/IP/RR/2026, 02823/INFOEM/IP/RR/2026, 02828/INFOEM/IP/RR/2026, 02833/INFOEM/IP/RR/2026, 02838/INFOEM/IP/RR/2026, 02843/INFOEM/IP/RR/2026, 02848/INFOEM/IP/RR/2026 y 02853/INFOEM/IP/RR/2026</w:t>
      </w:r>
      <w:r w:rsidR="00E930FC" w:rsidRPr="003B684E">
        <w:rPr>
          <w:rFonts w:ascii="Palatino Linotype" w:eastAsia="Palatino Linotype" w:hAnsi="Palatino Linotype" w:cs="Palatino Linotype"/>
          <w:b/>
          <w:color w:val="000000"/>
        </w:rPr>
        <w:t xml:space="preserve">, </w:t>
      </w:r>
      <w:r w:rsidRPr="003B684E">
        <w:rPr>
          <w:rFonts w:ascii="Palatino Linotype" w:eastAsia="Palatino Linotype" w:hAnsi="Palatino Linotype" w:cs="Palatino Linotype"/>
          <w:color w:val="000000"/>
        </w:rPr>
        <w:t xml:space="preserve">en contra de las respuestas emitidas por el Sujeto Obligado, realizando </w:t>
      </w:r>
      <w:r w:rsidR="00E930FC" w:rsidRPr="003B684E">
        <w:rPr>
          <w:rFonts w:ascii="Palatino Linotype" w:eastAsia="Palatino Linotype" w:hAnsi="Palatino Linotype" w:cs="Palatino Linotype"/>
          <w:color w:val="000000"/>
        </w:rPr>
        <w:t>idénticas</w:t>
      </w:r>
      <w:r w:rsidRPr="003B684E">
        <w:rPr>
          <w:rFonts w:ascii="Palatino Linotype" w:eastAsia="Palatino Linotype" w:hAnsi="Palatino Linotype" w:cs="Palatino Linotype"/>
          <w:color w:val="000000"/>
        </w:rPr>
        <w:t xml:space="preserve"> manifestaciones como </w:t>
      </w:r>
      <w:r w:rsidRPr="003B684E">
        <w:rPr>
          <w:rFonts w:ascii="Palatino Linotype" w:eastAsia="Palatino Linotype" w:hAnsi="Palatino Linotype" w:cs="Palatino Linotype"/>
          <w:b/>
          <w:color w:val="000000"/>
        </w:rPr>
        <w:t>acto impugnado y razones o motivos de inconformidad</w:t>
      </w:r>
      <w:r w:rsidRPr="003B684E">
        <w:rPr>
          <w:rFonts w:ascii="Palatino Linotype" w:eastAsia="Palatino Linotype" w:hAnsi="Palatino Linotype" w:cs="Palatino Linotype"/>
          <w:color w:val="000000"/>
        </w:rPr>
        <w:t>:</w:t>
      </w:r>
    </w:p>
    <w:p w:rsidR="005555C4" w:rsidRPr="003B684E" w:rsidRDefault="005555C4">
      <w:pPr>
        <w:pBdr>
          <w:top w:val="nil"/>
          <w:left w:val="nil"/>
          <w:bottom w:val="nil"/>
          <w:right w:val="nil"/>
          <w:between w:val="nil"/>
        </w:pBdr>
        <w:tabs>
          <w:tab w:val="left" w:pos="0"/>
        </w:tabs>
        <w:ind w:right="-787"/>
        <w:jc w:val="both"/>
        <w:rPr>
          <w:rFonts w:ascii="Palatino Linotype" w:eastAsia="Palatino Linotype" w:hAnsi="Palatino Linotype" w:cs="Palatino Linotype"/>
          <w:b/>
          <w:color w:val="000000"/>
        </w:rPr>
      </w:pPr>
    </w:p>
    <w:p w:rsidR="00893781" w:rsidRPr="003B684E" w:rsidRDefault="00893781" w:rsidP="008F30DB">
      <w:pPr>
        <w:pBdr>
          <w:top w:val="nil"/>
          <w:left w:val="nil"/>
          <w:bottom w:val="nil"/>
          <w:right w:val="nil"/>
          <w:between w:val="nil"/>
        </w:pBdr>
        <w:ind w:left="567" w:right="-787"/>
        <w:jc w:val="both"/>
        <w:rPr>
          <w:rFonts w:ascii="Palatino Linotype" w:eastAsia="Palatino Linotype" w:hAnsi="Palatino Linotype" w:cs="Palatino Linotype"/>
          <w:b/>
          <w:color w:val="000000"/>
        </w:rPr>
      </w:pPr>
      <w:r w:rsidRPr="003B684E">
        <w:rPr>
          <w:rFonts w:ascii="Palatino Linotype" w:eastAsia="Palatino Linotype" w:hAnsi="Palatino Linotype" w:cs="Palatino Linotype"/>
          <w:b/>
          <w:color w:val="000000"/>
        </w:rPr>
        <w:t xml:space="preserve">Acto impugnado: </w:t>
      </w:r>
    </w:p>
    <w:p w:rsidR="00893781" w:rsidRPr="003B684E" w:rsidRDefault="00893781" w:rsidP="008F30DB">
      <w:p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w:t>
      </w:r>
      <w:r w:rsidR="00BF0A26" w:rsidRPr="003B684E">
        <w:rPr>
          <w:rFonts w:ascii="Palatino Linotype" w:eastAsia="Palatino Linotype" w:hAnsi="Palatino Linotype" w:cs="Palatino Linotype"/>
          <w:i/>
          <w:color w:val="00000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3B684E">
        <w:rPr>
          <w:rFonts w:ascii="Palatino Linotype" w:eastAsia="Palatino Linotype" w:hAnsi="Palatino Linotype" w:cs="Palatino Linotype"/>
          <w:i/>
          <w:color w:val="000000"/>
        </w:rPr>
        <w:t>” (Sic)</w:t>
      </w:r>
    </w:p>
    <w:p w:rsidR="00893781" w:rsidRPr="003B684E" w:rsidRDefault="00893781" w:rsidP="008F30DB">
      <w:pPr>
        <w:pBdr>
          <w:top w:val="nil"/>
          <w:left w:val="nil"/>
          <w:bottom w:val="nil"/>
          <w:right w:val="nil"/>
          <w:between w:val="nil"/>
        </w:pBdr>
        <w:ind w:left="567" w:right="-787"/>
        <w:jc w:val="both"/>
        <w:rPr>
          <w:rFonts w:ascii="Palatino Linotype" w:eastAsia="Palatino Linotype" w:hAnsi="Palatino Linotype" w:cs="Palatino Linotype"/>
          <w:i/>
          <w:color w:val="000000"/>
        </w:rPr>
      </w:pPr>
    </w:p>
    <w:p w:rsidR="00893781" w:rsidRPr="003B684E" w:rsidRDefault="00893781" w:rsidP="008F30DB">
      <w:pPr>
        <w:pBdr>
          <w:top w:val="nil"/>
          <w:left w:val="nil"/>
          <w:bottom w:val="nil"/>
          <w:right w:val="nil"/>
          <w:between w:val="nil"/>
        </w:pBdr>
        <w:ind w:left="567" w:right="-787"/>
        <w:jc w:val="both"/>
        <w:rPr>
          <w:rFonts w:ascii="Palatino Linotype" w:eastAsia="Palatino Linotype" w:hAnsi="Palatino Linotype" w:cs="Palatino Linotype"/>
          <w:b/>
          <w:color w:val="000000"/>
        </w:rPr>
      </w:pPr>
      <w:bookmarkStart w:id="2" w:name="_heading=h.1fob9te" w:colFirst="0" w:colLast="0"/>
      <w:bookmarkEnd w:id="2"/>
      <w:r w:rsidRPr="003B684E">
        <w:rPr>
          <w:rFonts w:ascii="Palatino Linotype" w:eastAsia="Palatino Linotype" w:hAnsi="Palatino Linotype" w:cs="Palatino Linotype"/>
          <w:b/>
          <w:color w:val="000000"/>
        </w:rPr>
        <w:t xml:space="preserve">Razones o Motivos de inconformidad: </w:t>
      </w:r>
    </w:p>
    <w:p w:rsidR="00893781" w:rsidRPr="003B684E" w:rsidRDefault="00893781" w:rsidP="008F30DB">
      <w:p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w:t>
      </w:r>
      <w:r w:rsidR="00BF0A26" w:rsidRPr="003B684E">
        <w:rPr>
          <w:rFonts w:ascii="Palatino Linotype" w:eastAsia="Palatino Linotype" w:hAnsi="Palatino Linotype" w:cs="Palatino Linotype"/>
          <w:i/>
          <w:color w:val="00000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3B684E">
        <w:rPr>
          <w:rFonts w:ascii="Palatino Linotype" w:eastAsia="Palatino Linotype" w:hAnsi="Palatino Linotype" w:cs="Palatino Linotype"/>
          <w:i/>
          <w:color w:val="000000"/>
        </w:rPr>
        <w:t>” (Sic)</w:t>
      </w:r>
    </w:p>
    <w:p w:rsidR="0072445F" w:rsidRPr="003B684E" w:rsidRDefault="0072445F">
      <w:pPr>
        <w:pBdr>
          <w:top w:val="nil"/>
          <w:left w:val="nil"/>
          <w:bottom w:val="nil"/>
          <w:right w:val="nil"/>
          <w:between w:val="nil"/>
        </w:pBdr>
        <w:tabs>
          <w:tab w:val="left" w:pos="0"/>
        </w:tabs>
        <w:ind w:right="-787"/>
        <w:jc w:val="both"/>
        <w:rPr>
          <w:rFonts w:ascii="Palatino Linotype" w:eastAsia="Palatino Linotype" w:hAnsi="Palatino Linotype" w:cs="Palatino Linotype"/>
          <w:b/>
          <w:color w:val="000000"/>
        </w:rPr>
      </w:pPr>
    </w:p>
    <w:p w:rsidR="005555C4" w:rsidRPr="003B684E"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bookmarkStart w:id="3" w:name="_heading=h.30j0zll" w:colFirst="0" w:colLast="0"/>
      <w:bookmarkEnd w:id="3"/>
    </w:p>
    <w:p w:rsidR="005555C4" w:rsidRPr="003B684E" w:rsidRDefault="00922FDD" w:rsidP="006637F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La Comisionada Ponente</w:t>
      </w:r>
      <w:r w:rsidR="002F1240" w:rsidRPr="003B684E">
        <w:rPr>
          <w:rFonts w:ascii="Palatino Linotype" w:eastAsia="Palatino Linotype" w:hAnsi="Palatino Linotype" w:cs="Palatino Linotype"/>
          <w:color w:val="000000"/>
        </w:rPr>
        <w:t xml:space="preserve">, con fundamento en lo dispuesto por el artículo 185, fracción II, de la ley de la materia, a través de los </w:t>
      </w:r>
      <w:r w:rsidR="002F1240" w:rsidRPr="003B684E">
        <w:rPr>
          <w:rFonts w:ascii="Palatino Linotype" w:eastAsia="Palatino Linotype" w:hAnsi="Palatino Linotype" w:cs="Palatino Linotype"/>
          <w:b/>
          <w:color w:val="000000"/>
        </w:rPr>
        <w:t xml:space="preserve">acuerdos de admisión </w:t>
      </w:r>
      <w:r w:rsidR="002F1240" w:rsidRPr="003B684E">
        <w:rPr>
          <w:rFonts w:ascii="Palatino Linotype" w:eastAsia="Palatino Linotype" w:hAnsi="Palatino Linotype" w:cs="Palatino Linotype"/>
          <w:color w:val="000000"/>
        </w:rPr>
        <w:t xml:space="preserve">de fechas </w:t>
      </w:r>
      <w:r w:rsidR="001D7B10" w:rsidRPr="003B684E">
        <w:rPr>
          <w:rFonts w:ascii="Palatino Linotype" w:eastAsia="Palatino Linotype" w:hAnsi="Palatino Linotype" w:cs="Palatino Linotype"/>
          <w:b/>
          <w:color w:val="000000"/>
        </w:rPr>
        <w:t>tres, cinco, seis y diez de marzo</w:t>
      </w:r>
      <w:r w:rsidRPr="003B684E">
        <w:rPr>
          <w:rFonts w:ascii="Palatino Linotype" w:eastAsia="Palatino Linotype" w:hAnsi="Palatino Linotype" w:cs="Palatino Linotype"/>
          <w:b/>
          <w:color w:val="000000"/>
        </w:rPr>
        <w:t xml:space="preserve"> de dos mil veintiséis</w:t>
      </w:r>
      <w:r w:rsidR="002F1240" w:rsidRPr="003B684E">
        <w:rPr>
          <w:rFonts w:ascii="Palatino Linotype" w:eastAsia="Palatino Linotype" w:hAnsi="Palatino Linotype" w:cs="Palatino Linotype"/>
          <w:b/>
          <w:color w:val="000000"/>
        </w:rPr>
        <w:t xml:space="preserve">, </w:t>
      </w:r>
      <w:r w:rsidR="002F1240" w:rsidRPr="003B684E">
        <w:rPr>
          <w:rFonts w:ascii="Palatino Linotype" w:eastAsia="Palatino Linotype" w:hAnsi="Palatino Linotype" w:cs="Palatino Linotype"/>
          <w:color w:val="000000"/>
        </w:rPr>
        <w:t xml:space="preserve">puso a disposición de las partes los expedientes electrónicos vía SAIMEX a efecto de que en un plazo máximo de siete días </w:t>
      </w:r>
      <w:r w:rsidR="002F1240" w:rsidRPr="003B684E">
        <w:rPr>
          <w:rFonts w:ascii="Palatino Linotype" w:eastAsia="Palatino Linotype" w:hAnsi="Palatino Linotype" w:cs="Palatino Linotype"/>
        </w:rPr>
        <w:t>manifestara</w:t>
      </w:r>
      <w:r w:rsidR="002F1240" w:rsidRPr="003B684E">
        <w:rPr>
          <w:rFonts w:ascii="Palatino Linotype" w:eastAsia="Palatino Linotype" w:hAnsi="Palatino Linotype" w:cs="Palatino Linotype"/>
          <w:color w:val="000000"/>
        </w:rPr>
        <w:t xml:space="preserve"> lo que a su derecho conviniera, </w:t>
      </w:r>
      <w:r w:rsidR="002F1240" w:rsidRPr="003B684E">
        <w:rPr>
          <w:rFonts w:ascii="Palatino Linotype" w:eastAsia="Palatino Linotype" w:hAnsi="Palatino Linotype" w:cs="Palatino Linotype"/>
        </w:rPr>
        <w:t>ofreciera</w:t>
      </w:r>
      <w:r w:rsidR="002F1240" w:rsidRPr="003B684E">
        <w:rPr>
          <w:rFonts w:ascii="Palatino Linotype" w:eastAsia="Palatino Linotype" w:hAnsi="Palatino Linotype" w:cs="Palatino Linotype"/>
          <w:color w:val="000000"/>
        </w:rPr>
        <w:t xml:space="preserve"> pruebas y alegatos según corresponda al caso concreto, de esta forma para que el </w:t>
      </w:r>
      <w:r w:rsidR="002F1240" w:rsidRPr="003B684E">
        <w:rPr>
          <w:rFonts w:ascii="Palatino Linotype" w:eastAsia="Palatino Linotype" w:hAnsi="Palatino Linotype" w:cs="Palatino Linotype"/>
          <w:b/>
          <w:color w:val="000000"/>
        </w:rPr>
        <w:t xml:space="preserve">SUJETO OBLIGADO </w:t>
      </w:r>
      <w:r w:rsidR="002F1240" w:rsidRPr="003B684E">
        <w:rPr>
          <w:rFonts w:ascii="Palatino Linotype" w:eastAsia="Palatino Linotype" w:hAnsi="Palatino Linotype" w:cs="Palatino Linotype"/>
        </w:rPr>
        <w:t>presentara</w:t>
      </w:r>
      <w:r w:rsidR="002F1240" w:rsidRPr="003B684E">
        <w:rPr>
          <w:rFonts w:ascii="Palatino Linotype" w:eastAsia="Palatino Linotype" w:hAnsi="Palatino Linotype" w:cs="Palatino Linotype"/>
          <w:color w:val="000000"/>
        </w:rPr>
        <w:t xml:space="preserve"> el Informes Justificados procedentes.</w:t>
      </w:r>
    </w:p>
    <w:p w:rsidR="005555C4" w:rsidRPr="003B684E"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lastRenderedPageBreak/>
        <w:t xml:space="preserve">El Recurrente dejó de realizar manifestaciones que a su derecho conviniera y asistiera. Por su parte, el </w:t>
      </w:r>
      <w:r w:rsidRPr="003B684E">
        <w:rPr>
          <w:rFonts w:ascii="Palatino Linotype" w:eastAsia="Palatino Linotype" w:hAnsi="Palatino Linotype" w:cs="Palatino Linotype"/>
          <w:b/>
          <w:color w:val="000000"/>
        </w:rPr>
        <w:t>Sujeto Obligado</w:t>
      </w:r>
      <w:r w:rsidRPr="003B684E">
        <w:rPr>
          <w:rFonts w:ascii="Palatino Linotype" w:eastAsia="Palatino Linotype" w:hAnsi="Palatino Linotype" w:cs="Palatino Linotype"/>
          <w:color w:val="000000"/>
        </w:rPr>
        <w:t>,</w:t>
      </w:r>
      <w:r w:rsidRPr="003B684E">
        <w:rPr>
          <w:rFonts w:ascii="Palatino Linotype" w:eastAsia="Palatino Linotype" w:hAnsi="Palatino Linotype" w:cs="Palatino Linotype"/>
          <w:b/>
          <w:color w:val="000000"/>
        </w:rPr>
        <w:t xml:space="preserve"> </w:t>
      </w:r>
      <w:r w:rsidRPr="003B684E">
        <w:rPr>
          <w:rFonts w:ascii="Palatino Linotype" w:eastAsia="Palatino Linotype" w:hAnsi="Palatino Linotype" w:cs="Palatino Linotype"/>
          <w:color w:val="000000"/>
        </w:rPr>
        <w:t>en fechas</w:t>
      </w:r>
      <w:r w:rsidRPr="003B684E">
        <w:rPr>
          <w:rFonts w:ascii="Palatino Linotype" w:eastAsia="Palatino Linotype" w:hAnsi="Palatino Linotype" w:cs="Palatino Linotype"/>
          <w:b/>
          <w:color w:val="000000"/>
        </w:rPr>
        <w:t xml:space="preserve"> </w:t>
      </w:r>
      <w:r w:rsidR="00F33AA6" w:rsidRPr="003B684E">
        <w:rPr>
          <w:rFonts w:ascii="Palatino Linotype" w:eastAsia="Palatino Linotype" w:hAnsi="Palatino Linotype" w:cs="Palatino Linotype"/>
          <w:b/>
          <w:color w:val="000000"/>
        </w:rPr>
        <w:t>doce, diecisiete, diecinueve y veinte de marzo</w:t>
      </w:r>
      <w:r w:rsidR="00090A97" w:rsidRPr="003B684E">
        <w:rPr>
          <w:rFonts w:ascii="Palatino Linotype" w:eastAsia="Palatino Linotype" w:hAnsi="Palatino Linotype" w:cs="Palatino Linotype"/>
          <w:b/>
          <w:color w:val="000000"/>
        </w:rPr>
        <w:t xml:space="preserve"> de dos mil veintiséis</w:t>
      </w:r>
      <w:r w:rsidRPr="003B684E">
        <w:rPr>
          <w:rFonts w:ascii="Palatino Linotype" w:eastAsia="Palatino Linotype" w:hAnsi="Palatino Linotype" w:cs="Palatino Linotype"/>
          <w:b/>
          <w:color w:val="000000"/>
        </w:rPr>
        <w:t xml:space="preserve"> </w:t>
      </w:r>
      <w:r w:rsidRPr="003B684E">
        <w:rPr>
          <w:rFonts w:ascii="Palatino Linotype" w:eastAsia="Palatino Linotype" w:hAnsi="Palatino Linotype" w:cs="Palatino Linotype"/>
          <w:color w:val="000000"/>
        </w:rPr>
        <w:t xml:space="preserve">presentó </w:t>
      </w:r>
      <w:r w:rsidRPr="003B684E">
        <w:rPr>
          <w:rFonts w:ascii="Palatino Linotype" w:eastAsia="Palatino Linotype" w:hAnsi="Palatino Linotype" w:cs="Palatino Linotype"/>
          <w:b/>
          <w:color w:val="000000"/>
        </w:rPr>
        <w:t>informes justificados</w:t>
      </w:r>
      <w:r w:rsidR="00090A97" w:rsidRPr="003B684E">
        <w:rPr>
          <w:rFonts w:ascii="Palatino Linotype" w:eastAsia="Palatino Linotype" w:hAnsi="Palatino Linotype" w:cs="Palatino Linotype"/>
          <w:b/>
          <w:color w:val="000000"/>
        </w:rPr>
        <w:t xml:space="preserve">, ratificando </w:t>
      </w:r>
      <w:r w:rsidR="00F33AA6" w:rsidRPr="003B684E">
        <w:rPr>
          <w:rFonts w:ascii="Palatino Linotype" w:eastAsia="Palatino Linotype" w:hAnsi="Palatino Linotype" w:cs="Palatino Linotype"/>
          <w:color w:val="000000"/>
        </w:rPr>
        <w:t>su respuesta primigenia.</w:t>
      </w:r>
      <w:r w:rsidRPr="003B684E">
        <w:rPr>
          <w:rFonts w:ascii="Palatino Linotype" w:eastAsia="Palatino Linotype" w:hAnsi="Palatino Linotype" w:cs="Palatino Linotype"/>
          <w:color w:val="000000"/>
        </w:rPr>
        <w:t xml:space="preserve"> </w:t>
      </w:r>
    </w:p>
    <w:p w:rsidR="005555C4" w:rsidRPr="003B684E" w:rsidRDefault="005555C4" w:rsidP="00F33AA6">
      <w:pPr>
        <w:pBdr>
          <w:top w:val="nil"/>
          <w:left w:val="nil"/>
          <w:bottom w:val="nil"/>
          <w:right w:val="nil"/>
          <w:between w:val="nil"/>
        </w:pBdr>
        <w:ind w:right="-79"/>
        <w:jc w:val="both"/>
        <w:rPr>
          <w:rFonts w:ascii="Palatino Linotype" w:eastAsia="Palatino Linotype" w:hAnsi="Palatino Linotype" w:cs="Palatino Linotype"/>
          <w:color w:val="000000"/>
        </w:rPr>
      </w:pPr>
    </w:p>
    <w:p w:rsidR="005555C4" w:rsidRPr="003B684E" w:rsidRDefault="005555C4">
      <w:pPr>
        <w:pBdr>
          <w:top w:val="nil"/>
          <w:left w:val="nil"/>
          <w:bottom w:val="nil"/>
          <w:right w:val="nil"/>
          <w:between w:val="nil"/>
        </w:pBdr>
        <w:ind w:right="-79"/>
        <w:jc w:val="both"/>
        <w:rPr>
          <w:rFonts w:ascii="Palatino Linotype" w:eastAsia="Palatino Linotype" w:hAnsi="Palatino Linotype" w:cs="Palatino Linotype"/>
          <w:color w:val="000000"/>
        </w:rPr>
      </w:pPr>
    </w:p>
    <w:p w:rsidR="005555C4" w:rsidRPr="003B684E" w:rsidRDefault="00A827F5" w:rsidP="00A827F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Posteriormente, la Comisionada Ponente a través de acuerdo de fecha</w:t>
      </w:r>
      <w:r w:rsidRPr="003B684E">
        <w:rPr>
          <w:rFonts w:ascii="Palatino Linotype" w:eastAsia="Palatino Linotype" w:hAnsi="Palatino Linotype" w:cs="Palatino Linotype"/>
          <w:b/>
          <w:color w:val="000000"/>
        </w:rPr>
        <w:t xml:space="preserve"> </w:t>
      </w:r>
      <w:r w:rsidR="00B50425" w:rsidRPr="003B684E">
        <w:rPr>
          <w:rFonts w:ascii="Palatino Linotype" w:eastAsia="Palatino Linotype" w:hAnsi="Palatino Linotype" w:cs="Palatino Linotype"/>
          <w:b/>
          <w:color w:val="000000"/>
        </w:rPr>
        <w:t xml:space="preserve">veintisiete de abril de </w:t>
      </w:r>
      <w:r w:rsidRPr="003B684E">
        <w:rPr>
          <w:rFonts w:ascii="Palatino Linotype" w:eastAsia="Palatino Linotype" w:hAnsi="Palatino Linotype" w:cs="Palatino Linotype"/>
          <w:b/>
          <w:color w:val="000000"/>
        </w:rPr>
        <w:t>dos mil veintiséis</w:t>
      </w:r>
      <w:r w:rsidRPr="003B684E">
        <w:rPr>
          <w:rFonts w:ascii="Palatino Linotype" w:eastAsia="Palatino Linotype" w:hAnsi="Palatino Linotype" w:cs="Palatino Linotype"/>
          <w:color w:val="000000"/>
        </w:rPr>
        <w:t xml:space="preserve">, </w:t>
      </w:r>
      <w:r w:rsidRPr="003B684E">
        <w:rPr>
          <w:rFonts w:ascii="Palatino Linotype" w:hAnsi="Palatino Linotype" w:cs="Tahoma"/>
        </w:rPr>
        <w:t xml:space="preserve">con fundamento en el artículo 14, fracciones I, II, V y XVI del Reglamento Interior del Instituto de Transparencia, Acceso a la Información Pública y Protección de Datos Personales del Estado de México y Municipios, </w:t>
      </w:r>
      <w:r w:rsidR="00B50425" w:rsidRPr="003B684E">
        <w:rPr>
          <w:rFonts w:ascii="Palatino Linotype" w:hAnsi="Palatino Linotype" w:cs="Tahoma"/>
        </w:rPr>
        <w:t xml:space="preserve">previo análisis de las características de los medios de impugnación identificados con los números </w:t>
      </w:r>
      <w:r w:rsidR="00B50425" w:rsidRPr="003B684E">
        <w:rPr>
          <w:rFonts w:ascii="Palatino Linotype" w:hAnsi="Palatino Linotype"/>
          <w:b/>
          <w:bCs/>
          <w:color w:val="000000"/>
        </w:rPr>
        <w:t>02803/INFOEM/IP/RR/2026, 02813/INFOEM/IP/RR/2026, 02818/INFOEM/IP/RR/2026, 02823/INFOEM/IP/RR/2026, 02828/INFOEM/IP/RR/2026, 02833/INFOEM/IP/RR/2026, 02838/INFOEM/IP/RR/2026, 02843/INFOEM/IP/RR/2026, 02848/INFOEM/IP/RR/2026 y 02853/INFOEM/IP/RR/2026</w:t>
      </w:r>
      <w:r w:rsidR="00B50425" w:rsidRPr="003B684E">
        <w:rPr>
          <w:rFonts w:ascii="Palatino Linotype" w:hAnsi="Palatino Linotype" w:cs="Tahoma"/>
          <w:b/>
        </w:rPr>
        <w:t xml:space="preserve"> </w:t>
      </w:r>
      <w:r w:rsidR="00B50425" w:rsidRPr="003B684E">
        <w:rPr>
          <w:rFonts w:ascii="Palatino Linotype" w:hAnsi="Palatino Linotype" w:cs="Tahoma"/>
        </w:rPr>
        <w:t xml:space="preserve">y toda vez que se advirtió conexidad entre estos, al haber sido promovidos </w:t>
      </w:r>
      <w:r w:rsidR="00B50425" w:rsidRPr="003B684E">
        <w:rPr>
          <w:rFonts w:ascii="Palatino Linotype" w:eastAsia="Palatino Linotype" w:hAnsi="Palatino Linotype" w:cs="Palatino Linotype"/>
          <w:bCs/>
          <w:color w:val="000000"/>
        </w:rPr>
        <w:t>de manera anónima</w:t>
      </w:r>
      <w:r w:rsidR="00B50425" w:rsidRPr="003B684E">
        <w:rPr>
          <w:rFonts w:ascii="Palatino Linotype" w:hAnsi="Palatino Linotype" w:cs="Tahoma"/>
        </w:rPr>
        <w:t xml:space="preserve"> en los que se señaló como dependencia o entidad recurrida al </w:t>
      </w:r>
      <w:r w:rsidR="00B50425" w:rsidRPr="003B684E">
        <w:rPr>
          <w:rFonts w:ascii="Palatino Linotype" w:eastAsia="Palatino Linotype" w:hAnsi="Palatino Linotype" w:cs="Palatino Linotype"/>
          <w:b/>
          <w:bCs/>
        </w:rPr>
        <w:t>Ayuntamiento de Toluca</w:t>
      </w:r>
      <w:r w:rsidR="00B50425" w:rsidRPr="003B684E">
        <w:rPr>
          <w:rFonts w:ascii="Palatino Linotype" w:hAnsi="Palatino Linotype" w:cs="Tahoma"/>
        </w:rPr>
        <w:t xml:space="preserve">; </w:t>
      </w:r>
      <w:r w:rsidR="00B50425" w:rsidRPr="003B684E">
        <w:rPr>
          <w:rFonts w:ascii="Palatino Linotype" w:hAnsi="Palatino Linotype"/>
        </w:rPr>
        <w:t>se realizaron requerimientos de información similares, además, se manifestaron idénticos actos recurridos; con</w:t>
      </w:r>
      <w:r w:rsidR="00B50425" w:rsidRPr="003B684E">
        <w:rPr>
          <w:rFonts w:ascii="Palatino Linotype" w:hAnsi="Palatino Linotype" w:cs="Tahoma"/>
        </w:rPr>
        <w:t xml:space="preserve">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00B50425" w:rsidRPr="003B684E">
        <w:rPr>
          <w:rFonts w:ascii="Palatino Linotype" w:hAnsi="Palatino Linotype" w:cs="Tahoma"/>
          <w:b/>
        </w:rPr>
        <w:t>decreta</w:t>
      </w:r>
      <w:r w:rsidR="00B50425" w:rsidRPr="003B684E">
        <w:rPr>
          <w:rFonts w:ascii="Palatino Linotype" w:hAnsi="Palatino Linotype" w:cs="Tahoma"/>
        </w:rPr>
        <w:t xml:space="preserve"> la </w:t>
      </w:r>
      <w:r w:rsidR="00B50425" w:rsidRPr="003B684E">
        <w:rPr>
          <w:rFonts w:ascii="Palatino Linotype" w:hAnsi="Palatino Linotype" w:cs="Tahoma"/>
          <w:b/>
        </w:rPr>
        <w:t>acumulación</w:t>
      </w:r>
      <w:r w:rsidR="00B50425" w:rsidRPr="003B684E">
        <w:rPr>
          <w:rFonts w:ascii="Palatino Linotype" w:hAnsi="Palatino Linotype" w:cs="Tahoma"/>
        </w:rPr>
        <w:t xml:space="preserve"> de los Recursos de Revisión </w:t>
      </w:r>
      <w:r w:rsidR="00B50425" w:rsidRPr="003B684E">
        <w:rPr>
          <w:rFonts w:ascii="Palatino Linotype" w:hAnsi="Palatino Linotype"/>
          <w:b/>
          <w:bCs/>
          <w:color w:val="000000"/>
        </w:rPr>
        <w:t xml:space="preserve">02813/INFOEM/IP/RR/2026, 02818/INFOEM/IP/RR/2026, 02823/INFOEM/IP/RR/2026, 02828/INFOEM/IP/RR/2026, 02833/INFOEM/IP/RR/2026, 02838/INFOEM/IP/RR/2026, 02843/INFOEM/IP/RR/2026, 02848/INFOEM/IP/RR/2026 y 02853/INFOEM/IP/RR/2026 </w:t>
      </w:r>
      <w:r w:rsidR="00B50425" w:rsidRPr="003B684E">
        <w:rPr>
          <w:rFonts w:ascii="Palatino Linotype" w:hAnsi="Palatino Linotype" w:cs="Tahoma"/>
        </w:rPr>
        <w:t xml:space="preserve">al diverso </w:t>
      </w:r>
      <w:r w:rsidR="00B50425" w:rsidRPr="003B684E">
        <w:rPr>
          <w:rFonts w:ascii="Palatino Linotype" w:hAnsi="Palatino Linotype"/>
          <w:b/>
          <w:bCs/>
          <w:color w:val="000000"/>
        </w:rPr>
        <w:lastRenderedPageBreak/>
        <w:t>02803/INFOEM/IP/RR/2026</w:t>
      </w:r>
      <w:r w:rsidR="00B50425" w:rsidRPr="003B684E">
        <w:rPr>
          <w:rFonts w:ascii="Palatino Linotype" w:hAnsi="Palatino Linotype" w:cs="Tahoma"/>
        </w:rPr>
        <w:t>, por ser este último el más antiguo, sustanciado bajo el índice de esta Ponencia.</w:t>
      </w:r>
    </w:p>
    <w:p w:rsidR="005555C4" w:rsidRPr="003B684E"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555C4" w:rsidRPr="003B684E"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3B684E">
        <w:rPr>
          <w:rFonts w:ascii="Palatino Linotype" w:eastAsia="Palatino Linotype" w:hAnsi="Palatino Linotype" w:cs="Palatino Linotype"/>
          <w:color w:val="000000"/>
        </w:rPr>
        <w:t xml:space="preserve">Seguidamente, en fecha </w:t>
      </w:r>
      <w:r w:rsidR="007E3E9D" w:rsidRPr="003B684E">
        <w:rPr>
          <w:rFonts w:ascii="Palatino Linotype" w:eastAsia="Palatino Linotype" w:hAnsi="Palatino Linotype" w:cs="Palatino Linotype"/>
          <w:b/>
          <w:color w:val="000000"/>
        </w:rPr>
        <w:t>cuatro de mayo</w:t>
      </w:r>
      <w:r w:rsidR="002A6C3A" w:rsidRPr="003B684E">
        <w:rPr>
          <w:rFonts w:ascii="Palatino Linotype" w:eastAsia="Palatino Linotype" w:hAnsi="Palatino Linotype" w:cs="Palatino Linotype"/>
          <w:b/>
          <w:color w:val="000000"/>
        </w:rPr>
        <w:t xml:space="preserve"> de dos mil veintiséis</w:t>
      </w:r>
      <w:r w:rsidRPr="003B684E">
        <w:rPr>
          <w:rFonts w:ascii="Palatino Linotype" w:eastAsia="Palatino Linotype" w:hAnsi="Palatino Linotype" w:cs="Palatino Linotype"/>
          <w:color w:val="000000"/>
        </w:rPr>
        <w:t xml:space="preserve">, la Comisionada Ponente dictó el </w:t>
      </w:r>
      <w:r w:rsidRPr="003B684E">
        <w:rPr>
          <w:rFonts w:ascii="Palatino Linotype" w:eastAsia="Palatino Linotype" w:hAnsi="Palatino Linotype" w:cs="Palatino Linotype"/>
          <w:b/>
          <w:color w:val="000000"/>
        </w:rPr>
        <w:t>cierre del periodo de instrucción</w:t>
      </w:r>
      <w:r w:rsidRPr="003B684E">
        <w:rPr>
          <w:rFonts w:ascii="Palatino Linotype" w:eastAsia="Palatino Linotype" w:hAnsi="Palatino Linotype" w:cs="Palatino Linotype"/>
          <w:color w:val="000000"/>
        </w:rPr>
        <w:t xml:space="preserve"> y, ordenó la resolución que conforme a Derecho proceda:</w:t>
      </w:r>
    </w:p>
    <w:p w:rsidR="005555C4" w:rsidRPr="003B684E" w:rsidRDefault="005555C4">
      <w:pPr>
        <w:pBdr>
          <w:top w:val="nil"/>
          <w:left w:val="nil"/>
          <w:bottom w:val="nil"/>
          <w:right w:val="nil"/>
          <w:between w:val="nil"/>
        </w:pBdr>
        <w:ind w:left="720" w:right="-787"/>
        <w:rPr>
          <w:rFonts w:ascii="Palatino Linotype" w:eastAsia="Palatino Linotype" w:hAnsi="Palatino Linotype" w:cs="Palatino Linotype"/>
          <w:b/>
          <w:color w:val="000000"/>
        </w:rPr>
      </w:pPr>
    </w:p>
    <w:p w:rsidR="005555C4" w:rsidRPr="003B684E" w:rsidRDefault="002F1240">
      <w:pPr>
        <w:keepNext/>
        <w:keepLines/>
        <w:spacing w:line="360" w:lineRule="auto"/>
        <w:jc w:val="center"/>
        <w:rPr>
          <w:rFonts w:ascii="Palatino Linotype" w:eastAsia="Palatino Linotype" w:hAnsi="Palatino Linotype" w:cs="Palatino Linotype"/>
          <w:b/>
        </w:rPr>
      </w:pPr>
      <w:r w:rsidRPr="003B684E">
        <w:rPr>
          <w:rFonts w:ascii="Palatino Linotype" w:eastAsia="Palatino Linotype" w:hAnsi="Palatino Linotype" w:cs="Palatino Linotype"/>
          <w:b/>
        </w:rPr>
        <w:t xml:space="preserve">C O N S I D E R A N D O </w:t>
      </w:r>
    </w:p>
    <w:p w:rsidR="005555C4" w:rsidRPr="003B684E" w:rsidRDefault="005555C4">
      <w:pPr>
        <w:spacing w:line="360" w:lineRule="auto"/>
        <w:rPr>
          <w:rFonts w:ascii="Palatino Linotype" w:eastAsia="Palatino Linotype" w:hAnsi="Palatino Linotype" w:cs="Palatino Linotype"/>
        </w:rPr>
      </w:pPr>
    </w:p>
    <w:p w:rsidR="005555C4" w:rsidRPr="003B684E" w:rsidRDefault="002F1240">
      <w:pPr>
        <w:keepNext/>
        <w:keepLines/>
        <w:spacing w:line="360" w:lineRule="auto"/>
        <w:rPr>
          <w:rFonts w:ascii="Palatino Linotype" w:eastAsia="Palatino Linotype" w:hAnsi="Palatino Linotype" w:cs="Palatino Linotype"/>
          <w:b/>
        </w:rPr>
      </w:pPr>
      <w:r w:rsidRPr="003B684E">
        <w:rPr>
          <w:rFonts w:ascii="Palatino Linotype" w:eastAsia="Palatino Linotype" w:hAnsi="Palatino Linotype" w:cs="Palatino Linotype"/>
          <w:b/>
        </w:rPr>
        <w:t>PRIMERO. De la competencia</w:t>
      </w:r>
    </w:p>
    <w:p w:rsidR="007631B3" w:rsidRPr="003B684E" w:rsidRDefault="007631B3" w:rsidP="007631B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5555C4" w:rsidRPr="003B684E" w:rsidRDefault="005555C4">
      <w:pPr>
        <w:tabs>
          <w:tab w:val="left" w:pos="426"/>
        </w:tabs>
        <w:spacing w:line="360" w:lineRule="auto"/>
        <w:jc w:val="both"/>
        <w:rPr>
          <w:rFonts w:ascii="Palatino Linotype" w:eastAsia="Palatino Linotype" w:hAnsi="Palatino Linotype" w:cs="Palatino Linotype"/>
          <w:color w:val="000000"/>
        </w:rPr>
      </w:pPr>
    </w:p>
    <w:p w:rsidR="005555C4" w:rsidRPr="003B684E" w:rsidRDefault="002F1240">
      <w:pPr>
        <w:keepNext/>
        <w:keepLines/>
        <w:spacing w:line="360" w:lineRule="auto"/>
        <w:rPr>
          <w:rFonts w:ascii="Palatino Linotype" w:eastAsia="Palatino Linotype" w:hAnsi="Palatino Linotype" w:cs="Palatino Linotype"/>
          <w:b/>
        </w:rPr>
      </w:pPr>
      <w:r w:rsidRPr="003B684E">
        <w:rPr>
          <w:rFonts w:ascii="Palatino Linotype" w:eastAsia="Palatino Linotype" w:hAnsi="Palatino Linotype" w:cs="Palatino Linotype"/>
          <w:b/>
        </w:rPr>
        <w:t>SEGUNDO. De la oportunidad y procedencia.</w:t>
      </w:r>
    </w:p>
    <w:p w:rsidR="005555C4" w:rsidRPr="003B684E"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Los medios de impugnación fueron presentados a través del </w:t>
      </w:r>
      <w:r w:rsidRPr="003B684E">
        <w:rPr>
          <w:rFonts w:ascii="Palatino Linotype" w:eastAsia="Palatino Linotype" w:hAnsi="Palatino Linotype" w:cs="Palatino Linotype"/>
          <w:b/>
        </w:rPr>
        <w:t>SAIMEX,</w:t>
      </w:r>
      <w:r w:rsidRPr="003B684E">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3B684E">
        <w:rPr>
          <w:rFonts w:ascii="Palatino Linotype" w:eastAsia="Palatino Linotype" w:hAnsi="Palatino Linotype" w:cs="Palatino Linotype"/>
          <w:b/>
        </w:rPr>
        <w:t>SUJETO OBLIGADO</w:t>
      </w:r>
      <w:r w:rsidRPr="003B684E">
        <w:rPr>
          <w:rFonts w:ascii="Palatino Linotype" w:eastAsia="Palatino Linotype" w:hAnsi="Palatino Linotype" w:cs="Palatino Linotype"/>
        </w:rPr>
        <w:t xml:space="preserve"> entregó </w:t>
      </w:r>
      <w:r w:rsidRPr="003B684E">
        <w:rPr>
          <w:rFonts w:ascii="Palatino Linotype" w:eastAsia="Palatino Linotype" w:hAnsi="Palatino Linotype" w:cs="Palatino Linotype"/>
        </w:rPr>
        <w:lastRenderedPageBreak/>
        <w:t xml:space="preserve">respuestas el </w:t>
      </w:r>
      <w:r w:rsidR="001E735D" w:rsidRPr="003B684E">
        <w:rPr>
          <w:rFonts w:ascii="Palatino Linotype" w:eastAsia="Palatino Linotype" w:hAnsi="Palatino Linotype" w:cs="Palatino Linotype"/>
          <w:b/>
        </w:rPr>
        <w:t>veintiséis de febrero</w:t>
      </w:r>
      <w:r w:rsidR="00775FED" w:rsidRPr="003B684E">
        <w:rPr>
          <w:rFonts w:ascii="Palatino Linotype" w:eastAsia="Palatino Linotype" w:hAnsi="Palatino Linotype" w:cs="Palatino Linotype"/>
          <w:b/>
        </w:rPr>
        <w:t xml:space="preserve"> de dos mil veintiséis</w:t>
      </w:r>
      <w:r w:rsidRPr="003B684E">
        <w:rPr>
          <w:rFonts w:ascii="Palatino Linotype" w:eastAsia="Palatino Linotype" w:hAnsi="Palatino Linotype" w:cs="Palatino Linotype"/>
        </w:rPr>
        <w:t xml:space="preserve">, de tal forma que el plazo para interponer </w:t>
      </w:r>
      <w:r w:rsidR="002C213C" w:rsidRPr="003B684E">
        <w:rPr>
          <w:rFonts w:ascii="Palatino Linotype" w:eastAsia="Palatino Linotype" w:hAnsi="Palatino Linotype" w:cs="Palatino Linotype"/>
        </w:rPr>
        <w:t>los</w:t>
      </w:r>
      <w:r w:rsidRPr="003B684E">
        <w:rPr>
          <w:rFonts w:ascii="Palatino Linotype" w:eastAsia="Palatino Linotype" w:hAnsi="Palatino Linotype" w:cs="Palatino Linotype"/>
        </w:rPr>
        <w:t xml:space="preserve"> recurso</w:t>
      </w:r>
      <w:r w:rsidR="002C213C" w:rsidRPr="003B684E">
        <w:rPr>
          <w:rFonts w:ascii="Palatino Linotype" w:eastAsia="Palatino Linotype" w:hAnsi="Palatino Linotype" w:cs="Palatino Linotype"/>
        </w:rPr>
        <w:t>s</w:t>
      </w:r>
      <w:r w:rsidRPr="003B684E">
        <w:rPr>
          <w:rFonts w:ascii="Palatino Linotype" w:eastAsia="Palatino Linotype" w:hAnsi="Palatino Linotype" w:cs="Palatino Linotype"/>
        </w:rPr>
        <w:t xml:space="preserve"> transcurrió del </w:t>
      </w:r>
      <w:r w:rsidR="001E735D" w:rsidRPr="003B684E">
        <w:rPr>
          <w:rFonts w:ascii="Palatino Linotype" w:eastAsia="Palatino Linotype" w:hAnsi="Palatino Linotype" w:cs="Palatino Linotype"/>
          <w:b/>
        </w:rPr>
        <w:t>veintisiete de febrero al veintitrés de marzo de dos mil</w:t>
      </w:r>
      <w:r w:rsidR="00775FED" w:rsidRPr="003B684E">
        <w:rPr>
          <w:rFonts w:ascii="Palatino Linotype" w:eastAsia="Palatino Linotype" w:hAnsi="Palatino Linotype" w:cs="Palatino Linotype"/>
          <w:b/>
        </w:rPr>
        <w:t xml:space="preserve"> veintiséis </w:t>
      </w:r>
      <w:r w:rsidRPr="003B684E">
        <w:rPr>
          <w:rFonts w:ascii="Palatino Linotype" w:eastAsia="Palatino Linotype" w:hAnsi="Palatino Linotype" w:cs="Palatino Linotype"/>
          <w:b/>
        </w:rPr>
        <w:t xml:space="preserve">, </w:t>
      </w:r>
      <w:r w:rsidRPr="003B684E">
        <w:rPr>
          <w:rFonts w:ascii="Palatino Linotype" w:eastAsia="Palatino Linotype" w:hAnsi="Palatino Linotype" w:cs="Palatino Linotype"/>
        </w:rPr>
        <w:t xml:space="preserve">en consecuencia, si el </w:t>
      </w:r>
      <w:r w:rsidRPr="003B684E">
        <w:rPr>
          <w:rFonts w:ascii="Palatino Linotype" w:eastAsia="Palatino Linotype" w:hAnsi="Palatino Linotype" w:cs="Palatino Linotype"/>
          <w:b/>
        </w:rPr>
        <w:t>PARTICULAR</w:t>
      </w:r>
      <w:r w:rsidRPr="003B684E">
        <w:rPr>
          <w:rFonts w:ascii="Palatino Linotype" w:eastAsia="Palatino Linotype" w:hAnsi="Palatino Linotype" w:cs="Palatino Linotype"/>
        </w:rPr>
        <w:t xml:space="preserve"> presentó su</w:t>
      </w:r>
      <w:r w:rsidR="002C213C" w:rsidRPr="003B684E">
        <w:rPr>
          <w:rFonts w:ascii="Palatino Linotype" w:eastAsia="Palatino Linotype" w:hAnsi="Palatino Linotype" w:cs="Palatino Linotype"/>
        </w:rPr>
        <w:t>s</w:t>
      </w:r>
      <w:r w:rsidRPr="003B684E">
        <w:rPr>
          <w:rFonts w:ascii="Palatino Linotype" w:eastAsia="Palatino Linotype" w:hAnsi="Palatino Linotype" w:cs="Palatino Linotype"/>
        </w:rPr>
        <w:t xml:space="preserve"> inconformidad</w:t>
      </w:r>
      <w:r w:rsidR="002C213C" w:rsidRPr="003B684E">
        <w:rPr>
          <w:rFonts w:ascii="Palatino Linotype" w:eastAsia="Palatino Linotype" w:hAnsi="Palatino Linotype" w:cs="Palatino Linotype"/>
        </w:rPr>
        <w:t>es</w:t>
      </w:r>
      <w:r w:rsidRPr="003B684E">
        <w:rPr>
          <w:rFonts w:ascii="Palatino Linotype" w:eastAsia="Palatino Linotype" w:hAnsi="Palatino Linotype" w:cs="Palatino Linotype"/>
        </w:rPr>
        <w:t xml:space="preserve"> el </w:t>
      </w:r>
      <w:r w:rsidR="001E735D" w:rsidRPr="003B684E">
        <w:rPr>
          <w:rFonts w:ascii="Palatino Linotype" w:eastAsia="Palatino Linotype" w:hAnsi="Palatino Linotype" w:cs="Palatino Linotype"/>
          <w:b/>
        </w:rPr>
        <w:t>veintisiete de febrero de</w:t>
      </w:r>
      <w:r w:rsidR="00775FED" w:rsidRPr="003B684E">
        <w:rPr>
          <w:rFonts w:ascii="Palatino Linotype" w:eastAsia="Palatino Linotype" w:hAnsi="Palatino Linotype" w:cs="Palatino Linotype"/>
          <w:b/>
        </w:rPr>
        <w:t xml:space="preserve"> dos mil veintiséis</w:t>
      </w:r>
      <w:r w:rsidRPr="003B684E">
        <w:rPr>
          <w:rFonts w:ascii="Palatino Linotype" w:eastAsia="Palatino Linotype" w:hAnsi="Palatino Linotype" w:cs="Palatino Linotype"/>
        </w:rPr>
        <w:t xml:space="preserve">, este  se encuentra dentro de los márgenes temporales previstos en el artículo 178 de la </w:t>
      </w:r>
      <w:r w:rsidRPr="003B684E">
        <w:rPr>
          <w:rFonts w:ascii="Palatino Linotype" w:eastAsia="Palatino Linotype" w:hAnsi="Palatino Linotype" w:cs="Palatino Linotype"/>
          <w:b/>
        </w:rPr>
        <w:t xml:space="preserve">Ley de Transparencia y Acceso a la Información Pública del Estado de México y Municipios </w:t>
      </w:r>
      <w:r w:rsidRPr="003B684E">
        <w:rPr>
          <w:rFonts w:ascii="Palatino Linotype" w:eastAsia="Palatino Linotype" w:hAnsi="Palatino Linotype" w:cs="Palatino Linotype"/>
        </w:rPr>
        <w:t xml:space="preserve">vigente. </w:t>
      </w:r>
    </w:p>
    <w:p w:rsidR="005555C4" w:rsidRPr="003B684E" w:rsidRDefault="005555C4">
      <w:pPr>
        <w:spacing w:line="360" w:lineRule="auto"/>
        <w:ind w:right="49"/>
        <w:jc w:val="both"/>
        <w:rPr>
          <w:rFonts w:ascii="Palatino Linotype" w:eastAsia="Palatino Linotype" w:hAnsi="Palatino Linotype" w:cs="Palatino Linotype"/>
        </w:rPr>
      </w:pPr>
      <w:bookmarkStart w:id="5" w:name="_heading=h.2et92p0" w:colFirst="0" w:colLast="0"/>
      <w:bookmarkEnd w:id="5"/>
    </w:p>
    <w:p w:rsidR="005555C4" w:rsidRPr="003B684E" w:rsidRDefault="002F1240">
      <w:pPr>
        <w:pStyle w:val="Ttulo2"/>
        <w:rPr>
          <w:rFonts w:ascii="Palatino Linotype" w:eastAsia="Palatino Linotype" w:hAnsi="Palatino Linotype" w:cs="Palatino Linotype"/>
          <w:b/>
          <w:i/>
          <w:color w:val="000000"/>
          <w:sz w:val="24"/>
          <w:szCs w:val="24"/>
        </w:rPr>
      </w:pPr>
      <w:r w:rsidRPr="003B684E">
        <w:rPr>
          <w:rFonts w:ascii="Palatino Linotype" w:eastAsia="Palatino Linotype" w:hAnsi="Palatino Linotype" w:cs="Palatino Linotype"/>
          <w:b/>
          <w:color w:val="000000"/>
          <w:sz w:val="24"/>
          <w:szCs w:val="24"/>
        </w:rPr>
        <w:t xml:space="preserve">TERCERO. Del planteamiento de la </w:t>
      </w:r>
      <w:r w:rsidRPr="003B684E">
        <w:rPr>
          <w:rFonts w:ascii="Palatino Linotype" w:eastAsia="Palatino Linotype" w:hAnsi="Palatino Linotype" w:cs="Palatino Linotype"/>
          <w:b/>
          <w:i/>
          <w:color w:val="000000"/>
          <w:sz w:val="24"/>
          <w:szCs w:val="24"/>
        </w:rPr>
        <w:t>Litis.</w:t>
      </w:r>
    </w:p>
    <w:p w:rsidR="005555C4" w:rsidRPr="003B684E"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rPr>
        <w:t>Se</w:t>
      </w:r>
      <w:r w:rsidRPr="003B684E">
        <w:rPr>
          <w:rFonts w:ascii="Palatino Linotype" w:eastAsia="Palatino Linotype" w:hAnsi="Palatino Linotype" w:cs="Palatino Linotype"/>
          <w:color w:val="000000"/>
        </w:rPr>
        <w:t xml:space="preserve"> solicitó tener acceso, a la información que a continuación se simplifica:</w:t>
      </w:r>
    </w:p>
    <w:p w:rsidR="003D708A" w:rsidRPr="003B684E" w:rsidRDefault="003D708A" w:rsidP="003D708A">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061802" w:rsidRPr="003B684E" w:rsidRDefault="00061802" w:rsidP="00823B39">
      <w:pPr>
        <w:pStyle w:val="Prrafodelista"/>
        <w:numPr>
          <w:ilvl w:val="0"/>
          <w:numId w:val="36"/>
        </w:numPr>
        <w:pBdr>
          <w:top w:val="nil"/>
          <w:left w:val="nil"/>
          <w:bottom w:val="nil"/>
          <w:right w:val="nil"/>
          <w:between w:val="nil"/>
        </w:pBdr>
        <w:spacing w:line="360" w:lineRule="auto"/>
        <w:ind w:right="-787"/>
        <w:jc w:val="both"/>
        <w:rPr>
          <w:rFonts w:ascii="Palatino Linotype" w:eastAsia="Palatino Linotype" w:hAnsi="Palatino Linotype" w:cs="Palatino Linotype"/>
          <w:i/>
        </w:rPr>
      </w:pPr>
      <w:r w:rsidRPr="003B684E">
        <w:rPr>
          <w:rFonts w:ascii="Palatino Linotype" w:eastAsia="Palatino Linotype" w:hAnsi="Palatino Linotype" w:cs="Palatino Linotype"/>
          <w:i/>
        </w:rPr>
        <w:t>De</w:t>
      </w:r>
      <w:r w:rsidR="00823B39" w:rsidRPr="003B684E">
        <w:rPr>
          <w:rFonts w:ascii="Palatino Linotype" w:eastAsia="Palatino Linotype" w:hAnsi="Palatino Linotype" w:cs="Palatino Linotype"/>
          <w:i/>
        </w:rPr>
        <w:t xml:space="preserve"> los Recursos de Revisión 012908/INFOEM/IP/RR/2025, 012906/INFOEM/IP/RR/2025, 012902/INFOEM/IP/RR/2025, 012897/INFOEM/IP/RR/2025, 012892/INFOEM/IP/RR/2025 , 012863/INFOEM/IP/RR/2025, 012860/INFOEM/IP/RR/2025 , 012856/INFOEM/IP/RR/2025, 012851/INFOEM/IP/RR/2025 y 012668/INFOEM/IP/RR/2025</w:t>
      </w:r>
      <w:r w:rsidRPr="003B684E">
        <w:rPr>
          <w:rFonts w:ascii="Palatino Linotype" w:eastAsia="Palatino Linotype" w:hAnsi="Palatino Linotype" w:cs="Palatino Linotype"/>
          <w:i/>
        </w:rPr>
        <w:t>:</w:t>
      </w:r>
    </w:p>
    <w:p w:rsidR="00061802" w:rsidRPr="003B684E" w:rsidRDefault="00061802" w:rsidP="00061802">
      <w:pPr>
        <w:pBdr>
          <w:top w:val="nil"/>
          <w:left w:val="nil"/>
          <w:bottom w:val="nil"/>
          <w:right w:val="nil"/>
          <w:between w:val="nil"/>
        </w:pBdr>
        <w:spacing w:line="360" w:lineRule="auto"/>
        <w:ind w:right="-787"/>
        <w:jc w:val="both"/>
        <w:rPr>
          <w:rFonts w:ascii="Palatino Linotype" w:eastAsia="Palatino Linotype" w:hAnsi="Palatino Linotype" w:cs="Palatino Linotype"/>
          <w:i/>
          <w:color w:val="000000"/>
        </w:rPr>
      </w:pP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Solicitud de información que dio origen al recurso.</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 xml:space="preserve">Capturas de pantalla de los turnos de la solicitud de información a las áreas competentes. </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 xml:space="preserve">Índice de Información Reservada; </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 xml:space="preserve">Respuestas por parte de las áreas competentes, con anexos; </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Formato del Recurso de revisión;</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lastRenderedPageBreak/>
        <w:t>Oficios de turno de la Unidad de Transparencia del recurso de revisión a las áreas competentes;</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Informes de justificación rendidos por las áreas competentes;</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 xml:space="preserve">Resolución recaída al recurso de revisión. </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 xml:space="preserve">Oficios de notificación de la resolución a las áreas competentes. </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Documentos entregados como respuesta por las áreas competentes en cumplimiento a la resolución del recurso;</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Estado de cumplimiento o incumplimiento;</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 xml:space="preserve">Indicar si el asunto lo tiene la Contraloría del </w:t>
      </w:r>
      <w:r w:rsidRPr="003B684E">
        <w:rPr>
          <w:rFonts w:ascii="Palatino Linotype" w:eastAsia="Palatino Linotype" w:hAnsi="Palatino Linotype" w:cs="Palatino Linotype"/>
          <w:i/>
          <w:color w:val="000000" w:themeColor="text1"/>
        </w:rPr>
        <w:t>Instituto de Transparencia, Acceso a la Información Pública y Protección de Datos Personales del Estado de México y Municipios (INFOEM)</w:t>
      </w:r>
      <w:r w:rsidRPr="003B684E">
        <w:rPr>
          <w:rFonts w:ascii="Palatino Linotype" w:eastAsia="Palatino Linotype" w:hAnsi="Palatino Linotype" w:cs="Palatino Linotype"/>
          <w:i/>
          <w:color w:val="000000"/>
        </w:rPr>
        <w:t>;</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Indicar si el recurso genera alguna responsabilidad directa a algún funcionario público.</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 xml:space="preserve">Indicar si existe apercibimiento por parte del </w:t>
      </w:r>
      <w:r w:rsidRPr="003B684E">
        <w:rPr>
          <w:rFonts w:ascii="Palatino Linotype" w:eastAsia="Palatino Linotype" w:hAnsi="Palatino Linotype" w:cs="Palatino Linotype"/>
          <w:i/>
          <w:color w:val="000000" w:themeColor="text1"/>
        </w:rPr>
        <w:t>INFOEM</w:t>
      </w:r>
      <w:r w:rsidRPr="003B684E">
        <w:rPr>
          <w:rFonts w:ascii="Palatino Linotype" w:eastAsia="Palatino Linotype" w:hAnsi="Palatino Linotype" w:cs="Palatino Linotype"/>
          <w:i/>
          <w:color w:val="000000"/>
        </w:rPr>
        <w:t>;</w:t>
      </w:r>
    </w:p>
    <w:p w:rsidR="00981D52" w:rsidRPr="003B684E"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i/>
          <w:color w:val="000000"/>
        </w:rPr>
        <w:t>Indicar si el asunto se encuentra concluido o en proceso.</w:t>
      </w:r>
    </w:p>
    <w:p w:rsidR="00FD19FE" w:rsidRPr="003B684E" w:rsidRDefault="00FD19FE" w:rsidP="00FD19FE">
      <w:pPr>
        <w:pStyle w:val="Prrafodelista"/>
        <w:pBdr>
          <w:top w:val="nil"/>
          <w:left w:val="nil"/>
          <w:bottom w:val="nil"/>
          <w:right w:val="nil"/>
          <w:between w:val="nil"/>
        </w:pBdr>
        <w:ind w:left="1440" w:right="-788"/>
        <w:jc w:val="both"/>
        <w:rPr>
          <w:rFonts w:ascii="Palatino Linotype" w:eastAsia="Palatino Linotype" w:hAnsi="Palatino Linotype" w:cs="Palatino Linotype"/>
          <w:i/>
          <w:color w:val="000000"/>
        </w:rPr>
      </w:pPr>
    </w:p>
    <w:p w:rsidR="005555C4" w:rsidRPr="003B684E"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rPr>
        <w:t>En respuesta, el Sujeto Obligado</w:t>
      </w:r>
      <w:r w:rsidRPr="003B684E">
        <w:rPr>
          <w:rFonts w:ascii="Palatino Linotype" w:eastAsia="Palatino Linotype" w:hAnsi="Palatino Linotype" w:cs="Palatino Linotype"/>
          <w:b/>
        </w:rPr>
        <w:t xml:space="preserve"> </w:t>
      </w:r>
      <w:r w:rsidRPr="003B684E">
        <w:rPr>
          <w:rFonts w:ascii="Palatino Linotype" w:eastAsia="Palatino Linotype" w:hAnsi="Palatino Linotype" w:cs="Palatino Linotype"/>
        </w:rPr>
        <w:t xml:space="preserve">remitió </w:t>
      </w:r>
      <w:r w:rsidR="00125241" w:rsidRPr="003B684E">
        <w:rPr>
          <w:rFonts w:ascii="Palatino Linotype" w:eastAsia="Palatino Linotype" w:hAnsi="Palatino Linotype" w:cs="Palatino Linotype"/>
        </w:rPr>
        <w:t>los</w:t>
      </w:r>
      <w:r w:rsidRPr="003B684E">
        <w:rPr>
          <w:rFonts w:ascii="Palatino Linotype" w:eastAsia="Palatino Linotype" w:hAnsi="Palatino Linotype" w:cs="Palatino Linotype"/>
        </w:rPr>
        <w:t xml:space="preserve"> archivo</w:t>
      </w:r>
      <w:r w:rsidR="00125241" w:rsidRPr="003B684E">
        <w:rPr>
          <w:rFonts w:ascii="Palatino Linotype" w:eastAsia="Palatino Linotype" w:hAnsi="Palatino Linotype" w:cs="Palatino Linotype"/>
        </w:rPr>
        <w:t>s</w:t>
      </w:r>
      <w:r w:rsidRPr="003B684E">
        <w:rPr>
          <w:rFonts w:ascii="Palatino Linotype" w:eastAsia="Palatino Linotype" w:hAnsi="Palatino Linotype" w:cs="Palatino Linotype"/>
        </w:rPr>
        <w:t xml:space="preserve"> ya descritos en el anterior párrafo </w:t>
      </w:r>
      <w:r w:rsidR="00B36BB6" w:rsidRPr="003B684E">
        <w:rPr>
          <w:rFonts w:ascii="Palatino Linotype" w:eastAsia="Palatino Linotype" w:hAnsi="Palatino Linotype" w:cs="Palatino Linotype"/>
        </w:rPr>
        <w:t>3</w:t>
      </w:r>
      <w:r w:rsidRPr="003B684E">
        <w:rPr>
          <w:rFonts w:ascii="Palatino Linotype" w:eastAsia="Palatino Linotype" w:hAnsi="Palatino Linotype" w:cs="Palatino Linotype"/>
        </w:rPr>
        <w:t>, inconforme con la</w:t>
      </w:r>
      <w:r w:rsidR="00125241" w:rsidRPr="003B684E">
        <w:rPr>
          <w:rFonts w:ascii="Palatino Linotype" w:eastAsia="Palatino Linotype" w:hAnsi="Palatino Linotype" w:cs="Palatino Linotype"/>
        </w:rPr>
        <w:t>s</w:t>
      </w:r>
      <w:r w:rsidRPr="003B684E">
        <w:rPr>
          <w:rFonts w:ascii="Palatino Linotype" w:eastAsia="Palatino Linotype" w:hAnsi="Palatino Linotype" w:cs="Palatino Linotype"/>
        </w:rPr>
        <w:t xml:space="preserve"> respuesta</w:t>
      </w:r>
      <w:r w:rsidR="00125241" w:rsidRPr="003B684E">
        <w:rPr>
          <w:rFonts w:ascii="Palatino Linotype" w:eastAsia="Palatino Linotype" w:hAnsi="Palatino Linotype" w:cs="Palatino Linotype"/>
        </w:rPr>
        <w:t>s</w:t>
      </w:r>
      <w:r w:rsidRPr="003B684E">
        <w:rPr>
          <w:rFonts w:ascii="Palatino Linotype" w:eastAsia="Palatino Linotype" w:hAnsi="Palatino Linotype" w:cs="Palatino Linotype"/>
        </w:rPr>
        <w:t xml:space="preserve">, se </w:t>
      </w:r>
      <w:r w:rsidR="00125241" w:rsidRPr="003B684E">
        <w:rPr>
          <w:rFonts w:ascii="Palatino Linotype" w:eastAsia="Palatino Linotype" w:hAnsi="Palatino Linotype" w:cs="Palatino Linotype"/>
        </w:rPr>
        <w:t xml:space="preserve">interpusieron </w:t>
      </w:r>
      <w:r w:rsidRPr="003B684E">
        <w:rPr>
          <w:rFonts w:ascii="Palatino Linotype" w:eastAsia="Palatino Linotype" w:hAnsi="Palatino Linotype" w:cs="Palatino Linotype"/>
        </w:rPr>
        <w:t>recurso</w:t>
      </w:r>
      <w:r w:rsidR="00125241" w:rsidRPr="003B684E">
        <w:rPr>
          <w:rFonts w:ascii="Palatino Linotype" w:eastAsia="Palatino Linotype" w:hAnsi="Palatino Linotype" w:cs="Palatino Linotype"/>
        </w:rPr>
        <w:t>s</w:t>
      </w:r>
      <w:r w:rsidRPr="003B684E">
        <w:rPr>
          <w:rFonts w:ascii="Palatino Linotype" w:eastAsia="Palatino Linotype" w:hAnsi="Palatino Linotype" w:cs="Palatino Linotype"/>
        </w:rPr>
        <w:t xml:space="preserve"> de revisión argumentando sustancialment</w:t>
      </w:r>
      <w:r w:rsidR="00125241" w:rsidRPr="003B684E">
        <w:rPr>
          <w:rFonts w:ascii="Palatino Linotype" w:eastAsia="Palatino Linotype" w:hAnsi="Palatino Linotype" w:cs="Palatino Linotype"/>
        </w:rPr>
        <w:t xml:space="preserve">e la </w:t>
      </w:r>
      <w:r w:rsidR="00D75C06" w:rsidRPr="003B684E">
        <w:rPr>
          <w:rFonts w:ascii="Palatino Linotype" w:eastAsia="Palatino Linotype" w:hAnsi="Palatino Linotype" w:cs="Palatino Linotype"/>
        </w:rPr>
        <w:t>entrega de información incompleta.</w:t>
      </w:r>
    </w:p>
    <w:p w:rsidR="005555C4" w:rsidRPr="003B684E" w:rsidRDefault="005555C4">
      <w:pPr>
        <w:ind w:left="720" w:right="-788"/>
        <w:jc w:val="both"/>
        <w:rPr>
          <w:rFonts w:ascii="Palatino Linotype" w:eastAsia="Palatino Linotype" w:hAnsi="Palatino Linotype" w:cs="Palatino Linotype"/>
          <w:i/>
          <w:color w:val="000000"/>
        </w:rPr>
      </w:pPr>
    </w:p>
    <w:p w:rsidR="005555C4" w:rsidRPr="003B684E" w:rsidRDefault="002F1240">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Pr="003B684E">
        <w:rPr>
          <w:rFonts w:ascii="Palatino Linotype" w:eastAsia="Palatino Linotype" w:hAnsi="Palatino Linotype" w:cs="Palatino Linotype"/>
          <w:b/>
        </w:rPr>
        <w:t xml:space="preserve">artículo 179, </w:t>
      </w:r>
      <w:r w:rsidR="00E82A5E" w:rsidRPr="003B684E">
        <w:rPr>
          <w:rFonts w:ascii="Palatino Linotype" w:eastAsia="Palatino Linotype" w:hAnsi="Palatino Linotype" w:cs="Palatino Linotype"/>
          <w:b/>
        </w:rPr>
        <w:t>fracción</w:t>
      </w:r>
      <w:r w:rsidR="00125241" w:rsidRPr="003B684E">
        <w:rPr>
          <w:rFonts w:ascii="Palatino Linotype" w:eastAsia="Palatino Linotype" w:hAnsi="Palatino Linotype" w:cs="Palatino Linotype"/>
          <w:b/>
        </w:rPr>
        <w:t xml:space="preserve"> V</w:t>
      </w:r>
      <w:r w:rsidRPr="003B684E">
        <w:rPr>
          <w:rFonts w:ascii="Palatino Linotype" w:eastAsia="Palatino Linotype" w:hAnsi="Palatino Linotype" w:cs="Palatino Linotype"/>
          <w:b/>
        </w:rPr>
        <w:t xml:space="preserve">, de </w:t>
      </w:r>
      <w:r w:rsidRPr="003B684E">
        <w:rPr>
          <w:rFonts w:ascii="Palatino Linotype" w:eastAsia="Palatino Linotype" w:hAnsi="Palatino Linotype" w:cs="Palatino Linotype"/>
          <w:b/>
        </w:rPr>
        <w:lastRenderedPageBreak/>
        <w:t>la Ley de Transparencia y Acceso a la Información Pública del Estado de México y Municipios</w:t>
      </w:r>
      <w:r w:rsidRPr="003B684E">
        <w:rPr>
          <w:rFonts w:ascii="Palatino Linotype" w:eastAsia="Palatino Linotype" w:hAnsi="Palatino Linotype" w:cs="Palatino Linotype"/>
        </w:rPr>
        <w:t xml:space="preserve">; </w:t>
      </w:r>
      <w:r w:rsidR="00E82A5E" w:rsidRPr="003B684E">
        <w:rPr>
          <w:rFonts w:ascii="Palatino Linotype" w:eastAsia="Palatino Linotype" w:hAnsi="Palatino Linotype" w:cs="Palatino Linotype"/>
          <w:color w:val="000000"/>
        </w:rPr>
        <w:t>fracción</w:t>
      </w:r>
      <w:r w:rsidRPr="003B684E">
        <w:rPr>
          <w:rFonts w:ascii="Palatino Linotype" w:eastAsia="Palatino Linotype" w:hAnsi="Palatino Linotype" w:cs="Palatino Linotype"/>
          <w:color w:val="000000"/>
        </w:rPr>
        <w:t xml:space="preserve"> que determina la</w:t>
      </w:r>
      <w:r w:rsidR="00125241" w:rsidRPr="003B684E">
        <w:rPr>
          <w:rFonts w:ascii="Palatino Linotype" w:eastAsia="Palatino Linotype" w:hAnsi="Palatino Linotype" w:cs="Palatino Linotype"/>
          <w:color w:val="000000"/>
        </w:rPr>
        <w:t>s</w:t>
      </w:r>
      <w:r w:rsidRPr="003B684E">
        <w:rPr>
          <w:rFonts w:ascii="Palatino Linotype" w:eastAsia="Palatino Linotype" w:hAnsi="Palatino Linotype" w:cs="Palatino Linotype"/>
          <w:color w:val="000000"/>
        </w:rPr>
        <w:t xml:space="preserve"> </w:t>
      </w:r>
      <w:r w:rsidRPr="003B684E">
        <w:rPr>
          <w:rFonts w:ascii="Palatino Linotype" w:eastAsia="Palatino Linotype" w:hAnsi="Palatino Linotype" w:cs="Palatino Linotype"/>
          <w:b/>
          <w:color w:val="000000"/>
        </w:rPr>
        <w:t>hipótesis relativa</w:t>
      </w:r>
      <w:r w:rsidR="00125241" w:rsidRPr="003B684E">
        <w:rPr>
          <w:rFonts w:ascii="Palatino Linotype" w:eastAsia="Palatino Linotype" w:hAnsi="Palatino Linotype" w:cs="Palatino Linotype"/>
          <w:b/>
          <w:color w:val="000000"/>
        </w:rPr>
        <w:t>s</w:t>
      </w:r>
      <w:r w:rsidRPr="003B684E">
        <w:rPr>
          <w:rFonts w:ascii="Palatino Linotype" w:eastAsia="Palatino Linotype" w:hAnsi="Palatino Linotype" w:cs="Palatino Linotype"/>
          <w:b/>
          <w:color w:val="000000"/>
        </w:rPr>
        <w:t xml:space="preserve"> a </w:t>
      </w:r>
      <w:r w:rsidR="00125241" w:rsidRPr="003B684E">
        <w:rPr>
          <w:rFonts w:ascii="Palatino Linotype" w:eastAsia="Palatino Linotype" w:hAnsi="Palatino Linotype" w:cs="Palatino Linotype"/>
          <w:b/>
          <w:color w:val="000000"/>
        </w:rPr>
        <w:t>la entrega de información incompleta</w:t>
      </w:r>
      <w:r w:rsidRPr="003B684E">
        <w:rPr>
          <w:rFonts w:ascii="Palatino Linotype" w:eastAsia="Palatino Linotype" w:hAnsi="Palatino Linotype" w:cs="Palatino Linotype"/>
          <w:color w:val="000000"/>
        </w:rPr>
        <w:t xml:space="preserve">; </w:t>
      </w:r>
      <w:r w:rsidRPr="003B684E">
        <w:rPr>
          <w:rFonts w:ascii="Palatino Linotype" w:eastAsia="Palatino Linotype" w:hAnsi="Palatino Linotype" w:cs="Palatino Linotype"/>
        </w:rPr>
        <w:t>contexto del cual se dolió el Recurrente al momento de interponer su inconformidad.</w:t>
      </w:r>
      <w:r w:rsidRPr="003B684E">
        <w:rPr>
          <w:rFonts w:ascii="Palatino Linotype" w:eastAsia="Palatino Linotype" w:hAnsi="Palatino Linotype" w:cs="Palatino Linotype"/>
          <w:color w:val="000000"/>
        </w:rPr>
        <w:t xml:space="preserve"> De modo tal que el presente recurso de revisión se </w:t>
      </w:r>
      <w:r w:rsidRPr="003B684E">
        <w:rPr>
          <w:rFonts w:ascii="Palatino Linotype" w:eastAsia="Palatino Linotype" w:hAnsi="Palatino Linotype" w:cs="Palatino Linotype"/>
        </w:rPr>
        <w:t>abocará</w:t>
      </w:r>
      <w:r w:rsidRPr="003B684E">
        <w:rPr>
          <w:rFonts w:ascii="Palatino Linotype" w:eastAsia="Palatino Linotype" w:hAnsi="Palatino Linotype" w:cs="Palatino Linotype"/>
          <w:color w:val="000000"/>
        </w:rPr>
        <w:t xml:space="preserve"> en determinar si el Sujeto Obligado con sus respuestas ciertamente actualiza la causal de procedencia</w:t>
      </w:r>
      <w:r w:rsidRPr="003B684E">
        <w:rPr>
          <w:rFonts w:ascii="Palatino Linotype" w:eastAsia="Palatino Linotype" w:hAnsi="Palatino Linotype" w:cs="Palatino Linotype"/>
          <w:b/>
          <w:color w:val="000000"/>
        </w:rPr>
        <w:t xml:space="preserve"> </w:t>
      </w:r>
      <w:r w:rsidRPr="003B684E">
        <w:rPr>
          <w:rFonts w:ascii="Palatino Linotype" w:eastAsia="Palatino Linotype" w:hAnsi="Palatino Linotype" w:cs="Palatino Linotype"/>
          <w:color w:val="000000"/>
        </w:rPr>
        <w:t xml:space="preserve">señalada. </w:t>
      </w:r>
    </w:p>
    <w:p w:rsidR="005555C4" w:rsidRPr="003B684E" w:rsidRDefault="005555C4">
      <w:pPr>
        <w:spacing w:line="360" w:lineRule="auto"/>
        <w:ind w:right="-787"/>
        <w:rPr>
          <w:rFonts w:ascii="Palatino Linotype" w:eastAsia="Palatino Linotype" w:hAnsi="Palatino Linotype" w:cs="Palatino Linotype"/>
        </w:rPr>
      </w:pPr>
    </w:p>
    <w:p w:rsidR="005555C4" w:rsidRPr="003B684E" w:rsidRDefault="002F1240">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3B684E">
        <w:rPr>
          <w:rFonts w:ascii="Palatino Linotype" w:eastAsia="Palatino Linotype" w:hAnsi="Palatino Linotype" w:cs="Palatino Linotype"/>
          <w:b/>
          <w:color w:val="000000"/>
          <w:sz w:val="24"/>
          <w:szCs w:val="24"/>
        </w:rPr>
        <w:t>CUARTO. Del estudio y resolución del asunto.</w:t>
      </w:r>
    </w:p>
    <w:p w:rsidR="005555C4" w:rsidRPr="003B684E" w:rsidRDefault="002F1240">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2F1240">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555C4" w:rsidRPr="003B684E" w:rsidRDefault="005555C4">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5555C4" w:rsidRPr="003B684E" w:rsidRDefault="002F1240">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w:t>
      </w:r>
      <w:r w:rsidRPr="003B684E">
        <w:rPr>
          <w:rFonts w:ascii="Palatino Linotype" w:eastAsia="Palatino Linotype" w:hAnsi="Palatino Linotype" w:cs="Palatino Linotype"/>
        </w:rPr>
        <w:lastRenderedPageBreak/>
        <w:t>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2F1240">
      <w:pPr>
        <w:numPr>
          <w:ilvl w:val="0"/>
          <w:numId w:val="5"/>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3B684E">
        <w:rPr>
          <w:rFonts w:ascii="Palatino Linotype" w:eastAsia="Palatino Linotype" w:hAnsi="Palatino Linotype" w:cs="Palatino Linotype"/>
          <w:b/>
          <w:color w:val="000000"/>
        </w:rPr>
        <w:t>Del Sujeto Obligado.</w:t>
      </w:r>
    </w:p>
    <w:p w:rsidR="00263E65" w:rsidRPr="003B684E" w:rsidRDefault="00263E65" w:rsidP="00263E65">
      <w:pPr>
        <w:numPr>
          <w:ilvl w:val="0"/>
          <w:numId w:val="2"/>
        </w:numPr>
        <w:spacing w:line="360" w:lineRule="auto"/>
        <w:ind w:left="0" w:right="-787" w:firstLine="0"/>
        <w:jc w:val="both"/>
      </w:pPr>
      <w:r w:rsidRPr="003B684E">
        <w:rPr>
          <w:rFonts w:ascii="Palatino Linotype" w:eastAsia="Palatino Linotype" w:hAnsi="Palatino Linotype" w:cs="Palatino Linotype"/>
        </w:rPr>
        <w:t>El ejercicio del gobierno municipal se deposita en un cuerpo colegiado denominado Ayuntamiento. La ejecución de las atribuciones corresponde al Presidente Municipal, quien dirige la Administración Pública Municipal, misma que será centralizada, descentralizada y autónoma, y se auxiliará de diversas dependencias, organismos descentralizados y órganos autónomos, , de conformidad con el artículo 90, del Bando Municipal 2025:</w:t>
      </w:r>
    </w:p>
    <w:p w:rsidR="00263E65" w:rsidRPr="003B684E" w:rsidRDefault="00263E65" w:rsidP="00263E65">
      <w:pPr>
        <w:ind w:left="567" w:right="-220"/>
        <w:jc w:val="center"/>
        <w:rPr>
          <w:rFonts w:ascii="Palatino Linotype" w:eastAsia="Palatino Linotype" w:hAnsi="Palatino Linotype" w:cs="Palatino Linotype"/>
          <w:b/>
          <w:i/>
        </w:rPr>
      </w:pPr>
      <w:r w:rsidRPr="003B684E">
        <w:rPr>
          <w:rFonts w:ascii="Palatino Linotype" w:eastAsia="Palatino Linotype" w:hAnsi="Palatino Linotype" w:cs="Palatino Linotype"/>
          <w:b/>
          <w:i/>
        </w:rPr>
        <w:t>Bando Municipal 2025</w:t>
      </w:r>
    </w:p>
    <w:p w:rsidR="00263E65" w:rsidRPr="003B684E" w:rsidRDefault="00263E65" w:rsidP="00263E65">
      <w:pPr>
        <w:ind w:left="567" w:right="-220"/>
        <w:jc w:val="center"/>
        <w:rPr>
          <w:rFonts w:ascii="Palatino Linotype" w:eastAsia="Palatino Linotype" w:hAnsi="Palatino Linotype" w:cs="Palatino Linotype"/>
          <w:b/>
          <w:i/>
        </w:rPr>
      </w:pP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b/>
          <w:i/>
        </w:rPr>
        <w:t xml:space="preserve">Artículo 90. </w:t>
      </w:r>
      <w:r w:rsidRPr="003B684E">
        <w:rPr>
          <w:rFonts w:ascii="Palatino Linotype" w:eastAsia="Palatino Linotype" w:hAnsi="Palatino Linotype" w:cs="Palatino Linotype"/>
          <w:i/>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263E65" w:rsidRPr="003B684E" w:rsidRDefault="00263E65" w:rsidP="00263E65">
      <w:pPr>
        <w:ind w:left="567" w:right="-788"/>
        <w:jc w:val="both"/>
        <w:rPr>
          <w:rFonts w:ascii="Palatino Linotype" w:eastAsia="Palatino Linotype" w:hAnsi="Palatino Linotype" w:cs="Palatino Linotype"/>
          <w:i/>
        </w:rPr>
      </w:pPr>
    </w:p>
    <w:p w:rsidR="00263E65" w:rsidRPr="003B684E" w:rsidRDefault="00263E65" w:rsidP="00263E65">
      <w:pPr>
        <w:ind w:left="567" w:right="-788"/>
        <w:jc w:val="both"/>
        <w:rPr>
          <w:rFonts w:ascii="Palatino Linotype" w:eastAsia="Palatino Linotype" w:hAnsi="Palatino Linotype" w:cs="Palatino Linotype"/>
          <w:b/>
          <w:i/>
        </w:rPr>
      </w:pPr>
      <w:r w:rsidRPr="003B684E">
        <w:rPr>
          <w:rFonts w:ascii="Palatino Linotype" w:eastAsia="Palatino Linotype" w:hAnsi="Palatino Linotype" w:cs="Palatino Linotype"/>
          <w:b/>
          <w:i/>
        </w:rPr>
        <w:t xml:space="preserve">I. DEPENDENCIAS: </w:t>
      </w:r>
    </w:p>
    <w:p w:rsidR="00263E65" w:rsidRPr="003B684E" w:rsidRDefault="00263E65" w:rsidP="00263E65">
      <w:pPr>
        <w:ind w:left="567" w:right="-788"/>
        <w:jc w:val="both"/>
        <w:rPr>
          <w:rFonts w:ascii="Palatino Linotype" w:eastAsia="Palatino Linotype" w:hAnsi="Palatino Linotype" w:cs="Palatino Linotype"/>
          <w:b/>
          <w:i/>
        </w:rPr>
      </w:pPr>
      <w:r w:rsidRPr="003B684E">
        <w:rPr>
          <w:rFonts w:ascii="Palatino Linotype" w:eastAsia="Palatino Linotype" w:hAnsi="Palatino Linotype" w:cs="Palatino Linotype"/>
          <w:b/>
          <w:i/>
        </w:rPr>
        <w:t xml:space="preserve">1. Secretaría del Ayuntamiento;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2. Tesorería Municipal;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3. Órgano Interno de Control;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4. Dirección General de Gobierno;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5. Dirección General de Seguridad y Protección;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lastRenderedPageBreak/>
        <w:t xml:space="preserve">6. Dirección General de Administración;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7. Dirección General de Medio Ambiente;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8. Dirección General de Servicios Públicos;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9. Dirección General de Innovación, Planeación y Gestión Urbana;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10. Dirección General de Obras Públicas;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11. Dirección General de Desarrollo Económico;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12. Dirección General de Bienestar; y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13. Dirección General de Educación, Cultura y Turismo.</w:t>
      </w:r>
    </w:p>
    <w:p w:rsidR="00263E65" w:rsidRPr="003B684E" w:rsidRDefault="00263E65" w:rsidP="00263E65">
      <w:pPr>
        <w:ind w:left="567" w:right="-788"/>
        <w:jc w:val="both"/>
        <w:rPr>
          <w:rFonts w:ascii="Palatino Linotype" w:eastAsia="Palatino Linotype" w:hAnsi="Palatino Linotype" w:cs="Palatino Linotype"/>
          <w:i/>
        </w:rPr>
      </w:pPr>
    </w:p>
    <w:p w:rsidR="00263E65" w:rsidRPr="003B684E" w:rsidRDefault="00263E65" w:rsidP="00263E65">
      <w:pPr>
        <w:ind w:left="567" w:right="-788"/>
        <w:jc w:val="both"/>
        <w:rPr>
          <w:rFonts w:ascii="Palatino Linotype" w:eastAsia="Palatino Linotype" w:hAnsi="Palatino Linotype" w:cs="Palatino Linotype"/>
          <w:b/>
          <w:i/>
        </w:rPr>
      </w:pPr>
      <w:r w:rsidRPr="003B684E">
        <w:rPr>
          <w:rFonts w:ascii="Palatino Linotype" w:eastAsia="Palatino Linotype" w:hAnsi="Palatino Linotype" w:cs="Palatino Linotype"/>
          <w:b/>
          <w:i/>
        </w:rPr>
        <w:t xml:space="preserve">II. ORGANISMOS DESCENTRALIZADOS: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1. Sistema Municipal para el Desarrollo Integral de la Familia de Toluca;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2. Instituto Municipal de Cultura Física y Deporte de Toluca;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3. Instituto Municipal de la Mujer de Toluca; y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4. Organismo Agua y Saneamiento de Toluca. </w:t>
      </w:r>
    </w:p>
    <w:p w:rsidR="00263E65" w:rsidRPr="003B684E" w:rsidRDefault="00263E65" w:rsidP="00263E65">
      <w:pPr>
        <w:ind w:left="567" w:right="-788"/>
        <w:jc w:val="both"/>
        <w:rPr>
          <w:rFonts w:ascii="Palatino Linotype" w:eastAsia="Palatino Linotype" w:hAnsi="Palatino Linotype" w:cs="Palatino Linotype"/>
          <w:i/>
        </w:rPr>
      </w:pPr>
    </w:p>
    <w:p w:rsidR="00263E65" w:rsidRPr="003B684E" w:rsidRDefault="00263E65" w:rsidP="00263E65">
      <w:pPr>
        <w:ind w:left="567" w:right="-788"/>
        <w:jc w:val="both"/>
        <w:rPr>
          <w:rFonts w:ascii="Palatino Linotype" w:eastAsia="Palatino Linotype" w:hAnsi="Palatino Linotype" w:cs="Palatino Linotype"/>
          <w:b/>
          <w:i/>
        </w:rPr>
      </w:pPr>
      <w:r w:rsidRPr="003B684E">
        <w:rPr>
          <w:rFonts w:ascii="Palatino Linotype" w:eastAsia="Palatino Linotype" w:hAnsi="Palatino Linotype" w:cs="Palatino Linotype"/>
          <w:b/>
          <w:i/>
        </w:rPr>
        <w:t xml:space="preserve">III. ÓRGANO AUTÓNOMO: </w:t>
      </w:r>
    </w:p>
    <w:p w:rsidR="00263E65" w:rsidRPr="003B684E" w:rsidRDefault="00263E65" w:rsidP="00263E65">
      <w:pPr>
        <w:ind w:left="567" w:right="-788"/>
        <w:jc w:val="both"/>
        <w:rPr>
          <w:rFonts w:ascii="Palatino Linotype" w:eastAsia="Palatino Linotype" w:hAnsi="Palatino Linotype" w:cs="Palatino Linotype"/>
          <w:i/>
        </w:rPr>
      </w:pPr>
      <w:r w:rsidRPr="003B684E">
        <w:rPr>
          <w:rFonts w:ascii="Palatino Linotype" w:eastAsia="Palatino Linotype" w:hAnsi="Palatino Linotype" w:cs="Palatino Linotype"/>
          <w:i/>
        </w:rPr>
        <w:t>1. Defensoría Municipal de los Derechos Humanos de Toluca.</w:t>
      </w:r>
    </w:p>
    <w:p w:rsidR="00263E65" w:rsidRPr="003B684E" w:rsidRDefault="00263E65" w:rsidP="00263E65">
      <w:pPr>
        <w:spacing w:line="360" w:lineRule="auto"/>
        <w:ind w:right="-787"/>
        <w:jc w:val="both"/>
      </w:pPr>
    </w:p>
    <w:p w:rsidR="00263E65" w:rsidRPr="003B684E" w:rsidRDefault="00263E65" w:rsidP="00263E65">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La </w:t>
      </w:r>
      <w:r w:rsidRPr="003B684E">
        <w:rPr>
          <w:rFonts w:ascii="Palatino Linotype" w:eastAsia="Palatino Linotype" w:hAnsi="Palatino Linotype" w:cs="Palatino Linotype"/>
          <w:b/>
        </w:rPr>
        <w:t>Secretaría del Ayuntamiento</w:t>
      </w:r>
      <w:r w:rsidRPr="003B684E">
        <w:rPr>
          <w:rFonts w:ascii="Palatino Linotype" w:eastAsia="Palatino Linotype" w:hAnsi="Palatino Linotype" w:cs="Palatino Linotype"/>
        </w:rPr>
        <w:t xml:space="preserve">, tiene como objetivo </w:t>
      </w:r>
      <w:r w:rsidRPr="003B684E">
        <w:rPr>
          <w:rFonts w:ascii="Palatino Linotype" w:eastAsia="Palatino Linotype" w:hAnsi="Palatino Linotype" w:cs="Palatino Linotype"/>
          <w:b/>
        </w:rPr>
        <w:t xml:space="preserve"> </w:t>
      </w:r>
      <w:r w:rsidRPr="003B684E">
        <w:rPr>
          <w:rFonts w:ascii="Palatino Linotype" w:eastAsia="Palatino Linotype" w:hAnsi="Palatino Linotype" w:cs="Palatino Linotype"/>
        </w:rPr>
        <w:t>planear, organizar y dirigir las responsabilidades del gobierno municipal en materia de planeación del desarrollo; transparencia y acceso ciudadano a la información pública; desarrollo institucional; operación y funcionamiento de las autoridades auxiliares. Asimismo, planear, supervisar y coordinar la asesoría y consulta jurídica que requieran las unidades administrativas y la impartición de justicia administrativa en el municipio, de conformidad con lo establecido en el Manual General de Organización del Sector Central de la Administración Pública Municipal de Toluca.</w:t>
      </w:r>
    </w:p>
    <w:p w:rsidR="00263E65" w:rsidRPr="003B684E" w:rsidRDefault="00263E65" w:rsidP="00263E65">
      <w:pPr>
        <w:spacing w:line="360" w:lineRule="auto"/>
        <w:ind w:right="-787"/>
        <w:jc w:val="both"/>
        <w:rPr>
          <w:rFonts w:ascii="Palatino Linotype" w:eastAsia="Palatino Linotype" w:hAnsi="Palatino Linotype" w:cs="Palatino Linotype"/>
        </w:rPr>
      </w:pPr>
    </w:p>
    <w:p w:rsidR="00263E65" w:rsidRPr="003B684E" w:rsidRDefault="00263E65" w:rsidP="00263E65">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Asimismo, dentro de las unidades administrativas que conforman la Secretaría del Ayuntamiento se encuentra la </w:t>
      </w:r>
      <w:r w:rsidRPr="003B684E">
        <w:rPr>
          <w:rFonts w:ascii="Palatino Linotype" w:eastAsia="Palatino Linotype" w:hAnsi="Palatino Linotype" w:cs="Palatino Linotype"/>
          <w:b/>
        </w:rPr>
        <w:t xml:space="preserve">Unidad de Transparencia, </w:t>
      </w:r>
      <w:r w:rsidRPr="003B684E">
        <w:rPr>
          <w:rFonts w:ascii="Palatino Linotype" w:eastAsia="Palatino Linotype" w:hAnsi="Palatino Linotype" w:cs="Palatino Linotype"/>
        </w:rPr>
        <w:t xml:space="preserve">misma que tiene como objetivo Tutelar y garantizar a toda persona el ejercicio del derecho humano de acceso a la información </w:t>
      </w:r>
      <w:r w:rsidRPr="003B684E">
        <w:rPr>
          <w:rFonts w:ascii="Palatino Linotype" w:eastAsia="Palatino Linotype" w:hAnsi="Palatino Linotype" w:cs="Palatino Linotype"/>
        </w:rPr>
        <w:lastRenderedPageBreak/>
        <w:t>pública privilegiando el principio de máxima publicidad de la información; garantizando la protección de los datos personales en poder del Sujeto Obligado; así como el derecho al acceso, rectificación, cancelación y oposición de los datos personales. Además de promover la transparencia de la gestión pública y la rendición de cuentas como una herramienta esencial para ejercer el control democrático y eficiente de la administración pública municipal, de conformidad con el Manual de Organización de la Secretaría del Ayuntamiento.</w:t>
      </w:r>
    </w:p>
    <w:p w:rsidR="00263E65" w:rsidRPr="003B684E" w:rsidRDefault="00263E65" w:rsidP="00263E65">
      <w:pPr>
        <w:spacing w:line="360" w:lineRule="auto"/>
        <w:ind w:right="-787"/>
        <w:jc w:val="both"/>
        <w:rPr>
          <w:rFonts w:ascii="Palatino Linotype" w:eastAsia="Palatino Linotype" w:hAnsi="Palatino Linotype" w:cs="Palatino Linotype"/>
        </w:rPr>
      </w:pPr>
    </w:p>
    <w:p w:rsidR="00263E65" w:rsidRPr="003B684E" w:rsidRDefault="00263E65" w:rsidP="00263E65">
      <w:pPr>
        <w:numPr>
          <w:ilvl w:val="0"/>
          <w:numId w:val="2"/>
        </w:numPr>
        <w:spacing w:line="360" w:lineRule="auto"/>
        <w:ind w:left="0" w:right="-787" w:firstLine="0"/>
        <w:jc w:val="both"/>
      </w:pPr>
      <w:r w:rsidRPr="003B684E">
        <w:rPr>
          <w:rFonts w:ascii="Palatino Linotype" w:eastAsia="Palatino Linotype" w:hAnsi="Palatino Linotype" w:cs="Palatino Linotype"/>
        </w:rPr>
        <w:t xml:space="preserve">De lo expuesto es de precisar que la respuesta fue emitida por la </w:t>
      </w:r>
      <w:r w:rsidRPr="003B684E">
        <w:rPr>
          <w:rFonts w:ascii="Palatino Linotype" w:eastAsia="Palatino Linotype" w:hAnsi="Palatino Linotype" w:cs="Palatino Linotype"/>
          <w:b/>
        </w:rPr>
        <w:t>Unidad de Transparencia</w:t>
      </w:r>
      <w:r w:rsidRPr="003B684E">
        <w:rPr>
          <w:rFonts w:ascii="Palatino Linotype" w:eastAsia="Palatino Linotype" w:hAnsi="Palatino Linotype" w:cs="Palatino Linotype"/>
        </w:rPr>
        <w:t xml:space="preserve">, por lo que podemos advertir que </w:t>
      </w:r>
      <w:r w:rsidRPr="003B684E">
        <w:rPr>
          <w:rFonts w:ascii="Palatino Linotype" w:eastAsia="Palatino Linotype" w:hAnsi="Palatino Linotype" w:cs="Palatino Linotype"/>
          <w:b/>
        </w:rPr>
        <w:t xml:space="preserve">EL SUJETO OBLIGADO </w:t>
      </w:r>
      <w:r w:rsidRPr="003B684E">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263E65" w:rsidRPr="003B684E" w:rsidRDefault="00263E65" w:rsidP="00263E65">
      <w:pPr>
        <w:spacing w:line="360" w:lineRule="auto"/>
        <w:ind w:right="-787"/>
        <w:jc w:val="both"/>
      </w:pPr>
    </w:p>
    <w:p w:rsidR="00263E65" w:rsidRPr="003B684E" w:rsidRDefault="00263E65" w:rsidP="00263E65">
      <w:pPr>
        <w:ind w:left="567" w:right="62"/>
        <w:jc w:val="both"/>
        <w:rPr>
          <w:rFonts w:ascii="Palatino Linotype" w:eastAsia="Palatino Linotype" w:hAnsi="Palatino Linotype" w:cs="Palatino Linotype"/>
          <w:i/>
        </w:rPr>
      </w:pPr>
      <w:r w:rsidRPr="003B684E">
        <w:rPr>
          <w:rFonts w:ascii="Palatino Linotype" w:eastAsia="Palatino Linotype" w:hAnsi="Palatino Linotype" w:cs="Palatino Linotype"/>
          <w:b/>
          <w:i/>
        </w:rPr>
        <w:t>XXXIX.</w:t>
      </w:r>
      <w:r w:rsidRPr="003B684E">
        <w:rPr>
          <w:rFonts w:ascii="Palatino Linotype" w:eastAsia="Palatino Linotype" w:hAnsi="Palatino Linotype" w:cs="Palatino Linotype"/>
          <w:i/>
        </w:rPr>
        <w:t xml:space="preserve"> </w:t>
      </w:r>
      <w:r w:rsidRPr="003B684E">
        <w:rPr>
          <w:rFonts w:ascii="Palatino Linotype" w:eastAsia="Palatino Linotype" w:hAnsi="Palatino Linotype" w:cs="Palatino Linotype"/>
          <w:b/>
          <w:i/>
        </w:rPr>
        <w:t>Servidor público habilitado</w:t>
      </w:r>
      <w:r w:rsidRPr="003B684E">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263E65" w:rsidRPr="003B684E" w:rsidRDefault="00263E65" w:rsidP="00263E65">
      <w:pPr>
        <w:spacing w:line="360" w:lineRule="auto"/>
        <w:ind w:left="708" w:right="62"/>
        <w:jc w:val="both"/>
        <w:rPr>
          <w:rFonts w:ascii="Palatino Linotype" w:eastAsia="Palatino Linotype" w:hAnsi="Palatino Linotype" w:cs="Palatino Linotype"/>
        </w:rPr>
      </w:pPr>
    </w:p>
    <w:p w:rsidR="00263E65" w:rsidRPr="003B684E" w:rsidRDefault="00263E65" w:rsidP="00263E65">
      <w:pPr>
        <w:numPr>
          <w:ilvl w:val="0"/>
          <w:numId w:val="2"/>
        </w:numPr>
        <w:spacing w:line="360" w:lineRule="auto"/>
        <w:ind w:left="0" w:right="-787" w:firstLine="0"/>
        <w:jc w:val="both"/>
      </w:pPr>
      <w:r w:rsidRPr="003B684E">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263E65" w:rsidRPr="003B684E" w:rsidRDefault="00263E65" w:rsidP="00263E65">
      <w:pPr>
        <w:ind w:right="-788"/>
        <w:jc w:val="both"/>
      </w:pPr>
    </w:p>
    <w:p w:rsidR="00263E65" w:rsidRPr="003B684E" w:rsidRDefault="00263E65" w:rsidP="00263E65">
      <w:pPr>
        <w:ind w:left="567" w:right="-220"/>
        <w:jc w:val="both"/>
        <w:rPr>
          <w:rFonts w:ascii="Palatino Linotype" w:eastAsia="Palatino Linotype" w:hAnsi="Palatino Linotype" w:cs="Palatino Linotype"/>
          <w:i/>
        </w:rPr>
      </w:pPr>
      <w:r w:rsidRPr="003B684E">
        <w:rPr>
          <w:rFonts w:ascii="Palatino Linotype" w:eastAsia="Palatino Linotype" w:hAnsi="Palatino Linotype" w:cs="Palatino Linotype"/>
          <w:i/>
        </w:rPr>
        <w:lastRenderedPageBreak/>
        <w:t>“</w:t>
      </w:r>
      <w:r w:rsidRPr="003B684E">
        <w:rPr>
          <w:rFonts w:ascii="Palatino Linotype" w:eastAsia="Palatino Linotype" w:hAnsi="Palatino Linotype" w:cs="Palatino Linotype"/>
          <w:b/>
          <w:i/>
        </w:rPr>
        <w:t>Artículo 162.</w:t>
      </w:r>
      <w:r w:rsidRPr="003B684E">
        <w:rPr>
          <w:rFonts w:ascii="Palatino Linotype" w:eastAsia="Palatino Linotype" w:hAnsi="Palatino Linotype" w:cs="Palatino Linotype"/>
          <w:i/>
        </w:rPr>
        <w:t xml:space="preserve"> Las unidades de transparencia deberán garantizar que las solicitudes se turnen a </w:t>
      </w:r>
      <w:r w:rsidRPr="003B684E">
        <w:rPr>
          <w:rFonts w:ascii="Palatino Linotype" w:eastAsia="Palatino Linotype" w:hAnsi="Palatino Linotype" w:cs="Palatino Linotype"/>
          <w:b/>
          <w:i/>
        </w:rPr>
        <w:t>todas las Áreas competentes</w:t>
      </w:r>
      <w:r w:rsidRPr="003B684E">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263E65" w:rsidRPr="003B684E" w:rsidRDefault="00263E65" w:rsidP="00263E65">
      <w:pPr>
        <w:spacing w:line="360" w:lineRule="auto"/>
        <w:ind w:right="-787"/>
        <w:jc w:val="both"/>
        <w:rPr>
          <w:rFonts w:ascii="Palatino Linotype" w:eastAsia="Palatino Linotype" w:hAnsi="Palatino Linotype" w:cs="Palatino Linotype"/>
          <w:color w:val="000000"/>
        </w:rPr>
      </w:pPr>
    </w:p>
    <w:p w:rsidR="00263E65" w:rsidRPr="003B684E" w:rsidRDefault="00263E65" w:rsidP="00263E65">
      <w:pPr>
        <w:numPr>
          <w:ilvl w:val="0"/>
          <w:numId w:val="2"/>
        </w:numPr>
        <w:spacing w:line="360" w:lineRule="auto"/>
        <w:ind w:left="0" w:right="-787" w:firstLine="0"/>
        <w:jc w:val="both"/>
        <w:rPr>
          <w:color w:val="000000"/>
        </w:rPr>
      </w:pPr>
      <w:r w:rsidRPr="003B684E">
        <w:rPr>
          <w:rFonts w:ascii="Palatino Linotype" w:eastAsia="Palatino Linotype" w:hAnsi="Palatino Linotype" w:cs="Palatino Linotype"/>
        </w:rPr>
        <w:t>Es</w:t>
      </w:r>
      <w:r w:rsidRPr="003B684E">
        <w:rPr>
          <w:rFonts w:ascii="Palatino Linotype" w:eastAsia="Palatino Linotype" w:hAnsi="Palatino Linotype" w:cs="Palatino Linotype"/>
          <w:color w:val="000000"/>
        </w:rPr>
        <w:t xml:space="preserve"> de </w:t>
      </w:r>
      <w:r w:rsidRPr="003B684E">
        <w:rPr>
          <w:rFonts w:ascii="Palatino Linotype" w:eastAsia="Palatino Linotype" w:hAnsi="Palatino Linotype" w:cs="Palatino Linotype"/>
        </w:rPr>
        <w:t>subrayar</w:t>
      </w:r>
      <w:r w:rsidRPr="003B684E">
        <w:rPr>
          <w:rFonts w:ascii="Palatino Linotype" w:eastAsia="Palatino Linotype" w:hAnsi="Palatino Linotype" w:cs="Palatino Linotype"/>
          <w:color w:val="000000"/>
        </w:rPr>
        <w:t xml:space="preserve"> que el derecho de acceso a la información pública, consiste en que la información </w:t>
      </w:r>
      <w:r w:rsidRPr="003B684E">
        <w:rPr>
          <w:rFonts w:ascii="Palatino Linotype" w:eastAsia="Palatino Linotype" w:hAnsi="Palatino Linotype" w:cs="Palatino Linotype"/>
        </w:rPr>
        <w:t>solicitada</w:t>
      </w:r>
      <w:r w:rsidRPr="003B684E">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263E65" w:rsidRPr="003B684E" w:rsidRDefault="00263E65" w:rsidP="00263E65">
      <w:pPr>
        <w:spacing w:line="360" w:lineRule="auto"/>
        <w:ind w:right="-787"/>
        <w:jc w:val="both"/>
        <w:rPr>
          <w:color w:val="000000"/>
        </w:rPr>
      </w:pPr>
    </w:p>
    <w:p w:rsidR="00263E65" w:rsidRPr="003B684E" w:rsidRDefault="00263E65" w:rsidP="00263E65">
      <w:pPr>
        <w:ind w:left="567" w:right="-22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w:t>
      </w:r>
      <w:r w:rsidRPr="003B684E">
        <w:rPr>
          <w:rFonts w:ascii="Palatino Linotype" w:eastAsia="Palatino Linotype" w:hAnsi="Palatino Linotype" w:cs="Palatino Linotype"/>
          <w:b/>
          <w:i/>
          <w:color w:val="000000"/>
        </w:rPr>
        <w:t xml:space="preserve">Artículo 3. </w:t>
      </w:r>
      <w:r w:rsidRPr="003B684E">
        <w:rPr>
          <w:rFonts w:ascii="Palatino Linotype" w:eastAsia="Palatino Linotype" w:hAnsi="Palatino Linotype" w:cs="Palatino Linotype"/>
          <w:i/>
          <w:color w:val="000000"/>
        </w:rPr>
        <w:t>Para los efectos de la presente Ley se entenderá por:</w:t>
      </w:r>
    </w:p>
    <w:p w:rsidR="00263E65" w:rsidRPr="003B684E" w:rsidRDefault="00263E65" w:rsidP="00263E65">
      <w:pPr>
        <w:ind w:left="567" w:right="-22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w:t>
      </w:r>
    </w:p>
    <w:p w:rsidR="00263E65" w:rsidRPr="003B684E" w:rsidRDefault="00263E65" w:rsidP="00263E65">
      <w:pPr>
        <w:ind w:left="567" w:right="-22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b/>
          <w:i/>
          <w:color w:val="000000"/>
        </w:rPr>
        <w:t>XI. Documento:</w:t>
      </w:r>
      <w:r w:rsidRPr="003B684E">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63E65" w:rsidRPr="003B684E" w:rsidRDefault="00263E65" w:rsidP="00263E65">
      <w:pPr>
        <w:spacing w:line="360" w:lineRule="auto"/>
        <w:ind w:left="567" w:right="-220"/>
        <w:jc w:val="both"/>
        <w:rPr>
          <w:rFonts w:ascii="Palatino Linotype" w:eastAsia="Palatino Linotype" w:hAnsi="Palatino Linotype" w:cs="Palatino Linotype"/>
          <w:i/>
          <w:color w:val="000000"/>
        </w:rPr>
      </w:pPr>
      <w:r w:rsidRPr="003B684E">
        <w:rPr>
          <w:rFonts w:ascii="Palatino Linotype" w:eastAsia="Palatino Linotype" w:hAnsi="Palatino Linotype" w:cs="Palatino Linotype"/>
          <w:i/>
          <w:color w:val="000000"/>
        </w:rPr>
        <w:t>(…)”</w:t>
      </w:r>
    </w:p>
    <w:p w:rsidR="00263E65" w:rsidRPr="003B684E" w:rsidRDefault="00263E65" w:rsidP="00263E65">
      <w:pPr>
        <w:ind w:right="-787"/>
        <w:jc w:val="both"/>
        <w:rPr>
          <w:rFonts w:ascii="Palatino Linotype" w:eastAsia="Palatino Linotype" w:hAnsi="Palatino Linotype" w:cs="Palatino Linotype"/>
        </w:rPr>
      </w:pPr>
    </w:p>
    <w:p w:rsidR="00263E65" w:rsidRPr="003B684E" w:rsidRDefault="00263E65" w:rsidP="00263E65">
      <w:pPr>
        <w:numPr>
          <w:ilvl w:val="0"/>
          <w:numId w:val="2"/>
        </w:numPr>
        <w:spacing w:line="360" w:lineRule="auto"/>
        <w:ind w:left="0" w:right="-787" w:firstLine="0"/>
        <w:jc w:val="both"/>
        <w:rPr>
          <w:color w:val="000000"/>
        </w:rPr>
      </w:pPr>
      <w:r w:rsidRPr="003B684E">
        <w:rPr>
          <w:rFonts w:ascii="Palatino Linotype" w:eastAsia="Palatino Linotype" w:hAnsi="Palatino Linotype" w:cs="Palatino Linotype"/>
          <w:color w:val="000000"/>
        </w:rPr>
        <w:t xml:space="preserve">Siendo </w:t>
      </w:r>
      <w:r w:rsidRPr="003B684E">
        <w:rPr>
          <w:rFonts w:ascii="Palatino Linotype" w:eastAsia="Palatino Linotype" w:hAnsi="Palatino Linotype" w:cs="Palatino Linotype"/>
        </w:rPr>
        <w:t>aplicable</w:t>
      </w:r>
      <w:r w:rsidRPr="003B684E">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w:t>
      </w:r>
      <w:r w:rsidRPr="003B684E">
        <w:rPr>
          <w:rFonts w:ascii="Palatino Linotype" w:eastAsia="Palatino Linotype" w:hAnsi="Palatino Linotype" w:cs="Palatino Linotype"/>
          <w:color w:val="000000"/>
        </w:rPr>
        <w:lastRenderedPageBreak/>
        <w:t>del Estado Libre y Soberano de México “Gaceta del Gobierno”, el diecinueve de octubre de dos mil once, cuyo rubro y texto dispone:</w:t>
      </w:r>
    </w:p>
    <w:p w:rsidR="00263E65" w:rsidRPr="003B684E" w:rsidRDefault="00263E65" w:rsidP="00263E65">
      <w:pPr>
        <w:spacing w:line="360" w:lineRule="auto"/>
        <w:ind w:right="-787"/>
        <w:jc w:val="both"/>
        <w:rPr>
          <w:color w:val="000000"/>
        </w:rPr>
      </w:pPr>
    </w:p>
    <w:p w:rsidR="00263E65" w:rsidRPr="003B684E" w:rsidRDefault="00263E65" w:rsidP="00263E65">
      <w:pPr>
        <w:ind w:left="567" w:right="-220"/>
        <w:jc w:val="both"/>
        <w:rPr>
          <w:rFonts w:ascii="Palatino Linotype" w:eastAsia="Palatino Linotype" w:hAnsi="Palatino Linotype" w:cs="Palatino Linotype"/>
          <w:b/>
          <w:i/>
        </w:rPr>
      </w:pPr>
      <w:r w:rsidRPr="003B684E">
        <w:rPr>
          <w:rFonts w:ascii="Palatino Linotype" w:eastAsia="Palatino Linotype" w:hAnsi="Palatino Linotype" w:cs="Palatino Linotype"/>
          <w:b/>
        </w:rPr>
        <w:t>“</w:t>
      </w:r>
      <w:r w:rsidRPr="003B684E">
        <w:rPr>
          <w:rFonts w:ascii="Palatino Linotype" w:eastAsia="Palatino Linotype" w:hAnsi="Palatino Linotype" w:cs="Palatino Linotype"/>
          <w:b/>
          <w:i/>
        </w:rPr>
        <w:t>CRITERIO 0002-11</w:t>
      </w:r>
    </w:p>
    <w:p w:rsidR="00263E65" w:rsidRPr="003B684E" w:rsidRDefault="00263E65" w:rsidP="00263E65">
      <w:pPr>
        <w:ind w:left="567" w:right="-220"/>
        <w:jc w:val="both"/>
        <w:rPr>
          <w:rFonts w:ascii="Palatino Linotype" w:eastAsia="Palatino Linotype" w:hAnsi="Palatino Linotype" w:cs="Palatino Linotype"/>
          <w:i/>
        </w:rPr>
      </w:pPr>
      <w:r w:rsidRPr="003B684E">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3B684E">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263E65" w:rsidRPr="003B684E" w:rsidRDefault="00263E65" w:rsidP="00263E65">
      <w:pPr>
        <w:ind w:left="567" w:right="-220"/>
        <w:jc w:val="both"/>
        <w:rPr>
          <w:rFonts w:ascii="Palatino Linotype" w:eastAsia="Palatino Linotype" w:hAnsi="Palatino Linotype" w:cs="Palatino Linotype"/>
          <w:i/>
        </w:rPr>
      </w:pPr>
      <w:r w:rsidRPr="003B684E">
        <w:rPr>
          <w:rFonts w:ascii="Palatino Linotype" w:eastAsia="Palatino Linotype" w:hAnsi="Palatino Linotype" w:cs="Palatino Linotype"/>
          <w:i/>
        </w:rPr>
        <w:t>En consecuencia el acceso a la información se refiere a que se cumplan cualquiera de los siguientes tres supuestos:</w:t>
      </w:r>
    </w:p>
    <w:p w:rsidR="00263E65" w:rsidRPr="003B684E" w:rsidRDefault="00263E65" w:rsidP="00263E65">
      <w:pPr>
        <w:ind w:left="567" w:right="-220"/>
        <w:jc w:val="both"/>
        <w:rPr>
          <w:rFonts w:ascii="Palatino Linotype" w:eastAsia="Palatino Linotype" w:hAnsi="Palatino Linotype" w:cs="Palatino Linotype"/>
          <w:b/>
          <w:i/>
        </w:rPr>
      </w:pPr>
      <w:r w:rsidRPr="003B684E">
        <w:rPr>
          <w:rFonts w:ascii="Palatino Linotype" w:eastAsia="Palatino Linotype" w:hAnsi="Palatino Linotype" w:cs="Palatino Linotype"/>
          <w:b/>
          <w:i/>
        </w:rPr>
        <w:t xml:space="preserve">1) </w:t>
      </w:r>
      <w:r w:rsidRPr="003B684E">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263E65" w:rsidRPr="003B684E" w:rsidRDefault="00263E65" w:rsidP="00263E65">
      <w:pPr>
        <w:ind w:left="567" w:right="-220"/>
        <w:jc w:val="both"/>
        <w:rPr>
          <w:rFonts w:ascii="Palatino Linotype" w:eastAsia="Palatino Linotype" w:hAnsi="Palatino Linotype" w:cs="Palatino Linotype"/>
          <w:i/>
        </w:rPr>
      </w:pPr>
      <w:r w:rsidRPr="003B684E">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263E65" w:rsidRPr="003B684E" w:rsidRDefault="00263E65" w:rsidP="00263E65">
      <w:pPr>
        <w:ind w:left="567" w:right="-220"/>
        <w:jc w:val="both"/>
        <w:rPr>
          <w:rFonts w:ascii="Palatino Linotype" w:eastAsia="Palatino Linotype" w:hAnsi="Palatino Linotype" w:cs="Palatino Linotype"/>
          <w:i/>
        </w:rPr>
      </w:pPr>
      <w:r w:rsidRPr="003B684E">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263E65" w:rsidRPr="003B684E" w:rsidRDefault="00263E65" w:rsidP="00263E65">
      <w:pPr>
        <w:tabs>
          <w:tab w:val="left" w:pos="851"/>
        </w:tabs>
        <w:spacing w:line="360" w:lineRule="auto"/>
        <w:ind w:left="567" w:right="-220"/>
        <w:rPr>
          <w:rFonts w:ascii="Palatino Linotype" w:eastAsia="Palatino Linotype" w:hAnsi="Palatino Linotype" w:cs="Palatino Linotype"/>
        </w:rPr>
      </w:pPr>
      <w:r w:rsidRPr="003B684E">
        <w:rPr>
          <w:rFonts w:ascii="Palatino Linotype" w:eastAsia="Palatino Linotype" w:hAnsi="Palatino Linotype" w:cs="Palatino Linotype"/>
        </w:rPr>
        <w:t>(Énfasis Añadido)</w:t>
      </w:r>
    </w:p>
    <w:p w:rsidR="00263E65" w:rsidRPr="003B684E" w:rsidRDefault="00263E65" w:rsidP="00263E65">
      <w:pPr>
        <w:pBdr>
          <w:top w:val="nil"/>
          <w:left w:val="nil"/>
          <w:bottom w:val="nil"/>
          <w:right w:val="nil"/>
          <w:between w:val="nil"/>
        </w:pBdr>
        <w:ind w:right="-787"/>
        <w:jc w:val="both"/>
        <w:rPr>
          <w:rFonts w:ascii="Palatino Linotype" w:eastAsia="Palatino Linotype" w:hAnsi="Palatino Linotype" w:cs="Palatino Linotype"/>
          <w:color w:val="000000"/>
        </w:rPr>
      </w:pPr>
    </w:p>
    <w:p w:rsidR="00263E65" w:rsidRPr="003B684E" w:rsidRDefault="00263E65" w:rsidP="00263E65">
      <w:pPr>
        <w:numPr>
          <w:ilvl w:val="0"/>
          <w:numId w:val="2"/>
        </w:numPr>
        <w:spacing w:line="360" w:lineRule="auto"/>
        <w:ind w:left="0" w:right="-787" w:firstLine="0"/>
        <w:jc w:val="both"/>
        <w:rPr>
          <w:color w:val="000000"/>
        </w:rPr>
      </w:pPr>
      <w:r w:rsidRPr="003B684E">
        <w:rPr>
          <w:rFonts w:ascii="Palatino Linotype" w:eastAsia="Palatino Linotype" w:hAnsi="Palatino Linotype" w:cs="Palatino Linotype"/>
          <w:color w:val="000000"/>
        </w:rPr>
        <w:t xml:space="preserve">Por su </w:t>
      </w:r>
      <w:r w:rsidRPr="003B684E">
        <w:rPr>
          <w:rFonts w:ascii="Palatino Linotype" w:eastAsia="Palatino Linotype" w:hAnsi="Palatino Linotype" w:cs="Palatino Linotype"/>
        </w:rPr>
        <w:t>parte</w:t>
      </w:r>
      <w:r w:rsidRPr="003B684E">
        <w:rPr>
          <w:rFonts w:ascii="Palatino Linotype" w:eastAsia="Palatino Linotype" w:hAnsi="Palatino Linotype" w:cs="Palatino Linotype"/>
          <w:color w:val="000000"/>
        </w:rPr>
        <w:t xml:space="preserve"> los artículos 160 y 166, de la Ley local en la materia, que se reproduce de la siguiente forma:</w:t>
      </w:r>
    </w:p>
    <w:p w:rsidR="00263E65" w:rsidRPr="003B684E" w:rsidRDefault="00263E65" w:rsidP="00263E65">
      <w:pPr>
        <w:spacing w:line="360" w:lineRule="auto"/>
        <w:ind w:right="-787"/>
        <w:jc w:val="both"/>
        <w:rPr>
          <w:color w:val="000000"/>
        </w:rPr>
      </w:pPr>
    </w:p>
    <w:p w:rsidR="00263E65" w:rsidRPr="003B684E" w:rsidRDefault="00263E65" w:rsidP="00263E65">
      <w:pPr>
        <w:ind w:left="566" w:right="-220"/>
        <w:jc w:val="both"/>
        <w:rPr>
          <w:rFonts w:ascii="Palatino Linotype" w:eastAsia="Palatino Linotype" w:hAnsi="Palatino Linotype" w:cs="Palatino Linotype"/>
          <w:i/>
        </w:rPr>
      </w:pPr>
      <w:r w:rsidRPr="003B684E">
        <w:rPr>
          <w:rFonts w:ascii="Palatino Linotype" w:eastAsia="Palatino Linotype" w:hAnsi="Palatino Linotype" w:cs="Palatino Linotype"/>
          <w:i/>
        </w:rPr>
        <w:t>“</w:t>
      </w:r>
      <w:r w:rsidRPr="003B684E">
        <w:rPr>
          <w:rFonts w:ascii="Palatino Linotype" w:eastAsia="Palatino Linotype" w:hAnsi="Palatino Linotype" w:cs="Palatino Linotype"/>
          <w:b/>
          <w:i/>
        </w:rPr>
        <w:t>Artículo 160.</w:t>
      </w:r>
      <w:r w:rsidRPr="003B684E">
        <w:rPr>
          <w:rFonts w:ascii="Palatino Linotype" w:eastAsia="Palatino Linotype" w:hAnsi="Palatino Linotype" w:cs="Palatino Linotype"/>
          <w:i/>
        </w:rPr>
        <w:t xml:space="preserve"> </w:t>
      </w:r>
      <w:r w:rsidRPr="003B684E">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3B684E">
        <w:rPr>
          <w:rFonts w:ascii="Palatino Linotype" w:eastAsia="Palatino Linotype" w:hAnsi="Palatino Linotype" w:cs="Palatino Linotype"/>
          <w:i/>
        </w:rPr>
        <w:t>.</w:t>
      </w:r>
    </w:p>
    <w:p w:rsidR="00263E65" w:rsidRPr="003B684E" w:rsidRDefault="00263E65" w:rsidP="00263E65">
      <w:pPr>
        <w:ind w:left="566" w:right="-220"/>
        <w:jc w:val="both"/>
        <w:rPr>
          <w:rFonts w:ascii="Palatino Linotype" w:eastAsia="Palatino Linotype" w:hAnsi="Palatino Linotype" w:cs="Palatino Linotype"/>
          <w:i/>
        </w:rPr>
      </w:pPr>
    </w:p>
    <w:p w:rsidR="00263E65" w:rsidRPr="003B684E" w:rsidRDefault="00263E65" w:rsidP="00263E65">
      <w:pPr>
        <w:ind w:left="566" w:right="-220"/>
        <w:jc w:val="both"/>
        <w:rPr>
          <w:rFonts w:ascii="Palatino Linotype" w:eastAsia="Palatino Linotype" w:hAnsi="Palatino Linotype" w:cs="Palatino Linotype"/>
          <w:i/>
        </w:rPr>
      </w:pPr>
      <w:r w:rsidRPr="003B684E">
        <w:rPr>
          <w:rFonts w:ascii="Palatino Linotype" w:eastAsia="Palatino Linotype" w:hAnsi="Palatino Linotype" w:cs="Palatino Linotype"/>
          <w:i/>
        </w:rPr>
        <w:t>En caso que la información solicitada consista en bases de datos se deberá privilegiar la entrega de la misma en formatos abiertos.</w:t>
      </w:r>
    </w:p>
    <w:p w:rsidR="00263E65" w:rsidRPr="003B684E" w:rsidRDefault="00263E65" w:rsidP="00263E65">
      <w:pPr>
        <w:ind w:left="566" w:right="-220"/>
        <w:jc w:val="both"/>
        <w:rPr>
          <w:rFonts w:ascii="Palatino Linotype" w:eastAsia="Palatino Linotype" w:hAnsi="Palatino Linotype" w:cs="Palatino Linotype"/>
          <w:i/>
          <w:u w:val="single"/>
        </w:rPr>
      </w:pPr>
      <w:r w:rsidRPr="003B684E">
        <w:rPr>
          <w:rFonts w:ascii="Palatino Linotype" w:eastAsia="Palatino Linotype" w:hAnsi="Palatino Linotype" w:cs="Palatino Linotype"/>
          <w:b/>
          <w:i/>
        </w:rPr>
        <w:lastRenderedPageBreak/>
        <w:t>Artículo 166.</w:t>
      </w:r>
      <w:r w:rsidRPr="003B684E">
        <w:rPr>
          <w:rFonts w:ascii="Palatino Linotype" w:eastAsia="Palatino Linotype" w:hAnsi="Palatino Linotype" w:cs="Palatino Linotype"/>
          <w:i/>
        </w:rPr>
        <w:t xml:space="preserve"> </w:t>
      </w:r>
      <w:r w:rsidRPr="003B684E">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263E65" w:rsidRPr="003B684E" w:rsidRDefault="00263E65" w:rsidP="00263E65">
      <w:pPr>
        <w:ind w:right="-787"/>
        <w:jc w:val="both"/>
        <w:rPr>
          <w:rFonts w:ascii="Palatino Linotype" w:eastAsia="Palatino Linotype" w:hAnsi="Palatino Linotype" w:cs="Palatino Linotype"/>
        </w:rPr>
      </w:pPr>
    </w:p>
    <w:p w:rsidR="00263E65" w:rsidRPr="003B684E" w:rsidRDefault="00263E65" w:rsidP="00263E65">
      <w:pPr>
        <w:numPr>
          <w:ilvl w:val="0"/>
          <w:numId w:val="2"/>
        </w:numPr>
        <w:spacing w:line="360" w:lineRule="auto"/>
        <w:ind w:left="0" w:right="-787" w:firstLine="0"/>
        <w:jc w:val="both"/>
        <w:rPr>
          <w:color w:val="000000"/>
        </w:rPr>
      </w:pPr>
      <w:r w:rsidRPr="003B684E">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D50400" w:rsidRPr="003B684E" w:rsidRDefault="00D50400" w:rsidP="00D50400">
      <w:pPr>
        <w:spacing w:line="360" w:lineRule="auto"/>
        <w:ind w:right="-787"/>
        <w:jc w:val="both"/>
        <w:rPr>
          <w:rFonts w:ascii="Palatino Linotype" w:eastAsia="Palatino Linotype" w:hAnsi="Palatino Linotype" w:cs="Palatino Linotype"/>
          <w:color w:val="000000"/>
        </w:rPr>
      </w:pPr>
    </w:p>
    <w:p w:rsidR="00D50400" w:rsidRPr="003B684E" w:rsidRDefault="00D50400" w:rsidP="00D50400">
      <w:pPr>
        <w:numPr>
          <w:ilvl w:val="0"/>
          <w:numId w:val="18"/>
        </w:numPr>
        <w:pBdr>
          <w:top w:val="nil"/>
          <w:left w:val="nil"/>
          <w:bottom w:val="nil"/>
          <w:right w:val="nil"/>
          <w:between w:val="nil"/>
        </w:pBdr>
        <w:tabs>
          <w:tab w:val="left" w:pos="0"/>
          <w:tab w:val="left" w:pos="567"/>
        </w:tabs>
        <w:spacing w:before="240" w:after="240" w:line="360" w:lineRule="auto"/>
        <w:ind w:right="-562"/>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b/>
          <w:color w:val="000000"/>
        </w:rPr>
        <w:t xml:space="preserve">De la naturaleza de la información solicitada. </w:t>
      </w:r>
    </w:p>
    <w:p w:rsidR="00D50400" w:rsidRPr="003B684E" w:rsidRDefault="00D50400" w:rsidP="00D50400">
      <w:pPr>
        <w:numPr>
          <w:ilvl w:val="0"/>
          <w:numId w:val="2"/>
        </w:numPr>
        <w:spacing w:line="360" w:lineRule="auto"/>
        <w:ind w:left="0" w:right="-787" w:firstLine="0"/>
        <w:jc w:val="both"/>
      </w:pPr>
      <w:r w:rsidRPr="003B684E">
        <w:rPr>
          <w:rFonts w:ascii="Palatino Linotype" w:eastAsia="Palatino Linotype" w:hAnsi="Palatino Linotype" w:cs="Palatino Linotype"/>
        </w:rPr>
        <w:t xml:space="preserve">Se precisa que se obvia el análisis de la competencia por parte del </w:t>
      </w:r>
      <w:r w:rsidRPr="003B684E">
        <w:rPr>
          <w:rFonts w:ascii="Palatino Linotype" w:eastAsia="Palatino Linotype" w:hAnsi="Palatino Linotype" w:cs="Palatino Linotype"/>
          <w:b/>
        </w:rPr>
        <w:t>SUJETO OBLIGADO</w:t>
      </w:r>
      <w:r w:rsidRPr="003B684E">
        <w:rPr>
          <w:rFonts w:ascii="Palatino Linotype" w:eastAsia="Palatino Linotype" w:hAnsi="Palatino Linotype" w:cs="Palatino Linotype"/>
        </w:rPr>
        <w:t xml:space="preserve">, para generar, administrar o poseer la información solicitada, dado que éste ha asumido la misma, en razón que </w:t>
      </w:r>
      <w:r w:rsidR="00263E65" w:rsidRPr="003B684E">
        <w:rPr>
          <w:rFonts w:ascii="Palatino Linotype" w:eastAsia="Palatino Linotype" w:hAnsi="Palatino Linotype" w:cs="Palatino Linotype"/>
        </w:rPr>
        <w:t>en su respuesta remitió el link de la página web en el que mencionó puede ser consultada la información requerida.</w:t>
      </w:r>
    </w:p>
    <w:p w:rsidR="00D50400" w:rsidRPr="003B684E" w:rsidRDefault="00D50400" w:rsidP="00D50400">
      <w:pPr>
        <w:tabs>
          <w:tab w:val="left" w:pos="0"/>
          <w:tab w:val="left" w:pos="567"/>
        </w:tabs>
        <w:ind w:right="-788"/>
        <w:jc w:val="both"/>
        <w:rPr>
          <w:rFonts w:ascii="Palatino Linotype" w:eastAsia="Palatino Linotype" w:hAnsi="Palatino Linotype" w:cs="Palatino Linotype"/>
        </w:rPr>
      </w:pPr>
    </w:p>
    <w:p w:rsidR="00D50400" w:rsidRPr="003B684E" w:rsidRDefault="00D50400" w:rsidP="00D50400">
      <w:pPr>
        <w:numPr>
          <w:ilvl w:val="0"/>
          <w:numId w:val="2"/>
        </w:numPr>
        <w:spacing w:line="360" w:lineRule="auto"/>
        <w:ind w:left="0" w:right="-787" w:firstLine="0"/>
        <w:jc w:val="both"/>
      </w:pPr>
      <w:bookmarkStart w:id="7" w:name="_heading=h.2s8eyo1" w:colFirst="0" w:colLast="0"/>
      <w:bookmarkEnd w:id="7"/>
      <w:r w:rsidRPr="003B684E">
        <w:rPr>
          <w:rFonts w:ascii="Palatino Linotype" w:eastAsia="Palatino Linotype" w:hAnsi="Palatino Linotype" w:cs="Palatino Linotype"/>
        </w:rPr>
        <w:t xml:space="preserve">En efecto, el hecho de que </w:t>
      </w:r>
      <w:r w:rsidRPr="003B684E">
        <w:rPr>
          <w:rFonts w:ascii="Palatino Linotype" w:eastAsia="Palatino Linotype" w:hAnsi="Palatino Linotype" w:cs="Palatino Linotype"/>
          <w:b/>
        </w:rPr>
        <w:t>EL SUJETO OBLIGADO</w:t>
      </w:r>
      <w:r w:rsidRPr="003B684E">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D50400" w:rsidRPr="003B684E" w:rsidRDefault="00D50400" w:rsidP="00D50400">
      <w:pPr>
        <w:tabs>
          <w:tab w:val="left" w:pos="8505"/>
        </w:tabs>
        <w:ind w:left="1134" w:right="287"/>
        <w:jc w:val="both"/>
        <w:rPr>
          <w:rFonts w:ascii="Palatino Linotype" w:eastAsia="Palatino Linotype" w:hAnsi="Palatino Linotype" w:cs="Palatino Linotype"/>
          <w:i/>
        </w:rPr>
      </w:pPr>
      <w:r w:rsidRPr="003B684E">
        <w:rPr>
          <w:rFonts w:ascii="Palatino Linotype" w:eastAsia="Palatino Linotype" w:hAnsi="Palatino Linotype" w:cs="Palatino Linotype"/>
          <w:i/>
        </w:rPr>
        <w:t>“</w:t>
      </w:r>
      <w:r w:rsidRPr="003B684E">
        <w:rPr>
          <w:rFonts w:ascii="Palatino Linotype" w:eastAsia="Palatino Linotype" w:hAnsi="Palatino Linotype" w:cs="Palatino Linotype"/>
          <w:b/>
          <w:i/>
        </w:rPr>
        <w:t>Artículo 12.</w:t>
      </w:r>
      <w:r w:rsidRPr="003B684E">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D50400" w:rsidRPr="003B684E" w:rsidRDefault="00D50400" w:rsidP="00D50400">
      <w:pPr>
        <w:tabs>
          <w:tab w:val="left" w:pos="8505"/>
        </w:tabs>
        <w:ind w:left="1134" w:right="287"/>
        <w:jc w:val="both"/>
        <w:rPr>
          <w:rFonts w:ascii="Palatino Linotype" w:eastAsia="Palatino Linotype" w:hAnsi="Palatino Linotype" w:cs="Palatino Linotype"/>
          <w:i/>
        </w:rPr>
      </w:pPr>
    </w:p>
    <w:p w:rsidR="00D50400" w:rsidRPr="003B684E" w:rsidRDefault="00D50400" w:rsidP="00D50400">
      <w:pPr>
        <w:tabs>
          <w:tab w:val="left" w:pos="8505"/>
        </w:tabs>
        <w:ind w:left="1134" w:right="287"/>
        <w:jc w:val="both"/>
        <w:rPr>
          <w:rFonts w:ascii="Palatino Linotype" w:eastAsia="Palatino Linotype" w:hAnsi="Palatino Linotype" w:cs="Palatino Linotype"/>
          <w:i/>
        </w:rPr>
      </w:pPr>
      <w:r w:rsidRPr="003B684E">
        <w:rPr>
          <w:rFonts w:ascii="Palatino Linotype" w:eastAsia="Palatino Linotype" w:hAnsi="Palatino Linotype" w:cs="Palatino Linotype"/>
          <w:i/>
        </w:rPr>
        <w:t xml:space="preserve">Los sujetos obligados sólo proporcionarán la información pública que se les requiera y que obre en sus archivos y en el estado en que ésta se encuentre. La obligación de proporcionar información no comprende el procesamiento de la </w:t>
      </w:r>
      <w:r w:rsidRPr="003B684E">
        <w:rPr>
          <w:rFonts w:ascii="Palatino Linotype" w:eastAsia="Palatino Linotype" w:hAnsi="Palatino Linotype" w:cs="Palatino Linotype"/>
          <w:i/>
        </w:rPr>
        <w:lastRenderedPageBreak/>
        <w:t>misma, ni el presentarla conforme al interés del solicitante; no estarán obligados a generarla, resumirla, efectuar cálculos o practicar investigaciones.”</w:t>
      </w:r>
    </w:p>
    <w:p w:rsidR="00D50400" w:rsidRPr="003B684E" w:rsidRDefault="00D50400" w:rsidP="00D50400">
      <w:pPr>
        <w:pBdr>
          <w:top w:val="nil"/>
          <w:left w:val="nil"/>
          <w:bottom w:val="nil"/>
          <w:right w:val="nil"/>
          <w:between w:val="nil"/>
        </w:pBdr>
        <w:ind w:left="708" w:right="-562"/>
        <w:rPr>
          <w:rFonts w:ascii="Palatino Linotype" w:eastAsia="Palatino Linotype" w:hAnsi="Palatino Linotype" w:cs="Palatino Linotype"/>
          <w:color w:val="000000"/>
        </w:rPr>
      </w:pPr>
    </w:p>
    <w:p w:rsidR="00D50400" w:rsidRPr="003B684E" w:rsidRDefault="00D50400" w:rsidP="00D50400">
      <w:pPr>
        <w:numPr>
          <w:ilvl w:val="0"/>
          <w:numId w:val="2"/>
        </w:numPr>
        <w:spacing w:line="360" w:lineRule="auto"/>
        <w:ind w:left="0" w:right="-787" w:firstLine="0"/>
        <w:jc w:val="both"/>
        <w:rPr>
          <w:color w:val="000000"/>
        </w:rPr>
      </w:pPr>
      <w:r w:rsidRPr="003B684E">
        <w:rPr>
          <w:rFonts w:ascii="Palatino Linotype" w:eastAsia="Palatino Linotype" w:hAnsi="Palatino Linotype" w:cs="Palatino Linotype"/>
        </w:rPr>
        <w:t>Así, el estudio de la naturaleza jurídica de la información pública solicitada, tiene por objeto determinar si ésta la genera, posee o administra </w:t>
      </w:r>
      <w:r w:rsidRPr="003B684E">
        <w:rPr>
          <w:rFonts w:ascii="Palatino Linotype" w:eastAsia="Palatino Linotype" w:hAnsi="Palatino Linotype" w:cs="Palatino Linotype"/>
          <w:b/>
        </w:rPr>
        <w:t>EL SUJETO OBLIGADO</w:t>
      </w:r>
      <w:r w:rsidRPr="003B684E">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E659EE" w:rsidRPr="003B684E" w:rsidRDefault="00E659EE" w:rsidP="00E659EE">
      <w:pPr>
        <w:spacing w:line="360" w:lineRule="auto"/>
        <w:ind w:right="-787"/>
        <w:jc w:val="both"/>
        <w:rPr>
          <w:color w:val="000000"/>
        </w:rPr>
      </w:pPr>
    </w:p>
    <w:p w:rsidR="00E659EE" w:rsidRPr="003B684E" w:rsidRDefault="00E659EE" w:rsidP="00D50400">
      <w:pPr>
        <w:numPr>
          <w:ilvl w:val="0"/>
          <w:numId w:val="2"/>
        </w:numPr>
        <w:spacing w:line="360" w:lineRule="auto"/>
        <w:ind w:left="0" w:right="-787" w:firstLine="0"/>
        <w:jc w:val="both"/>
        <w:rPr>
          <w:color w:val="000000"/>
        </w:rPr>
      </w:pPr>
      <w:r w:rsidRPr="003B684E">
        <w:rPr>
          <w:rFonts w:ascii="Palatino Linotype" w:eastAsia="Palatino Linotype" w:hAnsi="Palatino Linotype" w:cs="Palatino Linotype"/>
        </w:rPr>
        <w:t>Ahora bien, es de recordar que de la respuesta proporcionada por el Sujeto Obligad</w:t>
      </w:r>
      <w:r w:rsidR="00DC35C8" w:rsidRPr="003B684E">
        <w:rPr>
          <w:rFonts w:ascii="Palatino Linotype" w:eastAsia="Palatino Linotype" w:hAnsi="Palatino Linotype" w:cs="Palatino Linotype"/>
        </w:rPr>
        <w:t xml:space="preserve">o el particular se dolió por </w:t>
      </w:r>
      <w:r w:rsidRPr="003B684E">
        <w:rPr>
          <w:rFonts w:ascii="Palatino Linotype" w:eastAsia="Palatino Linotype" w:hAnsi="Palatino Linotype" w:cs="Palatino Linotype"/>
        </w:rPr>
        <w:t>la entrega de información incompleta, al referir que en el link entregado no está toda la información que se solicita, solo está el número de recurso y se pide el expediente completo, posteriormente a través de informe justificado el Sujeto Obligado ratifica la respuesta primigenia.</w:t>
      </w:r>
    </w:p>
    <w:p w:rsidR="00E659EE" w:rsidRPr="003B684E" w:rsidRDefault="00E659EE" w:rsidP="00E659EE">
      <w:pPr>
        <w:spacing w:line="360" w:lineRule="auto"/>
        <w:ind w:right="-787"/>
        <w:jc w:val="both"/>
        <w:rPr>
          <w:color w:val="000000"/>
        </w:rPr>
      </w:pPr>
    </w:p>
    <w:p w:rsidR="00781832" w:rsidRPr="003B684E" w:rsidRDefault="00E659EE" w:rsidP="00DC35C8">
      <w:pPr>
        <w:numPr>
          <w:ilvl w:val="0"/>
          <w:numId w:val="2"/>
        </w:numPr>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rPr>
        <w:t>De lo expues</w:t>
      </w:r>
      <w:r w:rsidR="00932291" w:rsidRPr="003B684E">
        <w:rPr>
          <w:rFonts w:ascii="Palatino Linotype" w:eastAsia="Palatino Linotype" w:hAnsi="Palatino Linotype" w:cs="Palatino Linotype"/>
        </w:rPr>
        <w:t xml:space="preserve">to, </w:t>
      </w:r>
      <w:r w:rsidR="001D2FE5" w:rsidRPr="003B684E">
        <w:rPr>
          <w:rFonts w:ascii="Palatino Linotype" w:eastAsia="Palatino Linotype" w:hAnsi="Palatino Linotype" w:cs="Palatino Linotype"/>
        </w:rPr>
        <w:t xml:space="preserve">es de resaltar en primer momento que </w:t>
      </w:r>
      <w:r w:rsidR="00932291" w:rsidRPr="003B684E">
        <w:rPr>
          <w:rFonts w:ascii="Palatino Linotype" w:eastAsia="Palatino Linotype" w:hAnsi="Palatino Linotype" w:cs="Palatino Linotype"/>
        </w:rPr>
        <w:t xml:space="preserve">si bien el Sujeto Obligado mediante respuesta remitió el link en el que puede ser </w:t>
      </w:r>
      <w:r w:rsidR="00BF3D1A" w:rsidRPr="003B684E">
        <w:rPr>
          <w:rFonts w:ascii="Palatino Linotype" w:eastAsia="Palatino Linotype" w:hAnsi="Palatino Linotype" w:cs="Palatino Linotype"/>
        </w:rPr>
        <w:t>consultada</w:t>
      </w:r>
      <w:r w:rsidR="00932291" w:rsidRPr="003B684E">
        <w:rPr>
          <w:rFonts w:ascii="Palatino Linotype" w:eastAsia="Palatino Linotype" w:hAnsi="Palatino Linotype" w:cs="Palatino Linotype"/>
        </w:rPr>
        <w:t xml:space="preserve"> la información </w:t>
      </w:r>
      <w:r w:rsidR="00BF3D1A" w:rsidRPr="003B684E">
        <w:rPr>
          <w:rFonts w:ascii="Palatino Linotype" w:eastAsia="Palatino Linotype" w:hAnsi="Palatino Linotype" w:cs="Palatino Linotype"/>
        </w:rPr>
        <w:t>requerida</w:t>
      </w:r>
      <w:r w:rsidR="00932291" w:rsidRPr="003B684E">
        <w:rPr>
          <w:rFonts w:ascii="Palatino Linotype" w:eastAsia="Palatino Linotype" w:hAnsi="Palatino Linotype" w:cs="Palatino Linotype"/>
        </w:rPr>
        <w:t>, tal liga se encuentra en dato cerrado</w:t>
      </w:r>
      <w:r w:rsidR="00BF3D1A" w:rsidRPr="003B684E">
        <w:rPr>
          <w:rFonts w:ascii="Palatino Linotype" w:eastAsia="Palatino Linotype" w:hAnsi="Palatino Linotype" w:cs="Palatino Linotype"/>
        </w:rPr>
        <w:t>;</w:t>
      </w:r>
      <w:r w:rsidR="00932291" w:rsidRPr="003B684E">
        <w:rPr>
          <w:rFonts w:ascii="Palatino Linotype" w:eastAsia="Palatino Linotype" w:hAnsi="Palatino Linotype" w:cs="Palatino Linotype"/>
        </w:rPr>
        <w:t xml:space="preserve"> no </w:t>
      </w:r>
      <w:r w:rsidR="00BF3D1A" w:rsidRPr="003B684E">
        <w:rPr>
          <w:rFonts w:ascii="Palatino Linotype" w:eastAsia="Palatino Linotype" w:hAnsi="Palatino Linotype" w:cs="Palatino Linotype"/>
        </w:rPr>
        <w:t>obstante</w:t>
      </w:r>
      <w:r w:rsidR="00932291" w:rsidRPr="003B684E">
        <w:rPr>
          <w:rFonts w:ascii="Palatino Linotype" w:eastAsia="Palatino Linotype" w:hAnsi="Palatino Linotype" w:cs="Palatino Linotype"/>
        </w:rPr>
        <w:t xml:space="preserve">, </w:t>
      </w:r>
      <w:r w:rsidR="00BF3D1A" w:rsidRPr="003B684E">
        <w:rPr>
          <w:rFonts w:ascii="Palatino Linotype" w:eastAsia="Palatino Linotype" w:hAnsi="Palatino Linotype" w:cs="Palatino Linotype"/>
        </w:rPr>
        <w:t>se anexó el documento que contiene la liga en dato abierto y las</w:t>
      </w:r>
      <w:r w:rsidR="00DC35C8" w:rsidRPr="003B684E">
        <w:rPr>
          <w:rFonts w:ascii="Palatino Linotype" w:eastAsia="Palatino Linotype" w:hAnsi="Palatino Linotype" w:cs="Palatino Linotype"/>
        </w:rPr>
        <w:t xml:space="preserve"> indicaciones para la consulta.</w:t>
      </w:r>
    </w:p>
    <w:p w:rsidR="00DC35C8" w:rsidRPr="003B684E" w:rsidRDefault="00DC35C8" w:rsidP="00DC35C8">
      <w:pPr>
        <w:spacing w:line="360" w:lineRule="auto"/>
        <w:ind w:right="-787"/>
        <w:jc w:val="both"/>
        <w:rPr>
          <w:rFonts w:ascii="Palatino Linotype" w:eastAsia="Palatino Linotype" w:hAnsi="Palatino Linotype" w:cs="Palatino Linotype"/>
          <w:color w:val="000000"/>
        </w:rPr>
      </w:pPr>
    </w:p>
    <w:p w:rsidR="00781832" w:rsidRPr="003B684E" w:rsidRDefault="00781832" w:rsidP="00781832">
      <w:pPr>
        <w:numPr>
          <w:ilvl w:val="0"/>
          <w:numId w:val="2"/>
        </w:numPr>
        <w:spacing w:line="360" w:lineRule="auto"/>
        <w:ind w:left="0" w:right="-787" w:firstLine="0"/>
        <w:jc w:val="both"/>
        <w:rPr>
          <w:rFonts w:ascii="Palatino Linotype" w:eastAsia="Palatino Linotype" w:hAnsi="Palatino Linotype" w:cs="Palatino Linotype"/>
          <w:color w:val="000000"/>
          <w:lang w:val="es-ES"/>
        </w:rPr>
      </w:pPr>
      <w:r w:rsidRPr="003B684E">
        <w:rPr>
          <w:rFonts w:ascii="Palatino Linotype" w:eastAsia="Palatino Linotype" w:hAnsi="Palatino Linotype" w:cs="Palatino Linotype"/>
          <w:color w:val="000000"/>
        </w:rPr>
        <w:t xml:space="preserve">Continuando con el estudio, es de referir que respecto de los puntos de solicitud </w:t>
      </w:r>
      <w:r w:rsidRPr="003B684E">
        <w:rPr>
          <w:rFonts w:ascii="Palatino Linotype" w:eastAsia="Palatino Linotype" w:hAnsi="Palatino Linotype" w:cs="Palatino Linotype"/>
          <w:color w:val="000000"/>
          <w:lang w:val="es-ES"/>
        </w:rPr>
        <w:t>13, 14, 15, 16 y 17 están encaminados a obtener un pronunciamiento específico por parte del Sujeto Obligado, toda vez que se solicita lo siguiente:</w:t>
      </w:r>
    </w:p>
    <w:p w:rsidR="00781832" w:rsidRPr="003B684E" w:rsidRDefault="00781832" w:rsidP="00781832">
      <w:pPr>
        <w:spacing w:line="360" w:lineRule="auto"/>
        <w:ind w:right="-787"/>
        <w:jc w:val="both"/>
        <w:rPr>
          <w:rFonts w:ascii="Palatino Linotype" w:eastAsia="Palatino Linotype" w:hAnsi="Palatino Linotype" w:cs="Palatino Linotype"/>
          <w:color w:val="000000"/>
          <w:lang w:val="es-ES"/>
        </w:rPr>
      </w:pPr>
    </w:p>
    <w:p w:rsidR="00781832" w:rsidRPr="003B684E" w:rsidRDefault="00781832" w:rsidP="00455563">
      <w:pPr>
        <w:pStyle w:val="Prrafodelista"/>
        <w:numPr>
          <w:ilvl w:val="0"/>
          <w:numId w:val="30"/>
        </w:numPr>
        <w:spacing w:line="360" w:lineRule="auto"/>
        <w:ind w:right="-787"/>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lastRenderedPageBreak/>
        <w:t>Estado de cumplimiento o incumplimiento</w:t>
      </w:r>
      <w:r w:rsidR="00455563" w:rsidRPr="003B684E">
        <w:rPr>
          <w:rFonts w:ascii="Palatino Linotype" w:eastAsia="Palatino Linotype" w:hAnsi="Palatino Linotype" w:cs="Palatino Linotype"/>
          <w:color w:val="000000"/>
        </w:rPr>
        <w:t>.</w:t>
      </w:r>
    </w:p>
    <w:p w:rsidR="00455563" w:rsidRPr="003B684E" w:rsidRDefault="00781832" w:rsidP="00455563">
      <w:pPr>
        <w:pStyle w:val="Prrafodelista"/>
        <w:numPr>
          <w:ilvl w:val="0"/>
          <w:numId w:val="30"/>
        </w:numPr>
        <w:spacing w:line="360" w:lineRule="auto"/>
        <w:ind w:right="-787"/>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Favor de especificar si el asunto lo tiene la Contraloría del </w:t>
      </w:r>
      <w:r w:rsidR="00455563" w:rsidRPr="003B684E">
        <w:rPr>
          <w:rFonts w:ascii="Palatino Linotype" w:eastAsia="Palatino Linotype" w:hAnsi="Palatino Linotype" w:cs="Palatino Linotype"/>
          <w:color w:val="000000"/>
        </w:rPr>
        <w:t>INFOEM.</w:t>
      </w:r>
    </w:p>
    <w:p w:rsidR="00455563" w:rsidRPr="003B684E" w:rsidRDefault="00455563" w:rsidP="00455563">
      <w:pPr>
        <w:pStyle w:val="Prrafodelista"/>
        <w:numPr>
          <w:ilvl w:val="0"/>
          <w:numId w:val="30"/>
        </w:numPr>
        <w:spacing w:line="360" w:lineRule="auto"/>
        <w:ind w:right="-787"/>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Indicar </w:t>
      </w:r>
      <w:r w:rsidR="00781832" w:rsidRPr="003B684E">
        <w:rPr>
          <w:rFonts w:ascii="Palatino Linotype" w:eastAsia="Palatino Linotype" w:hAnsi="Palatino Linotype" w:cs="Palatino Linotype"/>
          <w:color w:val="000000"/>
        </w:rPr>
        <w:t>si el recurso genera alguna responsabilidad direc</w:t>
      </w:r>
      <w:r w:rsidRPr="003B684E">
        <w:rPr>
          <w:rFonts w:ascii="Palatino Linotype" w:eastAsia="Palatino Linotype" w:hAnsi="Palatino Linotype" w:cs="Palatino Linotype"/>
          <w:color w:val="000000"/>
        </w:rPr>
        <w:t>ta a algún funcionario público.</w:t>
      </w:r>
    </w:p>
    <w:p w:rsidR="00455563" w:rsidRPr="003B684E" w:rsidRDefault="00455563" w:rsidP="00455563">
      <w:pPr>
        <w:pStyle w:val="Prrafodelista"/>
        <w:numPr>
          <w:ilvl w:val="0"/>
          <w:numId w:val="30"/>
        </w:numPr>
        <w:spacing w:line="360" w:lineRule="auto"/>
        <w:ind w:right="-787"/>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Indicar </w:t>
      </w:r>
      <w:r w:rsidR="00781832" w:rsidRPr="003B684E">
        <w:rPr>
          <w:rFonts w:ascii="Palatino Linotype" w:eastAsia="Palatino Linotype" w:hAnsi="Palatino Linotype" w:cs="Palatino Linotype"/>
          <w:color w:val="000000"/>
        </w:rPr>
        <w:t>si existe aperc</w:t>
      </w:r>
      <w:r w:rsidRPr="003B684E">
        <w:rPr>
          <w:rFonts w:ascii="Palatino Linotype" w:eastAsia="Palatino Linotype" w:hAnsi="Palatino Linotype" w:cs="Palatino Linotype"/>
          <w:color w:val="000000"/>
        </w:rPr>
        <w:t>ibimiento por parte del INFOEM.</w:t>
      </w:r>
    </w:p>
    <w:p w:rsidR="00781832" w:rsidRPr="003B684E" w:rsidRDefault="00455563" w:rsidP="00455563">
      <w:pPr>
        <w:pStyle w:val="Prrafodelista"/>
        <w:numPr>
          <w:ilvl w:val="0"/>
          <w:numId w:val="30"/>
        </w:numPr>
        <w:spacing w:line="360" w:lineRule="auto"/>
        <w:ind w:right="-787"/>
        <w:jc w:val="both"/>
        <w:rPr>
          <w:rFonts w:ascii="Palatino Linotype" w:eastAsia="Palatino Linotype" w:hAnsi="Palatino Linotype" w:cs="Palatino Linotype"/>
          <w:color w:val="000000"/>
          <w:lang w:val="es-ES"/>
        </w:rPr>
      </w:pPr>
      <w:r w:rsidRPr="003B684E">
        <w:rPr>
          <w:rFonts w:ascii="Palatino Linotype" w:eastAsia="Palatino Linotype" w:hAnsi="Palatino Linotype" w:cs="Palatino Linotype"/>
          <w:color w:val="000000"/>
        </w:rPr>
        <w:t xml:space="preserve">Indicar </w:t>
      </w:r>
      <w:r w:rsidR="00781832" w:rsidRPr="003B684E">
        <w:rPr>
          <w:rFonts w:ascii="Palatino Linotype" w:eastAsia="Palatino Linotype" w:hAnsi="Palatino Linotype" w:cs="Palatino Linotype"/>
          <w:color w:val="000000"/>
        </w:rPr>
        <w:t xml:space="preserve">si el asunto se encuentra </w:t>
      </w:r>
      <w:r w:rsidRPr="003B684E">
        <w:rPr>
          <w:rFonts w:ascii="Palatino Linotype" w:eastAsia="Palatino Linotype" w:hAnsi="Palatino Linotype" w:cs="Palatino Linotype"/>
          <w:color w:val="000000"/>
        </w:rPr>
        <w:t>concluido</w:t>
      </w:r>
      <w:r w:rsidR="00781832" w:rsidRPr="003B684E">
        <w:rPr>
          <w:rFonts w:ascii="Palatino Linotype" w:eastAsia="Palatino Linotype" w:hAnsi="Palatino Linotype" w:cs="Palatino Linotype"/>
          <w:color w:val="000000"/>
        </w:rPr>
        <w:t xml:space="preserve"> o</w:t>
      </w:r>
      <w:r w:rsidRPr="003B684E">
        <w:rPr>
          <w:rFonts w:ascii="Palatino Linotype" w:eastAsia="Palatino Linotype" w:hAnsi="Palatino Linotype" w:cs="Palatino Linotype"/>
          <w:color w:val="000000"/>
        </w:rPr>
        <w:t xml:space="preserve"> en proceso.</w:t>
      </w:r>
    </w:p>
    <w:p w:rsidR="00781832" w:rsidRPr="003B684E" w:rsidRDefault="00781832" w:rsidP="00455563">
      <w:pPr>
        <w:spacing w:line="360" w:lineRule="auto"/>
        <w:ind w:right="-787"/>
        <w:jc w:val="both"/>
        <w:rPr>
          <w:rFonts w:ascii="Palatino Linotype" w:eastAsia="Palatino Linotype" w:hAnsi="Palatino Linotype" w:cs="Palatino Linotype"/>
          <w:color w:val="000000"/>
          <w:lang w:val="es-ES"/>
        </w:rPr>
      </w:pPr>
    </w:p>
    <w:p w:rsidR="00455563" w:rsidRPr="003B684E" w:rsidRDefault="00781832"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color w:val="000000"/>
          <w:lang w:val="es-ES"/>
        </w:rPr>
        <w:t>De lo anterior, se considera que atendiendo los términos en que se formularon dichos requerimientos, se desprende que la pretensión de la persona solicitante es obtener un pronunciamiento del Sujeto Obligado en el sentido de que responda una situación en particular con rela</w:t>
      </w:r>
      <w:r w:rsidR="00455563" w:rsidRPr="003B684E">
        <w:rPr>
          <w:rFonts w:ascii="Palatino Linotype" w:eastAsia="Palatino Linotype" w:hAnsi="Palatino Linotype" w:cs="Palatino Linotype"/>
          <w:color w:val="000000"/>
          <w:lang w:val="es-ES"/>
        </w:rPr>
        <w:t xml:space="preserve">ción a cada recurso de revisión, </w:t>
      </w:r>
      <w:r w:rsidR="00455563" w:rsidRPr="003B684E">
        <w:rPr>
          <w:rFonts w:ascii="Palatino Linotype" w:eastAsia="Palatino Linotype" w:hAnsi="Palatino Linotype" w:cs="Palatino Linotype"/>
        </w:rPr>
        <w:t>situación que conlleva a afirmar que se está en presencia del ejercicio del derecho de petición.</w:t>
      </w:r>
    </w:p>
    <w:p w:rsidR="00455563" w:rsidRPr="003B684E" w:rsidRDefault="00455563" w:rsidP="00455563">
      <w:pPr>
        <w:spacing w:line="360" w:lineRule="auto"/>
        <w:ind w:right="-787"/>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Por lo que la entrega de una razón o un razonamiento por parte del </w:t>
      </w:r>
      <w:r w:rsidRPr="003B684E">
        <w:rPr>
          <w:rFonts w:ascii="Palatino Linotype" w:eastAsia="Palatino Linotype" w:hAnsi="Palatino Linotype" w:cs="Palatino Linotype"/>
          <w:b/>
        </w:rPr>
        <w:t>SUJETO OBLIGADO</w:t>
      </w:r>
      <w:r w:rsidRPr="003B684E">
        <w:rPr>
          <w:rFonts w:ascii="Palatino Linotype" w:eastAsia="Palatino Linotype" w:hAnsi="Palatino Linotype" w:cs="Palatino Linotype"/>
        </w:rPr>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Luego entonces, es importante dejar en claro lo que debe entenderse por derecho de petición y por derecho de acceso a la información pública.</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pStyle w:val="Ttulo2"/>
        <w:numPr>
          <w:ilvl w:val="0"/>
          <w:numId w:val="32"/>
        </w:numPr>
        <w:spacing w:before="0" w:line="360" w:lineRule="auto"/>
        <w:ind w:right="-787"/>
        <w:rPr>
          <w:rFonts w:ascii="Palatino Linotype" w:eastAsia="Palatino Linotype" w:hAnsi="Palatino Linotype" w:cs="Palatino Linotype"/>
          <w:b/>
          <w:i/>
          <w:color w:val="000000"/>
          <w:sz w:val="24"/>
          <w:szCs w:val="24"/>
        </w:rPr>
      </w:pPr>
      <w:r w:rsidRPr="003B684E">
        <w:rPr>
          <w:rFonts w:ascii="Palatino Linotype" w:eastAsia="Palatino Linotype" w:hAnsi="Palatino Linotype" w:cs="Palatino Linotype"/>
          <w:b/>
          <w:i/>
          <w:color w:val="000000"/>
          <w:sz w:val="24"/>
          <w:szCs w:val="24"/>
        </w:rPr>
        <w:t>El derecho de petición y de acceso a la información.</w:t>
      </w: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Por lo que respecta a la definición de </w:t>
      </w:r>
      <w:r w:rsidRPr="003B684E">
        <w:rPr>
          <w:rFonts w:ascii="Palatino Linotype" w:eastAsia="Palatino Linotype" w:hAnsi="Palatino Linotype" w:cs="Palatino Linotype"/>
          <w:b/>
        </w:rPr>
        <w:t>derecho de petición</w:t>
      </w:r>
      <w:r w:rsidRPr="003B684E">
        <w:rPr>
          <w:rFonts w:ascii="Palatino Linotype" w:eastAsia="Palatino Linotype" w:hAnsi="Palatino Linotype" w:cs="Palatino Linotype"/>
        </w:rPr>
        <w:t xml:space="preserve">, el Maestro Ignacio Burgoa Orihuela refiere: </w:t>
      </w:r>
    </w:p>
    <w:p w:rsidR="00455563" w:rsidRPr="003B684E" w:rsidRDefault="00455563" w:rsidP="00455563">
      <w:pPr>
        <w:ind w:right="-787"/>
        <w:jc w:val="both"/>
        <w:rPr>
          <w:rFonts w:ascii="Palatino Linotype" w:eastAsia="Palatino Linotype" w:hAnsi="Palatino Linotype" w:cs="Palatino Linotype"/>
        </w:rPr>
      </w:pPr>
    </w:p>
    <w:p w:rsidR="00455563" w:rsidRPr="003B684E" w:rsidRDefault="00455563" w:rsidP="00455563">
      <w:pPr>
        <w:ind w:left="567" w:right="-787"/>
        <w:jc w:val="both"/>
        <w:rPr>
          <w:rFonts w:ascii="Palatino Linotype" w:eastAsia="Palatino Linotype" w:hAnsi="Palatino Linotype" w:cs="Palatino Linotype"/>
          <w:i/>
        </w:rPr>
      </w:pPr>
      <w:r w:rsidRPr="003B684E">
        <w:rPr>
          <w:rFonts w:ascii="Palatino Linotype" w:eastAsia="Palatino Linotype" w:hAnsi="Palatino Linotype" w:cs="Palatino Linotype"/>
        </w:rPr>
        <w:lastRenderedPageBreak/>
        <w:t>“…</w:t>
      </w:r>
      <w:r w:rsidRPr="003B684E">
        <w:rPr>
          <w:rFonts w:ascii="Palatino Linotype" w:eastAsia="Palatino Linotype" w:hAnsi="Palatino Linotype" w:cs="Palatino Linotype"/>
          <w:i/>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3B684E">
        <w:rPr>
          <w:rFonts w:ascii="Palatino Linotype" w:eastAsia="Palatino Linotype" w:hAnsi="Palatino Linotype" w:cs="Palatino Linotype"/>
          <w:i/>
          <w:vertAlign w:val="superscript"/>
        </w:rPr>
        <w:footnoteReference w:id="1"/>
      </w:r>
      <w:r w:rsidRPr="003B684E">
        <w:rPr>
          <w:rFonts w:ascii="Palatino Linotype" w:eastAsia="Palatino Linotype" w:hAnsi="Palatino Linotype" w:cs="Palatino Linotype"/>
          <w:i/>
        </w:rPr>
        <w:t xml:space="preserve">  “(Sic)</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Por</w:t>
      </w:r>
      <w:r w:rsidRPr="003B684E">
        <w:rPr>
          <w:rFonts w:ascii="Palatino Linotype" w:eastAsia="Palatino Linotype" w:hAnsi="Palatino Linotype" w:cs="Palatino Linotype"/>
          <w:i/>
        </w:rPr>
        <w:t xml:space="preserve"> </w:t>
      </w:r>
      <w:r w:rsidRPr="003B684E">
        <w:rPr>
          <w:rFonts w:ascii="Palatino Linotype" w:eastAsia="Palatino Linotype" w:hAnsi="Palatino Linotype" w:cs="Palatino Linotype"/>
        </w:rPr>
        <w:t>su parte, David Cienfuegos Salgado, concibe al derecho de petición como:</w:t>
      </w:r>
    </w:p>
    <w:p w:rsidR="00455563" w:rsidRPr="003B684E" w:rsidRDefault="00455563" w:rsidP="00455563">
      <w:pPr>
        <w:ind w:right="-787"/>
        <w:jc w:val="both"/>
        <w:rPr>
          <w:rFonts w:ascii="Palatino Linotype" w:eastAsia="Palatino Linotype" w:hAnsi="Palatino Linotype" w:cs="Palatino Linotype"/>
        </w:rPr>
      </w:pPr>
    </w:p>
    <w:p w:rsidR="00455563" w:rsidRPr="003B684E" w:rsidRDefault="00455563" w:rsidP="00455563">
      <w:pPr>
        <w:ind w:left="1134" w:right="-787"/>
        <w:jc w:val="both"/>
        <w:rPr>
          <w:rFonts w:ascii="Palatino Linotype" w:eastAsia="Palatino Linotype" w:hAnsi="Palatino Linotype" w:cs="Palatino Linotype"/>
        </w:rPr>
      </w:pPr>
      <w:r w:rsidRPr="003B684E">
        <w:rPr>
          <w:rFonts w:ascii="Palatino Linotype" w:eastAsia="Palatino Linotype" w:hAnsi="Palatino Linotype" w:cs="Palatino Linotype"/>
          <w:i/>
        </w:rPr>
        <w:t xml:space="preserve">“el derecho de toda persona a ser escuchado por quienes ejercen el poder público. </w:t>
      </w:r>
      <w:r w:rsidRPr="003B684E">
        <w:rPr>
          <w:rFonts w:ascii="Palatino Linotype" w:eastAsia="Palatino Linotype" w:hAnsi="Palatino Linotype" w:cs="Palatino Linotype"/>
          <w:i/>
          <w:vertAlign w:val="superscript"/>
        </w:rPr>
        <w:footnoteReference w:id="2"/>
      </w:r>
      <w:r w:rsidRPr="003B684E">
        <w:rPr>
          <w:rFonts w:ascii="Palatino Linotype" w:eastAsia="Palatino Linotype" w:hAnsi="Palatino Linotype" w:cs="Palatino Linotype"/>
          <w:i/>
        </w:rPr>
        <w:t>” (Sic)</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Luego entonces, para diferenciar el derecho de petición al derecho de acceso a la información, resulta conducente señalar que José Guadalupe Robles, conceptualiza el </w:t>
      </w:r>
      <w:r w:rsidRPr="003B684E">
        <w:rPr>
          <w:rFonts w:ascii="Palatino Linotype" w:eastAsia="Palatino Linotype" w:hAnsi="Palatino Linotype" w:cs="Palatino Linotype"/>
          <w:b/>
        </w:rPr>
        <w:t>derecho a la información</w:t>
      </w:r>
      <w:r w:rsidRPr="003B684E">
        <w:rPr>
          <w:rFonts w:ascii="Palatino Linotype" w:eastAsia="Palatino Linotype" w:hAnsi="Palatino Linotype" w:cs="Palatino Linotype"/>
        </w:rPr>
        <w:t xml:space="preserve"> como:</w:t>
      </w:r>
    </w:p>
    <w:p w:rsidR="00455563" w:rsidRPr="003B684E" w:rsidRDefault="00455563" w:rsidP="00455563">
      <w:pPr>
        <w:ind w:left="567" w:right="-787"/>
        <w:jc w:val="both"/>
        <w:rPr>
          <w:rFonts w:ascii="Palatino Linotype" w:eastAsia="Palatino Linotype" w:hAnsi="Palatino Linotype" w:cs="Palatino Linotype"/>
        </w:rPr>
      </w:pPr>
    </w:p>
    <w:p w:rsidR="00455563" w:rsidRPr="003B684E" w:rsidRDefault="00455563" w:rsidP="00455563">
      <w:pPr>
        <w:ind w:left="567" w:right="-787"/>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 </w:t>
      </w:r>
      <w:r w:rsidRPr="003B684E">
        <w:rPr>
          <w:rFonts w:ascii="Palatino Linotype" w:eastAsia="Palatino Linotype" w:hAnsi="Palatino Linotype" w:cs="Palatino Linotype"/>
          <w:i/>
        </w:rPr>
        <w:t xml:space="preserve">“un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3B684E">
        <w:rPr>
          <w:rFonts w:ascii="Palatino Linotype" w:eastAsia="Palatino Linotype" w:hAnsi="Palatino Linotype" w:cs="Palatino Linotype"/>
          <w:i/>
          <w:vertAlign w:val="superscript"/>
        </w:rPr>
        <w:footnoteReference w:id="3"/>
      </w:r>
      <w:r w:rsidRPr="003B684E">
        <w:rPr>
          <w:rFonts w:ascii="Palatino Linotype" w:eastAsia="Palatino Linotype" w:hAnsi="Palatino Linotype" w:cs="Palatino Linotype"/>
          <w:i/>
        </w:rPr>
        <w:t>“(Sic)</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Ahora </w:t>
      </w:r>
      <w:r w:rsidRPr="003B684E">
        <w:rPr>
          <w:rFonts w:ascii="Palatino Linotype" w:eastAsia="Palatino Linotype" w:hAnsi="Palatino Linotype" w:cs="Palatino Linotype"/>
          <w:color w:val="000000"/>
        </w:rPr>
        <w:t xml:space="preserve">bien, el derecho </w:t>
      </w:r>
      <w:r w:rsidRPr="003B684E">
        <w:rPr>
          <w:rFonts w:ascii="Palatino Linotype" w:eastAsia="Palatino Linotype" w:hAnsi="Palatino Linotype" w:cs="Palatino Linotype"/>
        </w:rPr>
        <w:t>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lastRenderedPageBreak/>
        <w:t xml:space="preserve">Es </w:t>
      </w:r>
      <w:r w:rsidRPr="003B684E">
        <w:rPr>
          <w:rFonts w:ascii="Palatino Linotype" w:eastAsia="Palatino Linotype" w:hAnsi="Palatino Linotype" w:cs="Palatino Linotype"/>
          <w:color w:val="000000"/>
        </w:rPr>
        <w:t xml:space="preserve">por ello </w:t>
      </w:r>
      <w:r w:rsidRPr="003B684E">
        <w:rPr>
          <w:rFonts w:ascii="Palatino Linotype" w:eastAsia="Palatino Linotype" w:hAnsi="Palatino Linotype" w:cs="Palatino Linotype"/>
        </w:rPr>
        <w:t>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Por tanto</w:t>
      </w:r>
      <w:r w:rsidRPr="003B684E">
        <w:rPr>
          <w:rFonts w:ascii="Palatino Linotype" w:eastAsia="Palatino Linotype" w:hAnsi="Palatino Linotype" w:cs="Palatino Linotype"/>
          <w:color w:val="000000"/>
        </w:rPr>
        <w:t xml:space="preserve">, </w:t>
      </w:r>
      <w:r w:rsidRPr="003B684E">
        <w:rPr>
          <w:rFonts w:ascii="Palatino Linotype" w:eastAsia="Palatino Linotype" w:hAnsi="Palatino Linotype" w:cs="Palatino Linotype"/>
        </w:rPr>
        <w:t>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para cualquier persona, en los términos y condiciones que se establezcan en los tratados internacionales de los que el Estado mexicano sea parte, en la Ley General de Transparencia y Acceso a la Información Pública, la Ley de Transparencia vigente en nuestra entidad y demás disposiciones de la materia, privilegiando el principio de máxima publicidad de la información.</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En esa tesitura, los Sujetos Obligados deberán poner en práctica, políticas y programas de acceso a la información que se apeguen a criterios de publicidad, veracidad, oportunidad, precisión y suficiencia en beneficio de los solicitantes.</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Lo </w:t>
      </w:r>
      <w:r w:rsidRPr="003B684E">
        <w:rPr>
          <w:rFonts w:ascii="Palatino Linotype" w:eastAsia="Palatino Linotype" w:hAnsi="Palatino Linotype" w:cs="Palatino Linotype"/>
          <w:color w:val="000000"/>
        </w:rPr>
        <w:t xml:space="preserve">anterior, </w:t>
      </w:r>
      <w:r w:rsidRPr="003B684E">
        <w:rPr>
          <w:rFonts w:ascii="Palatino Linotype" w:eastAsia="Palatino Linotype" w:hAnsi="Palatino Linotype" w:cs="Palatino Linotype"/>
        </w:rPr>
        <w:t>tiene sustento en los artículos 3, fracciones XI y XXII; 4; 11 y 12 de la Ley de Transparencia y Acceso a la Información Pública del Estado de México y Municipios:</w:t>
      </w:r>
    </w:p>
    <w:p w:rsidR="00455563" w:rsidRPr="003B684E" w:rsidRDefault="00455563" w:rsidP="00455563">
      <w:pPr>
        <w:ind w:left="567" w:right="-787"/>
        <w:rPr>
          <w:rFonts w:ascii="Palatino Linotype" w:eastAsia="Palatino Linotype" w:hAnsi="Palatino Linotype" w:cs="Palatino Linotype"/>
          <w:i/>
        </w:rPr>
      </w:pPr>
      <w:r w:rsidRPr="003B684E">
        <w:rPr>
          <w:rFonts w:ascii="Palatino Linotype" w:eastAsia="Palatino Linotype" w:hAnsi="Palatino Linotype" w:cs="Palatino Linotype"/>
          <w:b/>
          <w:i/>
        </w:rPr>
        <w:t xml:space="preserve">“Artículo 3. Para los efectos de la presente Ley se entenderá por: </w:t>
      </w:r>
      <w:r w:rsidRPr="003B684E">
        <w:rPr>
          <w:rFonts w:ascii="Palatino Linotype" w:eastAsia="Palatino Linotype" w:hAnsi="Palatino Linotype" w:cs="Palatino Linotype"/>
          <w:i/>
        </w:rPr>
        <w:t>…</w:t>
      </w:r>
    </w:p>
    <w:p w:rsidR="00455563" w:rsidRPr="003B684E" w:rsidRDefault="00455563" w:rsidP="00455563">
      <w:pPr>
        <w:spacing w:before="1"/>
        <w:ind w:left="567" w:right="-787"/>
        <w:rPr>
          <w:rFonts w:ascii="Palatino Linotype" w:eastAsia="Palatino Linotype" w:hAnsi="Palatino Linotype" w:cs="Palatino Linotype"/>
          <w:i/>
        </w:rPr>
      </w:pPr>
      <w:r w:rsidRPr="003B684E">
        <w:rPr>
          <w:rFonts w:ascii="Palatino Linotype" w:eastAsia="Palatino Linotype" w:hAnsi="Palatino Linotype" w:cs="Palatino Linotype"/>
          <w:i/>
        </w:rPr>
        <w:t>…</w:t>
      </w:r>
    </w:p>
    <w:p w:rsidR="00455563" w:rsidRPr="003B684E" w:rsidRDefault="00455563" w:rsidP="00455563">
      <w:pPr>
        <w:spacing w:before="1"/>
        <w:ind w:left="567" w:right="-787"/>
        <w:jc w:val="both"/>
        <w:rPr>
          <w:rFonts w:ascii="Palatino Linotype" w:eastAsia="Palatino Linotype" w:hAnsi="Palatino Linotype" w:cs="Palatino Linotype"/>
          <w:i/>
        </w:rPr>
      </w:pPr>
      <w:r w:rsidRPr="003B684E">
        <w:rPr>
          <w:rFonts w:ascii="Palatino Linotype" w:eastAsia="Palatino Linotype" w:hAnsi="Palatino Linotype" w:cs="Palatino Linotype"/>
          <w:b/>
          <w:i/>
        </w:rPr>
        <w:t xml:space="preserve">XI. Documento: </w:t>
      </w:r>
      <w:r w:rsidRPr="003B684E">
        <w:rPr>
          <w:rFonts w:ascii="Palatino Linotype" w:eastAsia="Palatino Linotype" w:hAnsi="Palatino Linotype" w:cs="Palatino Linotype"/>
          <w:i/>
        </w:rPr>
        <w:t xml:space="preserve">Los expedientes, reportes, estudios, actas, resoluciones, oficios, correspondencia, acuerdos, directivas, directrices, circulares, contratos, convenios, instructivos, notas, memorandos, estadísticas o bien, cualquier otro registro que documente el ejercicio de las </w:t>
      </w:r>
      <w:r w:rsidRPr="003B684E">
        <w:rPr>
          <w:rFonts w:ascii="Palatino Linotype" w:eastAsia="Palatino Linotype" w:hAnsi="Palatino Linotype" w:cs="Palatino Linotype"/>
          <w:i/>
        </w:rPr>
        <w:lastRenderedPageBreak/>
        <w:t>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455563" w:rsidRPr="003B684E" w:rsidRDefault="00455563" w:rsidP="00455563">
      <w:pPr>
        <w:ind w:left="567" w:right="-787"/>
        <w:rPr>
          <w:rFonts w:ascii="Palatino Linotype" w:eastAsia="Palatino Linotype" w:hAnsi="Palatino Linotype" w:cs="Palatino Linotype"/>
          <w:i/>
        </w:rPr>
      </w:pPr>
      <w:r w:rsidRPr="003B684E">
        <w:rPr>
          <w:rFonts w:ascii="Palatino Linotype" w:eastAsia="Palatino Linotype" w:hAnsi="Palatino Linotype" w:cs="Palatino Linotype"/>
          <w:i/>
        </w:rPr>
        <w:t>…</w:t>
      </w:r>
    </w:p>
    <w:p w:rsidR="00455563" w:rsidRPr="003B684E" w:rsidRDefault="00455563" w:rsidP="00455563">
      <w:pPr>
        <w:spacing w:before="1"/>
        <w:ind w:left="567" w:right="-787"/>
        <w:jc w:val="both"/>
        <w:rPr>
          <w:rFonts w:ascii="Palatino Linotype" w:eastAsia="Palatino Linotype" w:hAnsi="Palatino Linotype" w:cs="Palatino Linotype"/>
          <w:i/>
        </w:rPr>
      </w:pPr>
      <w:r w:rsidRPr="003B684E">
        <w:rPr>
          <w:rFonts w:ascii="Palatino Linotype" w:eastAsia="Palatino Linotype" w:hAnsi="Palatino Linotype" w:cs="Palatino Linotype"/>
          <w:b/>
          <w:i/>
        </w:rPr>
        <w:t xml:space="preserve">XXII. </w:t>
      </w:r>
      <w:r w:rsidRPr="003B684E">
        <w:rPr>
          <w:rFonts w:ascii="Palatino Linotype" w:eastAsia="Palatino Linotype" w:hAnsi="Palatino Linotype" w:cs="Palatino Linotype"/>
          <w:i/>
        </w:rPr>
        <w:t>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p w:rsidR="00455563" w:rsidRPr="003B684E" w:rsidRDefault="00455563" w:rsidP="00455563">
      <w:pPr>
        <w:spacing w:before="1"/>
        <w:ind w:left="567" w:right="-787"/>
        <w:jc w:val="both"/>
        <w:rPr>
          <w:rFonts w:ascii="Palatino Linotype" w:eastAsia="Palatino Linotype" w:hAnsi="Palatino Linotype" w:cs="Palatino Linotype"/>
          <w:i/>
        </w:rPr>
      </w:pPr>
    </w:p>
    <w:p w:rsidR="00455563" w:rsidRPr="003B684E" w:rsidRDefault="00455563" w:rsidP="00455563">
      <w:pPr>
        <w:ind w:left="567" w:right="-787"/>
        <w:rPr>
          <w:rFonts w:ascii="Palatino Linotype" w:eastAsia="Palatino Linotype" w:hAnsi="Palatino Linotype" w:cs="Palatino Linotype"/>
          <w:i/>
        </w:rPr>
      </w:pPr>
      <w:r w:rsidRPr="003B684E">
        <w:rPr>
          <w:rFonts w:ascii="Palatino Linotype" w:eastAsia="Palatino Linotype" w:hAnsi="Palatino Linotype" w:cs="Palatino Linotype"/>
          <w:b/>
          <w:i/>
        </w:rPr>
        <w:t xml:space="preserve">Artículo 4. </w:t>
      </w:r>
      <w:r w:rsidRPr="003B684E">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455563" w:rsidRPr="003B684E" w:rsidRDefault="00455563" w:rsidP="00455563">
      <w:pPr>
        <w:spacing w:before="31"/>
        <w:ind w:left="567" w:right="-787"/>
        <w:jc w:val="both"/>
        <w:rPr>
          <w:rFonts w:ascii="Palatino Linotype" w:eastAsia="Palatino Linotype" w:hAnsi="Palatino Linotype" w:cs="Palatino Linotype"/>
          <w:i/>
        </w:rPr>
      </w:pPr>
      <w:r w:rsidRPr="003B684E">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455563" w:rsidRPr="003B684E" w:rsidRDefault="00455563" w:rsidP="00455563">
      <w:pPr>
        <w:ind w:left="567" w:right="-787"/>
        <w:jc w:val="both"/>
        <w:rPr>
          <w:rFonts w:ascii="Palatino Linotype" w:eastAsia="Palatino Linotype" w:hAnsi="Palatino Linotype" w:cs="Palatino Linotype"/>
          <w:i/>
        </w:rPr>
      </w:pPr>
      <w:r w:rsidRPr="003B684E">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455563" w:rsidRPr="003B684E" w:rsidRDefault="00455563" w:rsidP="00455563">
      <w:pPr>
        <w:ind w:left="567" w:right="-787"/>
        <w:jc w:val="both"/>
        <w:rPr>
          <w:rFonts w:ascii="Palatino Linotype" w:eastAsia="Palatino Linotype" w:hAnsi="Palatino Linotype" w:cs="Palatino Linotype"/>
          <w:i/>
        </w:rPr>
      </w:pPr>
    </w:p>
    <w:p w:rsidR="00455563" w:rsidRPr="003B684E" w:rsidRDefault="00455563" w:rsidP="00455563">
      <w:pPr>
        <w:ind w:left="567" w:right="-787"/>
        <w:jc w:val="both"/>
        <w:rPr>
          <w:rFonts w:ascii="Palatino Linotype" w:eastAsia="Palatino Linotype" w:hAnsi="Palatino Linotype" w:cs="Palatino Linotype"/>
          <w:i/>
        </w:rPr>
      </w:pPr>
      <w:r w:rsidRPr="003B684E">
        <w:rPr>
          <w:rFonts w:ascii="Palatino Linotype" w:eastAsia="Palatino Linotype" w:hAnsi="Palatino Linotype" w:cs="Palatino Linotype"/>
          <w:b/>
          <w:i/>
        </w:rPr>
        <w:t xml:space="preserve">Artículo 11.- </w:t>
      </w:r>
      <w:r w:rsidRPr="003B684E">
        <w:rPr>
          <w:rFonts w:ascii="Palatino Linotype" w:eastAsia="Palatino Linotype" w:hAnsi="Palatino Linotype" w:cs="Palatino Linotype"/>
          <w:i/>
        </w:rPr>
        <w:t>Los Sujetos Obligados sólo proporcionarán la información que generen en el ejercicio de sus atribuciones.</w:t>
      </w:r>
    </w:p>
    <w:p w:rsidR="00455563" w:rsidRPr="003B684E" w:rsidRDefault="00455563" w:rsidP="00455563">
      <w:pPr>
        <w:ind w:left="567" w:right="-787"/>
        <w:jc w:val="both"/>
        <w:rPr>
          <w:rFonts w:ascii="Palatino Linotype" w:eastAsia="Palatino Linotype" w:hAnsi="Palatino Linotype" w:cs="Palatino Linotype"/>
          <w:i/>
        </w:rPr>
      </w:pPr>
    </w:p>
    <w:p w:rsidR="00455563" w:rsidRPr="003B684E" w:rsidRDefault="00455563" w:rsidP="00455563">
      <w:pPr>
        <w:ind w:left="567" w:right="-787"/>
        <w:jc w:val="both"/>
        <w:rPr>
          <w:rFonts w:ascii="Palatino Linotype" w:eastAsia="Palatino Linotype" w:hAnsi="Palatino Linotype" w:cs="Palatino Linotype"/>
          <w:i/>
        </w:rPr>
      </w:pPr>
      <w:r w:rsidRPr="003B684E">
        <w:rPr>
          <w:rFonts w:ascii="Palatino Linotype" w:eastAsia="Palatino Linotype" w:hAnsi="Palatino Linotype" w:cs="Palatino Linotype"/>
          <w:b/>
          <w:i/>
        </w:rPr>
        <w:t xml:space="preserve">Artículo 12. </w:t>
      </w:r>
      <w:r w:rsidRPr="003B684E">
        <w:rPr>
          <w:rFonts w:ascii="Palatino Linotype" w:eastAsia="Palatino Linotype" w:hAnsi="Palatino Linotype" w:cs="Palatino Linotype"/>
          <w:i/>
        </w:rPr>
        <w:t>Quienes generen, recopilen, administren, manejen, procesen, archiven o conserven información pública serán responsables de la misma en los términos de las disposiciones jurídicas aplicables.</w:t>
      </w:r>
    </w:p>
    <w:p w:rsidR="00455563" w:rsidRPr="003B684E" w:rsidRDefault="00455563" w:rsidP="00455563">
      <w:pPr>
        <w:ind w:left="567" w:right="-787"/>
        <w:jc w:val="both"/>
        <w:rPr>
          <w:rFonts w:ascii="Palatino Linotype" w:eastAsia="Palatino Linotype" w:hAnsi="Palatino Linotype" w:cs="Palatino Linotype"/>
          <w:i/>
        </w:rPr>
      </w:pPr>
      <w:r w:rsidRPr="003B684E">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455563" w:rsidRPr="003B684E" w:rsidRDefault="00455563" w:rsidP="00455563">
      <w:pPr>
        <w:ind w:right="-787"/>
        <w:jc w:val="both"/>
        <w:rPr>
          <w:rFonts w:ascii="Palatino Linotype" w:eastAsia="Palatino Linotype" w:hAnsi="Palatino Linotype" w:cs="Palatino Linotype"/>
          <w:b/>
          <w:i/>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De una interpretación </w:t>
      </w:r>
      <w:r w:rsidRPr="003B684E">
        <w:rPr>
          <w:rFonts w:ascii="Palatino Linotype" w:eastAsia="Palatino Linotype" w:hAnsi="Palatino Linotype" w:cs="Palatino Linotype"/>
          <w:color w:val="000000"/>
        </w:rPr>
        <w:t xml:space="preserve">sistemática de los artículos anteriores, se puede advertir que el ejercicio del derecho de acceso a la información pública se centra en la potestad de los </w:t>
      </w:r>
      <w:r w:rsidRPr="003B684E">
        <w:rPr>
          <w:rFonts w:ascii="Palatino Linotype" w:eastAsia="Palatino Linotype" w:hAnsi="Palatino Linotype" w:cs="Palatino Linotype"/>
          <w:color w:val="000000"/>
        </w:rPr>
        <w:lastRenderedPageBreak/>
        <w:t>particulares para conocer el contenido de los documentos que obren en los archivos de los Sujetos Obligados, ya sea porque los generen, administren o simplemente los posean en el ejercicio de sus atribuciones.</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Para </w:t>
      </w:r>
      <w:r w:rsidRPr="003B684E">
        <w:rPr>
          <w:rFonts w:ascii="Palatino Linotype" w:eastAsia="Palatino Linotype" w:hAnsi="Palatino Linotype" w:cs="Palatino Linotype"/>
          <w:color w:val="000000"/>
        </w:rPr>
        <w:t xml:space="preserve">ello, la Ley </w:t>
      </w:r>
      <w:r w:rsidRPr="003B684E">
        <w:rPr>
          <w:rFonts w:ascii="Palatino Linotype" w:eastAsia="Palatino Linotype" w:hAnsi="Palatino Linotype" w:cs="Palatino Linotype"/>
        </w:rPr>
        <w:t xml:space="preserve">de la materia otorga la calidad de documento a los expedientes, reportes, estudios, actas, resoluciones, oficios, correspondencia, acuerdos, directivas, directrices, circulares, contratos, convenios, instructivos, notas, memorandos, estadísticas o bien, </w:t>
      </w:r>
      <w:r w:rsidRPr="003B684E">
        <w:rPr>
          <w:rFonts w:ascii="Palatino Linotype" w:eastAsia="Palatino Linotype" w:hAnsi="Palatino Linotype" w:cs="Palatino Linotype"/>
          <w:b/>
        </w:rPr>
        <w:t>cualquier otro registro que documente el ejercicio de las facultades, funciones y competencias de los sujetos obligados</w:t>
      </w:r>
      <w:r w:rsidRPr="003B684E">
        <w:rPr>
          <w:rFonts w:ascii="Palatino Linotype" w:eastAsia="Palatino Linotype" w:hAnsi="Palatino Linotype" w:cs="Palatino Linotype"/>
        </w:rPr>
        <w:t>, sus servidores públicos e integrantes, sin importar su fuente o fecha de elaboración. Los documentos podrán estar en cualquier medio, sea escrito, impreso, sonoro, visual, electrónico, informático u holográfico.</w:t>
      </w:r>
    </w:p>
    <w:p w:rsidR="00455563" w:rsidRPr="003B684E" w:rsidRDefault="00455563" w:rsidP="00455563">
      <w:pPr>
        <w:ind w:right="-787"/>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Por otro </w:t>
      </w:r>
      <w:r w:rsidRPr="003B684E">
        <w:rPr>
          <w:rFonts w:ascii="Palatino Linotype" w:eastAsia="Palatino Linotype" w:hAnsi="Palatino Linotype" w:cs="Palatino Linotype"/>
          <w:color w:val="000000"/>
        </w:rPr>
        <w:t xml:space="preserve">lado, </w:t>
      </w:r>
      <w:r w:rsidRPr="003B684E">
        <w:rPr>
          <w:rFonts w:ascii="Palatino Linotype" w:eastAsia="Palatino Linotype" w:hAnsi="Palatino Linotype" w:cs="Palatino Linotype"/>
        </w:rPr>
        <w:t>así como la Constitución y la Ley de la materia otorgan a los particulares el derecho de acceder a los documentos generados o en posesión de las autoridades; también lo es que, la obligación de proporcionar información no comprende el procesamiento de esta, ni el presentarla conforme al interés del solicitante ya que no están constreñidos a generarla, resumir, efectuar cálculos o practicar investigaciones.</w:t>
      </w:r>
    </w:p>
    <w:p w:rsidR="00455563" w:rsidRPr="003B684E" w:rsidRDefault="00455563" w:rsidP="00455563">
      <w:pPr>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Así, el derecho a la información constituye una prerrogativa a acceder a documentación en poder de los Sujetos Obligados, no así a realizar cuestionamientos, o manifestaciones subjetivas. Sirve de apoyo a lo anterior la definición de </w:t>
      </w:r>
      <w:r w:rsidRPr="003B684E">
        <w:rPr>
          <w:rFonts w:ascii="Palatino Linotype" w:eastAsia="Palatino Linotype" w:hAnsi="Palatino Linotype" w:cs="Palatino Linotype"/>
          <w:b/>
        </w:rPr>
        <w:t>derecho a la información</w:t>
      </w:r>
      <w:r w:rsidRPr="003B684E">
        <w:rPr>
          <w:rFonts w:ascii="Palatino Linotype" w:eastAsia="Palatino Linotype" w:hAnsi="Palatino Linotype" w:cs="Palatino Linotype"/>
        </w:rPr>
        <w:t xml:space="preserve"> de Ernesto Villanueva Villanueva, que dice: </w:t>
      </w:r>
    </w:p>
    <w:p w:rsidR="00455563" w:rsidRPr="003B684E" w:rsidRDefault="00455563" w:rsidP="00455563">
      <w:pPr>
        <w:ind w:right="-787"/>
        <w:jc w:val="both"/>
        <w:rPr>
          <w:rFonts w:ascii="Palatino Linotype" w:eastAsia="Palatino Linotype" w:hAnsi="Palatino Linotype" w:cs="Palatino Linotype"/>
        </w:rPr>
      </w:pPr>
    </w:p>
    <w:p w:rsidR="00455563" w:rsidRPr="003B684E" w:rsidRDefault="00455563" w:rsidP="00455563">
      <w:pPr>
        <w:ind w:left="567" w:right="-787"/>
        <w:jc w:val="both"/>
        <w:rPr>
          <w:rFonts w:ascii="Palatino Linotype" w:eastAsia="Palatino Linotype" w:hAnsi="Palatino Linotype" w:cs="Palatino Linotype"/>
        </w:rPr>
      </w:pPr>
      <w:r w:rsidRPr="003B684E">
        <w:rPr>
          <w:rFonts w:ascii="Palatino Linotype" w:eastAsia="Palatino Linotype" w:hAnsi="Palatino Linotype" w:cs="Palatino Linotype"/>
          <w:i/>
        </w:rPr>
        <w:lastRenderedPageBreak/>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3B684E">
        <w:rPr>
          <w:rFonts w:ascii="Palatino Linotype" w:eastAsia="Palatino Linotype" w:hAnsi="Palatino Linotype" w:cs="Palatino Linotype"/>
          <w:i/>
          <w:vertAlign w:val="superscript"/>
        </w:rPr>
        <w:footnoteReference w:id="4"/>
      </w:r>
      <w:r w:rsidRPr="003B684E">
        <w:rPr>
          <w:rFonts w:ascii="Palatino Linotype" w:eastAsia="Palatino Linotype" w:hAnsi="Palatino Linotype" w:cs="Palatino Linotype"/>
          <w:i/>
        </w:rPr>
        <w:t xml:space="preserve">” (Sic)  </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Así, se puede concluir que la distinción entre el derecho de petición y el derecho de acceso a la información pública estriba principalmente en que en el primero de ellos, la pretensión del peticionario consiste generalmente en obligar a la autoridad responsable a que actúe en el sentido de contestar lo solicitado, mientras que en el segundo supuesto </w:t>
      </w:r>
      <w:r w:rsidRPr="003B684E">
        <w:rPr>
          <w:rFonts w:ascii="Palatino Linotype" w:eastAsia="Palatino Linotype" w:hAnsi="Palatino Linotype" w:cs="Palatino Linotype"/>
          <w:b/>
          <w:u w:val="single"/>
        </w:rPr>
        <w:t>la solicitud de acceso a la información pública se encamina primordialmente a permitir el acceso a datos, registros y todo tipo de</w:t>
      </w:r>
      <w:r w:rsidRPr="003B684E">
        <w:rPr>
          <w:rFonts w:ascii="Palatino Linotype" w:eastAsia="Palatino Linotype" w:hAnsi="Palatino Linotype" w:cs="Palatino Linotype"/>
          <w:b/>
        </w:rPr>
        <w:t xml:space="preserve"> </w:t>
      </w:r>
      <w:r w:rsidRPr="003B684E">
        <w:rPr>
          <w:rFonts w:ascii="Palatino Linotype" w:eastAsia="Palatino Linotype" w:hAnsi="Palatino Linotype" w:cs="Palatino Linotype"/>
          <w:b/>
          <w:u w:val="single"/>
        </w:rPr>
        <w:t>información pública que consten en documentos, sea generada o se encuentre en</w:t>
      </w:r>
      <w:r w:rsidRPr="003B684E">
        <w:rPr>
          <w:rFonts w:ascii="Palatino Linotype" w:eastAsia="Palatino Linotype" w:hAnsi="Palatino Linotype" w:cs="Palatino Linotype"/>
          <w:b/>
        </w:rPr>
        <w:t xml:space="preserve"> </w:t>
      </w:r>
      <w:r w:rsidRPr="003B684E">
        <w:rPr>
          <w:rFonts w:ascii="Palatino Linotype" w:eastAsia="Palatino Linotype" w:hAnsi="Palatino Linotype" w:cs="Palatino Linotype"/>
          <w:b/>
          <w:u w:val="single"/>
        </w:rPr>
        <w:t xml:space="preserve">posesión de la autoridad.  </w:t>
      </w:r>
    </w:p>
    <w:p w:rsidR="00455563" w:rsidRPr="003B684E" w:rsidRDefault="00455563" w:rsidP="00455563">
      <w:pPr>
        <w:spacing w:line="360" w:lineRule="auto"/>
        <w:ind w:right="-787"/>
        <w:jc w:val="both"/>
        <w:rPr>
          <w:rFonts w:ascii="Palatino Linotype" w:eastAsia="Palatino Linotype" w:hAnsi="Palatino Linotype" w:cs="Palatino Linotype"/>
        </w:rPr>
      </w:pPr>
    </w:p>
    <w:p w:rsidR="00455563" w:rsidRPr="003B684E" w:rsidRDefault="00455563" w:rsidP="00455563">
      <w:pPr>
        <w:numPr>
          <w:ilvl w:val="0"/>
          <w:numId w:val="2"/>
        </w:numPr>
        <w:spacing w:line="360" w:lineRule="auto"/>
        <w:ind w:left="0" w:right="-787" w:firstLine="0"/>
        <w:jc w:val="both"/>
        <w:rPr>
          <w:rFonts w:ascii="Palatino Linotype" w:eastAsia="Palatino Linotype" w:hAnsi="Palatino Linotype" w:cs="Palatino Linotype"/>
          <w:b/>
        </w:rPr>
      </w:pPr>
      <w:r w:rsidRPr="003B684E">
        <w:rPr>
          <w:rFonts w:ascii="Palatino Linotype" w:eastAsia="Palatino Linotype" w:hAnsi="Palatino Linotype" w:cs="Palatino Linotype"/>
        </w:rPr>
        <w:t xml:space="preserve">Es así como, la entrega de una razón o un razonamiento por parte del </w:t>
      </w:r>
      <w:r w:rsidRPr="003B684E">
        <w:rPr>
          <w:rFonts w:ascii="Palatino Linotype" w:eastAsia="Palatino Linotype" w:hAnsi="Palatino Linotype" w:cs="Palatino Linotype"/>
          <w:b/>
        </w:rPr>
        <w:t xml:space="preserve">SUJETO OBLIGADO </w:t>
      </w:r>
      <w:r w:rsidRPr="003B684E">
        <w:rPr>
          <w:rFonts w:ascii="Palatino Linotype" w:eastAsia="Palatino Linotype" w:hAnsi="Palatino Linotype" w:cs="Palatino Linotype"/>
        </w:rPr>
        <w:t>no es algo que la ley establezca como atribución, derecho, o facultad; pues ello implicaría un juicio de valor referente a un cuestionamiento realizado, los cuales, al constituir interrogantes, inquietudes y manifestaciones</w:t>
      </w:r>
      <w:r w:rsidRPr="003B684E">
        <w:rPr>
          <w:rFonts w:ascii="Palatino Linotype" w:eastAsia="Palatino Linotype" w:hAnsi="Palatino Linotype" w:cs="Palatino Linotype"/>
          <w:b/>
        </w:rPr>
        <w:t xml:space="preserve"> </w:t>
      </w:r>
      <w:r w:rsidRPr="003B684E">
        <w:rPr>
          <w:rFonts w:ascii="Palatino Linotype" w:eastAsia="Palatino Linotype" w:hAnsi="Palatino Linotype" w:cs="Palatino Linotype"/>
        </w:rPr>
        <w:t>se satisfacen vía derecho de petición.</w:t>
      </w:r>
    </w:p>
    <w:p w:rsidR="00455563" w:rsidRPr="003B684E" w:rsidRDefault="00455563" w:rsidP="00455563">
      <w:pPr>
        <w:spacing w:line="360" w:lineRule="auto"/>
        <w:ind w:right="-787"/>
        <w:jc w:val="both"/>
        <w:rPr>
          <w:rFonts w:ascii="Palatino Linotype" w:eastAsia="Palatino Linotype" w:hAnsi="Palatino Linotype" w:cs="Palatino Linotype"/>
        </w:rPr>
      </w:pPr>
    </w:p>
    <w:p w:rsidR="00D76786" w:rsidRPr="003B684E"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Por otro lado, con relación al requerimiento marcado en el numeral 2 relativo a las </w:t>
      </w:r>
      <w:r w:rsidRPr="003B684E">
        <w:rPr>
          <w:rFonts w:ascii="Palatino Linotype" w:eastAsia="Palatino Linotype" w:hAnsi="Palatino Linotype" w:cs="Palatino Linotype"/>
          <w:i/>
          <w:u w:val="single"/>
        </w:rPr>
        <w:t>Capturas de pantalla de los turnos de la solicitud de información a las áreas competentes</w:t>
      </w:r>
      <w:r w:rsidRPr="003B684E">
        <w:rPr>
          <w:rFonts w:ascii="Palatino Linotype" w:eastAsia="Palatino Linotype" w:hAnsi="Palatino Linotype" w:cs="Palatino Linotype"/>
        </w:rPr>
        <w:t xml:space="preserve">, es de referir que dicho punto conlleva el procesamiento de información a lo cual no está constreñido el Sujeto Obligado de conformidad con el segundo párrafo del artículo 12 de la Ley de Transparencia Local que indica que, los sujetos obligados sólo proporcionarán la información pública que se les requiera y que obre en sus archivos y en el estado en que ésta se encuentre; </w:t>
      </w:r>
      <w:r w:rsidRPr="003B684E">
        <w:rPr>
          <w:rFonts w:ascii="Palatino Linotype" w:eastAsia="Palatino Linotype" w:hAnsi="Palatino Linotype" w:cs="Palatino Linotype"/>
        </w:rPr>
        <w:lastRenderedPageBreak/>
        <w:t>obligación de proporcionar información que no comprende el procesamiento de la misma, ni el presentarla conforme al interés del solicitante.</w:t>
      </w:r>
    </w:p>
    <w:p w:rsidR="00D76786" w:rsidRPr="003B684E" w:rsidRDefault="00D76786" w:rsidP="00D76786">
      <w:pPr>
        <w:rPr>
          <w:rFonts w:eastAsia="Palatino Linotype" w:cs="Palatino Linotype"/>
          <w:color w:val="000000"/>
        </w:rPr>
      </w:pPr>
    </w:p>
    <w:p w:rsidR="00D76786" w:rsidRPr="003B684E"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rsidR="00D76786" w:rsidRPr="003B684E" w:rsidRDefault="00D76786" w:rsidP="00D76786">
      <w:pPr>
        <w:spacing w:line="360" w:lineRule="auto"/>
        <w:ind w:right="-787"/>
        <w:jc w:val="both"/>
        <w:rPr>
          <w:rFonts w:ascii="Palatino Linotype" w:eastAsia="Palatino Linotype" w:hAnsi="Palatino Linotype" w:cs="Palatino Linotype"/>
        </w:rPr>
      </w:pPr>
    </w:p>
    <w:p w:rsidR="00D76786" w:rsidRPr="003B684E"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En consecuencia, para colmar dicho punto bastará con que el ente obligado, entregue los documentos o constancias que integran los expedientes de los recursos de revisión indicados, tal y como obren en sus archivos.</w:t>
      </w:r>
    </w:p>
    <w:p w:rsidR="00D76786" w:rsidRPr="003B684E" w:rsidRDefault="00D76786" w:rsidP="00D76786">
      <w:pPr>
        <w:spacing w:line="360" w:lineRule="auto"/>
        <w:ind w:right="-787"/>
        <w:jc w:val="both"/>
        <w:rPr>
          <w:rFonts w:ascii="Palatino Linotype" w:eastAsia="Palatino Linotype" w:hAnsi="Palatino Linotype" w:cs="Palatino Linotype"/>
        </w:rPr>
      </w:pPr>
    </w:p>
    <w:p w:rsidR="00D76786" w:rsidRPr="003B684E" w:rsidRDefault="009A1DBE" w:rsidP="00D76786">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Ahora bien, de las solicitudes de información se estima que,</w:t>
      </w:r>
      <w:r w:rsidR="00D76786" w:rsidRPr="003B684E">
        <w:rPr>
          <w:rFonts w:ascii="Palatino Linotype" w:eastAsia="Palatino Linotype" w:hAnsi="Palatino Linotype" w:cs="Palatino Linotype"/>
        </w:rPr>
        <w:t xml:space="preserve"> la pretensión del particular es obtener la totalidad de las documentales que integran los expedientes relacionados con los recursos de revisión referidos, generadas a la fecha de presentación de las solicitudes de información. </w:t>
      </w:r>
    </w:p>
    <w:p w:rsidR="00D76786" w:rsidRPr="003B684E" w:rsidRDefault="00D76786" w:rsidP="00D76786">
      <w:pPr>
        <w:spacing w:line="360" w:lineRule="auto"/>
        <w:ind w:right="-787"/>
        <w:jc w:val="both"/>
        <w:rPr>
          <w:rFonts w:ascii="Palatino Linotype" w:eastAsia="Palatino Linotype" w:hAnsi="Palatino Linotype" w:cs="Palatino Linotype"/>
        </w:rPr>
      </w:pPr>
    </w:p>
    <w:p w:rsidR="00D76786" w:rsidRPr="003B684E"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Así, en respuesta a las solicitudes de acceso a la información el Sujeto Obligado 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enlace para su consulta, </w:t>
      </w:r>
      <w:r w:rsidRPr="003B684E">
        <w:rPr>
          <w:rFonts w:ascii="Palatino Linotype" w:eastAsia="Palatino Linotype" w:hAnsi="Palatino Linotype" w:cs="Palatino Linotype"/>
        </w:rPr>
        <w:lastRenderedPageBreak/>
        <w:t>así como los pasos para consultar en la página oficial de este Instituto las resoluciones recaídas a los recursos de revisión en versión pública, lo cual fue ratificado en los Informes Justificados rendidos.</w:t>
      </w:r>
    </w:p>
    <w:p w:rsidR="00D76786" w:rsidRPr="003B684E" w:rsidRDefault="00D76786" w:rsidP="00D76786">
      <w:pPr>
        <w:spacing w:line="360" w:lineRule="auto"/>
        <w:ind w:right="-787"/>
        <w:jc w:val="both"/>
        <w:rPr>
          <w:rFonts w:ascii="Palatino Linotype" w:eastAsia="Palatino Linotype" w:hAnsi="Palatino Linotype" w:cs="Palatino Linotype"/>
        </w:rPr>
      </w:pPr>
    </w:p>
    <w:p w:rsidR="00D76786" w:rsidRPr="003B684E"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En consecuencia, resulta conveniente traer a contexto el contenido de los artículos 53 fracciones II, IV, IX y X, y 59 fracción V de la Ley de Transparencia y Acceso a la Información Pública del Estado de México y Municipios, que dispone lo siguiente:</w:t>
      </w:r>
    </w:p>
    <w:p w:rsidR="00D76786" w:rsidRPr="003B684E" w:rsidRDefault="00D76786" w:rsidP="00D76786">
      <w:pPr>
        <w:rPr>
          <w:rFonts w:eastAsia="Palatino Linotype" w:cs="Palatino Linotype"/>
          <w:color w:val="000000"/>
        </w:rPr>
      </w:pP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b/>
          <w:bCs/>
          <w:i/>
        </w:rPr>
        <w:t>Artículo 53.</w:t>
      </w:r>
      <w:r w:rsidRPr="003B684E">
        <w:rPr>
          <w:rFonts w:ascii="Palatino Linotype" w:eastAsia="Palatino Linotype" w:hAnsi="Palatino Linotype"/>
          <w:i/>
        </w:rPr>
        <w:t xml:space="preserve"> Las </w:t>
      </w:r>
      <w:r w:rsidRPr="003B684E">
        <w:rPr>
          <w:rFonts w:ascii="Palatino Linotype" w:eastAsia="Palatino Linotype" w:hAnsi="Palatino Linotype"/>
          <w:b/>
          <w:i/>
        </w:rPr>
        <w:t>Unidades de Transparencia</w:t>
      </w:r>
      <w:r w:rsidRPr="003B684E">
        <w:rPr>
          <w:rFonts w:ascii="Palatino Linotype" w:eastAsia="Palatino Linotype" w:hAnsi="Palatino Linotype"/>
          <w:i/>
        </w:rPr>
        <w:t xml:space="preserve"> tendrán las siguientes funciones:</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i/>
        </w:rPr>
        <w:t>…</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b/>
          <w:bCs/>
          <w:i/>
        </w:rPr>
        <w:t>II.</w:t>
      </w:r>
      <w:r w:rsidRPr="003B684E">
        <w:rPr>
          <w:rFonts w:ascii="Palatino Linotype" w:eastAsia="Palatino Linotype" w:hAnsi="Palatino Linotype"/>
          <w:i/>
        </w:rPr>
        <w:t xml:space="preserve"> Recibir, tramitar y dar respuesta a las solicitudes de acceso a la información;</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i/>
        </w:rPr>
        <w:t>…</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b/>
          <w:bCs/>
          <w:i/>
        </w:rPr>
        <w:t>IV.</w:t>
      </w:r>
      <w:r w:rsidRPr="003B684E">
        <w:rPr>
          <w:rFonts w:ascii="Palatino Linotype" w:eastAsia="Palatino Linotype" w:hAnsi="Palatino Linotype"/>
          <w:i/>
        </w:rPr>
        <w:t xml:space="preserve"> Realizar, con efectividad, los trámites internos necesarios para la atención de las solicitudes de acceso a la información;</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i/>
        </w:rPr>
        <w:t>…</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b/>
          <w:bCs/>
          <w:i/>
        </w:rPr>
        <w:t>IX.</w:t>
      </w:r>
      <w:r w:rsidRPr="003B684E">
        <w:rPr>
          <w:rFonts w:ascii="Palatino Linotype" w:eastAsia="Palatino Linotype" w:hAnsi="Palatino Linotype"/>
          <w:i/>
        </w:rPr>
        <w:t xml:space="preserve"> Llevar un registro de las solicitudes de acceso a la información, sus respuestas, resultados, costos de reproducción y envío, resolución a los recursos de revisión que se hayan emitido en contra de sus respuestas y del cumplimiento de las mismas;</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b/>
          <w:bCs/>
          <w:i/>
        </w:rPr>
        <w:t>X.</w:t>
      </w:r>
      <w:r w:rsidRPr="003B684E">
        <w:rPr>
          <w:rFonts w:ascii="Palatino Linotype" w:eastAsia="Palatino Linotype" w:hAnsi="Palatino Linotype"/>
          <w:i/>
        </w:rPr>
        <w:t xml:space="preserve"> Presentar ante el Comité, el proyecto de clasificación de información;</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i/>
        </w:rPr>
        <w:t>…</w:t>
      </w:r>
    </w:p>
    <w:p w:rsidR="00D76786" w:rsidRPr="003B684E" w:rsidRDefault="00D76786" w:rsidP="00D76786">
      <w:pPr>
        <w:pStyle w:val="Sinespaciado"/>
        <w:ind w:left="567" w:right="-716"/>
        <w:rPr>
          <w:rFonts w:ascii="Palatino Linotype" w:eastAsia="Palatino Linotype" w:hAnsi="Palatino Linotype"/>
          <w:i/>
        </w:rPr>
      </w:pP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b/>
          <w:bCs/>
          <w:i/>
        </w:rPr>
        <w:t>Artículo 59.</w:t>
      </w:r>
      <w:r w:rsidRPr="003B684E">
        <w:rPr>
          <w:rFonts w:ascii="Palatino Linotype" w:eastAsia="Palatino Linotype" w:hAnsi="Palatino Linotype"/>
          <w:i/>
        </w:rPr>
        <w:t xml:space="preserve"> Los </w:t>
      </w:r>
      <w:r w:rsidRPr="003B684E">
        <w:rPr>
          <w:rFonts w:ascii="Palatino Linotype" w:eastAsia="Palatino Linotype" w:hAnsi="Palatino Linotype"/>
          <w:b/>
          <w:i/>
        </w:rPr>
        <w:t>servidores públicos habilitados</w:t>
      </w:r>
      <w:r w:rsidRPr="003B684E">
        <w:rPr>
          <w:rFonts w:ascii="Palatino Linotype" w:eastAsia="Palatino Linotype" w:hAnsi="Palatino Linotype"/>
          <w:i/>
        </w:rPr>
        <w:t xml:space="preserve"> tendrán las funciones siguientes:</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i/>
        </w:rPr>
        <w:t>…</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b/>
          <w:bCs/>
          <w:i/>
        </w:rPr>
        <w:t>V.</w:t>
      </w:r>
      <w:r w:rsidRPr="003B684E">
        <w:rPr>
          <w:rFonts w:ascii="Palatino Linotype" w:eastAsia="Palatino Linotype" w:hAnsi="Palatino Linotype"/>
          <w:i/>
        </w:rPr>
        <w:t xml:space="preserve"> Integrar y presentar al responsable de la Unidad de Transparencia la propuesta de clasificación de información, la cual tendrá los fundamentos y argumentos en que se basa dicha propuesta;</w:t>
      </w:r>
    </w:p>
    <w:p w:rsidR="00D76786" w:rsidRPr="003B684E" w:rsidRDefault="00D76786" w:rsidP="00D76786">
      <w:pPr>
        <w:pStyle w:val="Sinespaciado"/>
        <w:ind w:left="567" w:right="-716"/>
        <w:rPr>
          <w:rFonts w:ascii="Palatino Linotype" w:eastAsia="Palatino Linotype" w:hAnsi="Palatino Linotype"/>
          <w:i/>
        </w:rPr>
      </w:pPr>
      <w:r w:rsidRPr="003B684E">
        <w:rPr>
          <w:rFonts w:ascii="Palatino Linotype" w:eastAsia="Palatino Linotype" w:hAnsi="Palatino Linotype"/>
          <w:i/>
        </w:rPr>
        <w:t>…</w:t>
      </w:r>
    </w:p>
    <w:p w:rsidR="00D76786" w:rsidRPr="003B684E" w:rsidRDefault="00D76786" w:rsidP="00D76786">
      <w:pPr>
        <w:rPr>
          <w:rFonts w:eastAsia="Palatino Linotype" w:cs="Palatino Linotype"/>
          <w:color w:val="000000"/>
        </w:rPr>
      </w:pPr>
    </w:p>
    <w:p w:rsidR="00D76786" w:rsidRPr="003B684E" w:rsidRDefault="00D76786" w:rsidP="0054082C">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Como se desprende de lo anterior, constituye una obligación de las Unidades de Transparencia de los Sujetos Obligados dar trámite a las solicitudes de acceso a la información, llevar trámites internos necesarios para la atención de las mismas (turnar la solicitud de </w:t>
      </w:r>
      <w:r w:rsidRPr="003B684E">
        <w:rPr>
          <w:rFonts w:ascii="Palatino Linotype" w:eastAsia="Palatino Linotype" w:hAnsi="Palatino Linotype" w:cs="Palatino Linotype"/>
        </w:rPr>
        <w:lastRenderedPageBreak/>
        <w:t>información a las áreas competentes), presentar ante el Comité de Transparencia la propuesta de clasificación de información elaborada por los servidores públicos habilitados competentes, así como llevar un registro de las solicitudes de acceso a la información, sus respuestas, resultados, la resolución a los recursos de revisión que se hayan emitido en contra de sus respuestas y el cumplimiento dado a las mismas.</w:t>
      </w:r>
    </w:p>
    <w:p w:rsidR="00D76786" w:rsidRPr="003B684E" w:rsidRDefault="00D76786" w:rsidP="0054082C">
      <w:pPr>
        <w:spacing w:line="360" w:lineRule="auto"/>
        <w:ind w:right="-787"/>
        <w:jc w:val="both"/>
        <w:rPr>
          <w:rFonts w:ascii="Palatino Linotype" w:eastAsia="Palatino Linotype" w:hAnsi="Palatino Linotype" w:cs="Palatino Linotype"/>
        </w:rPr>
      </w:pPr>
    </w:p>
    <w:p w:rsidR="00D76786" w:rsidRPr="003B684E" w:rsidRDefault="00D76786" w:rsidP="0054082C">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Por tanto, </w:t>
      </w:r>
      <w:r w:rsidRPr="003B684E">
        <w:rPr>
          <w:rFonts w:ascii="Palatino Linotype" w:eastAsia="Palatino Linotype" w:hAnsi="Palatino Linotype" w:cs="Palatino Linotype"/>
          <w:u w:val="single"/>
        </w:rPr>
        <w:t>se advierte que en los archivos del ente obligado obra tanto el registro de las solicitudes de acceso a la información, sus respuestas, resultados, la resolución a los recursos de revisión y el cumplimiento dado a las mismas</w:t>
      </w:r>
      <w:r w:rsidRPr="003B684E">
        <w:rPr>
          <w:rFonts w:ascii="Palatino Linotype" w:eastAsia="Palatino Linotype" w:hAnsi="Palatino Linotype" w:cs="Palatino Linotype"/>
        </w:rPr>
        <w:t xml:space="preserve">, como los soportes documentales con los que se alimenta dicho registro. </w:t>
      </w:r>
    </w:p>
    <w:p w:rsidR="00D76786" w:rsidRPr="003B684E" w:rsidRDefault="00D76786" w:rsidP="0054082C">
      <w:pPr>
        <w:spacing w:line="360" w:lineRule="auto"/>
        <w:ind w:right="-787"/>
        <w:jc w:val="both"/>
        <w:rPr>
          <w:rFonts w:ascii="Palatino Linotype" w:eastAsia="Palatino Linotype" w:hAnsi="Palatino Linotype" w:cs="Palatino Linotype"/>
        </w:rPr>
      </w:pPr>
    </w:p>
    <w:p w:rsidR="00D76786" w:rsidRPr="003B684E" w:rsidRDefault="00D76786" w:rsidP="0054082C">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De ahí que se desprende que existe fuente obligacional para que el ente obligado cuente con los documentos que integran los expedientes relacionados con los recursos de revisión referidos, generadas a la fecha de presentación de las solicitudes de información, desde la solicitud de información hasta el cumplimiento que, en su caso, procedió sobre la resolución recaída a los medios de impugnación.</w:t>
      </w:r>
    </w:p>
    <w:p w:rsidR="00D76786" w:rsidRPr="003B684E" w:rsidRDefault="00D76786" w:rsidP="00D76786">
      <w:pPr>
        <w:rPr>
          <w:rFonts w:eastAsia="Palatino Linotype" w:cs="Palatino Linotype"/>
          <w:color w:val="000000"/>
        </w:rPr>
      </w:pPr>
    </w:p>
    <w:p w:rsidR="00D76786" w:rsidRPr="003B684E" w:rsidRDefault="0092286C" w:rsidP="0092286C">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Asimismo</w:t>
      </w:r>
      <w:r w:rsidR="00D76786" w:rsidRPr="003B684E">
        <w:rPr>
          <w:rFonts w:ascii="Palatino Linotype" w:eastAsia="Palatino Linotype" w:hAnsi="Palatino Linotype" w:cs="Palatino Linotype"/>
        </w:rPr>
        <w:t>, si bien se pronunció la unidad administrativa competente, no se colmó en su totalidad el derecho de acceso a la inf</w:t>
      </w:r>
      <w:r w:rsidRPr="003B684E">
        <w:rPr>
          <w:rFonts w:ascii="Palatino Linotype" w:eastAsia="Palatino Linotype" w:hAnsi="Palatino Linotype" w:cs="Palatino Linotype"/>
        </w:rPr>
        <w:t>ormación pública del particular, ya que se</w:t>
      </w:r>
      <w:r w:rsidR="00D76786" w:rsidRPr="003B684E">
        <w:rPr>
          <w:rFonts w:ascii="Palatino Linotype" w:eastAsia="Palatino Linotype" w:hAnsi="Palatino Linotype" w:cs="Palatino Linotype"/>
        </w:rPr>
        <w:t xml:space="preserve"> da un cumplimiento parcial, al únicamente hacer entrega de un enlace que remite a la página de este Instituto, así como de los pasos para consultar en dicho enlace la resolución recaída al medio de impugnación referido en las solicitudes de información, </w:t>
      </w:r>
      <w:r w:rsidR="00282597" w:rsidRPr="003B684E">
        <w:rPr>
          <w:rFonts w:ascii="Palatino Linotype" w:eastAsia="Palatino Linotype" w:hAnsi="Palatino Linotype" w:cs="Palatino Linotype"/>
        </w:rPr>
        <w:t>tal como se muestra en las imágenes siguientes</w:t>
      </w:r>
      <w:r w:rsidR="00D76786" w:rsidRPr="003B684E">
        <w:rPr>
          <w:rFonts w:ascii="Palatino Linotype" w:eastAsia="Palatino Linotype" w:hAnsi="Palatino Linotype" w:cs="Palatino Linotype"/>
        </w:rPr>
        <w:t>:</w:t>
      </w:r>
    </w:p>
    <w:p w:rsidR="00282597" w:rsidRPr="003B684E" w:rsidRDefault="00282597" w:rsidP="00282597">
      <w:pPr>
        <w:spacing w:line="360" w:lineRule="auto"/>
        <w:ind w:right="-787"/>
        <w:jc w:val="center"/>
        <w:rPr>
          <w:rFonts w:ascii="Palatino Linotype" w:eastAsia="Palatino Linotype" w:hAnsi="Palatino Linotype" w:cs="Palatino Linotype"/>
        </w:rPr>
      </w:pPr>
      <w:r w:rsidRPr="003B684E">
        <w:rPr>
          <w:rFonts w:ascii="Palatino Linotype" w:eastAsia="Palatino Linotype" w:hAnsi="Palatino Linotype" w:cs="Palatino Linotype"/>
          <w:noProof/>
          <w:color w:val="000000"/>
          <w:lang w:val="es-MX"/>
        </w:rPr>
        <w:lastRenderedPageBreak/>
        <w:drawing>
          <wp:inline distT="0" distB="0" distL="0" distR="0" wp14:anchorId="76892C9F" wp14:editId="0781CFF8">
            <wp:extent cx="3657600" cy="3938953"/>
            <wp:effectExtent l="152400" t="152400" r="361950" b="36639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57600" cy="3938953"/>
                    </a:xfrm>
                    <a:prstGeom prst="rect">
                      <a:avLst/>
                    </a:prstGeom>
                    <a:ln>
                      <a:noFill/>
                    </a:ln>
                    <a:effectLst>
                      <a:outerShdw blurRad="292100" dist="139700" dir="2700000" algn="tl" rotWithShape="0">
                        <a:srgbClr val="333333">
                          <a:alpha val="65000"/>
                        </a:srgbClr>
                      </a:outerShdw>
                    </a:effectLst>
                  </pic:spPr>
                </pic:pic>
              </a:graphicData>
            </a:graphic>
          </wp:inline>
        </w:drawing>
      </w:r>
    </w:p>
    <w:p w:rsidR="00D76786" w:rsidRPr="003B684E" w:rsidRDefault="00282597" w:rsidP="00282597">
      <w:pPr>
        <w:spacing w:line="360" w:lineRule="auto"/>
        <w:ind w:right="-787"/>
        <w:jc w:val="center"/>
        <w:rPr>
          <w:rFonts w:ascii="Palatino Linotype" w:eastAsia="Palatino Linotype" w:hAnsi="Palatino Linotype" w:cs="Palatino Linotype"/>
        </w:rPr>
      </w:pPr>
      <w:r w:rsidRPr="003B684E">
        <w:rPr>
          <w:rFonts w:ascii="Palatino Linotype" w:eastAsia="Palatino Linotype" w:hAnsi="Palatino Linotype" w:cs="Palatino Linotype"/>
          <w:noProof/>
          <w:color w:val="000000"/>
          <w:lang w:val="es-MX"/>
        </w:rPr>
        <w:lastRenderedPageBreak/>
        <w:drawing>
          <wp:inline distT="0" distB="0" distL="0" distR="0" wp14:anchorId="29322965" wp14:editId="046AC390">
            <wp:extent cx="3324633" cy="3886835"/>
            <wp:effectExtent l="152400" t="152400" r="371475" b="3613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24633" cy="3886835"/>
                    </a:xfrm>
                    <a:prstGeom prst="rect">
                      <a:avLst/>
                    </a:prstGeom>
                    <a:ln>
                      <a:noFill/>
                    </a:ln>
                    <a:effectLst>
                      <a:outerShdw blurRad="292100" dist="139700" dir="2700000" algn="tl" rotWithShape="0">
                        <a:srgbClr val="333333">
                          <a:alpha val="65000"/>
                        </a:srgbClr>
                      </a:outerShdw>
                    </a:effectLst>
                  </pic:spPr>
                </pic:pic>
              </a:graphicData>
            </a:graphic>
          </wp:inline>
        </w:drawing>
      </w:r>
    </w:p>
    <w:p w:rsidR="00D76786" w:rsidRPr="003B684E" w:rsidRDefault="00282597" w:rsidP="00282597">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No obstante</w:t>
      </w:r>
      <w:r w:rsidR="00D76786" w:rsidRPr="003B684E">
        <w:rPr>
          <w:rFonts w:ascii="Palatino Linotype" w:eastAsia="Palatino Linotype" w:hAnsi="Palatino Linotype" w:cs="Palatino Linotype"/>
        </w:rPr>
        <w:t>,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w:t>
      </w:r>
      <w:r w:rsidRPr="003B684E">
        <w:rPr>
          <w:rFonts w:ascii="Palatino Linotype" w:eastAsia="Palatino Linotype" w:hAnsi="Palatino Linotype" w:cs="Palatino Linotype"/>
        </w:rPr>
        <w:t>nto por parte de este Instituto</w:t>
      </w:r>
      <w:r w:rsidR="00D76786" w:rsidRPr="003B684E">
        <w:rPr>
          <w:rFonts w:ascii="Palatino Linotype" w:eastAsia="Palatino Linotype" w:hAnsi="Palatino Linotype" w:cs="Palatino Linotype"/>
        </w:rPr>
        <w:t xml:space="preserve">, de manera enunciativa más no limitativa, </w:t>
      </w:r>
      <w:r w:rsidRPr="003B684E">
        <w:rPr>
          <w:rFonts w:ascii="Palatino Linotype" w:eastAsia="Palatino Linotype" w:hAnsi="Palatino Linotype" w:cs="Palatino Linotype"/>
        </w:rPr>
        <w:t>los expedientes se integran con</w:t>
      </w:r>
      <w:r w:rsidR="00D76786" w:rsidRPr="003B684E">
        <w:rPr>
          <w:rFonts w:ascii="Palatino Linotype" w:eastAsia="Palatino Linotype" w:hAnsi="Palatino Linotype" w:cs="Palatino Linotype"/>
        </w:rPr>
        <w:t xml:space="preserve"> los siguientes documentos:</w:t>
      </w:r>
    </w:p>
    <w:p w:rsidR="00D76786" w:rsidRPr="003B684E" w:rsidRDefault="00D76786" w:rsidP="00D76786">
      <w:pPr>
        <w:rPr>
          <w:rFonts w:eastAsia="Palatino Linotype" w:cs="Palatino Linotype"/>
          <w:color w:val="000000"/>
        </w:rPr>
      </w:pPr>
    </w:p>
    <w:p w:rsidR="00D76786" w:rsidRPr="003B684E"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Las solicitudes de acceso a información pública,</w:t>
      </w:r>
    </w:p>
    <w:p w:rsidR="00D76786" w:rsidRPr="003B684E"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Los documentos que dan cuenta de los turnos de las solicitudes a las áreas competentes, </w:t>
      </w:r>
    </w:p>
    <w:p w:rsidR="00D76786" w:rsidRPr="003B684E"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lastRenderedPageBreak/>
        <w:t xml:space="preserve">Las respuestas por parte de las áreas competentes, </w:t>
      </w:r>
    </w:p>
    <w:p w:rsidR="00D76786" w:rsidRPr="003B684E"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En su caso, actas de sesión del Comité de Transparencia del Sujeto Obligado en las que se lleva a cabo la clasificación de información,</w:t>
      </w:r>
    </w:p>
    <w:p w:rsidR="00D76786" w:rsidRPr="003B684E"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Los formatos de interposición de los recursos de revisión, </w:t>
      </w:r>
    </w:p>
    <w:p w:rsidR="00D76786" w:rsidRPr="003B684E"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En su caso, los oficios o documentos a través de los cuales la Unidad de Transparencia notifica a las áreas competentes el recurso de revisión interpuesto.</w:t>
      </w:r>
    </w:p>
    <w:p w:rsidR="00D76786" w:rsidRPr="003B684E"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Los documentos que dan cuenta de los informes justificados, </w:t>
      </w:r>
    </w:p>
    <w:p w:rsidR="00D76786" w:rsidRPr="003B684E"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La resolución recaída a los recursos de revisión,</w:t>
      </w:r>
    </w:p>
    <w:p w:rsidR="00D76786" w:rsidRPr="003B684E"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En su caso, documentos entregados en cumplimiento a la resolución recaída a los recursos de revisión.</w:t>
      </w:r>
    </w:p>
    <w:p w:rsidR="00D76786" w:rsidRPr="003B684E" w:rsidRDefault="00D76786" w:rsidP="00D76786">
      <w:pPr>
        <w:rPr>
          <w:rFonts w:eastAsia="Palatino Linotype" w:cs="Palatino Linotype"/>
          <w:color w:val="000000"/>
        </w:rPr>
      </w:pPr>
    </w:p>
    <w:p w:rsidR="00781832" w:rsidRPr="003B684E" w:rsidRDefault="0057326E" w:rsidP="00A527BF">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Es así que se concluye que</w:t>
      </w:r>
      <w:r w:rsidR="00D76786" w:rsidRPr="003B684E">
        <w:rPr>
          <w:rFonts w:ascii="Palatino Linotype" w:eastAsia="Palatino Linotype" w:hAnsi="Palatino Linotype" w:cs="Palatino Linotype"/>
        </w:rPr>
        <w:t xml:space="preserve"> al no entregarse todas las documentales que integran los expedientes de los recursos de revisión señalados por el Recurrente, es viable </w:t>
      </w:r>
      <w:r w:rsidR="00A527BF" w:rsidRPr="003B684E">
        <w:rPr>
          <w:rFonts w:ascii="Palatino Linotype" w:eastAsia="Palatino Linotype" w:hAnsi="Palatino Linotype" w:cs="Palatino Linotype"/>
          <w:b/>
        </w:rPr>
        <w:t>ORDENAR</w:t>
      </w:r>
      <w:r w:rsidR="00A527BF" w:rsidRPr="003B684E">
        <w:rPr>
          <w:rFonts w:ascii="Palatino Linotype" w:eastAsia="Palatino Linotype" w:hAnsi="Palatino Linotype" w:cs="Palatino Linotype"/>
        </w:rPr>
        <w:t xml:space="preserve"> </w:t>
      </w:r>
      <w:r w:rsidR="00D76786" w:rsidRPr="003B684E">
        <w:rPr>
          <w:rFonts w:ascii="Palatino Linotype" w:eastAsia="Palatino Linotype" w:hAnsi="Palatino Linotype" w:cs="Palatino Linotype"/>
        </w:rPr>
        <w:t xml:space="preserve">al Sujeto Obligado </w:t>
      </w:r>
      <w:r w:rsidR="00A527BF" w:rsidRPr="003B684E">
        <w:rPr>
          <w:rFonts w:ascii="Palatino Linotype" w:eastAsia="Palatino Linotype" w:hAnsi="Palatino Linotype" w:cs="Palatino Linotype"/>
        </w:rPr>
        <w:t>la</w:t>
      </w:r>
      <w:r w:rsidR="00D76786" w:rsidRPr="003B684E">
        <w:rPr>
          <w:rFonts w:ascii="Palatino Linotype" w:eastAsia="Palatino Linotype" w:hAnsi="Palatino Linotype" w:cs="Palatino Linotype"/>
        </w:rPr>
        <w:t xml:space="preserve"> entrega de la totalidad de las documentales que integran los expedientes de dichos recursos de revisión generados a la fecha del ingreso de las solicitudes de información.</w:t>
      </w:r>
    </w:p>
    <w:p w:rsidR="00872D7A" w:rsidRPr="003B684E" w:rsidRDefault="00872D7A" w:rsidP="00872D7A">
      <w:pPr>
        <w:spacing w:line="360" w:lineRule="auto"/>
        <w:ind w:right="-787"/>
        <w:jc w:val="both"/>
        <w:rPr>
          <w:rFonts w:ascii="Palatino Linotype" w:eastAsia="Palatino Linotype" w:hAnsi="Palatino Linotype" w:cs="Palatino Linotype"/>
        </w:rPr>
      </w:pPr>
    </w:p>
    <w:p w:rsidR="00872D7A" w:rsidRPr="003B684E" w:rsidRDefault="00872D7A" w:rsidP="00872D7A">
      <w:pPr>
        <w:numPr>
          <w:ilvl w:val="0"/>
          <w:numId w:val="2"/>
        </w:numPr>
        <w:spacing w:line="360" w:lineRule="auto"/>
        <w:ind w:left="0" w:right="-787" w:firstLine="0"/>
        <w:jc w:val="both"/>
        <w:rPr>
          <w:rFonts w:ascii="Palatino Linotype" w:hAnsi="Palatino Linotype"/>
        </w:rPr>
      </w:pPr>
      <w:r w:rsidRPr="003B684E">
        <w:rPr>
          <w:rFonts w:ascii="Palatino Linotype" w:eastAsia="Palatino Linotype" w:hAnsi="Palatino Linotype" w:cs="Palatino Linotype"/>
        </w:rPr>
        <w:t>Por</w:t>
      </w:r>
      <w:r w:rsidRPr="003B684E">
        <w:rPr>
          <w:rFonts w:ascii="Palatino Linotype" w:hAnsi="Palatino Linotype"/>
        </w:rPr>
        <w:t xml:space="preserve"> otro lado cabe resaltar, respecto de los Recursos de Revisión: </w:t>
      </w:r>
      <w:r w:rsidR="00281B29" w:rsidRPr="003B684E">
        <w:rPr>
          <w:rFonts w:ascii="Palatino Linotype" w:hAnsi="Palatino Linotype"/>
          <w:b/>
          <w:bCs/>
        </w:rPr>
        <w:t>02803/INFOEM/IP/RR/2026, 02813/INFOEM/IP/RR/2026, 02818/INFOEM/IP/RR/2026, y 02833/INFOEM/IP/RR/2026</w:t>
      </w:r>
      <w:r w:rsidRPr="003B684E">
        <w:rPr>
          <w:rFonts w:ascii="Palatino Linotype" w:hAnsi="Palatino Linotype"/>
        </w:rPr>
        <w:t xml:space="preserve">, objeto de acumulación, se debe señalar que de la revisión a los recursos de revisión de los que se requiere la información, se constató, que </w:t>
      </w:r>
      <w:r w:rsidRPr="003B684E">
        <w:rPr>
          <w:rFonts w:ascii="Palatino Linotype" w:hAnsi="Palatino Linotype"/>
          <w:b/>
        </w:rPr>
        <w:t>no corresponden al Ayuntamiento de Toluca</w:t>
      </w:r>
      <w:r w:rsidRPr="003B684E">
        <w:rPr>
          <w:rFonts w:ascii="Palatino Linotype" w:hAnsi="Palatino Linotype"/>
        </w:rPr>
        <w:t xml:space="preserve">, sino a los siguientes </w:t>
      </w:r>
      <w:r w:rsidR="00DC5475" w:rsidRPr="003B684E">
        <w:rPr>
          <w:rFonts w:ascii="Palatino Linotype" w:hAnsi="Palatino Linotype"/>
        </w:rPr>
        <w:t>Sujetos Obligados</w:t>
      </w:r>
      <w:r w:rsidRPr="003B684E">
        <w:rPr>
          <w:rFonts w:ascii="Palatino Linotype" w:hAnsi="Palatino Linotype"/>
        </w:rPr>
        <w:t>:</w:t>
      </w:r>
    </w:p>
    <w:p w:rsidR="00872D7A" w:rsidRPr="003B684E" w:rsidRDefault="00872D7A" w:rsidP="00872D7A">
      <w:pPr>
        <w:pStyle w:val="Prrafodelista"/>
        <w:rPr>
          <w:rFonts w:ascii="Palatino Linotype" w:hAnsi="Palatino Linotype"/>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76"/>
        <w:gridCol w:w="3267"/>
        <w:gridCol w:w="2612"/>
      </w:tblGrid>
      <w:tr w:rsidR="00872D7A" w:rsidRPr="003B684E" w:rsidTr="00DC5475">
        <w:tc>
          <w:tcPr>
            <w:tcW w:w="2926" w:type="dxa"/>
            <w:shd w:val="clear" w:color="auto" w:fill="D9D9D9" w:themeFill="background1" w:themeFillShade="D9"/>
            <w:vAlign w:val="center"/>
          </w:tcPr>
          <w:p w:rsidR="00872D7A" w:rsidRPr="003B684E" w:rsidRDefault="00DC5475" w:rsidP="00DC5475">
            <w:pPr>
              <w:contextualSpacing/>
              <w:jc w:val="center"/>
              <w:rPr>
                <w:rFonts w:ascii="Palatino Linotype" w:hAnsi="Palatino Linotype"/>
                <w:b/>
                <w:bCs/>
              </w:rPr>
            </w:pPr>
            <w:r w:rsidRPr="003B684E">
              <w:rPr>
                <w:rFonts w:ascii="Palatino Linotype" w:hAnsi="Palatino Linotype"/>
                <w:b/>
                <w:bCs/>
              </w:rPr>
              <w:lastRenderedPageBreak/>
              <w:t xml:space="preserve">Folio de </w:t>
            </w:r>
            <w:r w:rsidR="00872D7A" w:rsidRPr="003B684E">
              <w:rPr>
                <w:rFonts w:ascii="Palatino Linotype" w:hAnsi="Palatino Linotype"/>
                <w:b/>
                <w:bCs/>
              </w:rPr>
              <w:t>Recurso de Revisión</w:t>
            </w:r>
          </w:p>
        </w:tc>
        <w:tc>
          <w:tcPr>
            <w:tcW w:w="2926" w:type="dxa"/>
            <w:shd w:val="clear" w:color="auto" w:fill="D9D9D9" w:themeFill="background1" w:themeFillShade="D9"/>
            <w:vAlign w:val="center"/>
          </w:tcPr>
          <w:p w:rsidR="00872D7A" w:rsidRPr="003B684E" w:rsidRDefault="00872D7A" w:rsidP="00DC5475">
            <w:pPr>
              <w:contextualSpacing/>
              <w:jc w:val="center"/>
              <w:rPr>
                <w:rFonts w:ascii="Palatino Linotype" w:hAnsi="Palatino Linotype"/>
                <w:b/>
                <w:bCs/>
              </w:rPr>
            </w:pPr>
            <w:r w:rsidRPr="003B684E">
              <w:rPr>
                <w:rFonts w:ascii="Palatino Linotype" w:hAnsi="Palatino Linotype"/>
                <w:b/>
                <w:bCs/>
              </w:rPr>
              <w:t>Solicitud de información</w:t>
            </w:r>
            <w:r w:rsidR="00DC5475" w:rsidRPr="003B684E">
              <w:rPr>
                <w:rFonts w:ascii="Palatino Linotype" w:hAnsi="Palatino Linotype"/>
                <w:b/>
                <w:bCs/>
              </w:rPr>
              <w:t xml:space="preserve"> acerca del Recurso de Revisión</w:t>
            </w:r>
          </w:p>
        </w:tc>
        <w:tc>
          <w:tcPr>
            <w:tcW w:w="2927" w:type="dxa"/>
            <w:shd w:val="clear" w:color="auto" w:fill="D9D9D9" w:themeFill="background1" w:themeFillShade="D9"/>
            <w:vAlign w:val="center"/>
          </w:tcPr>
          <w:p w:rsidR="00872D7A" w:rsidRPr="003B684E" w:rsidRDefault="00872D7A" w:rsidP="00DC5475">
            <w:pPr>
              <w:contextualSpacing/>
              <w:jc w:val="center"/>
              <w:rPr>
                <w:rFonts w:ascii="Palatino Linotype" w:hAnsi="Palatino Linotype"/>
                <w:b/>
                <w:bCs/>
              </w:rPr>
            </w:pPr>
            <w:r w:rsidRPr="003B684E">
              <w:rPr>
                <w:rFonts w:ascii="Palatino Linotype" w:hAnsi="Palatino Linotype"/>
                <w:b/>
                <w:bCs/>
              </w:rPr>
              <w:t>Sujeto Obligado del cual se solicita la información</w:t>
            </w:r>
          </w:p>
        </w:tc>
      </w:tr>
      <w:tr w:rsidR="00F1117C" w:rsidRPr="003B684E" w:rsidTr="00AB343B">
        <w:tc>
          <w:tcPr>
            <w:tcW w:w="2926" w:type="dxa"/>
            <w:shd w:val="clear" w:color="auto" w:fill="auto"/>
            <w:vAlign w:val="center"/>
          </w:tcPr>
          <w:p w:rsidR="00F1117C" w:rsidRPr="003B684E" w:rsidRDefault="00F1117C" w:rsidP="00F1117C">
            <w:pPr>
              <w:contextualSpacing/>
              <w:jc w:val="center"/>
              <w:rPr>
                <w:rFonts w:ascii="Palatino Linotype" w:hAnsi="Palatino Linotype"/>
                <w:b/>
                <w:bCs/>
              </w:rPr>
            </w:pPr>
            <w:r w:rsidRPr="003B684E">
              <w:rPr>
                <w:rFonts w:ascii="Palatino Linotype" w:hAnsi="Palatino Linotype"/>
                <w:b/>
                <w:bCs/>
              </w:rPr>
              <w:t>02803/INFOEM/IP/RR/2026</w:t>
            </w:r>
          </w:p>
        </w:tc>
        <w:tc>
          <w:tcPr>
            <w:tcW w:w="2926" w:type="dxa"/>
            <w:shd w:val="clear" w:color="auto" w:fill="auto"/>
            <w:vAlign w:val="center"/>
          </w:tcPr>
          <w:p w:rsidR="00F1117C" w:rsidRPr="003B684E" w:rsidRDefault="00F1117C" w:rsidP="00F1117C">
            <w:pPr>
              <w:contextualSpacing/>
              <w:jc w:val="center"/>
              <w:rPr>
                <w:rFonts w:ascii="Palatino Linotype" w:hAnsi="Palatino Linotype"/>
                <w:bCs/>
                <w:i/>
                <w:lang w:val="es-MX"/>
              </w:rPr>
            </w:pPr>
            <w:r w:rsidRPr="003B684E">
              <w:rPr>
                <w:rFonts w:ascii="Palatino Linotype" w:hAnsi="Palatino Linotype"/>
                <w:bCs/>
                <w:i/>
                <w:lang w:val="es-MX"/>
              </w:rPr>
              <w:t>012908/INFOEM/IP/RR/2025 </w:t>
            </w:r>
          </w:p>
        </w:tc>
        <w:tc>
          <w:tcPr>
            <w:tcW w:w="2927" w:type="dxa"/>
            <w:shd w:val="clear" w:color="auto" w:fill="auto"/>
          </w:tcPr>
          <w:p w:rsidR="00F1117C" w:rsidRPr="003B684E" w:rsidRDefault="00F1117C" w:rsidP="00F1117C">
            <w:pPr>
              <w:rPr>
                <w:rFonts w:ascii="Palatino Linotype" w:hAnsi="Palatino Linotype"/>
              </w:rPr>
            </w:pPr>
            <w:r w:rsidRPr="003B684E">
              <w:rPr>
                <w:rFonts w:ascii="Palatino Linotype" w:hAnsi="Palatino Linotype"/>
              </w:rPr>
              <w:t>Ayuntamiento de Ecatepec de Morelos</w:t>
            </w:r>
          </w:p>
        </w:tc>
      </w:tr>
      <w:tr w:rsidR="00F1117C" w:rsidRPr="003B684E" w:rsidTr="00AB343B">
        <w:tc>
          <w:tcPr>
            <w:tcW w:w="2926" w:type="dxa"/>
            <w:shd w:val="clear" w:color="auto" w:fill="auto"/>
            <w:vAlign w:val="center"/>
          </w:tcPr>
          <w:p w:rsidR="00F1117C" w:rsidRPr="003B684E" w:rsidRDefault="00F1117C" w:rsidP="00F1117C">
            <w:pPr>
              <w:contextualSpacing/>
              <w:jc w:val="center"/>
              <w:rPr>
                <w:rFonts w:ascii="Palatino Linotype" w:hAnsi="Palatino Linotype"/>
                <w:b/>
                <w:bCs/>
              </w:rPr>
            </w:pPr>
            <w:r w:rsidRPr="003B684E">
              <w:rPr>
                <w:rFonts w:ascii="Palatino Linotype" w:hAnsi="Palatino Linotype"/>
                <w:b/>
                <w:bCs/>
              </w:rPr>
              <w:t>02813/INFOEM/IP/RR/2026</w:t>
            </w:r>
          </w:p>
        </w:tc>
        <w:tc>
          <w:tcPr>
            <w:tcW w:w="2926" w:type="dxa"/>
            <w:shd w:val="clear" w:color="auto" w:fill="auto"/>
            <w:vAlign w:val="center"/>
          </w:tcPr>
          <w:p w:rsidR="00F1117C" w:rsidRPr="003B684E" w:rsidRDefault="00F1117C" w:rsidP="00F1117C">
            <w:pPr>
              <w:contextualSpacing/>
              <w:jc w:val="center"/>
              <w:rPr>
                <w:rFonts w:ascii="Palatino Linotype" w:hAnsi="Palatino Linotype"/>
                <w:bCs/>
                <w:i/>
                <w:lang w:val="es-MX"/>
              </w:rPr>
            </w:pPr>
            <w:r w:rsidRPr="003B684E">
              <w:rPr>
                <w:rFonts w:ascii="Palatino Linotype" w:hAnsi="Palatino Linotype"/>
                <w:bCs/>
                <w:i/>
                <w:lang w:val="es-MX"/>
              </w:rPr>
              <w:t>012906/INFOEM/IP/RR/2025</w:t>
            </w:r>
          </w:p>
        </w:tc>
        <w:tc>
          <w:tcPr>
            <w:tcW w:w="2927" w:type="dxa"/>
            <w:shd w:val="clear" w:color="auto" w:fill="auto"/>
          </w:tcPr>
          <w:p w:rsidR="00F1117C" w:rsidRPr="003B684E" w:rsidRDefault="00F1117C" w:rsidP="00F1117C">
            <w:pPr>
              <w:rPr>
                <w:rFonts w:ascii="Palatino Linotype" w:hAnsi="Palatino Linotype"/>
              </w:rPr>
            </w:pPr>
            <w:r w:rsidRPr="003B684E">
              <w:rPr>
                <w:rFonts w:ascii="Palatino Linotype" w:hAnsi="Palatino Linotype"/>
              </w:rPr>
              <w:t>Ayuntamiento de Atizapán de Zaragoza</w:t>
            </w:r>
          </w:p>
        </w:tc>
      </w:tr>
      <w:tr w:rsidR="00F1117C" w:rsidRPr="003B684E" w:rsidTr="00AB343B">
        <w:tc>
          <w:tcPr>
            <w:tcW w:w="2926" w:type="dxa"/>
            <w:shd w:val="clear" w:color="auto" w:fill="auto"/>
            <w:vAlign w:val="center"/>
          </w:tcPr>
          <w:p w:rsidR="00F1117C" w:rsidRPr="003B684E" w:rsidRDefault="00F1117C" w:rsidP="00F1117C">
            <w:pPr>
              <w:contextualSpacing/>
              <w:jc w:val="center"/>
              <w:rPr>
                <w:rFonts w:ascii="Palatino Linotype" w:hAnsi="Palatino Linotype"/>
                <w:b/>
                <w:bCs/>
              </w:rPr>
            </w:pPr>
            <w:r w:rsidRPr="003B684E">
              <w:rPr>
                <w:rFonts w:ascii="Palatino Linotype" w:hAnsi="Palatino Linotype"/>
                <w:b/>
                <w:bCs/>
              </w:rPr>
              <w:t>02818/INFOEM/IP/RR/2026</w:t>
            </w:r>
          </w:p>
        </w:tc>
        <w:tc>
          <w:tcPr>
            <w:tcW w:w="2926" w:type="dxa"/>
            <w:shd w:val="clear" w:color="auto" w:fill="auto"/>
            <w:vAlign w:val="center"/>
          </w:tcPr>
          <w:p w:rsidR="00F1117C" w:rsidRPr="003B684E" w:rsidRDefault="00F1117C" w:rsidP="00F1117C">
            <w:pPr>
              <w:contextualSpacing/>
              <w:jc w:val="center"/>
              <w:rPr>
                <w:rFonts w:ascii="Palatino Linotype" w:hAnsi="Palatino Linotype"/>
                <w:bCs/>
                <w:i/>
                <w:lang w:val="es-MX"/>
              </w:rPr>
            </w:pPr>
            <w:r w:rsidRPr="003B684E">
              <w:rPr>
                <w:rFonts w:ascii="Palatino Linotype" w:hAnsi="Palatino Linotype"/>
                <w:bCs/>
                <w:i/>
                <w:lang w:val="es-MX"/>
              </w:rPr>
              <w:t>012902/INFOEM/IP/RR/2025</w:t>
            </w:r>
          </w:p>
        </w:tc>
        <w:tc>
          <w:tcPr>
            <w:tcW w:w="2927" w:type="dxa"/>
            <w:shd w:val="clear" w:color="auto" w:fill="auto"/>
          </w:tcPr>
          <w:p w:rsidR="00F1117C" w:rsidRPr="003B684E" w:rsidRDefault="00F1117C" w:rsidP="00F1117C">
            <w:pPr>
              <w:rPr>
                <w:rFonts w:ascii="Palatino Linotype" w:hAnsi="Palatino Linotype"/>
              </w:rPr>
            </w:pPr>
            <w:r w:rsidRPr="003B684E">
              <w:rPr>
                <w:rFonts w:ascii="Palatino Linotype" w:hAnsi="Palatino Linotype"/>
              </w:rPr>
              <w:t>Ayuntamiento de Jiquipilco</w:t>
            </w:r>
          </w:p>
        </w:tc>
      </w:tr>
      <w:tr w:rsidR="00F60B39" w:rsidRPr="003B684E" w:rsidTr="00F60B39">
        <w:tc>
          <w:tcPr>
            <w:tcW w:w="2926" w:type="dxa"/>
            <w:shd w:val="clear" w:color="auto" w:fill="auto"/>
            <w:vAlign w:val="center"/>
          </w:tcPr>
          <w:p w:rsidR="00F60B39" w:rsidRPr="003B684E" w:rsidRDefault="00F1117C" w:rsidP="00DC5475">
            <w:pPr>
              <w:contextualSpacing/>
              <w:jc w:val="center"/>
              <w:rPr>
                <w:rFonts w:ascii="Palatino Linotype" w:hAnsi="Palatino Linotype"/>
                <w:b/>
                <w:bCs/>
              </w:rPr>
            </w:pPr>
            <w:r w:rsidRPr="003B684E">
              <w:rPr>
                <w:rFonts w:ascii="Palatino Linotype" w:hAnsi="Palatino Linotype"/>
                <w:b/>
                <w:bCs/>
              </w:rPr>
              <w:t>02833/INFOEM/IP/RR/2026</w:t>
            </w:r>
          </w:p>
        </w:tc>
        <w:tc>
          <w:tcPr>
            <w:tcW w:w="2926" w:type="dxa"/>
            <w:shd w:val="clear" w:color="auto" w:fill="auto"/>
            <w:vAlign w:val="center"/>
          </w:tcPr>
          <w:p w:rsidR="00F60B39" w:rsidRPr="003B684E" w:rsidRDefault="00F1117C" w:rsidP="00743EAC">
            <w:pPr>
              <w:contextualSpacing/>
              <w:jc w:val="center"/>
              <w:rPr>
                <w:rFonts w:ascii="Palatino Linotype" w:hAnsi="Palatino Linotype"/>
                <w:bCs/>
                <w:i/>
                <w:lang w:val="es-MX"/>
              </w:rPr>
            </w:pPr>
            <w:r w:rsidRPr="003B684E">
              <w:rPr>
                <w:rFonts w:ascii="Palatino Linotype" w:hAnsi="Palatino Linotype"/>
                <w:bCs/>
                <w:i/>
                <w:lang w:val="es-MX"/>
              </w:rPr>
              <w:t>012863/INFOEM/IP/RR/2025</w:t>
            </w:r>
          </w:p>
        </w:tc>
        <w:tc>
          <w:tcPr>
            <w:tcW w:w="2927" w:type="dxa"/>
            <w:shd w:val="clear" w:color="auto" w:fill="auto"/>
            <w:vAlign w:val="center"/>
          </w:tcPr>
          <w:p w:rsidR="00F60B39" w:rsidRPr="003B684E" w:rsidRDefault="00F1117C" w:rsidP="00301771">
            <w:pPr>
              <w:contextualSpacing/>
              <w:jc w:val="both"/>
              <w:rPr>
                <w:rFonts w:ascii="Palatino Linotype" w:hAnsi="Palatino Linotype"/>
                <w:bCs/>
              </w:rPr>
            </w:pPr>
            <w:r w:rsidRPr="003B684E">
              <w:rPr>
                <w:rFonts w:ascii="Palatino Linotype" w:hAnsi="Palatino Linotype"/>
                <w:bCs/>
              </w:rPr>
              <w:t>Secretaría del Trabajo</w:t>
            </w:r>
          </w:p>
        </w:tc>
      </w:tr>
    </w:tbl>
    <w:p w:rsidR="00872D7A" w:rsidRPr="003B684E" w:rsidRDefault="00872D7A" w:rsidP="00872D7A">
      <w:pPr>
        <w:spacing w:line="360" w:lineRule="auto"/>
        <w:contextualSpacing/>
        <w:jc w:val="both"/>
        <w:rPr>
          <w:rFonts w:ascii="Palatino Linotype" w:hAnsi="Palatino Linotype"/>
        </w:rPr>
      </w:pPr>
    </w:p>
    <w:p w:rsidR="00872D7A" w:rsidRPr="003B684E" w:rsidRDefault="002650BD" w:rsidP="00F1117C">
      <w:pPr>
        <w:pStyle w:val="Prrafodelista"/>
        <w:jc w:val="center"/>
        <w:rPr>
          <w:rFonts w:ascii="Palatino Linotype" w:hAnsi="Palatino Linotype"/>
        </w:rPr>
      </w:pPr>
      <w:r w:rsidRPr="002650BD">
        <w:rPr>
          <w:rFonts w:ascii="Palatino Linotype" w:hAnsi="Palatino Linotype"/>
        </w:rPr>
        <w:drawing>
          <wp:inline distT="0" distB="0" distL="0" distR="0" wp14:anchorId="55A08F68" wp14:editId="246DAA3A">
            <wp:extent cx="4096322" cy="368668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96322" cy="3686689"/>
                    </a:xfrm>
                    <a:prstGeom prst="rect">
                      <a:avLst/>
                    </a:prstGeom>
                  </pic:spPr>
                </pic:pic>
              </a:graphicData>
            </a:graphic>
          </wp:inline>
        </w:drawing>
      </w:r>
    </w:p>
    <w:p w:rsidR="00F1117C" w:rsidRPr="003B684E" w:rsidRDefault="00F1117C" w:rsidP="00F1117C">
      <w:pPr>
        <w:pStyle w:val="Prrafodelista"/>
        <w:jc w:val="center"/>
        <w:rPr>
          <w:rFonts w:ascii="Palatino Linotype" w:hAnsi="Palatino Linotype"/>
        </w:rPr>
      </w:pPr>
    </w:p>
    <w:p w:rsidR="00872D7A" w:rsidRPr="003B684E" w:rsidRDefault="00872D7A" w:rsidP="00604837">
      <w:pPr>
        <w:numPr>
          <w:ilvl w:val="0"/>
          <w:numId w:val="2"/>
        </w:numPr>
        <w:spacing w:line="360" w:lineRule="auto"/>
        <w:ind w:left="0" w:right="-787" w:firstLine="0"/>
        <w:jc w:val="both"/>
        <w:rPr>
          <w:rFonts w:ascii="Palatino Linotype" w:hAnsi="Palatino Linotype" w:cs="Tahoma"/>
          <w:bCs/>
          <w:lang w:val="es-ES" w:eastAsia="es-ES_tradnl"/>
        </w:rPr>
      </w:pPr>
      <w:r w:rsidRPr="003B684E">
        <w:rPr>
          <w:rFonts w:ascii="Palatino Linotype" w:hAnsi="Palatino Linotype" w:cs="Tahoma"/>
          <w:lang w:eastAsia="es-ES_tradnl"/>
        </w:rPr>
        <w:t xml:space="preserve">Al respecto, </w:t>
      </w:r>
      <w:r w:rsidRPr="003B684E">
        <w:rPr>
          <w:rFonts w:ascii="Palatino Linotype" w:hAnsi="Palatino Linotype"/>
        </w:rPr>
        <w:t>los</w:t>
      </w:r>
      <w:r w:rsidRPr="003B684E">
        <w:rPr>
          <w:rFonts w:ascii="Palatino Linotype" w:hAnsi="Palatino Linotype" w:cs="Tahoma"/>
          <w:lang w:eastAsia="es-ES_tradnl"/>
        </w:rPr>
        <w:t xml:space="preserve"> artículos 49, fracción II, 53, fracción III y 167 de la Ley de </w:t>
      </w:r>
      <w:r w:rsidRPr="003B684E">
        <w:rPr>
          <w:rFonts w:ascii="Palatino Linotype" w:hAnsi="Palatino Linotype"/>
        </w:rPr>
        <w:t>Transparencia</w:t>
      </w:r>
      <w:r w:rsidRPr="003B684E">
        <w:rPr>
          <w:rFonts w:ascii="Palatino Linotype" w:hAnsi="Palatino Linotype" w:cs="Tahoma"/>
          <w:lang w:eastAsia="es-ES_tradnl"/>
        </w:rPr>
        <w:t xml:space="preserve"> y Acceso a la Información Pública del Estado de México y Municipios, se desprende que las Unidades de Transparencia son responsables de orientar a los particulares respecto de la </w:t>
      </w:r>
      <w:r w:rsidRPr="003B684E">
        <w:rPr>
          <w:rFonts w:ascii="Palatino Linotype" w:hAnsi="Palatino Linotype" w:cs="Tahoma"/>
          <w:lang w:eastAsia="es-ES_tradnl"/>
        </w:rPr>
        <w:lastRenderedPageBreak/>
        <w:t xml:space="preserve">dependencia, entidad u órgano que pudiera tener la información requerida, </w:t>
      </w:r>
      <w:r w:rsidRPr="003B684E">
        <w:rPr>
          <w:rFonts w:ascii="Palatino Linotype" w:hAnsi="Palatino Linotype" w:cs="Tahoma"/>
          <w:bCs/>
          <w:lang w:eastAsia="es-ES_tradnl"/>
        </w:rPr>
        <w:t>cuando la misma no sea competencia del sujeto obligado ante el cual se formule la solicitud de acceso.</w:t>
      </w:r>
    </w:p>
    <w:p w:rsidR="00872D7A" w:rsidRPr="003B684E" w:rsidRDefault="00872D7A" w:rsidP="00604837">
      <w:pPr>
        <w:numPr>
          <w:ilvl w:val="0"/>
          <w:numId w:val="2"/>
        </w:numPr>
        <w:spacing w:line="360" w:lineRule="auto"/>
        <w:ind w:left="0" w:right="-787" w:firstLine="0"/>
        <w:jc w:val="both"/>
        <w:rPr>
          <w:rFonts w:ascii="Palatino Linotype" w:hAnsi="Palatino Linotype" w:cs="Tahoma"/>
          <w:bCs/>
          <w:lang w:eastAsia="es-ES_tradnl"/>
        </w:rPr>
      </w:pPr>
      <w:r w:rsidRPr="003B684E">
        <w:rPr>
          <w:rFonts w:ascii="Palatino Linotype" w:hAnsi="Palatino Linotype"/>
        </w:rPr>
        <w:t>Asimismo</w:t>
      </w:r>
      <w:r w:rsidRPr="003B684E">
        <w:rPr>
          <w:rFonts w:ascii="Palatino Linotype" w:hAnsi="Palatino Linotype" w:cs="Tahoma"/>
          <w:bCs/>
          <w:lang w:eastAsia="es-ES_tradnl"/>
        </w:rPr>
        <w:t xml:space="preserve">, que los Comités de Transparencia tienen entre sus atribuciones confirmar, modificar o revocar la declaración de incompetencia que realicen los titulares de las unidades administrativas. En esa tesitura, cuando las Unidades de Transparencia determinen la notoria incompetencia por parte de los sujetos obligados deberán comunicar al solicitante la misma dentro de los tres días posteriores a la recepción de la solicitud. </w:t>
      </w:r>
    </w:p>
    <w:p w:rsidR="00872D7A" w:rsidRPr="003B684E" w:rsidRDefault="00872D7A" w:rsidP="00872D7A">
      <w:pPr>
        <w:spacing w:line="360" w:lineRule="auto"/>
        <w:jc w:val="both"/>
        <w:rPr>
          <w:rFonts w:ascii="Palatino Linotype" w:hAnsi="Palatino Linotype" w:cs="Tahoma"/>
          <w:lang w:eastAsia="es-ES_tradnl"/>
        </w:rPr>
      </w:pPr>
    </w:p>
    <w:p w:rsidR="00872D7A" w:rsidRPr="003B684E" w:rsidRDefault="00872D7A" w:rsidP="00604837">
      <w:pPr>
        <w:numPr>
          <w:ilvl w:val="0"/>
          <w:numId w:val="2"/>
        </w:numPr>
        <w:spacing w:line="360" w:lineRule="auto"/>
        <w:ind w:left="0" w:right="-787" w:firstLine="0"/>
        <w:jc w:val="both"/>
        <w:rPr>
          <w:rFonts w:ascii="Palatino Linotype" w:hAnsi="Palatino Linotype" w:cs="Tahoma"/>
          <w:bCs/>
          <w:lang w:eastAsia="es-ES_tradnl"/>
        </w:rPr>
      </w:pPr>
      <w:r w:rsidRPr="003B684E">
        <w:rPr>
          <w:rFonts w:ascii="Palatino Linotype" w:hAnsi="Palatino Linotype" w:cs="Tahoma"/>
          <w:lang w:eastAsia="es-ES_tradnl"/>
        </w:rPr>
        <w:t xml:space="preserve">Como se logra </w:t>
      </w:r>
      <w:r w:rsidRPr="003B684E">
        <w:rPr>
          <w:rFonts w:ascii="Palatino Linotype" w:hAnsi="Palatino Linotype"/>
        </w:rPr>
        <w:t>observar</w:t>
      </w:r>
      <w:r w:rsidRPr="003B684E">
        <w:rPr>
          <w:rFonts w:ascii="Palatino Linotype" w:hAnsi="Palatino Linotype" w:cs="Tahoma"/>
          <w:lang w:eastAsia="es-ES_tradnl"/>
        </w:rPr>
        <w:t xml:space="preserve">, si bien la Ley de la materia, prevé el supuesto de incompetencia para que los sujetos obligados den atención a solitudes de información, también lo es, que no se precisa en que consiste dicho concepto; sobre dicha situación, </w:t>
      </w:r>
      <w:r w:rsidRPr="003B684E">
        <w:rPr>
          <w:rFonts w:ascii="Palatino Linotype" w:hAnsi="Palatino Linotype" w:cs="Tahoma"/>
          <w:bCs/>
          <w:lang w:eastAsia="es-ES_tradnl"/>
        </w:rPr>
        <w:t>según Cabanellas, Guillermo (1993), en el “Diccionario Jurídico Elemental” (p. 32 y 161), precisó los siguientes conceptos:</w:t>
      </w:r>
    </w:p>
    <w:p w:rsidR="00872D7A" w:rsidRPr="003B684E" w:rsidRDefault="00872D7A" w:rsidP="00872D7A">
      <w:pPr>
        <w:spacing w:line="360" w:lineRule="auto"/>
        <w:jc w:val="both"/>
        <w:rPr>
          <w:rFonts w:ascii="Palatino Linotype" w:hAnsi="Palatino Linotype" w:cs="Tahoma"/>
          <w:bCs/>
          <w:lang w:eastAsia="es-ES_tradnl"/>
        </w:rPr>
      </w:pPr>
    </w:p>
    <w:p w:rsidR="00872D7A" w:rsidRPr="003B684E" w:rsidRDefault="00872D7A" w:rsidP="00872D7A">
      <w:pPr>
        <w:numPr>
          <w:ilvl w:val="0"/>
          <w:numId w:val="35"/>
        </w:numPr>
        <w:spacing w:line="360" w:lineRule="auto"/>
        <w:jc w:val="both"/>
        <w:rPr>
          <w:rFonts w:ascii="Palatino Linotype" w:hAnsi="Palatino Linotype" w:cs="Tahoma"/>
          <w:bCs/>
          <w:lang w:eastAsia="es-ES_tradnl"/>
        </w:rPr>
      </w:pPr>
      <w:r w:rsidRPr="003B684E">
        <w:rPr>
          <w:rFonts w:ascii="Palatino Linotype" w:hAnsi="Palatino Linotype" w:cs="Tahoma"/>
          <w:b/>
          <w:bCs/>
          <w:lang w:eastAsia="es-ES_tradnl"/>
        </w:rPr>
        <w:t xml:space="preserve">Competencia: </w:t>
      </w:r>
      <w:r w:rsidRPr="003B684E">
        <w:rPr>
          <w:rFonts w:ascii="Palatino Linotype" w:hAnsi="Palatino Linotype" w:cs="Tahoma"/>
          <w:bCs/>
          <w:lang w:eastAsia="es-ES_tradnl"/>
        </w:rPr>
        <w:t>La capacidad de una autoridad para conocer sobre una materia o asunto.</w:t>
      </w:r>
    </w:p>
    <w:p w:rsidR="00872D7A" w:rsidRPr="003B684E" w:rsidRDefault="00872D7A" w:rsidP="00872D7A">
      <w:pPr>
        <w:numPr>
          <w:ilvl w:val="0"/>
          <w:numId w:val="35"/>
        </w:numPr>
        <w:spacing w:line="360" w:lineRule="auto"/>
        <w:jc w:val="both"/>
        <w:rPr>
          <w:rFonts w:ascii="Palatino Linotype" w:hAnsi="Palatino Linotype" w:cs="Tahoma"/>
          <w:bCs/>
          <w:lang w:eastAsia="es-ES_tradnl"/>
        </w:rPr>
      </w:pPr>
      <w:r w:rsidRPr="003B684E">
        <w:rPr>
          <w:rFonts w:ascii="Palatino Linotype" w:hAnsi="Palatino Linotype" w:cs="Tahoma"/>
          <w:b/>
          <w:bCs/>
          <w:lang w:eastAsia="es-ES_tradnl"/>
        </w:rPr>
        <w:t>Incompetencia:</w:t>
      </w:r>
      <w:r w:rsidRPr="003B684E">
        <w:rPr>
          <w:rFonts w:ascii="Palatino Linotype" w:hAnsi="Palatino Linotype" w:cs="Tahoma"/>
          <w:bCs/>
          <w:lang w:eastAsia="es-ES_tradnl"/>
        </w:rPr>
        <w:t xml:space="preserve"> Falta de Competencia.</w:t>
      </w:r>
    </w:p>
    <w:p w:rsidR="00872D7A" w:rsidRPr="003B684E" w:rsidRDefault="00872D7A" w:rsidP="00872D7A">
      <w:pPr>
        <w:spacing w:line="360" w:lineRule="auto"/>
        <w:jc w:val="both"/>
        <w:rPr>
          <w:rFonts w:ascii="Palatino Linotype" w:hAnsi="Palatino Linotype" w:cs="Tahoma"/>
          <w:lang w:eastAsia="es-ES_tradnl"/>
        </w:rPr>
      </w:pPr>
    </w:p>
    <w:p w:rsidR="00872D7A" w:rsidRPr="003B684E" w:rsidRDefault="00872D7A" w:rsidP="00604837">
      <w:pPr>
        <w:numPr>
          <w:ilvl w:val="0"/>
          <w:numId w:val="2"/>
        </w:numPr>
        <w:spacing w:line="360" w:lineRule="auto"/>
        <w:ind w:left="0" w:right="-787" w:firstLine="0"/>
        <w:jc w:val="both"/>
        <w:rPr>
          <w:rFonts w:ascii="Palatino Linotype" w:hAnsi="Palatino Linotype" w:cs="Tahoma"/>
          <w:lang w:eastAsia="es-ES_tradnl"/>
        </w:rPr>
      </w:pPr>
      <w:r w:rsidRPr="003B684E">
        <w:rPr>
          <w:rFonts w:ascii="Palatino Linotype" w:hAnsi="Palatino Linotype" w:cs="Tahoma"/>
          <w:lang w:eastAsia="es-ES_tradnl"/>
        </w:rPr>
        <w:t xml:space="preserve">Por lo </w:t>
      </w:r>
      <w:r w:rsidRPr="003B684E">
        <w:rPr>
          <w:rFonts w:ascii="Palatino Linotype" w:hAnsi="Palatino Linotype"/>
        </w:rPr>
        <w:t>que</w:t>
      </w:r>
      <w:r w:rsidRPr="003B684E">
        <w:rPr>
          <w:rFonts w:ascii="Palatino Linotype" w:hAnsi="Palatino Linotype" w:cs="Tahoma"/>
          <w:lang w:eastAsia="es-ES_tradnl"/>
        </w:rPr>
        <w:t xml:space="preserve">, </w:t>
      </w:r>
      <w:r w:rsidRPr="003B684E">
        <w:rPr>
          <w:rFonts w:ascii="Palatino Linotype" w:hAnsi="Palatino Linotype" w:cs="Tahoma"/>
          <w:b/>
          <w:lang w:eastAsia="es-ES_tradnl"/>
        </w:rPr>
        <w:t>la incompetencia</w:t>
      </w:r>
      <w:r w:rsidRPr="003B684E">
        <w:rPr>
          <w:rFonts w:ascii="Palatino Linotype" w:hAnsi="Palatino Linotype" w:cs="Tahoma"/>
          <w:lang w:eastAsia="es-ES_tradnl"/>
        </w:rPr>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rsidR="00872D7A" w:rsidRPr="003B684E" w:rsidRDefault="00872D7A" w:rsidP="00872D7A">
      <w:pPr>
        <w:spacing w:line="360" w:lineRule="auto"/>
        <w:jc w:val="both"/>
        <w:rPr>
          <w:rFonts w:ascii="Palatino Linotype" w:hAnsi="Palatino Linotype" w:cs="Tahoma"/>
          <w:lang w:eastAsia="es-ES_tradnl"/>
        </w:rPr>
      </w:pPr>
    </w:p>
    <w:p w:rsidR="00872D7A" w:rsidRPr="003B684E" w:rsidRDefault="00872D7A" w:rsidP="00604837">
      <w:pPr>
        <w:ind w:left="567" w:right="-433"/>
        <w:jc w:val="both"/>
        <w:rPr>
          <w:rFonts w:ascii="Palatino Linotype" w:hAnsi="Palatino Linotype" w:cs="Tahoma"/>
          <w:i/>
          <w:lang w:eastAsia="es-ES_tradnl"/>
        </w:rPr>
      </w:pPr>
      <w:r w:rsidRPr="003B684E">
        <w:rPr>
          <w:rFonts w:ascii="Palatino Linotype" w:hAnsi="Palatino Linotype" w:cs="Tahoma"/>
          <w:b/>
          <w:bCs/>
          <w:i/>
          <w:lang w:eastAsia="es-ES_tradnl"/>
        </w:rPr>
        <w:t xml:space="preserve">“LEGITIMACIÓN DE FUNCIONARIOS PÚBLICOS. LOS TRIBUNALES DE AMPARO, POR ESTAR VINCULADOS CON EL CONCEPTO </w:t>
      </w:r>
      <w:r w:rsidRPr="003B684E">
        <w:rPr>
          <w:rFonts w:ascii="Palatino Linotype" w:hAnsi="Palatino Linotype" w:cs="Tahoma"/>
          <w:b/>
          <w:bCs/>
          <w:i/>
          <w:lang w:eastAsia="es-ES_tradnl"/>
        </w:rPr>
        <w:lastRenderedPageBreak/>
        <w:t xml:space="preserve">DE COMPETENCIA A QUE SE REFIERE EL ARTÍCULO 16 CONSTITUCIONAL, NO PUEDEN CONOCER DE AQUÉLLA. </w:t>
      </w:r>
      <w:r w:rsidRPr="003B684E">
        <w:rPr>
          <w:rFonts w:ascii="Palatino Linotype" w:hAnsi="Palatino Linotype" w:cs="Tahoma"/>
          <w:i/>
          <w:lang w:eastAsia="es-ES_tradnl"/>
        </w:rPr>
        <w:t>El artículo </w:t>
      </w:r>
      <w:r w:rsidRPr="003B684E">
        <w:rPr>
          <w:rFonts w:ascii="Palatino Linotype" w:hAnsi="Palatino Linotype" w:cs="Tahoma"/>
          <w:i/>
          <w:color w:val="0563C1"/>
          <w:u w:val="single"/>
          <w:lang w:eastAsia="es-ES_tradnl"/>
        </w:rPr>
        <w:t>16 constitucional</w:t>
      </w:r>
      <w:r w:rsidRPr="003B684E">
        <w:rPr>
          <w:rFonts w:ascii="Palatino Linotype" w:hAnsi="Palatino Linotype" w:cs="Tahoma"/>
          <w:i/>
          <w:lang w:eastAsia="es-ES_tradnl"/>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rsidR="00872D7A" w:rsidRPr="003B684E" w:rsidRDefault="00872D7A" w:rsidP="00872D7A">
      <w:pPr>
        <w:spacing w:line="360" w:lineRule="auto"/>
        <w:jc w:val="both"/>
        <w:rPr>
          <w:rFonts w:ascii="Palatino Linotype" w:hAnsi="Palatino Linotype" w:cs="Tahoma"/>
          <w:lang w:eastAsia="es-ES_tradnl"/>
        </w:rPr>
      </w:pPr>
    </w:p>
    <w:p w:rsidR="00872D7A" w:rsidRPr="003B684E" w:rsidRDefault="00872D7A" w:rsidP="00604837">
      <w:pPr>
        <w:numPr>
          <w:ilvl w:val="0"/>
          <w:numId w:val="2"/>
        </w:numPr>
        <w:spacing w:line="360" w:lineRule="auto"/>
        <w:ind w:left="0" w:right="-787" w:firstLine="0"/>
        <w:jc w:val="both"/>
        <w:rPr>
          <w:rFonts w:ascii="Palatino Linotype" w:hAnsi="Palatino Linotype" w:cs="Tahoma"/>
          <w:lang w:eastAsia="es-ES_tradnl"/>
        </w:rPr>
      </w:pPr>
      <w:r w:rsidRPr="003B684E">
        <w:rPr>
          <w:rFonts w:ascii="Palatino Linotype" w:hAnsi="Palatino Linotype" w:cs="Tahoma"/>
          <w:lang w:eastAsia="es-ES_tradnl"/>
        </w:rPr>
        <w:t xml:space="preserve">De la misma manera, resulta necesario traer a colación, </w:t>
      </w:r>
      <w:r w:rsidRPr="003B684E">
        <w:rPr>
          <w:rFonts w:ascii="Palatino Linotype" w:hAnsi="Palatino Linotype" w:cs="Tahoma"/>
          <w:bCs/>
          <w:lang w:val="es-ES" w:eastAsia="es-ES_tradnl"/>
        </w:rPr>
        <w:t xml:space="preserve">Criterio Orientador, de la Segunda Época, </w:t>
      </w:r>
      <w:r w:rsidRPr="003B684E">
        <w:rPr>
          <w:rFonts w:ascii="Palatino Linotype" w:hAnsi="Palatino Linotype" w:cs="Tahoma"/>
          <w:lang w:eastAsia="es-ES_tradnl"/>
        </w:rPr>
        <w:t>con</w:t>
      </w:r>
      <w:r w:rsidRPr="003B684E">
        <w:rPr>
          <w:rFonts w:ascii="Palatino Linotype" w:hAnsi="Palatino Linotype" w:cs="Tahoma"/>
          <w:bCs/>
          <w:lang w:val="es-ES" w:eastAsia="es-ES_tradnl"/>
        </w:rPr>
        <w:t xml:space="preserve"> clave de control </w:t>
      </w:r>
      <w:r w:rsidRPr="003B684E">
        <w:rPr>
          <w:rFonts w:ascii="Palatino Linotype" w:hAnsi="Palatino Linotype" w:cs="Tahoma"/>
          <w:bCs/>
          <w:lang w:eastAsia="es-ES_tradnl"/>
        </w:rPr>
        <w:t>SO/013/2017</w:t>
      </w:r>
      <w:r w:rsidRPr="003B684E">
        <w:rPr>
          <w:rFonts w:ascii="Palatino Linotype" w:hAnsi="Palatino Linotype" w:cs="Tahoma"/>
          <w:lang w:val="es-ES" w:eastAsia="es-ES_tradnl"/>
        </w:rPr>
        <w:t xml:space="preserve">, </w:t>
      </w:r>
      <w:r w:rsidRPr="003B684E">
        <w:rPr>
          <w:rFonts w:ascii="Palatino Linotype" w:hAnsi="Palatino Linotype" w:cs="Tahoma"/>
          <w:lang w:eastAsia="es-ES_tradnl"/>
        </w:rPr>
        <w:t xml:space="preserve">emitido por el Instituto Nacional de Transparencia, Acceso a la Información y Protección de Datos Personales, el cual precisa que la </w:t>
      </w:r>
      <w:r w:rsidRPr="003B684E">
        <w:rPr>
          <w:rFonts w:ascii="Palatino Linotype" w:hAnsi="Palatino Linotype" w:cs="Tahoma"/>
          <w:b/>
          <w:lang w:eastAsia="es-ES_tradnl"/>
        </w:rPr>
        <w:t xml:space="preserve">incompetencia </w:t>
      </w:r>
      <w:r w:rsidRPr="003B684E">
        <w:rPr>
          <w:rFonts w:ascii="Palatino Linotype" w:hAnsi="Palatino Linotype" w:cs="Tahoma"/>
          <w:lang w:eastAsia="es-ES_tradnl"/>
        </w:rPr>
        <w:t>implica que, de conformidad con las atribuciones conferidas al Sujeto Obligado, no habría razón por la cual este deba contar con la información solicitada, en cuyo caso, tendría que orientar al particular para que acuda a la instancia competente. En otro orden de ideas, dicho concepto refiere a la ausencia de atribuciones por parte de los Entes sujetos a las Leyes de Transparencia, para contar con la información que se requiere; es decir, se trata de una situación que se dilucida a partir de las facultades atribuidas a este.</w:t>
      </w:r>
    </w:p>
    <w:p w:rsidR="00872D7A" w:rsidRPr="003B684E" w:rsidRDefault="00872D7A" w:rsidP="00872D7A">
      <w:pPr>
        <w:spacing w:line="360" w:lineRule="auto"/>
        <w:jc w:val="both"/>
        <w:rPr>
          <w:rFonts w:ascii="Palatino Linotype" w:hAnsi="Palatino Linotype" w:cs="Tahoma"/>
          <w:lang w:eastAsia="es-ES_tradnl"/>
        </w:rPr>
      </w:pPr>
    </w:p>
    <w:p w:rsidR="00872D7A" w:rsidRPr="003B684E" w:rsidRDefault="00872D7A" w:rsidP="00604837">
      <w:pPr>
        <w:numPr>
          <w:ilvl w:val="0"/>
          <w:numId w:val="2"/>
        </w:numPr>
        <w:spacing w:line="360" w:lineRule="auto"/>
        <w:ind w:left="0" w:right="-787" w:firstLine="0"/>
        <w:jc w:val="both"/>
        <w:rPr>
          <w:rFonts w:ascii="Palatino Linotype" w:hAnsi="Palatino Linotype"/>
          <w:color w:val="000000"/>
        </w:rPr>
      </w:pPr>
      <w:r w:rsidRPr="003B684E">
        <w:rPr>
          <w:rFonts w:ascii="Palatino Linotype" w:hAnsi="Palatino Linotype" w:cs="Tahoma"/>
          <w:lang w:eastAsia="es-ES_tradnl"/>
        </w:rPr>
        <w:t>Conforme</w:t>
      </w:r>
      <w:r w:rsidRPr="003B684E">
        <w:rPr>
          <w:rFonts w:ascii="Palatino Linotype" w:hAnsi="Palatino Linotype"/>
          <w:color w:val="000000"/>
        </w:rPr>
        <w:t xml:space="preserve"> a lo expuesto, se considera que e</w:t>
      </w:r>
      <w:r w:rsidRPr="003B684E">
        <w:rPr>
          <w:rFonts w:ascii="Palatino Linotype" w:hAnsi="Palatino Linotype"/>
          <w:b/>
          <w:color w:val="000000"/>
        </w:rPr>
        <w:t xml:space="preserve">l Sujeto Obligado resulta incompetente para conocer </w:t>
      </w:r>
      <w:r w:rsidRPr="003B684E">
        <w:rPr>
          <w:rFonts w:ascii="Palatino Linotype" w:hAnsi="Palatino Linotype" w:cs="Tahoma"/>
          <w:b/>
          <w:lang w:eastAsia="es-ES_tradnl"/>
        </w:rPr>
        <w:t>respecto</w:t>
      </w:r>
      <w:r w:rsidRPr="003B684E">
        <w:rPr>
          <w:rFonts w:ascii="Palatino Linotype" w:hAnsi="Palatino Linotype"/>
          <w:b/>
          <w:color w:val="000000"/>
        </w:rPr>
        <w:t xml:space="preserve"> a los expedientes señalados</w:t>
      </w:r>
      <w:r w:rsidRPr="003B684E">
        <w:rPr>
          <w:rFonts w:ascii="Palatino Linotype" w:hAnsi="Palatino Linotype"/>
          <w:color w:val="000000"/>
        </w:rPr>
        <w:t xml:space="preserve"> por el Particular, </w:t>
      </w:r>
      <w:r w:rsidRPr="003B684E">
        <w:rPr>
          <w:rFonts w:ascii="Palatino Linotype" w:hAnsi="Palatino Linotype"/>
          <w:b/>
          <w:color w:val="000000"/>
        </w:rPr>
        <w:t xml:space="preserve">por lo que, quedaron sin materia los medios de impugnación </w:t>
      </w:r>
      <w:r w:rsidRPr="003B684E">
        <w:rPr>
          <w:rFonts w:ascii="Palatino Linotype" w:hAnsi="Palatino Linotype"/>
          <w:b/>
        </w:rPr>
        <w:t>de referencia</w:t>
      </w:r>
      <w:r w:rsidRPr="003B684E">
        <w:rPr>
          <w:rFonts w:ascii="Palatino Linotype" w:eastAsia="Times New Roman" w:hAnsi="Palatino Linotype" w:cs="Tahoma"/>
          <w:bCs/>
          <w:lang w:val="es-ES"/>
        </w:rPr>
        <w:t>.</w:t>
      </w:r>
    </w:p>
    <w:p w:rsidR="00872D7A" w:rsidRPr="003B684E" w:rsidRDefault="00872D7A" w:rsidP="00872D7A">
      <w:pPr>
        <w:spacing w:line="360" w:lineRule="auto"/>
        <w:jc w:val="both"/>
        <w:rPr>
          <w:rFonts w:ascii="Palatino Linotype" w:hAnsi="Palatino Linotype"/>
          <w:bCs/>
        </w:rPr>
      </w:pPr>
    </w:p>
    <w:p w:rsidR="00872D7A" w:rsidRPr="003B684E" w:rsidRDefault="00872D7A" w:rsidP="00A805D0">
      <w:pPr>
        <w:numPr>
          <w:ilvl w:val="0"/>
          <w:numId w:val="2"/>
        </w:numPr>
        <w:spacing w:line="360" w:lineRule="auto"/>
        <w:ind w:left="0" w:right="-787" w:firstLine="0"/>
        <w:jc w:val="both"/>
        <w:rPr>
          <w:rFonts w:ascii="Palatino Linotype" w:hAnsi="Palatino Linotype"/>
        </w:rPr>
      </w:pPr>
      <w:r w:rsidRPr="003B684E">
        <w:rPr>
          <w:rFonts w:ascii="Palatino Linotype" w:hAnsi="Palatino Linotype"/>
          <w:color w:val="000000"/>
        </w:rPr>
        <w:t>P</w:t>
      </w:r>
      <w:r w:rsidRPr="003B684E">
        <w:rPr>
          <w:rFonts w:ascii="Palatino Linotype" w:hAnsi="Palatino Linotype"/>
        </w:rPr>
        <w:t xml:space="preserve">or lo </w:t>
      </w:r>
      <w:r w:rsidRPr="003B684E">
        <w:rPr>
          <w:rFonts w:ascii="Palatino Linotype" w:hAnsi="Palatino Linotype"/>
          <w:color w:val="000000"/>
        </w:rPr>
        <w:t>que</w:t>
      </w:r>
      <w:r w:rsidRPr="003B684E">
        <w:rPr>
          <w:rFonts w:ascii="Palatino Linotype" w:hAnsi="Palatino Linotype"/>
        </w:rPr>
        <w:t xml:space="preserve">, se considera procedente </w:t>
      </w:r>
      <w:r w:rsidRPr="003B684E">
        <w:rPr>
          <w:rFonts w:ascii="Palatino Linotype" w:hAnsi="Palatino Linotype"/>
          <w:b/>
        </w:rPr>
        <w:t xml:space="preserve">SOBRESEER </w:t>
      </w:r>
      <w:r w:rsidRPr="003B684E">
        <w:rPr>
          <w:rFonts w:ascii="Palatino Linotype" w:hAnsi="Palatino Linotype"/>
        </w:rPr>
        <w:t xml:space="preserve">los Recursos de Revisión </w:t>
      </w:r>
      <w:r w:rsidR="00FF7A15" w:rsidRPr="003B684E">
        <w:rPr>
          <w:rFonts w:ascii="Palatino Linotype" w:hAnsi="Palatino Linotype"/>
          <w:b/>
          <w:bCs/>
        </w:rPr>
        <w:t xml:space="preserve">02803/INFOEM/IP/RR/2026, 02813/INFOEM/IP/RR/2026, 02818/INFOEM/IP/RR/2026 y </w:t>
      </w:r>
      <w:r w:rsidR="00FF7A15" w:rsidRPr="003B684E">
        <w:rPr>
          <w:rFonts w:ascii="Palatino Linotype" w:hAnsi="Palatino Linotype"/>
          <w:b/>
          <w:bCs/>
        </w:rPr>
        <w:lastRenderedPageBreak/>
        <w:t>02833/INFOEM/IP/RR/2026</w:t>
      </w:r>
      <w:r w:rsidRPr="003B684E">
        <w:rPr>
          <w:rFonts w:ascii="Palatino Linotype" w:eastAsia="Times New Roman" w:hAnsi="Palatino Linotype" w:cs="Tahoma"/>
          <w:bCs/>
          <w:lang w:val="es-ES"/>
        </w:rPr>
        <w:t xml:space="preserve">, </w:t>
      </w:r>
      <w:r w:rsidRPr="003B684E">
        <w:rPr>
          <w:rFonts w:ascii="Palatino Linotype" w:hAnsi="Palatino Linotype"/>
        </w:rPr>
        <w:t>en virtud de que se actualiza la hipótesis normativa prevista en el artículo 192, fracción V, de la Ley de Transparencia y Acceso a la Información Pública del Estado de México y Municipios.</w:t>
      </w:r>
    </w:p>
    <w:p w:rsidR="00E659EE" w:rsidRPr="003B684E" w:rsidRDefault="00E659EE" w:rsidP="00E659EE">
      <w:pPr>
        <w:spacing w:line="360" w:lineRule="auto"/>
        <w:ind w:right="-787"/>
        <w:jc w:val="both"/>
        <w:rPr>
          <w:rFonts w:ascii="Palatino Linotype" w:eastAsia="Palatino Linotype" w:hAnsi="Palatino Linotype" w:cs="Palatino Linotype"/>
          <w:color w:val="000000"/>
        </w:rPr>
      </w:pPr>
    </w:p>
    <w:p w:rsidR="005555C4" w:rsidRPr="003B684E" w:rsidRDefault="00276DD0" w:rsidP="000F64B6">
      <w:pPr>
        <w:numPr>
          <w:ilvl w:val="0"/>
          <w:numId w:val="2"/>
        </w:numPr>
        <w:spacing w:line="360" w:lineRule="auto"/>
        <w:ind w:left="0" w:right="-787" w:firstLine="0"/>
        <w:jc w:val="both"/>
        <w:rPr>
          <w:rFonts w:ascii="Palatino Linotype" w:eastAsia="Palatino Linotype" w:hAnsi="Palatino Linotype" w:cs="Palatino Linotype"/>
          <w:b/>
          <w:lang w:val="es-MX"/>
        </w:rPr>
      </w:pPr>
      <w:r w:rsidRPr="003B684E">
        <w:rPr>
          <w:rFonts w:ascii="Palatino Linotype" w:hAnsi="Palatino Linotype"/>
        </w:rPr>
        <w:t>Respecto</w:t>
      </w:r>
      <w:r w:rsidRPr="003B684E">
        <w:rPr>
          <w:rFonts w:ascii="Palatino Linotype" w:eastAsia="Palatino Linotype" w:hAnsi="Palatino Linotype" w:cs="Palatino Linotype"/>
        </w:rPr>
        <w:t xml:space="preserve"> del resto de los Recursos de Revisión</w:t>
      </w:r>
      <w:r w:rsidR="002F1240" w:rsidRPr="003B684E">
        <w:rPr>
          <w:rFonts w:ascii="Palatino Linotype" w:eastAsia="Palatino Linotype" w:hAnsi="Palatino Linotype" w:cs="Palatino Linotype"/>
          <w:color w:val="000000"/>
        </w:rPr>
        <w:t xml:space="preserve">, se considera que el Sujeto Obligado deberá hacer una </w:t>
      </w:r>
      <w:r w:rsidR="002F1240" w:rsidRPr="003B684E">
        <w:rPr>
          <w:rFonts w:ascii="Palatino Linotype" w:eastAsia="Palatino Linotype" w:hAnsi="Palatino Linotype" w:cs="Palatino Linotype"/>
          <w:b/>
          <w:color w:val="000000"/>
        </w:rPr>
        <w:t>nueva búsqueda exhaustiva</w:t>
      </w:r>
      <w:r w:rsidR="002F1240" w:rsidRPr="003B684E">
        <w:rPr>
          <w:rFonts w:ascii="Palatino Linotype" w:eastAsia="Palatino Linotype" w:hAnsi="Palatino Linotype" w:cs="Palatino Linotype"/>
          <w:color w:val="000000"/>
        </w:rPr>
        <w:t xml:space="preserve"> de la información por el se</w:t>
      </w:r>
      <w:r w:rsidR="00A527BF" w:rsidRPr="003B684E">
        <w:rPr>
          <w:rFonts w:ascii="Palatino Linotype" w:eastAsia="Palatino Linotype" w:hAnsi="Palatino Linotype" w:cs="Palatino Linotype"/>
          <w:color w:val="000000"/>
        </w:rPr>
        <w:t>rvidor público habilitado de la unidad administrativa</w:t>
      </w:r>
      <w:r w:rsidR="002105D6" w:rsidRPr="003B684E">
        <w:rPr>
          <w:rFonts w:ascii="Palatino Linotype" w:eastAsia="Palatino Linotype" w:hAnsi="Palatino Linotype" w:cs="Palatino Linotype"/>
          <w:color w:val="000000"/>
        </w:rPr>
        <w:t xml:space="preserve"> </w:t>
      </w:r>
      <w:r w:rsidR="00A527BF" w:rsidRPr="003B684E">
        <w:rPr>
          <w:rFonts w:ascii="Palatino Linotype" w:eastAsia="Palatino Linotype" w:hAnsi="Palatino Linotype" w:cs="Palatino Linotype"/>
          <w:color w:val="000000"/>
        </w:rPr>
        <w:t>competente</w:t>
      </w:r>
      <w:r w:rsidR="002F1240" w:rsidRPr="003B684E">
        <w:rPr>
          <w:rFonts w:ascii="Palatino Linotype" w:eastAsia="Palatino Linotype" w:hAnsi="Palatino Linotype" w:cs="Palatino Linotype"/>
          <w:b/>
          <w:color w:val="000000"/>
        </w:rPr>
        <w:t xml:space="preserve">, </w:t>
      </w:r>
      <w:r w:rsidR="002F1240" w:rsidRPr="003B684E">
        <w:rPr>
          <w:rFonts w:ascii="Palatino Linotype" w:eastAsia="Palatino Linotype" w:hAnsi="Palatino Linotype" w:cs="Palatino Linotype"/>
          <w:color w:val="000000"/>
        </w:rPr>
        <w:t xml:space="preserve">pues se presume que la información </w:t>
      </w:r>
      <w:r w:rsidR="000379A3" w:rsidRPr="003B684E">
        <w:rPr>
          <w:rFonts w:ascii="Palatino Linotype" w:eastAsia="Palatino Linotype" w:hAnsi="Palatino Linotype" w:cs="Palatino Linotype"/>
          <w:color w:val="000000"/>
        </w:rPr>
        <w:t>debe</w:t>
      </w:r>
      <w:r w:rsidR="002F1240" w:rsidRPr="003B684E">
        <w:rPr>
          <w:rFonts w:ascii="Palatino Linotype" w:eastAsia="Palatino Linotype" w:hAnsi="Palatino Linotype" w:cs="Palatino Linotype"/>
          <w:color w:val="000000"/>
        </w:rPr>
        <w:t xml:space="preserve"> existir ya que se refiere a facultades, competencias y funciones que los ordenamientos jurídicos aplicables otorgan al Sujeto Obligado; por lo tanto </w:t>
      </w:r>
      <w:r w:rsidR="00A527BF" w:rsidRPr="003B684E">
        <w:rPr>
          <w:rFonts w:ascii="Palatino Linotype" w:eastAsia="Palatino Linotype" w:hAnsi="Palatino Linotype" w:cs="Palatino Linotype"/>
          <w:color w:val="000000"/>
          <w:lang w:val="es-ES"/>
        </w:rPr>
        <w:t xml:space="preserve">este Instituto determina que los motivos de inconformidad planteados por el Recurrente devienen </w:t>
      </w:r>
      <w:r w:rsidR="00A527BF" w:rsidRPr="003B684E">
        <w:rPr>
          <w:rFonts w:ascii="Palatino Linotype" w:eastAsia="Palatino Linotype" w:hAnsi="Palatino Linotype" w:cs="Palatino Linotype"/>
          <w:b/>
          <w:color w:val="000000"/>
          <w:lang w:val="es-ES"/>
        </w:rPr>
        <w:t xml:space="preserve">PARCIALMENTE FUNDADOS, </w:t>
      </w:r>
      <w:r w:rsidR="00A527BF" w:rsidRPr="003B684E">
        <w:rPr>
          <w:rFonts w:ascii="Palatino Linotype" w:eastAsia="Palatino Linotype" w:hAnsi="Palatino Linotype" w:cs="Palatino Linotype"/>
          <w:color w:val="000000"/>
          <w:lang w:val="es-ES"/>
        </w:rPr>
        <w:t xml:space="preserve">por lo que es procedente </w:t>
      </w:r>
      <w:r w:rsidR="00A527BF" w:rsidRPr="003B684E">
        <w:rPr>
          <w:rFonts w:ascii="Palatino Linotype" w:eastAsia="Palatino Linotype" w:hAnsi="Palatino Linotype" w:cs="Palatino Linotype"/>
          <w:b/>
          <w:color w:val="000000"/>
          <w:lang w:val="es-ES"/>
        </w:rPr>
        <w:t>MODIFICAR</w:t>
      </w:r>
      <w:r w:rsidR="00A527BF" w:rsidRPr="003B684E">
        <w:rPr>
          <w:rFonts w:ascii="Palatino Linotype" w:eastAsia="Palatino Linotype" w:hAnsi="Palatino Linotype" w:cs="Palatino Linotype"/>
          <w:color w:val="000000"/>
          <w:lang w:val="es-ES"/>
        </w:rPr>
        <w:t xml:space="preserve"> las respuestas entregadas por el Sujeto Obligado, y ordenar la entrega de </w:t>
      </w:r>
      <w:r w:rsidR="00A527BF" w:rsidRPr="003B684E">
        <w:rPr>
          <w:rFonts w:ascii="Palatino Linotype" w:eastAsia="Palatino Linotype" w:hAnsi="Palatino Linotype" w:cs="Palatino Linotype"/>
          <w:b/>
          <w:color w:val="000000"/>
          <w:lang w:val="es-ES"/>
        </w:rPr>
        <w:t xml:space="preserve">todos los documentos que integran los expedientes de los recursos de revisión </w:t>
      </w:r>
      <w:r w:rsidR="00950E25" w:rsidRPr="003B684E">
        <w:rPr>
          <w:rFonts w:ascii="Palatino Linotype" w:eastAsia="Palatino Linotype" w:hAnsi="Palatino Linotype" w:cs="Palatino Linotype"/>
          <w:b/>
          <w:lang w:val="es-MX"/>
        </w:rPr>
        <w:t>012897/INFOEM/IP/RR/2025, 012892/INFOEM/IP/RR/2025, 012860/INFOEM/IP/RR/2025, 012856/INFOEM/IP/RR/2025, 012851/INFOEM/IP/RR/2025 y 012668/INFOEM/IP/RR/2025</w:t>
      </w:r>
      <w:r w:rsidR="00A527BF" w:rsidRPr="003B684E">
        <w:rPr>
          <w:rFonts w:ascii="Palatino Linotype" w:eastAsia="Palatino Linotype" w:hAnsi="Palatino Linotype" w:cs="Palatino Linotype"/>
          <w:b/>
          <w:color w:val="000000"/>
          <w:lang w:val="es-ES"/>
        </w:rPr>
        <w:t xml:space="preserve">, generados </w:t>
      </w:r>
      <w:r w:rsidR="00BD5CF8" w:rsidRPr="003B684E">
        <w:rPr>
          <w:rFonts w:ascii="Palatino Linotype" w:eastAsia="Palatino Linotype" w:hAnsi="Palatino Linotype" w:cs="Palatino Linotype"/>
          <w:b/>
          <w:color w:val="000000"/>
          <w:lang w:val="es-ES"/>
        </w:rPr>
        <w:t>al veintiséis de enero de dos mil veintiséis</w:t>
      </w:r>
      <w:r w:rsidR="00A527BF" w:rsidRPr="003B684E">
        <w:rPr>
          <w:rFonts w:ascii="Palatino Linotype" w:eastAsia="Palatino Linotype" w:hAnsi="Palatino Linotype" w:cs="Palatino Linotype"/>
          <w:b/>
          <w:color w:val="000000"/>
          <w:lang w:val="es-ES"/>
        </w:rPr>
        <w:t>, en versión pública de ser procedente</w:t>
      </w:r>
      <w:r w:rsidR="00A527BF" w:rsidRPr="003B684E">
        <w:rPr>
          <w:rFonts w:ascii="Palatino Linotype" w:eastAsia="Palatino Linotype" w:hAnsi="Palatino Linotype" w:cs="Palatino Linotype"/>
          <w:color w:val="000000"/>
          <w:lang w:val="es-ES"/>
        </w:rPr>
        <w:t>.</w:t>
      </w:r>
      <w:r w:rsidR="00950E25" w:rsidRPr="003B684E">
        <w:rPr>
          <w:rFonts w:ascii="Palatino Linotype" w:eastAsia="Palatino Linotype" w:hAnsi="Palatino Linotype" w:cs="Palatino Linotype"/>
          <w:color w:val="000000"/>
          <w:lang w:val="es-ES"/>
        </w:rPr>
        <w:t xml:space="preserve"> </w:t>
      </w: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2F1240">
      <w:pPr>
        <w:keepNext/>
        <w:keepLines/>
        <w:spacing w:after="160" w:line="360" w:lineRule="auto"/>
        <w:rPr>
          <w:rFonts w:ascii="Palatino Linotype" w:eastAsia="Palatino Linotype" w:hAnsi="Palatino Linotype" w:cs="Palatino Linotype"/>
          <w:b/>
          <w:color w:val="000000"/>
        </w:rPr>
      </w:pPr>
      <w:r w:rsidRPr="003B684E">
        <w:rPr>
          <w:rFonts w:ascii="Palatino Linotype" w:eastAsia="Palatino Linotype" w:hAnsi="Palatino Linotype" w:cs="Palatino Linotype"/>
          <w:b/>
          <w:color w:val="000000"/>
        </w:rPr>
        <w:t>QUINTO. De la versión pública.</w:t>
      </w:r>
    </w:p>
    <w:p w:rsidR="005555C4" w:rsidRPr="003B684E" w:rsidRDefault="002F1240">
      <w:pPr>
        <w:keepNext/>
        <w:keepLines/>
        <w:numPr>
          <w:ilvl w:val="0"/>
          <w:numId w:val="4"/>
        </w:numPr>
        <w:tabs>
          <w:tab w:val="left" w:pos="284"/>
        </w:tabs>
        <w:spacing w:after="160" w:line="360" w:lineRule="auto"/>
        <w:rPr>
          <w:rFonts w:ascii="Palatino Linotype" w:eastAsia="Palatino Linotype" w:hAnsi="Palatino Linotype" w:cs="Palatino Linotype"/>
          <w:b/>
          <w:color w:val="000000"/>
        </w:rPr>
      </w:pPr>
      <w:r w:rsidRPr="003B684E">
        <w:rPr>
          <w:rFonts w:ascii="Palatino Linotype" w:eastAsia="Palatino Linotype" w:hAnsi="Palatino Linotype" w:cs="Palatino Linotype"/>
          <w:b/>
          <w:color w:val="000000"/>
        </w:rPr>
        <w:t xml:space="preserve">Nociones generales. </w:t>
      </w:r>
    </w:p>
    <w:p w:rsidR="005555C4" w:rsidRPr="003B684E" w:rsidRDefault="002F1240">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Debido a la información solicitada por el </w:t>
      </w:r>
      <w:r w:rsidRPr="003B684E">
        <w:rPr>
          <w:rFonts w:ascii="Palatino Linotype" w:eastAsia="Palatino Linotype" w:hAnsi="Palatino Linotype" w:cs="Palatino Linotype"/>
          <w:b/>
        </w:rPr>
        <w:t>RECURRENTE</w:t>
      </w:r>
      <w:r w:rsidRPr="003B684E">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3B684E">
        <w:rPr>
          <w:rFonts w:ascii="Palatino Linotype" w:eastAsia="Palatino Linotype" w:hAnsi="Palatino Linotype" w:cs="Palatino Linotype"/>
          <w:b/>
        </w:rPr>
        <w:t xml:space="preserve">SUJETO OBLIGADO </w:t>
      </w:r>
      <w:r w:rsidRPr="003B684E">
        <w:rPr>
          <w:rFonts w:ascii="Palatino Linotype" w:eastAsia="Palatino Linotype" w:hAnsi="Palatino Linotype" w:cs="Palatino Linotype"/>
        </w:rPr>
        <w:t xml:space="preserve">deberá de hacer la adecuada versión pública, protegiendo los datos que no son susceptibles de ser proporcionados. </w:t>
      </w:r>
    </w:p>
    <w:p w:rsidR="005555C4" w:rsidRPr="003B684E" w:rsidRDefault="005555C4">
      <w:pPr>
        <w:tabs>
          <w:tab w:val="left" w:pos="0"/>
          <w:tab w:val="left" w:pos="284"/>
        </w:tabs>
        <w:spacing w:line="360" w:lineRule="auto"/>
        <w:ind w:right="49"/>
        <w:jc w:val="both"/>
        <w:rPr>
          <w:rFonts w:ascii="Palatino Linotype" w:eastAsia="Palatino Linotype" w:hAnsi="Palatino Linotype" w:cs="Palatino Linotype"/>
          <w:highlight w:val="yellow"/>
        </w:rPr>
      </w:pPr>
    </w:p>
    <w:p w:rsidR="005555C4" w:rsidRPr="003B684E"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lastRenderedPageBreak/>
        <w:t>No pasa desapercibido para este Órgano Garante que los sujetos obligados</w:t>
      </w:r>
      <w:r w:rsidRPr="003B684E">
        <w:rPr>
          <w:rFonts w:ascii="Palatino Linotype" w:eastAsia="Palatino Linotype" w:hAnsi="Palatino Linotype" w:cs="Palatino Linotype"/>
          <w:b/>
          <w:color w:val="000000"/>
        </w:rPr>
        <w:t xml:space="preserve"> </w:t>
      </w:r>
      <w:r w:rsidRPr="003B684E">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555C4" w:rsidRPr="003B684E" w:rsidRDefault="005555C4">
      <w:pPr>
        <w:tabs>
          <w:tab w:val="left" w:pos="284"/>
        </w:tabs>
        <w:spacing w:after="160" w:line="360" w:lineRule="auto"/>
        <w:ind w:right="49"/>
        <w:jc w:val="both"/>
        <w:rPr>
          <w:rFonts w:ascii="Palatino Linotype" w:eastAsia="Palatino Linotype" w:hAnsi="Palatino Linotype" w:cs="Palatino Linotype"/>
          <w:color w:val="000000"/>
        </w:rPr>
      </w:pPr>
    </w:p>
    <w:tbl>
      <w:tblPr>
        <w:tblStyle w:val="a8"/>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5555C4" w:rsidRPr="003B684E" w:rsidTr="003B684E">
        <w:tc>
          <w:tcPr>
            <w:tcW w:w="2689" w:type="dxa"/>
          </w:tcPr>
          <w:p w:rsidR="005555C4" w:rsidRPr="003B684E" w:rsidRDefault="002F1240">
            <w:pPr>
              <w:tabs>
                <w:tab w:val="left" w:pos="284"/>
              </w:tabs>
              <w:spacing w:line="360" w:lineRule="auto"/>
              <w:rPr>
                <w:rFonts w:ascii="Palatino Linotype" w:eastAsia="Palatino Linotype" w:hAnsi="Palatino Linotype" w:cs="Palatino Linotype"/>
                <w:b/>
              </w:rPr>
            </w:pPr>
            <w:r w:rsidRPr="003B684E">
              <w:rPr>
                <w:rFonts w:ascii="Palatino Linotype" w:eastAsia="Palatino Linotype" w:hAnsi="Palatino Linotype" w:cs="Palatino Linotype"/>
                <w:b/>
              </w:rPr>
              <w:t>a) Requisitos previos.</w:t>
            </w:r>
          </w:p>
        </w:tc>
        <w:tc>
          <w:tcPr>
            <w:tcW w:w="7229" w:type="dxa"/>
          </w:tcPr>
          <w:p w:rsidR="005555C4" w:rsidRPr="003B684E" w:rsidRDefault="002F1240">
            <w:pPr>
              <w:tabs>
                <w:tab w:val="left" w:pos="284"/>
              </w:tabs>
              <w:spacing w:line="360" w:lineRule="auto"/>
              <w:ind w:right="49"/>
              <w:jc w:val="both"/>
              <w:rPr>
                <w:rFonts w:ascii="Palatino Linotype" w:eastAsia="Palatino Linotype" w:hAnsi="Palatino Linotype" w:cs="Palatino Linotype"/>
                <w:b/>
                <w:color w:val="000000"/>
              </w:rPr>
            </w:pPr>
            <w:r w:rsidRPr="003B684E">
              <w:rPr>
                <w:rFonts w:ascii="Palatino Linotype" w:eastAsia="Palatino Linotype" w:hAnsi="Palatino Linotype" w:cs="Palatino Linotype"/>
                <w:b/>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5555C4" w:rsidRPr="003B684E" w:rsidRDefault="002F1240">
            <w:pPr>
              <w:tabs>
                <w:tab w:val="left" w:pos="284"/>
              </w:tabs>
              <w:spacing w:line="360" w:lineRule="auto"/>
              <w:ind w:right="49"/>
              <w:jc w:val="both"/>
              <w:rPr>
                <w:rFonts w:ascii="Palatino Linotype" w:eastAsia="Palatino Linotype" w:hAnsi="Palatino Linotype" w:cs="Palatino Linotype"/>
                <w:b/>
                <w:color w:val="000000"/>
              </w:rPr>
            </w:pPr>
            <w:r w:rsidRPr="003B684E">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5555C4" w:rsidRPr="003B684E" w:rsidRDefault="002F1240">
            <w:pPr>
              <w:tabs>
                <w:tab w:val="left" w:pos="284"/>
              </w:tabs>
              <w:spacing w:line="360" w:lineRule="auto"/>
              <w:ind w:right="49"/>
              <w:jc w:val="both"/>
              <w:rPr>
                <w:rFonts w:ascii="Palatino Linotype" w:eastAsia="Palatino Linotype" w:hAnsi="Palatino Linotype" w:cs="Palatino Linotype"/>
                <w:b/>
                <w:color w:val="000000"/>
              </w:rPr>
            </w:pPr>
            <w:r w:rsidRPr="003B684E">
              <w:rPr>
                <w:rFonts w:ascii="Palatino Linotype" w:eastAsia="Palatino Linotype" w:hAnsi="Palatino Linotype" w:cs="Palatino Linotype"/>
                <w:b/>
                <w:color w:val="000000"/>
              </w:rPr>
              <w:t>Además, se debe señalar el procedimiento, de los tres que establecen los artículos 132 y 106 de la Ley Estatal y General, respectivamente.</w:t>
            </w:r>
          </w:p>
          <w:p w:rsidR="005555C4" w:rsidRPr="003B684E" w:rsidRDefault="002F1240">
            <w:pPr>
              <w:tabs>
                <w:tab w:val="left" w:pos="284"/>
              </w:tabs>
              <w:spacing w:line="360" w:lineRule="auto"/>
              <w:jc w:val="both"/>
              <w:rPr>
                <w:rFonts w:ascii="Palatino Linotype" w:eastAsia="Palatino Linotype" w:hAnsi="Palatino Linotype" w:cs="Palatino Linotype"/>
                <w:b/>
              </w:rPr>
            </w:pPr>
            <w:r w:rsidRPr="003B684E">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3B684E">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3B684E">
              <w:rPr>
                <w:rFonts w:ascii="Palatino Linotype" w:eastAsia="Palatino Linotype" w:hAnsi="Palatino Linotype" w:cs="Palatino Linotype"/>
                <w:b/>
                <w:color w:val="000000"/>
              </w:rPr>
              <w:t xml:space="preserve"> individualizar su análisis y tampoco se puede hacer un acuerdo por cada dato </w:t>
            </w:r>
            <w:r w:rsidRPr="003B684E">
              <w:rPr>
                <w:rFonts w:ascii="Palatino Linotype" w:eastAsia="Palatino Linotype" w:hAnsi="Palatino Linotype" w:cs="Palatino Linotype"/>
                <w:b/>
                <w:color w:val="000000"/>
              </w:rPr>
              <w:lastRenderedPageBreak/>
              <w:t>que se vaya a clasificar dentro de un documento con diez datos, por ejemplo, susceptibles de ser clasificados.</w:t>
            </w:r>
          </w:p>
        </w:tc>
      </w:tr>
      <w:tr w:rsidR="005555C4" w:rsidRPr="003B684E" w:rsidTr="003B684E">
        <w:tc>
          <w:tcPr>
            <w:tcW w:w="2689" w:type="dxa"/>
          </w:tcPr>
          <w:p w:rsidR="005555C4" w:rsidRPr="003B684E" w:rsidRDefault="002F1240">
            <w:pPr>
              <w:tabs>
                <w:tab w:val="left" w:pos="284"/>
              </w:tabs>
              <w:spacing w:line="360" w:lineRule="auto"/>
              <w:rPr>
                <w:rFonts w:ascii="Palatino Linotype" w:eastAsia="Palatino Linotype" w:hAnsi="Palatino Linotype" w:cs="Palatino Linotype"/>
                <w:b/>
              </w:rPr>
            </w:pPr>
            <w:r w:rsidRPr="003B684E">
              <w:rPr>
                <w:rFonts w:ascii="Palatino Linotype" w:eastAsia="Palatino Linotype" w:hAnsi="Palatino Linotype" w:cs="Palatino Linotype"/>
                <w:b/>
              </w:rPr>
              <w:lastRenderedPageBreak/>
              <w:t>b) Supuestos de clasificación.</w:t>
            </w:r>
          </w:p>
        </w:tc>
        <w:tc>
          <w:tcPr>
            <w:tcW w:w="7229" w:type="dxa"/>
          </w:tcPr>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555C4" w:rsidRPr="003B684E" w:rsidRDefault="002F1240">
            <w:pPr>
              <w:tabs>
                <w:tab w:val="left" w:pos="284"/>
              </w:tabs>
              <w:spacing w:line="360" w:lineRule="auto"/>
              <w:jc w:val="both"/>
              <w:rPr>
                <w:rFonts w:ascii="Palatino Linotype" w:eastAsia="Palatino Linotype" w:hAnsi="Palatino Linotype" w:cs="Palatino Linotype"/>
              </w:rPr>
            </w:pPr>
            <w:r w:rsidRPr="003B684E">
              <w:rPr>
                <w:rFonts w:ascii="Palatino Linotype" w:eastAsia="Palatino Linotype" w:hAnsi="Palatino Linotype" w:cs="Palatino Linotype"/>
                <w:color w:val="000000"/>
              </w:rPr>
              <w:t xml:space="preserve">El </w:t>
            </w:r>
            <w:r w:rsidRPr="003B684E">
              <w:rPr>
                <w:rFonts w:ascii="Palatino Linotype" w:eastAsia="Palatino Linotype" w:hAnsi="Palatino Linotype" w:cs="Palatino Linotype"/>
                <w:b/>
                <w:color w:val="000000"/>
              </w:rPr>
              <w:t>Sujeto Obligado</w:t>
            </w:r>
            <w:r w:rsidRPr="003B684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555C4" w:rsidRPr="003B684E" w:rsidTr="003B684E">
        <w:tc>
          <w:tcPr>
            <w:tcW w:w="2689" w:type="dxa"/>
          </w:tcPr>
          <w:p w:rsidR="005555C4" w:rsidRPr="003B684E" w:rsidRDefault="002F1240">
            <w:pPr>
              <w:tabs>
                <w:tab w:val="left" w:pos="284"/>
              </w:tabs>
              <w:spacing w:line="360" w:lineRule="auto"/>
              <w:rPr>
                <w:rFonts w:ascii="Palatino Linotype" w:eastAsia="Palatino Linotype" w:hAnsi="Palatino Linotype" w:cs="Palatino Linotype"/>
                <w:b/>
              </w:rPr>
            </w:pPr>
            <w:r w:rsidRPr="003B684E">
              <w:rPr>
                <w:rFonts w:ascii="Palatino Linotype" w:eastAsia="Palatino Linotype" w:hAnsi="Palatino Linotype" w:cs="Palatino Linotype"/>
                <w:b/>
              </w:rPr>
              <w:t>c) Formalidades para emitir el acuerdo de clasificación.</w:t>
            </w:r>
          </w:p>
        </w:tc>
        <w:tc>
          <w:tcPr>
            <w:tcW w:w="7229" w:type="dxa"/>
          </w:tcPr>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lastRenderedPageBreak/>
              <w:t xml:space="preserve">Es necesario que </w:t>
            </w:r>
            <w:r w:rsidRPr="003B684E">
              <w:rPr>
                <w:rFonts w:ascii="Palatino Linotype" w:eastAsia="Palatino Linotype" w:hAnsi="Palatino Linotype" w:cs="Palatino Linotype"/>
                <w:b/>
                <w:color w:val="000000"/>
                <w:u w:val="single"/>
              </w:rPr>
              <w:t>el acto reúna con los requisitos elementales</w:t>
            </w:r>
            <w:r w:rsidRPr="003B684E">
              <w:rPr>
                <w:rFonts w:ascii="Palatino Linotype" w:eastAsia="Palatino Linotype" w:hAnsi="Palatino Linotype" w:cs="Palatino Linotype"/>
                <w:color w:val="000000"/>
              </w:rPr>
              <w:t>, entre ellos, que la autoridad que va a emitir el acto de autoridad sea la legalmente facultada para ello.</w:t>
            </w:r>
          </w:p>
          <w:p w:rsidR="005555C4" w:rsidRPr="003B684E" w:rsidRDefault="002F1240">
            <w:pPr>
              <w:tabs>
                <w:tab w:val="left" w:pos="284"/>
              </w:tabs>
              <w:spacing w:line="360" w:lineRule="auto"/>
              <w:jc w:val="both"/>
              <w:rPr>
                <w:rFonts w:ascii="Palatino Linotype" w:eastAsia="Palatino Linotype" w:hAnsi="Palatino Linotype" w:cs="Palatino Linotype"/>
              </w:rPr>
            </w:pPr>
            <w:r w:rsidRPr="003B684E">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555C4" w:rsidRPr="003B684E" w:rsidTr="003B684E">
        <w:tc>
          <w:tcPr>
            <w:tcW w:w="2689" w:type="dxa"/>
          </w:tcPr>
          <w:p w:rsidR="005555C4" w:rsidRPr="003B684E" w:rsidRDefault="005555C4">
            <w:pPr>
              <w:tabs>
                <w:tab w:val="left" w:pos="284"/>
              </w:tabs>
              <w:spacing w:line="360" w:lineRule="auto"/>
              <w:rPr>
                <w:rFonts w:ascii="Palatino Linotype" w:eastAsia="Palatino Linotype" w:hAnsi="Palatino Linotype" w:cs="Palatino Linotype"/>
                <w:b/>
              </w:rPr>
            </w:pPr>
          </w:p>
          <w:p w:rsidR="005555C4" w:rsidRPr="003B684E" w:rsidRDefault="002F1240">
            <w:pPr>
              <w:tabs>
                <w:tab w:val="left" w:pos="284"/>
              </w:tabs>
              <w:spacing w:line="360" w:lineRule="auto"/>
              <w:jc w:val="both"/>
              <w:rPr>
                <w:rFonts w:ascii="Palatino Linotype" w:eastAsia="Palatino Linotype" w:hAnsi="Palatino Linotype" w:cs="Palatino Linotype"/>
                <w:b/>
              </w:rPr>
            </w:pPr>
            <w:r w:rsidRPr="003B684E">
              <w:rPr>
                <w:rFonts w:ascii="Palatino Linotype" w:eastAsia="Palatino Linotype" w:hAnsi="Palatino Linotype" w:cs="Palatino Linotype"/>
                <w:b/>
                <w:color w:val="000000"/>
              </w:rPr>
              <w:t xml:space="preserve">d) Requisitos de fondo del acuerdo de clasificación. </w:t>
            </w:r>
          </w:p>
        </w:tc>
        <w:tc>
          <w:tcPr>
            <w:tcW w:w="7229" w:type="dxa"/>
          </w:tcPr>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3B684E">
              <w:rPr>
                <w:rFonts w:ascii="Palatino Linotype" w:eastAsia="Palatino Linotype" w:hAnsi="Palatino Linotype" w:cs="Palatino Linotype"/>
                <w:b/>
                <w:color w:val="000000"/>
              </w:rPr>
              <w:t>Sujetos Obligados</w:t>
            </w:r>
            <w:r w:rsidRPr="003B684E">
              <w:rPr>
                <w:rFonts w:ascii="Palatino Linotype" w:eastAsia="Palatino Linotype" w:hAnsi="Palatino Linotype" w:cs="Palatino Linotype"/>
                <w:color w:val="000000"/>
              </w:rPr>
              <w:t xml:space="preserve">, por lo que deberán fundar y motivar debidamente la clasificación. </w:t>
            </w:r>
          </w:p>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De lo anterior, se desprende que para una correcta </w:t>
            </w:r>
            <w:r w:rsidRPr="003B684E">
              <w:rPr>
                <w:rFonts w:ascii="Palatino Linotype" w:eastAsia="Palatino Linotype" w:hAnsi="Palatino Linotype" w:cs="Palatino Linotype"/>
                <w:b/>
                <w:color w:val="000000"/>
              </w:rPr>
              <w:t>clasificación total o parcial</w:t>
            </w:r>
            <w:r w:rsidRPr="003B684E">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sidRPr="003B684E">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Ahora bien, </w:t>
            </w:r>
            <w:r w:rsidRPr="003B684E">
              <w:rPr>
                <w:rFonts w:ascii="Palatino Linotype" w:eastAsia="Palatino Linotype" w:hAnsi="Palatino Linotype" w:cs="Palatino Linotype"/>
                <w:b/>
                <w:color w:val="000000"/>
                <w:u w:val="single"/>
              </w:rPr>
              <w:t>para cada caso además de fundar y motivar</w:t>
            </w:r>
            <w:r w:rsidRPr="003B684E">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555C4" w:rsidRPr="003B684E" w:rsidTr="003B684E">
        <w:tc>
          <w:tcPr>
            <w:tcW w:w="2689" w:type="dxa"/>
          </w:tcPr>
          <w:p w:rsidR="005555C4" w:rsidRPr="003B684E" w:rsidRDefault="002F1240">
            <w:pPr>
              <w:tabs>
                <w:tab w:val="left" w:pos="284"/>
              </w:tabs>
              <w:spacing w:line="360" w:lineRule="auto"/>
              <w:ind w:right="49"/>
              <w:jc w:val="both"/>
              <w:rPr>
                <w:rFonts w:ascii="Palatino Linotype" w:eastAsia="Palatino Linotype" w:hAnsi="Palatino Linotype" w:cs="Palatino Linotype"/>
                <w:b/>
              </w:rPr>
            </w:pPr>
            <w:r w:rsidRPr="003B684E">
              <w:rPr>
                <w:rFonts w:ascii="Palatino Linotype" w:eastAsia="Palatino Linotype" w:hAnsi="Palatino Linotype" w:cs="Palatino Linotype"/>
                <w:b/>
              </w:rPr>
              <w:lastRenderedPageBreak/>
              <w:t xml:space="preserve">e) Condiciones especiales de la clasificación de la </w:t>
            </w:r>
            <w:r w:rsidRPr="003B684E">
              <w:rPr>
                <w:rFonts w:ascii="Palatino Linotype" w:eastAsia="Palatino Linotype" w:hAnsi="Palatino Linotype" w:cs="Palatino Linotype"/>
                <w:b/>
              </w:rPr>
              <w:lastRenderedPageBreak/>
              <w:t xml:space="preserve">información como confidencial. </w:t>
            </w:r>
          </w:p>
        </w:tc>
        <w:tc>
          <w:tcPr>
            <w:tcW w:w="7229" w:type="dxa"/>
          </w:tcPr>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lastRenderedPageBreak/>
              <w:t xml:space="preserve">Los artículos 148 y 120 de la Ley Estatal y de la Ley General, vigente a la fecha de la solicitud de información, respectivamente, </w:t>
            </w:r>
            <w:r w:rsidRPr="003B684E">
              <w:rPr>
                <w:rFonts w:ascii="Palatino Linotype" w:eastAsia="Palatino Linotype" w:hAnsi="Palatino Linotype" w:cs="Palatino Linotype"/>
                <w:color w:val="000000"/>
              </w:rPr>
              <w:lastRenderedPageBreak/>
              <w:t xml:space="preserve">establecen que aun tratándose de datos personales, se podrán proporcionar, incluso sin solicitar el consentimiento de su titular. </w:t>
            </w:r>
          </w:p>
          <w:p w:rsidR="005555C4" w:rsidRPr="003B684E" w:rsidRDefault="002F1240">
            <w:pPr>
              <w:tabs>
                <w:tab w:val="left" w:pos="284"/>
              </w:tabs>
              <w:spacing w:line="360" w:lineRule="auto"/>
              <w:ind w:right="49"/>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555C4" w:rsidRPr="003B684E" w:rsidRDefault="002F1240">
            <w:pPr>
              <w:tabs>
                <w:tab w:val="left" w:pos="284"/>
              </w:tabs>
              <w:spacing w:line="360" w:lineRule="auto"/>
              <w:rPr>
                <w:rFonts w:ascii="Palatino Linotype" w:eastAsia="Palatino Linotype" w:hAnsi="Palatino Linotype" w:cs="Palatino Linotype"/>
              </w:rPr>
            </w:pPr>
            <w:r w:rsidRPr="003B684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555C4" w:rsidRPr="003B684E" w:rsidRDefault="005555C4">
      <w:pPr>
        <w:tabs>
          <w:tab w:val="left" w:pos="284"/>
        </w:tabs>
        <w:spacing w:line="360" w:lineRule="auto"/>
        <w:rPr>
          <w:rFonts w:ascii="Palatino Linotype" w:eastAsia="Palatino Linotype" w:hAnsi="Palatino Linotype" w:cs="Palatino Linotype"/>
          <w:color w:val="000000"/>
        </w:rPr>
      </w:pPr>
    </w:p>
    <w:p w:rsidR="005555C4" w:rsidRPr="003B684E" w:rsidRDefault="005555C4">
      <w:pPr>
        <w:rPr>
          <w:rFonts w:ascii="Palatino Linotype" w:eastAsia="Palatino Linotype" w:hAnsi="Palatino Linotype" w:cs="Palatino Linotype"/>
        </w:rPr>
      </w:pPr>
    </w:p>
    <w:p w:rsidR="005555C4" w:rsidRPr="003B684E" w:rsidRDefault="002F1240">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En ese sentido, el </w:t>
      </w:r>
      <w:r w:rsidRPr="003B684E">
        <w:rPr>
          <w:rFonts w:ascii="Palatino Linotype" w:eastAsia="Palatino Linotype" w:hAnsi="Palatino Linotype" w:cs="Palatino Linotype"/>
          <w:b/>
        </w:rPr>
        <w:t>SUJETO OBLIGADO</w:t>
      </w:r>
      <w:r w:rsidRPr="003B684E">
        <w:rPr>
          <w:rFonts w:ascii="Palatino Linotype" w:eastAsia="Palatino Linotype" w:hAnsi="Palatino Linotype" w:cs="Palatino Linotype"/>
        </w:rPr>
        <w:t xml:space="preserve"> deberá de emitir el Acuerdo del Comité de Transparencia, </w:t>
      </w:r>
      <w:r w:rsidRPr="003B684E">
        <w:rPr>
          <w:rFonts w:ascii="Palatino Linotype" w:eastAsia="Palatino Linotype" w:hAnsi="Palatino Linotype" w:cs="Palatino Linotype"/>
          <w:color w:val="000000"/>
        </w:rPr>
        <w:t>mediante</w:t>
      </w:r>
      <w:r w:rsidRPr="003B684E">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5555C4" w:rsidRPr="003B684E" w:rsidRDefault="005555C4">
      <w:pPr>
        <w:tabs>
          <w:tab w:val="left" w:pos="284"/>
        </w:tabs>
        <w:spacing w:line="360" w:lineRule="auto"/>
        <w:ind w:right="276"/>
        <w:jc w:val="both"/>
        <w:rPr>
          <w:rFonts w:ascii="Palatino Linotype" w:eastAsia="Palatino Linotype" w:hAnsi="Palatino Linotype" w:cs="Palatino Linotype"/>
          <w:color w:val="000000"/>
        </w:rPr>
      </w:pPr>
    </w:p>
    <w:p w:rsidR="005555C4" w:rsidRPr="003B684E"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rPr>
        <w:t xml:space="preserve">Derivado de lo establecido en párrafos anteriores, si el </w:t>
      </w:r>
      <w:r w:rsidRPr="003B684E">
        <w:rPr>
          <w:rFonts w:ascii="Palatino Linotype" w:eastAsia="Palatino Linotype" w:hAnsi="Palatino Linotype" w:cs="Palatino Linotype"/>
          <w:b/>
        </w:rPr>
        <w:t>SUJETO OBLIGADO</w:t>
      </w:r>
      <w:r w:rsidRPr="003B684E">
        <w:rPr>
          <w:rFonts w:ascii="Palatino Linotype" w:eastAsia="Palatino Linotype" w:hAnsi="Palatino Linotype" w:cs="Palatino Linotype"/>
        </w:rPr>
        <w:t xml:space="preserve"> incumple con estas formalidades y entrega la información sin proteger los datos personales o testando </w:t>
      </w:r>
      <w:r w:rsidRPr="003B684E">
        <w:rPr>
          <w:rFonts w:ascii="Palatino Linotype" w:eastAsia="Palatino Linotype" w:hAnsi="Palatino Linotype" w:cs="Palatino Linotype"/>
        </w:rPr>
        <w:lastRenderedPageBreak/>
        <w:t>datos considerados como públicos incumple con lo que estipulan las disposiciones legales establecidas, asimismo que si entrega un documento testado sin el debido acuerdo de clasificación.</w:t>
      </w:r>
    </w:p>
    <w:p w:rsidR="005555C4" w:rsidRPr="003B684E" w:rsidRDefault="005555C4">
      <w:pPr>
        <w:spacing w:line="360" w:lineRule="auto"/>
        <w:jc w:val="both"/>
        <w:rPr>
          <w:color w:val="000000"/>
        </w:rPr>
      </w:pPr>
    </w:p>
    <w:p w:rsidR="00E659EE" w:rsidRPr="003B684E" w:rsidRDefault="00E659EE" w:rsidP="00E659EE">
      <w:pPr>
        <w:numPr>
          <w:ilvl w:val="0"/>
          <w:numId w:val="2"/>
        </w:numPr>
        <w:spacing w:line="360" w:lineRule="auto"/>
        <w:ind w:left="0" w:right="-787" w:firstLine="0"/>
        <w:jc w:val="both"/>
        <w:rPr>
          <w:rFonts w:ascii="Palatino Linotype" w:eastAsia="Palatino Linotype" w:hAnsi="Palatino Linotype" w:cs="Palatino Linotype"/>
        </w:rPr>
      </w:pPr>
      <w:r w:rsidRPr="003B684E">
        <w:rPr>
          <w:rFonts w:ascii="Palatino Linotype" w:eastAsia="Palatino Linotype" w:hAnsi="Palatino Linotype" w:cs="Palatino Linotype"/>
        </w:rPr>
        <w:t xml:space="preserve">Por lo expuesto, y con fundamento en lo prescrito en los artículos </w:t>
      </w:r>
      <w:r w:rsidRPr="003B684E">
        <w:rPr>
          <w:rFonts w:ascii="Palatino Linotype" w:eastAsia="Palatino Linotype" w:hAnsi="Palatino Linotype" w:cs="Palatino Linotype"/>
          <w:color w:val="000000"/>
        </w:rPr>
        <w:t xml:space="preserve">5, párrafos </w:t>
      </w:r>
      <w:r w:rsidRPr="003B684E">
        <w:rPr>
          <w:rFonts w:ascii="Palatino Linotype" w:eastAsia="Palatino Linotype" w:hAnsi="Palatino Linotype" w:cs="Palatino Linotype"/>
        </w:rPr>
        <w:t>cuadragésimo</w:t>
      </w:r>
      <w:r w:rsidRPr="003B684E">
        <w:rPr>
          <w:rFonts w:ascii="Palatino Linotype" w:eastAsia="Palatino Linotype" w:hAnsi="Palatino Linotype" w:cs="Palatino Linotype"/>
          <w:color w:val="000000"/>
        </w:rPr>
        <w:t xml:space="preserve"> </w:t>
      </w:r>
      <w:r w:rsidRPr="003B684E">
        <w:rPr>
          <w:rFonts w:ascii="Palatino Linotype" w:eastAsia="Palatino Linotype" w:hAnsi="Palatino Linotype" w:cs="Palatino Linotype"/>
        </w:rPr>
        <w:t>cuarto</w:t>
      </w:r>
      <w:r w:rsidRPr="003B684E">
        <w:rPr>
          <w:rFonts w:ascii="Palatino Linotype" w:eastAsia="Palatino Linotype" w:hAnsi="Palatino Linotype" w:cs="Palatino Linotype"/>
          <w:color w:val="000000"/>
        </w:rPr>
        <w:t>, cuadragésimo quinto y cuadragésimo sexto, fracciones IV y V, de la Constitución Política del Estado Libre y Soberano de México</w:t>
      </w:r>
      <w:r w:rsidRPr="003B684E">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5555C4" w:rsidRPr="003B684E" w:rsidRDefault="005555C4">
      <w:pPr>
        <w:ind w:right="278"/>
        <w:rPr>
          <w:rFonts w:ascii="Palatino Linotype" w:eastAsia="Palatino Linotype" w:hAnsi="Palatino Linotype" w:cs="Palatino Linotype"/>
        </w:rPr>
      </w:pPr>
    </w:p>
    <w:p w:rsidR="005555C4" w:rsidRPr="003B684E" w:rsidRDefault="002F1240">
      <w:pPr>
        <w:spacing w:line="360" w:lineRule="auto"/>
        <w:ind w:right="276"/>
        <w:jc w:val="center"/>
        <w:rPr>
          <w:rFonts w:ascii="Palatino Linotype" w:eastAsia="Palatino Linotype" w:hAnsi="Palatino Linotype" w:cs="Palatino Linotype"/>
          <w:b/>
        </w:rPr>
      </w:pPr>
      <w:r w:rsidRPr="003B684E">
        <w:rPr>
          <w:rFonts w:ascii="Palatino Linotype" w:eastAsia="Palatino Linotype" w:hAnsi="Palatino Linotype" w:cs="Palatino Linotype"/>
          <w:b/>
        </w:rPr>
        <w:t>R E S U E L V E</w:t>
      </w:r>
    </w:p>
    <w:p w:rsidR="005555C4" w:rsidRPr="003B684E" w:rsidRDefault="005555C4">
      <w:pPr>
        <w:spacing w:line="360" w:lineRule="auto"/>
        <w:ind w:right="-787"/>
        <w:jc w:val="center"/>
        <w:rPr>
          <w:rFonts w:ascii="Palatino Linotype" w:eastAsia="Palatino Linotype" w:hAnsi="Palatino Linotype" w:cs="Palatino Linotype"/>
          <w:b/>
        </w:rPr>
      </w:pPr>
    </w:p>
    <w:p w:rsidR="00C80E6B" w:rsidRPr="003B684E" w:rsidRDefault="00C80E6B" w:rsidP="00C80E6B">
      <w:pPr>
        <w:spacing w:line="360" w:lineRule="auto"/>
        <w:ind w:right="-787"/>
        <w:jc w:val="both"/>
        <w:rPr>
          <w:rFonts w:ascii="Palatino Linotype" w:eastAsia="Times New Roman" w:hAnsi="Palatino Linotype" w:cs="Tahoma"/>
          <w:bCs/>
          <w:lang w:val="es-ES"/>
        </w:rPr>
      </w:pPr>
      <w:r w:rsidRPr="003B684E">
        <w:rPr>
          <w:rFonts w:ascii="Palatino Linotype" w:hAnsi="Palatino Linotype"/>
          <w:b/>
          <w:bCs/>
        </w:rPr>
        <w:t xml:space="preserve">PRIMERO. </w:t>
      </w:r>
      <w:r w:rsidRPr="003B684E">
        <w:rPr>
          <w:rFonts w:ascii="Palatino Linotype" w:hAnsi="Palatino Linotype"/>
          <w:bCs/>
        </w:rPr>
        <w:t xml:space="preserve">Se </w:t>
      </w:r>
      <w:r w:rsidRPr="003B684E">
        <w:rPr>
          <w:rFonts w:ascii="Palatino Linotype" w:hAnsi="Palatino Linotype"/>
          <w:b/>
          <w:bCs/>
        </w:rPr>
        <w:t xml:space="preserve">SOBRESEEN </w:t>
      </w:r>
      <w:r w:rsidRPr="003B684E">
        <w:rPr>
          <w:rFonts w:ascii="Palatino Linotype" w:hAnsi="Palatino Linotype"/>
        </w:rPr>
        <w:t xml:space="preserve">los </w:t>
      </w:r>
      <w:r w:rsidRPr="003B684E">
        <w:rPr>
          <w:rFonts w:ascii="Palatino Linotype" w:eastAsia="Palatino Linotype" w:hAnsi="Palatino Linotype" w:cs="Palatino Linotype"/>
        </w:rPr>
        <w:t>Recursos</w:t>
      </w:r>
      <w:r w:rsidRPr="003B684E">
        <w:rPr>
          <w:rFonts w:ascii="Palatino Linotype" w:hAnsi="Palatino Linotype"/>
        </w:rPr>
        <w:t xml:space="preserve"> de Revisión: </w:t>
      </w:r>
      <w:r w:rsidR="00DB3D13" w:rsidRPr="003B684E">
        <w:rPr>
          <w:rFonts w:ascii="Palatino Linotype" w:eastAsia="Palatino Linotype" w:hAnsi="Palatino Linotype" w:cs="Palatino Linotype"/>
          <w:b/>
          <w:bCs/>
          <w:lang w:val="es-MX"/>
        </w:rPr>
        <w:t xml:space="preserve">02803/INFOEM/IP/RR/2026, 02813/INFOEM/IP/RR/2026, 02818/INFOEM/IP/RR/2026 y 02833/INFOEM/IP/RR/2026 </w:t>
      </w:r>
      <w:r w:rsidRPr="003B684E">
        <w:rPr>
          <w:rFonts w:ascii="Palatino Linotype" w:hAnsi="Palatino Linotype"/>
        </w:rPr>
        <w:t xml:space="preserve">en términos del artículo 192, fracción V, por quedar sin materia, de conformidad con el </w:t>
      </w:r>
      <w:r w:rsidRPr="003B684E">
        <w:rPr>
          <w:rFonts w:ascii="Palatino Linotype" w:hAnsi="Palatino Linotype"/>
          <w:b/>
          <w:bCs/>
        </w:rPr>
        <w:t>Considerando Cuarto</w:t>
      </w:r>
      <w:r w:rsidRPr="003B684E">
        <w:rPr>
          <w:rFonts w:ascii="Palatino Linotype" w:hAnsi="Palatino Linotype"/>
        </w:rPr>
        <w:t xml:space="preserve"> de la presente Resolución.</w:t>
      </w:r>
    </w:p>
    <w:p w:rsidR="00C80E6B" w:rsidRPr="003B684E" w:rsidRDefault="00C80E6B" w:rsidP="008C5696">
      <w:pPr>
        <w:spacing w:line="360" w:lineRule="auto"/>
        <w:ind w:right="-787"/>
        <w:jc w:val="both"/>
        <w:rPr>
          <w:rFonts w:ascii="Palatino Linotype" w:eastAsia="Palatino Linotype" w:hAnsi="Palatino Linotype" w:cs="Palatino Linotype"/>
          <w:b/>
        </w:rPr>
      </w:pPr>
    </w:p>
    <w:p w:rsidR="008C5696" w:rsidRPr="003B684E" w:rsidRDefault="007F155C" w:rsidP="008C5696">
      <w:pPr>
        <w:spacing w:line="360" w:lineRule="auto"/>
        <w:ind w:right="-787"/>
        <w:jc w:val="both"/>
        <w:rPr>
          <w:rFonts w:ascii="Palatino Linotype" w:eastAsia="Palatino Linotype" w:hAnsi="Palatino Linotype" w:cs="Palatino Linotype"/>
          <w:b/>
        </w:rPr>
      </w:pPr>
      <w:r w:rsidRPr="003B684E">
        <w:rPr>
          <w:rFonts w:ascii="Palatino Linotype" w:eastAsia="Palatino Linotype" w:hAnsi="Palatino Linotype" w:cs="Palatino Linotype"/>
          <w:b/>
        </w:rPr>
        <w:t>SEGUNDO</w:t>
      </w:r>
      <w:r w:rsidR="008C5696" w:rsidRPr="003B684E">
        <w:rPr>
          <w:rFonts w:ascii="Palatino Linotype" w:eastAsia="Palatino Linotype" w:hAnsi="Palatino Linotype" w:cs="Palatino Linotype"/>
        </w:rPr>
        <w:t xml:space="preserve">. Resultan </w:t>
      </w:r>
      <w:r w:rsidR="008C5696" w:rsidRPr="003B684E">
        <w:rPr>
          <w:rFonts w:ascii="Palatino Linotype" w:eastAsia="Palatino Linotype" w:hAnsi="Palatino Linotype" w:cs="Palatino Linotype"/>
          <w:b/>
        </w:rPr>
        <w:t>PARCIALMENTE</w:t>
      </w:r>
      <w:r w:rsidR="008C5696" w:rsidRPr="003B684E">
        <w:rPr>
          <w:rFonts w:ascii="Palatino Linotype" w:eastAsia="Palatino Linotype" w:hAnsi="Palatino Linotype" w:cs="Palatino Linotype"/>
        </w:rPr>
        <w:t xml:space="preserve"> </w:t>
      </w:r>
      <w:r w:rsidR="008C5696" w:rsidRPr="003B684E">
        <w:rPr>
          <w:rFonts w:ascii="Palatino Linotype" w:eastAsia="Palatino Linotype" w:hAnsi="Palatino Linotype" w:cs="Palatino Linotype"/>
          <w:b/>
        </w:rPr>
        <w:t>FUNDADAS</w:t>
      </w:r>
      <w:r w:rsidR="008C5696" w:rsidRPr="003B684E">
        <w:rPr>
          <w:rFonts w:ascii="Palatino Linotype" w:eastAsia="Palatino Linotype" w:hAnsi="Palatino Linotype" w:cs="Palatino Linotype"/>
        </w:rPr>
        <w:t xml:space="preserve"> las razones o motivos de inconformidad hechos valer en los recursos de revisión </w:t>
      </w:r>
      <w:r w:rsidR="00DB3D13" w:rsidRPr="003B684E">
        <w:rPr>
          <w:rFonts w:ascii="Palatino Linotype" w:eastAsia="Palatino Linotype" w:hAnsi="Palatino Linotype" w:cs="Palatino Linotype"/>
          <w:b/>
          <w:bCs/>
          <w:color w:val="000000"/>
          <w:lang w:val="es-MX"/>
        </w:rPr>
        <w:t>02823/INFOEM/IP/RR/2026, 02828/INFOEM/IP/RR/2026, 02838/INFOEM/IP/RR/2026, 02843/INFOEM/IP/RR/2026, 02848/INFOEM/IP/RR/2026 y 02853/INFOEM/IP/RR/2026</w:t>
      </w:r>
      <w:r w:rsidR="008C5696" w:rsidRPr="003B684E">
        <w:rPr>
          <w:rFonts w:ascii="Palatino Linotype" w:eastAsia="Palatino Linotype" w:hAnsi="Palatino Linotype" w:cs="Palatino Linotype"/>
          <w:b/>
          <w:color w:val="000000"/>
        </w:rPr>
        <w:t xml:space="preserve"> </w:t>
      </w:r>
      <w:r w:rsidR="008C5696" w:rsidRPr="003B684E">
        <w:rPr>
          <w:rFonts w:ascii="Palatino Linotype" w:eastAsia="Palatino Linotype" w:hAnsi="Palatino Linotype" w:cs="Palatino Linotype"/>
        </w:rPr>
        <w:t xml:space="preserve"> materia del presente fallo,</w:t>
      </w:r>
      <w:r w:rsidR="008C5696" w:rsidRPr="003B684E">
        <w:rPr>
          <w:rFonts w:ascii="Palatino Linotype" w:eastAsia="Palatino Linotype" w:hAnsi="Palatino Linotype" w:cs="Palatino Linotype"/>
          <w:b/>
        </w:rPr>
        <w:t xml:space="preserve"> </w:t>
      </w:r>
      <w:r w:rsidR="008C5696" w:rsidRPr="003B684E">
        <w:rPr>
          <w:rFonts w:ascii="Palatino Linotype" w:eastAsia="Palatino Linotype" w:hAnsi="Palatino Linotype" w:cs="Palatino Linotype"/>
        </w:rPr>
        <w:t xml:space="preserve">en términos del </w:t>
      </w:r>
      <w:r w:rsidR="008C5696" w:rsidRPr="003B684E">
        <w:rPr>
          <w:rFonts w:ascii="Palatino Linotype" w:eastAsia="Palatino Linotype" w:hAnsi="Palatino Linotype" w:cs="Palatino Linotype"/>
          <w:b/>
        </w:rPr>
        <w:t xml:space="preserve">Considerando CUARTO </w:t>
      </w:r>
      <w:r w:rsidR="008C5696" w:rsidRPr="003B684E">
        <w:rPr>
          <w:rFonts w:ascii="Palatino Linotype" w:eastAsia="Palatino Linotype" w:hAnsi="Palatino Linotype" w:cs="Palatino Linotype"/>
        </w:rPr>
        <w:t>de la presente resolución</w:t>
      </w:r>
      <w:r w:rsidR="008C5696" w:rsidRPr="003B684E">
        <w:rPr>
          <w:rFonts w:ascii="Palatino Linotype" w:eastAsia="Palatino Linotype" w:hAnsi="Palatino Linotype" w:cs="Palatino Linotype"/>
          <w:b/>
        </w:rPr>
        <w:t>.</w:t>
      </w:r>
      <w:r w:rsidR="008C5696" w:rsidRPr="003B684E">
        <w:rPr>
          <w:rFonts w:ascii="Palatino Linotype" w:eastAsia="Palatino Linotype" w:hAnsi="Palatino Linotype" w:cs="Palatino Linotype"/>
          <w:b/>
          <w:color w:val="000000"/>
        </w:rPr>
        <w:t xml:space="preserve"> </w:t>
      </w:r>
    </w:p>
    <w:p w:rsidR="005555C4" w:rsidRPr="003B684E" w:rsidRDefault="005555C4">
      <w:pPr>
        <w:spacing w:line="360" w:lineRule="auto"/>
        <w:ind w:right="276"/>
        <w:jc w:val="both"/>
        <w:rPr>
          <w:rFonts w:ascii="Palatino Linotype" w:eastAsia="Palatino Linotype" w:hAnsi="Palatino Linotype" w:cs="Palatino Linotype"/>
          <w:b/>
        </w:rPr>
      </w:pPr>
    </w:p>
    <w:p w:rsidR="005555C4" w:rsidRPr="003B684E" w:rsidRDefault="00DA2C23">
      <w:pPr>
        <w:spacing w:line="360" w:lineRule="auto"/>
        <w:ind w:right="-787"/>
        <w:jc w:val="both"/>
        <w:rPr>
          <w:rFonts w:ascii="Palatino Linotype" w:eastAsia="Palatino Linotype" w:hAnsi="Palatino Linotype" w:cs="Palatino Linotype"/>
          <w:b/>
          <w:color w:val="000000"/>
        </w:rPr>
      </w:pPr>
      <w:bookmarkStart w:id="8" w:name="_heading=h.1ksv4uv" w:colFirst="0" w:colLast="0"/>
      <w:bookmarkEnd w:id="8"/>
      <w:r w:rsidRPr="003B684E">
        <w:rPr>
          <w:rFonts w:ascii="Palatino Linotype" w:eastAsia="Palatino Linotype" w:hAnsi="Palatino Linotype" w:cs="Palatino Linotype"/>
          <w:b/>
        </w:rPr>
        <w:t>TERCERO</w:t>
      </w:r>
      <w:r w:rsidR="002F1240" w:rsidRPr="003B684E">
        <w:rPr>
          <w:rFonts w:ascii="Palatino Linotype" w:eastAsia="Palatino Linotype" w:hAnsi="Palatino Linotype" w:cs="Palatino Linotype"/>
          <w:b/>
        </w:rPr>
        <w:t>.</w:t>
      </w:r>
      <w:r w:rsidR="002F1240" w:rsidRPr="003B684E">
        <w:rPr>
          <w:rFonts w:ascii="Palatino Linotype" w:eastAsia="Palatino Linotype" w:hAnsi="Palatino Linotype" w:cs="Palatino Linotype"/>
          <w:color w:val="2F5496"/>
        </w:rPr>
        <w:t xml:space="preserve"> </w:t>
      </w:r>
      <w:r w:rsidR="002F1240" w:rsidRPr="003B684E">
        <w:rPr>
          <w:rFonts w:ascii="Palatino Linotype" w:eastAsia="Palatino Linotype" w:hAnsi="Palatino Linotype" w:cs="Palatino Linotype"/>
          <w:color w:val="000000"/>
        </w:rPr>
        <w:t xml:space="preserve">Se </w:t>
      </w:r>
      <w:r w:rsidR="00B522E1" w:rsidRPr="003B684E">
        <w:rPr>
          <w:rFonts w:ascii="Palatino Linotype" w:eastAsia="Palatino Linotype" w:hAnsi="Palatino Linotype" w:cs="Palatino Linotype"/>
          <w:b/>
          <w:color w:val="000000"/>
        </w:rPr>
        <w:t>MODIFICA</w:t>
      </w:r>
      <w:r w:rsidR="002F1240" w:rsidRPr="003B684E">
        <w:rPr>
          <w:rFonts w:ascii="Palatino Linotype" w:eastAsia="Palatino Linotype" w:hAnsi="Palatino Linotype" w:cs="Palatino Linotype"/>
          <w:b/>
          <w:color w:val="000000"/>
        </w:rPr>
        <w:t xml:space="preserve"> </w:t>
      </w:r>
      <w:r w:rsidR="002F1240" w:rsidRPr="003B684E">
        <w:rPr>
          <w:rFonts w:ascii="Palatino Linotype" w:eastAsia="Palatino Linotype" w:hAnsi="Palatino Linotype" w:cs="Palatino Linotype"/>
          <w:color w:val="000000"/>
        </w:rPr>
        <w:t xml:space="preserve">la respuesta emitida por el </w:t>
      </w:r>
      <w:r w:rsidR="002F1240" w:rsidRPr="003B684E">
        <w:rPr>
          <w:rFonts w:ascii="Palatino Linotype" w:eastAsia="Palatino Linotype" w:hAnsi="Palatino Linotype" w:cs="Palatino Linotype"/>
          <w:b/>
        </w:rPr>
        <w:t>Ayuntamiento de Toluca</w:t>
      </w:r>
      <w:r w:rsidR="002F1240" w:rsidRPr="003B684E">
        <w:rPr>
          <w:rFonts w:ascii="Palatino Linotype" w:eastAsia="Palatino Linotype" w:hAnsi="Palatino Linotype" w:cs="Palatino Linotype"/>
          <w:color w:val="000000"/>
        </w:rPr>
        <w:t xml:space="preserve"> </w:t>
      </w:r>
      <w:r w:rsidR="00464F9D" w:rsidRPr="003B684E">
        <w:rPr>
          <w:rFonts w:ascii="Palatino Linotype" w:eastAsia="Palatino Linotype" w:hAnsi="Palatino Linotype" w:cs="Palatino Linotype"/>
          <w:color w:val="000000"/>
        </w:rPr>
        <w:t xml:space="preserve">a las solicitudes de información </w:t>
      </w:r>
      <w:r w:rsidR="00DB3D13" w:rsidRPr="003B684E">
        <w:rPr>
          <w:rFonts w:ascii="Palatino Linotype" w:eastAsia="Palatino Linotype" w:hAnsi="Palatino Linotype" w:cs="Palatino Linotype"/>
          <w:b/>
        </w:rPr>
        <w:t xml:space="preserve">00863/TOLUCA/IP/2026, 00858/TOLUCA/IP/2026, </w:t>
      </w:r>
      <w:r w:rsidR="00DB3D13" w:rsidRPr="003B684E">
        <w:rPr>
          <w:rFonts w:ascii="Palatino Linotype" w:eastAsia="Palatino Linotype" w:hAnsi="Palatino Linotype" w:cs="Palatino Linotype"/>
          <w:b/>
        </w:rPr>
        <w:lastRenderedPageBreak/>
        <w:t xml:space="preserve">00850/TOLUCA/IP/2026, 00845/TOLUCA/IP/2026, 00840/TOLUCA/IP/2026 </w:t>
      </w:r>
      <w:r w:rsidR="00DB3D13" w:rsidRPr="003B684E">
        <w:rPr>
          <w:rFonts w:ascii="Palatino Linotype" w:eastAsia="Palatino Linotype" w:hAnsi="Palatino Linotype" w:cs="Palatino Linotype"/>
        </w:rPr>
        <w:t xml:space="preserve">y </w:t>
      </w:r>
      <w:r w:rsidR="00DB3D13" w:rsidRPr="003B684E">
        <w:rPr>
          <w:rFonts w:ascii="Palatino Linotype" w:eastAsia="Palatino Linotype" w:hAnsi="Palatino Linotype" w:cs="Palatino Linotype"/>
          <w:b/>
        </w:rPr>
        <w:t>00835/TOLUCA/IP/2026</w:t>
      </w:r>
      <w:r w:rsidR="00B71555" w:rsidRPr="003B684E">
        <w:rPr>
          <w:rFonts w:ascii="Palatino Linotype" w:eastAsia="Palatino Linotype" w:hAnsi="Palatino Linotype" w:cs="Palatino Linotype"/>
          <w:b/>
          <w:color w:val="000000"/>
        </w:rPr>
        <w:t xml:space="preserve"> </w:t>
      </w:r>
      <w:r w:rsidR="002F1240" w:rsidRPr="003B684E">
        <w:rPr>
          <w:rFonts w:ascii="Palatino Linotype" w:eastAsia="Palatino Linotype" w:hAnsi="Palatino Linotype" w:cs="Palatino Linotype"/>
          <w:color w:val="000000"/>
        </w:rPr>
        <w:t xml:space="preserve">y se </w:t>
      </w:r>
      <w:r w:rsidR="002F1240" w:rsidRPr="003B684E">
        <w:rPr>
          <w:rFonts w:ascii="Palatino Linotype" w:eastAsia="Palatino Linotype" w:hAnsi="Palatino Linotype" w:cs="Palatino Linotype"/>
          <w:b/>
          <w:color w:val="000000"/>
        </w:rPr>
        <w:t>ORDENA</w:t>
      </w:r>
      <w:r w:rsidR="002F1240" w:rsidRPr="003B684E">
        <w:rPr>
          <w:rFonts w:ascii="Palatino Linotype" w:eastAsia="Palatino Linotype" w:hAnsi="Palatino Linotype" w:cs="Palatino Linotype"/>
          <w:color w:val="000000"/>
        </w:rPr>
        <w:t xml:space="preserve"> entregar, vía Sistema de Acceso a la Información Mexiquense </w:t>
      </w:r>
      <w:r w:rsidR="002F1240" w:rsidRPr="003B684E">
        <w:rPr>
          <w:rFonts w:ascii="Palatino Linotype" w:eastAsia="Palatino Linotype" w:hAnsi="Palatino Linotype" w:cs="Palatino Linotype"/>
          <w:b/>
          <w:color w:val="000000"/>
        </w:rPr>
        <w:t>(SAIMEX)</w:t>
      </w:r>
      <w:r w:rsidR="002F1240" w:rsidRPr="003B684E">
        <w:rPr>
          <w:rFonts w:ascii="Palatino Linotype" w:eastAsia="Palatino Linotype" w:hAnsi="Palatino Linotype" w:cs="Palatino Linotype"/>
          <w:color w:val="000000"/>
        </w:rPr>
        <w:t xml:space="preserve">, previa búsqueda exhaustiva y razonable, de ser </w:t>
      </w:r>
      <w:r w:rsidR="00B71555" w:rsidRPr="003B684E">
        <w:rPr>
          <w:rFonts w:ascii="Palatino Linotype" w:eastAsia="Palatino Linotype" w:hAnsi="Palatino Linotype" w:cs="Palatino Linotype"/>
          <w:color w:val="000000"/>
        </w:rPr>
        <w:t>procedente</w:t>
      </w:r>
      <w:r w:rsidR="002F1240" w:rsidRPr="003B684E">
        <w:rPr>
          <w:rFonts w:ascii="Palatino Linotype" w:eastAsia="Palatino Linotype" w:hAnsi="Palatino Linotype" w:cs="Palatino Linotype"/>
        </w:rPr>
        <w:t xml:space="preserve"> en versión pública, la siguiente información:</w:t>
      </w:r>
    </w:p>
    <w:p w:rsidR="005555C4" w:rsidRPr="003B684E" w:rsidRDefault="005555C4" w:rsidP="00AC42D5">
      <w:pPr>
        <w:spacing w:line="360" w:lineRule="auto"/>
        <w:ind w:left="567" w:right="-787"/>
        <w:jc w:val="both"/>
        <w:rPr>
          <w:rFonts w:ascii="Palatino Linotype" w:eastAsia="Palatino Linotype" w:hAnsi="Palatino Linotype" w:cs="Palatino Linotype"/>
          <w:i/>
          <w:color w:val="000000"/>
        </w:rPr>
      </w:pPr>
    </w:p>
    <w:p w:rsidR="00096796" w:rsidRPr="003B684E" w:rsidRDefault="000E3A8A" w:rsidP="008B5EBD">
      <w:pPr>
        <w:pStyle w:val="Prrafodelista"/>
        <w:numPr>
          <w:ilvl w:val="0"/>
          <w:numId w:val="22"/>
        </w:numPr>
        <w:spacing w:line="360" w:lineRule="auto"/>
        <w:ind w:left="284" w:right="-856" w:firstLine="0"/>
        <w:jc w:val="both"/>
        <w:rPr>
          <w:rFonts w:ascii="Palatino Linotype" w:eastAsia="Palatino Linotype" w:hAnsi="Palatino Linotype" w:cs="Palatino Linotype"/>
          <w:b/>
          <w:lang w:val="es-MX"/>
        </w:rPr>
      </w:pPr>
      <w:r w:rsidRPr="003B684E">
        <w:rPr>
          <w:rFonts w:ascii="Palatino Linotype" w:eastAsia="Palatino Linotype" w:hAnsi="Palatino Linotype" w:cs="Palatino Linotype"/>
          <w:b/>
          <w:lang w:val="es-ES"/>
        </w:rPr>
        <w:t xml:space="preserve">Todos los documentos que integran los expedientes de los recursos de revisión </w:t>
      </w:r>
      <w:r w:rsidR="00AC42D5" w:rsidRPr="003B684E">
        <w:rPr>
          <w:rFonts w:ascii="Palatino Linotype" w:eastAsia="Palatino Linotype" w:hAnsi="Palatino Linotype" w:cs="Palatino Linotype"/>
          <w:b/>
          <w:lang w:val="es-MX"/>
        </w:rPr>
        <w:t xml:space="preserve">012897/INFOEM/IP/RR/2025, 012892/INFOEM/IP/RR/2025, 012860/INFOEM/IP/RR/2025, 012856/INFOEM/IP/RR/2025, 012851/INFOEM/IP/RR/2025 y </w:t>
      </w:r>
      <w:r w:rsidR="00B208FA" w:rsidRPr="003B684E">
        <w:rPr>
          <w:rFonts w:ascii="Palatino Linotype" w:eastAsia="Palatino Linotype" w:hAnsi="Palatino Linotype" w:cs="Palatino Linotype"/>
          <w:b/>
          <w:lang w:val="es-MX"/>
        </w:rPr>
        <w:t>012668/INFOEM/IP/RR/2025</w:t>
      </w:r>
      <w:r w:rsidR="00AC42D5" w:rsidRPr="003B684E">
        <w:rPr>
          <w:rFonts w:ascii="Palatino Linotype" w:eastAsia="Palatino Linotype" w:hAnsi="Palatino Linotype" w:cs="Palatino Linotype"/>
          <w:b/>
          <w:lang w:val="es-MX"/>
        </w:rPr>
        <w:t xml:space="preserve">, </w:t>
      </w:r>
      <w:r w:rsidR="000F64B6" w:rsidRPr="003B684E">
        <w:rPr>
          <w:rFonts w:ascii="Palatino Linotype" w:eastAsia="Palatino Linotype" w:hAnsi="Palatino Linotype" w:cs="Palatino Linotype"/>
          <w:b/>
          <w:color w:val="000000"/>
          <w:lang w:val="es-ES"/>
        </w:rPr>
        <w:t>generados al veintiséis de enero de dos mil veintiséis.</w:t>
      </w:r>
    </w:p>
    <w:p w:rsidR="005555C4" w:rsidRPr="003B684E" w:rsidRDefault="00AF3C28" w:rsidP="00AF3C28">
      <w:pPr>
        <w:pStyle w:val="Prrafodelista"/>
        <w:tabs>
          <w:tab w:val="left" w:pos="2863"/>
        </w:tabs>
        <w:ind w:left="1440"/>
        <w:jc w:val="both"/>
        <w:rPr>
          <w:rFonts w:ascii="Palatino Linotype" w:eastAsia="Palatino Linotype" w:hAnsi="Palatino Linotype" w:cs="Palatino Linotype"/>
          <w:b/>
        </w:rPr>
      </w:pPr>
      <w:r w:rsidRPr="003B684E">
        <w:rPr>
          <w:rFonts w:ascii="Palatino Linotype" w:eastAsia="Palatino Linotype" w:hAnsi="Palatino Linotype" w:cs="Palatino Linotype"/>
          <w:b/>
        </w:rPr>
        <w:tab/>
      </w:r>
    </w:p>
    <w:p w:rsidR="005555C4" w:rsidRPr="003B684E" w:rsidRDefault="002F1240" w:rsidP="008B5EBD">
      <w:pPr>
        <w:tabs>
          <w:tab w:val="left" w:pos="8080"/>
        </w:tabs>
        <w:spacing w:line="360" w:lineRule="auto"/>
        <w:ind w:left="284" w:right="-858"/>
        <w:jc w:val="both"/>
        <w:rPr>
          <w:rFonts w:ascii="Palatino Linotype" w:eastAsia="Palatino Linotype" w:hAnsi="Palatino Linotype" w:cs="Palatino Linotype"/>
          <w:b/>
        </w:rPr>
      </w:pPr>
      <w:r w:rsidRPr="003B684E">
        <w:rPr>
          <w:rFonts w:ascii="Palatino Linotype" w:eastAsia="Palatino Linotype" w:hAnsi="Palatino Linotype" w:cs="Palatino Linotype"/>
        </w:rPr>
        <w:t xml:space="preserve">Para efectos de lo anterior; en su caso,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3B684E">
        <w:rPr>
          <w:rFonts w:ascii="Palatino Linotype" w:eastAsia="Palatino Linotype" w:hAnsi="Palatino Linotype" w:cs="Palatino Linotype"/>
          <w:b/>
        </w:rPr>
        <w:t>RECURRENTE.</w:t>
      </w:r>
    </w:p>
    <w:p w:rsidR="005555C4" w:rsidRPr="003B684E" w:rsidRDefault="005555C4" w:rsidP="000E3A8A">
      <w:pPr>
        <w:spacing w:line="360" w:lineRule="auto"/>
        <w:jc w:val="both"/>
        <w:rPr>
          <w:rFonts w:ascii="Palatino Linotype" w:eastAsia="Palatino Linotype" w:hAnsi="Palatino Linotype" w:cs="Palatino Linotype"/>
          <w:b/>
        </w:rPr>
      </w:pPr>
    </w:p>
    <w:p w:rsidR="005555C4" w:rsidRPr="003B684E" w:rsidRDefault="008874E8">
      <w:pPr>
        <w:spacing w:line="360" w:lineRule="auto"/>
        <w:ind w:right="-787"/>
        <w:jc w:val="both"/>
        <w:rPr>
          <w:rFonts w:ascii="Palatino Linotype" w:eastAsia="Palatino Linotype" w:hAnsi="Palatino Linotype" w:cs="Palatino Linotype"/>
          <w:color w:val="000000"/>
          <w:highlight w:val="white"/>
        </w:rPr>
      </w:pPr>
      <w:r w:rsidRPr="003B684E">
        <w:rPr>
          <w:rFonts w:ascii="Palatino Linotype" w:eastAsia="Palatino Linotype" w:hAnsi="Palatino Linotype" w:cs="Palatino Linotype"/>
          <w:b/>
        </w:rPr>
        <w:t>CUARTO</w:t>
      </w:r>
      <w:r w:rsidR="002F1240" w:rsidRPr="003B684E">
        <w:rPr>
          <w:rFonts w:ascii="Palatino Linotype" w:eastAsia="Palatino Linotype" w:hAnsi="Palatino Linotype" w:cs="Palatino Linotype"/>
          <w:b/>
        </w:rPr>
        <w:t xml:space="preserve">. </w:t>
      </w:r>
      <w:r w:rsidR="002F1240" w:rsidRPr="003B684E">
        <w:rPr>
          <w:rFonts w:ascii="Palatino Linotype" w:eastAsia="Palatino Linotype" w:hAnsi="Palatino Linotype" w:cs="Palatino Linotype"/>
          <w:b/>
          <w:color w:val="222222"/>
        </w:rPr>
        <w:t>NOTIFÍQUESE</w:t>
      </w:r>
      <w:r w:rsidR="002F1240" w:rsidRPr="003B684E">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2F1240" w:rsidRPr="003B684E">
        <w:rPr>
          <w:rFonts w:ascii="Palatino Linotype" w:eastAsia="Palatino Linotype" w:hAnsi="Palatino Linotype" w:cs="Palatino Linotype"/>
          <w:b/>
          <w:color w:val="222222"/>
        </w:rPr>
        <w:t xml:space="preserve">dé cumplimiento a lo ordenado dentro del plazo </w:t>
      </w:r>
      <w:r w:rsidR="002F1240" w:rsidRPr="003B684E">
        <w:rPr>
          <w:rFonts w:ascii="Palatino Linotype" w:eastAsia="Palatino Linotype" w:hAnsi="Palatino Linotype" w:cs="Palatino Linotype"/>
        </w:rPr>
        <w:t>de</w:t>
      </w:r>
      <w:r w:rsidR="002F1240" w:rsidRPr="003B684E">
        <w:rPr>
          <w:rFonts w:ascii="Palatino Linotype" w:eastAsia="Palatino Linotype" w:hAnsi="Palatino Linotype" w:cs="Palatino Linotype"/>
          <w:b/>
          <w:color w:val="222222"/>
        </w:rPr>
        <w:t xml:space="preserve"> diez días hábiles, </w:t>
      </w:r>
      <w:r w:rsidR="002F1240" w:rsidRPr="003B684E">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sidR="002F1240" w:rsidRPr="003B684E">
        <w:rPr>
          <w:rFonts w:ascii="Palatino Linotype" w:eastAsia="Palatino Linotype" w:hAnsi="Palatino Linotype" w:cs="Palatino Linotype"/>
          <w:color w:val="222222"/>
        </w:rPr>
        <w:lastRenderedPageBreak/>
        <w:t>conformidad con lo previsto en los artículos 198, 200, fracción III; 214, 215 y 216 de la Ley  de Transparencia y Acceso a la Información Pública del Estado de México y Municipios.</w:t>
      </w:r>
    </w:p>
    <w:p w:rsidR="005555C4" w:rsidRPr="003B684E" w:rsidRDefault="005555C4">
      <w:pPr>
        <w:spacing w:line="360" w:lineRule="auto"/>
        <w:jc w:val="both"/>
        <w:rPr>
          <w:rFonts w:ascii="Palatino Linotype" w:eastAsia="Palatino Linotype" w:hAnsi="Palatino Linotype" w:cs="Palatino Linotype"/>
        </w:rPr>
      </w:pPr>
    </w:p>
    <w:p w:rsidR="005555C4" w:rsidRPr="003B684E" w:rsidRDefault="008874E8">
      <w:pPr>
        <w:spacing w:line="360" w:lineRule="auto"/>
        <w:ind w:right="-787"/>
        <w:jc w:val="both"/>
        <w:rPr>
          <w:rFonts w:ascii="Palatino Linotype" w:eastAsia="Palatino Linotype" w:hAnsi="Palatino Linotype" w:cs="Palatino Linotype"/>
        </w:rPr>
      </w:pPr>
      <w:bookmarkStart w:id="9" w:name="_heading=h.3rdcrjn" w:colFirst="0" w:colLast="0"/>
      <w:bookmarkEnd w:id="9"/>
      <w:r w:rsidRPr="003B684E">
        <w:rPr>
          <w:rFonts w:ascii="Palatino Linotype" w:eastAsia="Palatino Linotype" w:hAnsi="Palatino Linotype" w:cs="Palatino Linotype"/>
          <w:b/>
        </w:rPr>
        <w:t>QUINTO</w:t>
      </w:r>
      <w:r w:rsidR="002F1240" w:rsidRPr="003B684E">
        <w:rPr>
          <w:rFonts w:ascii="Palatino Linotype" w:eastAsia="Palatino Linotype" w:hAnsi="Palatino Linotype" w:cs="Palatino Linotype"/>
          <w:b/>
        </w:rPr>
        <w:t xml:space="preserve">. </w:t>
      </w:r>
      <w:r w:rsidR="002F1240" w:rsidRPr="003B684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2F1240" w:rsidRPr="003B684E">
        <w:rPr>
          <w:rFonts w:ascii="Palatino Linotype" w:eastAsia="Palatino Linotype" w:hAnsi="Palatino Linotype" w:cs="Palatino Linotype"/>
          <w:b/>
        </w:rPr>
        <w:t>SUJETO OBLIGADO</w:t>
      </w:r>
      <w:r w:rsidR="002F1240" w:rsidRPr="003B684E">
        <w:rPr>
          <w:rFonts w:ascii="Palatino Linotype" w:eastAsia="Palatino Linotype" w:hAnsi="Palatino Linotype" w:cs="Palatino Linotype"/>
        </w:rPr>
        <w:t xml:space="preserve"> de manera fundada y motivada, podrá solicitar una ampliación de plazo para el cumplimiento de la presente resolución.</w:t>
      </w:r>
    </w:p>
    <w:p w:rsidR="005555C4" w:rsidRPr="003B684E" w:rsidRDefault="005555C4">
      <w:pPr>
        <w:spacing w:line="360" w:lineRule="auto"/>
        <w:ind w:right="276"/>
        <w:jc w:val="both"/>
        <w:rPr>
          <w:rFonts w:ascii="Palatino Linotype" w:eastAsia="Palatino Linotype" w:hAnsi="Palatino Linotype" w:cs="Palatino Linotype"/>
        </w:rPr>
      </w:pPr>
    </w:p>
    <w:p w:rsidR="005555C4" w:rsidRPr="003B684E" w:rsidRDefault="008874E8">
      <w:pPr>
        <w:spacing w:line="360" w:lineRule="auto"/>
        <w:ind w:right="-787"/>
        <w:jc w:val="both"/>
        <w:rPr>
          <w:rFonts w:ascii="Palatino Linotype" w:eastAsia="Palatino Linotype" w:hAnsi="Palatino Linotype" w:cs="Palatino Linotype"/>
        </w:rPr>
      </w:pPr>
      <w:r w:rsidRPr="003B684E">
        <w:rPr>
          <w:rFonts w:ascii="Palatino Linotype" w:eastAsia="Palatino Linotype" w:hAnsi="Palatino Linotype" w:cs="Palatino Linotype"/>
          <w:b/>
        </w:rPr>
        <w:t>SEXTO</w:t>
      </w:r>
      <w:r w:rsidR="002F1240" w:rsidRPr="003B684E">
        <w:rPr>
          <w:rFonts w:ascii="Palatino Linotype" w:eastAsia="Palatino Linotype" w:hAnsi="Palatino Linotype" w:cs="Palatino Linotype"/>
          <w:b/>
        </w:rPr>
        <w:t xml:space="preserve">. </w:t>
      </w:r>
      <w:r w:rsidR="002F1240" w:rsidRPr="003B684E">
        <w:rPr>
          <w:rFonts w:ascii="Palatino Linotype" w:eastAsia="Palatino Linotype" w:hAnsi="Palatino Linotype" w:cs="Palatino Linotype"/>
        </w:rPr>
        <w:t>Notifíquese</w:t>
      </w:r>
      <w:r w:rsidR="002F1240" w:rsidRPr="003B684E">
        <w:rPr>
          <w:rFonts w:ascii="Palatino Linotype" w:eastAsia="Palatino Linotype" w:hAnsi="Palatino Linotype" w:cs="Palatino Linotype"/>
          <w:b/>
          <w:color w:val="222222"/>
        </w:rPr>
        <w:t xml:space="preserve"> </w:t>
      </w:r>
      <w:r w:rsidR="002F1240" w:rsidRPr="003B684E">
        <w:rPr>
          <w:rFonts w:ascii="Palatino Linotype" w:eastAsia="Palatino Linotype" w:hAnsi="Palatino Linotype" w:cs="Palatino Linotype"/>
          <w:color w:val="222222"/>
        </w:rPr>
        <w:t xml:space="preserve">a </w:t>
      </w:r>
      <w:r w:rsidR="002F1240" w:rsidRPr="003B684E">
        <w:rPr>
          <w:rFonts w:ascii="Palatino Linotype" w:eastAsia="Palatino Linotype" w:hAnsi="Palatino Linotype" w:cs="Palatino Linotype"/>
          <w:b/>
          <w:color w:val="222222"/>
        </w:rPr>
        <w:t>EL RECURRENTE</w:t>
      </w:r>
      <w:r w:rsidR="002F1240" w:rsidRPr="003B684E">
        <w:rPr>
          <w:rFonts w:ascii="Palatino Linotype" w:eastAsia="Palatino Linotype" w:hAnsi="Palatino Linotype" w:cs="Palatino Linotype"/>
          <w:color w:val="222222"/>
        </w:rPr>
        <w:t xml:space="preserve"> la presente resolución vía SAIMEX</w:t>
      </w:r>
      <w:r w:rsidR="002F1240" w:rsidRPr="003B684E">
        <w:rPr>
          <w:rFonts w:ascii="Palatino Linotype" w:eastAsia="Palatino Linotype" w:hAnsi="Palatino Linotype" w:cs="Palatino Linotype"/>
        </w:rPr>
        <w:t>.</w:t>
      </w:r>
    </w:p>
    <w:p w:rsidR="005555C4" w:rsidRPr="003B684E" w:rsidRDefault="005555C4">
      <w:pPr>
        <w:tabs>
          <w:tab w:val="left" w:pos="8080"/>
        </w:tabs>
        <w:spacing w:line="360" w:lineRule="auto"/>
        <w:jc w:val="both"/>
        <w:rPr>
          <w:rFonts w:ascii="Palatino Linotype" w:eastAsia="Palatino Linotype" w:hAnsi="Palatino Linotype" w:cs="Palatino Linotype"/>
        </w:rPr>
      </w:pPr>
    </w:p>
    <w:p w:rsidR="005555C4" w:rsidRPr="003B684E" w:rsidRDefault="008874E8">
      <w:pPr>
        <w:spacing w:line="360" w:lineRule="auto"/>
        <w:ind w:right="-787"/>
        <w:jc w:val="both"/>
        <w:rPr>
          <w:rFonts w:ascii="Palatino Linotype" w:eastAsia="Palatino Linotype" w:hAnsi="Palatino Linotype" w:cs="Palatino Linotype"/>
          <w:color w:val="000000"/>
        </w:rPr>
      </w:pPr>
      <w:r w:rsidRPr="003B684E">
        <w:rPr>
          <w:rFonts w:ascii="Palatino Linotype" w:eastAsia="Palatino Linotype" w:hAnsi="Palatino Linotype" w:cs="Palatino Linotype"/>
          <w:b/>
        </w:rPr>
        <w:t>SÉPTIMO</w:t>
      </w:r>
      <w:r w:rsidR="002F1240" w:rsidRPr="003B684E">
        <w:rPr>
          <w:rFonts w:ascii="Palatino Linotype" w:eastAsia="Palatino Linotype" w:hAnsi="Palatino Linotype" w:cs="Palatino Linotype"/>
          <w:b/>
        </w:rPr>
        <w:t xml:space="preserve">. </w:t>
      </w:r>
      <w:r w:rsidR="002F1240" w:rsidRPr="003B684E">
        <w:rPr>
          <w:rFonts w:ascii="Palatino Linotype" w:eastAsia="Palatino Linotype" w:hAnsi="Palatino Linotype" w:cs="Palatino Linotype"/>
          <w:color w:val="000000"/>
        </w:rPr>
        <w:t xml:space="preserve">Se hace del conocimiento de </w:t>
      </w:r>
      <w:r w:rsidR="002F1240" w:rsidRPr="003B684E">
        <w:rPr>
          <w:rFonts w:ascii="Palatino Linotype" w:eastAsia="Palatino Linotype" w:hAnsi="Palatino Linotype" w:cs="Palatino Linotype"/>
          <w:b/>
          <w:color w:val="000000"/>
        </w:rPr>
        <w:t>EL RECURRENTE</w:t>
      </w:r>
      <w:r w:rsidR="002F1240" w:rsidRPr="003B684E">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002F1240" w:rsidRPr="003B684E">
        <w:rPr>
          <w:rFonts w:ascii="Palatino Linotype" w:eastAsia="Palatino Linotype" w:hAnsi="Palatino Linotype" w:cs="Palatino Linotype"/>
        </w:rPr>
        <w:t>México</w:t>
      </w:r>
      <w:r w:rsidR="002F1240" w:rsidRPr="003B684E">
        <w:rPr>
          <w:rFonts w:ascii="Palatino Linotype" w:eastAsia="Palatino Linotype" w:hAnsi="Palatino Linotype" w:cs="Palatino Linotype"/>
          <w:color w:val="000000"/>
        </w:rPr>
        <w:t xml:space="preserve"> y Municipios, en caso de que considere que la resolución le cause algún perjuicio podrá </w:t>
      </w:r>
      <w:r w:rsidR="002F1240" w:rsidRPr="003B684E">
        <w:rPr>
          <w:rFonts w:ascii="Palatino Linotype" w:eastAsia="Palatino Linotype" w:hAnsi="Palatino Linotype" w:cs="Palatino Linotype"/>
        </w:rPr>
        <w:t>impugnar vía</w:t>
      </w:r>
      <w:r w:rsidR="002F1240" w:rsidRPr="003B684E">
        <w:rPr>
          <w:rFonts w:ascii="Palatino Linotype" w:eastAsia="Palatino Linotype" w:hAnsi="Palatino Linotype" w:cs="Palatino Linotype"/>
          <w:color w:val="000000"/>
        </w:rPr>
        <w:t xml:space="preserve"> </w:t>
      </w:r>
      <w:r w:rsidR="000E3A8A" w:rsidRPr="003B684E">
        <w:rPr>
          <w:rFonts w:ascii="Palatino Linotype" w:eastAsia="Palatino Linotype" w:hAnsi="Palatino Linotype" w:cs="Palatino Linotype"/>
          <w:color w:val="000000"/>
        </w:rPr>
        <w:t xml:space="preserve">Juicio </w:t>
      </w:r>
      <w:r w:rsidR="002F1240" w:rsidRPr="003B684E">
        <w:rPr>
          <w:rFonts w:ascii="Palatino Linotype" w:eastAsia="Palatino Linotype" w:hAnsi="Palatino Linotype" w:cs="Palatino Linotype"/>
          <w:color w:val="000000"/>
        </w:rPr>
        <w:t xml:space="preserve">de </w:t>
      </w:r>
      <w:r w:rsidR="000E3A8A" w:rsidRPr="003B684E">
        <w:rPr>
          <w:rFonts w:ascii="Palatino Linotype" w:eastAsia="Palatino Linotype" w:hAnsi="Palatino Linotype" w:cs="Palatino Linotype"/>
          <w:color w:val="000000"/>
        </w:rPr>
        <w:t>Amparo </w:t>
      </w:r>
      <w:r w:rsidR="002F1240" w:rsidRPr="003B684E">
        <w:rPr>
          <w:rFonts w:ascii="Palatino Linotype" w:eastAsia="Palatino Linotype" w:hAnsi="Palatino Linotype" w:cs="Palatino Linotype"/>
          <w:color w:val="000000"/>
        </w:rPr>
        <w:t>en los términos de las leyes aplicables.</w:t>
      </w:r>
    </w:p>
    <w:p w:rsidR="000E3A8A" w:rsidRPr="003B684E" w:rsidRDefault="000E3A8A">
      <w:pPr>
        <w:spacing w:line="360" w:lineRule="auto"/>
        <w:ind w:right="-787"/>
        <w:jc w:val="both"/>
        <w:rPr>
          <w:rFonts w:ascii="Palatino Linotype" w:eastAsia="Palatino Linotype" w:hAnsi="Palatino Linotype" w:cs="Palatino Linotype"/>
          <w:color w:val="000000"/>
        </w:rPr>
      </w:pPr>
    </w:p>
    <w:p w:rsidR="002117DA" w:rsidRPr="003B684E" w:rsidRDefault="002117DA" w:rsidP="002117DA">
      <w:pPr>
        <w:spacing w:before="240" w:after="240" w:line="360" w:lineRule="auto"/>
        <w:ind w:right="-716" w:firstLine="1"/>
        <w:jc w:val="both"/>
        <w:rPr>
          <w:rFonts w:ascii="Palatino Linotype" w:hAnsi="Palatino Linotype"/>
        </w:rPr>
      </w:pPr>
      <w:bookmarkStart w:id="10" w:name="_Hlk99014733"/>
      <w:r w:rsidRPr="003B684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3B684E">
        <w:rPr>
          <w:rFonts w:ascii="Palatino Linotype" w:hAnsi="Palatino Linotype" w:cs="Palatino Linotype"/>
          <w:color w:val="000000" w:themeColor="text1"/>
        </w:rPr>
        <w:t>ALEXIS TAPIA RAMÍREZ.</w:t>
      </w:r>
    </w:p>
    <w:bookmarkEnd w:id="10"/>
    <w:p w:rsidR="005555C4" w:rsidRPr="003B684E" w:rsidRDefault="005555C4" w:rsidP="002117DA">
      <w:pPr>
        <w:spacing w:line="360" w:lineRule="auto"/>
        <w:ind w:right="-716"/>
        <w:jc w:val="both"/>
        <w:rPr>
          <w:rFonts w:ascii="Palatino Linotype" w:eastAsia="Palatino Linotype" w:hAnsi="Palatino Linotype" w:cs="Palatino Linotype"/>
        </w:rPr>
      </w:pP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5555C4">
      <w:pPr>
        <w:spacing w:line="360" w:lineRule="auto"/>
        <w:ind w:right="-787"/>
        <w:jc w:val="both"/>
        <w:rPr>
          <w:rFonts w:ascii="Palatino Linotype" w:eastAsia="Palatino Linotype" w:hAnsi="Palatino Linotype" w:cs="Palatino Linotype"/>
        </w:rPr>
      </w:pPr>
    </w:p>
    <w:p w:rsidR="005555C4" w:rsidRPr="003B684E" w:rsidRDefault="005555C4">
      <w:pPr>
        <w:spacing w:line="360" w:lineRule="auto"/>
        <w:ind w:right="-787"/>
        <w:rPr>
          <w:rFonts w:ascii="Palatino Linotype" w:eastAsia="Palatino Linotype" w:hAnsi="Palatino Linotype" w:cs="Palatino Linotype"/>
        </w:rPr>
      </w:pPr>
    </w:p>
    <w:p w:rsidR="005555C4" w:rsidRPr="003B684E" w:rsidRDefault="005555C4">
      <w:pPr>
        <w:spacing w:line="360" w:lineRule="auto"/>
        <w:ind w:right="-787"/>
        <w:rPr>
          <w:rFonts w:ascii="Palatino Linotype" w:eastAsia="Palatino Linotype" w:hAnsi="Palatino Linotype" w:cs="Palatino Linotype"/>
        </w:rPr>
      </w:pPr>
    </w:p>
    <w:p w:rsidR="005555C4" w:rsidRPr="003B684E" w:rsidRDefault="005555C4">
      <w:pPr>
        <w:spacing w:line="360" w:lineRule="auto"/>
        <w:ind w:right="-787"/>
        <w:rPr>
          <w:rFonts w:ascii="Palatino Linotype" w:eastAsia="Palatino Linotype" w:hAnsi="Palatino Linotype" w:cs="Palatino Linotype"/>
        </w:rPr>
      </w:pPr>
    </w:p>
    <w:p w:rsidR="005555C4" w:rsidRPr="003B684E" w:rsidRDefault="005555C4">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p w:rsidR="005555C4" w:rsidRPr="003B684E" w:rsidRDefault="005555C4">
      <w:pPr>
        <w:tabs>
          <w:tab w:val="left" w:pos="3374"/>
        </w:tabs>
        <w:spacing w:line="360" w:lineRule="auto"/>
        <w:ind w:right="-787"/>
        <w:rPr>
          <w:rFonts w:ascii="Palatino Linotype" w:eastAsia="Palatino Linotype" w:hAnsi="Palatino Linotype" w:cs="Palatino Linotype"/>
        </w:rPr>
      </w:pPr>
    </w:p>
    <w:p w:rsidR="005555C4" w:rsidRPr="003B684E" w:rsidRDefault="005555C4">
      <w:pPr>
        <w:tabs>
          <w:tab w:val="left" w:pos="3374"/>
        </w:tabs>
        <w:spacing w:line="360" w:lineRule="auto"/>
        <w:ind w:right="-787"/>
        <w:rPr>
          <w:rFonts w:ascii="Palatino Linotype" w:eastAsia="Palatino Linotype" w:hAnsi="Palatino Linotype" w:cs="Palatino Linotype"/>
        </w:rPr>
      </w:pPr>
    </w:p>
    <w:sectPr w:rsidR="005555C4" w:rsidRPr="003B684E">
      <w:headerReference w:type="even" r:id="rId12"/>
      <w:headerReference w:type="default" r:id="rId13"/>
      <w:footerReference w:type="default" r:id="rId14"/>
      <w:headerReference w:type="first" r:id="rId15"/>
      <w:footerReference w:type="first" r:id="rId16"/>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77D" w:rsidRDefault="0027077D">
      <w:r>
        <w:separator/>
      </w:r>
    </w:p>
  </w:endnote>
  <w:endnote w:type="continuationSeparator" w:id="0">
    <w:p w:rsidR="0027077D" w:rsidRDefault="00270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1F" w:rsidRPr="003B684E" w:rsidRDefault="00DB181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3B684E">
      <w:rPr>
        <w:rFonts w:ascii="Palatino Linotype" w:eastAsia="Palatino Linotype" w:hAnsi="Palatino Linotype" w:cs="Palatino Linotype"/>
        <w:color w:val="000000"/>
        <w:sz w:val="22"/>
        <w:szCs w:val="20"/>
      </w:rPr>
      <w:t xml:space="preserve">Página </w:t>
    </w:r>
    <w:r w:rsidRPr="003B684E">
      <w:rPr>
        <w:rFonts w:ascii="Palatino Linotype" w:eastAsia="Palatino Linotype" w:hAnsi="Palatino Linotype" w:cs="Palatino Linotype"/>
        <w:color w:val="000000"/>
        <w:sz w:val="22"/>
        <w:szCs w:val="20"/>
      </w:rPr>
      <w:fldChar w:fldCharType="begin"/>
    </w:r>
    <w:r w:rsidRPr="003B684E">
      <w:rPr>
        <w:rFonts w:ascii="Palatino Linotype" w:eastAsia="Palatino Linotype" w:hAnsi="Palatino Linotype" w:cs="Palatino Linotype"/>
        <w:color w:val="000000"/>
        <w:sz w:val="22"/>
        <w:szCs w:val="20"/>
      </w:rPr>
      <w:instrText>PAGE</w:instrText>
    </w:r>
    <w:r w:rsidRPr="003B684E">
      <w:rPr>
        <w:rFonts w:ascii="Palatino Linotype" w:eastAsia="Palatino Linotype" w:hAnsi="Palatino Linotype" w:cs="Palatino Linotype"/>
        <w:color w:val="000000"/>
        <w:sz w:val="22"/>
        <w:szCs w:val="20"/>
      </w:rPr>
      <w:fldChar w:fldCharType="separate"/>
    </w:r>
    <w:r w:rsidR="002650BD">
      <w:rPr>
        <w:rFonts w:ascii="Palatino Linotype" w:eastAsia="Palatino Linotype" w:hAnsi="Palatino Linotype" w:cs="Palatino Linotype"/>
        <w:noProof/>
        <w:color w:val="000000"/>
        <w:sz w:val="22"/>
        <w:szCs w:val="20"/>
      </w:rPr>
      <w:t>2</w:t>
    </w:r>
    <w:r w:rsidRPr="003B684E">
      <w:rPr>
        <w:rFonts w:ascii="Palatino Linotype" w:eastAsia="Palatino Linotype" w:hAnsi="Palatino Linotype" w:cs="Palatino Linotype"/>
        <w:color w:val="000000"/>
        <w:sz w:val="22"/>
        <w:szCs w:val="20"/>
      </w:rPr>
      <w:fldChar w:fldCharType="end"/>
    </w:r>
    <w:r w:rsidRPr="003B684E">
      <w:rPr>
        <w:rFonts w:ascii="Palatino Linotype" w:eastAsia="Palatino Linotype" w:hAnsi="Palatino Linotype" w:cs="Palatino Linotype"/>
        <w:color w:val="000000"/>
        <w:sz w:val="22"/>
        <w:szCs w:val="20"/>
      </w:rPr>
      <w:t xml:space="preserve"> de </w:t>
    </w:r>
    <w:r w:rsidRPr="003B684E">
      <w:rPr>
        <w:rFonts w:ascii="Palatino Linotype" w:eastAsia="Palatino Linotype" w:hAnsi="Palatino Linotype" w:cs="Palatino Linotype"/>
        <w:color w:val="000000"/>
        <w:sz w:val="22"/>
        <w:szCs w:val="20"/>
      </w:rPr>
      <w:fldChar w:fldCharType="begin"/>
    </w:r>
    <w:r w:rsidRPr="003B684E">
      <w:rPr>
        <w:rFonts w:ascii="Palatino Linotype" w:eastAsia="Palatino Linotype" w:hAnsi="Palatino Linotype" w:cs="Palatino Linotype"/>
        <w:color w:val="000000"/>
        <w:sz w:val="22"/>
        <w:szCs w:val="20"/>
      </w:rPr>
      <w:instrText>NUMPAGES</w:instrText>
    </w:r>
    <w:r w:rsidRPr="003B684E">
      <w:rPr>
        <w:rFonts w:ascii="Palatino Linotype" w:eastAsia="Palatino Linotype" w:hAnsi="Palatino Linotype" w:cs="Palatino Linotype"/>
        <w:color w:val="000000"/>
        <w:sz w:val="22"/>
        <w:szCs w:val="20"/>
      </w:rPr>
      <w:fldChar w:fldCharType="separate"/>
    </w:r>
    <w:r w:rsidR="002650BD">
      <w:rPr>
        <w:rFonts w:ascii="Palatino Linotype" w:eastAsia="Palatino Linotype" w:hAnsi="Palatino Linotype" w:cs="Palatino Linotype"/>
        <w:noProof/>
        <w:color w:val="000000"/>
        <w:sz w:val="22"/>
        <w:szCs w:val="20"/>
      </w:rPr>
      <w:t>49</w:t>
    </w:r>
    <w:r w:rsidRPr="003B684E">
      <w:rPr>
        <w:rFonts w:ascii="Palatino Linotype" w:eastAsia="Palatino Linotype" w:hAnsi="Palatino Linotype" w:cs="Palatino Linotype"/>
        <w:color w:val="000000"/>
        <w:sz w:val="22"/>
        <w:szCs w:val="20"/>
      </w:rPr>
      <w:fldChar w:fldCharType="end"/>
    </w:r>
  </w:p>
  <w:p w:rsidR="00DB181F" w:rsidRDefault="00DB181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1F" w:rsidRPr="003B684E" w:rsidRDefault="00DB181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3B684E">
      <w:rPr>
        <w:rFonts w:ascii="Palatino Linotype" w:eastAsia="Palatino Linotype" w:hAnsi="Palatino Linotype" w:cs="Palatino Linotype"/>
        <w:color w:val="000000"/>
        <w:sz w:val="22"/>
        <w:szCs w:val="20"/>
      </w:rPr>
      <w:t xml:space="preserve">Página </w:t>
    </w:r>
    <w:r w:rsidRPr="003B684E">
      <w:rPr>
        <w:rFonts w:ascii="Palatino Linotype" w:eastAsia="Palatino Linotype" w:hAnsi="Palatino Linotype" w:cs="Palatino Linotype"/>
        <w:color w:val="000000"/>
        <w:sz w:val="22"/>
        <w:szCs w:val="20"/>
      </w:rPr>
      <w:fldChar w:fldCharType="begin"/>
    </w:r>
    <w:r w:rsidRPr="003B684E">
      <w:rPr>
        <w:rFonts w:ascii="Palatino Linotype" w:eastAsia="Palatino Linotype" w:hAnsi="Palatino Linotype" w:cs="Palatino Linotype"/>
        <w:color w:val="000000"/>
        <w:sz w:val="22"/>
        <w:szCs w:val="20"/>
      </w:rPr>
      <w:instrText>PAGE</w:instrText>
    </w:r>
    <w:r w:rsidRPr="003B684E">
      <w:rPr>
        <w:rFonts w:ascii="Palatino Linotype" w:eastAsia="Palatino Linotype" w:hAnsi="Palatino Linotype" w:cs="Palatino Linotype"/>
        <w:color w:val="000000"/>
        <w:sz w:val="22"/>
        <w:szCs w:val="20"/>
      </w:rPr>
      <w:fldChar w:fldCharType="separate"/>
    </w:r>
    <w:r w:rsidR="002650BD">
      <w:rPr>
        <w:rFonts w:ascii="Palatino Linotype" w:eastAsia="Palatino Linotype" w:hAnsi="Palatino Linotype" w:cs="Palatino Linotype"/>
        <w:noProof/>
        <w:color w:val="000000"/>
        <w:sz w:val="22"/>
        <w:szCs w:val="20"/>
      </w:rPr>
      <w:t>1</w:t>
    </w:r>
    <w:r w:rsidRPr="003B684E">
      <w:rPr>
        <w:rFonts w:ascii="Palatino Linotype" w:eastAsia="Palatino Linotype" w:hAnsi="Palatino Linotype" w:cs="Palatino Linotype"/>
        <w:color w:val="000000"/>
        <w:sz w:val="22"/>
        <w:szCs w:val="20"/>
      </w:rPr>
      <w:fldChar w:fldCharType="end"/>
    </w:r>
    <w:r w:rsidRPr="003B684E">
      <w:rPr>
        <w:rFonts w:ascii="Palatino Linotype" w:eastAsia="Palatino Linotype" w:hAnsi="Palatino Linotype" w:cs="Palatino Linotype"/>
        <w:color w:val="000000"/>
        <w:sz w:val="22"/>
        <w:szCs w:val="20"/>
      </w:rPr>
      <w:t xml:space="preserve"> de </w:t>
    </w:r>
    <w:r w:rsidRPr="003B684E">
      <w:rPr>
        <w:rFonts w:ascii="Palatino Linotype" w:eastAsia="Palatino Linotype" w:hAnsi="Palatino Linotype" w:cs="Palatino Linotype"/>
        <w:color w:val="000000"/>
        <w:sz w:val="22"/>
        <w:szCs w:val="20"/>
      </w:rPr>
      <w:fldChar w:fldCharType="begin"/>
    </w:r>
    <w:r w:rsidRPr="003B684E">
      <w:rPr>
        <w:rFonts w:ascii="Palatino Linotype" w:eastAsia="Palatino Linotype" w:hAnsi="Palatino Linotype" w:cs="Palatino Linotype"/>
        <w:color w:val="000000"/>
        <w:sz w:val="22"/>
        <w:szCs w:val="20"/>
      </w:rPr>
      <w:instrText>NUMPAGES</w:instrText>
    </w:r>
    <w:r w:rsidRPr="003B684E">
      <w:rPr>
        <w:rFonts w:ascii="Palatino Linotype" w:eastAsia="Palatino Linotype" w:hAnsi="Palatino Linotype" w:cs="Palatino Linotype"/>
        <w:color w:val="000000"/>
        <w:sz w:val="22"/>
        <w:szCs w:val="20"/>
      </w:rPr>
      <w:fldChar w:fldCharType="separate"/>
    </w:r>
    <w:r w:rsidR="002650BD">
      <w:rPr>
        <w:rFonts w:ascii="Palatino Linotype" w:eastAsia="Palatino Linotype" w:hAnsi="Palatino Linotype" w:cs="Palatino Linotype"/>
        <w:noProof/>
        <w:color w:val="000000"/>
        <w:sz w:val="22"/>
        <w:szCs w:val="20"/>
      </w:rPr>
      <w:t>49</w:t>
    </w:r>
    <w:r w:rsidRPr="003B684E">
      <w:rPr>
        <w:rFonts w:ascii="Palatino Linotype" w:eastAsia="Palatino Linotype" w:hAnsi="Palatino Linotype" w:cs="Palatino Linotype"/>
        <w:color w:val="000000"/>
        <w:sz w:val="22"/>
        <w:szCs w:val="20"/>
      </w:rPr>
      <w:fldChar w:fldCharType="end"/>
    </w:r>
  </w:p>
  <w:p w:rsidR="00DB181F" w:rsidRDefault="00DB181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77D" w:rsidRDefault="0027077D">
      <w:r>
        <w:separator/>
      </w:r>
    </w:p>
  </w:footnote>
  <w:footnote w:type="continuationSeparator" w:id="0">
    <w:p w:rsidR="0027077D" w:rsidRDefault="0027077D">
      <w:r>
        <w:continuationSeparator/>
      </w:r>
    </w:p>
  </w:footnote>
  <w:footnote w:id="1">
    <w:p w:rsidR="00DB181F" w:rsidRDefault="00DB181F"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BURGOA ORIHUELA Ignacio. </w:t>
      </w:r>
      <w:r>
        <w:rPr>
          <w:rFonts w:ascii="Palatino Linotype" w:eastAsia="Palatino Linotype" w:hAnsi="Palatino Linotype" w:cs="Palatino Linotype"/>
          <w:i/>
          <w:color w:val="000000"/>
          <w:sz w:val="16"/>
          <w:szCs w:val="16"/>
        </w:rPr>
        <w:t>Diccionario De Derecho Constitucional, Garantías y Amparo</w:t>
      </w:r>
      <w:r>
        <w:rPr>
          <w:rFonts w:ascii="Palatino Linotype" w:eastAsia="Palatino Linotype" w:hAnsi="Palatino Linotype" w:cs="Palatino Linotype"/>
          <w:color w:val="000000"/>
          <w:sz w:val="16"/>
          <w:szCs w:val="16"/>
        </w:rPr>
        <w:t>. Ed. Porrúa, S.A., México. 1992. p. 115.</w:t>
      </w:r>
    </w:p>
  </w:footnote>
  <w:footnote w:id="2">
    <w:p w:rsidR="00DB181F" w:rsidRDefault="00DB181F"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CIENFUEGOS SALGADO David. </w:t>
      </w:r>
      <w:r>
        <w:rPr>
          <w:rFonts w:ascii="Palatino Linotype" w:eastAsia="Palatino Linotype" w:hAnsi="Palatino Linotype" w:cs="Palatino Linotype"/>
          <w:i/>
          <w:color w:val="000000"/>
          <w:sz w:val="16"/>
          <w:szCs w:val="16"/>
        </w:rPr>
        <w:t xml:space="preserve">El Derecho de Petición en México. </w:t>
      </w:r>
      <w:r>
        <w:rPr>
          <w:rFonts w:ascii="Palatino Linotype" w:eastAsia="Palatino Linotype" w:hAnsi="Palatino Linotype" w:cs="Palatino Linotype"/>
          <w:color w:val="000000"/>
          <w:sz w:val="16"/>
          <w:szCs w:val="16"/>
        </w:rPr>
        <w:t>Ed. Instituto de Investigaciones Jurídica UNAM. México 2004. p. 31</w:t>
      </w:r>
    </w:p>
  </w:footnote>
  <w:footnote w:id="3">
    <w:p w:rsidR="00DB181F" w:rsidRDefault="00DB181F"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ROBLES HERNÁNDEZ José Guadalupe. </w:t>
      </w:r>
      <w:r>
        <w:rPr>
          <w:rFonts w:ascii="Palatino Linotype" w:eastAsia="Palatino Linotype" w:hAnsi="Palatino Linotype" w:cs="Palatino Linotype"/>
          <w:i/>
          <w:color w:val="000000"/>
          <w:sz w:val="16"/>
          <w:szCs w:val="16"/>
        </w:rPr>
        <w:t xml:space="preserve">Derecho de la Información y Comunicación Pública. </w:t>
      </w:r>
      <w:r>
        <w:rPr>
          <w:rFonts w:ascii="Palatino Linotype" w:eastAsia="Palatino Linotype" w:hAnsi="Palatino Linotype" w:cs="Palatino Linotype"/>
          <w:color w:val="000000"/>
          <w:sz w:val="16"/>
          <w:szCs w:val="16"/>
        </w:rPr>
        <w:t>Ed. Universidad de Occidente. México. 2004, p. 72</w:t>
      </w:r>
    </w:p>
  </w:footnote>
  <w:footnote w:id="4">
    <w:p w:rsidR="00DB181F" w:rsidRDefault="00DB181F"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VILLANUEVA VILLANUEVA Ernesto. Derecho de la Información, Ed. Porrúa. 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1F" w:rsidRDefault="0027077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7938" w:type="dxa"/>
      <w:tblInd w:w="2127" w:type="dxa"/>
      <w:tblLayout w:type="fixed"/>
      <w:tblLook w:val="0400" w:firstRow="0" w:lastRow="0" w:firstColumn="0" w:lastColumn="0" w:noHBand="0" w:noVBand="1"/>
    </w:tblPr>
    <w:tblGrid>
      <w:gridCol w:w="2976"/>
      <w:gridCol w:w="4962"/>
    </w:tblGrid>
    <w:tr w:rsidR="00DB181F" w:rsidTr="003B684E">
      <w:trPr>
        <w:trHeight w:val="227"/>
      </w:trPr>
      <w:tc>
        <w:tcPr>
          <w:tcW w:w="2976" w:type="dxa"/>
        </w:tcPr>
        <w:p w:rsidR="00DB181F" w:rsidRPr="003B684E" w:rsidRDefault="00DB181F" w:rsidP="00EE131A">
          <w:pPr>
            <w:jc w:val="right"/>
            <w:rPr>
              <w:rFonts w:ascii="Palatino Linotype" w:eastAsia="Palatino Linotype" w:hAnsi="Palatino Linotype" w:cs="Palatino Linotype"/>
              <w:b/>
              <w:szCs w:val="22"/>
            </w:rPr>
          </w:pPr>
          <w:r w:rsidRPr="003B684E">
            <w:rPr>
              <w:rFonts w:ascii="Palatino Linotype" w:eastAsia="Palatino Linotype" w:hAnsi="Palatino Linotype" w:cs="Palatino Linotype"/>
              <w:b/>
              <w:szCs w:val="22"/>
            </w:rPr>
            <w:t>Recurso de Revisión:</w:t>
          </w:r>
        </w:p>
      </w:tc>
      <w:tc>
        <w:tcPr>
          <w:tcW w:w="4962" w:type="dxa"/>
        </w:tcPr>
        <w:p w:rsidR="00DB181F" w:rsidRPr="003B684E" w:rsidRDefault="00DB181F" w:rsidP="00EE131A">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3B684E">
            <w:rPr>
              <w:rFonts w:ascii="Palatino Linotype" w:eastAsia="Palatino Linotype" w:hAnsi="Palatino Linotype" w:cs="Palatino Linotype"/>
              <w:color w:val="000000"/>
              <w:szCs w:val="22"/>
            </w:rPr>
            <w:t xml:space="preserve">02803/INFOEM/IP/RR/2026 y </w:t>
          </w:r>
          <w:r w:rsidRPr="003B684E">
            <w:rPr>
              <w:rFonts w:ascii="Palatino Linotype" w:eastAsia="Palatino Linotype" w:hAnsi="Palatino Linotype" w:cs="Palatino Linotype"/>
              <w:szCs w:val="22"/>
            </w:rPr>
            <w:t>A</w:t>
          </w:r>
          <w:r w:rsidRPr="003B684E">
            <w:rPr>
              <w:rFonts w:ascii="Palatino Linotype" w:eastAsia="Palatino Linotype" w:hAnsi="Palatino Linotype" w:cs="Palatino Linotype"/>
              <w:color w:val="000000"/>
              <w:szCs w:val="22"/>
            </w:rPr>
            <w:t>cumulados</w:t>
          </w:r>
        </w:p>
      </w:tc>
    </w:tr>
    <w:tr w:rsidR="00DB181F" w:rsidTr="003B684E">
      <w:trPr>
        <w:trHeight w:val="342"/>
      </w:trPr>
      <w:tc>
        <w:tcPr>
          <w:tcW w:w="2976" w:type="dxa"/>
        </w:tcPr>
        <w:p w:rsidR="00DB181F" w:rsidRPr="003B684E" w:rsidRDefault="00DB181F" w:rsidP="00EE131A">
          <w:pPr>
            <w:jc w:val="right"/>
            <w:rPr>
              <w:rFonts w:ascii="Palatino Linotype" w:eastAsia="Palatino Linotype" w:hAnsi="Palatino Linotype" w:cs="Palatino Linotype"/>
              <w:b/>
              <w:szCs w:val="22"/>
            </w:rPr>
          </w:pPr>
          <w:r w:rsidRPr="003B684E">
            <w:rPr>
              <w:rFonts w:ascii="Palatino Linotype" w:eastAsia="Palatino Linotype" w:hAnsi="Palatino Linotype" w:cs="Palatino Linotype"/>
              <w:b/>
              <w:szCs w:val="22"/>
            </w:rPr>
            <w:t>Sujeto Obligado:</w:t>
          </w:r>
        </w:p>
      </w:tc>
      <w:tc>
        <w:tcPr>
          <w:tcW w:w="4962" w:type="dxa"/>
        </w:tcPr>
        <w:p w:rsidR="00DB181F" w:rsidRPr="003B684E" w:rsidRDefault="00DB181F" w:rsidP="00EE131A">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3B684E">
            <w:rPr>
              <w:rFonts w:ascii="Palatino Linotype" w:eastAsia="Palatino Linotype" w:hAnsi="Palatino Linotype" w:cs="Palatino Linotype"/>
              <w:color w:val="000000"/>
              <w:szCs w:val="22"/>
            </w:rPr>
            <w:t>Ayuntamiento de Toluca</w:t>
          </w:r>
        </w:p>
      </w:tc>
    </w:tr>
    <w:tr w:rsidR="00DB181F" w:rsidTr="003B684E">
      <w:trPr>
        <w:trHeight w:val="342"/>
      </w:trPr>
      <w:tc>
        <w:tcPr>
          <w:tcW w:w="2976" w:type="dxa"/>
        </w:tcPr>
        <w:p w:rsidR="00DB181F" w:rsidRPr="003B684E" w:rsidRDefault="00DB181F" w:rsidP="00EE131A">
          <w:pPr>
            <w:jc w:val="right"/>
            <w:rPr>
              <w:rFonts w:ascii="Palatino Linotype" w:eastAsia="Palatino Linotype" w:hAnsi="Palatino Linotype" w:cs="Palatino Linotype"/>
              <w:b/>
              <w:szCs w:val="22"/>
            </w:rPr>
          </w:pPr>
          <w:r w:rsidRPr="003B684E">
            <w:rPr>
              <w:rFonts w:ascii="Palatino Linotype" w:eastAsia="Palatino Linotype" w:hAnsi="Palatino Linotype" w:cs="Palatino Linotype"/>
              <w:b/>
              <w:szCs w:val="22"/>
            </w:rPr>
            <w:t>Comisionada Ponente:</w:t>
          </w:r>
        </w:p>
      </w:tc>
      <w:tc>
        <w:tcPr>
          <w:tcW w:w="4962" w:type="dxa"/>
        </w:tcPr>
        <w:p w:rsidR="00DB181F" w:rsidRPr="003B684E" w:rsidRDefault="00DB181F" w:rsidP="00EE131A">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3B684E">
            <w:rPr>
              <w:rFonts w:ascii="Palatino Linotype" w:eastAsia="Palatino Linotype" w:hAnsi="Palatino Linotype" w:cs="Palatino Linotype"/>
              <w:color w:val="000000"/>
              <w:szCs w:val="22"/>
            </w:rPr>
            <w:t>María del Rosario Mejía Ayala</w:t>
          </w:r>
        </w:p>
      </w:tc>
    </w:tr>
  </w:tbl>
  <w:p w:rsidR="00DB181F" w:rsidRDefault="0027077D">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5.7pt;margin-top:-128.4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8221" w:type="dxa"/>
      <w:tblInd w:w="2694" w:type="dxa"/>
      <w:tblLayout w:type="fixed"/>
      <w:tblLook w:val="0400" w:firstRow="0" w:lastRow="0" w:firstColumn="0" w:lastColumn="0" w:noHBand="0" w:noVBand="1"/>
    </w:tblPr>
    <w:tblGrid>
      <w:gridCol w:w="2835"/>
      <w:gridCol w:w="5386"/>
    </w:tblGrid>
    <w:tr w:rsidR="00DB181F" w:rsidTr="003B684E">
      <w:trPr>
        <w:trHeight w:val="227"/>
      </w:trPr>
      <w:tc>
        <w:tcPr>
          <w:tcW w:w="2835" w:type="dxa"/>
        </w:tcPr>
        <w:p w:rsidR="00DB181F" w:rsidRPr="003B684E" w:rsidRDefault="00DB181F" w:rsidP="003B684E">
          <w:pPr>
            <w:jc w:val="right"/>
            <w:rPr>
              <w:rFonts w:ascii="Palatino Linotype" w:eastAsia="Palatino Linotype" w:hAnsi="Palatino Linotype" w:cs="Palatino Linotype"/>
              <w:b/>
              <w:szCs w:val="22"/>
            </w:rPr>
          </w:pPr>
          <w:r w:rsidRPr="003B684E">
            <w:rPr>
              <w:rFonts w:ascii="Palatino Linotype" w:eastAsia="Palatino Linotype" w:hAnsi="Palatino Linotype" w:cs="Palatino Linotype"/>
              <w:b/>
              <w:szCs w:val="22"/>
            </w:rPr>
            <w:t>Recurso de Revisión:</w:t>
          </w:r>
        </w:p>
      </w:tc>
      <w:tc>
        <w:tcPr>
          <w:tcW w:w="5386" w:type="dxa"/>
        </w:tcPr>
        <w:p w:rsidR="00DB181F" w:rsidRPr="003B684E" w:rsidRDefault="00DB181F" w:rsidP="003B684E">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3B684E">
            <w:rPr>
              <w:rFonts w:ascii="Palatino Linotype" w:eastAsia="Palatino Linotype" w:hAnsi="Palatino Linotype" w:cs="Palatino Linotype"/>
              <w:color w:val="000000"/>
              <w:szCs w:val="22"/>
            </w:rPr>
            <w:t xml:space="preserve">02803/INFOEM/IP/RR/2026 y </w:t>
          </w:r>
          <w:r w:rsidRPr="003B684E">
            <w:rPr>
              <w:rFonts w:ascii="Palatino Linotype" w:eastAsia="Palatino Linotype" w:hAnsi="Palatino Linotype" w:cs="Palatino Linotype"/>
              <w:szCs w:val="22"/>
            </w:rPr>
            <w:t>A</w:t>
          </w:r>
          <w:r w:rsidRPr="003B684E">
            <w:rPr>
              <w:rFonts w:ascii="Palatino Linotype" w:eastAsia="Palatino Linotype" w:hAnsi="Palatino Linotype" w:cs="Palatino Linotype"/>
              <w:color w:val="000000"/>
              <w:szCs w:val="22"/>
            </w:rPr>
            <w:t>cumulados</w:t>
          </w:r>
        </w:p>
      </w:tc>
    </w:tr>
    <w:tr w:rsidR="00DB181F" w:rsidTr="003B684E">
      <w:trPr>
        <w:trHeight w:val="242"/>
      </w:trPr>
      <w:tc>
        <w:tcPr>
          <w:tcW w:w="2835" w:type="dxa"/>
        </w:tcPr>
        <w:p w:rsidR="00DB181F" w:rsidRPr="003B684E" w:rsidRDefault="00DB181F" w:rsidP="003B684E">
          <w:pPr>
            <w:jc w:val="right"/>
            <w:rPr>
              <w:rFonts w:ascii="Palatino Linotype" w:eastAsia="Palatino Linotype" w:hAnsi="Palatino Linotype" w:cs="Palatino Linotype"/>
              <w:b/>
              <w:szCs w:val="22"/>
            </w:rPr>
          </w:pPr>
          <w:r w:rsidRPr="003B684E">
            <w:rPr>
              <w:rFonts w:ascii="Palatino Linotype" w:eastAsia="Palatino Linotype" w:hAnsi="Palatino Linotype" w:cs="Palatino Linotype"/>
              <w:b/>
              <w:szCs w:val="22"/>
            </w:rPr>
            <w:t>Recurrente:</w:t>
          </w:r>
        </w:p>
      </w:tc>
      <w:tc>
        <w:tcPr>
          <w:tcW w:w="5386" w:type="dxa"/>
        </w:tcPr>
        <w:p w:rsidR="00DB181F" w:rsidRPr="003B684E" w:rsidRDefault="00DB181F" w:rsidP="003B684E">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p>
      </w:tc>
    </w:tr>
    <w:tr w:rsidR="00DB181F" w:rsidTr="003B684E">
      <w:trPr>
        <w:trHeight w:val="342"/>
      </w:trPr>
      <w:tc>
        <w:tcPr>
          <w:tcW w:w="2835" w:type="dxa"/>
        </w:tcPr>
        <w:p w:rsidR="00DB181F" w:rsidRPr="003B684E" w:rsidRDefault="00DB181F" w:rsidP="003B684E">
          <w:pPr>
            <w:jc w:val="right"/>
            <w:rPr>
              <w:rFonts w:ascii="Palatino Linotype" w:eastAsia="Palatino Linotype" w:hAnsi="Palatino Linotype" w:cs="Palatino Linotype"/>
              <w:b/>
              <w:szCs w:val="22"/>
            </w:rPr>
          </w:pPr>
          <w:r w:rsidRPr="003B684E">
            <w:rPr>
              <w:rFonts w:ascii="Palatino Linotype" w:eastAsia="Palatino Linotype" w:hAnsi="Palatino Linotype" w:cs="Palatino Linotype"/>
              <w:b/>
              <w:szCs w:val="22"/>
            </w:rPr>
            <w:t>Sujeto Obligado:</w:t>
          </w:r>
        </w:p>
      </w:tc>
      <w:tc>
        <w:tcPr>
          <w:tcW w:w="5386" w:type="dxa"/>
        </w:tcPr>
        <w:p w:rsidR="00DB181F" w:rsidRPr="003B684E" w:rsidRDefault="00DB181F" w:rsidP="003B684E">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3B684E">
            <w:rPr>
              <w:rFonts w:ascii="Palatino Linotype" w:eastAsia="Palatino Linotype" w:hAnsi="Palatino Linotype" w:cs="Palatino Linotype"/>
              <w:color w:val="000000"/>
              <w:szCs w:val="22"/>
            </w:rPr>
            <w:t>Ayuntamiento de Toluca</w:t>
          </w:r>
        </w:p>
      </w:tc>
    </w:tr>
    <w:tr w:rsidR="00DB181F" w:rsidTr="003B684E">
      <w:trPr>
        <w:trHeight w:val="342"/>
      </w:trPr>
      <w:tc>
        <w:tcPr>
          <w:tcW w:w="2835" w:type="dxa"/>
        </w:tcPr>
        <w:p w:rsidR="00DB181F" w:rsidRPr="003B684E" w:rsidRDefault="00DB181F" w:rsidP="003B684E">
          <w:pPr>
            <w:jc w:val="right"/>
            <w:rPr>
              <w:rFonts w:ascii="Palatino Linotype" w:eastAsia="Palatino Linotype" w:hAnsi="Palatino Linotype" w:cs="Palatino Linotype"/>
              <w:b/>
              <w:szCs w:val="22"/>
            </w:rPr>
          </w:pPr>
          <w:r w:rsidRPr="003B684E">
            <w:rPr>
              <w:rFonts w:ascii="Palatino Linotype" w:eastAsia="Palatino Linotype" w:hAnsi="Palatino Linotype" w:cs="Palatino Linotype"/>
              <w:b/>
              <w:szCs w:val="22"/>
            </w:rPr>
            <w:t>Comisionada Ponente:</w:t>
          </w:r>
        </w:p>
      </w:tc>
      <w:tc>
        <w:tcPr>
          <w:tcW w:w="5386" w:type="dxa"/>
        </w:tcPr>
        <w:p w:rsidR="00DB181F" w:rsidRPr="003B684E" w:rsidRDefault="00DB181F" w:rsidP="003B684E">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3B684E">
            <w:rPr>
              <w:rFonts w:ascii="Palatino Linotype" w:eastAsia="Palatino Linotype" w:hAnsi="Palatino Linotype" w:cs="Palatino Linotype"/>
              <w:color w:val="000000"/>
              <w:szCs w:val="22"/>
            </w:rPr>
            <w:t>María del Rosario Mejía Ayala</w:t>
          </w:r>
        </w:p>
      </w:tc>
    </w:tr>
  </w:tbl>
  <w:p w:rsidR="00DB181F" w:rsidRDefault="0027077D">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2.6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C337C"/>
    <w:multiLevelType w:val="multilevel"/>
    <w:tmpl w:val="A57E5C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56721F"/>
    <w:multiLevelType w:val="multilevel"/>
    <w:tmpl w:val="D98A07C2"/>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2" w15:restartNumberingAfterBreak="0">
    <w:nsid w:val="0FB304B2"/>
    <w:multiLevelType w:val="multilevel"/>
    <w:tmpl w:val="AF1C3D3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13C816B9"/>
    <w:multiLevelType w:val="hybridMultilevel"/>
    <w:tmpl w:val="B90ED5AE"/>
    <w:lvl w:ilvl="0" w:tplc="080A0011">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46460B"/>
    <w:multiLevelType w:val="hybridMultilevel"/>
    <w:tmpl w:val="A5D09B6E"/>
    <w:lvl w:ilvl="0" w:tplc="E36EB920">
      <w:start w:val="1"/>
      <w:numFmt w:val="decimal"/>
      <w:lvlText w:val="%1."/>
      <w:lvlJc w:val="left"/>
      <w:pPr>
        <w:ind w:left="1070" w:hanging="360"/>
      </w:pPr>
      <w:rPr>
        <w:rFonts w:ascii="Palatino Linotype" w:hAnsi="Palatino Linotype" w:hint="default"/>
        <w:b/>
        <w:i w:val="0"/>
        <w:color w:val="auto"/>
        <w:sz w:val="24"/>
      </w:rPr>
    </w:lvl>
    <w:lvl w:ilvl="1" w:tplc="080A0001">
      <w:start w:val="1"/>
      <w:numFmt w:val="bullet"/>
      <w:lvlText w:val=""/>
      <w:lvlJc w:val="left"/>
      <w:pPr>
        <w:ind w:left="36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0D5226"/>
    <w:multiLevelType w:val="multilevel"/>
    <w:tmpl w:val="778CB76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D456E7"/>
    <w:multiLevelType w:val="multilevel"/>
    <w:tmpl w:val="3DB82D1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4902AB"/>
    <w:multiLevelType w:val="hybridMultilevel"/>
    <w:tmpl w:val="AA6A4E92"/>
    <w:lvl w:ilvl="0" w:tplc="23945F1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F3D6534"/>
    <w:multiLevelType w:val="multilevel"/>
    <w:tmpl w:val="AD004F7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2FEE03FF"/>
    <w:multiLevelType w:val="multilevel"/>
    <w:tmpl w:val="FD9E3CB6"/>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0" w15:restartNumberingAfterBreak="0">
    <w:nsid w:val="305F5C3E"/>
    <w:multiLevelType w:val="multilevel"/>
    <w:tmpl w:val="DFC2BB3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1" w15:restartNumberingAfterBreak="0">
    <w:nsid w:val="3340519E"/>
    <w:multiLevelType w:val="multilevel"/>
    <w:tmpl w:val="B66CEA5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9A428F"/>
    <w:multiLevelType w:val="multilevel"/>
    <w:tmpl w:val="7012ED80"/>
    <w:lvl w:ilvl="0">
      <w:start w:val="1"/>
      <w:numFmt w:val="decimal"/>
      <w:lvlText w:val="%1."/>
      <w:lvlJc w:val="left"/>
      <w:pPr>
        <w:ind w:left="1495" w:hanging="360"/>
      </w:pPr>
      <w:rPr>
        <w:rFonts w:ascii="Palatino Linotype" w:hAnsi="Palatino Linotype"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5420DE"/>
    <w:multiLevelType w:val="multilevel"/>
    <w:tmpl w:val="1764B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483B91"/>
    <w:multiLevelType w:val="multilevel"/>
    <w:tmpl w:val="C7B03E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91076D"/>
    <w:multiLevelType w:val="hybridMultilevel"/>
    <w:tmpl w:val="06A09CD2"/>
    <w:lvl w:ilvl="0" w:tplc="701098CE">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7" w15:restartNumberingAfterBreak="0">
    <w:nsid w:val="3BEE4B8C"/>
    <w:multiLevelType w:val="hybridMultilevel"/>
    <w:tmpl w:val="AE48AD32"/>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B24136"/>
    <w:multiLevelType w:val="hybridMultilevel"/>
    <w:tmpl w:val="C84C7FCC"/>
    <w:lvl w:ilvl="0" w:tplc="701098CE">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439A20B4"/>
    <w:multiLevelType w:val="hybridMultilevel"/>
    <w:tmpl w:val="A93C0EA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0" w15:restartNumberingAfterBreak="0">
    <w:nsid w:val="492712B8"/>
    <w:multiLevelType w:val="hybridMultilevel"/>
    <w:tmpl w:val="8ECA7BF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C54789F"/>
    <w:multiLevelType w:val="multilevel"/>
    <w:tmpl w:val="986AAC4E"/>
    <w:lvl w:ilvl="0">
      <w:start w:val="1"/>
      <w:numFmt w:val="decimal"/>
      <w:lvlText w:val="%1."/>
      <w:lvlJc w:val="left"/>
      <w:pPr>
        <w:ind w:left="1070"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23" w15:restartNumberingAfterBreak="0">
    <w:nsid w:val="52D21A3E"/>
    <w:multiLevelType w:val="hybridMultilevel"/>
    <w:tmpl w:val="06F2ACF2"/>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66940109"/>
    <w:multiLevelType w:val="hybridMultilevel"/>
    <w:tmpl w:val="06F2ACF2"/>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C1A79EB"/>
    <w:multiLevelType w:val="multilevel"/>
    <w:tmpl w:val="E8D01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F6A0459"/>
    <w:multiLevelType w:val="hybridMultilevel"/>
    <w:tmpl w:val="3E268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FCB218A"/>
    <w:multiLevelType w:val="hybridMultilevel"/>
    <w:tmpl w:val="39D610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1272F38"/>
    <w:multiLevelType w:val="multilevel"/>
    <w:tmpl w:val="6C6834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044A43"/>
    <w:multiLevelType w:val="hybridMultilevel"/>
    <w:tmpl w:val="71DA5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C435A25"/>
    <w:multiLevelType w:val="multilevel"/>
    <w:tmpl w:val="C0064242"/>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D5D3B83"/>
    <w:multiLevelType w:val="multilevel"/>
    <w:tmpl w:val="87CC450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EE74B4D"/>
    <w:multiLevelType w:val="multilevel"/>
    <w:tmpl w:val="FCEECC60"/>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F8A266B"/>
    <w:multiLevelType w:val="multilevel"/>
    <w:tmpl w:val="317233B6"/>
    <w:lvl w:ilvl="0">
      <w:start w:val="1"/>
      <w:numFmt w:val="bullet"/>
      <w:pStyle w:val="Listaconvietas2"/>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5" w15:restartNumberingAfterBreak="0">
    <w:nsid w:val="7FDE4E94"/>
    <w:multiLevelType w:val="hybridMultilevel"/>
    <w:tmpl w:val="9302187E"/>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9"/>
  </w:num>
  <w:num w:numId="4">
    <w:abstractNumId w:val="14"/>
  </w:num>
  <w:num w:numId="5">
    <w:abstractNumId w:val="34"/>
  </w:num>
  <w:num w:numId="6">
    <w:abstractNumId w:val="8"/>
  </w:num>
  <w:num w:numId="7">
    <w:abstractNumId w:val="1"/>
  </w:num>
  <w:num w:numId="8">
    <w:abstractNumId w:val="2"/>
  </w:num>
  <w:num w:numId="9">
    <w:abstractNumId w:val="0"/>
  </w:num>
  <w:num w:numId="10">
    <w:abstractNumId w:val="11"/>
  </w:num>
  <w:num w:numId="11">
    <w:abstractNumId w:val="15"/>
  </w:num>
  <w:num w:numId="12">
    <w:abstractNumId w:val="33"/>
  </w:num>
  <w:num w:numId="13">
    <w:abstractNumId w:val="24"/>
  </w:num>
  <w:num w:numId="14">
    <w:abstractNumId w:val="16"/>
  </w:num>
  <w:num w:numId="15">
    <w:abstractNumId w:val="18"/>
  </w:num>
  <w:num w:numId="16">
    <w:abstractNumId w:val="6"/>
  </w:num>
  <w:num w:numId="17">
    <w:abstractNumId w:val="32"/>
  </w:num>
  <w:num w:numId="18">
    <w:abstractNumId w:val="25"/>
  </w:num>
  <w:num w:numId="19">
    <w:abstractNumId w:val="21"/>
  </w:num>
  <w:num w:numId="20">
    <w:abstractNumId w:val="26"/>
  </w:num>
  <w:num w:numId="21">
    <w:abstractNumId w:val="4"/>
  </w:num>
  <w:num w:numId="22">
    <w:abstractNumId w:val="23"/>
  </w:num>
  <w:num w:numId="23">
    <w:abstractNumId w:val="20"/>
  </w:num>
  <w:num w:numId="24">
    <w:abstractNumId w:val="31"/>
  </w:num>
  <w:num w:numId="25">
    <w:abstractNumId w:val="29"/>
  </w:num>
  <w:num w:numId="26">
    <w:abstractNumId w:val="7"/>
  </w:num>
  <w:num w:numId="27">
    <w:abstractNumId w:val="3"/>
  </w:num>
  <w:num w:numId="28">
    <w:abstractNumId w:val="19"/>
  </w:num>
  <w:num w:numId="29">
    <w:abstractNumId w:val="17"/>
  </w:num>
  <w:num w:numId="30">
    <w:abstractNumId w:val="30"/>
  </w:num>
  <w:num w:numId="31">
    <w:abstractNumId w:val="5"/>
  </w:num>
  <w:num w:numId="32">
    <w:abstractNumId w:val="28"/>
  </w:num>
  <w:num w:numId="33">
    <w:abstractNumId w:val="35"/>
  </w:num>
  <w:num w:numId="34">
    <w:abstractNumId w:val="12"/>
  </w:num>
  <w:num w:numId="35">
    <w:abstractNumId w:val="2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C4"/>
    <w:rsid w:val="000007EE"/>
    <w:rsid w:val="0000458B"/>
    <w:rsid w:val="00011A2F"/>
    <w:rsid w:val="000228B0"/>
    <w:rsid w:val="00024A74"/>
    <w:rsid w:val="00031BD1"/>
    <w:rsid w:val="00034B35"/>
    <w:rsid w:val="000379A3"/>
    <w:rsid w:val="00045F59"/>
    <w:rsid w:val="0004635A"/>
    <w:rsid w:val="00047160"/>
    <w:rsid w:val="00051194"/>
    <w:rsid w:val="00061525"/>
    <w:rsid w:val="00061802"/>
    <w:rsid w:val="00062987"/>
    <w:rsid w:val="00064A4A"/>
    <w:rsid w:val="00064EBE"/>
    <w:rsid w:val="00070037"/>
    <w:rsid w:val="000752D4"/>
    <w:rsid w:val="00076D1B"/>
    <w:rsid w:val="000802AB"/>
    <w:rsid w:val="00080830"/>
    <w:rsid w:val="00082C91"/>
    <w:rsid w:val="000832CA"/>
    <w:rsid w:val="00084476"/>
    <w:rsid w:val="000852C5"/>
    <w:rsid w:val="00090A97"/>
    <w:rsid w:val="00095F83"/>
    <w:rsid w:val="00096796"/>
    <w:rsid w:val="000B175D"/>
    <w:rsid w:val="000B2193"/>
    <w:rsid w:val="000B552B"/>
    <w:rsid w:val="000C1FFA"/>
    <w:rsid w:val="000C3E4E"/>
    <w:rsid w:val="000C5BC3"/>
    <w:rsid w:val="000C6618"/>
    <w:rsid w:val="000D3481"/>
    <w:rsid w:val="000D7382"/>
    <w:rsid w:val="000D7CA1"/>
    <w:rsid w:val="000E2750"/>
    <w:rsid w:val="000E3A8A"/>
    <w:rsid w:val="000F172E"/>
    <w:rsid w:val="000F39E2"/>
    <w:rsid w:val="000F64B6"/>
    <w:rsid w:val="001032A8"/>
    <w:rsid w:val="0010787E"/>
    <w:rsid w:val="0011153B"/>
    <w:rsid w:val="00123C5E"/>
    <w:rsid w:val="00124A34"/>
    <w:rsid w:val="00125241"/>
    <w:rsid w:val="00126033"/>
    <w:rsid w:val="00130DE5"/>
    <w:rsid w:val="00132212"/>
    <w:rsid w:val="0013258F"/>
    <w:rsid w:val="001369AF"/>
    <w:rsid w:val="00141141"/>
    <w:rsid w:val="001454D9"/>
    <w:rsid w:val="0015105C"/>
    <w:rsid w:val="00152183"/>
    <w:rsid w:val="001578AC"/>
    <w:rsid w:val="00170D45"/>
    <w:rsid w:val="0017614C"/>
    <w:rsid w:val="001857BC"/>
    <w:rsid w:val="0018748D"/>
    <w:rsid w:val="00192401"/>
    <w:rsid w:val="00193C6C"/>
    <w:rsid w:val="001A441C"/>
    <w:rsid w:val="001B3459"/>
    <w:rsid w:val="001B44E1"/>
    <w:rsid w:val="001B4B8F"/>
    <w:rsid w:val="001C3BFC"/>
    <w:rsid w:val="001C5717"/>
    <w:rsid w:val="001D2FE5"/>
    <w:rsid w:val="001D7B10"/>
    <w:rsid w:val="001D7CFD"/>
    <w:rsid w:val="001E0D4E"/>
    <w:rsid w:val="001E1399"/>
    <w:rsid w:val="001E2410"/>
    <w:rsid w:val="001E385B"/>
    <w:rsid w:val="001E5CD9"/>
    <w:rsid w:val="001E735D"/>
    <w:rsid w:val="001F4F23"/>
    <w:rsid w:val="00202899"/>
    <w:rsid w:val="002105D6"/>
    <w:rsid w:val="002117DA"/>
    <w:rsid w:val="00222C16"/>
    <w:rsid w:val="00226B98"/>
    <w:rsid w:val="00227D98"/>
    <w:rsid w:val="00237D5F"/>
    <w:rsid w:val="00243D79"/>
    <w:rsid w:val="00252C3C"/>
    <w:rsid w:val="0025306A"/>
    <w:rsid w:val="002533BC"/>
    <w:rsid w:val="00262957"/>
    <w:rsid w:val="0026326C"/>
    <w:rsid w:val="00263E65"/>
    <w:rsid w:val="002650BD"/>
    <w:rsid w:val="00267E04"/>
    <w:rsid w:val="0027077D"/>
    <w:rsid w:val="0027408B"/>
    <w:rsid w:val="00276DD0"/>
    <w:rsid w:val="00281B29"/>
    <w:rsid w:val="00282597"/>
    <w:rsid w:val="00283593"/>
    <w:rsid w:val="00283DD7"/>
    <w:rsid w:val="00292727"/>
    <w:rsid w:val="002A5B72"/>
    <w:rsid w:val="002A67F9"/>
    <w:rsid w:val="002A6C3A"/>
    <w:rsid w:val="002B0F93"/>
    <w:rsid w:val="002B4DC0"/>
    <w:rsid w:val="002C132A"/>
    <w:rsid w:val="002C213C"/>
    <w:rsid w:val="002C55D9"/>
    <w:rsid w:val="002C6B22"/>
    <w:rsid w:val="002D40C0"/>
    <w:rsid w:val="002E3241"/>
    <w:rsid w:val="002F1240"/>
    <w:rsid w:val="002F29BC"/>
    <w:rsid w:val="002F5020"/>
    <w:rsid w:val="00301771"/>
    <w:rsid w:val="00302A89"/>
    <w:rsid w:val="00302FBC"/>
    <w:rsid w:val="00303226"/>
    <w:rsid w:val="00312F3D"/>
    <w:rsid w:val="00316B7D"/>
    <w:rsid w:val="0032689F"/>
    <w:rsid w:val="00326987"/>
    <w:rsid w:val="00330E6C"/>
    <w:rsid w:val="00342E9C"/>
    <w:rsid w:val="00350951"/>
    <w:rsid w:val="003535B0"/>
    <w:rsid w:val="003637CD"/>
    <w:rsid w:val="003678E8"/>
    <w:rsid w:val="0037319A"/>
    <w:rsid w:val="00376C99"/>
    <w:rsid w:val="003776D9"/>
    <w:rsid w:val="00380CD4"/>
    <w:rsid w:val="00381256"/>
    <w:rsid w:val="0038336A"/>
    <w:rsid w:val="003834A5"/>
    <w:rsid w:val="003A45F6"/>
    <w:rsid w:val="003A50F7"/>
    <w:rsid w:val="003A5242"/>
    <w:rsid w:val="003B48A0"/>
    <w:rsid w:val="003B684E"/>
    <w:rsid w:val="003B73AA"/>
    <w:rsid w:val="003C0146"/>
    <w:rsid w:val="003C2A8C"/>
    <w:rsid w:val="003D0A4D"/>
    <w:rsid w:val="003D2724"/>
    <w:rsid w:val="003D2F18"/>
    <w:rsid w:val="003D66BE"/>
    <w:rsid w:val="003D708A"/>
    <w:rsid w:val="003E1A76"/>
    <w:rsid w:val="003E56E8"/>
    <w:rsid w:val="003F2BB3"/>
    <w:rsid w:val="003F5DC0"/>
    <w:rsid w:val="00402CD3"/>
    <w:rsid w:val="00405689"/>
    <w:rsid w:val="00406FFB"/>
    <w:rsid w:val="004119B4"/>
    <w:rsid w:val="00413CA1"/>
    <w:rsid w:val="004162B1"/>
    <w:rsid w:val="00417FB6"/>
    <w:rsid w:val="00430F47"/>
    <w:rsid w:val="00432DF7"/>
    <w:rsid w:val="00442BEF"/>
    <w:rsid w:val="00443950"/>
    <w:rsid w:val="00450051"/>
    <w:rsid w:val="0045036E"/>
    <w:rsid w:val="00450954"/>
    <w:rsid w:val="00455563"/>
    <w:rsid w:val="00457499"/>
    <w:rsid w:val="00464F9D"/>
    <w:rsid w:val="0047108B"/>
    <w:rsid w:val="004740B9"/>
    <w:rsid w:val="004761A0"/>
    <w:rsid w:val="00476244"/>
    <w:rsid w:val="00477282"/>
    <w:rsid w:val="00482B4B"/>
    <w:rsid w:val="0048543B"/>
    <w:rsid w:val="00485C6B"/>
    <w:rsid w:val="00486F27"/>
    <w:rsid w:val="00491777"/>
    <w:rsid w:val="004A5F1F"/>
    <w:rsid w:val="004A674C"/>
    <w:rsid w:val="004A6A76"/>
    <w:rsid w:val="004B1E8A"/>
    <w:rsid w:val="004B20F9"/>
    <w:rsid w:val="004C1185"/>
    <w:rsid w:val="004C44AD"/>
    <w:rsid w:val="004D0468"/>
    <w:rsid w:val="004D6BAD"/>
    <w:rsid w:val="004D7E78"/>
    <w:rsid w:val="004E7E5C"/>
    <w:rsid w:val="005058F7"/>
    <w:rsid w:val="00506772"/>
    <w:rsid w:val="00512A84"/>
    <w:rsid w:val="00514F05"/>
    <w:rsid w:val="005229E0"/>
    <w:rsid w:val="00530484"/>
    <w:rsid w:val="005346D0"/>
    <w:rsid w:val="00535D36"/>
    <w:rsid w:val="0054082C"/>
    <w:rsid w:val="0054382F"/>
    <w:rsid w:val="005444C0"/>
    <w:rsid w:val="005465B9"/>
    <w:rsid w:val="00546712"/>
    <w:rsid w:val="00550CAD"/>
    <w:rsid w:val="005555C4"/>
    <w:rsid w:val="00565E1D"/>
    <w:rsid w:val="00571F3D"/>
    <w:rsid w:val="0057326E"/>
    <w:rsid w:val="00575B88"/>
    <w:rsid w:val="005769E9"/>
    <w:rsid w:val="00582CAF"/>
    <w:rsid w:val="00587171"/>
    <w:rsid w:val="00592C42"/>
    <w:rsid w:val="00594DD7"/>
    <w:rsid w:val="005A0EF6"/>
    <w:rsid w:val="005A4C36"/>
    <w:rsid w:val="005B13D5"/>
    <w:rsid w:val="005B316F"/>
    <w:rsid w:val="005B3B43"/>
    <w:rsid w:val="005B4004"/>
    <w:rsid w:val="005B572C"/>
    <w:rsid w:val="005B5C2B"/>
    <w:rsid w:val="005C1024"/>
    <w:rsid w:val="005C3A28"/>
    <w:rsid w:val="005C46B5"/>
    <w:rsid w:val="005C612B"/>
    <w:rsid w:val="005D2194"/>
    <w:rsid w:val="005D5A40"/>
    <w:rsid w:val="005D7400"/>
    <w:rsid w:val="005E0712"/>
    <w:rsid w:val="005E1F76"/>
    <w:rsid w:val="005E2196"/>
    <w:rsid w:val="005E492E"/>
    <w:rsid w:val="005F2B4F"/>
    <w:rsid w:val="00601709"/>
    <w:rsid w:val="00604837"/>
    <w:rsid w:val="00604DCD"/>
    <w:rsid w:val="006052EF"/>
    <w:rsid w:val="006120FD"/>
    <w:rsid w:val="00612240"/>
    <w:rsid w:val="006130DF"/>
    <w:rsid w:val="006161CB"/>
    <w:rsid w:val="00624795"/>
    <w:rsid w:val="006247E0"/>
    <w:rsid w:val="00624D0D"/>
    <w:rsid w:val="00636412"/>
    <w:rsid w:val="006415E2"/>
    <w:rsid w:val="006518DD"/>
    <w:rsid w:val="00656BE3"/>
    <w:rsid w:val="00657AE7"/>
    <w:rsid w:val="006637F2"/>
    <w:rsid w:val="00666B35"/>
    <w:rsid w:val="006671FC"/>
    <w:rsid w:val="00681573"/>
    <w:rsid w:val="00683E0A"/>
    <w:rsid w:val="00691235"/>
    <w:rsid w:val="00693F5A"/>
    <w:rsid w:val="006954EC"/>
    <w:rsid w:val="0069688B"/>
    <w:rsid w:val="00697D9E"/>
    <w:rsid w:val="006A74B2"/>
    <w:rsid w:val="006B37A9"/>
    <w:rsid w:val="006C1597"/>
    <w:rsid w:val="006D160D"/>
    <w:rsid w:val="006E06B2"/>
    <w:rsid w:val="006E2FAA"/>
    <w:rsid w:val="006E58FE"/>
    <w:rsid w:val="006F04AC"/>
    <w:rsid w:val="006F5E61"/>
    <w:rsid w:val="006F5E87"/>
    <w:rsid w:val="0070186A"/>
    <w:rsid w:val="00702291"/>
    <w:rsid w:val="0070357A"/>
    <w:rsid w:val="0071191F"/>
    <w:rsid w:val="0072445F"/>
    <w:rsid w:val="00727B74"/>
    <w:rsid w:val="0073228D"/>
    <w:rsid w:val="00733157"/>
    <w:rsid w:val="0074118C"/>
    <w:rsid w:val="00742CBE"/>
    <w:rsid w:val="00743EAC"/>
    <w:rsid w:val="00745823"/>
    <w:rsid w:val="007554EE"/>
    <w:rsid w:val="00757360"/>
    <w:rsid w:val="00761FE3"/>
    <w:rsid w:val="007631B3"/>
    <w:rsid w:val="007714B2"/>
    <w:rsid w:val="007723E2"/>
    <w:rsid w:val="00775FED"/>
    <w:rsid w:val="00781832"/>
    <w:rsid w:val="00781E81"/>
    <w:rsid w:val="00787A51"/>
    <w:rsid w:val="00794B9A"/>
    <w:rsid w:val="00796041"/>
    <w:rsid w:val="00796739"/>
    <w:rsid w:val="007A2309"/>
    <w:rsid w:val="007B00E1"/>
    <w:rsid w:val="007B77CB"/>
    <w:rsid w:val="007C466B"/>
    <w:rsid w:val="007D1CAF"/>
    <w:rsid w:val="007E1CA3"/>
    <w:rsid w:val="007E2AB7"/>
    <w:rsid w:val="007E3E55"/>
    <w:rsid w:val="007E3E9D"/>
    <w:rsid w:val="007E5247"/>
    <w:rsid w:val="007F0BDC"/>
    <w:rsid w:val="007F0EEF"/>
    <w:rsid w:val="007F155C"/>
    <w:rsid w:val="007F234B"/>
    <w:rsid w:val="008001B7"/>
    <w:rsid w:val="00801D6B"/>
    <w:rsid w:val="00802068"/>
    <w:rsid w:val="008032D4"/>
    <w:rsid w:val="008057C4"/>
    <w:rsid w:val="00813676"/>
    <w:rsid w:val="00815224"/>
    <w:rsid w:val="00815999"/>
    <w:rsid w:val="00823B39"/>
    <w:rsid w:val="00832205"/>
    <w:rsid w:val="00837081"/>
    <w:rsid w:val="00843946"/>
    <w:rsid w:val="00844AD6"/>
    <w:rsid w:val="00850B37"/>
    <w:rsid w:val="008530A4"/>
    <w:rsid w:val="008537E7"/>
    <w:rsid w:val="00854455"/>
    <w:rsid w:val="00870D34"/>
    <w:rsid w:val="00872C21"/>
    <w:rsid w:val="00872D7A"/>
    <w:rsid w:val="00874495"/>
    <w:rsid w:val="008747FD"/>
    <w:rsid w:val="008749BD"/>
    <w:rsid w:val="00875400"/>
    <w:rsid w:val="00882E28"/>
    <w:rsid w:val="008874E8"/>
    <w:rsid w:val="00893781"/>
    <w:rsid w:val="00895381"/>
    <w:rsid w:val="008B5EBD"/>
    <w:rsid w:val="008C5696"/>
    <w:rsid w:val="008D1A87"/>
    <w:rsid w:val="008E4581"/>
    <w:rsid w:val="008E4E9C"/>
    <w:rsid w:val="008E7921"/>
    <w:rsid w:val="008F27E8"/>
    <w:rsid w:val="008F30DB"/>
    <w:rsid w:val="00901946"/>
    <w:rsid w:val="0090259F"/>
    <w:rsid w:val="00903335"/>
    <w:rsid w:val="0090717B"/>
    <w:rsid w:val="00907EA4"/>
    <w:rsid w:val="0091041F"/>
    <w:rsid w:val="009162EF"/>
    <w:rsid w:val="0092286C"/>
    <w:rsid w:val="00922FDD"/>
    <w:rsid w:val="009251FA"/>
    <w:rsid w:val="00925404"/>
    <w:rsid w:val="009265CD"/>
    <w:rsid w:val="00931E83"/>
    <w:rsid w:val="00932291"/>
    <w:rsid w:val="009343A1"/>
    <w:rsid w:val="0094069F"/>
    <w:rsid w:val="00942DA0"/>
    <w:rsid w:val="0094409B"/>
    <w:rsid w:val="009476C9"/>
    <w:rsid w:val="00950E25"/>
    <w:rsid w:val="009556A3"/>
    <w:rsid w:val="00955A7C"/>
    <w:rsid w:val="00963A4E"/>
    <w:rsid w:val="00981D52"/>
    <w:rsid w:val="0098660F"/>
    <w:rsid w:val="0099436B"/>
    <w:rsid w:val="009A1DBE"/>
    <w:rsid w:val="009A367E"/>
    <w:rsid w:val="009A43F9"/>
    <w:rsid w:val="009A4E70"/>
    <w:rsid w:val="009B0D19"/>
    <w:rsid w:val="009B125F"/>
    <w:rsid w:val="009C72AE"/>
    <w:rsid w:val="009D08FA"/>
    <w:rsid w:val="009D5CAE"/>
    <w:rsid w:val="009F41F6"/>
    <w:rsid w:val="009F4546"/>
    <w:rsid w:val="009F6908"/>
    <w:rsid w:val="009F6951"/>
    <w:rsid w:val="009F71E6"/>
    <w:rsid w:val="009F798A"/>
    <w:rsid w:val="00A01AB6"/>
    <w:rsid w:val="00A133C7"/>
    <w:rsid w:val="00A14A67"/>
    <w:rsid w:val="00A22911"/>
    <w:rsid w:val="00A254C4"/>
    <w:rsid w:val="00A305B4"/>
    <w:rsid w:val="00A311B7"/>
    <w:rsid w:val="00A31843"/>
    <w:rsid w:val="00A32292"/>
    <w:rsid w:val="00A36277"/>
    <w:rsid w:val="00A527BF"/>
    <w:rsid w:val="00A57B8A"/>
    <w:rsid w:val="00A67D48"/>
    <w:rsid w:val="00A73564"/>
    <w:rsid w:val="00A76695"/>
    <w:rsid w:val="00A805D0"/>
    <w:rsid w:val="00A81199"/>
    <w:rsid w:val="00A827F5"/>
    <w:rsid w:val="00A86FED"/>
    <w:rsid w:val="00A93F71"/>
    <w:rsid w:val="00A9488D"/>
    <w:rsid w:val="00A975C9"/>
    <w:rsid w:val="00AA18FC"/>
    <w:rsid w:val="00AA3D7D"/>
    <w:rsid w:val="00AB0EA3"/>
    <w:rsid w:val="00AB2780"/>
    <w:rsid w:val="00AC3E89"/>
    <w:rsid w:val="00AC42D5"/>
    <w:rsid w:val="00AD1C95"/>
    <w:rsid w:val="00AD1DA7"/>
    <w:rsid w:val="00AE3442"/>
    <w:rsid w:val="00AE4EB5"/>
    <w:rsid w:val="00AF01DC"/>
    <w:rsid w:val="00AF0306"/>
    <w:rsid w:val="00AF2DDA"/>
    <w:rsid w:val="00AF3C28"/>
    <w:rsid w:val="00B07F91"/>
    <w:rsid w:val="00B108BC"/>
    <w:rsid w:val="00B208FA"/>
    <w:rsid w:val="00B24C94"/>
    <w:rsid w:val="00B30878"/>
    <w:rsid w:val="00B329E8"/>
    <w:rsid w:val="00B3565D"/>
    <w:rsid w:val="00B36BB6"/>
    <w:rsid w:val="00B36FDA"/>
    <w:rsid w:val="00B50425"/>
    <w:rsid w:val="00B51C07"/>
    <w:rsid w:val="00B522E1"/>
    <w:rsid w:val="00B52507"/>
    <w:rsid w:val="00B52600"/>
    <w:rsid w:val="00B634E9"/>
    <w:rsid w:val="00B71555"/>
    <w:rsid w:val="00B72715"/>
    <w:rsid w:val="00B73B7A"/>
    <w:rsid w:val="00B73EC7"/>
    <w:rsid w:val="00B7522F"/>
    <w:rsid w:val="00B75EA2"/>
    <w:rsid w:val="00B81756"/>
    <w:rsid w:val="00B85D75"/>
    <w:rsid w:val="00B865CB"/>
    <w:rsid w:val="00B87B3C"/>
    <w:rsid w:val="00B92512"/>
    <w:rsid w:val="00BA45D8"/>
    <w:rsid w:val="00BA6DE4"/>
    <w:rsid w:val="00BB43CA"/>
    <w:rsid w:val="00BB4F5F"/>
    <w:rsid w:val="00BB585D"/>
    <w:rsid w:val="00BB71C0"/>
    <w:rsid w:val="00BC0FDD"/>
    <w:rsid w:val="00BC554F"/>
    <w:rsid w:val="00BC66B0"/>
    <w:rsid w:val="00BD3C22"/>
    <w:rsid w:val="00BD5CF8"/>
    <w:rsid w:val="00BD68E7"/>
    <w:rsid w:val="00BD6F70"/>
    <w:rsid w:val="00BE03F8"/>
    <w:rsid w:val="00BE236E"/>
    <w:rsid w:val="00BF0A26"/>
    <w:rsid w:val="00BF2954"/>
    <w:rsid w:val="00BF3D1A"/>
    <w:rsid w:val="00BF5D84"/>
    <w:rsid w:val="00C06211"/>
    <w:rsid w:val="00C11D33"/>
    <w:rsid w:val="00C235D8"/>
    <w:rsid w:val="00C25380"/>
    <w:rsid w:val="00C30A18"/>
    <w:rsid w:val="00C40CE2"/>
    <w:rsid w:val="00C45807"/>
    <w:rsid w:val="00C50AA2"/>
    <w:rsid w:val="00C529A7"/>
    <w:rsid w:val="00C55D7B"/>
    <w:rsid w:val="00C6619B"/>
    <w:rsid w:val="00C67089"/>
    <w:rsid w:val="00C74D6F"/>
    <w:rsid w:val="00C80E6B"/>
    <w:rsid w:val="00C860FF"/>
    <w:rsid w:val="00C86ED7"/>
    <w:rsid w:val="00C870C0"/>
    <w:rsid w:val="00C92297"/>
    <w:rsid w:val="00CA73E8"/>
    <w:rsid w:val="00CB2F57"/>
    <w:rsid w:val="00CD354A"/>
    <w:rsid w:val="00CE37DA"/>
    <w:rsid w:val="00CE6684"/>
    <w:rsid w:val="00D005AA"/>
    <w:rsid w:val="00D05A3C"/>
    <w:rsid w:val="00D1346C"/>
    <w:rsid w:val="00D146E1"/>
    <w:rsid w:val="00D17281"/>
    <w:rsid w:val="00D21175"/>
    <w:rsid w:val="00D24BCB"/>
    <w:rsid w:val="00D37361"/>
    <w:rsid w:val="00D50400"/>
    <w:rsid w:val="00D50543"/>
    <w:rsid w:val="00D57632"/>
    <w:rsid w:val="00D62AFF"/>
    <w:rsid w:val="00D72552"/>
    <w:rsid w:val="00D75C06"/>
    <w:rsid w:val="00D76786"/>
    <w:rsid w:val="00D77091"/>
    <w:rsid w:val="00D92955"/>
    <w:rsid w:val="00DA1E94"/>
    <w:rsid w:val="00DA2C23"/>
    <w:rsid w:val="00DA4E46"/>
    <w:rsid w:val="00DA5580"/>
    <w:rsid w:val="00DB181F"/>
    <w:rsid w:val="00DB2294"/>
    <w:rsid w:val="00DB36B5"/>
    <w:rsid w:val="00DB3D13"/>
    <w:rsid w:val="00DC0062"/>
    <w:rsid w:val="00DC154F"/>
    <w:rsid w:val="00DC3270"/>
    <w:rsid w:val="00DC35C8"/>
    <w:rsid w:val="00DC4D39"/>
    <w:rsid w:val="00DC5475"/>
    <w:rsid w:val="00DC54E2"/>
    <w:rsid w:val="00DC75FB"/>
    <w:rsid w:val="00DD0DDC"/>
    <w:rsid w:val="00DD475C"/>
    <w:rsid w:val="00DD7197"/>
    <w:rsid w:val="00DE0FA9"/>
    <w:rsid w:val="00DE388A"/>
    <w:rsid w:val="00DF52C1"/>
    <w:rsid w:val="00E11B76"/>
    <w:rsid w:val="00E145D3"/>
    <w:rsid w:val="00E213E2"/>
    <w:rsid w:val="00E21C7D"/>
    <w:rsid w:val="00E222CD"/>
    <w:rsid w:val="00E323B5"/>
    <w:rsid w:val="00E3642D"/>
    <w:rsid w:val="00E40C72"/>
    <w:rsid w:val="00E43D63"/>
    <w:rsid w:val="00E442BD"/>
    <w:rsid w:val="00E46415"/>
    <w:rsid w:val="00E55C57"/>
    <w:rsid w:val="00E564D5"/>
    <w:rsid w:val="00E620F6"/>
    <w:rsid w:val="00E659EE"/>
    <w:rsid w:val="00E67482"/>
    <w:rsid w:val="00E70CCD"/>
    <w:rsid w:val="00E72867"/>
    <w:rsid w:val="00E8018A"/>
    <w:rsid w:val="00E817B7"/>
    <w:rsid w:val="00E82A5E"/>
    <w:rsid w:val="00E86DBC"/>
    <w:rsid w:val="00E87726"/>
    <w:rsid w:val="00E913B7"/>
    <w:rsid w:val="00E918AE"/>
    <w:rsid w:val="00E930FC"/>
    <w:rsid w:val="00E9503E"/>
    <w:rsid w:val="00EA0868"/>
    <w:rsid w:val="00EA0B61"/>
    <w:rsid w:val="00EA64AD"/>
    <w:rsid w:val="00EB015F"/>
    <w:rsid w:val="00EB0245"/>
    <w:rsid w:val="00EB043A"/>
    <w:rsid w:val="00EC0F26"/>
    <w:rsid w:val="00EC231A"/>
    <w:rsid w:val="00EC3D9D"/>
    <w:rsid w:val="00EC5684"/>
    <w:rsid w:val="00ED40D1"/>
    <w:rsid w:val="00ED698E"/>
    <w:rsid w:val="00ED7D0B"/>
    <w:rsid w:val="00EE131A"/>
    <w:rsid w:val="00EE24CD"/>
    <w:rsid w:val="00EE3241"/>
    <w:rsid w:val="00EE4175"/>
    <w:rsid w:val="00EF4FB3"/>
    <w:rsid w:val="00EF7D86"/>
    <w:rsid w:val="00F107CA"/>
    <w:rsid w:val="00F1117C"/>
    <w:rsid w:val="00F15E0B"/>
    <w:rsid w:val="00F20E72"/>
    <w:rsid w:val="00F30A44"/>
    <w:rsid w:val="00F31775"/>
    <w:rsid w:val="00F33472"/>
    <w:rsid w:val="00F33AA6"/>
    <w:rsid w:val="00F355A8"/>
    <w:rsid w:val="00F35F00"/>
    <w:rsid w:val="00F41D68"/>
    <w:rsid w:val="00F47F56"/>
    <w:rsid w:val="00F51721"/>
    <w:rsid w:val="00F60B39"/>
    <w:rsid w:val="00F61714"/>
    <w:rsid w:val="00F621EB"/>
    <w:rsid w:val="00F721FB"/>
    <w:rsid w:val="00F72C4A"/>
    <w:rsid w:val="00F7613B"/>
    <w:rsid w:val="00F81E08"/>
    <w:rsid w:val="00F8736C"/>
    <w:rsid w:val="00F92A7A"/>
    <w:rsid w:val="00FA23FF"/>
    <w:rsid w:val="00FA27D6"/>
    <w:rsid w:val="00FB553B"/>
    <w:rsid w:val="00FB7C83"/>
    <w:rsid w:val="00FC230A"/>
    <w:rsid w:val="00FD19FE"/>
    <w:rsid w:val="00FE23AD"/>
    <w:rsid w:val="00FE26A5"/>
    <w:rsid w:val="00FE58EA"/>
    <w:rsid w:val="00FE5A52"/>
    <w:rsid w:val="00FE7360"/>
    <w:rsid w:val="00FE7B32"/>
    <w:rsid w:val="00FF1876"/>
    <w:rsid w:val="00FF1EC2"/>
    <w:rsid w:val="00FF2029"/>
    <w:rsid w:val="00FF7A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88BB433-E56F-4541-AB18-B7B1872F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Fundamentos Car"/>
    <w:link w:val="Sinespaciado"/>
    <w:locked/>
    <w:rsid w:val="00893F39"/>
    <w:rPr>
      <w:rFonts w:ascii="Times New Roman" w:eastAsia="Times New Roman" w:hAnsi="Times New Roman" w:cs="Times New Roman"/>
    </w:rPr>
  </w:style>
  <w:style w:type="paragraph" w:styleId="Sinespaciado">
    <w:name w:val="No Spacing"/>
    <w:aliases w:val="Francesa,INAI,Fundamentos"/>
    <w:link w:val="SinespaciadoCar"/>
    <w:uiPriority w:val="1"/>
    <w:qFormat/>
    <w:rsid w:val="00893F39"/>
    <w:rPr>
      <w:rFonts w:ascii="Times New Roman" w:eastAsia="Times New Roman" w:hAnsi="Times New Roman" w:cs="Times New Roman"/>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Default">
    <w:name w:val="Default"/>
    <w:rsid w:val="00270982"/>
    <w:pPr>
      <w:autoSpaceDE w:val="0"/>
      <w:autoSpaceDN w:val="0"/>
      <w:adjustRightInd w:val="0"/>
    </w:pPr>
    <w:rPr>
      <w:rFonts w:ascii="Arial" w:eastAsiaTheme="minorHAnsi" w:hAnsi="Arial" w:cs="Arial"/>
      <w:color w:val="000000"/>
      <w:lang w:val="es-MX" w:eastAsia="en-US"/>
    </w:rPr>
  </w:style>
  <w:style w:type="paragraph" w:styleId="Listaconvietas3">
    <w:name w:val="List Bullet 3"/>
    <w:basedOn w:val="Normal"/>
    <w:uiPriority w:val="99"/>
    <w:unhideWhenUsed/>
    <w:rsid w:val="003075D7"/>
    <w:pPr>
      <w:numPr>
        <w:numId w:val="12"/>
      </w:numPr>
      <w:contextualSpacing/>
    </w:pPr>
    <w:rPr>
      <w:rFonts w:ascii="Times New Roman" w:eastAsia="Times New Roman" w:hAnsi="Times New Roman" w:cs="Times New Roman"/>
      <w:lang w:val="es-MX"/>
    </w:rPr>
  </w:style>
  <w:style w:type="character" w:customStyle="1" w:styleId="PuestoCar">
    <w:name w:val="Puesto Car"/>
    <w:aliases w:val="Cita textual Car"/>
    <w:basedOn w:val="Fuentedeprrafopredeter"/>
    <w:uiPriority w:val="10"/>
    <w:rsid w:val="007726BE"/>
    <w:rPr>
      <w:rFonts w:eastAsiaTheme="minorEastAsia"/>
      <w:b/>
      <w:sz w:val="72"/>
      <w:szCs w:val="72"/>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9902">
      <w:bodyDiv w:val="1"/>
      <w:marLeft w:val="0"/>
      <w:marRight w:val="0"/>
      <w:marTop w:val="0"/>
      <w:marBottom w:val="0"/>
      <w:divBdr>
        <w:top w:val="none" w:sz="0" w:space="0" w:color="auto"/>
        <w:left w:val="none" w:sz="0" w:space="0" w:color="auto"/>
        <w:bottom w:val="none" w:sz="0" w:space="0" w:color="auto"/>
        <w:right w:val="none" w:sz="0" w:space="0" w:color="auto"/>
      </w:divBdr>
      <w:divsChild>
        <w:div w:id="2096241518">
          <w:marLeft w:val="0"/>
          <w:marRight w:val="0"/>
          <w:marTop w:val="0"/>
          <w:marBottom w:val="0"/>
          <w:divBdr>
            <w:top w:val="none" w:sz="0" w:space="0" w:color="auto"/>
            <w:left w:val="none" w:sz="0" w:space="0" w:color="auto"/>
            <w:bottom w:val="none" w:sz="0" w:space="0" w:color="auto"/>
            <w:right w:val="none" w:sz="0" w:space="0" w:color="auto"/>
          </w:divBdr>
        </w:div>
      </w:divsChild>
    </w:div>
    <w:div w:id="9916461">
      <w:bodyDiv w:val="1"/>
      <w:marLeft w:val="0"/>
      <w:marRight w:val="0"/>
      <w:marTop w:val="0"/>
      <w:marBottom w:val="0"/>
      <w:divBdr>
        <w:top w:val="none" w:sz="0" w:space="0" w:color="auto"/>
        <w:left w:val="none" w:sz="0" w:space="0" w:color="auto"/>
        <w:bottom w:val="none" w:sz="0" w:space="0" w:color="auto"/>
        <w:right w:val="none" w:sz="0" w:space="0" w:color="auto"/>
      </w:divBdr>
    </w:div>
    <w:div w:id="86272681">
      <w:bodyDiv w:val="1"/>
      <w:marLeft w:val="0"/>
      <w:marRight w:val="0"/>
      <w:marTop w:val="0"/>
      <w:marBottom w:val="0"/>
      <w:divBdr>
        <w:top w:val="none" w:sz="0" w:space="0" w:color="auto"/>
        <w:left w:val="none" w:sz="0" w:space="0" w:color="auto"/>
        <w:bottom w:val="none" w:sz="0" w:space="0" w:color="auto"/>
        <w:right w:val="none" w:sz="0" w:space="0" w:color="auto"/>
      </w:divBdr>
    </w:div>
    <w:div w:id="87888854">
      <w:bodyDiv w:val="1"/>
      <w:marLeft w:val="0"/>
      <w:marRight w:val="0"/>
      <w:marTop w:val="0"/>
      <w:marBottom w:val="0"/>
      <w:divBdr>
        <w:top w:val="none" w:sz="0" w:space="0" w:color="auto"/>
        <w:left w:val="none" w:sz="0" w:space="0" w:color="auto"/>
        <w:bottom w:val="none" w:sz="0" w:space="0" w:color="auto"/>
        <w:right w:val="none" w:sz="0" w:space="0" w:color="auto"/>
      </w:divBdr>
    </w:div>
    <w:div w:id="95180579">
      <w:bodyDiv w:val="1"/>
      <w:marLeft w:val="0"/>
      <w:marRight w:val="0"/>
      <w:marTop w:val="0"/>
      <w:marBottom w:val="0"/>
      <w:divBdr>
        <w:top w:val="none" w:sz="0" w:space="0" w:color="auto"/>
        <w:left w:val="none" w:sz="0" w:space="0" w:color="auto"/>
        <w:bottom w:val="none" w:sz="0" w:space="0" w:color="auto"/>
        <w:right w:val="none" w:sz="0" w:space="0" w:color="auto"/>
      </w:divBdr>
    </w:div>
    <w:div w:id="149251676">
      <w:bodyDiv w:val="1"/>
      <w:marLeft w:val="0"/>
      <w:marRight w:val="0"/>
      <w:marTop w:val="0"/>
      <w:marBottom w:val="0"/>
      <w:divBdr>
        <w:top w:val="none" w:sz="0" w:space="0" w:color="auto"/>
        <w:left w:val="none" w:sz="0" w:space="0" w:color="auto"/>
        <w:bottom w:val="none" w:sz="0" w:space="0" w:color="auto"/>
        <w:right w:val="none" w:sz="0" w:space="0" w:color="auto"/>
      </w:divBdr>
    </w:div>
    <w:div w:id="160127041">
      <w:bodyDiv w:val="1"/>
      <w:marLeft w:val="0"/>
      <w:marRight w:val="0"/>
      <w:marTop w:val="0"/>
      <w:marBottom w:val="0"/>
      <w:divBdr>
        <w:top w:val="none" w:sz="0" w:space="0" w:color="auto"/>
        <w:left w:val="none" w:sz="0" w:space="0" w:color="auto"/>
        <w:bottom w:val="none" w:sz="0" w:space="0" w:color="auto"/>
        <w:right w:val="none" w:sz="0" w:space="0" w:color="auto"/>
      </w:divBdr>
    </w:div>
    <w:div w:id="160660175">
      <w:bodyDiv w:val="1"/>
      <w:marLeft w:val="0"/>
      <w:marRight w:val="0"/>
      <w:marTop w:val="0"/>
      <w:marBottom w:val="0"/>
      <w:divBdr>
        <w:top w:val="none" w:sz="0" w:space="0" w:color="auto"/>
        <w:left w:val="none" w:sz="0" w:space="0" w:color="auto"/>
        <w:bottom w:val="none" w:sz="0" w:space="0" w:color="auto"/>
        <w:right w:val="none" w:sz="0" w:space="0" w:color="auto"/>
      </w:divBdr>
    </w:div>
    <w:div w:id="167066130">
      <w:bodyDiv w:val="1"/>
      <w:marLeft w:val="0"/>
      <w:marRight w:val="0"/>
      <w:marTop w:val="0"/>
      <w:marBottom w:val="0"/>
      <w:divBdr>
        <w:top w:val="none" w:sz="0" w:space="0" w:color="auto"/>
        <w:left w:val="none" w:sz="0" w:space="0" w:color="auto"/>
        <w:bottom w:val="none" w:sz="0" w:space="0" w:color="auto"/>
        <w:right w:val="none" w:sz="0" w:space="0" w:color="auto"/>
      </w:divBdr>
    </w:div>
    <w:div w:id="189341420">
      <w:bodyDiv w:val="1"/>
      <w:marLeft w:val="0"/>
      <w:marRight w:val="0"/>
      <w:marTop w:val="0"/>
      <w:marBottom w:val="0"/>
      <w:divBdr>
        <w:top w:val="none" w:sz="0" w:space="0" w:color="auto"/>
        <w:left w:val="none" w:sz="0" w:space="0" w:color="auto"/>
        <w:bottom w:val="none" w:sz="0" w:space="0" w:color="auto"/>
        <w:right w:val="none" w:sz="0" w:space="0" w:color="auto"/>
      </w:divBdr>
    </w:div>
    <w:div w:id="233200712">
      <w:bodyDiv w:val="1"/>
      <w:marLeft w:val="0"/>
      <w:marRight w:val="0"/>
      <w:marTop w:val="0"/>
      <w:marBottom w:val="0"/>
      <w:divBdr>
        <w:top w:val="none" w:sz="0" w:space="0" w:color="auto"/>
        <w:left w:val="none" w:sz="0" w:space="0" w:color="auto"/>
        <w:bottom w:val="none" w:sz="0" w:space="0" w:color="auto"/>
        <w:right w:val="none" w:sz="0" w:space="0" w:color="auto"/>
      </w:divBdr>
    </w:div>
    <w:div w:id="278999960">
      <w:bodyDiv w:val="1"/>
      <w:marLeft w:val="0"/>
      <w:marRight w:val="0"/>
      <w:marTop w:val="0"/>
      <w:marBottom w:val="0"/>
      <w:divBdr>
        <w:top w:val="none" w:sz="0" w:space="0" w:color="auto"/>
        <w:left w:val="none" w:sz="0" w:space="0" w:color="auto"/>
        <w:bottom w:val="none" w:sz="0" w:space="0" w:color="auto"/>
        <w:right w:val="none" w:sz="0" w:space="0" w:color="auto"/>
      </w:divBdr>
    </w:div>
    <w:div w:id="314065957">
      <w:bodyDiv w:val="1"/>
      <w:marLeft w:val="0"/>
      <w:marRight w:val="0"/>
      <w:marTop w:val="0"/>
      <w:marBottom w:val="0"/>
      <w:divBdr>
        <w:top w:val="none" w:sz="0" w:space="0" w:color="auto"/>
        <w:left w:val="none" w:sz="0" w:space="0" w:color="auto"/>
        <w:bottom w:val="none" w:sz="0" w:space="0" w:color="auto"/>
        <w:right w:val="none" w:sz="0" w:space="0" w:color="auto"/>
      </w:divBdr>
    </w:div>
    <w:div w:id="325983899">
      <w:bodyDiv w:val="1"/>
      <w:marLeft w:val="0"/>
      <w:marRight w:val="0"/>
      <w:marTop w:val="0"/>
      <w:marBottom w:val="0"/>
      <w:divBdr>
        <w:top w:val="none" w:sz="0" w:space="0" w:color="auto"/>
        <w:left w:val="none" w:sz="0" w:space="0" w:color="auto"/>
        <w:bottom w:val="none" w:sz="0" w:space="0" w:color="auto"/>
        <w:right w:val="none" w:sz="0" w:space="0" w:color="auto"/>
      </w:divBdr>
    </w:div>
    <w:div w:id="338508520">
      <w:bodyDiv w:val="1"/>
      <w:marLeft w:val="0"/>
      <w:marRight w:val="0"/>
      <w:marTop w:val="0"/>
      <w:marBottom w:val="0"/>
      <w:divBdr>
        <w:top w:val="none" w:sz="0" w:space="0" w:color="auto"/>
        <w:left w:val="none" w:sz="0" w:space="0" w:color="auto"/>
        <w:bottom w:val="none" w:sz="0" w:space="0" w:color="auto"/>
        <w:right w:val="none" w:sz="0" w:space="0" w:color="auto"/>
      </w:divBdr>
    </w:div>
    <w:div w:id="345836498">
      <w:bodyDiv w:val="1"/>
      <w:marLeft w:val="0"/>
      <w:marRight w:val="0"/>
      <w:marTop w:val="0"/>
      <w:marBottom w:val="0"/>
      <w:divBdr>
        <w:top w:val="none" w:sz="0" w:space="0" w:color="auto"/>
        <w:left w:val="none" w:sz="0" w:space="0" w:color="auto"/>
        <w:bottom w:val="none" w:sz="0" w:space="0" w:color="auto"/>
        <w:right w:val="none" w:sz="0" w:space="0" w:color="auto"/>
      </w:divBdr>
    </w:div>
    <w:div w:id="348024590">
      <w:bodyDiv w:val="1"/>
      <w:marLeft w:val="0"/>
      <w:marRight w:val="0"/>
      <w:marTop w:val="0"/>
      <w:marBottom w:val="0"/>
      <w:divBdr>
        <w:top w:val="none" w:sz="0" w:space="0" w:color="auto"/>
        <w:left w:val="none" w:sz="0" w:space="0" w:color="auto"/>
        <w:bottom w:val="none" w:sz="0" w:space="0" w:color="auto"/>
        <w:right w:val="none" w:sz="0" w:space="0" w:color="auto"/>
      </w:divBdr>
    </w:div>
    <w:div w:id="358898839">
      <w:bodyDiv w:val="1"/>
      <w:marLeft w:val="0"/>
      <w:marRight w:val="0"/>
      <w:marTop w:val="0"/>
      <w:marBottom w:val="0"/>
      <w:divBdr>
        <w:top w:val="none" w:sz="0" w:space="0" w:color="auto"/>
        <w:left w:val="none" w:sz="0" w:space="0" w:color="auto"/>
        <w:bottom w:val="none" w:sz="0" w:space="0" w:color="auto"/>
        <w:right w:val="none" w:sz="0" w:space="0" w:color="auto"/>
      </w:divBdr>
    </w:div>
    <w:div w:id="371998991">
      <w:bodyDiv w:val="1"/>
      <w:marLeft w:val="0"/>
      <w:marRight w:val="0"/>
      <w:marTop w:val="0"/>
      <w:marBottom w:val="0"/>
      <w:divBdr>
        <w:top w:val="none" w:sz="0" w:space="0" w:color="auto"/>
        <w:left w:val="none" w:sz="0" w:space="0" w:color="auto"/>
        <w:bottom w:val="none" w:sz="0" w:space="0" w:color="auto"/>
        <w:right w:val="none" w:sz="0" w:space="0" w:color="auto"/>
      </w:divBdr>
    </w:div>
    <w:div w:id="435366420">
      <w:bodyDiv w:val="1"/>
      <w:marLeft w:val="0"/>
      <w:marRight w:val="0"/>
      <w:marTop w:val="0"/>
      <w:marBottom w:val="0"/>
      <w:divBdr>
        <w:top w:val="none" w:sz="0" w:space="0" w:color="auto"/>
        <w:left w:val="none" w:sz="0" w:space="0" w:color="auto"/>
        <w:bottom w:val="none" w:sz="0" w:space="0" w:color="auto"/>
        <w:right w:val="none" w:sz="0" w:space="0" w:color="auto"/>
      </w:divBdr>
    </w:div>
    <w:div w:id="439955438">
      <w:bodyDiv w:val="1"/>
      <w:marLeft w:val="0"/>
      <w:marRight w:val="0"/>
      <w:marTop w:val="0"/>
      <w:marBottom w:val="0"/>
      <w:divBdr>
        <w:top w:val="none" w:sz="0" w:space="0" w:color="auto"/>
        <w:left w:val="none" w:sz="0" w:space="0" w:color="auto"/>
        <w:bottom w:val="none" w:sz="0" w:space="0" w:color="auto"/>
        <w:right w:val="none" w:sz="0" w:space="0" w:color="auto"/>
      </w:divBdr>
    </w:div>
    <w:div w:id="452020064">
      <w:bodyDiv w:val="1"/>
      <w:marLeft w:val="0"/>
      <w:marRight w:val="0"/>
      <w:marTop w:val="0"/>
      <w:marBottom w:val="0"/>
      <w:divBdr>
        <w:top w:val="none" w:sz="0" w:space="0" w:color="auto"/>
        <w:left w:val="none" w:sz="0" w:space="0" w:color="auto"/>
        <w:bottom w:val="none" w:sz="0" w:space="0" w:color="auto"/>
        <w:right w:val="none" w:sz="0" w:space="0" w:color="auto"/>
      </w:divBdr>
    </w:div>
    <w:div w:id="476217144">
      <w:bodyDiv w:val="1"/>
      <w:marLeft w:val="0"/>
      <w:marRight w:val="0"/>
      <w:marTop w:val="0"/>
      <w:marBottom w:val="0"/>
      <w:divBdr>
        <w:top w:val="none" w:sz="0" w:space="0" w:color="auto"/>
        <w:left w:val="none" w:sz="0" w:space="0" w:color="auto"/>
        <w:bottom w:val="none" w:sz="0" w:space="0" w:color="auto"/>
        <w:right w:val="none" w:sz="0" w:space="0" w:color="auto"/>
      </w:divBdr>
    </w:div>
    <w:div w:id="530844638">
      <w:bodyDiv w:val="1"/>
      <w:marLeft w:val="0"/>
      <w:marRight w:val="0"/>
      <w:marTop w:val="0"/>
      <w:marBottom w:val="0"/>
      <w:divBdr>
        <w:top w:val="none" w:sz="0" w:space="0" w:color="auto"/>
        <w:left w:val="none" w:sz="0" w:space="0" w:color="auto"/>
        <w:bottom w:val="none" w:sz="0" w:space="0" w:color="auto"/>
        <w:right w:val="none" w:sz="0" w:space="0" w:color="auto"/>
      </w:divBdr>
    </w:div>
    <w:div w:id="553124300">
      <w:bodyDiv w:val="1"/>
      <w:marLeft w:val="0"/>
      <w:marRight w:val="0"/>
      <w:marTop w:val="0"/>
      <w:marBottom w:val="0"/>
      <w:divBdr>
        <w:top w:val="none" w:sz="0" w:space="0" w:color="auto"/>
        <w:left w:val="none" w:sz="0" w:space="0" w:color="auto"/>
        <w:bottom w:val="none" w:sz="0" w:space="0" w:color="auto"/>
        <w:right w:val="none" w:sz="0" w:space="0" w:color="auto"/>
      </w:divBdr>
    </w:div>
    <w:div w:id="588074982">
      <w:bodyDiv w:val="1"/>
      <w:marLeft w:val="0"/>
      <w:marRight w:val="0"/>
      <w:marTop w:val="0"/>
      <w:marBottom w:val="0"/>
      <w:divBdr>
        <w:top w:val="none" w:sz="0" w:space="0" w:color="auto"/>
        <w:left w:val="none" w:sz="0" w:space="0" w:color="auto"/>
        <w:bottom w:val="none" w:sz="0" w:space="0" w:color="auto"/>
        <w:right w:val="none" w:sz="0" w:space="0" w:color="auto"/>
      </w:divBdr>
    </w:div>
    <w:div w:id="589510035">
      <w:bodyDiv w:val="1"/>
      <w:marLeft w:val="0"/>
      <w:marRight w:val="0"/>
      <w:marTop w:val="0"/>
      <w:marBottom w:val="0"/>
      <w:divBdr>
        <w:top w:val="none" w:sz="0" w:space="0" w:color="auto"/>
        <w:left w:val="none" w:sz="0" w:space="0" w:color="auto"/>
        <w:bottom w:val="none" w:sz="0" w:space="0" w:color="auto"/>
        <w:right w:val="none" w:sz="0" w:space="0" w:color="auto"/>
      </w:divBdr>
    </w:div>
    <w:div w:id="591092254">
      <w:bodyDiv w:val="1"/>
      <w:marLeft w:val="0"/>
      <w:marRight w:val="0"/>
      <w:marTop w:val="0"/>
      <w:marBottom w:val="0"/>
      <w:divBdr>
        <w:top w:val="none" w:sz="0" w:space="0" w:color="auto"/>
        <w:left w:val="none" w:sz="0" w:space="0" w:color="auto"/>
        <w:bottom w:val="none" w:sz="0" w:space="0" w:color="auto"/>
        <w:right w:val="none" w:sz="0" w:space="0" w:color="auto"/>
      </w:divBdr>
    </w:div>
    <w:div w:id="621152821">
      <w:bodyDiv w:val="1"/>
      <w:marLeft w:val="0"/>
      <w:marRight w:val="0"/>
      <w:marTop w:val="0"/>
      <w:marBottom w:val="0"/>
      <w:divBdr>
        <w:top w:val="none" w:sz="0" w:space="0" w:color="auto"/>
        <w:left w:val="none" w:sz="0" w:space="0" w:color="auto"/>
        <w:bottom w:val="none" w:sz="0" w:space="0" w:color="auto"/>
        <w:right w:val="none" w:sz="0" w:space="0" w:color="auto"/>
      </w:divBdr>
    </w:div>
    <w:div w:id="640963619">
      <w:bodyDiv w:val="1"/>
      <w:marLeft w:val="0"/>
      <w:marRight w:val="0"/>
      <w:marTop w:val="0"/>
      <w:marBottom w:val="0"/>
      <w:divBdr>
        <w:top w:val="none" w:sz="0" w:space="0" w:color="auto"/>
        <w:left w:val="none" w:sz="0" w:space="0" w:color="auto"/>
        <w:bottom w:val="none" w:sz="0" w:space="0" w:color="auto"/>
        <w:right w:val="none" w:sz="0" w:space="0" w:color="auto"/>
      </w:divBdr>
    </w:div>
    <w:div w:id="668337802">
      <w:bodyDiv w:val="1"/>
      <w:marLeft w:val="0"/>
      <w:marRight w:val="0"/>
      <w:marTop w:val="0"/>
      <w:marBottom w:val="0"/>
      <w:divBdr>
        <w:top w:val="none" w:sz="0" w:space="0" w:color="auto"/>
        <w:left w:val="none" w:sz="0" w:space="0" w:color="auto"/>
        <w:bottom w:val="none" w:sz="0" w:space="0" w:color="auto"/>
        <w:right w:val="none" w:sz="0" w:space="0" w:color="auto"/>
      </w:divBdr>
    </w:div>
    <w:div w:id="740174874">
      <w:bodyDiv w:val="1"/>
      <w:marLeft w:val="0"/>
      <w:marRight w:val="0"/>
      <w:marTop w:val="0"/>
      <w:marBottom w:val="0"/>
      <w:divBdr>
        <w:top w:val="none" w:sz="0" w:space="0" w:color="auto"/>
        <w:left w:val="none" w:sz="0" w:space="0" w:color="auto"/>
        <w:bottom w:val="none" w:sz="0" w:space="0" w:color="auto"/>
        <w:right w:val="none" w:sz="0" w:space="0" w:color="auto"/>
      </w:divBdr>
    </w:div>
    <w:div w:id="771046267">
      <w:bodyDiv w:val="1"/>
      <w:marLeft w:val="0"/>
      <w:marRight w:val="0"/>
      <w:marTop w:val="0"/>
      <w:marBottom w:val="0"/>
      <w:divBdr>
        <w:top w:val="none" w:sz="0" w:space="0" w:color="auto"/>
        <w:left w:val="none" w:sz="0" w:space="0" w:color="auto"/>
        <w:bottom w:val="none" w:sz="0" w:space="0" w:color="auto"/>
        <w:right w:val="none" w:sz="0" w:space="0" w:color="auto"/>
      </w:divBdr>
    </w:div>
    <w:div w:id="775173831">
      <w:bodyDiv w:val="1"/>
      <w:marLeft w:val="0"/>
      <w:marRight w:val="0"/>
      <w:marTop w:val="0"/>
      <w:marBottom w:val="0"/>
      <w:divBdr>
        <w:top w:val="none" w:sz="0" w:space="0" w:color="auto"/>
        <w:left w:val="none" w:sz="0" w:space="0" w:color="auto"/>
        <w:bottom w:val="none" w:sz="0" w:space="0" w:color="auto"/>
        <w:right w:val="none" w:sz="0" w:space="0" w:color="auto"/>
      </w:divBdr>
    </w:div>
    <w:div w:id="780028471">
      <w:bodyDiv w:val="1"/>
      <w:marLeft w:val="0"/>
      <w:marRight w:val="0"/>
      <w:marTop w:val="0"/>
      <w:marBottom w:val="0"/>
      <w:divBdr>
        <w:top w:val="none" w:sz="0" w:space="0" w:color="auto"/>
        <w:left w:val="none" w:sz="0" w:space="0" w:color="auto"/>
        <w:bottom w:val="none" w:sz="0" w:space="0" w:color="auto"/>
        <w:right w:val="none" w:sz="0" w:space="0" w:color="auto"/>
      </w:divBdr>
    </w:div>
    <w:div w:id="789544649">
      <w:bodyDiv w:val="1"/>
      <w:marLeft w:val="0"/>
      <w:marRight w:val="0"/>
      <w:marTop w:val="0"/>
      <w:marBottom w:val="0"/>
      <w:divBdr>
        <w:top w:val="none" w:sz="0" w:space="0" w:color="auto"/>
        <w:left w:val="none" w:sz="0" w:space="0" w:color="auto"/>
        <w:bottom w:val="none" w:sz="0" w:space="0" w:color="auto"/>
        <w:right w:val="none" w:sz="0" w:space="0" w:color="auto"/>
      </w:divBdr>
    </w:div>
    <w:div w:id="797334917">
      <w:bodyDiv w:val="1"/>
      <w:marLeft w:val="0"/>
      <w:marRight w:val="0"/>
      <w:marTop w:val="0"/>
      <w:marBottom w:val="0"/>
      <w:divBdr>
        <w:top w:val="none" w:sz="0" w:space="0" w:color="auto"/>
        <w:left w:val="none" w:sz="0" w:space="0" w:color="auto"/>
        <w:bottom w:val="none" w:sz="0" w:space="0" w:color="auto"/>
        <w:right w:val="none" w:sz="0" w:space="0" w:color="auto"/>
      </w:divBdr>
    </w:div>
    <w:div w:id="821430106">
      <w:bodyDiv w:val="1"/>
      <w:marLeft w:val="0"/>
      <w:marRight w:val="0"/>
      <w:marTop w:val="0"/>
      <w:marBottom w:val="0"/>
      <w:divBdr>
        <w:top w:val="none" w:sz="0" w:space="0" w:color="auto"/>
        <w:left w:val="none" w:sz="0" w:space="0" w:color="auto"/>
        <w:bottom w:val="none" w:sz="0" w:space="0" w:color="auto"/>
        <w:right w:val="none" w:sz="0" w:space="0" w:color="auto"/>
      </w:divBdr>
    </w:div>
    <w:div w:id="844590973">
      <w:bodyDiv w:val="1"/>
      <w:marLeft w:val="0"/>
      <w:marRight w:val="0"/>
      <w:marTop w:val="0"/>
      <w:marBottom w:val="0"/>
      <w:divBdr>
        <w:top w:val="none" w:sz="0" w:space="0" w:color="auto"/>
        <w:left w:val="none" w:sz="0" w:space="0" w:color="auto"/>
        <w:bottom w:val="none" w:sz="0" w:space="0" w:color="auto"/>
        <w:right w:val="none" w:sz="0" w:space="0" w:color="auto"/>
      </w:divBdr>
    </w:div>
    <w:div w:id="872428360">
      <w:bodyDiv w:val="1"/>
      <w:marLeft w:val="0"/>
      <w:marRight w:val="0"/>
      <w:marTop w:val="0"/>
      <w:marBottom w:val="0"/>
      <w:divBdr>
        <w:top w:val="none" w:sz="0" w:space="0" w:color="auto"/>
        <w:left w:val="none" w:sz="0" w:space="0" w:color="auto"/>
        <w:bottom w:val="none" w:sz="0" w:space="0" w:color="auto"/>
        <w:right w:val="none" w:sz="0" w:space="0" w:color="auto"/>
      </w:divBdr>
    </w:div>
    <w:div w:id="876351365">
      <w:bodyDiv w:val="1"/>
      <w:marLeft w:val="0"/>
      <w:marRight w:val="0"/>
      <w:marTop w:val="0"/>
      <w:marBottom w:val="0"/>
      <w:divBdr>
        <w:top w:val="none" w:sz="0" w:space="0" w:color="auto"/>
        <w:left w:val="none" w:sz="0" w:space="0" w:color="auto"/>
        <w:bottom w:val="none" w:sz="0" w:space="0" w:color="auto"/>
        <w:right w:val="none" w:sz="0" w:space="0" w:color="auto"/>
      </w:divBdr>
    </w:div>
    <w:div w:id="891886563">
      <w:bodyDiv w:val="1"/>
      <w:marLeft w:val="0"/>
      <w:marRight w:val="0"/>
      <w:marTop w:val="0"/>
      <w:marBottom w:val="0"/>
      <w:divBdr>
        <w:top w:val="none" w:sz="0" w:space="0" w:color="auto"/>
        <w:left w:val="none" w:sz="0" w:space="0" w:color="auto"/>
        <w:bottom w:val="none" w:sz="0" w:space="0" w:color="auto"/>
        <w:right w:val="none" w:sz="0" w:space="0" w:color="auto"/>
      </w:divBdr>
    </w:div>
    <w:div w:id="898594469">
      <w:bodyDiv w:val="1"/>
      <w:marLeft w:val="0"/>
      <w:marRight w:val="0"/>
      <w:marTop w:val="0"/>
      <w:marBottom w:val="0"/>
      <w:divBdr>
        <w:top w:val="none" w:sz="0" w:space="0" w:color="auto"/>
        <w:left w:val="none" w:sz="0" w:space="0" w:color="auto"/>
        <w:bottom w:val="none" w:sz="0" w:space="0" w:color="auto"/>
        <w:right w:val="none" w:sz="0" w:space="0" w:color="auto"/>
      </w:divBdr>
    </w:div>
    <w:div w:id="950472185">
      <w:bodyDiv w:val="1"/>
      <w:marLeft w:val="0"/>
      <w:marRight w:val="0"/>
      <w:marTop w:val="0"/>
      <w:marBottom w:val="0"/>
      <w:divBdr>
        <w:top w:val="none" w:sz="0" w:space="0" w:color="auto"/>
        <w:left w:val="none" w:sz="0" w:space="0" w:color="auto"/>
        <w:bottom w:val="none" w:sz="0" w:space="0" w:color="auto"/>
        <w:right w:val="none" w:sz="0" w:space="0" w:color="auto"/>
      </w:divBdr>
    </w:div>
    <w:div w:id="972826269">
      <w:bodyDiv w:val="1"/>
      <w:marLeft w:val="0"/>
      <w:marRight w:val="0"/>
      <w:marTop w:val="0"/>
      <w:marBottom w:val="0"/>
      <w:divBdr>
        <w:top w:val="none" w:sz="0" w:space="0" w:color="auto"/>
        <w:left w:val="none" w:sz="0" w:space="0" w:color="auto"/>
        <w:bottom w:val="none" w:sz="0" w:space="0" w:color="auto"/>
        <w:right w:val="none" w:sz="0" w:space="0" w:color="auto"/>
      </w:divBdr>
    </w:div>
    <w:div w:id="972948968">
      <w:bodyDiv w:val="1"/>
      <w:marLeft w:val="0"/>
      <w:marRight w:val="0"/>
      <w:marTop w:val="0"/>
      <w:marBottom w:val="0"/>
      <w:divBdr>
        <w:top w:val="none" w:sz="0" w:space="0" w:color="auto"/>
        <w:left w:val="none" w:sz="0" w:space="0" w:color="auto"/>
        <w:bottom w:val="none" w:sz="0" w:space="0" w:color="auto"/>
        <w:right w:val="none" w:sz="0" w:space="0" w:color="auto"/>
      </w:divBdr>
    </w:div>
    <w:div w:id="979266710">
      <w:bodyDiv w:val="1"/>
      <w:marLeft w:val="0"/>
      <w:marRight w:val="0"/>
      <w:marTop w:val="0"/>
      <w:marBottom w:val="0"/>
      <w:divBdr>
        <w:top w:val="none" w:sz="0" w:space="0" w:color="auto"/>
        <w:left w:val="none" w:sz="0" w:space="0" w:color="auto"/>
        <w:bottom w:val="none" w:sz="0" w:space="0" w:color="auto"/>
        <w:right w:val="none" w:sz="0" w:space="0" w:color="auto"/>
      </w:divBdr>
    </w:div>
    <w:div w:id="992945890">
      <w:bodyDiv w:val="1"/>
      <w:marLeft w:val="0"/>
      <w:marRight w:val="0"/>
      <w:marTop w:val="0"/>
      <w:marBottom w:val="0"/>
      <w:divBdr>
        <w:top w:val="none" w:sz="0" w:space="0" w:color="auto"/>
        <w:left w:val="none" w:sz="0" w:space="0" w:color="auto"/>
        <w:bottom w:val="none" w:sz="0" w:space="0" w:color="auto"/>
        <w:right w:val="none" w:sz="0" w:space="0" w:color="auto"/>
      </w:divBdr>
    </w:div>
    <w:div w:id="997730641">
      <w:bodyDiv w:val="1"/>
      <w:marLeft w:val="0"/>
      <w:marRight w:val="0"/>
      <w:marTop w:val="0"/>
      <w:marBottom w:val="0"/>
      <w:divBdr>
        <w:top w:val="none" w:sz="0" w:space="0" w:color="auto"/>
        <w:left w:val="none" w:sz="0" w:space="0" w:color="auto"/>
        <w:bottom w:val="none" w:sz="0" w:space="0" w:color="auto"/>
        <w:right w:val="none" w:sz="0" w:space="0" w:color="auto"/>
      </w:divBdr>
    </w:div>
    <w:div w:id="1011958373">
      <w:bodyDiv w:val="1"/>
      <w:marLeft w:val="0"/>
      <w:marRight w:val="0"/>
      <w:marTop w:val="0"/>
      <w:marBottom w:val="0"/>
      <w:divBdr>
        <w:top w:val="none" w:sz="0" w:space="0" w:color="auto"/>
        <w:left w:val="none" w:sz="0" w:space="0" w:color="auto"/>
        <w:bottom w:val="none" w:sz="0" w:space="0" w:color="auto"/>
        <w:right w:val="none" w:sz="0" w:space="0" w:color="auto"/>
      </w:divBdr>
    </w:div>
    <w:div w:id="1016538440">
      <w:bodyDiv w:val="1"/>
      <w:marLeft w:val="0"/>
      <w:marRight w:val="0"/>
      <w:marTop w:val="0"/>
      <w:marBottom w:val="0"/>
      <w:divBdr>
        <w:top w:val="none" w:sz="0" w:space="0" w:color="auto"/>
        <w:left w:val="none" w:sz="0" w:space="0" w:color="auto"/>
        <w:bottom w:val="none" w:sz="0" w:space="0" w:color="auto"/>
        <w:right w:val="none" w:sz="0" w:space="0" w:color="auto"/>
      </w:divBdr>
    </w:div>
    <w:div w:id="1035615260">
      <w:bodyDiv w:val="1"/>
      <w:marLeft w:val="0"/>
      <w:marRight w:val="0"/>
      <w:marTop w:val="0"/>
      <w:marBottom w:val="0"/>
      <w:divBdr>
        <w:top w:val="none" w:sz="0" w:space="0" w:color="auto"/>
        <w:left w:val="none" w:sz="0" w:space="0" w:color="auto"/>
        <w:bottom w:val="none" w:sz="0" w:space="0" w:color="auto"/>
        <w:right w:val="none" w:sz="0" w:space="0" w:color="auto"/>
      </w:divBdr>
    </w:div>
    <w:div w:id="1055356736">
      <w:bodyDiv w:val="1"/>
      <w:marLeft w:val="0"/>
      <w:marRight w:val="0"/>
      <w:marTop w:val="0"/>
      <w:marBottom w:val="0"/>
      <w:divBdr>
        <w:top w:val="none" w:sz="0" w:space="0" w:color="auto"/>
        <w:left w:val="none" w:sz="0" w:space="0" w:color="auto"/>
        <w:bottom w:val="none" w:sz="0" w:space="0" w:color="auto"/>
        <w:right w:val="none" w:sz="0" w:space="0" w:color="auto"/>
      </w:divBdr>
    </w:div>
    <w:div w:id="1080562308">
      <w:bodyDiv w:val="1"/>
      <w:marLeft w:val="0"/>
      <w:marRight w:val="0"/>
      <w:marTop w:val="0"/>
      <w:marBottom w:val="0"/>
      <w:divBdr>
        <w:top w:val="none" w:sz="0" w:space="0" w:color="auto"/>
        <w:left w:val="none" w:sz="0" w:space="0" w:color="auto"/>
        <w:bottom w:val="none" w:sz="0" w:space="0" w:color="auto"/>
        <w:right w:val="none" w:sz="0" w:space="0" w:color="auto"/>
      </w:divBdr>
      <w:divsChild>
        <w:div w:id="1038434957">
          <w:marLeft w:val="0"/>
          <w:marRight w:val="0"/>
          <w:marTop w:val="0"/>
          <w:marBottom w:val="0"/>
          <w:divBdr>
            <w:top w:val="none" w:sz="0" w:space="0" w:color="auto"/>
            <w:left w:val="none" w:sz="0" w:space="0" w:color="auto"/>
            <w:bottom w:val="none" w:sz="0" w:space="0" w:color="auto"/>
            <w:right w:val="none" w:sz="0" w:space="0" w:color="auto"/>
          </w:divBdr>
        </w:div>
      </w:divsChild>
    </w:div>
    <w:div w:id="1087460568">
      <w:bodyDiv w:val="1"/>
      <w:marLeft w:val="0"/>
      <w:marRight w:val="0"/>
      <w:marTop w:val="0"/>
      <w:marBottom w:val="0"/>
      <w:divBdr>
        <w:top w:val="none" w:sz="0" w:space="0" w:color="auto"/>
        <w:left w:val="none" w:sz="0" w:space="0" w:color="auto"/>
        <w:bottom w:val="none" w:sz="0" w:space="0" w:color="auto"/>
        <w:right w:val="none" w:sz="0" w:space="0" w:color="auto"/>
      </w:divBdr>
    </w:div>
    <w:div w:id="1133139009">
      <w:bodyDiv w:val="1"/>
      <w:marLeft w:val="0"/>
      <w:marRight w:val="0"/>
      <w:marTop w:val="0"/>
      <w:marBottom w:val="0"/>
      <w:divBdr>
        <w:top w:val="none" w:sz="0" w:space="0" w:color="auto"/>
        <w:left w:val="none" w:sz="0" w:space="0" w:color="auto"/>
        <w:bottom w:val="none" w:sz="0" w:space="0" w:color="auto"/>
        <w:right w:val="none" w:sz="0" w:space="0" w:color="auto"/>
      </w:divBdr>
    </w:div>
    <w:div w:id="1145731771">
      <w:bodyDiv w:val="1"/>
      <w:marLeft w:val="0"/>
      <w:marRight w:val="0"/>
      <w:marTop w:val="0"/>
      <w:marBottom w:val="0"/>
      <w:divBdr>
        <w:top w:val="none" w:sz="0" w:space="0" w:color="auto"/>
        <w:left w:val="none" w:sz="0" w:space="0" w:color="auto"/>
        <w:bottom w:val="none" w:sz="0" w:space="0" w:color="auto"/>
        <w:right w:val="none" w:sz="0" w:space="0" w:color="auto"/>
      </w:divBdr>
    </w:div>
    <w:div w:id="1172447068">
      <w:bodyDiv w:val="1"/>
      <w:marLeft w:val="0"/>
      <w:marRight w:val="0"/>
      <w:marTop w:val="0"/>
      <w:marBottom w:val="0"/>
      <w:divBdr>
        <w:top w:val="none" w:sz="0" w:space="0" w:color="auto"/>
        <w:left w:val="none" w:sz="0" w:space="0" w:color="auto"/>
        <w:bottom w:val="none" w:sz="0" w:space="0" w:color="auto"/>
        <w:right w:val="none" w:sz="0" w:space="0" w:color="auto"/>
      </w:divBdr>
    </w:div>
    <w:div w:id="1178885176">
      <w:bodyDiv w:val="1"/>
      <w:marLeft w:val="0"/>
      <w:marRight w:val="0"/>
      <w:marTop w:val="0"/>
      <w:marBottom w:val="0"/>
      <w:divBdr>
        <w:top w:val="none" w:sz="0" w:space="0" w:color="auto"/>
        <w:left w:val="none" w:sz="0" w:space="0" w:color="auto"/>
        <w:bottom w:val="none" w:sz="0" w:space="0" w:color="auto"/>
        <w:right w:val="none" w:sz="0" w:space="0" w:color="auto"/>
      </w:divBdr>
    </w:div>
    <w:div w:id="1207524990">
      <w:bodyDiv w:val="1"/>
      <w:marLeft w:val="0"/>
      <w:marRight w:val="0"/>
      <w:marTop w:val="0"/>
      <w:marBottom w:val="0"/>
      <w:divBdr>
        <w:top w:val="none" w:sz="0" w:space="0" w:color="auto"/>
        <w:left w:val="none" w:sz="0" w:space="0" w:color="auto"/>
        <w:bottom w:val="none" w:sz="0" w:space="0" w:color="auto"/>
        <w:right w:val="none" w:sz="0" w:space="0" w:color="auto"/>
      </w:divBdr>
    </w:div>
    <w:div w:id="1241057444">
      <w:bodyDiv w:val="1"/>
      <w:marLeft w:val="0"/>
      <w:marRight w:val="0"/>
      <w:marTop w:val="0"/>
      <w:marBottom w:val="0"/>
      <w:divBdr>
        <w:top w:val="none" w:sz="0" w:space="0" w:color="auto"/>
        <w:left w:val="none" w:sz="0" w:space="0" w:color="auto"/>
        <w:bottom w:val="none" w:sz="0" w:space="0" w:color="auto"/>
        <w:right w:val="none" w:sz="0" w:space="0" w:color="auto"/>
      </w:divBdr>
      <w:divsChild>
        <w:div w:id="1205143210">
          <w:marLeft w:val="0"/>
          <w:marRight w:val="0"/>
          <w:marTop w:val="0"/>
          <w:marBottom w:val="0"/>
          <w:divBdr>
            <w:top w:val="none" w:sz="0" w:space="0" w:color="auto"/>
            <w:left w:val="none" w:sz="0" w:space="0" w:color="auto"/>
            <w:bottom w:val="none" w:sz="0" w:space="0" w:color="auto"/>
            <w:right w:val="none" w:sz="0" w:space="0" w:color="auto"/>
          </w:divBdr>
        </w:div>
      </w:divsChild>
    </w:div>
    <w:div w:id="1270624843">
      <w:bodyDiv w:val="1"/>
      <w:marLeft w:val="0"/>
      <w:marRight w:val="0"/>
      <w:marTop w:val="0"/>
      <w:marBottom w:val="0"/>
      <w:divBdr>
        <w:top w:val="none" w:sz="0" w:space="0" w:color="auto"/>
        <w:left w:val="none" w:sz="0" w:space="0" w:color="auto"/>
        <w:bottom w:val="none" w:sz="0" w:space="0" w:color="auto"/>
        <w:right w:val="none" w:sz="0" w:space="0" w:color="auto"/>
      </w:divBdr>
    </w:div>
    <w:div w:id="1271283166">
      <w:bodyDiv w:val="1"/>
      <w:marLeft w:val="0"/>
      <w:marRight w:val="0"/>
      <w:marTop w:val="0"/>
      <w:marBottom w:val="0"/>
      <w:divBdr>
        <w:top w:val="none" w:sz="0" w:space="0" w:color="auto"/>
        <w:left w:val="none" w:sz="0" w:space="0" w:color="auto"/>
        <w:bottom w:val="none" w:sz="0" w:space="0" w:color="auto"/>
        <w:right w:val="none" w:sz="0" w:space="0" w:color="auto"/>
      </w:divBdr>
    </w:div>
    <w:div w:id="1301227901">
      <w:bodyDiv w:val="1"/>
      <w:marLeft w:val="0"/>
      <w:marRight w:val="0"/>
      <w:marTop w:val="0"/>
      <w:marBottom w:val="0"/>
      <w:divBdr>
        <w:top w:val="none" w:sz="0" w:space="0" w:color="auto"/>
        <w:left w:val="none" w:sz="0" w:space="0" w:color="auto"/>
        <w:bottom w:val="none" w:sz="0" w:space="0" w:color="auto"/>
        <w:right w:val="none" w:sz="0" w:space="0" w:color="auto"/>
      </w:divBdr>
      <w:divsChild>
        <w:div w:id="2040274903">
          <w:marLeft w:val="0"/>
          <w:marRight w:val="0"/>
          <w:marTop w:val="0"/>
          <w:marBottom w:val="0"/>
          <w:divBdr>
            <w:top w:val="none" w:sz="0" w:space="0" w:color="auto"/>
            <w:left w:val="none" w:sz="0" w:space="0" w:color="auto"/>
            <w:bottom w:val="none" w:sz="0" w:space="0" w:color="auto"/>
            <w:right w:val="none" w:sz="0" w:space="0" w:color="auto"/>
          </w:divBdr>
        </w:div>
      </w:divsChild>
    </w:div>
    <w:div w:id="1323311998">
      <w:bodyDiv w:val="1"/>
      <w:marLeft w:val="0"/>
      <w:marRight w:val="0"/>
      <w:marTop w:val="0"/>
      <w:marBottom w:val="0"/>
      <w:divBdr>
        <w:top w:val="none" w:sz="0" w:space="0" w:color="auto"/>
        <w:left w:val="none" w:sz="0" w:space="0" w:color="auto"/>
        <w:bottom w:val="none" w:sz="0" w:space="0" w:color="auto"/>
        <w:right w:val="none" w:sz="0" w:space="0" w:color="auto"/>
      </w:divBdr>
    </w:div>
    <w:div w:id="1343244032">
      <w:bodyDiv w:val="1"/>
      <w:marLeft w:val="0"/>
      <w:marRight w:val="0"/>
      <w:marTop w:val="0"/>
      <w:marBottom w:val="0"/>
      <w:divBdr>
        <w:top w:val="none" w:sz="0" w:space="0" w:color="auto"/>
        <w:left w:val="none" w:sz="0" w:space="0" w:color="auto"/>
        <w:bottom w:val="none" w:sz="0" w:space="0" w:color="auto"/>
        <w:right w:val="none" w:sz="0" w:space="0" w:color="auto"/>
      </w:divBdr>
    </w:div>
    <w:div w:id="1349336026">
      <w:bodyDiv w:val="1"/>
      <w:marLeft w:val="0"/>
      <w:marRight w:val="0"/>
      <w:marTop w:val="0"/>
      <w:marBottom w:val="0"/>
      <w:divBdr>
        <w:top w:val="none" w:sz="0" w:space="0" w:color="auto"/>
        <w:left w:val="none" w:sz="0" w:space="0" w:color="auto"/>
        <w:bottom w:val="none" w:sz="0" w:space="0" w:color="auto"/>
        <w:right w:val="none" w:sz="0" w:space="0" w:color="auto"/>
      </w:divBdr>
    </w:div>
    <w:div w:id="1413772866">
      <w:bodyDiv w:val="1"/>
      <w:marLeft w:val="0"/>
      <w:marRight w:val="0"/>
      <w:marTop w:val="0"/>
      <w:marBottom w:val="0"/>
      <w:divBdr>
        <w:top w:val="none" w:sz="0" w:space="0" w:color="auto"/>
        <w:left w:val="none" w:sz="0" w:space="0" w:color="auto"/>
        <w:bottom w:val="none" w:sz="0" w:space="0" w:color="auto"/>
        <w:right w:val="none" w:sz="0" w:space="0" w:color="auto"/>
      </w:divBdr>
    </w:div>
    <w:div w:id="1422919376">
      <w:bodyDiv w:val="1"/>
      <w:marLeft w:val="0"/>
      <w:marRight w:val="0"/>
      <w:marTop w:val="0"/>
      <w:marBottom w:val="0"/>
      <w:divBdr>
        <w:top w:val="none" w:sz="0" w:space="0" w:color="auto"/>
        <w:left w:val="none" w:sz="0" w:space="0" w:color="auto"/>
        <w:bottom w:val="none" w:sz="0" w:space="0" w:color="auto"/>
        <w:right w:val="none" w:sz="0" w:space="0" w:color="auto"/>
      </w:divBdr>
    </w:div>
    <w:div w:id="1464885578">
      <w:bodyDiv w:val="1"/>
      <w:marLeft w:val="0"/>
      <w:marRight w:val="0"/>
      <w:marTop w:val="0"/>
      <w:marBottom w:val="0"/>
      <w:divBdr>
        <w:top w:val="none" w:sz="0" w:space="0" w:color="auto"/>
        <w:left w:val="none" w:sz="0" w:space="0" w:color="auto"/>
        <w:bottom w:val="none" w:sz="0" w:space="0" w:color="auto"/>
        <w:right w:val="none" w:sz="0" w:space="0" w:color="auto"/>
      </w:divBdr>
    </w:div>
    <w:div w:id="1501388089">
      <w:bodyDiv w:val="1"/>
      <w:marLeft w:val="0"/>
      <w:marRight w:val="0"/>
      <w:marTop w:val="0"/>
      <w:marBottom w:val="0"/>
      <w:divBdr>
        <w:top w:val="none" w:sz="0" w:space="0" w:color="auto"/>
        <w:left w:val="none" w:sz="0" w:space="0" w:color="auto"/>
        <w:bottom w:val="none" w:sz="0" w:space="0" w:color="auto"/>
        <w:right w:val="none" w:sz="0" w:space="0" w:color="auto"/>
      </w:divBdr>
    </w:div>
    <w:div w:id="1511136587">
      <w:bodyDiv w:val="1"/>
      <w:marLeft w:val="0"/>
      <w:marRight w:val="0"/>
      <w:marTop w:val="0"/>
      <w:marBottom w:val="0"/>
      <w:divBdr>
        <w:top w:val="none" w:sz="0" w:space="0" w:color="auto"/>
        <w:left w:val="none" w:sz="0" w:space="0" w:color="auto"/>
        <w:bottom w:val="none" w:sz="0" w:space="0" w:color="auto"/>
        <w:right w:val="none" w:sz="0" w:space="0" w:color="auto"/>
      </w:divBdr>
    </w:div>
    <w:div w:id="1532263571">
      <w:bodyDiv w:val="1"/>
      <w:marLeft w:val="0"/>
      <w:marRight w:val="0"/>
      <w:marTop w:val="0"/>
      <w:marBottom w:val="0"/>
      <w:divBdr>
        <w:top w:val="none" w:sz="0" w:space="0" w:color="auto"/>
        <w:left w:val="none" w:sz="0" w:space="0" w:color="auto"/>
        <w:bottom w:val="none" w:sz="0" w:space="0" w:color="auto"/>
        <w:right w:val="none" w:sz="0" w:space="0" w:color="auto"/>
      </w:divBdr>
    </w:div>
    <w:div w:id="1536235490">
      <w:bodyDiv w:val="1"/>
      <w:marLeft w:val="0"/>
      <w:marRight w:val="0"/>
      <w:marTop w:val="0"/>
      <w:marBottom w:val="0"/>
      <w:divBdr>
        <w:top w:val="none" w:sz="0" w:space="0" w:color="auto"/>
        <w:left w:val="none" w:sz="0" w:space="0" w:color="auto"/>
        <w:bottom w:val="none" w:sz="0" w:space="0" w:color="auto"/>
        <w:right w:val="none" w:sz="0" w:space="0" w:color="auto"/>
      </w:divBdr>
    </w:div>
    <w:div w:id="1560096437">
      <w:bodyDiv w:val="1"/>
      <w:marLeft w:val="0"/>
      <w:marRight w:val="0"/>
      <w:marTop w:val="0"/>
      <w:marBottom w:val="0"/>
      <w:divBdr>
        <w:top w:val="none" w:sz="0" w:space="0" w:color="auto"/>
        <w:left w:val="none" w:sz="0" w:space="0" w:color="auto"/>
        <w:bottom w:val="none" w:sz="0" w:space="0" w:color="auto"/>
        <w:right w:val="none" w:sz="0" w:space="0" w:color="auto"/>
      </w:divBdr>
    </w:div>
    <w:div w:id="1605074775">
      <w:bodyDiv w:val="1"/>
      <w:marLeft w:val="0"/>
      <w:marRight w:val="0"/>
      <w:marTop w:val="0"/>
      <w:marBottom w:val="0"/>
      <w:divBdr>
        <w:top w:val="none" w:sz="0" w:space="0" w:color="auto"/>
        <w:left w:val="none" w:sz="0" w:space="0" w:color="auto"/>
        <w:bottom w:val="none" w:sz="0" w:space="0" w:color="auto"/>
        <w:right w:val="none" w:sz="0" w:space="0" w:color="auto"/>
      </w:divBdr>
      <w:divsChild>
        <w:div w:id="451019499">
          <w:marLeft w:val="0"/>
          <w:marRight w:val="0"/>
          <w:marTop w:val="0"/>
          <w:marBottom w:val="0"/>
          <w:divBdr>
            <w:top w:val="none" w:sz="0" w:space="0" w:color="auto"/>
            <w:left w:val="none" w:sz="0" w:space="0" w:color="auto"/>
            <w:bottom w:val="none" w:sz="0" w:space="0" w:color="auto"/>
            <w:right w:val="none" w:sz="0" w:space="0" w:color="auto"/>
          </w:divBdr>
        </w:div>
      </w:divsChild>
    </w:div>
    <w:div w:id="1668364116">
      <w:bodyDiv w:val="1"/>
      <w:marLeft w:val="0"/>
      <w:marRight w:val="0"/>
      <w:marTop w:val="0"/>
      <w:marBottom w:val="0"/>
      <w:divBdr>
        <w:top w:val="none" w:sz="0" w:space="0" w:color="auto"/>
        <w:left w:val="none" w:sz="0" w:space="0" w:color="auto"/>
        <w:bottom w:val="none" w:sz="0" w:space="0" w:color="auto"/>
        <w:right w:val="none" w:sz="0" w:space="0" w:color="auto"/>
      </w:divBdr>
    </w:div>
    <w:div w:id="1679770752">
      <w:bodyDiv w:val="1"/>
      <w:marLeft w:val="0"/>
      <w:marRight w:val="0"/>
      <w:marTop w:val="0"/>
      <w:marBottom w:val="0"/>
      <w:divBdr>
        <w:top w:val="none" w:sz="0" w:space="0" w:color="auto"/>
        <w:left w:val="none" w:sz="0" w:space="0" w:color="auto"/>
        <w:bottom w:val="none" w:sz="0" w:space="0" w:color="auto"/>
        <w:right w:val="none" w:sz="0" w:space="0" w:color="auto"/>
      </w:divBdr>
    </w:div>
    <w:div w:id="1712456989">
      <w:bodyDiv w:val="1"/>
      <w:marLeft w:val="0"/>
      <w:marRight w:val="0"/>
      <w:marTop w:val="0"/>
      <w:marBottom w:val="0"/>
      <w:divBdr>
        <w:top w:val="none" w:sz="0" w:space="0" w:color="auto"/>
        <w:left w:val="none" w:sz="0" w:space="0" w:color="auto"/>
        <w:bottom w:val="none" w:sz="0" w:space="0" w:color="auto"/>
        <w:right w:val="none" w:sz="0" w:space="0" w:color="auto"/>
      </w:divBdr>
    </w:div>
    <w:div w:id="1741833169">
      <w:bodyDiv w:val="1"/>
      <w:marLeft w:val="0"/>
      <w:marRight w:val="0"/>
      <w:marTop w:val="0"/>
      <w:marBottom w:val="0"/>
      <w:divBdr>
        <w:top w:val="none" w:sz="0" w:space="0" w:color="auto"/>
        <w:left w:val="none" w:sz="0" w:space="0" w:color="auto"/>
        <w:bottom w:val="none" w:sz="0" w:space="0" w:color="auto"/>
        <w:right w:val="none" w:sz="0" w:space="0" w:color="auto"/>
      </w:divBdr>
      <w:divsChild>
        <w:div w:id="767508881">
          <w:marLeft w:val="0"/>
          <w:marRight w:val="0"/>
          <w:marTop w:val="0"/>
          <w:marBottom w:val="0"/>
          <w:divBdr>
            <w:top w:val="none" w:sz="0" w:space="0" w:color="auto"/>
            <w:left w:val="none" w:sz="0" w:space="0" w:color="auto"/>
            <w:bottom w:val="none" w:sz="0" w:space="0" w:color="auto"/>
            <w:right w:val="none" w:sz="0" w:space="0" w:color="auto"/>
          </w:divBdr>
        </w:div>
      </w:divsChild>
    </w:div>
    <w:div w:id="1765416719">
      <w:bodyDiv w:val="1"/>
      <w:marLeft w:val="0"/>
      <w:marRight w:val="0"/>
      <w:marTop w:val="0"/>
      <w:marBottom w:val="0"/>
      <w:divBdr>
        <w:top w:val="none" w:sz="0" w:space="0" w:color="auto"/>
        <w:left w:val="none" w:sz="0" w:space="0" w:color="auto"/>
        <w:bottom w:val="none" w:sz="0" w:space="0" w:color="auto"/>
        <w:right w:val="none" w:sz="0" w:space="0" w:color="auto"/>
      </w:divBdr>
    </w:div>
    <w:div w:id="1775592841">
      <w:bodyDiv w:val="1"/>
      <w:marLeft w:val="0"/>
      <w:marRight w:val="0"/>
      <w:marTop w:val="0"/>
      <w:marBottom w:val="0"/>
      <w:divBdr>
        <w:top w:val="none" w:sz="0" w:space="0" w:color="auto"/>
        <w:left w:val="none" w:sz="0" w:space="0" w:color="auto"/>
        <w:bottom w:val="none" w:sz="0" w:space="0" w:color="auto"/>
        <w:right w:val="none" w:sz="0" w:space="0" w:color="auto"/>
      </w:divBdr>
    </w:div>
    <w:div w:id="1799177276">
      <w:bodyDiv w:val="1"/>
      <w:marLeft w:val="0"/>
      <w:marRight w:val="0"/>
      <w:marTop w:val="0"/>
      <w:marBottom w:val="0"/>
      <w:divBdr>
        <w:top w:val="none" w:sz="0" w:space="0" w:color="auto"/>
        <w:left w:val="none" w:sz="0" w:space="0" w:color="auto"/>
        <w:bottom w:val="none" w:sz="0" w:space="0" w:color="auto"/>
        <w:right w:val="none" w:sz="0" w:space="0" w:color="auto"/>
      </w:divBdr>
    </w:div>
    <w:div w:id="1810437077">
      <w:bodyDiv w:val="1"/>
      <w:marLeft w:val="0"/>
      <w:marRight w:val="0"/>
      <w:marTop w:val="0"/>
      <w:marBottom w:val="0"/>
      <w:divBdr>
        <w:top w:val="none" w:sz="0" w:space="0" w:color="auto"/>
        <w:left w:val="none" w:sz="0" w:space="0" w:color="auto"/>
        <w:bottom w:val="none" w:sz="0" w:space="0" w:color="auto"/>
        <w:right w:val="none" w:sz="0" w:space="0" w:color="auto"/>
      </w:divBdr>
    </w:div>
    <w:div w:id="1824659782">
      <w:bodyDiv w:val="1"/>
      <w:marLeft w:val="0"/>
      <w:marRight w:val="0"/>
      <w:marTop w:val="0"/>
      <w:marBottom w:val="0"/>
      <w:divBdr>
        <w:top w:val="none" w:sz="0" w:space="0" w:color="auto"/>
        <w:left w:val="none" w:sz="0" w:space="0" w:color="auto"/>
        <w:bottom w:val="none" w:sz="0" w:space="0" w:color="auto"/>
        <w:right w:val="none" w:sz="0" w:space="0" w:color="auto"/>
      </w:divBdr>
    </w:div>
    <w:div w:id="1825118062">
      <w:bodyDiv w:val="1"/>
      <w:marLeft w:val="0"/>
      <w:marRight w:val="0"/>
      <w:marTop w:val="0"/>
      <w:marBottom w:val="0"/>
      <w:divBdr>
        <w:top w:val="none" w:sz="0" w:space="0" w:color="auto"/>
        <w:left w:val="none" w:sz="0" w:space="0" w:color="auto"/>
        <w:bottom w:val="none" w:sz="0" w:space="0" w:color="auto"/>
        <w:right w:val="none" w:sz="0" w:space="0" w:color="auto"/>
      </w:divBdr>
    </w:div>
    <w:div w:id="1867061593">
      <w:bodyDiv w:val="1"/>
      <w:marLeft w:val="0"/>
      <w:marRight w:val="0"/>
      <w:marTop w:val="0"/>
      <w:marBottom w:val="0"/>
      <w:divBdr>
        <w:top w:val="none" w:sz="0" w:space="0" w:color="auto"/>
        <w:left w:val="none" w:sz="0" w:space="0" w:color="auto"/>
        <w:bottom w:val="none" w:sz="0" w:space="0" w:color="auto"/>
        <w:right w:val="none" w:sz="0" w:space="0" w:color="auto"/>
      </w:divBdr>
    </w:div>
    <w:div w:id="1871603193">
      <w:bodyDiv w:val="1"/>
      <w:marLeft w:val="0"/>
      <w:marRight w:val="0"/>
      <w:marTop w:val="0"/>
      <w:marBottom w:val="0"/>
      <w:divBdr>
        <w:top w:val="none" w:sz="0" w:space="0" w:color="auto"/>
        <w:left w:val="none" w:sz="0" w:space="0" w:color="auto"/>
        <w:bottom w:val="none" w:sz="0" w:space="0" w:color="auto"/>
        <w:right w:val="none" w:sz="0" w:space="0" w:color="auto"/>
      </w:divBdr>
    </w:div>
    <w:div w:id="1955750948">
      <w:bodyDiv w:val="1"/>
      <w:marLeft w:val="0"/>
      <w:marRight w:val="0"/>
      <w:marTop w:val="0"/>
      <w:marBottom w:val="0"/>
      <w:divBdr>
        <w:top w:val="none" w:sz="0" w:space="0" w:color="auto"/>
        <w:left w:val="none" w:sz="0" w:space="0" w:color="auto"/>
        <w:bottom w:val="none" w:sz="0" w:space="0" w:color="auto"/>
        <w:right w:val="none" w:sz="0" w:space="0" w:color="auto"/>
      </w:divBdr>
    </w:div>
    <w:div w:id="1958901154">
      <w:bodyDiv w:val="1"/>
      <w:marLeft w:val="0"/>
      <w:marRight w:val="0"/>
      <w:marTop w:val="0"/>
      <w:marBottom w:val="0"/>
      <w:divBdr>
        <w:top w:val="none" w:sz="0" w:space="0" w:color="auto"/>
        <w:left w:val="none" w:sz="0" w:space="0" w:color="auto"/>
        <w:bottom w:val="none" w:sz="0" w:space="0" w:color="auto"/>
        <w:right w:val="none" w:sz="0" w:space="0" w:color="auto"/>
      </w:divBdr>
    </w:div>
    <w:div w:id="1964388358">
      <w:bodyDiv w:val="1"/>
      <w:marLeft w:val="0"/>
      <w:marRight w:val="0"/>
      <w:marTop w:val="0"/>
      <w:marBottom w:val="0"/>
      <w:divBdr>
        <w:top w:val="none" w:sz="0" w:space="0" w:color="auto"/>
        <w:left w:val="none" w:sz="0" w:space="0" w:color="auto"/>
        <w:bottom w:val="none" w:sz="0" w:space="0" w:color="auto"/>
        <w:right w:val="none" w:sz="0" w:space="0" w:color="auto"/>
      </w:divBdr>
    </w:div>
    <w:div w:id="1998069695">
      <w:bodyDiv w:val="1"/>
      <w:marLeft w:val="0"/>
      <w:marRight w:val="0"/>
      <w:marTop w:val="0"/>
      <w:marBottom w:val="0"/>
      <w:divBdr>
        <w:top w:val="none" w:sz="0" w:space="0" w:color="auto"/>
        <w:left w:val="none" w:sz="0" w:space="0" w:color="auto"/>
        <w:bottom w:val="none" w:sz="0" w:space="0" w:color="auto"/>
        <w:right w:val="none" w:sz="0" w:space="0" w:color="auto"/>
      </w:divBdr>
    </w:div>
    <w:div w:id="2018460357">
      <w:bodyDiv w:val="1"/>
      <w:marLeft w:val="0"/>
      <w:marRight w:val="0"/>
      <w:marTop w:val="0"/>
      <w:marBottom w:val="0"/>
      <w:divBdr>
        <w:top w:val="none" w:sz="0" w:space="0" w:color="auto"/>
        <w:left w:val="none" w:sz="0" w:space="0" w:color="auto"/>
        <w:bottom w:val="none" w:sz="0" w:space="0" w:color="auto"/>
        <w:right w:val="none" w:sz="0" w:space="0" w:color="auto"/>
      </w:divBdr>
    </w:div>
    <w:div w:id="2025786426">
      <w:bodyDiv w:val="1"/>
      <w:marLeft w:val="0"/>
      <w:marRight w:val="0"/>
      <w:marTop w:val="0"/>
      <w:marBottom w:val="0"/>
      <w:divBdr>
        <w:top w:val="none" w:sz="0" w:space="0" w:color="auto"/>
        <w:left w:val="none" w:sz="0" w:space="0" w:color="auto"/>
        <w:bottom w:val="none" w:sz="0" w:space="0" w:color="auto"/>
        <w:right w:val="none" w:sz="0" w:space="0" w:color="auto"/>
      </w:divBdr>
    </w:div>
    <w:div w:id="2086949692">
      <w:bodyDiv w:val="1"/>
      <w:marLeft w:val="0"/>
      <w:marRight w:val="0"/>
      <w:marTop w:val="0"/>
      <w:marBottom w:val="0"/>
      <w:divBdr>
        <w:top w:val="none" w:sz="0" w:space="0" w:color="auto"/>
        <w:left w:val="none" w:sz="0" w:space="0" w:color="auto"/>
        <w:bottom w:val="none" w:sz="0" w:space="0" w:color="auto"/>
        <w:right w:val="none" w:sz="0" w:space="0" w:color="auto"/>
      </w:divBdr>
    </w:div>
    <w:div w:id="2125230810">
      <w:bodyDiv w:val="1"/>
      <w:marLeft w:val="0"/>
      <w:marRight w:val="0"/>
      <w:marTop w:val="0"/>
      <w:marBottom w:val="0"/>
      <w:divBdr>
        <w:top w:val="none" w:sz="0" w:space="0" w:color="auto"/>
        <w:left w:val="none" w:sz="0" w:space="0" w:color="auto"/>
        <w:bottom w:val="none" w:sz="0" w:space="0" w:color="auto"/>
        <w:right w:val="none" w:sz="0" w:space="0" w:color="auto"/>
      </w:divBdr>
    </w:div>
    <w:div w:id="2139100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sXgCkUf9GIERNd/I/7vHyLTG3g==">CgMxLjAyCGguZ2pkZ3hzMgloLjMwajB6bGwyCWguMWZvYjl0ZTIJaC4zem55c2g3MgloLjJldDkycDAyCWguMXQzaDVzZjIJaC4yNmluMXJnMg5oLmFpNzBka3JyYmQzZDIJaC4xa3N2NHV2MgloLjNyZGNyam4yCGgubG54Yno5OAByITFsei1sbGYxcjREWHpNQlNkNGdrRko0clEzY3FxaTVDeQ==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49</Pages>
  <Words>12498</Words>
  <Characters>68740</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43</cp:revision>
  <cp:lastPrinted>2026-05-08T20:51:00Z</cp:lastPrinted>
  <dcterms:created xsi:type="dcterms:W3CDTF">2026-04-27T18:49:00Z</dcterms:created>
  <dcterms:modified xsi:type="dcterms:W3CDTF">2026-06-15T17:30:00Z</dcterms:modified>
</cp:coreProperties>
</file>