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62C81CBF" w:rsidR="00A970D5" w:rsidRPr="00BC47C3" w:rsidRDefault="00A970D5" w:rsidP="006922F5">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Resolución del Pleno del Instituto de Transparencia, Acceso a la Información Pública y Protección de Datos Personales del Estado de México</w:t>
      </w:r>
      <w:r w:rsidR="00FD2A3F" w:rsidRPr="00BC47C3">
        <w:rPr>
          <w:rFonts w:eastAsia="Palatino Linotype" w:cs="Palatino Linotype"/>
          <w:color w:val="000000"/>
          <w:szCs w:val="24"/>
        </w:rPr>
        <w:t xml:space="preserve"> </w:t>
      </w:r>
      <w:r w:rsidRPr="00BC47C3">
        <w:rPr>
          <w:rFonts w:eastAsia="Palatino Linotype" w:cs="Palatino Linotype"/>
          <w:color w:val="000000"/>
          <w:szCs w:val="24"/>
        </w:rPr>
        <w:t xml:space="preserve">y Municipios, con domicilio en Metepec, Estado de </w:t>
      </w:r>
      <w:r w:rsidR="008B2951" w:rsidRPr="00BC47C3">
        <w:rPr>
          <w:rFonts w:eastAsia="Palatino Linotype" w:cs="Palatino Linotype"/>
          <w:color w:val="000000"/>
          <w:szCs w:val="24"/>
        </w:rPr>
        <w:t xml:space="preserve">México, </w:t>
      </w:r>
      <w:r w:rsidR="000D2E93" w:rsidRPr="00BC47C3">
        <w:rPr>
          <w:rFonts w:eastAsia="Palatino Linotype" w:cs="Palatino Linotype"/>
          <w:color w:val="000000"/>
          <w:szCs w:val="24"/>
        </w:rPr>
        <w:t>a</w:t>
      </w:r>
      <w:r w:rsidR="00744039" w:rsidRPr="00BC47C3">
        <w:rPr>
          <w:rFonts w:eastAsia="Palatino Linotype" w:cs="Palatino Linotype"/>
          <w:color w:val="000000"/>
          <w:szCs w:val="24"/>
        </w:rPr>
        <w:t xml:space="preserve"> </w:t>
      </w:r>
      <w:r w:rsidR="00614DC9" w:rsidRPr="00BC47C3">
        <w:rPr>
          <w:rFonts w:eastAsia="Palatino Linotype" w:cs="Palatino Linotype"/>
          <w:color w:val="000000"/>
          <w:szCs w:val="24"/>
        </w:rPr>
        <w:t>quince de abril</w:t>
      </w:r>
      <w:r w:rsidR="008B7E39" w:rsidRPr="00BC47C3">
        <w:rPr>
          <w:rFonts w:eastAsia="Palatino Linotype" w:cs="Palatino Linotype"/>
          <w:color w:val="000000"/>
          <w:szCs w:val="24"/>
        </w:rPr>
        <w:t xml:space="preserve"> de dos mil veintiséis</w:t>
      </w:r>
      <w:r w:rsidR="0011108B" w:rsidRPr="00BC47C3">
        <w:rPr>
          <w:rFonts w:eastAsia="Palatino Linotype" w:cs="Palatino Linotype"/>
          <w:color w:val="000000"/>
          <w:szCs w:val="24"/>
        </w:rPr>
        <w:t>.</w:t>
      </w:r>
    </w:p>
    <w:p w14:paraId="60399B74" w14:textId="77777777" w:rsidR="00A970D5" w:rsidRPr="00BC47C3"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1EFA2048" w:rsidR="00A970D5" w:rsidRPr="00BC47C3"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BC47C3">
        <w:rPr>
          <w:rFonts w:eastAsia="Palatino Linotype" w:cs="Palatino Linotype"/>
          <w:b/>
          <w:bCs/>
          <w:color w:val="000000" w:themeColor="text1"/>
          <w:szCs w:val="24"/>
          <w:lang w:val="es-ES"/>
        </w:rPr>
        <w:t>VISTO</w:t>
      </w:r>
      <w:r w:rsidRPr="00BC47C3">
        <w:rPr>
          <w:rFonts w:eastAsia="Palatino Linotype" w:cs="Palatino Linotype"/>
          <w:color w:val="000000" w:themeColor="text1"/>
          <w:szCs w:val="24"/>
          <w:lang w:val="es-ES"/>
        </w:rPr>
        <w:t xml:space="preserve"> el expediente electrónico formado con motivo del recurso de revisión número </w:t>
      </w:r>
      <w:bookmarkStart w:id="0" w:name="_GoBack"/>
      <w:r w:rsidR="00D52CDC" w:rsidRPr="00BC47C3">
        <w:rPr>
          <w:rFonts w:eastAsia="Palatino Linotype" w:cs="Palatino Linotype"/>
          <w:b/>
          <w:bCs/>
          <w:color w:val="000000" w:themeColor="text1"/>
          <w:szCs w:val="24"/>
          <w:lang w:val="es-ES"/>
        </w:rPr>
        <w:t>03215/INFOEM/IP/RR/2026</w:t>
      </w:r>
      <w:bookmarkEnd w:id="0"/>
      <w:r w:rsidRPr="00BC47C3">
        <w:rPr>
          <w:rFonts w:eastAsia="Palatino Linotype" w:cs="Palatino Linotype"/>
          <w:color w:val="000000" w:themeColor="text1"/>
          <w:szCs w:val="24"/>
          <w:lang w:val="es-ES"/>
        </w:rPr>
        <w:t xml:space="preserve">, interpuesto por </w:t>
      </w:r>
      <w:proofErr w:type="spellStart"/>
      <w:r w:rsidR="00A571D6">
        <w:rPr>
          <w:rFonts w:eastAsia="Palatino Linotype" w:cs="Palatino Linotype"/>
          <w:b/>
          <w:bCs/>
          <w:color w:val="000000" w:themeColor="text1"/>
          <w:szCs w:val="24"/>
          <w:lang w:val="es-ES"/>
        </w:rPr>
        <w:t>xxxxxxxxxxxxxxxxxxxxxxxxxxx</w:t>
      </w:r>
      <w:proofErr w:type="spellEnd"/>
      <w:r w:rsidRPr="00BC47C3">
        <w:rPr>
          <w:rFonts w:eastAsia="Palatino Linotype" w:cs="Palatino Linotype"/>
          <w:color w:val="000000" w:themeColor="text1"/>
          <w:szCs w:val="24"/>
          <w:lang w:val="es-ES"/>
        </w:rPr>
        <w:t xml:space="preserve">, en lo sucesivo </w:t>
      </w:r>
      <w:r w:rsidR="00157F42" w:rsidRPr="00BC47C3">
        <w:rPr>
          <w:rFonts w:eastAsia="Palatino Linotype" w:cs="Palatino Linotype"/>
          <w:color w:val="000000" w:themeColor="text1"/>
          <w:szCs w:val="24"/>
          <w:lang w:val="es-ES"/>
        </w:rPr>
        <w:t>la parte</w:t>
      </w:r>
      <w:r w:rsidRPr="00BC47C3">
        <w:rPr>
          <w:rFonts w:eastAsia="Palatino Linotype" w:cs="Palatino Linotype"/>
          <w:color w:val="000000" w:themeColor="text1"/>
          <w:szCs w:val="24"/>
          <w:lang w:val="es-ES"/>
        </w:rPr>
        <w:t xml:space="preserve"> </w:t>
      </w:r>
      <w:r w:rsidRPr="00BC47C3">
        <w:rPr>
          <w:rFonts w:eastAsia="Palatino Linotype" w:cs="Palatino Linotype"/>
          <w:b/>
          <w:bCs/>
          <w:color w:val="000000" w:themeColor="text1"/>
          <w:szCs w:val="24"/>
          <w:lang w:val="es-ES"/>
        </w:rPr>
        <w:t>Recurrente</w:t>
      </w:r>
      <w:r w:rsidRPr="00BC47C3">
        <w:rPr>
          <w:rFonts w:eastAsia="Palatino Linotype" w:cs="Palatino Linotype"/>
          <w:color w:val="000000" w:themeColor="text1"/>
          <w:szCs w:val="24"/>
          <w:lang w:val="es-ES"/>
        </w:rPr>
        <w:t xml:space="preserve">, en contra de la </w:t>
      </w:r>
      <w:r w:rsidR="00611006" w:rsidRPr="00BC47C3">
        <w:rPr>
          <w:rFonts w:eastAsia="Palatino Linotype" w:cs="Palatino Linotype"/>
          <w:color w:val="000000" w:themeColor="text1"/>
          <w:szCs w:val="24"/>
          <w:lang w:val="es-ES"/>
        </w:rPr>
        <w:t xml:space="preserve">falta de </w:t>
      </w:r>
      <w:r w:rsidRPr="00BC47C3">
        <w:rPr>
          <w:rFonts w:eastAsia="Palatino Linotype" w:cs="Palatino Linotype"/>
          <w:color w:val="000000" w:themeColor="text1"/>
          <w:szCs w:val="24"/>
          <w:lang w:val="es-ES"/>
        </w:rPr>
        <w:t xml:space="preserve">respuesta del </w:t>
      </w:r>
      <w:r w:rsidR="00277E88" w:rsidRPr="00BC47C3">
        <w:rPr>
          <w:rFonts w:eastAsia="Palatino Linotype" w:cs="Palatino Linotype"/>
          <w:b/>
          <w:bCs/>
          <w:color w:val="000000" w:themeColor="text1"/>
          <w:szCs w:val="24"/>
          <w:lang w:val="es-ES"/>
        </w:rPr>
        <w:t>Ayuntamiento de Tepotzotlán</w:t>
      </w:r>
      <w:r w:rsidRPr="00BC47C3">
        <w:rPr>
          <w:rFonts w:eastAsia="Palatino Linotype" w:cs="Palatino Linotype"/>
          <w:color w:val="000000" w:themeColor="text1"/>
          <w:szCs w:val="24"/>
          <w:lang w:val="es-ES"/>
        </w:rPr>
        <w:t>, en lo subsecuente</w:t>
      </w:r>
      <w:r w:rsidRPr="00BC47C3">
        <w:rPr>
          <w:rFonts w:eastAsia="Palatino Linotype" w:cs="Palatino Linotype"/>
          <w:b/>
          <w:bCs/>
          <w:color w:val="000000" w:themeColor="text1"/>
          <w:szCs w:val="24"/>
          <w:lang w:val="es-ES"/>
        </w:rPr>
        <w:t xml:space="preserve"> </w:t>
      </w:r>
      <w:r w:rsidRPr="00BC47C3">
        <w:rPr>
          <w:rFonts w:eastAsia="Palatino Linotype" w:cs="Palatino Linotype"/>
          <w:color w:val="000000" w:themeColor="text1"/>
          <w:szCs w:val="24"/>
          <w:lang w:val="es-ES"/>
        </w:rPr>
        <w:t>el</w:t>
      </w:r>
      <w:r w:rsidRPr="00BC47C3">
        <w:rPr>
          <w:rFonts w:eastAsia="Palatino Linotype" w:cs="Palatino Linotype"/>
          <w:b/>
          <w:bCs/>
          <w:color w:val="000000" w:themeColor="text1"/>
          <w:szCs w:val="24"/>
          <w:lang w:val="es-ES"/>
        </w:rPr>
        <w:t xml:space="preserve"> Sujeto Obligado</w:t>
      </w:r>
      <w:r w:rsidRPr="00BC47C3">
        <w:rPr>
          <w:rFonts w:eastAsia="Palatino Linotype" w:cs="Palatino Linotype"/>
          <w:color w:val="000000" w:themeColor="text1"/>
          <w:szCs w:val="24"/>
          <w:lang w:val="es-ES"/>
        </w:rPr>
        <w:t>, se procede a dictar la presente resolución.</w:t>
      </w:r>
    </w:p>
    <w:p w14:paraId="2E2053C2" w14:textId="77777777" w:rsidR="00A970D5" w:rsidRPr="00BC47C3"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BC47C3" w:rsidRDefault="00A970D5" w:rsidP="006922F5">
      <w:pPr>
        <w:pStyle w:val="Ttulo1"/>
        <w:rPr>
          <w:rFonts w:eastAsia="Palatino Linotype"/>
          <w:lang w:val="es-ES_tradnl"/>
        </w:rPr>
      </w:pPr>
      <w:r w:rsidRPr="00BC47C3">
        <w:rPr>
          <w:rFonts w:eastAsia="Palatino Linotype"/>
          <w:lang w:val="es-ES_tradnl"/>
        </w:rPr>
        <w:t>A N T E C E D E N T E S</w:t>
      </w:r>
    </w:p>
    <w:p w14:paraId="32F88820" w14:textId="77777777" w:rsidR="00A970D5" w:rsidRPr="00BC47C3"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BC47C3" w:rsidRDefault="00A970D5" w:rsidP="006922F5">
      <w:pPr>
        <w:pStyle w:val="Ttulo2"/>
        <w:rPr>
          <w:rFonts w:eastAsia="Palatino Linotype"/>
        </w:rPr>
      </w:pPr>
      <w:r w:rsidRPr="00BC47C3">
        <w:rPr>
          <w:rFonts w:eastAsia="Palatino Linotype"/>
        </w:rPr>
        <w:t xml:space="preserve">PRIMERO. De la </w:t>
      </w:r>
      <w:r w:rsidR="00E33933" w:rsidRPr="00BC47C3">
        <w:rPr>
          <w:rFonts w:eastAsia="Palatino Linotype"/>
        </w:rPr>
        <w:t>s</w:t>
      </w:r>
      <w:r w:rsidRPr="00BC47C3">
        <w:rPr>
          <w:rFonts w:eastAsia="Palatino Linotype"/>
        </w:rPr>
        <w:t xml:space="preserve">olicitud de </w:t>
      </w:r>
      <w:r w:rsidR="00E33933" w:rsidRPr="00BC47C3">
        <w:rPr>
          <w:rFonts w:eastAsia="Palatino Linotype"/>
        </w:rPr>
        <w:t>i</w:t>
      </w:r>
      <w:r w:rsidRPr="00BC47C3">
        <w:rPr>
          <w:rFonts w:eastAsia="Palatino Linotype"/>
        </w:rPr>
        <w:t>nformación.</w:t>
      </w:r>
    </w:p>
    <w:p w14:paraId="0870C154" w14:textId="160D8888" w:rsidR="00A970D5" w:rsidRPr="00BC47C3" w:rsidRDefault="00744039" w:rsidP="006922F5">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 xml:space="preserve">El día </w:t>
      </w:r>
      <w:r w:rsidR="005C6248" w:rsidRPr="00BC47C3">
        <w:rPr>
          <w:rFonts w:eastAsia="Palatino Linotype" w:cs="Palatino Linotype"/>
          <w:color w:val="000000"/>
          <w:szCs w:val="24"/>
        </w:rPr>
        <w:t>diecisiete de febrero</w:t>
      </w:r>
      <w:r w:rsidR="003D0758" w:rsidRPr="00BC47C3">
        <w:rPr>
          <w:rFonts w:eastAsia="Palatino Linotype" w:cs="Palatino Linotype"/>
          <w:color w:val="000000"/>
          <w:szCs w:val="24"/>
        </w:rPr>
        <w:t xml:space="preserve"> de dos mil veintiséis,</w:t>
      </w:r>
      <w:r w:rsidR="00B54BC7" w:rsidRPr="00BC47C3">
        <w:rPr>
          <w:rFonts w:eastAsia="Palatino Linotype" w:cs="Palatino Linotype"/>
          <w:color w:val="000000"/>
          <w:szCs w:val="24"/>
        </w:rPr>
        <w:t xml:space="preserve"> </w:t>
      </w:r>
      <w:r w:rsidR="00157F42" w:rsidRPr="00BC47C3">
        <w:rPr>
          <w:rFonts w:eastAsia="Palatino Linotype" w:cs="Palatino Linotype"/>
          <w:color w:val="000000"/>
          <w:szCs w:val="24"/>
        </w:rPr>
        <w:t>la</w:t>
      </w:r>
      <w:r w:rsidR="00A970D5" w:rsidRPr="00BC47C3">
        <w:rPr>
          <w:rFonts w:eastAsia="Palatino Linotype" w:cs="Palatino Linotype"/>
          <w:color w:val="000000"/>
          <w:szCs w:val="24"/>
        </w:rPr>
        <w:t xml:space="preserve"> </w:t>
      </w:r>
      <w:r w:rsidR="00A8747D" w:rsidRPr="00BC47C3">
        <w:rPr>
          <w:rFonts w:eastAsia="Palatino Linotype" w:cs="Palatino Linotype"/>
          <w:color w:val="000000"/>
          <w:szCs w:val="24"/>
        </w:rPr>
        <w:t xml:space="preserve">parte </w:t>
      </w:r>
      <w:r w:rsidR="00A970D5" w:rsidRPr="00BC47C3">
        <w:rPr>
          <w:rFonts w:eastAsia="Palatino Linotype" w:cs="Palatino Linotype"/>
          <w:color w:val="000000"/>
          <w:szCs w:val="24"/>
        </w:rPr>
        <w:t xml:space="preserve">Recurrente presentó </w:t>
      </w:r>
      <w:r w:rsidR="00597C06" w:rsidRPr="00BC47C3">
        <w:rPr>
          <w:rFonts w:eastAsia="Palatino Linotype" w:cs="Palatino Linotype"/>
          <w:color w:val="000000"/>
          <w:szCs w:val="24"/>
        </w:rPr>
        <w:t xml:space="preserve">solicitud de información que fue registrada en </w:t>
      </w:r>
      <w:r w:rsidR="00A970D5" w:rsidRPr="00BC47C3">
        <w:rPr>
          <w:rFonts w:eastAsia="Palatino Linotype" w:cs="Palatino Linotype"/>
          <w:color w:val="000000"/>
          <w:szCs w:val="24"/>
        </w:rPr>
        <w:t>el Sistema de Acceso a la Información Mexiquense (SAIMEX) con el número de expediente</w:t>
      </w:r>
      <w:r w:rsidR="00642669" w:rsidRPr="00BC47C3">
        <w:rPr>
          <w:rFonts w:eastAsia="Palatino Linotype" w:cs="Palatino Linotype"/>
          <w:b/>
          <w:bCs/>
          <w:color w:val="000000"/>
          <w:szCs w:val="24"/>
        </w:rPr>
        <w:t xml:space="preserve"> </w:t>
      </w:r>
      <w:r w:rsidR="00D52CDC" w:rsidRPr="00BC47C3">
        <w:rPr>
          <w:rFonts w:eastAsia="Palatino Linotype" w:cs="Palatino Linotype"/>
          <w:b/>
          <w:bCs/>
          <w:color w:val="000000"/>
          <w:szCs w:val="24"/>
        </w:rPr>
        <w:t>00653/TEPOTZOT/IP/2026</w:t>
      </w:r>
      <w:r w:rsidR="00A970D5" w:rsidRPr="00BC47C3">
        <w:rPr>
          <w:rFonts w:eastAsia="Palatino Linotype" w:cs="Palatino Linotype"/>
          <w:color w:val="000000"/>
          <w:szCs w:val="24"/>
        </w:rPr>
        <w:t>,</w:t>
      </w:r>
      <w:r w:rsidR="00A970D5" w:rsidRPr="00BC47C3">
        <w:rPr>
          <w:rFonts w:eastAsia="Palatino Linotype" w:cs="Palatino Linotype"/>
          <w:b/>
          <w:color w:val="000000"/>
          <w:szCs w:val="24"/>
        </w:rPr>
        <w:t xml:space="preserve"> </w:t>
      </w:r>
      <w:r w:rsidR="00A970D5" w:rsidRPr="00BC47C3">
        <w:rPr>
          <w:rFonts w:eastAsia="Palatino Linotype" w:cs="Palatino Linotype"/>
          <w:color w:val="000000"/>
          <w:szCs w:val="24"/>
        </w:rPr>
        <w:t>mediante la cual solicitó información en el tenor siguiente:</w:t>
      </w:r>
    </w:p>
    <w:p w14:paraId="68B56D82" w14:textId="77777777" w:rsidR="00A970D5" w:rsidRPr="00BC47C3"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1E4277B6" w:rsidR="00A970D5" w:rsidRPr="00BC47C3" w:rsidRDefault="007E761E" w:rsidP="006922F5">
      <w:pPr>
        <w:pStyle w:val="Fundamentos"/>
      </w:pPr>
      <w:r w:rsidRPr="00BC47C3">
        <w:rPr>
          <w:lang w:val="es-ES"/>
        </w:rPr>
        <w:t>«</w:t>
      </w:r>
      <w:r w:rsidR="003F10DF" w:rsidRPr="00BC47C3">
        <w:rPr>
          <w:lang w:val="es-ES"/>
        </w:rPr>
        <w:t xml:space="preserve">Solicito a la administración pública municipal la relación completa y actualizada al ejercicio fiscal 2026 de todos los vehículos oficiales asignados a cada Dirección, Coordinación, Instituto, Organismo descentralizado o área administrativa, incluyendo pero no limitándose a: Presidencia Municipal Secretaría del Ayuntamiento Tesorería Seguridad Pública Tránsito Protección Civil Obras Públicas Desarrollo Económico Desarrollo Urbano DIF Municipal IMCUFIDE Cualquier otra dependencia o entidad paramunicipal Para cada vehículo, solicito se proporcione: Número de inventario o control patrimonial Dependencia o área asignada Nombre y cargo del servidor público responsable del resguardo Marca </w:t>
      </w:r>
      <w:proofErr w:type="spellStart"/>
      <w:r w:rsidR="003F10DF" w:rsidRPr="00BC47C3">
        <w:rPr>
          <w:lang w:val="es-ES"/>
        </w:rPr>
        <w:t>Submarca</w:t>
      </w:r>
      <w:proofErr w:type="spellEnd"/>
      <w:r w:rsidR="003F10DF" w:rsidRPr="00BC47C3">
        <w:rPr>
          <w:lang w:val="es-ES"/>
        </w:rPr>
        <w:t xml:space="preserve"> / Modelo Tipo (sedán, pick up, patrulla, motocicleta, ambulancia, maquinaria, etc.) Año modelo Número de serie (VIN) Número de motor Placas de circulación Estado de las placas (vigentes o vencidas) Tarjeta de circulación vigente (sí/no y fecha de vencimiento) Verificación vehicular vigente (sí/no y último periodo verificado) </w:t>
      </w:r>
      <w:r w:rsidR="003F10DF" w:rsidRPr="00BC47C3">
        <w:rPr>
          <w:lang w:val="es-ES"/>
        </w:rPr>
        <w:lastRenderedPageBreak/>
        <w:t>Seguro vigente (compañía aseguradora, número de póliza y vigencia) Tipo de adquisición (compra, arrendamiento, comodato, donación) Fecha de adquisición Monto de adquisición o renta Fuente de financiamiento (recursos propios, estatales, federales, subsidio, FORTAMUN u otros) Kilometraje actual Bitácora de mantenimiento 2025 y 2026 Estatus actual (activo, en reparación, siniestrado, dado de baja) En caso de baja, indicar fecha y procedimiento de desincorporación Asimismo, solicito: Copia del inventario patrimonial vehicular 2026 en formato Excel o CSV. Copia de las pólizas de seguro vigentes. Copia de las últimas verificaciones ambientales. Copia de resguardos firmados por los servidores públicos responsables. Copia de contratos de arrendamiento si existieran. La información solicitada corresponde a bienes muebles adquiridos con recursos públicos y forma parte de las obligaciones de transparencia relacionadas con inventarios patrimoniales, control de bienes públicos, ejercicio presupuestal y rendición de cuentas. En caso de inexistencia parcial o total de la información, solicito se indique expresamente dicha circunstancia, anexando acta del Comité de Transparencia donde conste búsqueda exhaustiva en todas las áreas competentes. La omisión de inventarios, seguros vigentes, verificaciones o documentación de resguardo podría constituir falta administrativa relevante al implicar posible uso irregular de bienes públicos, incumplimiento de obligaciones patrimoniales o riesgo financiero para el municipio. Asimismo, solicito se informe si existe algún vehículo oficial que circule sin seguro vigente, sin verificación ambiental o con placas vencidas durante el ejercicio 2026, indicando responsabilidad administrativa correspondiente y medidas correctivas implementadas.</w:t>
      </w:r>
      <w:r w:rsidR="70652167" w:rsidRPr="00BC47C3">
        <w:rPr>
          <w:lang w:val="es-ES"/>
        </w:rPr>
        <w:t>» (Sic)</w:t>
      </w:r>
    </w:p>
    <w:p w14:paraId="40BBECCB" w14:textId="77777777" w:rsidR="00A970D5" w:rsidRPr="00BC47C3"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BC47C3" w:rsidRDefault="00A970D5" w:rsidP="006922F5">
      <w:pPr>
        <w:pBdr>
          <w:top w:val="nil"/>
          <w:left w:val="nil"/>
          <w:bottom w:val="nil"/>
          <w:right w:val="nil"/>
          <w:between w:val="nil"/>
        </w:pBdr>
        <w:contextualSpacing/>
        <w:rPr>
          <w:rFonts w:eastAsia="Palatino Linotype" w:cs="Palatino Linotype"/>
          <w:b/>
          <w:color w:val="000000"/>
          <w:szCs w:val="24"/>
        </w:rPr>
      </w:pPr>
      <w:r w:rsidRPr="00BC47C3">
        <w:rPr>
          <w:rFonts w:eastAsia="Palatino Linotype" w:cs="Palatino Linotype"/>
          <w:color w:val="000000"/>
          <w:szCs w:val="24"/>
        </w:rPr>
        <w:t xml:space="preserve">Modalidad de entrega: </w:t>
      </w:r>
      <w:r w:rsidR="004A6F01" w:rsidRPr="00BC47C3">
        <w:rPr>
          <w:rFonts w:eastAsia="Palatino Linotype" w:cs="Palatino Linotype"/>
          <w:b/>
          <w:color w:val="000000"/>
          <w:szCs w:val="24"/>
        </w:rPr>
        <w:t>A través del SAIMEX</w:t>
      </w:r>
    </w:p>
    <w:p w14:paraId="1603BECA" w14:textId="77777777" w:rsidR="00875B7E" w:rsidRPr="00BC47C3"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BC47C3" w:rsidRDefault="00714CA9" w:rsidP="006922F5">
      <w:pPr>
        <w:pStyle w:val="Ttulo2"/>
        <w:rPr>
          <w:rFonts w:eastAsia="Palatino Linotype"/>
        </w:rPr>
      </w:pPr>
      <w:r w:rsidRPr="00BC47C3">
        <w:rPr>
          <w:rFonts w:eastAsia="Palatino Linotype"/>
        </w:rPr>
        <w:t>SEGUNDO</w:t>
      </w:r>
      <w:r w:rsidR="00A970D5" w:rsidRPr="00BC47C3">
        <w:rPr>
          <w:rFonts w:eastAsia="Palatino Linotype"/>
        </w:rPr>
        <w:t xml:space="preserve">. </w:t>
      </w:r>
      <w:r w:rsidR="00EE222E" w:rsidRPr="00BC47C3">
        <w:rPr>
          <w:rFonts w:eastAsia="Palatino Linotype" w:cs="Palatino Linotype"/>
          <w:color w:val="000000"/>
        </w:rPr>
        <w:t>De la falta de respuesta del Sujeto Obligado.</w:t>
      </w:r>
    </w:p>
    <w:p w14:paraId="0328E392" w14:textId="5C9B8BF0" w:rsidR="0037112D" w:rsidRPr="00BC47C3" w:rsidRDefault="00C81415" w:rsidP="70652167">
      <w:pPr>
        <w:pBdr>
          <w:top w:val="nil"/>
          <w:left w:val="nil"/>
          <w:bottom w:val="nil"/>
          <w:right w:val="nil"/>
          <w:between w:val="nil"/>
        </w:pBdr>
        <w:contextualSpacing/>
        <w:rPr>
          <w:rFonts w:eastAsia="Palatino Linotype" w:cs="Palatino Linotype"/>
          <w:b/>
          <w:bCs/>
          <w:color w:val="000000"/>
          <w:lang w:val="es-ES"/>
        </w:rPr>
      </w:pPr>
      <w:r w:rsidRPr="00BC47C3">
        <w:rPr>
          <w:rFonts w:eastAsia="Palatino Linotype" w:cs="Palatino Linotype"/>
          <w:color w:val="000000"/>
          <w:szCs w:val="24"/>
        </w:rPr>
        <w:t>Se</w:t>
      </w:r>
      <w:r w:rsidR="00C63164" w:rsidRPr="00BC47C3">
        <w:rPr>
          <w:rFonts w:eastAsia="Palatino Linotype" w:cs="Palatino Linotype"/>
          <w:color w:val="000000"/>
          <w:szCs w:val="24"/>
        </w:rPr>
        <w:t xml:space="preserve"> observa que el Sujeto Obligado fue omiso en dar respuesta a la solicitud de información presentada por </w:t>
      </w:r>
      <w:r w:rsidR="00313505" w:rsidRPr="00BC47C3">
        <w:rPr>
          <w:rFonts w:eastAsia="Palatino Linotype" w:cs="Palatino Linotype"/>
          <w:color w:val="000000"/>
          <w:szCs w:val="24"/>
        </w:rPr>
        <w:t>la parte</w:t>
      </w:r>
      <w:r w:rsidR="00C63164" w:rsidRPr="00BC47C3">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2011BBDD" w14:textId="77777777" w:rsidR="0037112D" w:rsidRPr="00BC47C3"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BC47C3" w:rsidRDefault="00714CA9" w:rsidP="006922F5">
      <w:pPr>
        <w:pStyle w:val="Ttulo2"/>
        <w:rPr>
          <w:rFonts w:eastAsia="Palatino Linotype"/>
        </w:rPr>
      </w:pPr>
      <w:r w:rsidRPr="00BC47C3">
        <w:rPr>
          <w:rFonts w:eastAsia="Palatino Linotype"/>
        </w:rPr>
        <w:lastRenderedPageBreak/>
        <w:t>TERCERO</w:t>
      </w:r>
      <w:r w:rsidR="00A970D5" w:rsidRPr="00BC47C3">
        <w:rPr>
          <w:rFonts w:eastAsia="Palatino Linotype"/>
        </w:rPr>
        <w:t>. Del recurso de revisión.</w:t>
      </w:r>
    </w:p>
    <w:p w14:paraId="0C8C3A2F" w14:textId="3448DB9F" w:rsidR="00A970D5" w:rsidRPr="00BC47C3" w:rsidRDefault="00FE738E" w:rsidP="006922F5">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 xml:space="preserve">En fecha </w:t>
      </w:r>
      <w:r w:rsidR="00D913E9" w:rsidRPr="00BC47C3">
        <w:rPr>
          <w:rFonts w:eastAsia="Palatino Linotype" w:cs="Palatino Linotype"/>
          <w:color w:val="000000"/>
          <w:szCs w:val="24"/>
        </w:rPr>
        <w:t>d</w:t>
      </w:r>
      <w:r w:rsidR="00DE0985" w:rsidRPr="00BC47C3">
        <w:rPr>
          <w:rFonts w:eastAsia="Palatino Linotype" w:cs="Palatino Linotype"/>
          <w:color w:val="000000"/>
          <w:szCs w:val="24"/>
        </w:rPr>
        <w:t>oce de marzo</w:t>
      </w:r>
      <w:r w:rsidR="003F5991" w:rsidRPr="00BC47C3">
        <w:rPr>
          <w:rFonts w:eastAsia="Palatino Linotype" w:cs="Palatino Linotype"/>
          <w:color w:val="000000"/>
          <w:szCs w:val="24"/>
        </w:rPr>
        <w:t xml:space="preserve"> de dos mil veintiséis</w:t>
      </w:r>
      <w:r w:rsidRPr="00BC47C3">
        <w:rPr>
          <w:rFonts w:eastAsia="Palatino Linotype" w:cs="Palatino Linotype"/>
          <w:color w:val="000000"/>
          <w:szCs w:val="24"/>
        </w:rPr>
        <w:t xml:space="preserve">, </w:t>
      </w:r>
      <w:r w:rsidR="00313505" w:rsidRPr="00BC47C3">
        <w:rPr>
          <w:rFonts w:eastAsia="Palatino Linotype" w:cs="Palatino Linotype"/>
          <w:color w:val="000000"/>
          <w:szCs w:val="24"/>
        </w:rPr>
        <w:t>la</w:t>
      </w:r>
      <w:r w:rsidRPr="00BC47C3">
        <w:rPr>
          <w:rFonts w:eastAsia="Palatino Linotype" w:cs="Palatino Linotype"/>
          <w:color w:val="000000"/>
          <w:szCs w:val="24"/>
        </w:rPr>
        <w:t xml:space="preserve"> </w:t>
      </w:r>
      <w:r w:rsidR="00A8747D" w:rsidRPr="00BC47C3">
        <w:rPr>
          <w:rFonts w:eastAsia="Palatino Linotype" w:cs="Palatino Linotype"/>
          <w:color w:val="000000"/>
          <w:szCs w:val="24"/>
        </w:rPr>
        <w:t xml:space="preserve">parte </w:t>
      </w:r>
      <w:r w:rsidRPr="00BC47C3">
        <w:rPr>
          <w:rFonts w:eastAsia="Palatino Linotype" w:cs="Palatino Linotype"/>
          <w:color w:val="000000"/>
          <w:szCs w:val="24"/>
        </w:rPr>
        <w:t>Recurrente interpuso el presente recurso de revisión, el cual fue registrado</w:t>
      </w:r>
      <w:r w:rsidRPr="00BC47C3">
        <w:rPr>
          <w:rFonts w:eastAsia="Palatino Linotype" w:cs="Palatino Linotype"/>
          <w:b/>
          <w:color w:val="000000"/>
          <w:szCs w:val="24"/>
        </w:rPr>
        <w:t xml:space="preserve"> </w:t>
      </w:r>
      <w:r w:rsidRPr="00BC47C3">
        <w:rPr>
          <w:rFonts w:eastAsia="Palatino Linotype" w:cs="Palatino Linotype"/>
          <w:color w:val="000000"/>
          <w:szCs w:val="24"/>
        </w:rPr>
        <w:t>en el SAIMEX con el expediente número</w:t>
      </w:r>
      <w:r w:rsidR="00A970D5" w:rsidRPr="00BC47C3">
        <w:rPr>
          <w:rFonts w:eastAsia="Palatino Linotype" w:cs="Palatino Linotype"/>
          <w:color w:val="000000"/>
          <w:szCs w:val="24"/>
        </w:rPr>
        <w:t xml:space="preserve"> </w:t>
      </w:r>
      <w:r w:rsidR="00D52CDC" w:rsidRPr="00BC47C3">
        <w:rPr>
          <w:rFonts w:eastAsia="Palatino Linotype" w:cs="Palatino Linotype"/>
          <w:b/>
          <w:color w:val="000000"/>
          <w:szCs w:val="24"/>
        </w:rPr>
        <w:t>03215/INFOEM/IP/RR/2026</w:t>
      </w:r>
      <w:r w:rsidR="00A06896" w:rsidRPr="00BC47C3">
        <w:rPr>
          <w:rFonts w:eastAsia="Palatino Linotype" w:cs="Palatino Linotype"/>
          <w:color w:val="000000"/>
          <w:szCs w:val="24"/>
        </w:rPr>
        <w:t xml:space="preserve">, </w:t>
      </w:r>
      <w:r w:rsidR="0090115A" w:rsidRPr="00BC47C3">
        <w:rPr>
          <w:rFonts w:eastAsia="Palatino Linotype" w:cs="Palatino Linotype"/>
          <w:color w:val="000000"/>
          <w:szCs w:val="24"/>
        </w:rPr>
        <w:t>en el que manifestó</w:t>
      </w:r>
      <w:r w:rsidR="00A970D5" w:rsidRPr="00BC47C3">
        <w:rPr>
          <w:rFonts w:eastAsia="Palatino Linotype" w:cs="Palatino Linotype"/>
          <w:color w:val="000000"/>
          <w:szCs w:val="24"/>
        </w:rPr>
        <w:t xml:space="preserve"> lo siguiente:</w:t>
      </w:r>
    </w:p>
    <w:p w14:paraId="7AA0C9F4" w14:textId="046134A0" w:rsidR="00A970D5" w:rsidRPr="00BC47C3"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BC47C3" w:rsidRDefault="00A970D5" w:rsidP="006922F5">
      <w:pPr>
        <w:contextualSpacing/>
        <w:rPr>
          <w:rFonts w:eastAsia="Palatino Linotype" w:cs="Palatino Linotype"/>
          <w:b/>
        </w:rPr>
      </w:pPr>
      <w:r w:rsidRPr="00BC47C3">
        <w:rPr>
          <w:rFonts w:eastAsia="Palatino Linotype" w:cs="Palatino Linotype"/>
          <w:b/>
        </w:rPr>
        <w:t>Acto Impugnado:</w:t>
      </w:r>
      <w:r w:rsidR="00655007" w:rsidRPr="00BC47C3">
        <w:rPr>
          <w:rFonts w:eastAsia="Palatino Linotype" w:cs="Palatino Linotype"/>
          <w:b/>
        </w:rPr>
        <w:t xml:space="preserve"> </w:t>
      </w:r>
    </w:p>
    <w:p w14:paraId="4A0EFE5A" w14:textId="021ACEB6" w:rsidR="00A970D5" w:rsidRPr="00BC47C3" w:rsidRDefault="00954A0A" w:rsidP="00BF5611">
      <w:pPr>
        <w:pStyle w:val="Fundamentos"/>
        <w:rPr>
          <w:b/>
          <w:bCs/>
          <w:lang w:val="es-ES"/>
        </w:rPr>
      </w:pPr>
      <w:r w:rsidRPr="00BC47C3">
        <w:rPr>
          <w:lang w:val="es-ES"/>
        </w:rPr>
        <w:t>«</w:t>
      </w:r>
      <w:r w:rsidR="00483AD5" w:rsidRPr="00BC47C3">
        <w:t xml:space="preserve">Solicito a la administración pública municipal la relación completa y actualizada al ejercicio fiscal 2026 de todos los vehículos oficiales asignados a cada Dirección, Coordinación, Instituto, Organismo descentralizado o área administrativa, incluyendo pero no limitándose a: Presidencia Municipal Secretaría del Ayuntamiento Tesorería Seguridad Pública Tránsito Protección Civil Obras Públicas Desarrollo Económico Desarrollo Urbano DIF Municipal IMCUFIDE Cualquier otra dependencia o entidad paramunicipal Para cada vehículo, solicito se proporcione: Número de inventario o control patrimonial Dependencia o área asignada Nombre y cargo del servidor público responsable del resguardo Marca </w:t>
      </w:r>
      <w:proofErr w:type="spellStart"/>
      <w:r w:rsidR="00483AD5" w:rsidRPr="00BC47C3">
        <w:t>Submarca</w:t>
      </w:r>
      <w:proofErr w:type="spellEnd"/>
      <w:r w:rsidR="00483AD5" w:rsidRPr="00BC47C3">
        <w:t xml:space="preserve"> / Modelo Tipo (sedán, pick up, patrulla, motocicleta, ambulancia, maquinaria, etc.) Año modelo Número de serie (VIN) Número de motor Placas de circulación Estado de las placas (vigentes o vencidas) Tarjeta de circulación vigente (sí/no y fecha de vencimiento) Verificación vehicular vigente (sí/no y último periodo verificado) Seguro vigente (compañía aseguradora, número de póliza y vigencia) Tipo de adquisición (compra, arrendamiento, comodato, donación) Fecha de adquisición Monto de adquisición o renta Fuente de financiamiento (recursos propios, estatales, federales, subsidio, FORTAMUN u otros) Kilometraje actual Bitácora de mantenimiento 2025 y 2026 Estatus actual (activo, en reparación, siniestrado, dado de baja) En caso de baja, indicar fecha y procedimiento de desincorporación Asimismo, solicito: Copia del inventario patrimonial vehicular 2026 en formato Excel o CSV. Copia de las pólizas de seguro vigentes. Copia de las últimas verificaciones ambientales. Copia de resguardos firmados por los servidores públicos responsables. Copia de contratos de arrendamiento si existieran. La información solicitada corresponde a bienes muebles adquiridos con recursos públicos y forma parte de las obligaciones de transparencia relacionadas con inventarios patrimoniales, control de bienes públicos, ejercicio presupuestal y rendición de cuentas. En caso de inexistencia parcial o total de la información, solicito se indique expresamente dicha circunstancia, anexando acta del Comité de Transparencia donde conste búsqueda exhaustiva en todas las áreas competentes. La omisión de inventarios, seguros vigentes, verificaciones o documentación de resguardo podría constituir falta administrativa relevante al implicar posible uso irregular de bienes públicos, incumplimiento de obligaciones patrimoniales o riesgo financiero para el municipio. Asimismo, solicito se informe si existe algún vehículo oficial que circule sin seguro vigente, sin verificación ambiental o con placas vencidas durante el ejercicio </w:t>
      </w:r>
      <w:r w:rsidR="00483AD5" w:rsidRPr="00BC47C3">
        <w:lastRenderedPageBreak/>
        <w:t>2026, indicando responsabilidad administrativa correspondiente y medidas correctivas implementadas.</w:t>
      </w:r>
      <w:r w:rsidR="5C35490E" w:rsidRPr="00BC47C3">
        <w:rPr>
          <w:lang w:val="es-ES"/>
        </w:rPr>
        <w:t>» (Sic)</w:t>
      </w:r>
    </w:p>
    <w:p w14:paraId="3C40A441" w14:textId="77777777" w:rsidR="00A970D5" w:rsidRPr="00BC47C3" w:rsidRDefault="00A970D5" w:rsidP="006922F5">
      <w:pPr>
        <w:contextualSpacing/>
        <w:rPr>
          <w:rFonts w:eastAsia="Palatino Linotype" w:cs="Palatino Linotype"/>
          <w:iCs/>
          <w:szCs w:val="24"/>
          <w:lang w:val="es-ES"/>
        </w:rPr>
      </w:pPr>
    </w:p>
    <w:p w14:paraId="0F6CFE30" w14:textId="719FCACE" w:rsidR="00300EA0" w:rsidRPr="00BC47C3" w:rsidRDefault="002B6B0F" w:rsidP="00300EA0">
      <w:pPr>
        <w:contextualSpacing/>
        <w:rPr>
          <w:rFonts w:eastAsia="Palatino Linotype" w:cs="Palatino Linotype"/>
          <w:b/>
        </w:rPr>
      </w:pPr>
      <w:r w:rsidRPr="00BC47C3">
        <w:rPr>
          <w:rFonts w:eastAsia="Palatino Linotype" w:cs="Palatino Linotype"/>
          <w:b/>
        </w:rPr>
        <w:t>Razones o motivos de inconformidad</w:t>
      </w:r>
      <w:r w:rsidR="00300EA0" w:rsidRPr="00BC47C3">
        <w:rPr>
          <w:rFonts w:eastAsia="Palatino Linotype" w:cs="Palatino Linotype"/>
          <w:b/>
        </w:rPr>
        <w:t xml:space="preserve">: </w:t>
      </w:r>
    </w:p>
    <w:p w14:paraId="636038ED" w14:textId="03D82FEB" w:rsidR="00300EA0" w:rsidRPr="00BC47C3" w:rsidRDefault="00483AD5" w:rsidP="00300EA0">
      <w:pPr>
        <w:pStyle w:val="Fundamentos"/>
        <w:rPr>
          <w:b/>
          <w:bCs/>
          <w:lang w:val="es-ES"/>
        </w:rPr>
      </w:pPr>
      <w:r w:rsidRPr="00BC47C3">
        <w:rPr>
          <w:lang w:val="es-ES"/>
        </w:rPr>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configurando negativa ficta. No realizar búsqueda exhaustiva ni documentada 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conducta constituye 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w:t>
      </w:r>
      <w:r w:rsidRPr="00BC47C3">
        <w:rPr>
          <w:lang w:val="es-ES"/>
        </w:rPr>
        <w:lastRenderedPageBreak/>
        <w:t>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incumplimientos del Sujeto Obligado, en caso de existir, como agravante para efectos de sanción.</w:t>
      </w:r>
      <w:r w:rsidR="00650BDF" w:rsidRPr="00BC47C3">
        <w:rPr>
          <w:lang w:val="es-ES"/>
        </w:rPr>
        <w:t>»</w:t>
      </w:r>
      <w:r w:rsidR="00300EA0" w:rsidRPr="00BC47C3">
        <w:rPr>
          <w:lang w:val="es-ES"/>
        </w:rPr>
        <w:t xml:space="preserve"> (Sic)</w:t>
      </w:r>
    </w:p>
    <w:p w14:paraId="57B4A6CF" w14:textId="77777777" w:rsidR="00300EA0" w:rsidRPr="00BC47C3" w:rsidRDefault="00300EA0" w:rsidP="006922F5">
      <w:pPr>
        <w:contextualSpacing/>
        <w:rPr>
          <w:rFonts w:eastAsia="Palatino Linotype" w:cs="Palatino Linotype"/>
          <w:iCs/>
          <w:sz w:val="21"/>
          <w:szCs w:val="21"/>
          <w:lang w:val="es-ES"/>
        </w:rPr>
      </w:pPr>
    </w:p>
    <w:p w14:paraId="11D7F189" w14:textId="5AD880C6" w:rsidR="00A970D5" w:rsidRPr="00BC47C3" w:rsidRDefault="00714CA9" w:rsidP="006922F5">
      <w:pPr>
        <w:pStyle w:val="Ttulo2"/>
        <w:rPr>
          <w:rFonts w:eastAsia="Palatino Linotype"/>
        </w:rPr>
      </w:pPr>
      <w:r w:rsidRPr="00BC47C3">
        <w:rPr>
          <w:rFonts w:eastAsia="Palatino Linotype"/>
        </w:rPr>
        <w:t>CUAR</w:t>
      </w:r>
      <w:r w:rsidR="006E3088" w:rsidRPr="00BC47C3">
        <w:rPr>
          <w:rFonts w:eastAsia="Palatino Linotype"/>
        </w:rPr>
        <w:t>TO</w:t>
      </w:r>
      <w:r w:rsidR="00A970D5" w:rsidRPr="00BC47C3">
        <w:rPr>
          <w:rFonts w:eastAsia="Palatino Linotype"/>
        </w:rPr>
        <w:t>. Del turno y admisión del recurso de revisión.</w:t>
      </w:r>
    </w:p>
    <w:p w14:paraId="2459DEBA" w14:textId="23FE8CB4" w:rsidR="00A970D5" w:rsidRPr="00BC47C3" w:rsidRDefault="70652167" w:rsidP="4989B47E">
      <w:pPr>
        <w:pBdr>
          <w:top w:val="nil"/>
          <w:left w:val="nil"/>
          <w:bottom w:val="nil"/>
          <w:right w:val="nil"/>
          <w:between w:val="nil"/>
        </w:pBdr>
        <w:contextualSpacing/>
        <w:rPr>
          <w:rFonts w:eastAsia="Palatino Linotype" w:cs="Palatino Linotype"/>
          <w:color w:val="000000"/>
          <w:szCs w:val="24"/>
          <w:lang w:val="es-ES"/>
        </w:rPr>
      </w:pPr>
      <w:r w:rsidRPr="00BC47C3">
        <w:rPr>
          <w:rFonts w:eastAsia="Palatino Linotype" w:cs="Palatino Linotype"/>
          <w:color w:val="000000" w:themeColor="text1"/>
          <w:lang w:val="es-ES"/>
        </w:rPr>
        <w:t xml:space="preserve">Medio de impugnación que le fue turnado al </w:t>
      </w:r>
      <w:r w:rsidRPr="00BC47C3">
        <w:rPr>
          <w:rFonts w:eastAsia="Palatino Linotype" w:cs="Palatino Linotype"/>
          <w:b/>
          <w:bCs/>
          <w:color w:val="000000" w:themeColor="text1"/>
          <w:lang w:val="es-ES"/>
        </w:rPr>
        <w:t xml:space="preserve">Comisionado Presidente José Martínez </w:t>
      </w:r>
      <w:r w:rsidRPr="00BC47C3">
        <w:rPr>
          <w:rFonts w:eastAsia="Palatino Linotype" w:cs="Palatino Linotype"/>
          <w:b/>
          <w:bCs/>
          <w:color w:val="000000" w:themeColor="text1"/>
          <w:szCs w:val="24"/>
          <w:lang w:val="es-ES"/>
        </w:rPr>
        <w:t>Vilchis</w:t>
      </w:r>
      <w:r w:rsidRPr="00BC47C3">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BC47C3">
        <w:rPr>
          <w:rFonts w:eastAsia="Palatino Linotype" w:cs="Palatino Linotype"/>
          <w:color w:val="000000" w:themeColor="text1"/>
          <w:szCs w:val="24"/>
          <w:lang w:val="es-ES"/>
        </w:rPr>
        <w:t xml:space="preserve"> admisión de fecha </w:t>
      </w:r>
      <w:r w:rsidR="00B1463B" w:rsidRPr="00BC47C3">
        <w:rPr>
          <w:rFonts w:eastAsia="Palatino Linotype" w:cs="Palatino Linotype"/>
          <w:color w:val="000000" w:themeColor="text1"/>
          <w:szCs w:val="24"/>
          <w:lang w:val="es-ES"/>
        </w:rPr>
        <w:t>dieci</w:t>
      </w:r>
      <w:r w:rsidR="004C2212" w:rsidRPr="00BC47C3">
        <w:rPr>
          <w:rFonts w:eastAsia="Palatino Linotype" w:cs="Palatino Linotype"/>
          <w:color w:val="000000" w:themeColor="text1"/>
          <w:szCs w:val="24"/>
          <w:lang w:val="es-ES"/>
        </w:rPr>
        <w:t>siete</w:t>
      </w:r>
      <w:r w:rsidR="007F21DB" w:rsidRPr="00BC47C3">
        <w:rPr>
          <w:rFonts w:eastAsia="Palatino Linotype" w:cs="Palatino Linotype"/>
          <w:color w:val="000000" w:themeColor="text1"/>
          <w:szCs w:val="24"/>
          <w:lang w:val="es-ES"/>
        </w:rPr>
        <w:t xml:space="preserve"> de </w:t>
      </w:r>
      <w:r w:rsidR="004C2212" w:rsidRPr="00BC47C3">
        <w:rPr>
          <w:rFonts w:eastAsia="Palatino Linotype" w:cs="Palatino Linotype"/>
          <w:color w:val="000000" w:themeColor="text1"/>
          <w:szCs w:val="24"/>
          <w:lang w:val="es-ES"/>
        </w:rPr>
        <w:t>marzo</w:t>
      </w:r>
      <w:r w:rsidR="00744039" w:rsidRPr="00BC47C3">
        <w:rPr>
          <w:rFonts w:eastAsia="Palatino Linotype" w:cs="Palatino Linotype"/>
          <w:color w:val="000000" w:themeColor="text1"/>
          <w:szCs w:val="24"/>
          <w:lang w:val="es-ES"/>
        </w:rPr>
        <w:t xml:space="preserve"> de dos mil veinti</w:t>
      </w:r>
      <w:r w:rsidR="00C22CBD" w:rsidRPr="00BC47C3">
        <w:rPr>
          <w:rFonts w:eastAsia="Palatino Linotype" w:cs="Palatino Linotype"/>
          <w:color w:val="000000" w:themeColor="text1"/>
          <w:szCs w:val="24"/>
          <w:lang w:val="es-ES"/>
        </w:rPr>
        <w:t>séis</w:t>
      </w:r>
      <w:r w:rsidRPr="00BC47C3">
        <w:rPr>
          <w:rFonts w:eastAsia="Palatino Linotype" w:cs="Palatino Linotype"/>
          <w:color w:val="000000" w:themeColor="text1"/>
          <w:szCs w:val="24"/>
          <w:lang w:val="es-ES"/>
        </w:rPr>
        <w:t xml:space="preserve">, </w:t>
      </w:r>
      <w:r w:rsidRPr="00BC47C3">
        <w:rPr>
          <w:rFonts w:eastAsia="Palatino Linotype" w:cs="Palatino Linotype"/>
          <w:szCs w:val="24"/>
          <w:lang w:val="es-ES"/>
        </w:rPr>
        <w:t>otorgándose</w:t>
      </w:r>
      <w:r w:rsidRPr="00BC47C3">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BC47C3" w:rsidRDefault="00A970D5" w:rsidP="006922F5">
      <w:pPr>
        <w:pBdr>
          <w:top w:val="nil"/>
          <w:left w:val="nil"/>
          <w:bottom w:val="nil"/>
          <w:right w:val="nil"/>
          <w:between w:val="nil"/>
        </w:pBdr>
        <w:contextualSpacing/>
        <w:rPr>
          <w:rFonts w:eastAsia="Palatino Linotype" w:cs="Palatino Linotype"/>
          <w:color w:val="000000"/>
          <w:sz w:val="21"/>
          <w:szCs w:val="21"/>
        </w:rPr>
      </w:pPr>
    </w:p>
    <w:p w14:paraId="05AE608B" w14:textId="67148E9E" w:rsidR="00A970D5" w:rsidRPr="00BC47C3" w:rsidRDefault="00714CA9" w:rsidP="006922F5">
      <w:pPr>
        <w:pStyle w:val="Ttulo2"/>
        <w:rPr>
          <w:rFonts w:eastAsia="Palatino Linotype"/>
        </w:rPr>
      </w:pPr>
      <w:r w:rsidRPr="00BC47C3">
        <w:rPr>
          <w:rFonts w:eastAsia="Palatino Linotype"/>
        </w:rPr>
        <w:t>QUIN</w:t>
      </w:r>
      <w:r w:rsidR="009B56A2" w:rsidRPr="00BC47C3">
        <w:rPr>
          <w:rFonts w:eastAsia="Palatino Linotype"/>
        </w:rPr>
        <w:t>TO</w:t>
      </w:r>
      <w:r w:rsidR="00A970D5" w:rsidRPr="00BC47C3">
        <w:rPr>
          <w:rFonts w:eastAsia="Palatino Linotype"/>
        </w:rPr>
        <w:t>. De la etapa de instrucción.</w:t>
      </w:r>
    </w:p>
    <w:p w14:paraId="0B6D9775" w14:textId="263B549B" w:rsidR="00EC115E" w:rsidRPr="00BC47C3" w:rsidRDefault="00744039" w:rsidP="44E9108F">
      <w:pPr>
        <w:pBdr>
          <w:top w:val="nil"/>
          <w:left w:val="nil"/>
          <w:bottom w:val="nil"/>
          <w:right w:val="nil"/>
          <w:between w:val="nil"/>
        </w:pBdr>
        <w:contextualSpacing/>
        <w:rPr>
          <w:szCs w:val="24"/>
        </w:rPr>
      </w:pPr>
      <w:r w:rsidRPr="00BC47C3">
        <w:rPr>
          <w:rFonts w:eastAsia="Palatino Linotype" w:cs="Palatino Linotype"/>
          <w:color w:val="000000" w:themeColor="text1"/>
          <w:szCs w:val="24"/>
          <w:lang w:val="es-ES"/>
        </w:rPr>
        <w:t>S</w:t>
      </w:r>
      <w:r w:rsidR="006C7C4B" w:rsidRPr="00BC47C3">
        <w:rPr>
          <w:rFonts w:eastAsia="Palatino Linotype" w:cs="Palatino Linotype"/>
          <w:color w:val="000000" w:themeColor="text1"/>
          <w:szCs w:val="24"/>
          <w:lang w:val="es-ES"/>
        </w:rPr>
        <w:t>e observa que el Sujeto Obligado omitió rendir el Informe Justificado</w:t>
      </w:r>
      <w:r w:rsidRPr="00BC47C3">
        <w:rPr>
          <w:rFonts w:eastAsia="Palatino Linotype" w:cs="Palatino Linotype"/>
          <w:color w:val="000000" w:themeColor="text1"/>
          <w:szCs w:val="24"/>
          <w:lang w:val="es-ES"/>
        </w:rPr>
        <w:t xml:space="preserve"> durante la etapa de instrucción</w:t>
      </w:r>
      <w:r w:rsidR="006C7C4B" w:rsidRPr="00BC47C3">
        <w:rPr>
          <w:rFonts w:eastAsia="Palatino Linotype" w:cs="Palatino Linotype"/>
          <w:color w:val="000000" w:themeColor="text1"/>
          <w:szCs w:val="24"/>
          <w:lang w:val="es-ES"/>
        </w:rPr>
        <w:t xml:space="preserve">. </w:t>
      </w:r>
      <w:r w:rsidR="00E472FC" w:rsidRPr="00BC47C3">
        <w:rPr>
          <w:rFonts w:eastAsia="Palatino Linotype" w:cs="Palatino Linotype"/>
          <w:color w:val="000000" w:themeColor="text1"/>
          <w:szCs w:val="24"/>
          <w:lang w:val="es-ES"/>
        </w:rPr>
        <w:t>Asimismo</w:t>
      </w:r>
      <w:r w:rsidR="00313505" w:rsidRPr="00BC47C3">
        <w:rPr>
          <w:rFonts w:eastAsia="Palatino Linotype" w:cs="Palatino Linotype"/>
          <w:color w:val="000000" w:themeColor="text1"/>
          <w:szCs w:val="24"/>
          <w:lang w:val="es-ES"/>
        </w:rPr>
        <w:t>, la</w:t>
      </w:r>
      <w:r w:rsidR="006C7C4B" w:rsidRPr="00BC47C3">
        <w:rPr>
          <w:rFonts w:eastAsia="Palatino Linotype" w:cs="Palatino Linotype"/>
          <w:color w:val="000000" w:themeColor="text1"/>
          <w:szCs w:val="24"/>
          <w:lang w:val="es-ES"/>
        </w:rPr>
        <w:t xml:space="preserve"> </w:t>
      </w:r>
      <w:r w:rsidRPr="00BC47C3">
        <w:rPr>
          <w:rFonts w:eastAsia="Palatino Linotype" w:cs="Palatino Linotype"/>
          <w:color w:val="000000" w:themeColor="text1"/>
          <w:szCs w:val="24"/>
          <w:lang w:val="es-ES"/>
        </w:rPr>
        <w:t xml:space="preserve">parte </w:t>
      </w:r>
      <w:r w:rsidR="006C7C4B" w:rsidRPr="00BC47C3">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BC47C3"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BC47C3" w:rsidRDefault="009B56A2" w:rsidP="006922F5">
      <w:pPr>
        <w:pStyle w:val="Ttulo2"/>
        <w:rPr>
          <w:rFonts w:eastAsia="Palatino Linotype"/>
        </w:rPr>
      </w:pPr>
      <w:r w:rsidRPr="00BC47C3">
        <w:rPr>
          <w:rFonts w:eastAsia="Palatino Linotype"/>
        </w:rPr>
        <w:t>S</w:t>
      </w:r>
      <w:r w:rsidR="00271737" w:rsidRPr="00BC47C3">
        <w:rPr>
          <w:rFonts w:eastAsia="Palatino Linotype"/>
        </w:rPr>
        <w:t>EXTO</w:t>
      </w:r>
      <w:r w:rsidR="00A970D5" w:rsidRPr="00BC47C3">
        <w:rPr>
          <w:rFonts w:eastAsia="Palatino Linotype"/>
        </w:rPr>
        <w:t>. Del cierre de instrucción.</w:t>
      </w:r>
    </w:p>
    <w:p w14:paraId="2456F4BD" w14:textId="6F6662BA" w:rsidR="00A970D5" w:rsidRPr="00BC47C3" w:rsidRDefault="00A970D5" w:rsidP="006922F5">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 xml:space="preserve">Así, una vez transcurrido el término legal, </w:t>
      </w:r>
      <w:r w:rsidR="00744039" w:rsidRPr="00BC47C3">
        <w:rPr>
          <w:rFonts w:eastAsia="Palatino Linotype" w:cs="Palatino Linotype"/>
          <w:color w:val="000000"/>
          <w:szCs w:val="24"/>
        </w:rPr>
        <w:t xml:space="preserve">el </w:t>
      </w:r>
      <w:r w:rsidR="000C441E" w:rsidRPr="00BC47C3">
        <w:rPr>
          <w:rFonts w:eastAsia="Palatino Linotype" w:cs="Palatino Linotype"/>
          <w:color w:val="000000"/>
          <w:szCs w:val="24"/>
        </w:rPr>
        <w:t>veintisiete</w:t>
      </w:r>
      <w:r w:rsidR="00A808FA" w:rsidRPr="00BC47C3">
        <w:rPr>
          <w:rFonts w:eastAsia="Palatino Linotype" w:cs="Palatino Linotype"/>
          <w:color w:val="000000"/>
          <w:szCs w:val="24"/>
        </w:rPr>
        <w:t xml:space="preserve"> de marzo</w:t>
      </w:r>
      <w:r w:rsidR="008F7F35" w:rsidRPr="00BC47C3">
        <w:rPr>
          <w:rFonts w:eastAsia="Palatino Linotype" w:cs="Palatino Linotype"/>
          <w:color w:val="000000"/>
          <w:szCs w:val="24"/>
        </w:rPr>
        <w:t xml:space="preserve"> de dos mil veintis</w:t>
      </w:r>
      <w:r w:rsidR="00B1463B" w:rsidRPr="00BC47C3">
        <w:rPr>
          <w:rFonts w:eastAsia="Palatino Linotype" w:cs="Palatino Linotype"/>
          <w:color w:val="000000"/>
          <w:szCs w:val="24"/>
        </w:rPr>
        <w:t>iete</w:t>
      </w:r>
      <w:r w:rsidR="00744039" w:rsidRPr="00BC47C3">
        <w:rPr>
          <w:rFonts w:eastAsia="Palatino Linotype" w:cs="Palatino Linotype"/>
          <w:color w:val="000000"/>
          <w:szCs w:val="24"/>
        </w:rPr>
        <w:t xml:space="preserve"> </w:t>
      </w:r>
      <w:r w:rsidRPr="00BC47C3">
        <w:rPr>
          <w:rFonts w:eastAsia="Palatino Linotype" w:cs="Palatino Linotype"/>
          <w:color w:val="000000"/>
          <w:szCs w:val="24"/>
        </w:rPr>
        <w:t>se decretó el cierre de instru</w:t>
      </w:r>
      <w:r w:rsidR="00AE6B11" w:rsidRPr="00BC47C3">
        <w:rPr>
          <w:rFonts w:eastAsia="Palatino Linotype" w:cs="Palatino Linotype"/>
          <w:color w:val="000000"/>
          <w:szCs w:val="24"/>
        </w:rPr>
        <w:t>cción</w:t>
      </w:r>
      <w:r w:rsidRPr="00BC47C3">
        <w:rPr>
          <w:rFonts w:eastAsia="Palatino Linotype" w:cs="Palatino Linotype"/>
          <w:color w:val="000000"/>
          <w:szCs w:val="24"/>
        </w:rPr>
        <w:t xml:space="preserve">, en términos del artículo 185 </w:t>
      </w:r>
      <w:r w:rsidR="004579DC" w:rsidRPr="00BC47C3">
        <w:rPr>
          <w:rFonts w:eastAsia="Palatino Linotype" w:cs="Palatino Linotype"/>
          <w:color w:val="000000"/>
          <w:szCs w:val="24"/>
        </w:rPr>
        <w:t>f</w:t>
      </w:r>
      <w:r w:rsidRPr="00BC47C3">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BC47C3"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BC47C3" w:rsidRDefault="00A970D5" w:rsidP="006922F5">
      <w:pPr>
        <w:pStyle w:val="Ttulo1"/>
        <w:rPr>
          <w:rFonts w:eastAsia="Palatino Linotype"/>
          <w:lang w:val="es-ES_tradnl"/>
        </w:rPr>
      </w:pPr>
      <w:r w:rsidRPr="00BC47C3">
        <w:rPr>
          <w:rFonts w:eastAsia="Palatino Linotype"/>
          <w:lang w:val="es-ES_tradnl"/>
        </w:rPr>
        <w:t>C O N S I D E R A N D O</w:t>
      </w:r>
    </w:p>
    <w:p w14:paraId="32546275" w14:textId="77777777" w:rsidR="00A970D5" w:rsidRPr="00BC47C3"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BC47C3" w:rsidRDefault="00A970D5" w:rsidP="006922F5">
      <w:pPr>
        <w:pStyle w:val="Ttulo2"/>
        <w:rPr>
          <w:rFonts w:eastAsia="Palatino Linotype"/>
        </w:rPr>
      </w:pPr>
      <w:r w:rsidRPr="00BC47C3">
        <w:rPr>
          <w:rFonts w:eastAsia="Palatino Linotype"/>
        </w:rPr>
        <w:t>PRIMERO. De la competencia.</w:t>
      </w:r>
    </w:p>
    <w:p w14:paraId="3C7A77AD" w14:textId="72412660" w:rsidR="006A0458" w:rsidRPr="00BC47C3" w:rsidRDefault="006A0458" w:rsidP="006A0458">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BC47C3">
        <w:rPr>
          <w:rFonts w:eastAsia="Palatino Linotype" w:cs="Palatino Linotype"/>
          <w:color w:val="000000"/>
          <w:szCs w:val="24"/>
        </w:rPr>
        <w:t>cuadragésimo cuarto, cuadragésimo quinto y cuadragésimo sexto</w:t>
      </w:r>
      <w:r w:rsidR="005D4749" w:rsidRPr="00BC47C3">
        <w:rPr>
          <w:rFonts w:eastAsia="Palatino Linotype" w:cs="Palatino Linotype"/>
          <w:color w:val="000000"/>
          <w:szCs w:val="24"/>
        </w:rPr>
        <w:t xml:space="preserve"> </w:t>
      </w:r>
      <w:r w:rsidRPr="00BC47C3">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BC47C3"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BC47C3" w:rsidRDefault="00A970D5" w:rsidP="006922F5">
      <w:pPr>
        <w:pStyle w:val="Ttulo2"/>
        <w:rPr>
          <w:rFonts w:eastAsia="Palatino Linotype"/>
        </w:rPr>
      </w:pPr>
      <w:r w:rsidRPr="00BC47C3">
        <w:rPr>
          <w:rFonts w:eastAsia="Palatino Linotype"/>
        </w:rPr>
        <w:t xml:space="preserve">SEGUNDO. </w:t>
      </w:r>
      <w:r w:rsidR="00E95029" w:rsidRPr="00BC47C3">
        <w:rPr>
          <w:rFonts w:eastAsia="Palatino Linotype"/>
        </w:rPr>
        <w:t xml:space="preserve">De la </w:t>
      </w:r>
      <w:r w:rsidR="00E33933" w:rsidRPr="00BC47C3">
        <w:rPr>
          <w:rFonts w:eastAsia="Palatino Linotype"/>
        </w:rPr>
        <w:t>o</w:t>
      </w:r>
      <w:r w:rsidR="00E95029" w:rsidRPr="00BC47C3">
        <w:rPr>
          <w:rFonts w:eastAsia="Palatino Linotype"/>
        </w:rPr>
        <w:t xml:space="preserve">portunidad y </w:t>
      </w:r>
      <w:r w:rsidR="00E33933" w:rsidRPr="00BC47C3">
        <w:rPr>
          <w:rFonts w:eastAsia="Palatino Linotype"/>
        </w:rPr>
        <w:t>p</w:t>
      </w:r>
      <w:r w:rsidR="00E95029" w:rsidRPr="00BC47C3">
        <w:rPr>
          <w:rFonts w:eastAsia="Palatino Linotype"/>
        </w:rPr>
        <w:t xml:space="preserve">rocedencia del </w:t>
      </w:r>
      <w:r w:rsidR="00E33933" w:rsidRPr="00BC47C3">
        <w:rPr>
          <w:rFonts w:eastAsia="Palatino Linotype"/>
        </w:rPr>
        <w:t>r</w:t>
      </w:r>
      <w:r w:rsidR="00E95029" w:rsidRPr="00BC47C3">
        <w:rPr>
          <w:rFonts w:eastAsia="Palatino Linotype"/>
        </w:rPr>
        <w:t xml:space="preserve">ecurso de </w:t>
      </w:r>
      <w:r w:rsidR="00E33933" w:rsidRPr="00BC47C3">
        <w:rPr>
          <w:rFonts w:eastAsia="Palatino Linotype"/>
        </w:rPr>
        <w:t>r</w:t>
      </w:r>
      <w:r w:rsidR="00E95029" w:rsidRPr="00BC47C3">
        <w:rPr>
          <w:rFonts w:eastAsia="Palatino Linotype"/>
        </w:rPr>
        <w:t>evisión</w:t>
      </w:r>
      <w:r w:rsidRPr="00BC47C3">
        <w:rPr>
          <w:rFonts w:eastAsia="Palatino Linotype"/>
        </w:rPr>
        <w:t xml:space="preserve">. </w:t>
      </w:r>
    </w:p>
    <w:p w14:paraId="2D7B2CC9" w14:textId="66FD4AC9" w:rsidR="00307373" w:rsidRPr="00BC47C3" w:rsidRDefault="00307373" w:rsidP="00307373">
      <w:r w:rsidRPr="00BC47C3">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BC47C3">
        <w:t>días</w:t>
      </w:r>
      <w:r w:rsidRPr="00BC47C3">
        <w:t xml:space="preserve"> </w:t>
      </w:r>
      <w:r w:rsidR="005237D3" w:rsidRPr="00BC47C3">
        <w:t>hábiles</w:t>
      </w:r>
      <w:r w:rsidRPr="00BC47C3">
        <w:t xml:space="preserve">, siguientes a la fecha de la </w:t>
      </w:r>
      <w:r w:rsidR="005237D3" w:rsidRPr="00BC47C3">
        <w:t>notificación</w:t>
      </w:r>
      <w:r w:rsidRPr="00BC47C3">
        <w:t xml:space="preserve"> de la respuesta y que ante la falta de respuesta del sujeto obligado, dentro de los plazos establecidos en la Ley de Transparencia Local, a una solicitud de acceso a la </w:t>
      </w:r>
      <w:r w:rsidR="005237D3" w:rsidRPr="00BC47C3">
        <w:t>información</w:t>
      </w:r>
      <w:r w:rsidRPr="00BC47C3">
        <w:t xml:space="preserve"> </w:t>
      </w:r>
      <w:r w:rsidR="005237D3" w:rsidRPr="00BC47C3">
        <w:t>pública</w:t>
      </w:r>
      <w:r w:rsidRPr="00BC47C3">
        <w:t xml:space="preserve">, el recurso </w:t>
      </w:r>
      <w:r w:rsidR="005237D3" w:rsidRPr="00BC47C3">
        <w:t>podrá</w:t>
      </w:r>
      <w:r w:rsidRPr="00BC47C3">
        <w:t>́ ser interpuesto en cualquier momento, por lo que la interposición del presente recurso de revisión resulta oportuna.</w:t>
      </w:r>
    </w:p>
    <w:p w14:paraId="6971D4B6" w14:textId="77777777" w:rsidR="00307373" w:rsidRPr="00BC47C3" w:rsidRDefault="00307373" w:rsidP="00307373"/>
    <w:p w14:paraId="4EFA4513" w14:textId="77777777" w:rsidR="00307373" w:rsidRPr="00BC47C3" w:rsidRDefault="00307373" w:rsidP="00307373">
      <w:r w:rsidRPr="00BC47C3">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BC47C3" w:rsidRDefault="00307373" w:rsidP="00307373"/>
    <w:p w14:paraId="07247CEA" w14:textId="77777777" w:rsidR="00307373" w:rsidRPr="00BC47C3" w:rsidRDefault="00307373" w:rsidP="00307373">
      <w:r w:rsidRPr="00BC47C3">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BC47C3" w:rsidRDefault="00307373" w:rsidP="00307373"/>
    <w:p w14:paraId="132CB116" w14:textId="21D9F5B0" w:rsidR="00A970D5" w:rsidRPr="00BC47C3" w:rsidRDefault="00307373" w:rsidP="00307373">
      <w:r w:rsidRPr="00BC47C3">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BC47C3" w:rsidRDefault="00FE7B8E" w:rsidP="006922F5"/>
    <w:p w14:paraId="4011745D" w14:textId="7C228806" w:rsidR="00454915" w:rsidRPr="00BC47C3" w:rsidRDefault="006D1A4C" w:rsidP="00454915">
      <w:pPr>
        <w:pStyle w:val="Ttulo2"/>
        <w:rPr>
          <w:rFonts w:eastAsia="Palatino Linotype"/>
        </w:rPr>
      </w:pPr>
      <w:r w:rsidRPr="00BC47C3">
        <w:rPr>
          <w:rFonts w:eastAsia="Palatino Linotype"/>
        </w:rPr>
        <w:lastRenderedPageBreak/>
        <w:t>TERCERO</w:t>
      </w:r>
      <w:r w:rsidR="00454915" w:rsidRPr="00BC47C3">
        <w:rPr>
          <w:rFonts w:eastAsia="Palatino Linotype"/>
        </w:rPr>
        <w:t>. Estudio y resolución del asunto.</w:t>
      </w:r>
    </w:p>
    <w:p w14:paraId="55E237A0" w14:textId="77777777" w:rsidR="00721C92" w:rsidRPr="00BC47C3" w:rsidRDefault="00721C92" w:rsidP="00721C92">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BC47C3"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BC47C3" w:rsidRDefault="00721C92" w:rsidP="00721C92">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BC47C3"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BC47C3" w:rsidRDefault="00B9494D" w:rsidP="00721C92">
      <w:pPr>
        <w:pBdr>
          <w:top w:val="nil"/>
          <w:left w:val="nil"/>
          <w:bottom w:val="nil"/>
          <w:right w:val="nil"/>
          <w:between w:val="nil"/>
        </w:pBdr>
        <w:contextualSpacing/>
        <w:rPr>
          <w:rFonts w:eastAsia="Palatino Linotype" w:cs="Palatino Linotype"/>
          <w:color w:val="000000"/>
          <w:szCs w:val="24"/>
          <w:lang w:val="es-ES"/>
        </w:rPr>
      </w:pPr>
      <w:r w:rsidRPr="00BC47C3">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BC47C3"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BC47C3" w:rsidRDefault="00896FAA" w:rsidP="00721C92">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lastRenderedPageBreak/>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BC47C3">
        <w:rPr>
          <w:rFonts w:eastAsia="Palatino Linotype" w:cs="Palatino Linotype"/>
          <w:color w:val="000000"/>
          <w:szCs w:val="24"/>
        </w:rPr>
        <w:t>;</w:t>
      </w:r>
      <w:r w:rsidRPr="00BC47C3">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BC47C3"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BC47C3" w:rsidRDefault="00C74B74" w:rsidP="00721C92">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BC47C3"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BC47C3" w:rsidRDefault="00B37BDF" w:rsidP="00721C92">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BC47C3"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BC47C3" w:rsidRDefault="00935A6E" w:rsidP="00721C92">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BC47C3"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BC47C3" w:rsidRDefault="00AA3F2D" w:rsidP="00454915">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091C196" w14:textId="77777777" w:rsidR="00721C92" w:rsidRPr="00BC47C3"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BC47C3" w:rsidRDefault="00B65E7B" w:rsidP="00454915">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BC47C3"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BC47C3" w:rsidRDefault="00B65E7B" w:rsidP="00B65E7B">
      <w:pPr>
        <w:pStyle w:val="Ttulo3"/>
        <w:rPr>
          <w:rFonts w:eastAsia="Palatino Linotype"/>
        </w:rPr>
      </w:pPr>
      <w:r w:rsidRPr="00BC47C3">
        <w:rPr>
          <w:rFonts w:eastAsia="Palatino Linotype"/>
        </w:rPr>
        <w:lastRenderedPageBreak/>
        <w:t>De la clasificación de la información</w:t>
      </w:r>
    </w:p>
    <w:p w14:paraId="134AFACB" w14:textId="496C50EF" w:rsidR="0023004E" w:rsidRPr="00BC47C3" w:rsidRDefault="0023004E" w:rsidP="0023004E">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BC47C3"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BC47C3" w:rsidRDefault="00BD6B07" w:rsidP="00BD6B07">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BC47C3"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BC47C3" w:rsidRDefault="00BD6B07" w:rsidP="00BD6B07">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BC47C3"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BC47C3" w:rsidRDefault="00BD6B07" w:rsidP="00BD6B07">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lastRenderedPageBreak/>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BC47C3"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BC47C3" w:rsidRDefault="00BD6B07" w:rsidP="00BD6B07">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BC47C3"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BC47C3" w:rsidRDefault="00BD6B07" w:rsidP="00BD6B07">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BC47C3"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BC47C3" w:rsidRDefault="0023004E" w:rsidP="0023004E">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BC47C3"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BC47C3" w:rsidRDefault="0023004E" w:rsidP="0023004E">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lastRenderedPageBreak/>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BC47C3"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BC47C3" w:rsidRDefault="00BE538B" w:rsidP="00BE538B">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BC47C3"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BC47C3" w:rsidRDefault="00BE538B" w:rsidP="00BE538B">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BC47C3"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BC47C3" w:rsidRDefault="00BE538B" w:rsidP="00BE538B">
      <w:pPr>
        <w:pStyle w:val="Ttulo3"/>
        <w:rPr>
          <w:rFonts w:eastAsia="Palatino Linotype"/>
        </w:rPr>
      </w:pPr>
      <w:r w:rsidRPr="00BC47C3">
        <w:rPr>
          <w:rFonts w:eastAsia="Palatino Linotype"/>
        </w:rPr>
        <w:t>De la vista a los órganos de control interno competentes.</w:t>
      </w:r>
    </w:p>
    <w:p w14:paraId="181B236D" w14:textId="1348E4A3" w:rsidR="00721C92" w:rsidRPr="00BC47C3" w:rsidRDefault="007C6D07" w:rsidP="00454915">
      <w:pPr>
        <w:pBdr>
          <w:top w:val="nil"/>
          <w:left w:val="nil"/>
          <w:bottom w:val="nil"/>
          <w:right w:val="nil"/>
          <w:between w:val="nil"/>
        </w:pBdr>
        <w:contextualSpacing/>
        <w:rPr>
          <w:rFonts w:eastAsia="Palatino Linotype" w:cs="Palatino Linotype"/>
          <w:color w:val="000000"/>
          <w:szCs w:val="24"/>
        </w:rPr>
      </w:pPr>
      <w:r w:rsidRPr="00BC47C3">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BC47C3">
        <w:rPr>
          <w:rFonts w:eastAsia="Palatino Linotype" w:cs="Palatino Linotype"/>
          <w:color w:val="000000"/>
          <w:szCs w:val="24"/>
        </w:rPr>
        <w:lastRenderedPageBreak/>
        <w:t xml:space="preserve">estatal </w:t>
      </w:r>
      <w:r w:rsidRPr="00BC47C3">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BC47C3"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252FDBE8" w:rsidR="006C1245" w:rsidRPr="00BC47C3" w:rsidRDefault="006C1245" w:rsidP="006C1245">
      <w:pPr>
        <w:contextualSpacing/>
        <w:rPr>
          <w:rFonts w:eastAsia="Palatino Linotype" w:cs="Palatino Linotype"/>
          <w:color w:val="000000"/>
          <w:szCs w:val="24"/>
        </w:rPr>
      </w:pPr>
      <w:r w:rsidRPr="00BC47C3">
        <w:rPr>
          <w:rFonts w:eastAsia="Palatino Linotype" w:cs="Palatino Linotype"/>
          <w:color w:val="000000"/>
          <w:szCs w:val="24"/>
        </w:rPr>
        <w:t>Así, con fundamento en el artículo 186 fracción I</w:t>
      </w:r>
      <w:r w:rsidR="004957D3" w:rsidRPr="00BC47C3">
        <w:rPr>
          <w:rFonts w:eastAsia="Palatino Linotype" w:cs="Palatino Linotype"/>
          <w:color w:val="000000"/>
          <w:szCs w:val="24"/>
        </w:rPr>
        <w:t>V</w:t>
      </w:r>
      <w:r w:rsidRPr="00BC47C3">
        <w:rPr>
          <w:rFonts w:eastAsia="Palatino Linotype" w:cs="Palatino Linotype"/>
          <w:color w:val="000000"/>
          <w:szCs w:val="24"/>
        </w:rPr>
        <w:t xml:space="preserve"> de la Ley de Transparencia y Acceso a la Información Pública del Estado de México y Municipios, </w:t>
      </w:r>
      <w:r w:rsidR="008F376C" w:rsidRPr="00BC47C3">
        <w:rPr>
          <w:rFonts w:eastAsia="Palatino Linotype" w:cs="Palatino Linotype"/>
          <w:color w:val="000000"/>
          <w:szCs w:val="24"/>
          <w:lang w:val="es-MX"/>
        </w:rPr>
        <w:t xml:space="preserve">se </w:t>
      </w:r>
      <w:r w:rsidR="008F376C" w:rsidRPr="00BC47C3">
        <w:rPr>
          <w:rFonts w:eastAsia="Palatino Linotype" w:cs="Palatino Linotype"/>
          <w:b/>
          <w:color w:val="000000"/>
          <w:szCs w:val="24"/>
          <w:lang w:val="es-MX"/>
        </w:rPr>
        <w:t>ORDENA</w:t>
      </w:r>
      <w:r w:rsidR="008F376C" w:rsidRPr="00BC47C3">
        <w:rPr>
          <w:rFonts w:eastAsia="Palatino Linotype" w:cs="Palatino Linotype"/>
          <w:color w:val="000000"/>
          <w:szCs w:val="24"/>
          <w:lang w:val="es-MX"/>
        </w:rPr>
        <w:t xml:space="preserve"> al </w:t>
      </w:r>
      <w:r w:rsidR="008F376C" w:rsidRPr="00BC47C3">
        <w:rPr>
          <w:rFonts w:eastAsia="Palatino Linotype" w:cs="Palatino Linotype"/>
          <w:bCs/>
          <w:color w:val="000000"/>
          <w:szCs w:val="24"/>
          <w:lang w:val="es-MX"/>
        </w:rPr>
        <w:t>Sujeto Obligado que</w:t>
      </w:r>
      <w:r w:rsidR="008F376C" w:rsidRPr="00BC47C3">
        <w:rPr>
          <w:rFonts w:eastAsia="Palatino Linotype" w:cs="Palatino Linotype"/>
          <w:color w:val="000000"/>
          <w:szCs w:val="24"/>
          <w:lang w:val="es-MX"/>
        </w:rPr>
        <w:t xml:space="preserve"> atienda la solicitud de información</w:t>
      </w:r>
      <w:r w:rsidRPr="00BC47C3">
        <w:rPr>
          <w:rFonts w:eastAsia="Palatino Linotype" w:cs="Palatino Linotype"/>
          <w:color w:val="000000"/>
          <w:szCs w:val="24"/>
        </w:rPr>
        <w:t xml:space="preserve"> </w:t>
      </w:r>
      <w:r w:rsidR="00D52CDC" w:rsidRPr="00BC47C3">
        <w:rPr>
          <w:rFonts w:eastAsia="Palatino Linotype" w:cs="Palatino Linotype"/>
          <w:b/>
          <w:bCs/>
          <w:color w:val="000000"/>
          <w:szCs w:val="24"/>
        </w:rPr>
        <w:t>00653/TEPOTZOT/IP/2026</w:t>
      </w:r>
      <w:r w:rsidRPr="00BC47C3">
        <w:rPr>
          <w:rFonts w:eastAsia="Palatino Linotype" w:cs="Palatino Linotype"/>
          <w:b/>
          <w:bCs/>
          <w:color w:val="000000"/>
          <w:szCs w:val="24"/>
        </w:rPr>
        <w:t xml:space="preserve"> </w:t>
      </w:r>
      <w:r w:rsidRPr="00BC47C3">
        <w:rPr>
          <w:rFonts w:eastAsia="Palatino Linotype" w:cs="Palatino Linotype"/>
          <w:color w:val="000000"/>
          <w:szCs w:val="24"/>
        </w:rPr>
        <w:t>que ha sido materia del presente fallo, por lo que este Pleno:</w:t>
      </w:r>
    </w:p>
    <w:p w14:paraId="4AA04B4C" w14:textId="77777777" w:rsidR="000526C5" w:rsidRPr="00BC47C3" w:rsidRDefault="000526C5" w:rsidP="006C1245">
      <w:pPr>
        <w:contextualSpacing/>
        <w:rPr>
          <w:rFonts w:eastAsia="Palatino Linotype" w:cs="Palatino Linotype"/>
          <w:color w:val="000000"/>
          <w:szCs w:val="24"/>
        </w:rPr>
      </w:pPr>
    </w:p>
    <w:p w14:paraId="468FE209" w14:textId="77777777" w:rsidR="006C1245" w:rsidRPr="00BC47C3" w:rsidRDefault="006C1245" w:rsidP="0087413A">
      <w:pPr>
        <w:pStyle w:val="Ttulo1"/>
        <w:rPr>
          <w:rFonts w:eastAsia="Palatino Linotype"/>
        </w:rPr>
      </w:pPr>
      <w:r w:rsidRPr="00BC47C3">
        <w:rPr>
          <w:rFonts w:eastAsia="Palatino Linotype"/>
        </w:rPr>
        <w:t>R E S U E L V E</w:t>
      </w:r>
    </w:p>
    <w:p w14:paraId="18DF476B" w14:textId="77777777" w:rsidR="006C1245" w:rsidRPr="00BC47C3" w:rsidRDefault="006C1245" w:rsidP="000B1FB4"/>
    <w:p w14:paraId="3DF1A49D" w14:textId="18F9AABE" w:rsidR="0043529E" w:rsidRPr="00BC47C3" w:rsidRDefault="0043529E" w:rsidP="0043529E">
      <w:pPr>
        <w:rPr>
          <w:rFonts w:eastAsiaTheme="minorHAnsi" w:cstheme="minorHAnsi"/>
          <w:szCs w:val="24"/>
          <w:lang w:eastAsia="en-US"/>
        </w:rPr>
      </w:pPr>
      <w:r w:rsidRPr="00BC47C3">
        <w:rPr>
          <w:rFonts w:eastAsiaTheme="minorHAnsi" w:cstheme="minorHAnsi"/>
          <w:b/>
          <w:szCs w:val="24"/>
          <w:lang w:eastAsia="en-US"/>
        </w:rPr>
        <w:t>PRIMERO.</w:t>
      </w:r>
      <w:r w:rsidRPr="00BC47C3">
        <w:rPr>
          <w:rFonts w:eastAsiaTheme="minorHAnsi" w:cstheme="minorHAnsi"/>
          <w:szCs w:val="24"/>
          <w:lang w:eastAsia="en-US"/>
        </w:rPr>
        <w:t xml:space="preserve"> Resultan fundadas las razones o motivos de inconformidad hechos valer por </w:t>
      </w:r>
      <w:r w:rsidR="00313505" w:rsidRPr="00BC47C3">
        <w:rPr>
          <w:rFonts w:eastAsiaTheme="minorHAnsi" w:cstheme="minorHAnsi"/>
          <w:szCs w:val="24"/>
          <w:lang w:eastAsia="en-US"/>
        </w:rPr>
        <w:t>la</w:t>
      </w:r>
      <w:r w:rsidRPr="00BC47C3">
        <w:rPr>
          <w:rFonts w:eastAsiaTheme="minorHAnsi" w:cstheme="minorHAnsi"/>
          <w:szCs w:val="24"/>
          <w:lang w:eastAsia="en-US"/>
        </w:rPr>
        <w:t xml:space="preserve"> </w:t>
      </w:r>
      <w:r w:rsidR="009914A6" w:rsidRPr="00BC47C3">
        <w:rPr>
          <w:rFonts w:eastAsiaTheme="minorHAnsi" w:cstheme="minorHAnsi"/>
          <w:szCs w:val="24"/>
          <w:lang w:eastAsia="en-US"/>
        </w:rPr>
        <w:t xml:space="preserve">parte </w:t>
      </w:r>
      <w:r w:rsidRPr="00BC47C3">
        <w:rPr>
          <w:rFonts w:eastAsiaTheme="minorHAnsi" w:cstheme="minorHAnsi"/>
          <w:szCs w:val="24"/>
          <w:lang w:eastAsia="en-US"/>
        </w:rPr>
        <w:t>Recurrente</w:t>
      </w:r>
      <w:r w:rsidRPr="00BC47C3">
        <w:rPr>
          <w:rFonts w:eastAsiaTheme="minorHAnsi" w:cstheme="minorHAnsi"/>
          <w:b/>
          <w:szCs w:val="24"/>
          <w:lang w:eastAsia="en-US"/>
        </w:rPr>
        <w:t>,</w:t>
      </w:r>
      <w:r w:rsidRPr="00BC47C3">
        <w:rPr>
          <w:rFonts w:eastAsiaTheme="minorHAnsi" w:cstheme="minorHAnsi"/>
          <w:szCs w:val="24"/>
          <w:lang w:eastAsia="en-US"/>
        </w:rPr>
        <w:t xml:space="preserve"> en términos del </w:t>
      </w:r>
      <w:r w:rsidRPr="00BC47C3">
        <w:rPr>
          <w:rFonts w:eastAsiaTheme="minorHAnsi" w:cstheme="minorHAnsi"/>
          <w:b/>
          <w:szCs w:val="24"/>
          <w:lang w:eastAsia="en-US"/>
        </w:rPr>
        <w:t xml:space="preserve">Considerando </w:t>
      </w:r>
      <w:r w:rsidR="006D1A4C" w:rsidRPr="00BC47C3">
        <w:rPr>
          <w:rFonts w:eastAsiaTheme="minorHAnsi" w:cstheme="minorHAnsi"/>
          <w:b/>
          <w:szCs w:val="24"/>
          <w:lang w:eastAsia="en-US"/>
        </w:rPr>
        <w:t>TERCERO</w:t>
      </w:r>
      <w:r w:rsidRPr="00BC47C3">
        <w:rPr>
          <w:rFonts w:eastAsiaTheme="minorHAnsi" w:cstheme="minorHAnsi"/>
          <w:b/>
          <w:szCs w:val="24"/>
          <w:lang w:eastAsia="en-US"/>
        </w:rPr>
        <w:t xml:space="preserve"> </w:t>
      </w:r>
      <w:r w:rsidRPr="00BC47C3">
        <w:rPr>
          <w:rFonts w:eastAsiaTheme="minorHAnsi" w:cstheme="minorHAnsi"/>
          <w:szCs w:val="24"/>
          <w:lang w:eastAsia="en-US"/>
        </w:rPr>
        <w:t>de la presente resolución.</w:t>
      </w:r>
    </w:p>
    <w:p w14:paraId="7A44FB04" w14:textId="77777777" w:rsidR="0043529E" w:rsidRPr="00BC47C3" w:rsidRDefault="0043529E" w:rsidP="0043529E">
      <w:pPr>
        <w:rPr>
          <w:rFonts w:eastAsiaTheme="minorHAnsi" w:cstheme="minorHAnsi"/>
          <w:szCs w:val="24"/>
          <w:lang w:eastAsia="en-US"/>
        </w:rPr>
      </w:pPr>
    </w:p>
    <w:p w14:paraId="435EBC71" w14:textId="73E0EBCF" w:rsidR="0043529E" w:rsidRPr="00BC47C3" w:rsidRDefault="0043529E" w:rsidP="0043529E">
      <w:pPr>
        <w:rPr>
          <w:rFonts w:eastAsiaTheme="minorHAnsi" w:cstheme="minorHAnsi"/>
          <w:szCs w:val="24"/>
          <w:lang w:eastAsia="en-US"/>
        </w:rPr>
      </w:pPr>
      <w:r w:rsidRPr="00BC47C3">
        <w:rPr>
          <w:rFonts w:eastAsiaTheme="minorHAnsi" w:cstheme="minorHAnsi"/>
          <w:b/>
          <w:szCs w:val="24"/>
          <w:lang w:eastAsia="en-US"/>
        </w:rPr>
        <w:t xml:space="preserve">SEGUNDO. </w:t>
      </w:r>
      <w:r w:rsidRPr="00BC47C3">
        <w:rPr>
          <w:rFonts w:eastAsiaTheme="minorHAnsi" w:cstheme="minorBidi"/>
          <w:color w:val="222222"/>
          <w:szCs w:val="24"/>
        </w:rPr>
        <w:t>Se</w:t>
      </w:r>
      <w:r w:rsidRPr="00BC47C3">
        <w:rPr>
          <w:rFonts w:eastAsiaTheme="minorHAnsi" w:cstheme="minorBidi"/>
          <w:b/>
          <w:bCs/>
          <w:color w:val="222222"/>
          <w:szCs w:val="24"/>
        </w:rPr>
        <w:t xml:space="preserve"> ORDENA </w:t>
      </w:r>
      <w:r w:rsidRPr="00BC47C3">
        <w:rPr>
          <w:rFonts w:eastAsiaTheme="minorHAnsi" w:cstheme="minorBidi"/>
          <w:color w:val="222222"/>
          <w:szCs w:val="24"/>
        </w:rPr>
        <w:t>al Sujeto Obligado que</w:t>
      </w:r>
      <w:r w:rsidRPr="00BC47C3">
        <w:rPr>
          <w:rFonts w:eastAsiaTheme="minorHAnsi" w:cstheme="minorBidi"/>
          <w:b/>
          <w:bCs/>
          <w:color w:val="222222"/>
          <w:szCs w:val="24"/>
        </w:rPr>
        <w:t xml:space="preserve"> </w:t>
      </w:r>
      <w:r w:rsidRPr="00BC47C3">
        <w:rPr>
          <w:rFonts w:eastAsiaTheme="minorHAnsi" w:cstheme="minorBidi"/>
          <w:bCs/>
          <w:color w:val="222222"/>
          <w:szCs w:val="24"/>
        </w:rPr>
        <w:t xml:space="preserve">atienda la solicitud de información </w:t>
      </w:r>
      <w:r w:rsidR="00D52CDC" w:rsidRPr="00BC47C3">
        <w:rPr>
          <w:rFonts w:eastAsia="Palatino Linotype" w:cs="Palatino Linotype"/>
          <w:b/>
          <w:bCs/>
          <w:color w:val="000000"/>
          <w:szCs w:val="24"/>
          <w:lang w:val="es-MX"/>
        </w:rPr>
        <w:t>00653/TEPOTZOT/IP/2026</w:t>
      </w:r>
      <w:r w:rsidRPr="00BC47C3">
        <w:rPr>
          <w:rFonts w:eastAsiaTheme="minorHAnsi" w:cstheme="minorBidi"/>
          <w:b/>
          <w:bCs/>
          <w:color w:val="222222"/>
          <w:szCs w:val="24"/>
        </w:rPr>
        <w:t xml:space="preserve"> </w:t>
      </w:r>
      <w:r w:rsidRPr="00BC47C3">
        <w:rPr>
          <w:rFonts w:eastAsiaTheme="minorHAnsi" w:cstheme="minorBidi"/>
          <w:color w:val="222222"/>
          <w:szCs w:val="24"/>
        </w:rPr>
        <w:t xml:space="preserve">en términos del </w:t>
      </w:r>
      <w:r w:rsidRPr="00BC47C3">
        <w:rPr>
          <w:rFonts w:eastAsiaTheme="minorHAnsi" w:cstheme="minorBidi"/>
          <w:b/>
          <w:color w:val="222222"/>
          <w:szCs w:val="24"/>
        </w:rPr>
        <w:t xml:space="preserve">Considerando </w:t>
      </w:r>
      <w:r w:rsidR="006D1A4C" w:rsidRPr="00BC47C3">
        <w:rPr>
          <w:rFonts w:eastAsiaTheme="minorHAnsi" w:cstheme="minorBidi"/>
          <w:b/>
          <w:bCs/>
          <w:color w:val="222222"/>
          <w:szCs w:val="24"/>
        </w:rPr>
        <w:t>TERCERO</w:t>
      </w:r>
      <w:r w:rsidRPr="00BC47C3">
        <w:rPr>
          <w:rFonts w:eastAsiaTheme="minorHAnsi" w:cstheme="minorBidi"/>
          <w:b/>
          <w:bCs/>
          <w:color w:val="222222"/>
          <w:szCs w:val="24"/>
        </w:rPr>
        <w:t xml:space="preserve"> </w:t>
      </w:r>
      <w:r w:rsidRPr="00BC47C3">
        <w:rPr>
          <w:rFonts w:eastAsiaTheme="minorHAnsi" w:cstheme="minorBidi"/>
          <w:color w:val="222222"/>
          <w:szCs w:val="24"/>
        </w:rPr>
        <w:t>de esta resolución; vía Sistema de Acceso a la Información Mexiquense (SAIMEX)</w:t>
      </w:r>
      <w:r w:rsidRPr="00BC47C3">
        <w:rPr>
          <w:rFonts w:eastAsiaTheme="minorHAnsi" w:cstheme="minorBidi"/>
          <w:bCs/>
          <w:color w:val="222222"/>
          <w:szCs w:val="24"/>
        </w:rPr>
        <w:t xml:space="preserve">. </w:t>
      </w:r>
    </w:p>
    <w:p w14:paraId="24701BC9" w14:textId="77777777" w:rsidR="0043529E" w:rsidRPr="00BC47C3" w:rsidRDefault="0043529E" w:rsidP="0043529E">
      <w:pPr>
        <w:rPr>
          <w:rFonts w:eastAsiaTheme="minorHAnsi" w:cstheme="minorHAnsi"/>
          <w:szCs w:val="24"/>
          <w:lang w:eastAsia="en-US"/>
        </w:rPr>
      </w:pPr>
    </w:p>
    <w:p w14:paraId="7BE6B499" w14:textId="4BC454F3" w:rsidR="0043529E" w:rsidRPr="00BC47C3" w:rsidRDefault="0043529E" w:rsidP="0043529E">
      <w:pPr>
        <w:rPr>
          <w:rFonts w:eastAsiaTheme="minorHAnsi" w:cstheme="minorHAnsi"/>
          <w:bCs/>
          <w:szCs w:val="24"/>
          <w:lang w:eastAsia="en-US"/>
        </w:rPr>
      </w:pPr>
      <w:r w:rsidRPr="00BC47C3">
        <w:rPr>
          <w:rFonts w:eastAsiaTheme="minorHAnsi" w:cstheme="minorHAnsi"/>
          <w:b/>
          <w:szCs w:val="24"/>
          <w:lang w:eastAsia="en-US"/>
        </w:rPr>
        <w:t>TERCERO. Notifíquese</w:t>
      </w:r>
      <w:r w:rsidRPr="00BC47C3">
        <w:rPr>
          <w:rFonts w:eastAsiaTheme="minorHAnsi" w:cstheme="minorHAnsi"/>
          <w:b/>
          <w:i/>
          <w:szCs w:val="24"/>
          <w:lang w:eastAsia="en-US"/>
        </w:rPr>
        <w:t xml:space="preserve"> </w:t>
      </w:r>
      <w:r w:rsidRPr="00BC47C3">
        <w:rPr>
          <w:rFonts w:eastAsiaTheme="minorHAnsi" w:cstheme="minorHAnsi"/>
          <w:bCs/>
          <w:szCs w:val="24"/>
          <w:lang w:eastAsia="en-US"/>
        </w:rPr>
        <w:t>la presente resolución al Titular de la Unidad de Transparencia del Sujeto Obligado</w:t>
      </w:r>
      <w:r w:rsidR="009914A6" w:rsidRPr="00BC47C3">
        <w:rPr>
          <w:rFonts w:eastAsiaTheme="minorHAnsi" w:cstheme="minorHAnsi"/>
          <w:bCs/>
          <w:szCs w:val="24"/>
          <w:lang w:eastAsia="en-US"/>
        </w:rPr>
        <w:t xml:space="preserve"> mediante el </w:t>
      </w:r>
      <w:r w:rsidR="009914A6" w:rsidRPr="00BC47C3">
        <w:rPr>
          <w:rFonts w:eastAsiaTheme="minorHAnsi" w:cstheme="minorBidi"/>
          <w:color w:val="222222"/>
          <w:szCs w:val="24"/>
        </w:rPr>
        <w:t>Sistema de Acceso a la Información Mexiquense</w:t>
      </w:r>
      <w:r w:rsidR="009914A6" w:rsidRPr="00BC47C3">
        <w:rPr>
          <w:rFonts w:eastAsiaTheme="minorHAnsi" w:cstheme="minorHAnsi"/>
          <w:szCs w:val="24"/>
          <w:lang w:eastAsia="en-US"/>
        </w:rPr>
        <w:t xml:space="preserve"> (SAIMEX)</w:t>
      </w:r>
      <w:r w:rsidRPr="00BC47C3">
        <w:rPr>
          <w:rFonts w:eastAsiaTheme="minorHAnsi" w:cstheme="minorHAnsi"/>
          <w:bCs/>
          <w:szCs w:val="24"/>
          <w:lang w:eastAsia="en-US"/>
        </w:rPr>
        <w:t xml:space="preserve"> para que, conforme a los artículos 186 último párrafo, 189 segundo párrafo y 194 de la Ley </w:t>
      </w:r>
      <w:r w:rsidRPr="00BC47C3">
        <w:rPr>
          <w:rFonts w:eastAsiaTheme="minorHAnsi" w:cstheme="minorHAnsi"/>
          <w:bCs/>
          <w:szCs w:val="24"/>
          <w:lang w:eastAsia="en-US"/>
        </w:rPr>
        <w:lastRenderedPageBreak/>
        <w:t>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BC47C3" w:rsidRDefault="0043529E" w:rsidP="0043529E">
      <w:pPr>
        <w:rPr>
          <w:rFonts w:eastAsiaTheme="minorHAnsi" w:cstheme="minorHAnsi"/>
          <w:szCs w:val="24"/>
          <w:lang w:eastAsia="en-US"/>
        </w:rPr>
      </w:pPr>
    </w:p>
    <w:p w14:paraId="340896C9" w14:textId="6CB3E900" w:rsidR="0043529E" w:rsidRPr="00BC47C3" w:rsidRDefault="0043529E" w:rsidP="0043529E">
      <w:pPr>
        <w:rPr>
          <w:rFonts w:eastAsiaTheme="minorHAnsi" w:cstheme="minorHAnsi"/>
          <w:szCs w:val="24"/>
          <w:lang w:eastAsia="en-US"/>
        </w:rPr>
      </w:pPr>
      <w:r w:rsidRPr="00BC47C3">
        <w:rPr>
          <w:rFonts w:eastAsiaTheme="minorHAnsi" w:cstheme="minorHAnsi"/>
          <w:b/>
          <w:szCs w:val="24"/>
          <w:lang w:eastAsia="en-US"/>
        </w:rPr>
        <w:t xml:space="preserve">CUARTO. Notifíquese </w:t>
      </w:r>
      <w:r w:rsidRPr="00BC47C3">
        <w:rPr>
          <w:rFonts w:eastAsiaTheme="minorHAnsi" w:cstheme="minorHAnsi"/>
          <w:szCs w:val="24"/>
          <w:lang w:eastAsia="en-US"/>
        </w:rPr>
        <w:t>a</w:t>
      </w:r>
      <w:r w:rsidR="00313505" w:rsidRPr="00BC47C3">
        <w:rPr>
          <w:rFonts w:eastAsiaTheme="minorHAnsi" w:cstheme="minorHAnsi"/>
          <w:szCs w:val="24"/>
          <w:lang w:eastAsia="en-US"/>
        </w:rPr>
        <w:t xml:space="preserve"> </w:t>
      </w:r>
      <w:r w:rsidRPr="00BC47C3">
        <w:rPr>
          <w:rFonts w:eastAsiaTheme="minorHAnsi" w:cstheme="minorHAnsi"/>
          <w:szCs w:val="24"/>
          <w:lang w:eastAsia="en-US"/>
        </w:rPr>
        <w:t>l</w:t>
      </w:r>
      <w:r w:rsidR="00313505" w:rsidRPr="00BC47C3">
        <w:rPr>
          <w:rFonts w:eastAsiaTheme="minorHAnsi" w:cstheme="minorHAnsi"/>
          <w:szCs w:val="24"/>
          <w:lang w:eastAsia="en-US"/>
        </w:rPr>
        <w:t>a</w:t>
      </w:r>
      <w:r w:rsidRPr="00BC47C3">
        <w:rPr>
          <w:rFonts w:eastAsiaTheme="minorHAnsi" w:cstheme="minorHAnsi"/>
          <w:szCs w:val="24"/>
          <w:lang w:eastAsia="en-US"/>
        </w:rPr>
        <w:t xml:space="preserve"> </w:t>
      </w:r>
      <w:r w:rsidR="009914A6" w:rsidRPr="00BC47C3">
        <w:rPr>
          <w:rFonts w:eastAsiaTheme="minorHAnsi" w:cstheme="minorHAnsi"/>
          <w:szCs w:val="24"/>
          <w:lang w:eastAsia="en-US"/>
        </w:rPr>
        <w:t xml:space="preserve">parte </w:t>
      </w:r>
      <w:r w:rsidRPr="00BC47C3">
        <w:rPr>
          <w:rFonts w:eastAsiaTheme="minorHAnsi" w:cstheme="minorHAnsi"/>
          <w:szCs w:val="24"/>
          <w:lang w:eastAsia="en-US"/>
        </w:rPr>
        <w:t xml:space="preserve">Recurrente la presente resolución por medio del </w:t>
      </w:r>
      <w:r w:rsidRPr="00BC47C3">
        <w:rPr>
          <w:rFonts w:eastAsiaTheme="minorHAnsi" w:cstheme="minorBidi"/>
          <w:color w:val="222222"/>
          <w:szCs w:val="24"/>
        </w:rPr>
        <w:t>Sistema de Acceso a la Información Mexiquense</w:t>
      </w:r>
      <w:r w:rsidRPr="00BC47C3">
        <w:rPr>
          <w:rFonts w:eastAsiaTheme="minorHAnsi" w:cstheme="minorHAnsi"/>
          <w:szCs w:val="24"/>
          <w:lang w:eastAsia="en-US"/>
        </w:rPr>
        <w:t xml:space="preserve"> (SAIMEX)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88D5EA8" w14:textId="77777777" w:rsidR="0043529E" w:rsidRPr="00BC47C3" w:rsidRDefault="0043529E" w:rsidP="0043529E">
      <w:pPr>
        <w:rPr>
          <w:rFonts w:eastAsiaTheme="minorHAnsi" w:cstheme="minorHAnsi"/>
          <w:szCs w:val="24"/>
          <w:lang w:eastAsia="en-US"/>
        </w:rPr>
      </w:pPr>
    </w:p>
    <w:p w14:paraId="7275315D" w14:textId="1C25CB57" w:rsidR="0043529E" w:rsidRPr="00BC47C3" w:rsidRDefault="0043529E" w:rsidP="0043529E">
      <w:pPr>
        <w:pBdr>
          <w:top w:val="nil"/>
          <w:left w:val="nil"/>
          <w:bottom w:val="nil"/>
          <w:right w:val="nil"/>
          <w:between w:val="nil"/>
        </w:pBdr>
        <w:rPr>
          <w:rFonts w:eastAsia="Palatino Linotype" w:cs="Palatino Linotype"/>
          <w:bCs/>
          <w:color w:val="000000"/>
          <w:szCs w:val="24"/>
        </w:rPr>
      </w:pPr>
      <w:r w:rsidRPr="00BC47C3">
        <w:rPr>
          <w:rFonts w:eastAsia="Palatino Linotype" w:cs="Palatino Linotype"/>
          <w:b/>
          <w:color w:val="000000"/>
          <w:szCs w:val="24"/>
        </w:rPr>
        <w:t xml:space="preserve">QUINTO. </w:t>
      </w:r>
      <w:r w:rsidR="00E1744D" w:rsidRPr="00BC47C3">
        <w:rPr>
          <w:rFonts w:eastAsiaTheme="minorHAnsi" w:cstheme="minorHAnsi"/>
          <w:color w:val="222222"/>
          <w:szCs w:val="24"/>
          <w:lang w:eastAsia="es-ES_tradnl"/>
        </w:rPr>
        <w:t>Se hace del conocimiento de</w:t>
      </w:r>
      <w:r w:rsidR="00313505" w:rsidRPr="00BC47C3">
        <w:rPr>
          <w:rFonts w:eastAsiaTheme="minorHAnsi" w:cstheme="minorHAnsi"/>
          <w:color w:val="222222"/>
          <w:szCs w:val="24"/>
          <w:lang w:eastAsia="es-ES_tradnl"/>
        </w:rPr>
        <w:t xml:space="preserve"> </w:t>
      </w:r>
      <w:r w:rsidR="00E1744D" w:rsidRPr="00BC47C3">
        <w:rPr>
          <w:rFonts w:eastAsiaTheme="minorHAnsi" w:cstheme="minorHAnsi"/>
          <w:color w:val="222222"/>
          <w:szCs w:val="24"/>
          <w:lang w:eastAsia="es-ES_tradnl"/>
        </w:rPr>
        <w:t>l</w:t>
      </w:r>
      <w:r w:rsidR="00313505" w:rsidRPr="00BC47C3">
        <w:rPr>
          <w:rFonts w:eastAsiaTheme="minorHAnsi" w:cstheme="minorHAnsi"/>
          <w:color w:val="222222"/>
          <w:szCs w:val="24"/>
          <w:lang w:eastAsia="es-ES_tradnl"/>
        </w:rPr>
        <w:t>a</w:t>
      </w:r>
      <w:r w:rsidR="00E1744D" w:rsidRPr="00BC47C3">
        <w:rPr>
          <w:rFonts w:eastAsiaTheme="minorHAnsi" w:cstheme="minorHAnsi"/>
          <w:color w:val="222222"/>
          <w:szCs w:val="24"/>
          <w:lang w:eastAsia="es-ES_tradnl"/>
        </w:rPr>
        <w:t xml:space="preserve"> </w:t>
      </w:r>
      <w:r w:rsidR="009914A6" w:rsidRPr="00BC47C3">
        <w:rPr>
          <w:rFonts w:eastAsiaTheme="minorHAnsi" w:cstheme="minorHAnsi"/>
          <w:color w:val="222222"/>
          <w:szCs w:val="24"/>
          <w:lang w:eastAsia="es-ES_tradnl"/>
        </w:rPr>
        <w:t xml:space="preserve">parte </w:t>
      </w:r>
      <w:r w:rsidR="00E1744D" w:rsidRPr="00BC47C3">
        <w:rPr>
          <w:rFonts w:eastAsiaTheme="minorHAnsi" w:cstheme="minorHAnsi"/>
          <w:color w:val="222222"/>
          <w:szCs w:val="24"/>
          <w:lang w:eastAsia="es-ES_tradnl"/>
        </w:rPr>
        <w:t>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BC47C3" w:rsidRDefault="0043529E" w:rsidP="0043529E">
      <w:pPr>
        <w:rPr>
          <w:rFonts w:eastAsiaTheme="minorHAnsi" w:cstheme="minorHAnsi"/>
          <w:szCs w:val="24"/>
          <w:lang w:eastAsia="en-US"/>
        </w:rPr>
      </w:pPr>
    </w:p>
    <w:p w14:paraId="36E3E4EA" w14:textId="0EFB2683" w:rsidR="00E1744D" w:rsidRPr="00BC47C3" w:rsidRDefault="0043529E" w:rsidP="00E1744D">
      <w:pPr>
        <w:pBdr>
          <w:top w:val="nil"/>
          <w:left w:val="nil"/>
          <w:bottom w:val="nil"/>
          <w:right w:val="nil"/>
          <w:between w:val="nil"/>
        </w:pBdr>
        <w:rPr>
          <w:rFonts w:eastAsia="Palatino Linotype" w:cs="Palatino Linotype"/>
          <w:bCs/>
          <w:color w:val="000000"/>
          <w:szCs w:val="24"/>
        </w:rPr>
      </w:pPr>
      <w:r w:rsidRPr="00BC47C3">
        <w:rPr>
          <w:rFonts w:eastAsiaTheme="minorHAnsi" w:cstheme="minorHAnsi"/>
          <w:b/>
          <w:szCs w:val="24"/>
          <w:lang w:eastAsia="en-US"/>
        </w:rPr>
        <w:t>SEXTO.</w:t>
      </w:r>
      <w:r w:rsidRPr="00BC47C3">
        <w:rPr>
          <w:rFonts w:eastAsiaTheme="minorHAnsi" w:cstheme="minorHAnsi"/>
          <w:szCs w:val="24"/>
          <w:lang w:eastAsia="en-US"/>
        </w:rPr>
        <w:t xml:space="preserve"> </w:t>
      </w:r>
      <w:r w:rsidR="00E1744D" w:rsidRPr="00BC47C3">
        <w:rPr>
          <w:rFonts w:eastAsia="Palatino Linotype" w:cs="Palatino Linotype"/>
          <w:b/>
          <w:color w:val="000000"/>
          <w:szCs w:val="24"/>
        </w:rPr>
        <w:t xml:space="preserve">Gírese </w:t>
      </w:r>
      <w:r w:rsidR="00E1744D" w:rsidRPr="00BC47C3">
        <w:rPr>
          <w:rFonts w:eastAsia="Palatino Linotype" w:cs="Palatino Linotype"/>
          <w:bCs/>
          <w:color w:val="000000"/>
          <w:szCs w:val="24"/>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w:t>
      </w:r>
      <w:r w:rsidR="00E1744D" w:rsidRPr="00BC47C3">
        <w:rPr>
          <w:rFonts w:eastAsia="Palatino Linotype" w:cs="Palatino Linotype"/>
          <w:bCs/>
          <w:color w:val="000000"/>
          <w:szCs w:val="24"/>
        </w:rPr>
        <w:lastRenderedPageBreak/>
        <w:t>Pública del Estado de México y Municipios se determine lo conducente, en términos de lo señalado en el</w:t>
      </w:r>
      <w:r w:rsidR="00E1744D" w:rsidRPr="00BC47C3">
        <w:rPr>
          <w:rFonts w:eastAsia="Palatino Linotype" w:cs="Palatino Linotype"/>
          <w:b/>
          <w:color w:val="000000"/>
          <w:szCs w:val="24"/>
        </w:rPr>
        <w:t xml:space="preserve"> Considerando </w:t>
      </w:r>
      <w:r w:rsidR="006D1A4C" w:rsidRPr="00BC47C3">
        <w:rPr>
          <w:rFonts w:eastAsia="Palatino Linotype" w:cs="Palatino Linotype"/>
          <w:b/>
          <w:color w:val="000000"/>
          <w:szCs w:val="24"/>
        </w:rPr>
        <w:t>TERCERO</w:t>
      </w:r>
      <w:r w:rsidR="00E1744D" w:rsidRPr="00BC47C3">
        <w:rPr>
          <w:rFonts w:eastAsia="Palatino Linotype" w:cs="Palatino Linotype"/>
          <w:b/>
          <w:color w:val="000000"/>
          <w:szCs w:val="24"/>
        </w:rPr>
        <w:t xml:space="preserve"> </w:t>
      </w:r>
      <w:r w:rsidR="00E1744D" w:rsidRPr="00BC47C3">
        <w:rPr>
          <w:rFonts w:eastAsia="Palatino Linotype" w:cs="Palatino Linotype"/>
          <w:bCs/>
          <w:color w:val="000000"/>
          <w:szCs w:val="24"/>
        </w:rPr>
        <w:t>de la presente resolución.</w:t>
      </w:r>
    </w:p>
    <w:p w14:paraId="67630B09" w14:textId="5FD1A5BF" w:rsidR="006C1245" w:rsidRPr="00BC47C3" w:rsidRDefault="006C1245" w:rsidP="009D45E3">
      <w:pPr>
        <w:rPr>
          <w:szCs w:val="24"/>
        </w:rPr>
      </w:pPr>
    </w:p>
    <w:p w14:paraId="3E235F1D" w14:textId="4BB43E19" w:rsidR="005C3DD3" w:rsidRPr="00BC47C3" w:rsidRDefault="00BC47C3" w:rsidP="0072517C">
      <w:pPr>
        <w:pBdr>
          <w:top w:val="nil"/>
          <w:left w:val="nil"/>
          <w:bottom w:val="nil"/>
          <w:right w:val="nil"/>
          <w:between w:val="nil"/>
        </w:pBdr>
        <w:contextualSpacing/>
        <w:rPr>
          <w:rFonts w:eastAsia="Palatino Linotype" w:cs="Palatino Linotype"/>
          <w:color w:val="000000"/>
          <w:szCs w:val="24"/>
        </w:rPr>
      </w:pPr>
      <w:r w:rsidRPr="00BC47C3">
        <w:rPr>
          <w:rFonts w:cs="Arial"/>
        </w:rPr>
        <w:t>ASÍ LO RESUELVE, POR UNANIMIDAD DE VOTOS, EL PLENO DEL</w:t>
      </w:r>
      <w:r w:rsidRPr="00BC47C3">
        <w:rPr>
          <w:rFonts w:eastAsia="Arial Unicode MS" w:cs="Arial"/>
        </w:rPr>
        <w:t xml:space="preserve"> INSTITUTO DE TRANSPARENCIA, ACCESO A LA INFORMACIÓN PÚBLICA Y PROTECCIÓN DE DATOS PERSONALES DEL ESTADO DE MÉXICO Y MUNICIPIOS</w:t>
      </w:r>
      <w:r w:rsidRPr="00BC47C3">
        <w:rPr>
          <w:rFonts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A970D5" w:rsidRPr="00BC47C3">
        <w:rPr>
          <w:rFonts w:eastAsia="Palatino Linotype" w:cs="Palatino Linotype"/>
          <w:color w:val="000000"/>
          <w:szCs w:val="24"/>
        </w:rPr>
        <w:t>.</w:t>
      </w:r>
      <w:r w:rsidR="001957CF" w:rsidRPr="00BC47C3">
        <w:rPr>
          <w:rFonts w:eastAsia="Palatino Linotype" w:cs="Palatino Linotype"/>
          <w:color w:val="000000"/>
          <w:szCs w:val="24"/>
        </w:rPr>
        <w:t>-------</w:t>
      </w:r>
      <w:r w:rsidR="00744705" w:rsidRPr="00BC47C3">
        <w:rPr>
          <w:rFonts w:eastAsia="Palatino Linotype" w:cs="Palatino Linotype"/>
          <w:color w:val="000000"/>
          <w:szCs w:val="24"/>
        </w:rPr>
        <w:t>----</w:t>
      </w:r>
      <w:r w:rsidR="00584F55" w:rsidRPr="00BC47C3">
        <w:rPr>
          <w:rFonts w:eastAsia="Palatino Linotype" w:cs="Palatino Linotype"/>
          <w:color w:val="000000"/>
          <w:szCs w:val="24"/>
        </w:rPr>
        <w:t>----</w:t>
      </w:r>
      <w:r w:rsidR="00744705" w:rsidRPr="00BC47C3">
        <w:rPr>
          <w:rFonts w:eastAsia="Palatino Linotype" w:cs="Palatino Linotype"/>
          <w:color w:val="000000"/>
          <w:szCs w:val="24"/>
        </w:rPr>
        <w:t>--</w:t>
      </w:r>
      <w:r w:rsidR="005B2540" w:rsidRPr="00BC47C3">
        <w:rPr>
          <w:rFonts w:eastAsia="Palatino Linotype" w:cs="Palatino Linotype"/>
          <w:color w:val="000000"/>
          <w:szCs w:val="24"/>
        </w:rPr>
        <w:t>-</w:t>
      </w:r>
      <w:r w:rsidR="00637F27" w:rsidRPr="00BC47C3">
        <w:rPr>
          <w:rFonts w:eastAsia="Palatino Linotype" w:cs="Palatino Linotype"/>
          <w:color w:val="000000"/>
          <w:szCs w:val="24"/>
        </w:rPr>
        <w:t>-------------</w:t>
      </w:r>
      <w:r w:rsidR="00FD6D76" w:rsidRPr="00BC47C3">
        <w:rPr>
          <w:rFonts w:eastAsia="Palatino Linotype" w:cs="Palatino Linotype"/>
          <w:color w:val="000000"/>
          <w:szCs w:val="24"/>
        </w:rPr>
        <w:t>------------------------------------------------------------------------------------------------------------------------------------------------------------------------------------------------------------------------------------------------------------------------------------------------------------------------------------------------------------------------------------------------------------------------------------------------------------------------------------------------------------------------------------------------------------------------------------------------------------------------------------------------------------------------------------------------------------------------------------------------------------------------------------------------------------------------------------------------------------------------------------------------------------------------------------------------------------------------------------------------------------------------------------------------------------------------------------------------------------------------------------------------------------------------------------------------------------------------------------------------------------------------------------------------------------------------------------------------------------------------------------------------------------------------------------------------------------------------------------------------</w:t>
      </w:r>
    </w:p>
    <w:p w14:paraId="4DA57669" w14:textId="77777777" w:rsidR="00A970D5" w:rsidRPr="004B7011" w:rsidRDefault="44E9108F" w:rsidP="0072517C">
      <w:pPr>
        <w:pBdr>
          <w:top w:val="nil"/>
          <w:left w:val="nil"/>
          <w:bottom w:val="nil"/>
          <w:right w:val="nil"/>
          <w:between w:val="nil"/>
        </w:pBdr>
        <w:contextualSpacing/>
        <w:rPr>
          <w:rFonts w:eastAsia="Palatino Linotype" w:cs="Palatino Linotype"/>
          <w:color w:val="000000"/>
          <w:sz w:val="20"/>
          <w:szCs w:val="20"/>
          <w:lang w:val="es-ES"/>
        </w:rPr>
      </w:pPr>
      <w:r w:rsidRPr="00BC47C3">
        <w:rPr>
          <w:rFonts w:eastAsia="Palatino Linotype" w:cs="Palatino Linotype"/>
          <w:color w:val="000000" w:themeColor="text1"/>
          <w:sz w:val="20"/>
          <w:szCs w:val="20"/>
          <w:lang w:val="es-ES"/>
        </w:rPr>
        <w:t>JMV/CCR/</w:t>
      </w:r>
      <w:proofErr w:type="spellStart"/>
      <w:r w:rsidRPr="00BC47C3">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28FF1" w14:textId="77777777" w:rsidR="00FA62A2" w:rsidRDefault="00FA62A2" w:rsidP="00F2498E">
      <w:pPr>
        <w:spacing w:line="240" w:lineRule="auto"/>
      </w:pPr>
      <w:r>
        <w:separator/>
      </w:r>
    </w:p>
  </w:endnote>
  <w:endnote w:type="continuationSeparator" w:id="0">
    <w:p w14:paraId="4FEE31DE" w14:textId="77777777" w:rsidR="00FA62A2" w:rsidRDefault="00FA62A2" w:rsidP="00F2498E">
      <w:pPr>
        <w:spacing w:line="240" w:lineRule="auto"/>
      </w:pPr>
      <w:r>
        <w:continuationSeparator/>
      </w:r>
    </w:p>
  </w:endnote>
  <w:endnote w:type="continuationNotice" w:id="1">
    <w:p w14:paraId="7D8BD754" w14:textId="77777777" w:rsidR="00FA62A2" w:rsidRDefault="00FA62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571D6">
      <w:rPr>
        <w:rFonts w:ascii="Palatino Linotype" w:hAnsi="Palatino Linotype"/>
        <w:b/>
        <w:bCs/>
        <w:noProof/>
        <w:sz w:val="20"/>
      </w:rPr>
      <w:t>17</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571D6">
      <w:rPr>
        <w:rFonts w:ascii="Palatino Linotype" w:hAnsi="Palatino Linotype"/>
        <w:b/>
        <w:bCs/>
        <w:noProof/>
        <w:sz w:val="20"/>
      </w:rPr>
      <w:t>17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571D6">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571D6">
      <w:rPr>
        <w:rFonts w:ascii="Palatino Linotype" w:hAnsi="Palatino Linotype"/>
        <w:b/>
        <w:bCs/>
        <w:noProof/>
        <w:sz w:val="20"/>
      </w:rPr>
      <w:t>17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14573" w14:textId="77777777" w:rsidR="00FA62A2" w:rsidRDefault="00FA62A2" w:rsidP="00F2498E">
      <w:pPr>
        <w:spacing w:line="240" w:lineRule="auto"/>
      </w:pPr>
      <w:r>
        <w:separator/>
      </w:r>
    </w:p>
  </w:footnote>
  <w:footnote w:type="continuationSeparator" w:id="0">
    <w:p w14:paraId="2ED1880B" w14:textId="77777777" w:rsidR="00FA62A2" w:rsidRDefault="00FA62A2" w:rsidP="00F2498E">
      <w:pPr>
        <w:spacing w:line="240" w:lineRule="auto"/>
      </w:pPr>
      <w:r>
        <w:continuationSeparator/>
      </w:r>
    </w:p>
  </w:footnote>
  <w:footnote w:type="continuationNotice" w:id="1">
    <w:p w14:paraId="020E903B" w14:textId="77777777" w:rsidR="00FA62A2" w:rsidRDefault="00FA62A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FA62A2">
    <w:pPr>
      <w:pStyle w:val="Encabezado"/>
    </w:pPr>
    <w:r>
      <w:rPr>
        <w:noProof/>
        <w:lang w:val="es-MX" w:eastAsia="es-MX"/>
      </w:rPr>
      <w:pict w14:anchorId="79D5C9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162751B5" w:rsidR="00581587" w:rsidRPr="00096248" w:rsidRDefault="00D52CDC" w:rsidP="00011C4D">
          <w:pPr>
            <w:spacing w:after="120" w:line="240" w:lineRule="auto"/>
            <w:ind w:right="71"/>
            <w:jc w:val="right"/>
            <w:rPr>
              <w:rFonts w:cs="Arial"/>
              <w:b/>
              <w:szCs w:val="24"/>
            </w:rPr>
          </w:pPr>
          <w:r>
            <w:rPr>
              <w:rFonts w:cs="Arial"/>
              <w:b/>
              <w:bCs/>
              <w:szCs w:val="24"/>
            </w:rPr>
            <w:t>03215/INFOEM/IP/RR/2026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FA62A2">
    <w:pPr>
      <w:pStyle w:val="Encabezado"/>
      <w:rPr>
        <w:sz w:val="2"/>
      </w:rPr>
    </w:pPr>
    <w:r>
      <w:rPr>
        <w:noProof/>
        <w:lang w:val="es-MX" w:eastAsia="es-MX"/>
      </w:rPr>
      <w:pict w14:anchorId="12EF74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3F4289CF" w:rsidR="00581587" w:rsidRPr="00C81ECD" w:rsidRDefault="00D52CDC" w:rsidP="00011C4D">
          <w:pPr>
            <w:spacing w:after="120" w:line="240" w:lineRule="auto"/>
            <w:ind w:left="-486" w:right="68" w:firstLine="558"/>
            <w:jc w:val="right"/>
            <w:rPr>
              <w:rFonts w:cs="Arial"/>
              <w:b/>
              <w:szCs w:val="24"/>
            </w:rPr>
          </w:pPr>
          <w:r>
            <w:rPr>
              <w:rFonts w:cs="Arial"/>
              <w:b/>
              <w:bCs/>
              <w:szCs w:val="24"/>
            </w:rPr>
            <w:t>03215/INFOEM/IP/RR/2026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7C9D8343" w:rsidR="00581587" w:rsidRPr="00663A37" w:rsidRDefault="00A571D6" w:rsidP="70652167">
          <w:pPr>
            <w:spacing w:after="120" w:line="240" w:lineRule="auto"/>
            <w:ind w:right="68"/>
            <w:jc w:val="right"/>
            <w:rPr>
              <w:rFonts w:cs="Arial"/>
              <w:lang w:val="es-ES"/>
            </w:rPr>
          </w:pPr>
          <w:proofErr w:type="spellStart"/>
          <w:r>
            <w:rPr>
              <w:rFonts w:cs="Arial"/>
              <w:lang w:val="es-ES"/>
            </w:rPr>
            <w:t>xxxxxxxxxxxxxxxxx</w:t>
          </w:r>
          <w:proofErr w:type="spellEnd"/>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FA62A2">
    <w:pPr>
      <w:pStyle w:val="Encabezado"/>
      <w:rPr>
        <w:sz w:val="2"/>
      </w:rPr>
    </w:pPr>
    <w:r>
      <w:rPr>
        <w:noProof/>
        <w:lang w:val="es-MX" w:eastAsia="es-MX"/>
      </w:rPr>
      <w:pict w14:anchorId="1DEE6F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325"/>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3502"/>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3B4D"/>
    <w:rsid w:val="00045F86"/>
    <w:rsid w:val="00046717"/>
    <w:rsid w:val="00046A15"/>
    <w:rsid w:val="00046CCA"/>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53E1"/>
    <w:rsid w:val="000A5EA1"/>
    <w:rsid w:val="000A6F53"/>
    <w:rsid w:val="000A7D80"/>
    <w:rsid w:val="000B0C7A"/>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BD7"/>
    <w:rsid w:val="000C0E5D"/>
    <w:rsid w:val="000C2504"/>
    <w:rsid w:val="000C2595"/>
    <w:rsid w:val="000C2661"/>
    <w:rsid w:val="000C2D59"/>
    <w:rsid w:val="000C416A"/>
    <w:rsid w:val="000C441E"/>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662"/>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221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5DD"/>
    <w:rsid w:val="00165898"/>
    <w:rsid w:val="00165CA1"/>
    <w:rsid w:val="00165EF1"/>
    <w:rsid w:val="00166171"/>
    <w:rsid w:val="0016692D"/>
    <w:rsid w:val="00166D47"/>
    <w:rsid w:val="00167291"/>
    <w:rsid w:val="00167DF0"/>
    <w:rsid w:val="00171192"/>
    <w:rsid w:val="001713FF"/>
    <w:rsid w:val="00171AAD"/>
    <w:rsid w:val="00171BBC"/>
    <w:rsid w:val="00171CF4"/>
    <w:rsid w:val="00171F77"/>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3FA"/>
    <w:rsid w:val="00184AEA"/>
    <w:rsid w:val="0018555C"/>
    <w:rsid w:val="0018577B"/>
    <w:rsid w:val="00185C61"/>
    <w:rsid w:val="00187CCE"/>
    <w:rsid w:val="00190030"/>
    <w:rsid w:val="0019086A"/>
    <w:rsid w:val="00190B5A"/>
    <w:rsid w:val="00190D0F"/>
    <w:rsid w:val="00190F59"/>
    <w:rsid w:val="00191322"/>
    <w:rsid w:val="0019264D"/>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9E4"/>
    <w:rsid w:val="001A1BDB"/>
    <w:rsid w:val="001A316F"/>
    <w:rsid w:val="001A321A"/>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1A2"/>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0AF7"/>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314"/>
    <w:rsid w:val="002704DF"/>
    <w:rsid w:val="00270A17"/>
    <w:rsid w:val="00270C64"/>
    <w:rsid w:val="00270F03"/>
    <w:rsid w:val="00271034"/>
    <w:rsid w:val="002710B5"/>
    <w:rsid w:val="0027116F"/>
    <w:rsid w:val="00271737"/>
    <w:rsid w:val="002719F8"/>
    <w:rsid w:val="00271E3D"/>
    <w:rsid w:val="00272121"/>
    <w:rsid w:val="002729A0"/>
    <w:rsid w:val="00273499"/>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225E"/>
    <w:rsid w:val="002B317E"/>
    <w:rsid w:val="002B361B"/>
    <w:rsid w:val="002B3CE2"/>
    <w:rsid w:val="002B3DAC"/>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043"/>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2DE1"/>
    <w:rsid w:val="002E32E7"/>
    <w:rsid w:val="002E37DA"/>
    <w:rsid w:val="002E40AD"/>
    <w:rsid w:val="002E4754"/>
    <w:rsid w:val="002E531F"/>
    <w:rsid w:val="002E55C9"/>
    <w:rsid w:val="002E5AFA"/>
    <w:rsid w:val="002E5D59"/>
    <w:rsid w:val="002E5F6F"/>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A27"/>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39DE"/>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32C"/>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53BF"/>
    <w:rsid w:val="003A55D8"/>
    <w:rsid w:val="003A59A6"/>
    <w:rsid w:val="003A6AFF"/>
    <w:rsid w:val="003A6D5C"/>
    <w:rsid w:val="003A7732"/>
    <w:rsid w:val="003A7D55"/>
    <w:rsid w:val="003A7ED9"/>
    <w:rsid w:val="003B006E"/>
    <w:rsid w:val="003B02EE"/>
    <w:rsid w:val="003B0DD6"/>
    <w:rsid w:val="003B10FB"/>
    <w:rsid w:val="003B1154"/>
    <w:rsid w:val="003B1752"/>
    <w:rsid w:val="003B279D"/>
    <w:rsid w:val="003B2AAD"/>
    <w:rsid w:val="003B307A"/>
    <w:rsid w:val="003B331D"/>
    <w:rsid w:val="003B3474"/>
    <w:rsid w:val="003B380A"/>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27ED"/>
    <w:rsid w:val="003C30DA"/>
    <w:rsid w:val="003C40AF"/>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0DF"/>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040"/>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0C"/>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679"/>
    <w:rsid w:val="00474C35"/>
    <w:rsid w:val="004750A1"/>
    <w:rsid w:val="004750FE"/>
    <w:rsid w:val="004753D3"/>
    <w:rsid w:val="004756C6"/>
    <w:rsid w:val="00475888"/>
    <w:rsid w:val="00475F5F"/>
    <w:rsid w:val="004764FE"/>
    <w:rsid w:val="004769A4"/>
    <w:rsid w:val="00476D8E"/>
    <w:rsid w:val="00480212"/>
    <w:rsid w:val="00480D99"/>
    <w:rsid w:val="00482C8B"/>
    <w:rsid w:val="00482D0F"/>
    <w:rsid w:val="0048337A"/>
    <w:rsid w:val="004835C8"/>
    <w:rsid w:val="004838A8"/>
    <w:rsid w:val="00483AD5"/>
    <w:rsid w:val="00483EC9"/>
    <w:rsid w:val="004841AE"/>
    <w:rsid w:val="0048423C"/>
    <w:rsid w:val="0048483C"/>
    <w:rsid w:val="00484C7F"/>
    <w:rsid w:val="00485194"/>
    <w:rsid w:val="004858FF"/>
    <w:rsid w:val="00486D6A"/>
    <w:rsid w:val="00487BBD"/>
    <w:rsid w:val="004900E8"/>
    <w:rsid w:val="0049095E"/>
    <w:rsid w:val="00490C99"/>
    <w:rsid w:val="0049216F"/>
    <w:rsid w:val="004928F5"/>
    <w:rsid w:val="004933FC"/>
    <w:rsid w:val="004934F2"/>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212"/>
    <w:rsid w:val="004C2511"/>
    <w:rsid w:val="004C2853"/>
    <w:rsid w:val="004C2BB4"/>
    <w:rsid w:val="004C3B02"/>
    <w:rsid w:val="004C3C1C"/>
    <w:rsid w:val="004C3E4F"/>
    <w:rsid w:val="004C43C9"/>
    <w:rsid w:val="004C4418"/>
    <w:rsid w:val="004C45FA"/>
    <w:rsid w:val="004C460A"/>
    <w:rsid w:val="004C4707"/>
    <w:rsid w:val="004C4BB7"/>
    <w:rsid w:val="004C52E8"/>
    <w:rsid w:val="004C55E8"/>
    <w:rsid w:val="004C61D8"/>
    <w:rsid w:val="004C64EB"/>
    <w:rsid w:val="004C6779"/>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6C7F"/>
    <w:rsid w:val="004D79D3"/>
    <w:rsid w:val="004E07A1"/>
    <w:rsid w:val="004E1729"/>
    <w:rsid w:val="004E1B3C"/>
    <w:rsid w:val="004E1CA8"/>
    <w:rsid w:val="004E2CBE"/>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570"/>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100"/>
    <w:rsid w:val="005641C9"/>
    <w:rsid w:val="00564672"/>
    <w:rsid w:val="0056494C"/>
    <w:rsid w:val="00564DDB"/>
    <w:rsid w:val="00565338"/>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48"/>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0654E"/>
    <w:rsid w:val="006100FC"/>
    <w:rsid w:val="00610274"/>
    <w:rsid w:val="00610A95"/>
    <w:rsid w:val="00611006"/>
    <w:rsid w:val="00611505"/>
    <w:rsid w:val="006115F0"/>
    <w:rsid w:val="00611CEF"/>
    <w:rsid w:val="00613401"/>
    <w:rsid w:val="00613F4F"/>
    <w:rsid w:val="00614DC9"/>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203"/>
    <w:rsid w:val="00640E61"/>
    <w:rsid w:val="0064180A"/>
    <w:rsid w:val="006424D3"/>
    <w:rsid w:val="00642669"/>
    <w:rsid w:val="00642A8B"/>
    <w:rsid w:val="00643843"/>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1A8"/>
    <w:rsid w:val="0066148E"/>
    <w:rsid w:val="006617FD"/>
    <w:rsid w:val="00661B3F"/>
    <w:rsid w:val="0066218F"/>
    <w:rsid w:val="006625F9"/>
    <w:rsid w:val="00663164"/>
    <w:rsid w:val="00663A37"/>
    <w:rsid w:val="00663B72"/>
    <w:rsid w:val="006647A4"/>
    <w:rsid w:val="00664BB4"/>
    <w:rsid w:val="00665A8F"/>
    <w:rsid w:val="00666458"/>
    <w:rsid w:val="00667061"/>
    <w:rsid w:val="00667860"/>
    <w:rsid w:val="0067157E"/>
    <w:rsid w:val="00672247"/>
    <w:rsid w:val="006723F9"/>
    <w:rsid w:val="006728CE"/>
    <w:rsid w:val="00672989"/>
    <w:rsid w:val="00673EAA"/>
    <w:rsid w:val="006748F5"/>
    <w:rsid w:val="00675B61"/>
    <w:rsid w:val="00675BE0"/>
    <w:rsid w:val="00675D66"/>
    <w:rsid w:val="006761F3"/>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4CE2"/>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154"/>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17C"/>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702C"/>
    <w:rsid w:val="007576A3"/>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B5A"/>
    <w:rsid w:val="00776581"/>
    <w:rsid w:val="00777372"/>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0F4F"/>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0606"/>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266C"/>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33F"/>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D8B"/>
    <w:rsid w:val="007F3F9F"/>
    <w:rsid w:val="007F44CF"/>
    <w:rsid w:val="007F51AE"/>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669"/>
    <w:rsid w:val="008017D6"/>
    <w:rsid w:val="0080185B"/>
    <w:rsid w:val="00802567"/>
    <w:rsid w:val="008029F1"/>
    <w:rsid w:val="00802AC9"/>
    <w:rsid w:val="00803304"/>
    <w:rsid w:val="008035D5"/>
    <w:rsid w:val="008040CE"/>
    <w:rsid w:val="0080575D"/>
    <w:rsid w:val="008058D0"/>
    <w:rsid w:val="00807B2A"/>
    <w:rsid w:val="008101FB"/>
    <w:rsid w:val="008105EA"/>
    <w:rsid w:val="00810A08"/>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0D3"/>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5FE6"/>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D72FD"/>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152"/>
    <w:rsid w:val="00994A07"/>
    <w:rsid w:val="00994A4C"/>
    <w:rsid w:val="00996257"/>
    <w:rsid w:val="00996BCA"/>
    <w:rsid w:val="009971BB"/>
    <w:rsid w:val="009A0B02"/>
    <w:rsid w:val="009A0E79"/>
    <w:rsid w:val="009A1740"/>
    <w:rsid w:val="009A216A"/>
    <w:rsid w:val="009A23B0"/>
    <w:rsid w:val="009A35C9"/>
    <w:rsid w:val="009A3604"/>
    <w:rsid w:val="009A41B1"/>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BBB"/>
    <w:rsid w:val="009C0C1F"/>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135"/>
    <w:rsid w:val="00A175E5"/>
    <w:rsid w:val="00A178C0"/>
    <w:rsid w:val="00A17EA1"/>
    <w:rsid w:val="00A17EDF"/>
    <w:rsid w:val="00A212BF"/>
    <w:rsid w:val="00A215DD"/>
    <w:rsid w:val="00A21746"/>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5724"/>
    <w:rsid w:val="00A55ABE"/>
    <w:rsid w:val="00A571D6"/>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8FA"/>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3BB6"/>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41AB"/>
    <w:rsid w:val="00B1463B"/>
    <w:rsid w:val="00B15035"/>
    <w:rsid w:val="00B15202"/>
    <w:rsid w:val="00B1553A"/>
    <w:rsid w:val="00B1688A"/>
    <w:rsid w:val="00B17577"/>
    <w:rsid w:val="00B17661"/>
    <w:rsid w:val="00B200C5"/>
    <w:rsid w:val="00B21CD1"/>
    <w:rsid w:val="00B23256"/>
    <w:rsid w:val="00B23EA3"/>
    <w:rsid w:val="00B24066"/>
    <w:rsid w:val="00B24CF5"/>
    <w:rsid w:val="00B25441"/>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175B"/>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A088E"/>
    <w:rsid w:val="00BA0A2D"/>
    <w:rsid w:val="00BA152C"/>
    <w:rsid w:val="00BA2861"/>
    <w:rsid w:val="00BA3873"/>
    <w:rsid w:val="00BA562A"/>
    <w:rsid w:val="00BA636A"/>
    <w:rsid w:val="00BA6707"/>
    <w:rsid w:val="00BA7C0B"/>
    <w:rsid w:val="00BA7C85"/>
    <w:rsid w:val="00BB0F85"/>
    <w:rsid w:val="00BB16D5"/>
    <w:rsid w:val="00BB1940"/>
    <w:rsid w:val="00BB2A3A"/>
    <w:rsid w:val="00BB2E4D"/>
    <w:rsid w:val="00BB3445"/>
    <w:rsid w:val="00BB36D5"/>
    <w:rsid w:val="00BB3AE9"/>
    <w:rsid w:val="00BB3B19"/>
    <w:rsid w:val="00BB5301"/>
    <w:rsid w:val="00BB57E8"/>
    <w:rsid w:val="00BB58C8"/>
    <w:rsid w:val="00BB6642"/>
    <w:rsid w:val="00BB7349"/>
    <w:rsid w:val="00BB778D"/>
    <w:rsid w:val="00BB7DF0"/>
    <w:rsid w:val="00BB7F90"/>
    <w:rsid w:val="00BC0196"/>
    <w:rsid w:val="00BC0367"/>
    <w:rsid w:val="00BC03D2"/>
    <w:rsid w:val="00BC1CAA"/>
    <w:rsid w:val="00BC219A"/>
    <w:rsid w:val="00BC3946"/>
    <w:rsid w:val="00BC42A8"/>
    <w:rsid w:val="00BC47C3"/>
    <w:rsid w:val="00BC4869"/>
    <w:rsid w:val="00BC6627"/>
    <w:rsid w:val="00BC66EE"/>
    <w:rsid w:val="00BC69F2"/>
    <w:rsid w:val="00BC7535"/>
    <w:rsid w:val="00BC7F3C"/>
    <w:rsid w:val="00BC7FFB"/>
    <w:rsid w:val="00BD034D"/>
    <w:rsid w:val="00BD0C09"/>
    <w:rsid w:val="00BD1211"/>
    <w:rsid w:val="00BD23AD"/>
    <w:rsid w:val="00BD3209"/>
    <w:rsid w:val="00BD323A"/>
    <w:rsid w:val="00BD3692"/>
    <w:rsid w:val="00BD3E45"/>
    <w:rsid w:val="00BD3ECE"/>
    <w:rsid w:val="00BD4316"/>
    <w:rsid w:val="00BD5782"/>
    <w:rsid w:val="00BD5EFA"/>
    <w:rsid w:val="00BD6819"/>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611"/>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2813"/>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8AE"/>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5042D"/>
    <w:rsid w:val="00C510A7"/>
    <w:rsid w:val="00C52A07"/>
    <w:rsid w:val="00C52AC3"/>
    <w:rsid w:val="00C536D2"/>
    <w:rsid w:val="00C53C03"/>
    <w:rsid w:val="00C54558"/>
    <w:rsid w:val="00C558A4"/>
    <w:rsid w:val="00C559CD"/>
    <w:rsid w:val="00C57E04"/>
    <w:rsid w:val="00C606E2"/>
    <w:rsid w:val="00C60938"/>
    <w:rsid w:val="00C6103F"/>
    <w:rsid w:val="00C61818"/>
    <w:rsid w:val="00C61B06"/>
    <w:rsid w:val="00C61FEC"/>
    <w:rsid w:val="00C62B4F"/>
    <w:rsid w:val="00C62E29"/>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B7601"/>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469"/>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CDC"/>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0C2"/>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13E9"/>
    <w:rsid w:val="00D92243"/>
    <w:rsid w:val="00D92501"/>
    <w:rsid w:val="00D925D1"/>
    <w:rsid w:val="00D92668"/>
    <w:rsid w:val="00D93AD4"/>
    <w:rsid w:val="00D94948"/>
    <w:rsid w:val="00D94AC3"/>
    <w:rsid w:val="00D94BE4"/>
    <w:rsid w:val="00D94F27"/>
    <w:rsid w:val="00D95B37"/>
    <w:rsid w:val="00D9626D"/>
    <w:rsid w:val="00D979CF"/>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5FA"/>
    <w:rsid w:val="00DB5CD7"/>
    <w:rsid w:val="00DB6647"/>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7AC"/>
    <w:rsid w:val="00DD7FD2"/>
    <w:rsid w:val="00DE031F"/>
    <w:rsid w:val="00DE0985"/>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661"/>
    <w:rsid w:val="00E05FCE"/>
    <w:rsid w:val="00E065CE"/>
    <w:rsid w:val="00E076EA"/>
    <w:rsid w:val="00E0787C"/>
    <w:rsid w:val="00E07E93"/>
    <w:rsid w:val="00E120FC"/>
    <w:rsid w:val="00E12663"/>
    <w:rsid w:val="00E12997"/>
    <w:rsid w:val="00E12D07"/>
    <w:rsid w:val="00E12FFE"/>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177C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62A2"/>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6D76"/>
    <w:rsid w:val="00FD72C2"/>
    <w:rsid w:val="00FD7D51"/>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0E7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B223B-8F5B-4B31-BFDE-77D9972C2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17</Pages>
  <Words>4750</Words>
  <Characters>26126</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110</cp:revision>
  <cp:lastPrinted>2026-04-17T15:49:00Z</cp:lastPrinted>
  <dcterms:created xsi:type="dcterms:W3CDTF">2026-01-22T00:55:00Z</dcterms:created>
  <dcterms:modified xsi:type="dcterms:W3CDTF">2026-04-24T16:08:00Z</dcterms:modified>
</cp:coreProperties>
</file>