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831" w:rsidRDefault="00111831">
      <w:pPr>
        <w:widowControl w:val="0"/>
        <w:pBdr>
          <w:top w:val="nil"/>
          <w:left w:val="nil"/>
          <w:bottom w:val="nil"/>
          <w:right w:val="nil"/>
          <w:between w:val="nil"/>
        </w:pBdr>
        <w:spacing w:after="0" w:line="276" w:lineRule="auto"/>
        <w:jc w:val="left"/>
      </w:pPr>
    </w:p>
    <w:p w:rsidR="00111831" w:rsidRDefault="00111831">
      <w:pPr>
        <w:widowControl w:val="0"/>
        <w:pBdr>
          <w:top w:val="nil"/>
          <w:left w:val="nil"/>
          <w:bottom w:val="nil"/>
          <w:right w:val="nil"/>
          <w:between w:val="nil"/>
        </w:pBdr>
        <w:spacing w:after="0" w:line="360" w:lineRule="auto"/>
        <w:jc w:val="left"/>
      </w:pPr>
      <w:bookmarkStart w:id="0" w:name="_heading=h.nabsgxvbp8jh" w:colFirst="0" w:colLast="0"/>
      <w:bookmarkEnd w:id="0"/>
    </w:p>
    <w:p w:rsidR="00111831" w:rsidRDefault="00D653D2">
      <w:pPr>
        <w:tabs>
          <w:tab w:val="left" w:pos="8931"/>
        </w:tabs>
        <w:spacing w:after="0" w:line="360" w:lineRule="auto"/>
      </w:pPr>
      <w:r>
        <w:t xml:space="preserve"> </w:t>
      </w:r>
    </w:p>
    <w:p w:rsidR="00111831" w:rsidRDefault="00D653D2">
      <w:pPr>
        <w:keepNext/>
        <w:keepLines/>
        <w:pBdr>
          <w:top w:val="nil"/>
          <w:left w:val="nil"/>
          <w:bottom w:val="nil"/>
          <w:right w:val="nil"/>
          <w:between w:val="nil"/>
        </w:pBdr>
        <w:spacing w:after="0" w:line="360" w:lineRule="auto"/>
        <w:jc w:val="center"/>
        <w:rPr>
          <w:color w:val="000000"/>
        </w:rPr>
      </w:pPr>
      <w:r>
        <w:rPr>
          <w:color w:val="000000"/>
        </w:rPr>
        <w:t>RESOLUCIÓN DEL RECURSO DE REVISIÓN 10396/INFOEM/IP/RR/2025</w:t>
      </w:r>
    </w:p>
    <w:bookmarkStart w:id="1" w:name="_heading=h.8xban5zg304o" w:colFirst="0" w:colLast="0" w:displacedByCustomXml="next"/>
    <w:bookmarkEnd w:id="1" w:displacedByCustomXml="next"/>
    <w:sdt>
      <w:sdtPr>
        <w:rPr>
          <w:rFonts w:ascii="Palatino Linotype" w:eastAsia="Palatino Linotype" w:hAnsi="Palatino Linotype" w:cs="Palatino Linotype"/>
          <w:color w:val="auto"/>
          <w:sz w:val="22"/>
          <w:szCs w:val="22"/>
          <w:lang w:val="es-ES"/>
        </w:rPr>
        <w:id w:val="-356583221"/>
        <w:docPartObj>
          <w:docPartGallery w:val="Table of Contents"/>
          <w:docPartUnique/>
        </w:docPartObj>
      </w:sdtPr>
      <w:sdtEndPr>
        <w:rPr>
          <w:b/>
          <w:bCs/>
        </w:rPr>
      </w:sdtEndPr>
      <w:sdtContent>
        <w:p w:rsidR="00277817" w:rsidRDefault="00277817">
          <w:pPr>
            <w:pStyle w:val="TtulodeTDC"/>
          </w:pPr>
        </w:p>
        <w:p w:rsidR="00F71E49" w:rsidRDefault="00277817">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0597743" w:history="1">
            <w:r w:rsidR="00F71E49" w:rsidRPr="00EC1959">
              <w:rPr>
                <w:rStyle w:val="Hipervnculo"/>
                <w:noProof/>
              </w:rPr>
              <w:t>A N T E C E D E N T E S</w:t>
            </w:r>
            <w:r w:rsidR="00F71E49">
              <w:rPr>
                <w:noProof/>
                <w:webHidden/>
              </w:rPr>
              <w:tab/>
            </w:r>
            <w:r w:rsidR="00F71E49">
              <w:rPr>
                <w:noProof/>
                <w:webHidden/>
              </w:rPr>
              <w:fldChar w:fldCharType="begin"/>
            </w:r>
            <w:r w:rsidR="00F71E49">
              <w:rPr>
                <w:noProof/>
                <w:webHidden/>
              </w:rPr>
              <w:instrText xml:space="preserve"> PAGEREF _Toc220597743 \h </w:instrText>
            </w:r>
            <w:r w:rsidR="00F71E49">
              <w:rPr>
                <w:noProof/>
                <w:webHidden/>
              </w:rPr>
            </w:r>
            <w:r w:rsidR="00F71E49">
              <w:rPr>
                <w:noProof/>
                <w:webHidden/>
              </w:rPr>
              <w:fldChar w:fldCharType="separate"/>
            </w:r>
            <w:r w:rsidR="001B0116">
              <w:rPr>
                <w:noProof/>
                <w:webHidden/>
              </w:rPr>
              <w:t>2</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44" w:history="1">
            <w:r w:rsidR="00F71E49" w:rsidRPr="00EC1959">
              <w:rPr>
                <w:rStyle w:val="Hipervnculo"/>
                <w:noProof/>
              </w:rPr>
              <w:t>I. Presentación de la solicitud de información</w:t>
            </w:r>
            <w:r w:rsidR="00F71E49">
              <w:rPr>
                <w:noProof/>
                <w:webHidden/>
              </w:rPr>
              <w:tab/>
            </w:r>
            <w:r w:rsidR="00F71E49">
              <w:rPr>
                <w:noProof/>
                <w:webHidden/>
              </w:rPr>
              <w:fldChar w:fldCharType="begin"/>
            </w:r>
            <w:r w:rsidR="00F71E49">
              <w:rPr>
                <w:noProof/>
                <w:webHidden/>
              </w:rPr>
              <w:instrText xml:space="preserve"> PAGEREF _Toc220597744 \h </w:instrText>
            </w:r>
            <w:r w:rsidR="00F71E49">
              <w:rPr>
                <w:noProof/>
                <w:webHidden/>
              </w:rPr>
            </w:r>
            <w:r w:rsidR="00F71E49">
              <w:rPr>
                <w:noProof/>
                <w:webHidden/>
              </w:rPr>
              <w:fldChar w:fldCharType="separate"/>
            </w:r>
            <w:r w:rsidR="001B0116">
              <w:rPr>
                <w:noProof/>
                <w:webHidden/>
              </w:rPr>
              <w:t>2</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45" w:history="1">
            <w:r w:rsidR="00F71E49" w:rsidRPr="00EC1959">
              <w:rPr>
                <w:rStyle w:val="Hipervnculo"/>
                <w:noProof/>
              </w:rPr>
              <w:t>II. Respuesta del Sujeto Obligado</w:t>
            </w:r>
            <w:r w:rsidR="00F71E49">
              <w:rPr>
                <w:noProof/>
                <w:webHidden/>
              </w:rPr>
              <w:tab/>
            </w:r>
            <w:r w:rsidR="00F71E49">
              <w:rPr>
                <w:noProof/>
                <w:webHidden/>
              </w:rPr>
              <w:fldChar w:fldCharType="begin"/>
            </w:r>
            <w:r w:rsidR="00F71E49">
              <w:rPr>
                <w:noProof/>
                <w:webHidden/>
              </w:rPr>
              <w:instrText xml:space="preserve"> PAGEREF _Toc220597745 \h </w:instrText>
            </w:r>
            <w:r w:rsidR="00F71E49">
              <w:rPr>
                <w:noProof/>
                <w:webHidden/>
              </w:rPr>
            </w:r>
            <w:r w:rsidR="00F71E49">
              <w:rPr>
                <w:noProof/>
                <w:webHidden/>
              </w:rPr>
              <w:fldChar w:fldCharType="separate"/>
            </w:r>
            <w:r w:rsidR="001B0116">
              <w:rPr>
                <w:noProof/>
                <w:webHidden/>
              </w:rPr>
              <w:t>3</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46" w:history="1">
            <w:r w:rsidR="00F71E49" w:rsidRPr="00EC1959">
              <w:rPr>
                <w:rStyle w:val="Hipervnculo"/>
                <w:noProof/>
              </w:rPr>
              <w:t>III. Interposición del Recurso de Revisión</w:t>
            </w:r>
            <w:r w:rsidR="00F71E49">
              <w:rPr>
                <w:noProof/>
                <w:webHidden/>
              </w:rPr>
              <w:tab/>
            </w:r>
            <w:r w:rsidR="00F71E49">
              <w:rPr>
                <w:noProof/>
                <w:webHidden/>
              </w:rPr>
              <w:fldChar w:fldCharType="begin"/>
            </w:r>
            <w:r w:rsidR="00F71E49">
              <w:rPr>
                <w:noProof/>
                <w:webHidden/>
              </w:rPr>
              <w:instrText xml:space="preserve"> PAGEREF _Toc220597746 \h </w:instrText>
            </w:r>
            <w:r w:rsidR="00F71E49">
              <w:rPr>
                <w:noProof/>
                <w:webHidden/>
              </w:rPr>
            </w:r>
            <w:r w:rsidR="00F71E49">
              <w:rPr>
                <w:noProof/>
                <w:webHidden/>
              </w:rPr>
              <w:fldChar w:fldCharType="separate"/>
            </w:r>
            <w:r w:rsidR="001B0116">
              <w:rPr>
                <w:noProof/>
                <w:webHidden/>
              </w:rPr>
              <w:t>3</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47" w:history="1">
            <w:r w:rsidR="00F71E49" w:rsidRPr="00EC1959">
              <w:rPr>
                <w:rStyle w:val="Hipervnculo"/>
                <w:noProof/>
              </w:rPr>
              <w:t>IV. Trámite del Recurso de Revisión ante este Instituto</w:t>
            </w:r>
            <w:r w:rsidR="00F71E49">
              <w:rPr>
                <w:noProof/>
                <w:webHidden/>
              </w:rPr>
              <w:tab/>
            </w:r>
            <w:r w:rsidR="00F71E49">
              <w:rPr>
                <w:noProof/>
                <w:webHidden/>
              </w:rPr>
              <w:fldChar w:fldCharType="begin"/>
            </w:r>
            <w:r w:rsidR="00F71E49">
              <w:rPr>
                <w:noProof/>
                <w:webHidden/>
              </w:rPr>
              <w:instrText xml:space="preserve"> PAGEREF _Toc220597747 \h </w:instrText>
            </w:r>
            <w:r w:rsidR="00F71E49">
              <w:rPr>
                <w:noProof/>
                <w:webHidden/>
              </w:rPr>
            </w:r>
            <w:r w:rsidR="00F71E49">
              <w:rPr>
                <w:noProof/>
                <w:webHidden/>
              </w:rPr>
              <w:fldChar w:fldCharType="separate"/>
            </w:r>
            <w:r w:rsidR="001B0116">
              <w:rPr>
                <w:noProof/>
                <w:webHidden/>
              </w:rPr>
              <w:t>4</w:t>
            </w:r>
            <w:r w:rsidR="00F71E49">
              <w:rPr>
                <w:noProof/>
                <w:webHidden/>
              </w:rPr>
              <w:fldChar w:fldCharType="end"/>
            </w:r>
          </w:hyperlink>
        </w:p>
        <w:p w:rsidR="00F71E49" w:rsidRDefault="001F5577">
          <w:pPr>
            <w:pStyle w:val="TDC1"/>
            <w:tabs>
              <w:tab w:val="right" w:leader="dot" w:pos="8921"/>
            </w:tabs>
            <w:rPr>
              <w:rFonts w:asciiTheme="minorHAnsi" w:eastAsiaTheme="minorEastAsia" w:hAnsiTheme="minorHAnsi" w:cstheme="minorBidi"/>
              <w:noProof/>
            </w:rPr>
          </w:pPr>
          <w:hyperlink w:anchor="_Toc220597748" w:history="1">
            <w:r w:rsidR="00F71E49" w:rsidRPr="00EC1959">
              <w:rPr>
                <w:rStyle w:val="Hipervnculo"/>
                <w:noProof/>
              </w:rPr>
              <w:t>C O N S I D E R A N D O S</w:t>
            </w:r>
            <w:r w:rsidR="00F71E49">
              <w:rPr>
                <w:noProof/>
                <w:webHidden/>
              </w:rPr>
              <w:tab/>
            </w:r>
            <w:r w:rsidR="00F71E49">
              <w:rPr>
                <w:noProof/>
                <w:webHidden/>
              </w:rPr>
              <w:fldChar w:fldCharType="begin"/>
            </w:r>
            <w:r w:rsidR="00F71E49">
              <w:rPr>
                <w:noProof/>
                <w:webHidden/>
              </w:rPr>
              <w:instrText xml:space="preserve"> PAGEREF _Toc220597748 \h </w:instrText>
            </w:r>
            <w:r w:rsidR="00F71E49">
              <w:rPr>
                <w:noProof/>
                <w:webHidden/>
              </w:rPr>
            </w:r>
            <w:r w:rsidR="00F71E49">
              <w:rPr>
                <w:noProof/>
                <w:webHidden/>
              </w:rPr>
              <w:fldChar w:fldCharType="separate"/>
            </w:r>
            <w:r w:rsidR="001B0116">
              <w:rPr>
                <w:noProof/>
                <w:webHidden/>
              </w:rPr>
              <w:t>5</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49" w:history="1">
            <w:r w:rsidR="00F71E49" w:rsidRPr="00EC1959">
              <w:rPr>
                <w:rStyle w:val="Hipervnculo"/>
                <w:noProof/>
              </w:rPr>
              <w:t>PRIMERO. Competencia</w:t>
            </w:r>
            <w:r w:rsidR="00F71E49">
              <w:rPr>
                <w:noProof/>
                <w:webHidden/>
              </w:rPr>
              <w:tab/>
            </w:r>
            <w:r w:rsidR="00F71E49">
              <w:rPr>
                <w:noProof/>
                <w:webHidden/>
              </w:rPr>
              <w:fldChar w:fldCharType="begin"/>
            </w:r>
            <w:r w:rsidR="00F71E49">
              <w:rPr>
                <w:noProof/>
                <w:webHidden/>
              </w:rPr>
              <w:instrText xml:space="preserve"> PAGEREF _Toc220597749 \h </w:instrText>
            </w:r>
            <w:r w:rsidR="00F71E49">
              <w:rPr>
                <w:noProof/>
                <w:webHidden/>
              </w:rPr>
            </w:r>
            <w:r w:rsidR="00F71E49">
              <w:rPr>
                <w:noProof/>
                <w:webHidden/>
              </w:rPr>
              <w:fldChar w:fldCharType="separate"/>
            </w:r>
            <w:r w:rsidR="001B0116">
              <w:rPr>
                <w:noProof/>
                <w:webHidden/>
              </w:rPr>
              <w:t>5</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50" w:history="1">
            <w:r w:rsidR="00F71E49" w:rsidRPr="00EC1959">
              <w:rPr>
                <w:rStyle w:val="Hipervnculo"/>
                <w:noProof/>
              </w:rPr>
              <w:t>SEGUNDO. Causales de improcedencia y sobreseimiento</w:t>
            </w:r>
            <w:r w:rsidR="00F71E49">
              <w:rPr>
                <w:noProof/>
                <w:webHidden/>
              </w:rPr>
              <w:tab/>
            </w:r>
            <w:r w:rsidR="00F71E49">
              <w:rPr>
                <w:noProof/>
                <w:webHidden/>
              </w:rPr>
              <w:fldChar w:fldCharType="begin"/>
            </w:r>
            <w:r w:rsidR="00F71E49">
              <w:rPr>
                <w:noProof/>
                <w:webHidden/>
              </w:rPr>
              <w:instrText xml:space="preserve"> PAGEREF _Toc220597750 \h </w:instrText>
            </w:r>
            <w:r w:rsidR="00F71E49">
              <w:rPr>
                <w:noProof/>
                <w:webHidden/>
              </w:rPr>
            </w:r>
            <w:r w:rsidR="00F71E49">
              <w:rPr>
                <w:noProof/>
                <w:webHidden/>
              </w:rPr>
              <w:fldChar w:fldCharType="separate"/>
            </w:r>
            <w:r w:rsidR="001B0116">
              <w:rPr>
                <w:noProof/>
                <w:webHidden/>
              </w:rPr>
              <w:t>6</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51" w:history="1">
            <w:r w:rsidR="00F71E49" w:rsidRPr="00EC1959">
              <w:rPr>
                <w:rStyle w:val="Hipervnculo"/>
                <w:noProof/>
              </w:rPr>
              <w:t>TERCERO. Determinación de la Controversia</w:t>
            </w:r>
            <w:r w:rsidR="00F71E49">
              <w:rPr>
                <w:noProof/>
                <w:webHidden/>
              </w:rPr>
              <w:tab/>
            </w:r>
            <w:r w:rsidR="00F71E49">
              <w:rPr>
                <w:noProof/>
                <w:webHidden/>
              </w:rPr>
              <w:fldChar w:fldCharType="begin"/>
            </w:r>
            <w:r w:rsidR="00F71E49">
              <w:rPr>
                <w:noProof/>
                <w:webHidden/>
              </w:rPr>
              <w:instrText xml:space="preserve"> PAGEREF _Toc220597751 \h </w:instrText>
            </w:r>
            <w:r w:rsidR="00F71E49">
              <w:rPr>
                <w:noProof/>
                <w:webHidden/>
              </w:rPr>
            </w:r>
            <w:r w:rsidR="00F71E49">
              <w:rPr>
                <w:noProof/>
                <w:webHidden/>
              </w:rPr>
              <w:fldChar w:fldCharType="separate"/>
            </w:r>
            <w:r w:rsidR="001B0116">
              <w:rPr>
                <w:noProof/>
                <w:webHidden/>
              </w:rPr>
              <w:t>7</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52" w:history="1">
            <w:r w:rsidR="00F71E49" w:rsidRPr="00EC1959">
              <w:rPr>
                <w:rStyle w:val="Hipervnculo"/>
                <w:noProof/>
              </w:rPr>
              <w:t>CUARTO. Marco normativo aplicable en materia de transparencia y acceso a la información pública</w:t>
            </w:r>
            <w:r w:rsidR="00F71E49">
              <w:rPr>
                <w:noProof/>
                <w:webHidden/>
              </w:rPr>
              <w:tab/>
            </w:r>
            <w:r w:rsidR="00F71E49">
              <w:rPr>
                <w:noProof/>
                <w:webHidden/>
              </w:rPr>
              <w:fldChar w:fldCharType="begin"/>
            </w:r>
            <w:r w:rsidR="00F71E49">
              <w:rPr>
                <w:noProof/>
                <w:webHidden/>
              </w:rPr>
              <w:instrText xml:space="preserve"> PAGEREF _Toc220597752 \h </w:instrText>
            </w:r>
            <w:r w:rsidR="00F71E49">
              <w:rPr>
                <w:noProof/>
                <w:webHidden/>
              </w:rPr>
            </w:r>
            <w:r w:rsidR="00F71E49">
              <w:rPr>
                <w:noProof/>
                <w:webHidden/>
              </w:rPr>
              <w:fldChar w:fldCharType="separate"/>
            </w:r>
            <w:r w:rsidR="001B0116">
              <w:rPr>
                <w:noProof/>
                <w:webHidden/>
              </w:rPr>
              <w:t>9</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53" w:history="1">
            <w:r w:rsidR="00F71E49" w:rsidRPr="00EC1959">
              <w:rPr>
                <w:rStyle w:val="Hipervnculo"/>
                <w:noProof/>
              </w:rPr>
              <w:t>QUINTO. Estudio de Fondo</w:t>
            </w:r>
            <w:r w:rsidR="00F71E49">
              <w:rPr>
                <w:noProof/>
                <w:webHidden/>
              </w:rPr>
              <w:tab/>
            </w:r>
            <w:r w:rsidR="00F71E49">
              <w:rPr>
                <w:noProof/>
                <w:webHidden/>
              </w:rPr>
              <w:fldChar w:fldCharType="begin"/>
            </w:r>
            <w:r w:rsidR="00F71E49">
              <w:rPr>
                <w:noProof/>
                <w:webHidden/>
              </w:rPr>
              <w:instrText xml:space="preserve"> PAGEREF _Toc220597753 \h </w:instrText>
            </w:r>
            <w:r w:rsidR="00F71E49">
              <w:rPr>
                <w:noProof/>
                <w:webHidden/>
              </w:rPr>
            </w:r>
            <w:r w:rsidR="00F71E49">
              <w:rPr>
                <w:noProof/>
                <w:webHidden/>
              </w:rPr>
              <w:fldChar w:fldCharType="separate"/>
            </w:r>
            <w:r w:rsidR="001B0116">
              <w:rPr>
                <w:noProof/>
                <w:webHidden/>
              </w:rPr>
              <w:t>10</w:t>
            </w:r>
            <w:r w:rsidR="00F71E49">
              <w:rPr>
                <w:noProof/>
                <w:webHidden/>
              </w:rPr>
              <w:fldChar w:fldCharType="end"/>
            </w:r>
          </w:hyperlink>
        </w:p>
        <w:p w:rsidR="00F71E49" w:rsidRDefault="001F5577">
          <w:pPr>
            <w:pStyle w:val="TDC2"/>
            <w:rPr>
              <w:rFonts w:asciiTheme="minorHAnsi" w:eastAsiaTheme="minorEastAsia" w:hAnsiTheme="minorHAnsi" w:cstheme="minorBidi"/>
              <w:noProof/>
            </w:rPr>
          </w:pPr>
          <w:hyperlink w:anchor="_Toc220597754" w:history="1">
            <w:r w:rsidR="00F71E49" w:rsidRPr="00EC1959">
              <w:rPr>
                <w:rStyle w:val="Hipervnculo"/>
                <w:noProof/>
              </w:rPr>
              <w:t>SEXTO. Decisión</w:t>
            </w:r>
            <w:r w:rsidR="00F71E49">
              <w:rPr>
                <w:noProof/>
                <w:webHidden/>
              </w:rPr>
              <w:tab/>
            </w:r>
            <w:r w:rsidR="00F71E49">
              <w:rPr>
                <w:noProof/>
                <w:webHidden/>
              </w:rPr>
              <w:fldChar w:fldCharType="begin"/>
            </w:r>
            <w:r w:rsidR="00F71E49">
              <w:rPr>
                <w:noProof/>
                <w:webHidden/>
              </w:rPr>
              <w:instrText xml:space="preserve"> PAGEREF _Toc220597754 \h </w:instrText>
            </w:r>
            <w:r w:rsidR="00F71E49">
              <w:rPr>
                <w:noProof/>
                <w:webHidden/>
              </w:rPr>
            </w:r>
            <w:r w:rsidR="00F71E49">
              <w:rPr>
                <w:noProof/>
                <w:webHidden/>
              </w:rPr>
              <w:fldChar w:fldCharType="separate"/>
            </w:r>
            <w:r w:rsidR="001B0116">
              <w:rPr>
                <w:noProof/>
                <w:webHidden/>
              </w:rPr>
              <w:t>18</w:t>
            </w:r>
            <w:r w:rsidR="00F71E49">
              <w:rPr>
                <w:noProof/>
                <w:webHidden/>
              </w:rPr>
              <w:fldChar w:fldCharType="end"/>
            </w:r>
          </w:hyperlink>
        </w:p>
        <w:p w:rsidR="00F71E49" w:rsidRDefault="001F5577">
          <w:pPr>
            <w:pStyle w:val="TDC1"/>
            <w:tabs>
              <w:tab w:val="right" w:leader="dot" w:pos="8921"/>
            </w:tabs>
            <w:rPr>
              <w:rFonts w:asciiTheme="minorHAnsi" w:eastAsiaTheme="minorEastAsia" w:hAnsiTheme="minorHAnsi" w:cstheme="minorBidi"/>
              <w:noProof/>
            </w:rPr>
          </w:pPr>
          <w:hyperlink w:anchor="_Toc220597755" w:history="1">
            <w:r w:rsidR="00F71E49" w:rsidRPr="00EC1959">
              <w:rPr>
                <w:rStyle w:val="Hipervnculo"/>
                <w:noProof/>
              </w:rPr>
              <w:t>R E S U E L V E</w:t>
            </w:r>
            <w:r w:rsidR="00F71E49">
              <w:rPr>
                <w:noProof/>
                <w:webHidden/>
              </w:rPr>
              <w:tab/>
            </w:r>
            <w:r w:rsidR="00F71E49">
              <w:rPr>
                <w:noProof/>
                <w:webHidden/>
              </w:rPr>
              <w:fldChar w:fldCharType="begin"/>
            </w:r>
            <w:r w:rsidR="00F71E49">
              <w:rPr>
                <w:noProof/>
                <w:webHidden/>
              </w:rPr>
              <w:instrText xml:space="preserve"> PAGEREF _Toc220597755 \h </w:instrText>
            </w:r>
            <w:r w:rsidR="00F71E49">
              <w:rPr>
                <w:noProof/>
                <w:webHidden/>
              </w:rPr>
            </w:r>
            <w:r w:rsidR="00F71E49">
              <w:rPr>
                <w:noProof/>
                <w:webHidden/>
              </w:rPr>
              <w:fldChar w:fldCharType="separate"/>
            </w:r>
            <w:r w:rsidR="001B0116">
              <w:rPr>
                <w:noProof/>
                <w:webHidden/>
              </w:rPr>
              <w:t>18</w:t>
            </w:r>
            <w:r w:rsidR="00F71E49">
              <w:rPr>
                <w:noProof/>
                <w:webHidden/>
              </w:rPr>
              <w:fldChar w:fldCharType="end"/>
            </w:r>
          </w:hyperlink>
        </w:p>
        <w:p w:rsidR="00277817" w:rsidRDefault="00277817">
          <w:r>
            <w:rPr>
              <w:b/>
              <w:bCs/>
              <w:lang w:val="es-ES"/>
            </w:rPr>
            <w:fldChar w:fldCharType="end"/>
          </w:r>
        </w:p>
      </w:sdtContent>
    </w:sdt>
    <w:p w:rsidR="00111831" w:rsidRDefault="00111831">
      <w:pPr>
        <w:spacing w:after="0" w:line="360" w:lineRule="auto"/>
      </w:pPr>
    </w:p>
    <w:p w:rsidR="00111831" w:rsidRDefault="00111831">
      <w:pPr>
        <w:tabs>
          <w:tab w:val="left" w:pos="8931"/>
        </w:tabs>
        <w:spacing w:after="0" w:line="360" w:lineRule="auto"/>
      </w:pPr>
    </w:p>
    <w:p w:rsidR="00277817" w:rsidRDefault="00277817">
      <w:pPr>
        <w:tabs>
          <w:tab w:val="left" w:pos="8931"/>
        </w:tabs>
        <w:spacing w:after="0" w:line="360" w:lineRule="auto"/>
      </w:pPr>
    </w:p>
    <w:p w:rsidR="00277817" w:rsidRDefault="00277817">
      <w:pPr>
        <w:tabs>
          <w:tab w:val="left" w:pos="8931"/>
        </w:tabs>
        <w:spacing w:after="0" w:line="360" w:lineRule="auto"/>
      </w:pPr>
    </w:p>
    <w:p w:rsidR="00277817" w:rsidRDefault="00277817">
      <w:pPr>
        <w:tabs>
          <w:tab w:val="left" w:pos="8931"/>
        </w:tabs>
        <w:spacing w:after="0" w:line="360" w:lineRule="auto"/>
      </w:pPr>
    </w:p>
    <w:p w:rsidR="00277817" w:rsidRDefault="00277817">
      <w:pPr>
        <w:tabs>
          <w:tab w:val="left" w:pos="8931"/>
        </w:tabs>
        <w:spacing w:after="0" w:line="360" w:lineRule="auto"/>
      </w:pPr>
    </w:p>
    <w:p w:rsidR="00277817" w:rsidRDefault="00277817">
      <w:pPr>
        <w:tabs>
          <w:tab w:val="left" w:pos="8931"/>
        </w:tabs>
        <w:spacing w:after="0" w:line="360" w:lineRule="auto"/>
      </w:pPr>
    </w:p>
    <w:p w:rsidR="00111831" w:rsidRDefault="00111831">
      <w:pPr>
        <w:tabs>
          <w:tab w:val="left" w:pos="8931"/>
        </w:tabs>
        <w:spacing w:after="0" w:line="360" w:lineRule="auto"/>
      </w:pPr>
    </w:p>
    <w:p w:rsidR="00111831" w:rsidRDefault="00D653D2">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veintiocho de enero de dos mil veintiséis. </w:t>
      </w:r>
    </w:p>
    <w:p w:rsidR="00111831" w:rsidRDefault="00111831">
      <w:pPr>
        <w:spacing w:after="0" w:line="360" w:lineRule="auto"/>
        <w:rPr>
          <w:b/>
          <w:bCs/>
        </w:rPr>
      </w:pPr>
    </w:p>
    <w:p w:rsidR="00111831" w:rsidRDefault="00D653D2">
      <w:pPr>
        <w:spacing w:after="0" w:line="360" w:lineRule="auto"/>
        <w:rPr>
          <w:color w:val="0D0D0D"/>
        </w:rPr>
      </w:pPr>
      <w:r>
        <w:rPr>
          <w:b/>
          <w:bCs/>
        </w:rPr>
        <w:t xml:space="preserve">VISTO </w:t>
      </w:r>
      <w:r>
        <w:t xml:space="preserve">el expediente electrónico conformado con motivo del Recurso de Revisión </w:t>
      </w:r>
      <w:r w:rsidRPr="004841C2">
        <w:rPr>
          <w:b/>
        </w:rPr>
        <w:t>10396/INFOEM/IP/RR/2025</w:t>
      </w:r>
      <w:r>
        <w:t xml:space="preserve">, interpuesto por </w:t>
      </w:r>
      <w:r w:rsidR="00491753" w:rsidRPr="00491753">
        <w:rPr>
          <w:highlight w:val="black"/>
        </w:rPr>
        <w:t>XXXXXXX</w:t>
      </w:r>
      <w:r>
        <w:rPr>
          <w:rFonts w:ascii="Arial" w:eastAsia="Arial" w:hAnsi="Arial" w:cs="Arial"/>
          <w:color w:val="333333"/>
          <w:sz w:val="15"/>
          <w:szCs w:val="15"/>
          <w:shd w:val="clear" w:color="auto" w:fill="F7F7F8"/>
        </w:rPr>
        <w:t xml:space="preserve">, </w:t>
      </w:r>
      <w:r>
        <w:t xml:space="preserve">la persona </w:t>
      </w:r>
      <w:r>
        <w:rPr>
          <w:color w:val="0D0D0D"/>
        </w:rPr>
        <w:t xml:space="preserve">Recurrente o Particular, en contra de la respuesta del Sujeto Obligado, </w:t>
      </w:r>
      <w:r w:rsidRPr="004841C2">
        <w:rPr>
          <w:b/>
        </w:rPr>
        <w:t>Ayuntamiento de Chimalhuacán</w:t>
      </w:r>
      <w:r>
        <w:rPr>
          <w:color w:val="0D0D0D"/>
        </w:rPr>
        <w:t xml:space="preserve">, a la solicitud de acceso a la información pública </w:t>
      </w:r>
      <w:r>
        <w:t>00158/CH</w:t>
      </w:r>
      <w:bookmarkStart w:id="2" w:name="_GoBack"/>
      <w:bookmarkEnd w:id="2"/>
      <w:r>
        <w:t>IMALHU/IP/2025</w:t>
      </w:r>
      <w:r>
        <w:rPr>
          <w:color w:val="000000"/>
        </w:rPr>
        <w:t xml:space="preserve">, </w:t>
      </w:r>
      <w:r>
        <w:rPr>
          <w:color w:val="0D0D0D"/>
        </w:rPr>
        <w:t>se emite la presente Resolución, con base en los Antecedentes y Considerandos que se exponen a continuación:</w:t>
      </w:r>
    </w:p>
    <w:p w:rsidR="00111831" w:rsidRDefault="00111831">
      <w:pPr>
        <w:spacing w:after="0" w:line="360" w:lineRule="auto"/>
        <w:rPr>
          <w:b/>
          <w:bCs/>
        </w:rPr>
      </w:pPr>
    </w:p>
    <w:p w:rsidR="00111831" w:rsidRDefault="00D653D2">
      <w:pPr>
        <w:pStyle w:val="Ttulo1"/>
        <w:spacing w:before="0" w:after="0" w:line="360" w:lineRule="auto"/>
        <w:jc w:val="center"/>
        <w:rPr>
          <w:sz w:val="22"/>
          <w:szCs w:val="22"/>
        </w:rPr>
      </w:pPr>
      <w:bookmarkStart w:id="3" w:name="_heading=h.ydrhtmnvv8iv" w:colFirst="0" w:colLast="0"/>
      <w:bookmarkStart w:id="4" w:name="_Toc220597743"/>
      <w:bookmarkEnd w:id="3"/>
      <w:r>
        <w:rPr>
          <w:sz w:val="22"/>
          <w:szCs w:val="22"/>
        </w:rPr>
        <w:t>A N T E C E D E N T E S</w:t>
      </w:r>
      <w:bookmarkEnd w:id="4"/>
    </w:p>
    <w:p w:rsidR="00111831" w:rsidRDefault="00111831">
      <w:pPr>
        <w:spacing w:after="0" w:line="360" w:lineRule="auto"/>
        <w:jc w:val="center"/>
        <w:rPr>
          <w:b/>
          <w:bCs/>
        </w:rPr>
      </w:pPr>
    </w:p>
    <w:p w:rsidR="00111831" w:rsidRDefault="00D653D2">
      <w:pPr>
        <w:pStyle w:val="Ttulo2"/>
        <w:spacing w:before="0" w:after="0" w:line="360" w:lineRule="auto"/>
        <w:rPr>
          <w:sz w:val="22"/>
          <w:szCs w:val="22"/>
        </w:rPr>
      </w:pPr>
      <w:bookmarkStart w:id="5" w:name="_heading=h.1v8lj5a1txh9" w:colFirst="0" w:colLast="0"/>
      <w:bookmarkStart w:id="6" w:name="_Toc220597744"/>
      <w:bookmarkEnd w:id="5"/>
      <w:r>
        <w:rPr>
          <w:sz w:val="22"/>
          <w:szCs w:val="22"/>
        </w:rPr>
        <w:t>I. Presentación de la solicitud de información</w:t>
      </w:r>
      <w:bookmarkEnd w:id="6"/>
    </w:p>
    <w:p w:rsidR="00111831" w:rsidRDefault="00111831">
      <w:pPr>
        <w:tabs>
          <w:tab w:val="left" w:pos="567"/>
        </w:tabs>
        <w:spacing w:after="0" w:line="360" w:lineRule="auto"/>
      </w:pPr>
    </w:p>
    <w:p w:rsidR="00111831" w:rsidRDefault="00D653D2">
      <w:pPr>
        <w:spacing w:after="0" w:line="360" w:lineRule="auto"/>
      </w:pPr>
      <w:r>
        <w:t>El cuatro de agosto de dos mil veinticinco, (si bien se presentó el veintitrés de julio que fue inhábil se recorre al día siguiente hábil) el Particular presentó una solicitud de acceso a la información pública, a través del Sistema de Acceso a la Información Mexiquense (SAIMEX), ante el Ayuntamiento de Chimalhuacán</w:t>
      </w:r>
      <w:r>
        <w:rPr>
          <w:color w:val="000000"/>
        </w:rPr>
        <w:t>,</w:t>
      </w:r>
      <w:r>
        <w:t xml:space="preserve"> en los siguientes términos: </w:t>
      </w:r>
    </w:p>
    <w:p w:rsidR="00111831" w:rsidRDefault="00111831">
      <w:pPr>
        <w:spacing w:after="0" w:line="360" w:lineRule="auto"/>
      </w:pPr>
    </w:p>
    <w:p w:rsidR="00111831" w:rsidRDefault="00D653D2">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111831" w:rsidRDefault="00D653D2">
      <w:pPr>
        <w:tabs>
          <w:tab w:val="left" w:pos="4667"/>
        </w:tabs>
        <w:spacing w:after="0" w:line="360" w:lineRule="auto"/>
        <w:ind w:left="567" w:right="567"/>
        <w:rPr>
          <w:i/>
          <w:iCs/>
          <w:sz w:val="20"/>
          <w:szCs w:val="20"/>
        </w:rPr>
      </w:pPr>
      <w:r>
        <w:rPr>
          <w:i/>
          <w:iCs/>
          <w:sz w:val="20"/>
          <w:szCs w:val="20"/>
        </w:rPr>
        <w:t>QUIERO SABER LA CANTIDAD ECONOMICA RECAUDADA POR EL AREA DE PROTECCIÓN DE CIVIL DEL MUNICIPIO DE CHIMALHUACAN EN LO QUE VA DEL AÑO 2025, YA SEA POR EMISIÓN DE DICTAMENES, CONSTANCIAS Y MULTAS A LAS DIFERENTES UNIDADES ECONOMICAS DENTRO DEL MUNICIPIO” (Sic.)</w:t>
      </w:r>
    </w:p>
    <w:p w:rsidR="00111831" w:rsidRDefault="00111831">
      <w:pPr>
        <w:tabs>
          <w:tab w:val="left" w:pos="4667"/>
        </w:tabs>
        <w:spacing w:after="0" w:line="360" w:lineRule="auto"/>
        <w:ind w:left="567" w:right="567"/>
        <w:rPr>
          <w:b/>
          <w:bCs/>
          <w:i/>
          <w:iCs/>
          <w:sz w:val="20"/>
          <w:szCs w:val="20"/>
        </w:rPr>
      </w:pPr>
    </w:p>
    <w:p w:rsidR="00111831" w:rsidRDefault="00D653D2">
      <w:pPr>
        <w:tabs>
          <w:tab w:val="left" w:pos="4667"/>
        </w:tabs>
        <w:spacing w:after="0" w:line="360" w:lineRule="auto"/>
        <w:ind w:left="567" w:right="567"/>
        <w:rPr>
          <w:b/>
          <w:bCs/>
          <w:i/>
          <w:iCs/>
          <w:sz w:val="20"/>
          <w:szCs w:val="20"/>
        </w:rPr>
      </w:pPr>
      <w:r>
        <w:rPr>
          <w:b/>
          <w:bCs/>
          <w:i/>
          <w:iCs/>
          <w:sz w:val="20"/>
          <w:szCs w:val="20"/>
        </w:rPr>
        <w:t>“MODALIDAD DE ENTREGA</w:t>
      </w:r>
    </w:p>
    <w:p w:rsidR="00111831" w:rsidRDefault="00D653D2">
      <w:pPr>
        <w:spacing w:after="0" w:line="360" w:lineRule="auto"/>
        <w:ind w:left="567" w:right="567"/>
        <w:rPr>
          <w:i/>
          <w:iCs/>
          <w:sz w:val="20"/>
          <w:szCs w:val="20"/>
        </w:rPr>
      </w:pPr>
      <w:bookmarkStart w:id="7" w:name="_heading=h.gokpofyswui9" w:colFirst="0" w:colLast="0"/>
      <w:bookmarkEnd w:id="7"/>
      <w:r>
        <w:rPr>
          <w:i/>
          <w:iCs/>
          <w:sz w:val="20"/>
          <w:szCs w:val="20"/>
        </w:rPr>
        <w:lastRenderedPageBreak/>
        <w:t>A través del SAIMEX”</w:t>
      </w:r>
    </w:p>
    <w:p w:rsidR="00111831" w:rsidRDefault="00111831">
      <w:pPr>
        <w:spacing w:after="0" w:line="360" w:lineRule="auto"/>
        <w:ind w:left="567" w:right="567"/>
        <w:rPr>
          <w:i/>
          <w:iCs/>
          <w:sz w:val="20"/>
          <w:szCs w:val="20"/>
        </w:rPr>
      </w:pPr>
    </w:p>
    <w:p w:rsidR="00111831" w:rsidRDefault="00D653D2">
      <w:pPr>
        <w:pStyle w:val="Ttulo2"/>
        <w:spacing w:before="0" w:after="0" w:line="360" w:lineRule="auto"/>
        <w:rPr>
          <w:sz w:val="22"/>
          <w:szCs w:val="22"/>
        </w:rPr>
      </w:pPr>
      <w:bookmarkStart w:id="8" w:name="_Toc220597745"/>
      <w:r>
        <w:rPr>
          <w:sz w:val="22"/>
          <w:szCs w:val="22"/>
        </w:rPr>
        <w:t>II. Respuesta del Sujeto Obligado</w:t>
      </w:r>
      <w:bookmarkEnd w:id="8"/>
    </w:p>
    <w:p w:rsidR="00111831" w:rsidRDefault="00111831">
      <w:pPr>
        <w:spacing w:after="0" w:line="360" w:lineRule="auto"/>
        <w:rPr>
          <w:b/>
          <w:bCs/>
        </w:rPr>
      </w:pPr>
    </w:p>
    <w:p w:rsidR="00111831" w:rsidRDefault="00D653D2">
      <w:pPr>
        <w:spacing w:after="0" w:line="360" w:lineRule="auto"/>
        <w:rPr>
          <w:color w:val="000000"/>
        </w:rPr>
      </w:pPr>
      <w:r>
        <w:t xml:space="preserve">El veinte de agosto de dos mil veinticinco, el Sujeto Obligado notificó, a través del Sistema de Acceso a la Información Mexiquense (SAIMEX), la respuesta a la solicitud de acceso a la información pública, </w:t>
      </w:r>
      <w:r>
        <w:rPr>
          <w:color w:val="000000"/>
        </w:rPr>
        <w:t>mediante la digitalización del siguiente documento:</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i) Oficio sin número, suscrito por el Director de Protección Civil y Bomberos, y dirigido al Ciudadano, donde refiere lo siguiente:</w:t>
      </w:r>
    </w:p>
    <w:p w:rsidR="00111831" w:rsidRDefault="00111831">
      <w:pPr>
        <w:spacing w:after="0" w:line="360" w:lineRule="auto"/>
        <w:rPr>
          <w:color w:val="000000"/>
        </w:rPr>
      </w:pPr>
    </w:p>
    <w:p w:rsidR="00111831" w:rsidRDefault="00D653D2">
      <w:pPr>
        <w:pBdr>
          <w:top w:val="nil"/>
          <w:left w:val="nil"/>
          <w:bottom w:val="nil"/>
          <w:right w:val="nil"/>
          <w:between w:val="nil"/>
        </w:pBdr>
        <w:spacing w:after="0" w:line="360" w:lineRule="auto"/>
        <w:ind w:left="720"/>
        <w:rPr>
          <w:i/>
          <w:iCs/>
          <w:color w:val="000000"/>
          <w:sz w:val="20"/>
          <w:szCs w:val="20"/>
        </w:rPr>
      </w:pPr>
      <w:r>
        <w:rPr>
          <w:color w:val="000000"/>
        </w:rPr>
        <w:t>“</w:t>
      </w:r>
      <w:r>
        <w:rPr>
          <w:i/>
          <w:iCs/>
          <w:color w:val="000000"/>
          <w:sz w:val="20"/>
          <w:szCs w:val="20"/>
        </w:rPr>
        <w:t>Al respecto de la solicitud señalo, que en esta Dirección de Protección Civil, NO RECAUDAMOS NINGUNA CANTIDAD ECONOMICA, en esta Dirección, se emiten órdenes de pago hacia el contribuyente para que acuda a una receptoría o caja de cobro del municipio, para que les realicen el cobro”.</w:t>
      </w:r>
    </w:p>
    <w:p w:rsidR="00111831" w:rsidRDefault="00111831">
      <w:pPr>
        <w:spacing w:after="0" w:line="360" w:lineRule="auto"/>
      </w:pPr>
    </w:p>
    <w:p w:rsidR="00111831" w:rsidRDefault="00D653D2">
      <w:pPr>
        <w:pStyle w:val="Ttulo2"/>
        <w:spacing w:before="0" w:after="0" w:line="360" w:lineRule="auto"/>
        <w:rPr>
          <w:sz w:val="22"/>
          <w:szCs w:val="22"/>
        </w:rPr>
      </w:pPr>
      <w:bookmarkStart w:id="9" w:name="_heading=h.37iyx8bkdbyw" w:colFirst="0" w:colLast="0"/>
      <w:bookmarkStart w:id="10" w:name="_Toc220597746"/>
      <w:bookmarkEnd w:id="9"/>
      <w:r>
        <w:rPr>
          <w:sz w:val="22"/>
          <w:szCs w:val="22"/>
        </w:rPr>
        <w:t>III. Interposición del Recurso de Revisión</w:t>
      </w:r>
      <w:bookmarkEnd w:id="10"/>
    </w:p>
    <w:p w:rsidR="00111831" w:rsidRDefault="00111831">
      <w:pPr>
        <w:spacing w:after="0" w:line="360" w:lineRule="auto"/>
        <w:rPr>
          <w:b/>
          <w:bCs/>
        </w:rPr>
      </w:pPr>
    </w:p>
    <w:p w:rsidR="00111831" w:rsidRDefault="00D653D2">
      <w:pPr>
        <w:spacing w:after="0" w:line="360" w:lineRule="auto"/>
      </w:pPr>
      <w:r>
        <w:t>El tres de septiembre de dos mil veinticinco, se recibió en este Instituto, a través del Sistema de Acceso a la Información Mexiquense (SAIMEX), el Recurso de Revisión interpuesto por la persona Recurrente, en contra de la respuesta por el Sujeto Obligado, en los siguientes términos:</w:t>
      </w:r>
    </w:p>
    <w:p w:rsidR="00111831" w:rsidRDefault="00111831">
      <w:pPr>
        <w:spacing w:after="0" w:line="360" w:lineRule="auto"/>
      </w:pPr>
    </w:p>
    <w:p w:rsidR="00111831" w:rsidRDefault="00D653D2">
      <w:pPr>
        <w:spacing w:after="0" w:line="360" w:lineRule="auto"/>
        <w:ind w:left="567" w:right="567"/>
        <w:rPr>
          <w:b/>
          <w:bCs/>
          <w:i/>
          <w:iCs/>
          <w:sz w:val="20"/>
          <w:szCs w:val="20"/>
        </w:rPr>
      </w:pPr>
      <w:r>
        <w:rPr>
          <w:b/>
          <w:bCs/>
          <w:i/>
          <w:iCs/>
          <w:sz w:val="20"/>
          <w:szCs w:val="20"/>
        </w:rPr>
        <w:t>‘’ACTO IMPUGNADO</w:t>
      </w:r>
    </w:p>
    <w:p w:rsidR="00111831" w:rsidRDefault="00D653D2">
      <w:pPr>
        <w:spacing w:after="0" w:line="360" w:lineRule="auto"/>
        <w:ind w:left="567" w:right="567"/>
        <w:rPr>
          <w:i/>
          <w:iCs/>
          <w:sz w:val="20"/>
          <w:szCs w:val="20"/>
        </w:rPr>
      </w:pPr>
      <w:r>
        <w:rPr>
          <w:i/>
          <w:iCs/>
          <w:sz w:val="20"/>
          <w:szCs w:val="20"/>
        </w:rPr>
        <w:t>La respuesta consistente en: En esta Dirección de Protección Civil, Bomberos y Servicios de Emergencia, NO RECAUDAMOS NINGUNA CANTIDAD ECONÓMICA, en esta Dirección se emiten órdenes de pago hacia el contribuyente para que acuda a una receptoría o caja de cobro del Municipio de Chimalhuacán, para que les realicen el cobro.” (Sic.)</w:t>
      </w:r>
    </w:p>
    <w:p w:rsidR="00111831" w:rsidRDefault="00111831">
      <w:pPr>
        <w:spacing w:after="0" w:line="360" w:lineRule="auto"/>
        <w:ind w:left="567" w:right="567"/>
        <w:rPr>
          <w:i/>
          <w:iCs/>
          <w:sz w:val="20"/>
          <w:szCs w:val="20"/>
        </w:rPr>
      </w:pPr>
    </w:p>
    <w:p w:rsidR="00111831" w:rsidRDefault="00D653D2">
      <w:pPr>
        <w:spacing w:after="0" w:line="360" w:lineRule="auto"/>
        <w:ind w:left="567" w:right="567"/>
        <w:rPr>
          <w:b/>
          <w:bCs/>
          <w:i/>
          <w:iCs/>
          <w:sz w:val="20"/>
          <w:szCs w:val="20"/>
        </w:rPr>
      </w:pPr>
      <w:r>
        <w:rPr>
          <w:b/>
          <w:bCs/>
          <w:i/>
          <w:iCs/>
          <w:sz w:val="20"/>
          <w:szCs w:val="20"/>
        </w:rPr>
        <w:t>‘’RAZONES O MOTIVOS DE LA INCONFORMIDAD</w:t>
      </w:r>
    </w:p>
    <w:p w:rsidR="00111831" w:rsidRDefault="00D653D2">
      <w:pPr>
        <w:spacing w:after="0" w:line="360" w:lineRule="auto"/>
        <w:ind w:left="567" w:right="567"/>
        <w:rPr>
          <w:i/>
          <w:iCs/>
          <w:sz w:val="20"/>
          <w:szCs w:val="20"/>
        </w:rPr>
      </w:pPr>
      <w:r>
        <w:rPr>
          <w:i/>
          <w:iCs/>
          <w:sz w:val="20"/>
          <w:szCs w:val="20"/>
        </w:rPr>
        <w:t xml:space="preserve">protección civil solo </w:t>
      </w:r>
      <w:proofErr w:type="spellStart"/>
      <w:r>
        <w:rPr>
          <w:i/>
          <w:iCs/>
          <w:sz w:val="20"/>
          <w:szCs w:val="20"/>
        </w:rPr>
        <w:t>manifesta</w:t>
      </w:r>
      <w:proofErr w:type="spellEnd"/>
      <w:r>
        <w:rPr>
          <w:i/>
          <w:iCs/>
          <w:sz w:val="20"/>
          <w:szCs w:val="20"/>
        </w:rPr>
        <w:t xml:space="preserve"> que ellos no recaudan pero si emiten </w:t>
      </w:r>
      <w:proofErr w:type="spellStart"/>
      <w:r>
        <w:rPr>
          <w:i/>
          <w:iCs/>
          <w:sz w:val="20"/>
          <w:szCs w:val="20"/>
        </w:rPr>
        <w:t>ordenes</w:t>
      </w:r>
      <w:proofErr w:type="spellEnd"/>
      <w:r>
        <w:rPr>
          <w:i/>
          <w:iCs/>
          <w:sz w:val="20"/>
          <w:szCs w:val="20"/>
        </w:rPr>
        <w:t xml:space="preserve"> de pago, es decir, si hay una recaudación por dicha </w:t>
      </w:r>
      <w:proofErr w:type="spellStart"/>
      <w:r>
        <w:rPr>
          <w:i/>
          <w:iCs/>
          <w:sz w:val="20"/>
          <w:szCs w:val="20"/>
        </w:rPr>
        <w:t>area</w:t>
      </w:r>
      <w:proofErr w:type="spellEnd"/>
      <w:r>
        <w:rPr>
          <w:i/>
          <w:iCs/>
          <w:sz w:val="20"/>
          <w:szCs w:val="20"/>
        </w:rPr>
        <w:t xml:space="preserve"> solo que el pago no se hace directamente con ellos, por ende existe cantidad recaudada que es la información a la cual se quiere tener acceso y su respuesta solo entorpece el acceso a la información”</w:t>
      </w:r>
    </w:p>
    <w:p w:rsidR="00111831" w:rsidRDefault="00111831">
      <w:pPr>
        <w:spacing w:after="0" w:line="360" w:lineRule="auto"/>
        <w:ind w:left="567" w:right="567" w:firstLine="32"/>
        <w:rPr>
          <w:i/>
          <w:iCs/>
          <w:sz w:val="20"/>
          <w:szCs w:val="20"/>
        </w:rPr>
      </w:pPr>
    </w:p>
    <w:p w:rsidR="00111831" w:rsidRDefault="00D653D2">
      <w:pPr>
        <w:pStyle w:val="Ttulo2"/>
        <w:spacing w:before="0" w:after="0" w:line="360" w:lineRule="auto"/>
        <w:rPr>
          <w:sz w:val="22"/>
          <w:szCs w:val="22"/>
        </w:rPr>
      </w:pPr>
      <w:bookmarkStart w:id="11" w:name="_heading=h.bnl43r14a44" w:colFirst="0" w:colLast="0"/>
      <w:bookmarkStart w:id="12" w:name="_Toc220597747"/>
      <w:bookmarkEnd w:id="11"/>
      <w:r>
        <w:rPr>
          <w:sz w:val="22"/>
          <w:szCs w:val="22"/>
        </w:rPr>
        <w:t>IV. Trámite del Recurso de Revisión ante este Instituto</w:t>
      </w:r>
      <w:bookmarkEnd w:id="12"/>
    </w:p>
    <w:p w:rsidR="00111831" w:rsidRDefault="00111831">
      <w:pPr>
        <w:spacing w:after="0" w:line="360" w:lineRule="auto"/>
        <w:rPr>
          <w:b/>
          <w:bCs/>
        </w:rPr>
      </w:pPr>
    </w:p>
    <w:p w:rsidR="00111831" w:rsidRDefault="00D653D2">
      <w:pPr>
        <w:spacing w:after="0" w:line="360" w:lineRule="auto"/>
      </w:pPr>
      <w:r>
        <w:rPr>
          <w:b/>
          <w:bCs/>
        </w:rPr>
        <w:t>a) Turno del Medio de Impugnación.</w:t>
      </w:r>
      <w:r>
        <w:t xml:space="preserve"> El tres de septiembre de dos mil veinticinco, el Sistema de Acceso a la Información Mexiquense (SAIMEX), asignó el número de expediente </w:t>
      </w:r>
      <w:r>
        <w:rPr>
          <w:b/>
          <w:bCs/>
        </w:rPr>
        <w:t>10396/INFOEM/IP/RR/2025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111831" w:rsidRDefault="00111831">
      <w:pPr>
        <w:spacing w:after="0" w:line="360" w:lineRule="auto"/>
        <w:rPr>
          <w:b/>
          <w:bCs/>
        </w:rPr>
      </w:pPr>
    </w:p>
    <w:p w:rsidR="00111831" w:rsidRDefault="00D653D2">
      <w:pPr>
        <w:spacing w:after="0" w:line="360" w:lineRule="auto"/>
      </w:pPr>
      <w:r>
        <w:rPr>
          <w:b/>
          <w:bCs/>
        </w:rPr>
        <w:t xml:space="preserve">b) Admisión del Recurso de Revisión. </w:t>
      </w:r>
      <w:r>
        <w:t>El ocho de septiembre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111831" w:rsidRDefault="00111831">
      <w:pPr>
        <w:spacing w:after="0" w:line="360" w:lineRule="auto"/>
      </w:pPr>
    </w:p>
    <w:p w:rsidR="00111831" w:rsidRDefault="00D653D2">
      <w:pPr>
        <w:tabs>
          <w:tab w:val="left" w:pos="3261"/>
        </w:tabs>
        <w:spacing w:after="0" w:line="360" w:lineRule="auto"/>
      </w:pPr>
      <w:r>
        <w:rPr>
          <w:b/>
          <w:bCs/>
          <w:color w:val="000000"/>
        </w:rPr>
        <w:t>c) Informe Justificado o Manifestaciones.</w:t>
      </w:r>
      <w:r>
        <w:t xml:space="preserve"> Las partes fueron omisas en emitir alguna manifestación o alegato.</w:t>
      </w:r>
    </w:p>
    <w:p w:rsidR="00111831" w:rsidRDefault="00111831">
      <w:pPr>
        <w:pBdr>
          <w:top w:val="nil"/>
          <w:left w:val="nil"/>
          <w:bottom w:val="nil"/>
          <w:right w:val="nil"/>
          <w:between w:val="nil"/>
        </w:pBdr>
        <w:tabs>
          <w:tab w:val="left" w:pos="3261"/>
        </w:tabs>
        <w:spacing w:after="0" w:line="360" w:lineRule="auto"/>
        <w:ind w:left="720"/>
        <w:rPr>
          <w:color w:val="000000"/>
        </w:rPr>
      </w:pPr>
    </w:p>
    <w:p w:rsidR="00111831" w:rsidRDefault="00D653D2">
      <w:pPr>
        <w:spacing w:after="0" w:line="360" w:lineRule="auto"/>
      </w:pPr>
      <w:r>
        <w:rPr>
          <w:b/>
          <w:bCs/>
        </w:rPr>
        <w:lastRenderedPageBreak/>
        <w:t xml:space="preserve">d) Ampliación de plazo para resolver. </w:t>
      </w:r>
      <w:r>
        <w:t>El veintiséis de enero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rsidR="00111831" w:rsidRDefault="00111831">
      <w:pPr>
        <w:spacing w:after="0" w:line="360" w:lineRule="auto"/>
      </w:pPr>
    </w:p>
    <w:p w:rsidR="00111831" w:rsidRDefault="00D653D2">
      <w:pPr>
        <w:spacing w:after="0" w:line="360" w:lineRule="auto"/>
      </w:pPr>
      <w:r>
        <w:rPr>
          <w:b/>
          <w:bCs/>
        </w:rPr>
        <w:t>e) Cierre de instrucción.</w:t>
      </w:r>
      <w:r>
        <w:t xml:space="preserve"> El seis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111831" w:rsidRDefault="00111831">
      <w:pPr>
        <w:spacing w:after="0" w:line="360" w:lineRule="auto"/>
      </w:pPr>
    </w:p>
    <w:p w:rsidR="00111831" w:rsidRDefault="00D653D2">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con los siguientes:</w:t>
      </w:r>
    </w:p>
    <w:p w:rsidR="00111831" w:rsidRDefault="00111831">
      <w:pPr>
        <w:spacing w:after="0" w:line="360" w:lineRule="auto"/>
        <w:rPr>
          <w:color w:val="000000"/>
        </w:rPr>
      </w:pPr>
    </w:p>
    <w:p w:rsidR="00111831" w:rsidRDefault="00D653D2">
      <w:pPr>
        <w:pStyle w:val="Ttulo1"/>
        <w:spacing w:before="0" w:after="0" w:line="360" w:lineRule="auto"/>
        <w:jc w:val="center"/>
        <w:rPr>
          <w:sz w:val="22"/>
          <w:szCs w:val="22"/>
        </w:rPr>
      </w:pPr>
      <w:bookmarkStart w:id="13" w:name="_heading=h.dd1w48p0ore4" w:colFirst="0" w:colLast="0"/>
      <w:bookmarkStart w:id="14" w:name="_Toc220597748"/>
      <w:bookmarkEnd w:id="13"/>
      <w:r>
        <w:rPr>
          <w:sz w:val="22"/>
          <w:szCs w:val="22"/>
        </w:rPr>
        <w:t>C O N S I D E R A N D O S</w:t>
      </w:r>
      <w:bookmarkEnd w:id="14"/>
    </w:p>
    <w:p w:rsidR="00111831" w:rsidRDefault="00111831">
      <w:pPr>
        <w:spacing w:after="0" w:line="360" w:lineRule="auto"/>
        <w:jc w:val="center"/>
        <w:rPr>
          <w:b/>
          <w:bCs/>
          <w:color w:val="000000"/>
        </w:rPr>
      </w:pPr>
    </w:p>
    <w:p w:rsidR="00111831" w:rsidRDefault="00D653D2">
      <w:pPr>
        <w:pStyle w:val="Ttulo2"/>
        <w:spacing w:before="0" w:after="0" w:line="360" w:lineRule="auto"/>
        <w:rPr>
          <w:sz w:val="22"/>
          <w:szCs w:val="22"/>
        </w:rPr>
      </w:pPr>
      <w:bookmarkStart w:id="15" w:name="_heading=h.o23cfqt8gb1g" w:colFirst="0" w:colLast="0"/>
      <w:bookmarkStart w:id="16" w:name="_Toc220597749"/>
      <w:bookmarkEnd w:id="15"/>
      <w:r>
        <w:rPr>
          <w:sz w:val="22"/>
          <w:szCs w:val="22"/>
        </w:rPr>
        <w:t>PRIMERO. Competencia</w:t>
      </w:r>
      <w:bookmarkEnd w:id="16"/>
    </w:p>
    <w:p w:rsidR="00111831" w:rsidRDefault="00111831">
      <w:pPr>
        <w:spacing w:after="0" w:line="360" w:lineRule="auto"/>
      </w:pPr>
      <w:bookmarkStart w:id="17" w:name="_heading=h.30j0zll" w:colFirst="0" w:colLast="0"/>
      <w:bookmarkEnd w:id="17"/>
    </w:p>
    <w:p w:rsidR="00111831" w:rsidRDefault="00D653D2">
      <w:pPr>
        <w:spacing w:after="0" w:line="360" w:lineRule="auto"/>
        <w:rPr>
          <w:color w:val="000000"/>
        </w:rPr>
      </w:pPr>
      <w:r>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w:t>
      </w:r>
      <w:r>
        <w:rPr>
          <w:color w:val="000000"/>
        </w:rPr>
        <w:lastRenderedPageBreak/>
        <w:t>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111831" w:rsidRDefault="00111831">
      <w:pPr>
        <w:spacing w:after="0" w:line="360" w:lineRule="auto"/>
        <w:rPr>
          <w:b/>
          <w:bCs/>
          <w:color w:val="000000"/>
        </w:rPr>
      </w:pPr>
    </w:p>
    <w:p w:rsidR="00111831" w:rsidRDefault="00D653D2">
      <w:pPr>
        <w:pStyle w:val="Ttulo2"/>
        <w:spacing w:before="0" w:after="0" w:line="360" w:lineRule="auto"/>
        <w:rPr>
          <w:sz w:val="22"/>
          <w:szCs w:val="22"/>
        </w:rPr>
      </w:pPr>
      <w:bookmarkStart w:id="18" w:name="_heading=h.q2k3i7gg7azw" w:colFirst="0" w:colLast="0"/>
      <w:bookmarkStart w:id="19" w:name="_Toc220597750"/>
      <w:bookmarkEnd w:id="18"/>
      <w:r>
        <w:rPr>
          <w:sz w:val="22"/>
          <w:szCs w:val="22"/>
        </w:rPr>
        <w:t>SEGUNDO. Causales de improcedencia y sobreseimiento</w:t>
      </w:r>
      <w:bookmarkEnd w:id="19"/>
    </w:p>
    <w:p w:rsidR="00111831" w:rsidRDefault="00111831">
      <w:pPr>
        <w:spacing w:after="0" w:line="360" w:lineRule="auto"/>
        <w:rPr>
          <w:color w:val="000000"/>
        </w:rPr>
      </w:pPr>
    </w:p>
    <w:p w:rsidR="00111831" w:rsidRDefault="00D653D2">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111831" w:rsidRDefault="00111831">
      <w:pPr>
        <w:spacing w:after="0" w:line="360" w:lineRule="auto"/>
        <w:rPr>
          <w:color w:val="000000"/>
        </w:rPr>
      </w:pPr>
    </w:p>
    <w:p w:rsidR="00111831" w:rsidRDefault="00D653D2">
      <w:pPr>
        <w:spacing w:after="0" w:line="360" w:lineRule="auto"/>
        <w:rPr>
          <w:b/>
          <w:bCs/>
        </w:rPr>
      </w:pPr>
      <w:r>
        <w:rPr>
          <w:b/>
          <w:bCs/>
        </w:rPr>
        <w:t>Causales de improcedencia</w:t>
      </w:r>
    </w:p>
    <w:p w:rsidR="00111831" w:rsidRDefault="00111831">
      <w:pPr>
        <w:spacing w:after="0" w:line="360" w:lineRule="auto"/>
        <w:rPr>
          <w:b/>
          <w:bCs/>
        </w:rPr>
      </w:pPr>
    </w:p>
    <w:p w:rsidR="00111831" w:rsidRDefault="00D653D2">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w:t>
      </w:r>
      <w:r>
        <w:rPr>
          <w:color w:val="000000"/>
        </w:rPr>
        <w:lastRenderedPageBreak/>
        <w:t>persona Recurrente ante otra instancia; no existió prevención alguna; la veracidad de la respuesta no formó parte del agravio; ni se realizó una consulta o ampliación a los alcances del requerimiento informativo.</w:t>
      </w:r>
    </w:p>
    <w:p w:rsidR="00111831" w:rsidRDefault="00111831">
      <w:pPr>
        <w:spacing w:after="0" w:line="360" w:lineRule="auto"/>
        <w:rPr>
          <w:color w:val="000000"/>
        </w:rPr>
      </w:pPr>
    </w:p>
    <w:p w:rsidR="00111831" w:rsidRDefault="00D653D2">
      <w:pPr>
        <w:spacing w:after="0" w:line="360" w:lineRule="auto"/>
      </w:pPr>
      <w:r>
        <w:t>Por lo cual, se actualiza la causal de procedencia del Recurso de Revisión señalada en el artículo 179, fracción VI, de la Ley en cita, pues la persona Recurrente se inconformó de la entrega de información que no corresponde con lo solicitado.</w:t>
      </w:r>
    </w:p>
    <w:p w:rsidR="00111831" w:rsidRDefault="00111831">
      <w:pPr>
        <w:spacing w:after="0" w:line="360" w:lineRule="auto"/>
      </w:pPr>
    </w:p>
    <w:p w:rsidR="00111831" w:rsidRDefault="00D653D2">
      <w:pPr>
        <w:spacing w:after="0" w:line="360" w:lineRule="auto"/>
        <w:rPr>
          <w:b/>
          <w:bCs/>
          <w:color w:val="0D0D0D"/>
        </w:rPr>
      </w:pPr>
      <w:r>
        <w:rPr>
          <w:b/>
          <w:bCs/>
          <w:color w:val="0D0D0D"/>
        </w:rPr>
        <w:t>Causales de sobreseimiento</w:t>
      </w:r>
    </w:p>
    <w:p w:rsidR="00111831" w:rsidRDefault="00111831">
      <w:pPr>
        <w:spacing w:after="0" w:line="360" w:lineRule="auto"/>
        <w:rPr>
          <w:color w:val="0D0D0D"/>
        </w:rPr>
      </w:pPr>
    </w:p>
    <w:p w:rsidR="00111831" w:rsidRDefault="00D653D2">
      <w:pPr>
        <w:spacing w:after="0" w:line="360" w:lineRule="auto"/>
        <w:rPr>
          <w:color w:val="0D0D0D"/>
        </w:rPr>
      </w:pPr>
      <w:r>
        <w:rPr>
          <w:color w:val="0D0D0D"/>
        </w:rPr>
        <w:t>Por ser de previo y especial pronunciamiento, este Instituto analiza si se actualiza alguna causal de sobreseimiento.</w:t>
      </w:r>
    </w:p>
    <w:p w:rsidR="00111831" w:rsidRDefault="00111831">
      <w:pPr>
        <w:spacing w:after="0" w:line="360" w:lineRule="auto"/>
        <w:rPr>
          <w:color w:val="0D0D0D"/>
        </w:rPr>
      </w:pPr>
    </w:p>
    <w:p w:rsidR="00111831" w:rsidRDefault="00D653D2">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111831" w:rsidRDefault="00111831">
      <w:pPr>
        <w:spacing w:after="0" w:line="360" w:lineRule="auto"/>
        <w:rPr>
          <w:color w:val="000000"/>
        </w:rPr>
      </w:pPr>
    </w:p>
    <w:p w:rsidR="00111831" w:rsidRDefault="00D653D2">
      <w:pPr>
        <w:spacing w:after="0" w:line="360" w:lineRule="auto"/>
        <w:rPr>
          <w:color w:val="0D0D0D"/>
        </w:rPr>
      </w:pPr>
      <w:r>
        <w:rPr>
          <w:color w:val="0D0D0D"/>
        </w:rPr>
        <w:t xml:space="preserve">Por tales motivos, se considera procedente entrar al fondo del presente asunto. </w:t>
      </w:r>
    </w:p>
    <w:p w:rsidR="00111831" w:rsidRDefault="00111831">
      <w:pPr>
        <w:spacing w:after="0" w:line="360" w:lineRule="auto"/>
        <w:rPr>
          <w:b/>
          <w:bCs/>
          <w:color w:val="000000"/>
        </w:rPr>
      </w:pPr>
    </w:p>
    <w:p w:rsidR="00111831" w:rsidRDefault="00D653D2">
      <w:pPr>
        <w:pStyle w:val="Ttulo2"/>
        <w:spacing w:before="0" w:after="0" w:line="360" w:lineRule="auto"/>
        <w:rPr>
          <w:sz w:val="22"/>
          <w:szCs w:val="22"/>
        </w:rPr>
      </w:pPr>
      <w:bookmarkStart w:id="20" w:name="_heading=h.mez5sav047on" w:colFirst="0" w:colLast="0"/>
      <w:bookmarkStart w:id="21" w:name="_Toc220597751"/>
      <w:bookmarkEnd w:id="20"/>
      <w:r>
        <w:rPr>
          <w:sz w:val="22"/>
          <w:szCs w:val="22"/>
        </w:rPr>
        <w:t>TERCERO. Determinación de la Controversia</w:t>
      </w:r>
      <w:bookmarkEnd w:id="21"/>
    </w:p>
    <w:p w:rsidR="00111831" w:rsidRDefault="00111831">
      <w:pPr>
        <w:spacing w:after="0" w:line="360" w:lineRule="auto"/>
        <w:rPr>
          <w:b/>
          <w:bCs/>
          <w:color w:val="000000"/>
        </w:rPr>
      </w:pPr>
    </w:p>
    <w:p w:rsidR="00111831" w:rsidRDefault="00D653D2">
      <w:pPr>
        <w:spacing w:after="0" w:line="360" w:lineRule="auto"/>
      </w:pPr>
      <w:r>
        <w:lastRenderedPageBreak/>
        <w:t>Con el objetivo de ilustrar la controversia planteada, resulta conveniente precisar, que una vez realizado el estudio de las constancias que integran el expediente en el que se actúa, se desprende que el Particular requirió la cantidad recaudada derivado de la emisión de dictámenes, constancias y multas a las diferentes unidades económicas por parte del área de protección civil del primero de enero al cuatro de agosto de dos mil veinticinco.</w:t>
      </w:r>
    </w:p>
    <w:p w:rsidR="00111831" w:rsidRDefault="00111831">
      <w:pPr>
        <w:spacing w:after="0" w:line="360" w:lineRule="auto"/>
      </w:pPr>
    </w:p>
    <w:p w:rsidR="00111831" w:rsidRDefault="00D653D2">
      <w:pPr>
        <w:spacing w:after="0" w:line="360" w:lineRule="auto"/>
        <w:rPr>
          <w:color w:val="000000"/>
        </w:rPr>
      </w:pPr>
      <w:r>
        <w:rPr>
          <w:color w:val="000000"/>
        </w:rPr>
        <w:t xml:space="preserve">En respuesta, el Sujeto Obligado, a través de la Dirección de Protección Civil refirió que no recaudaba ninguna cantidad económica, y que solo se emitía órdenes de pago hacia el contribuyente para que acuda a una receptoría o caja de cobro, </w:t>
      </w:r>
      <w:r>
        <w:t>ante dicha circunstancia, el Particular se inconformó de la entrega de información que no corresponde con lo solicitado, al precisar que si bien no recaudaban, si emitían ordenes, por lo que existía una cantidad recaudada por dicha área, solo que el pago no se hace directamente con ellos, lo cual actualiza la causal de procedencia prevista en la fracción VI, del artículo 179 de la Ley de Transparencia y Acceso a la Información Pública del Estado de México y Municipios</w:t>
      </w:r>
      <w:r>
        <w:rPr>
          <w:color w:val="0D0D0D"/>
        </w:rPr>
        <w:t xml:space="preserve">. </w:t>
      </w:r>
      <w:r>
        <w:t>Así, las cosas, una vez admitido y notificado el Recurso de Revisión a las partes, omitieron emitir alguna manifestación o alegato.</w:t>
      </w:r>
    </w:p>
    <w:p w:rsidR="00111831" w:rsidRDefault="00111831">
      <w:pPr>
        <w:spacing w:after="0" w:line="360" w:lineRule="auto"/>
        <w:ind w:right="567"/>
        <w:rPr>
          <w:i/>
          <w:iCs/>
          <w:sz w:val="20"/>
          <w:szCs w:val="20"/>
        </w:rPr>
      </w:pPr>
    </w:p>
    <w:p w:rsidR="00111831" w:rsidRDefault="00111831">
      <w:pPr>
        <w:spacing w:after="0" w:line="360" w:lineRule="auto"/>
        <w:ind w:right="567"/>
        <w:rPr>
          <w:i/>
          <w:iCs/>
          <w:sz w:val="20"/>
          <w:szCs w:val="20"/>
        </w:rPr>
      </w:pPr>
    </w:p>
    <w:p w:rsidR="00111831" w:rsidRDefault="00D653D2">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del Sujeto Obligado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rsidR="00111831" w:rsidRDefault="00111831">
      <w:pPr>
        <w:spacing w:after="0" w:line="360" w:lineRule="auto"/>
        <w:rPr>
          <w:b/>
          <w:bCs/>
          <w:color w:val="000000"/>
        </w:rPr>
      </w:pPr>
    </w:p>
    <w:p w:rsidR="00111831" w:rsidRDefault="00111831">
      <w:pPr>
        <w:spacing w:after="0" w:line="360" w:lineRule="auto"/>
        <w:rPr>
          <w:b/>
          <w:bCs/>
          <w:color w:val="000000"/>
        </w:rPr>
      </w:pPr>
    </w:p>
    <w:p w:rsidR="00111831" w:rsidRDefault="00D653D2">
      <w:pPr>
        <w:pStyle w:val="Ttulo2"/>
        <w:spacing w:before="0" w:after="0" w:line="360" w:lineRule="auto"/>
        <w:rPr>
          <w:sz w:val="22"/>
          <w:szCs w:val="22"/>
        </w:rPr>
      </w:pPr>
      <w:bookmarkStart w:id="22" w:name="_heading=h.xex7lk36zkq4" w:colFirst="0" w:colLast="0"/>
      <w:bookmarkStart w:id="23" w:name="_Toc220597752"/>
      <w:bookmarkEnd w:id="22"/>
      <w:r>
        <w:rPr>
          <w:sz w:val="22"/>
          <w:szCs w:val="22"/>
        </w:rPr>
        <w:lastRenderedPageBreak/>
        <w:t>CUARTO. Marco normativo aplicable en materia de transparencia y acceso a la información pública</w:t>
      </w:r>
      <w:bookmarkEnd w:id="23"/>
    </w:p>
    <w:p w:rsidR="00111831" w:rsidRDefault="00111831">
      <w:pPr>
        <w:spacing w:after="0" w:line="360" w:lineRule="auto"/>
        <w:rPr>
          <w:color w:val="000000"/>
        </w:rPr>
      </w:pPr>
    </w:p>
    <w:p w:rsidR="00111831" w:rsidRDefault="00D653D2">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111831" w:rsidRDefault="00111831">
      <w:pPr>
        <w:spacing w:after="0" w:line="360" w:lineRule="auto"/>
        <w:rPr>
          <w:color w:val="000000"/>
        </w:rPr>
      </w:pPr>
    </w:p>
    <w:p w:rsidR="00111831" w:rsidRDefault="00D653D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111831" w:rsidRDefault="00111831">
      <w:pPr>
        <w:widowControl w:val="0"/>
        <w:spacing w:after="0" w:line="360" w:lineRule="auto"/>
        <w:rPr>
          <w:color w:val="000000"/>
        </w:rPr>
      </w:pPr>
    </w:p>
    <w:p w:rsidR="00111831" w:rsidRDefault="00D653D2">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11831" w:rsidRDefault="00111831">
      <w:pPr>
        <w:spacing w:after="0" w:line="360" w:lineRule="auto"/>
      </w:pPr>
    </w:p>
    <w:p w:rsidR="00111831" w:rsidRDefault="00D653D2">
      <w:pPr>
        <w:pStyle w:val="Ttulo2"/>
        <w:spacing w:before="0" w:after="0" w:line="360" w:lineRule="auto"/>
        <w:rPr>
          <w:sz w:val="22"/>
          <w:szCs w:val="22"/>
        </w:rPr>
      </w:pPr>
      <w:bookmarkStart w:id="24" w:name="_heading=h.iruwv14p9yth" w:colFirst="0" w:colLast="0"/>
      <w:bookmarkStart w:id="25" w:name="_Toc220597753"/>
      <w:bookmarkEnd w:id="24"/>
      <w:r>
        <w:rPr>
          <w:sz w:val="22"/>
          <w:szCs w:val="22"/>
        </w:rPr>
        <w:t>QUINTO. Estudio de Fondo</w:t>
      </w:r>
      <w:bookmarkEnd w:id="25"/>
    </w:p>
    <w:p w:rsidR="00111831" w:rsidRDefault="00111831">
      <w:pPr>
        <w:spacing w:after="0" w:line="360" w:lineRule="auto"/>
        <w:rPr>
          <w:b/>
          <w:bCs/>
          <w:color w:val="000000"/>
        </w:rPr>
      </w:pPr>
    </w:p>
    <w:p w:rsidR="00111831" w:rsidRDefault="00D653D2">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pPr>
      <w:r>
        <w:t xml:space="preserve">Sobre el tema,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 En ese contexto, el artículo 18 de la Ley de Transparencia y Acceso a la Información Pública del Estado de México y Municipios, contempla que los sujetos obligados deberán documentar todo acto que derive del ejercicio de sus facultades, competencias o funciones. </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pPr>
      <w:r>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 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pPr>
      <w:r>
        <w:t xml:space="preserve">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 </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pPr>
      <w:r>
        <w:t>Así mismo, el artículo 115, fracción IV, de la Constitución Política de los Estados Unidos Mexicanos, contempla que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 asimismo, dicha fracción en su inciso a), párrafo segundo, faculta a los municipios para celebrar convenios con el Estado para que éste se haga cargo de algunas de las funciones relacionadas con la administración de las contribuciones.</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pPr>
      <w:r>
        <w:t xml:space="preserve">En esa tesitura, el artículo 125, fracción I, de la Constitución Política del Estado Libre y Soberano de México, establece que, la administración de la hacienda municipal, se formara de los rendimientos de los bienes que les pertenezcan, así como de las contribuciones y otros ingresos, los cuales percibirán las contribuciones. </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pPr>
      <w:r>
        <w:t xml:space="preserve">Por su parte, la Ley de Ingresos de los Municipios del Estado de México para el Ejercicio Fiscal 2025, contempla en sus artículos 1, 4 y 6 que la hacienda pública de los municipios del Estado de México, percibirá durante el Ejercicio Fiscal 2025, los ingresos provenientes de diversos conceptos, entre los que se encuentran el impuesto Predial, Multas, Estacionamiento en la Vía Pública y de Servicio Público y por la Venta o Arrendamiento de Bienes Municipales. </w:t>
      </w:r>
    </w:p>
    <w:p w:rsidR="00111831" w:rsidRDefault="00111831">
      <w:pPr>
        <w:pBdr>
          <w:top w:val="nil"/>
          <w:left w:val="nil"/>
          <w:bottom w:val="nil"/>
          <w:right w:val="nil"/>
          <w:between w:val="nil"/>
        </w:pBdr>
        <w:spacing w:after="0" w:line="360" w:lineRule="auto"/>
        <w:ind w:right="49"/>
      </w:pPr>
    </w:p>
    <w:p w:rsidR="00111831" w:rsidRDefault="00D653D2">
      <w:pPr>
        <w:pBdr>
          <w:top w:val="nil"/>
          <w:left w:val="nil"/>
          <w:bottom w:val="nil"/>
          <w:right w:val="nil"/>
          <w:between w:val="nil"/>
        </w:pBdr>
        <w:spacing w:after="0" w:line="360" w:lineRule="auto"/>
        <w:ind w:right="49"/>
        <w:rPr>
          <w:b/>
          <w:bCs/>
        </w:rPr>
      </w:pPr>
      <w:r>
        <w:t xml:space="preserve">También menciona que el pago de las contribuciones por dichos conceptos se realizará en las oficinas recaudadoras de la Tesorería Municipal correspondiente, en las de los organismos del sector auxiliar de la Administración Pública Municipal, en la Caja General de Gobierno de la Subsecretaría de Tesorería de la Secretaría de Finanzas del Gobierno del Estado de México, cuando exista Convenio para tal efecto; en instituciones o entidades del sistema financiero mexicano, debidamente autorizadas, </w:t>
      </w:r>
      <w:r>
        <w:rPr>
          <w:b/>
          <w:bCs/>
          <w:u w:val="single"/>
        </w:rPr>
        <w:t xml:space="preserve">así como en las oficinas o establecimientos que el propio Ayuntamiento designe y a través de los medios electrónicos que determine la Tesorería Municipal. </w:t>
      </w:r>
      <w:r>
        <w:rPr>
          <w:b/>
          <w:bCs/>
        </w:rPr>
        <w:t>Se contempla finalmente, que todos los ingresos municipales, cualquiera que sea su origen o naturaleza, deberán registrarse por la Tesorería y formar parte de la Cuenta Pública que corresponda, de acuerdo con los ordenamientos aplicables.</w:t>
      </w:r>
    </w:p>
    <w:p w:rsidR="00111831" w:rsidRDefault="00111831">
      <w:pPr>
        <w:spacing w:after="0" w:line="360" w:lineRule="auto"/>
        <w:rPr>
          <w:color w:val="000000"/>
        </w:rPr>
      </w:pPr>
    </w:p>
    <w:p w:rsidR="00111831" w:rsidRDefault="00D653D2">
      <w:pPr>
        <w:spacing w:after="0" w:line="360" w:lineRule="auto"/>
      </w:pPr>
      <w:r>
        <w:rPr>
          <w:color w:val="000000"/>
        </w:rPr>
        <w:t xml:space="preserve">Ahora bien, el artículo 100 del Bando Municipal de Chimalhuacán vigente, establecen que la </w:t>
      </w:r>
      <w:r>
        <w:rPr>
          <w:b/>
          <w:bCs/>
          <w:color w:val="000000"/>
        </w:rPr>
        <w:t xml:space="preserve">Tesorería Municipal, </w:t>
      </w:r>
      <w:r>
        <w:rPr>
          <w:color w:val="000000"/>
        </w:rPr>
        <w:t>cuenta con las siguientes áreas para el despacho de las actividades que se requieran</w:t>
      </w:r>
      <w:r>
        <w:t>:</w:t>
      </w:r>
    </w:p>
    <w:p w:rsidR="00111831" w:rsidRDefault="00111831">
      <w:pPr>
        <w:spacing w:after="0" w:line="360" w:lineRule="auto"/>
      </w:pPr>
    </w:p>
    <w:p w:rsidR="00111831" w:rsidRDefault="00D653D2">
      <w:pPr>
        <w:numPr>
          <w:ilvl w:val="0"/>
          <w:numId w:val="1"/>
        </w:numPr>
        <w:pBdr>
          <w:top w:val="nil"/>
          <w:left w:val="nil"/>
          <w:bottom w:val="nil"/>
          <w:right w:val="nil"/>
          <w:between w:val="nil"/>
        </w:pBdr>
        <w:spacing w:after="0" w:line="360" w:lineRule="auto"/>
        <w:rPr>
          <w:b/>
          <w:bCs/>
          <w:color w:val="000000"/>
          <w:u w:val="single"/>
        </w:rPr>
      </w:pPr>
      <w:r>
        <w:rPr>
          <w:b/>
          <w:bCs/>
          <w:color w:val="000000"/>
          <w:u w:val="single"/>
        </w:rPr>
        <w:t xml:space="preserve">3.1.- Departamento de Ingresos. </w:t>
      </w:r>
    </w:p>
    <w:p w:rsidR="00111831" w:rsidRDefault="00D653D2">
      <w:pPr>
        <w:numPr>
          <w:ilvl w:val="0"/>
          <w:numId w:val="1"/>
        </w:numPr>
        <w:pBdr>
          <w:top w:val="nil"/>
          <w:left w:val="nil"/>
          <w:bottom w:val="nil"/>
          <w:right w:val="nil"/>
          <w:between w:val="nil"/>
        </w:pBdr>
        <w:spacing w:after="0" w:line="360" w:lineRule="auto"/>
        <w:rPr>
          <w:b/>
          <w:bCs/>
          <w:color w:val="000000"/>
          <w:u w:val="single"/>
        </w:rPr>
      </w:pPr>
      <w:r>
        <w:rPr>
          <w:b/>
          <w:bCs/>
          <w:color w:val="000000"/>
          <w:u w:val="single"/>
        </w:rPr>
        <w:t xml:space="preserve">3.2.- Departamento de Contabilidad y Egresos. </w:t>
      </w:r>
    </w:p>
    <w:p w:rsidR="00111831" w:rsidRDefault="00D653D2">
      <w:pPr>
        <w:numPr>
          <w:ilvl w:val="0"/>
          <w:numId w:val="1"/>
        </w:numPr>
        <w:pBdr>
          <w:top w:val="nil"/>
          <w:left w:val="nil"/>
          <w:bottom w:val="nil"/>
          <w:right w:val="nil"/>
          <w:between w:val="nil"/>
        </w:pBdr>
        <w:spacing w:after="0" w:line="360" w:lineRule="auto"/>
        <w:rPr>
          <w:b/>
          <w:bCs/>
          <w:color w:val="000000"/>
          <w:u w:val="single"/>
        </w:rPr>
      </w:pPr>
      <w:r>
        <w:rPr>
          <w:b/>
          <w:bCs/>
          <w:color w:val="000000"/>
          <w:u w:val="single"/>
        </w:rPr>
        <w:t xml:space="preserve">3.3.- Departamento de Administración. </w:t>
      </w:r>
    </w:p>
    <w:p w:rsidR="00111831" w:rsidRDefault="00D653D2">
      <w:pPr>
        <w:numPr>
          <w:ilvl w:val="0"/>
          <w:numId w:val="1"/>
        </w:numPr>
        <w:pBdr>
          <w:top w:val="nil"/>
          <w:left w:val="nil"/>
          <w:bottom w:val="nil"/>
          <w:right w:val="nil"/>
          <w:between w:val="nil"/>
        </w:pBdr>
        <w:spacing w:after="0" w:line="360" w:lineRule="auto"/>
      </w:pPr>
      <w:r>
        <w:rPr>
          <w:color w:val="000000"/>
        </w:rPr>
        <w:t xml:space="preserve">3.4.- Departamento de Servicios Generales y Mantenimiento. </w:t>
      </w:r>
    </w:p>
    <w:p w:rsidR="00111831" w:rsidRDefault="00D653D2">
      <w:pPr>
        <w:numPr>
          <w:ilvl w:val="0"/>
          <w:numId w:val="1"/>
        </w:numPr>
        <w:pBdr>
          <w:top w:val="nil"/>
          <w:left w:val="nil"/>
          <w:bottom w:val="nil"/>
          <w:right w:val="nil"/>
          <w:between w:val="nil"/>
        </w:pBdr>
        <w:spacing w:after="0" w:line="360" w:lineRule="auto"/>
      </w:pPr>
      <w:r>
        <w:rPr>
          <w:color w:val="000000"/>
        </w:rPr>
        <w:t xml:space="preserve">3.5.- Departamento de Recursos Humanos. </w:t>
      </w:r>
    </w:p>
    <w:p w:rsidR="00111831" w:rsidRDefault="00D653D2">
      <w:pPr>
        <w:numPr>
          <w:ilvl w:val="0"/>
          <w:numId w:val="1"/>
        </w:numPr>
        <w:pBdr>
          <w:top w:val="nil"/>
          <w:left w:val="nil"/>
          <w:bottom w:val="nil"/>
          <w:right w:val="nil"/>
          <w:between w:val="nil"/>
        </w:pBdr>
        <w:spacing w:after="0" w:line="360" w:lineRule="auto"/>
      </w:pPr>
      <w:r>
        <w:rPr>
          <w:color w:val="000000"/>
        </w:rPr>
        <w:t xml:space="preserve">3.6.- Departamento de Informática. </w:t>
      </w:r>
    </w:p>
    <w:p w:rsidR="00111831" w:rsidRDefault="00D653D2">
      <w:pPr>
        <w:numPr>
          <w:ilvl w:val="0"/>
          <w:numId w:val="1"/>
        </w:numPr>
        <w:pBdr>
          <w:top w:val="nil"/>
          <w:left w:val="nil"/>
          <w:bottom w:val="nil"/>
          <w:right w:val="nil"/>
          <w:between w:val="nil"/>
        </w:pBdr>
        <w:spacing w:after="0" w:line="360" w:lineRule="auto"/>
      </w:pPr>
      <w:r>
        <w:rPr>
          <w:color w:val="000000"/>
        </w:rPr>
        <w:t>3.7.- Procuración de Fondos</w:t>
      </w:r>
    </w:p>
    <w:p w:rsidR="00111831" w:rsidRDefault="00111831">
      <w:pPr>
        <w:pBdr>
          <w:top w:val="nil"/>
          <w:left w:val="nil"/>
          <w:bottom w:val="nil"/>
          <w:right w:val="nil"/>
          <w:between w:val="nil"/>
        </w:pBdr>
        <w:spacing w:after="0" w:line="360" w:lineRule="auto"/>
        <w:ind w:left="720"/>
        <w:rPr>
          <w:color w:val="000000"/>
        </w:rPr>
      </w:pPr>
    </w:p>
    <w:p w:rsidR="00111831" w:rsidRDefault="00D653D2">
      <w:pPr>
        <w:spacing w:after="0" w:line="360" w:lineRule="auto"/>
      </w:pPr>
      <w:r>
        <w:rPr>
          <w:color w:val="000000"/>
        </w:rPr>
        <w:lastRenderedPageBreak/>
        <w:t>Esto sin dejar de lado que en conjunto con la Tesorería son los encargados de a</w:t>
      </w:r>
      <w:r>
        <w:t>dministrar la hacienda pública municipal.</w:t>
      </w:r>
    </w:p>
    <w:p w:rsidR="00F71E49" w:rsidRDefault="00F71E49">
      <w:pPr>
        <w:spacing w:after="0" w:line="360" w:lineRule="auto"/>
      </w:pPr>
    </w:p>
    <w:p w:rsidR="00111831" w:rsidRDefault="00D653D2">
      <w:pPr>
        <w:spacing w:after="0" w:line="360" w:lineRule="auto"/>
      </w:pPr>
      <w:r>
        <w:t xml:space="preserve">Ahora bien, los artículos 235, 236 y 237 del mismo ordenamiento, </w:t>
      </w:r>
      <w:r>
        <w:rPr>
          <w:b/>
          <w:bCs/>
          <w:u w:val="single"/>
        </w:rPr>
        <w:t>refiere que dicha área está facultada de para expedir o negar licencias o permisos de funcionamiento para unidades económicas que se encuentren dentro del territorio municipal</w:t>
      </w:r>
      <w:r>
        <w:t>, las cuales tendrán la obligación de elaborar y mantener actualizado el Padrón de unidades económicas, coadyuvando además con el Ayuntamiento para denunciar ante la autoridad competente hechos y actos presuntamente constitutivos de delitos, por el ejercicio ilícito de las actividades no reguladas, misma que está facultada para controlar el funcionamiento, realizar y mantener actualizado el padrón de establecimientos que ejercen el comercio o presten servicios en la vía pública, coadyuvando además con el Ayuntamiento para denunciar ante la autoridad competente hechos y actos presuntamente constitutivos de delitos, por el ejercicio ilícito de las actividades enunciadas en este apartado.</w:t>
      </w:r>
    </w:p>
    <w:p w:rsidR="00111831" w:rsidRDefault="00111831">
      <w:pPr>
        <w:spacing w:after="0" w:line="360" w:lineRule="auto"/>
        <w:rPr>
          <w:b/>
          <w:bCs/>
          <w:u w:val="single"/>
        </w:rPr>
      </w:pPr>
    </w:p>
    <w:p w:rsidR="00111831" w:rsidRDefault="00D653D2">
      <w:pPr>
        <w:spacing w:after="0" w:line="360" w:lineRule="auto"/>
      </w:pPr>
      <w:r>
        <w:rPr>
          <w:b/>
          <w:bCs/>
          <w:u w:val="single"/>
        </w:rPr>
        <w:t>Por lo que corresponde al Ayuntamiento, a la Tesorería Municipal, notificar y recaudar el derecho de vía pública en puestos fijos, semifijos, tianguis y mercados</w:t>
      </w:r>
      <w:r>
        <w:t>, así como otros espacios públicos destinados al comercio.</w:t>
      </w:r>
    </w:p>
    <w:p w:rsidR="00111831" w:rsidRDefault="00111831">
      <w:pPr>
        <w:spacing w:after="0" w:line="360" w:lineRule="auto"/>
      </w:pPr>
    </w:p>
    <w:p w:rsidR="00111831" w:rsidRDefault="00D653D2">
      <w:pPr>
        <w:spacing w:after="0" w:line="360" w:lineRule="auto"/>
      </w:pPr>
      <w:r>
        <w:t>Por otra parte, el artículo 39 del Reglamento Orgánico de la Administración Pública Municipal de Chimalhuacán precisa que la Dirección de Protección Civil y Bomberos será la encargada de expedir el Dictamen de Viabilidad de bajo riesgo a los propietarios de establecimientos mercantiles y comerciales; emitir las constancias de seguridad y ubicación.</w:t>
      </w:r>
    </w:p>
    <w:p w:rsidR="00111831" w:rsidRDefault="00111831">
      <w:pPr>
        <w:spacing w:after="0" w:line="360" w:lineRule="auto"/>
      </w:pPr>
    </w:p>
    <w:p w:rsidR="00111831" w:rsidRDefault="00D653D2">
      <w:pPr>
        <w:spacing w:after="0" w:line="360" w:lineRule="auto"/>
      </w:pPr>
      <w:r>
        <w:t xml:space="preserve">Además, se localizó en el Registro Municipal de Trámites y Servicios de Chimalhuacán, la Cédula de Información de los trámites de Dictamen de Protección Civil y Dictamen de Protección Civil con venta de bebida alcohólica por apertura, los cuales tienen un costo </w:t>
      </w:r>
      <w:r>
        <w:lastRenderedPageBreak/>
        <w:t xml:space="preserve">específico para su realización y precisa que la Dirección de Protección Civil y Bomberos expedirá la </w:t>
      </w:r>
      <w:proofErr w:type="spellStart"/>
      <w:r>
        <w:t>ordena</w:t>
      </w:r>
      <w:proofErr w:type="spellEnd"/>
      <w:r>
        <w:t xml:space="preserve"> de pago, para que se realice en la receptoría municipal.</w:t>
      </w:r>
    </w:p>
    <w:p w:rsidR="00111831" w:rsidRDefault="00111831">
      <w:pPr>
        <w:spacing w:after="0" w:line="360" w:lineRule="auto"/>
      </w:pPr>
    </w:p>
    <w:p w:rsidR="00111831" w:rsidRDefault="00D653D2">
      <w:pPr>
        <w:spacing w:after="0" w:line="360" w:lineRule="auto"/>
      </w:pPr>
      <w:r>
        <w:rPr>
          <w:color w:val="000000"/>
        </w:rPr>
        <w:t xml:space="preserve">Ahora bien, en atención al requerimiento de información y los agravios hechos valer por la parte Recurrente, se advierte que la pretensión de la parte Recurrente es obtener </w:t>
      </w:r>
      <w:r>
        <w:t>la cantidad recaudada derivado de la emisión de dictámenes, constancias y multas a las diferentes unidades económicas por parte de la Dirección de Proyección Civil y Bomberos, del primero de enero al cuatro de agosto de dos mil veinticinco.</w:t>
      </w:r>
    </w:p>
    <w:p w:rsidR="00111831" w:rsidRDefault="00111831">
      <w:pPr>
        <w:spacing w:after="0" w:line="360" w:lineRule="auto"/>
        <w:rPr>
          <w:color w:val="000000"/>
        </w:rPr>
      </w:pPr>
    </w:p>
    <w:p w:rsidR="00111831" w:rsidRDefault="00D653D2">
      <w:pPr>
        <w:spacing w:after="0" w:line="360" w:lineRule="auto"/>
        <w:ind w:right="-28"/>
        <w:rPr>
          <w:color w:val="000000"/>
        </w:rPr>
      </w:pPr>
      <w:r>
        <w:rPr>
          <w:color w:val="000000"/>
        </w:rPr>
        <w:t xml:space="preserve">Establecida dicha circunstancia, se procede analizar la respuesta entregada, para lo cual, es de señalar que de las constancias que de las constancias que obran en el expediente, se logra vislumbrar que quien dio atención a la solicitud de información fue la </w:t>
      </w:r>
      <w:r>
        <w:rPr>
          <w:b/>
          <w:bCs/>
          <w:color w:val="000000"/>
        </w:rPr>
        <w:t>Dirección de Protección Civil</w:t>
      </w:r>
      <w:r>
        <w:rPr>
          <w:color w:val="000000"/>
        </w:rPr>
        <w:t>; es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111831" w:rsidRDefault="00111831">
      <w:pPr>
        <w:spacing w:after="0" w:line="360" w:lineRule="auto"/>
        <w:ind w:right="-28"/>
        <w:rPr>
          <w:color w:val="000000"/>
        </w:rPr>
      </w:pPr>
    </w:p>
    <w:p w:rsidR="00111831" w:rsidRDefault="00D653D2">
      <w:pPr>
        <w:spacing w:after="0" w:line="360" w:lineRule="auto"/>
        <w:ind w:right="-28"/>
        <w:rPr>
          <w:color w:val="000000"/>
        </w:rPr>
      </w:pPr>
      <w:r>
        <w:rPr>
          <w:color w:val="000000"/>
        </w:rPr>
        <w:t xml:space="preserve">Dicho esto cabe traer al estudio el </w:t>
      </w:r>
      <w:r>
        <w:t>artículo</w:t>
      </w:r>
      <w:r>
        <w:rPr>
          <w:color w:val="000000"/>
        </w:rPr>
        <w:t xml:space="preserve"> 167 del Bando Municipal de Chimalhuacán vigente donde refiere que el área de protección civil, se encarga de </w:t>
      </w:r>
      <w:r>
        <w:t xml:space="preserve">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w:t>
      </w:r>
      <w:r>
        <w:lastRenderedPageBreak/>
        <w:t>la continuidad de operaciones, se apliquen las medidas y acciones que sean necesarias para salvaguardar la vida, integridad y salud de la población, así como sus bienes, la infraestructura, la planta productiva y el medio ambiente, así como emitir órdenes previo pago de derechos.</w:t>
      </w:r>
    </w:p>
    <w:p w:rsidR="00111831" w:rsidRDefault="00111831">
      <w:pPr>
        <w:spacing w:after="0" w:line="360" w:lineRule="auto"/>
        <w:ind w:right="-28"/>
        <w:rPr>
          <w:color w:val="000000"/>
        </w:rPr>
      </w:pPr>
    </w:p>
    <w:p w:rsidR="00111831" w:rsidRDefault="00D653D2">
      <w:pPr>
        <w:spacing w:after="0" w:line="360" w:lineRule="auto"/>
        <w:ind w:right="-28"/>
        <w:rPr>
          <w:b/>
          <w:bCs/>
        </w:rPr>
      </w:pPr>
      <w:r>
        <w:rPr>
          <w:color w:val="000000"/>
        </w:rPr>
        <w:t xml:space="preserve">Conforme a lo expuesto en párrafos que anteceden, se advirtió que el Sujeto Obligado no cumplió con el procedimiento de búsqueda, pues su bien se turnó la solicitud a la Dirección de Protección Civil y Bomberos, omitió </w:t>
      </w:r>
      <w:r>
        <w:t>turnarla a</w:t>
      </w:r>
      <w:r>
        <w:rPr>
          <w:color w:val="000000"/>
        </w:rPr>
        <w:t xml:space="preserve"> la Tesorería Municipal encargada de los ingresos municipales, lo cual incluye su administración.</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 xml:space="preserve">En atención a ello, es de recordar que, en respuesta, el Sujeto Obligado refirió que el área de protección civil no recauda ninguna cantidad económica, ya que solo emitían </w:t>
      </w:r>
      <w:r>
        <w:t>órdenes</w:t>
      </w:r>
      <w:r>
        <w:rPr>
          <w:color w:val="000000"/>
        </w:rPr>
        <w:t xml:space="preserve"> de pago para posteriormente el contribuyente acuda a una receptoría a efectuar dicho pago, es decir que si existe una recaudación por impuestos al municipio.</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 xml:space="preserve">Conforme a lo anterior, tal como lo señala la Dirección de Protección Civil y Bomberos, esta no tiene atribuciones para realizar la recaudación de ingresos, pues únicamente tiene atribuciones para emitir las </w:t>
      </w:r>
      <w:proofErr w:type="spellStart"/>
      <w:r>
        <w:rPr>
          <w:color w:val="000000"/>
        </w:rPr>
        <w:t>ordenes</w:t>
      </w:r>
      <w:proofErr w:type="spellEnd"/>
      <w:r>
        <w:rPr>
          <w:color w:val="000000"/>
        </w:rPr>
        <w:t xml:space="preserve"> de pago; también lo es que el Sujeto Obligado no turno la solicitud de información a la Tesorería Municipal y por lo tanto, esta no emitió un pronunciamiento expreso.</w:t>
      </w:r>
    </w:p>
    <w:p w:rsidR="00111831" w:rsidRDefault="00111831">
      <w:pPr>
        <w:spacing w:after="0" w:line="360" w:lineRule="auto"/>
        <w:rPr>
          <w:color w:val="000000"/>
        </w:rPr>
      </w:pPr>
    </w:p>
    <w:p w:rsidR="00111831" w:rsidRDefault="00D653D2">
      <w:pPr>
        <w:spacing w:after="0" w:line="360" w:lineRule="auto"/>
      </w:pPr>
      <w:r>
        <w:t xml:space="preserve">Sobre el tema, Situación que se robustece, con el Criterio de Interpretación, con clave de control SO/002/2017, del Instituto Nacional de Transparencia, Acceso a la Información y Protección de Datos Personales, el cual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w:t>
      </w:r>
      <w:r>
        <w:lastRenderedPageBreak/>
        <w:t>guardar una relación lógica con lo solicitado, analizando y decidiendo –de marea íntegra- sobre todos los puntos requeridos, a fin de satisfacer la solicitud correspondiente.</w:t>
      </w:r>
    </w:p>
    <w:p w:rsidR="00111831" w:rsidRDefault="00D653D2">
      <w:pPr>
        <w:spacing w:after="0" w:line="360" w:lineRule="auto"/>
        <w:rPr>
          <w:b/>
          <w:bCs/>
        </w:rPr>
      </w:pPr>
      <w:r>
        <w:t xml:space="preserve">De lo anterior, se logra vislumbrar que el Sujeto Obligado no atendió de manera correcta la solicitud, pues se encontraba en posibilidades de turnar la solicitud de información, con el fin de que se pronunciara sobre lo recaudado derivado de las </w:t>
      </w:r>
      <w:proofErr w:type="spellStart"/>
      <w:r>
        <w:t>ordenes</w:t>
      </w:r>
      <w:proofErr w:type="spellEnd"/>
      <w:r>
        <w:t xml:space="preserve"> de pago emitidas por la Dirección de Protección Civil y Bomberos, lo cual da como resultado que el agravio sea </w:t>
      </w:r>
      <w:r>
        <w:rPr>
          <w:b/>
          <w:bCs/>
        </w:rPr>
        <w:t>FUNDADO.</w:t>
      </w:r>
    </w:p>
    <w:p w:rsidR="00111831" w:rsidRDefault="00111831">
      <w:pPr>
        <w:spacing w:after="0" w:line="360" w:lineRule="auto"/>
      </w:pPr>
    </w:p>
    <w:p w:rsidR="00111831" w:rsidRDefault="00D653D2">
      <w:pPr>
        <w:spacing w:after="0" w:line="360" w:lineRule="auto"/>
        <w:rPr>
          <w:color w:val="000000"/>
        </w:rPr>
      </w:pPr>
      <w:r>
        <w:rPr>
          <w:color w:val="000000"/>
        </w:rPr>
        <w:t>Así, para atender el requerimiento de información, el Sujeto Obligado deberá realizar una búsqueda exhaustiva y razonable en los archivos de sus áreas competentes, a efecto de que proporcione, el documento que dé cuenta de la</w:t>
      </w:r>
      <w:r>
        <w:t xml:space="preserve"> cantidad recaudada por la Tesorería Municipal, de las </w:t>
      </w:r>
      <w:proofErr w:type="spellStart"/>
      <w:r>
        <w:t>ordenes</w:t>
      </w:r>
      <w:proofErr w:type="spellEnd"/>
      <w:r>
        <w:t xml:space="preserve"> de pago emitidas por la Dirección de Protección Civil y Bomberos, relacionadas con dictámenes, constancias y multas generadas a unidades económicas;</w:t>
      </w:r>
      <w:r>
        <w:rPr>
          <w:color w:val="000000"/>
        </w:rPr>
        <w:t xml:space="preserve">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111831" w:rsidRDefault="00111831">
      <w:pPr>
        <w:spacing w:after="0" w:line="360" w:lineRule="auto"/>
        <w:rPr>
          <w:color w:val="000000"/>
        </w:rPr>
      </w:pPr>
    </w:p>
    <w:p w:rsidR="00111831" w:rsidRDefault="00D653D2">
      <w:pPr>
        <w:spacing w:after="0" w:line="360" w:lineRule="auto"/>
      </w:pPr>
      <w:r>
        <w:t>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111831" w:rsidRDefault="00111831">
      <w:pPr>
        <w:spacing w:after="0" w:line="360" w:lineRule="auto"/>
      </w:pPr>
    </w:p>
    <w:p w:rsidR="00111831" w:rsidRDefault="00D653D2">
      <w:pPr>
        <w:spacing w:after="0" w:line="360" w:lineRule="auto"/>
      </w:pPr>
      <w: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Sujeto Obligado deberá entregar la información solicitada.</w:t>
      </w:r>
    </w:p>
    <w:p w:rsidR="00111831" w:rsidRDefault="00111831">
      <w:pPr>
        <w:tabs>
          <w:tab w:val="left" w:pos="4962"/>
        </w:tabs>
        <w:spacing w:after="0" w:line="360" w:lineRule="auto"/>
      </w:pPr>
    </w:p>
    <w:p w:rsidR="00111831" w:rsidRDefault="00D653D2">
      <w:pPr>
        <w:spacing w:after="0" w:line="360" w:lineRule="auto"/>
      </w:pPr>
      <w:r>
        <w:t xml:space="preserve">Finalmente, no pasa desapercibido para este Instituto que la información faltante pudiera contener datos o información clasificada; por lo que hace al número de cuenta bancaria de particulares y/o Clave Bancaria Estandarizada (CLABE). La cual se constituye como una clave numérica o alfanumérica que identifica a un contrato de dinero en cuenta corriente que vincula a su titular o cliente con su patrimonio y, a través de este, es posible acceder a la información relacionada con su patrimonio contenida en las bases de datos de las instituciones bancarias y financieras; en virtud de ello se considera información confidencial que debe protegerse por tratarse de información de carácter patrimonial y cuya difusión no contribuye a la rendición de cuentas,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111831" w:rsidRDefault="00111831">
      <w:pPr>
        <w:spacing w:after="0" w:line="360" w:lineRule="auto"/>
      </w:pPr>
    </w:p>
    <w:p w:rsidR="00111831" w:rsidRDefault="00D653D2">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111831" w:rsidRDefault="00111831">
      <w:pPr>
        <w:spacing w:after="0" w:line="360" w:lineRule="auto"/>
        <w:ind w:right="-28"/>
        <w:rPr>
          <w:color w:val="000000"/>
        </w:rPr>
      </w:pPr>
    </w:p>
    <w:p w:rsidR="00111831" w:rsidRDefault="00D653D2">
      <w:pPr>
        <w:pStyle w:val="Ttulo2"/>
        <w:spacing w:before="0" w:after="0" w:line="360" w:lineRule="auto"/>
        <w:rPr>
          <w:sz w:val="22"/>
          <w:szCs w:val="22"/>
        </w:rPr>
      </w:pPr>
      <w:bookmarkStart w:id="26" w:name="_heading=h.jydj8yynqalo" w:colFirst="0" w:colLast="0"/>
      <w:bookmarkStart w:id="27" w:name="_Toc220597754"/>
      <w:bookmarkEnd w:id="26"/>
      <w:r>
        <w:rPr>
          <w:sz w:val="22"/>
          <w:szCs w:val="22"/>
        </w:rPr>
        <w:lastRenderedPageBreak/>
        <w:t>SEXTO. Decisión</w:t>
      </w:r>
      <w:bookmarkEnd w:id="27"/>
    </w:p>
    <w:p w:rsidR="00111831" w:rsidRDefault="00111831">
      <w:pPr>
        <w:spacing w:after="0" w:line="360" w:lineRule="auto"/>
        <w:rPr>
          <w:b/>
          <w:bCs/>
        </w:rPr>
      </w:pPr>
    </w:p>
    <w:p w:rsidR="00111831" w:rsidRDefault="00D653D2">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bCs/>
          <w:color w:val="000000"/>
        </w:rPr>
        <w:t>REVOCAR la</w:t>
      </w:r>
      <w:r>
        <w:rPr>
          <w:color w:val="000000"/>
        </w:rPr>
        <w:t xml:space="preserve"> respuesta del Ayuntamiento de Chimalhuacán</w:t>
      </w:r>
      <w:r>
        <w:rPr>
          <w:b/>
          <w:bCs/>
          <w:color w:val="000000"/>
        </w:rPr>
        <w:t xml:space="preserve">, </w:t>
      </w:r>
      <w:r>
        <w:rPr>
          <w:color w:val="000000"/>
        </w:rPr>
        <w:t>a efecto de que entregue, en versión pública, la información faltante.</w:t>
      </w:r>
    </w:p>
    <w:p w:rsidR="00111831" w:rsidRDefault="00111831">
      <w:pPr>
        <w:spacing w:after="0" w:line="360" w:lineRule="auto"/>
      </w:pPr>
    </w:p>
    <w:p w:rsidR="00111831" w:rsidRDefault="00D653D2">
      <w:pPr>
        <w:spacing w:after="0" w:line="360" w:lineRule="auto"/>
        <w:rPr>
          <w:b/>
          <w:bCs/>
        </w:rPr>
      </w:pPr>
      <w:r>
        <w:rPr>
          <w:b/>
          <w:bCs/>
        </w:rPr>
        <w:t>Términos de la Resolución para conocimiento del Particular</w:t>
      </w:r>
    </w:p>
    <w:p w:rsidR="00111831" w:rsidRDefault="00111831">
      <w:pPr>
        <w:spacing w:after="0" w:line="360" w:lineRule="auto"/>
        <w:rPr>
          <w:b/>
          <w:bCs/>
        </w:rPr>
      </w:pPr>
    </w:p>
    <w:p w:rsidR="00111831" w:rsidRDefault="00D653D2">
      <w:pPr>
        <w:spacing w:after="0" w:line="360" w:lineRule="auto"/>
        <w:rPr>
          <w:color w:val="000000"/>
        </w:rPr>
      </w:pPr>
      <w:r>
        <w:rPr>
          <w:color w:val="000000"/>
        </w:rPr>
        <w:t xml:space="preserve">Se le hace del conocimiento a la persona Recurrente que, en el presente asunto, se le da la razón, pues el Sujeto Obligado, omitió entregar la información solicitada, por lo que, deberá entregarla. </w:t>
      </w:r>
    </w:p>
    <w:p w:rsidR="00111831" w:rsidRDefault="00111831">
      <w:pPr>
        <w:spacing w:after="0" w:line="360" w:lineRule="auto"/>
        <w:rPr>
          <w:color w:val="000000"/>
        </w:rPr>
      </w:pPr>
    </w:p>
    <w:p w:rsidR="00111831" w:rsidRDefault="00D653D2">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111831" w:rsidRDefault="00111831">
      <w:pPr>
        <w:spacing w:after="0" w:line="360" w:lineRule="auto"/>
      </w:pPr>
    </w:p>
    <w:p w:rsidR="00111831" w:rsidRDefault="00D653D2">
      <w:pPr>
        <w:spacing w:after="0" w:line="360" w:lineRule="auto"/>
      </w:pPr>
      <w:r>
        <w:t>Por lo expuesto y fundado, este Pleno:</w:t>
      </w:r>
    </w:p>
    <w:p w:rsidR="00111831" w:rsidRDefault="00111831">
      <w:pPr>
        <w:spacing w:after="0" w:line="360" w:lineRule="auto"/>
      </w:pPr>
    </w:p>
    <w:p w:rsidR="00111831" w:rsidRDefault="00D653D2">
      <w:pPr>
        <w:pStyle w:val="Ttulo1"/>
        <w:spacing w:before="0" w:after="0" w:line="360" w:lineRule="auto"/>
        <w:jc w:val="center"/>
        <w:rPr>
          <w:sz w:val="22"/>
          <w:szCs w:val="22"/>
        </w:rPr>
      </w:pPr>
      <w:bookmarkStart w:id="28" w:name="_heading=h.5cr5tyfvqif2" w:colFirst="0" w:colLast="0"/>
      <w:bookmarkStart w:id="29" w:name="_Toc220597755"/>
      <w:bookmarkEnd w:id="28"/>
      <w:r>
        <w:rPr>
          <w:sz w:val="22"/>
          <w:szCs w:val="22"/>
        </w:rPr>
        <w:t>R E S U E L V E</w:t>
      </w:r>
      <w:bookmarkEnd w:id="29"/>
    </w:p>
    <w:p w:rsidR="00111831" w:rsidRDefault="00111831">
      <w:pPr>
        <w:spacing w:after="0" w:line="360" w:lineRule="auto"/>
      </w:pPr>
    </w:p>
    <w:p w:rsidR="00111831" w:rsidRDefault="00D653D2">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Ayuntamiento de Chimalhuacán, a la solicitud de información 00158/CHIMALHU/IP/2025, 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rsidR="00111831" w:rsidRDefault="00111831">
      <w:pPr>
        <w:spacing w:after="0" w:line="360" w:lineRule="auto"/>
        <w:rPr>
          <w:color w:val="000000"/>
        </w:rPr>
      </w:pPr>
    </w:p>
    <w:p w:rsidR="00111831" w:rsidRDefault="00D653D2">
      <w:pPr>
        <w:spacing w:after="0" w:line="360" w:lineRule="auto"/>
        <w:rPr>
          <w:color w:val="000000"/>
        </w:rPr>
      </w:pPr>
      <w:r>
        <w:rPr>
          <w:b/>
          <w:bCs/>
          <w:color w:val="000000"/>
        </w:rPr>
        <w:lastRenderedPageBreak/>
        <w:t xml:space="preserve">SEGUNDO. Se ORDENA </w:t>
      </w:r>
      <w:r>
        <w:rPr>
          <w:color w:val="000000"/>
        </w:rPr>
        <w:t>al Sujeto Obligado, a efecto de que previa búsqueda exhaustiva y razonable en los archivos de las unidades administrativas competentes, entregue a través del Sistema de Acceso a la Información Mexiquense (SAIMEX), en versión pública, el documento donde conste lo siguiente:</w:t>
      </w:r>
    </w:p>
    <w:p w:rsidR="00111831" w:rsidRDefault="00111831">
      <w:pPr>
        <w:spacing w:after="0" w:line="360" w:lineRule="auto"/>
        <w:rPr>
          <w:color w:val="000000"/>
        </w:rPr>
      </w:pPr>
    </w:p>
    <w:p w:rsidR="00111831" w:rsidRDefault="00D653D2">
      <w:pPr>
        <w:numPr>
          <w:ilvl w:val="0"/>
          <w:numId w:val="2"/>
        </w:numPr>
        <w:pBdr>
          <w:top w:val="nil"/>
          <w:left w:val="nil"/>
          <w:bottom w:val="nil"/>
          <w:right w:val="nil"/>
          <w:between w:val="nil"/>
        </w:pBdr>
        <w:spacing w:after="0" w:line="360" w:lineRule="auto"/>
        <w:rPr>
          <w:color w:val="000000"/>
        </w:rPr>
      </w:pPr>
      <w:bookmarkStart w:id="30" w:name="_heading=h.jn9xt5m65vsh" w:colFirst="0" w:colLast="0"/>
      <w:bookmarkEnd w:id="30"/>
      <w:r>
        <w:rPr>
          <w:color w:val="000000"/>
        </w:rPr>
        <w:t xml:space="preserve">El monto total recaudado </w:t>
      </w:r>
      <w:r>
        <w:t>por las órdenes de pago emitidas por la Dirección de Protección Civil y Bomberos, del primero de enero al cuatro de agosto de dos mil veinticinco, relacionadas con dictámenes, constancias y multas generadas a unidades económicas.</w:t>
      </w:r>
    </w:p>
    <w:p w:rsidR="00111831" w:rsidRDefault="00111831">
      <w:pPr>
        <w:pBdr>
          <w:top w:val="nil"/>
          <w:left w:val="nil"/>
          <w:bottom w:val="nil"/>
          <w:right w:val="nil"/>
          <w:between w:val="nil"/>
        </w:pBdr>
        <w:spacing w:after="0" w:line="360" w:lineRule="auto"/>
        <w:ind w:left="720"/>
        <w:jc w:val="left"/>
        <w:rPr>
          <w:color w:val="000000"/>
        </w:rPr>
      </w:pPr>
    </w:p>
    <w:p w:rsidR="00111831" w:rsidRDefault="00D653D2">
      <w:pPr>
        <w:spacing w:after="0" w:line="360" w:lineRule="auto"/>
        <w:rPr>
          <w:color w:val="000000"/>
        </w:rPr>
      </w:pPr>
      <w:r>
        <w:rPr>
          <w:color w:val="000000"/>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00111831" w:rsidRDefault="00111831">
      <w:pPr>
        <w:spacing w:after="0" w:line="360" w:lineRule="auto"/>
        <w:rPr>
          <w:color w:val="000000"/>
        </w:rPr>
      </w:pPr>
    </w:p>
    <w:p w:rsidR="00111831" w:rsidRDefault="00D653D2">
      <w:pPr>
        <w:spacing w:after="0" w:line="360" w:lineRule="auto"/>
        <w:ind w:right="-28"/>
        <w:rPr>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11831" w:rsidRDefault="00111831">
      <w:pPr>
        <w:spacing w:after="0" w:line="360" w:lineRule="auto"/>
        <w:ind w:right="-28"/>
        <w:rPr>
          <w:color w:val="000000"/>
        </w:rPr>
      </w:pPr>
    </w:p>
    <w:p w:rsidR="00111831" w:rsidRDefault="00D653D2">
      <w:pPr>
        <w:spacing w:after="0" w:line="360" w:lineRule="auto"/>
        <w:ind w:right="-28"/>
        <w:rPr>
          <w:color w:val="000000"/>
        </w:rPr>
      </w:pPr>
      <w:r>
        <w:rPr>
          <w:color w:val="000000"/>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11831" w:rsidRDefault="00111831">
      <w:pPr>
        <w:spacing w:after="0" w:line="360" w:lineRule="auto"/>
        <w:rPr>
          <w:color w:val="000000"/>
        </w:rPr>
      </w:pPr>
    </w:p>
    <w:p w:rsidR="00111831" w:rsidRDefault="00D653D2">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11831" w:rsidRDefault="00111831">
      <w:pPr>
        <w:spacing w:after="0" w:line="360" w:lineRule="auto"/>
        <w:rPr>
          <w:b/>
          <w:bCs/>
          <w:color w:val="000000"/>
        </w:rPr>
      </w:pPr>
    </w:p>
    <w:p w:rsidR="00111831" w:rsidRDefault="00D653D2">
      <w:pPr>
        <w:spacing w:after="0" w:line="360" w:lineRule="auto"/>
        <w:rPr>
          <w:b/>
          <w:bCs/>
          <w:color w:val="000000"/>
        </w:rPr>
      </w:pPr>
      <w:r>
        <w:rPr>
          <w:color w:val="000000"/>
        </w:rPr>
        <w:t xml:space="preserve">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TERCERA SESIÓN ORDINARIA, CELEBRADA EL VEINTIOCHO DE ENERO DE DOS MIL </w:t>
      </w:r>
      <w:r>
        <w:t>VEINTISÉIS</w:t>
      </w:r>
      <w:r>
        <w:rPr>
          <w:color w:val="000000"/>
        </w:rPr>
        <w:t>, ANTE EL SECRETARIO TÉCNICO DEL PLENO, ALEXIS TAPIA RAMÍREZ.</w:t>
      </w:r>
    </w:p>
    <w:p w:rsidR="00111831" w:rsidRDefault="00111831">
      <w:pPr>
        <w:spacing w:after="0" w:line="360" w:lineRule="auto"/>
        <w:ind w:right="-28"/>
        <w:rPr>
          <w:color w:val="000000"/>
        </w:rPr>
      </w:pPr>
    </w:p>
    <w:p w:rsidR="00111831" w:rsidRDefault="00111831">
      <w:pPr>
        <w:spacing w:after="0" w:line="360" w:lineRule="auto"/>
        <w:rPr>
          <w:b/>
          <w:bCs/>
        </w:rPr>
      </w:pPr>
    </w:p>
    <w:p w:rsidR="00111831" w:rsidRDefault="00111831">
      <w:pPr>
        <w:spacing w:after="0" w:line="360" w:lineRule="auto"/>
        <w:rPr>
          <w:b/>
          <w:bCs/>
        </w:rPr>
      </w:pPr>
    </w:p>
    <w:p w:rsidR="00111831" w:rsidRDefault="00111831">
      <w:pPr>
        <w:spacing w:after="0" w:line="360" w:lineRule="auto"/>
        <w:rPr>
          <w:color w:val="000000"/>
        </w:rPr>
      </w:pPr>
    </w:p>
    <w:p w:rsidR="00111831" w:rsidRDefault="00111831">
      <w:pPr>
        <w:spacing w:after="0" w:line="360" w:lineRule="auto"/>
      </w:pPr>
    </w:p>
    <w:p w:rsidR="00111831" w:rsidRDefault="00111831">
      <w:pPr>
        <w:spacing w:after="0" w:line="360" w:lineRule="auto"/>
        <w:rPr>
          <w:color w:val="000000"/>
        </w:rPr>
      </w:pPr>
    </w:p>
    <w:p w:rsidR="00111831" w:rsidRDefault="00111831">
      <w:pPr>
        <w:spacing w:after="0" w:line="360" w:lineRule="auto"/>
        <w:rPr>
          <w:color w:val="000000"/>
        </w:rPr>
      </w:pPr>
    </w:p>
    <w:p w:rsidR="00111831" w:rsidRDefault="00111831">
      <w:pPr>
        <w:tabs>
          <w:tab w:val="right" w:pos="8931"/>
        </w:tabs>
        <w:spacing w:after="0" w:line="360" w:lineRule="auto"/>
      </w:pPr>
    </w:p>
    <w:p w:rsidR="00111831" w:rsidRDefault="00111831">
      <w:pPr>
        <w:tabs>
          <w:tab w:val="right" w:pos="8931"/>
        </w:tabs>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p w:rsidR="00111831" w:rsidRDefault="00111831">
      <w:pPr>
        <w:spacing w:after="0" w:line="360" w:lineRule="auto"/>
      </w:pPr>
    </w:p>
    <w:sectPr w:rsidR="00111831">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577" w:rsidRDefault="001F5577">
      <w:pPr>
        <w:spacing w:after="0" w:line="240" w:lineRule="auto"/>
      </w:pPr>
      <w:r>
        <w:separator/>
      </w:r>
    </w:p>
  </w:endnote>
  <w:endnote w:type="continuationSeparator" w:id="0">
    <w:p w:rsidR="001F5577" w:rsidRDefault="001F5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25192ED1-ED17-4A0D-957C-E947B843EB91}"/>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A2F52A1-FF18-4CBB-B01B-2BFC228EF0D8}"/>
    <w:embedBold r:id="rId3" w:fontKey="{828A4B66-96DC-4BCD-865B-E6EE46E1B11D}"/>
    <w:embedItalic r:id="rId4" w:fontKey="{D25126CC-6A61-4C5D-BD58-9004A48F9998}"/>
    <w:embedBoldItalic r:id="rId5" w:fontKey="{9A0D5FED-0D62-4EC2-B55B-F3623B8BFB9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469ECCE-4F21-4392-9104-BB0430AD600E}"/>
  </w:font>
  <w:font w:name="Calibri">
    <w:panose1 w:val="020F0502020204030204"/>
    <w:charset w:val="00"/>
    <w:family w:val="swiss"/>
    <w:pitch w:val="variable"/>
    <w:sig w:usb0="E4002EFF" w:usb1="C200247B" w:usb2="00000009" w:usb3="00000000" w:csb0="000001FF" w:csb1="00000000"/>
    <w:embedRegular r:id="rId7" w:fontKey="{78521E6F-90A6-46BB-8F86-0730DA3CC989}"/>
  </w:font>
  <w:font w:name="Georgia">
    <w:panose1 w:val="02040502050405020303"/>
    <w:charset w:val="00"/>
    <w:family w:val="roman"/>
    <w:pitch w:val="variable"/>
    <w:sig w:usb0="00000287" w:usb1="00000000" w:usb2="00000000" w:usb3="00000000" w:csb0="0000009F" w:csb1="00000000"/>
    <w:embedItalic r:id="rId8" w:fontKey="{849C8583-A1FA-4457-89FB-0F1F08AA1D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1" w:rsidRDefault="00D653D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1B0116">
      <w:rPr>
        <w:b/>
        <w:bCs/>
        <w:noProof/>
        <w:color w:val="000000"/>
        <w:sz w:val="24"/>
        <w:szCs w:val="24"/>
      </w:rPr>
      <w:t>21</w:t>
    </w:r>
    <w:r>
      <w:rPr>
        <w:b/>
        <w:bCs/>
        <w:color w:val="000000"/>
        <w:sz w:val="24"/>
        <w:szCs w:val="24"/>
      </w:rPr>
      <w:fldChar w:fldCharType="end"/>
    </w:r>
  </w:p>
  <w:p w:rsidR="00111831" w:rsidRDefault="0011183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1" w:rsidRDefault="00D653D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91753">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91753">
      <w:rPr>
        <w:b/>
        <w:bCs/>
        <w:noProof/>
        <w:color w:val="000000"/>
        <w:sz w:val="24"/>
        <w:szCs w:val="24"/>
      </w:rPr>
      <w:t>21</w:t>
    </w:r>
    <w:r>
      <w:rPr>
        <w:b/>
        <w:bCs/>
        <w:color w:val="000000"/>
        <w:sz w:val="24"/>
        <w:szCs w:val="24"/>
      </w:rPr>
      <w:fldChar w:fldCharType="end"/>
    </w:r>
  </w:p>
  <w:p w:rsidR="00111831" w:rsidRDefault="0011183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1" w:rsidRDefault="00D653D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9175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91753">
      <w:rPr>
        <w:b/>
        <w:bCs/>
        <w:noProof/>
        <w:color w:val="000000"/>
        <w:sz w:val="24"/>
        <w:szCs w:val="24"/>
      </w:rPr>
      <w:t>21</w:t>
    </w:r>
    <w:r>
      <w:rPr>
        <w:b/>
        <w:bCs/>
        <w:color w:val="000000"/>
        <w:sz w:val="24"/>
        <w:szCs w:val="24"/>
      </w:rPr>
      <w:fldChar w:fldCharType="end"/>
    </w:r>
  </w:p>
  <w:p w:rsidR="00111831" w:rsidRDefault="0011183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577" w:rsidRDefault="001F5577">
      <w:pPr>
        <w:spacing w:after="0" w:line="240" w:lineRule="auto"/>
      </w:pPr>
      <w:r>
        <w:separator/>
      </w:r>
    </w:p>
  </w:footnote>
  <w:footnote w:type="continuationSeparator" w:id="0">
    <w:p w:rsidR="001F5577" w:rsidRDefault="001F55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1" w:rsidRDefault="00111831">
    <w:pPr>
      <w:widowControl w:val="0"/>
      <w:pBdr>
        <w:top w:val="nil"/>
        <w:left w:val="nil"/>
        <w:bottom w:val="nil"/>
        <w:right w:val="nil"/>
        <w:between w:val="nil"/>
      </w:pBdr>
      <w:spacing w:after="0" w:line="276" w:lineRule="auto"/>
      <w:jc w:val="left"/>
      <w:rPr>
        <w:color w:val="000000"/>
      </w:rPr>
    </w:pPr>
  </w:p>
  <w:tbl>
    <w:tblPr>
      <w:tblStyle w:val="a8"/>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11831">
      <w:trPr>
        <w:trHeight w:val="132"/>
      </w:trPr>
      <w:tc>
        <w:tcPr>
          <w:tcW w:w="0" w:type="auto"/>
        </w:tcPr>
        <w:p w:rsidR="00111831" w:rsidRDefault="00D653D2">
          <w:pPr>
            <w:tabs>
              <w:tab w:val="right" w:pos="8838"/>
            </w:tabs>
            <w:ind w:right="-105"/>
            <w:rPr>
              <w:b/>
              <w:bCs/>
            </w:rPr>
          </w:pPr>
          <w:r>
            <w:rPr>
              <w:b/>
              <w:bCs/>
            </w:rPr>
            <w:t>Recurso de Revisión:</w:t>
          </w:r>
        </w:p>
      </w:tc>
      <w:tc>
        <w:tcPr>
          <w:tcW w:w="0" w:type="auto"/>
        </w:tcPr>
        <w:p w:rsidR="00111831" w:rsidRDefault="00D653D2">
          <w:pPr>
            <w:tabs>
              <w:tab w:val="right" w:pos="8838"/>
            </w:tabs>
            <w:ind w:left="-28" w:right="-32"/>
          </w:pPr>
          <w:r>
            <w:t>03846/INFOEM/IP/RR/2020</w:t>
          </w:r>
        </w:p>
      </w:tc>
    </w:tr>
    <w:tr w:rsidR="00111831">
      <w:trPr>
        <w:trHeight w:val="261"/>
      </w:trPr>
      <w:tc>
        <w:tcPr>
          <w:tcW w:w="0" w:type="auto"/>
        </w:tcPr>
        <w:p w:rsidR="00111831" w:rsidRDefault="00D653D2">
          <w:pPr>
            <w:tabs>
              <w:tab w:val="right" w:pos="8838"/>
            </w:tabs>
            <w:ind w:right="-105"/>
            <w:rPr>
              <w:b/>
              <w:bCs/>
            </w:rPr>
          </w:pPr>
          <w:r>
            <w:rPr>
              <w:b/>
              <w:bCs/>
            </w:rPr>
            <w:t>Sujeto Obligado:</w:t>
          </w:r>
        </w:p>
      </w:tc>
      <w:tc>
        <w:tcPr>
          <w:tcW w:w="0" w:type="auto"/>
        </w:tcPr>
        <w:p w:rsidR="00111831" w:rsidRDefault="00D653D2">
          <w:pPr>
            <w:tabs>
              <w:tab w:val="right" w:pos="8838"/>
            </w:tabs>
            <w:ind w:right="-32"/>
          </w:pPr>
          <w:r>
            <w:t xml:space="preserve">Ayuntamiento de </w:t>
          </w:r>
          <w:proofErr w:type="spellStart"/>
          <w:r>
            <w:t>Temascalcingo</w:t>
          </w:r>
          <w:proofErr w:type="spellEnd"/>
        </w:p>
      </w:tc>
    </w:tr>
    <w:tr w:rsidR="00111831">
      <w:trPr>
        <w:trHeight w:val="261"/>
      </w:trPr>
      <w:tc>
        <w:tcPr>
          <w:tcW w:w="0" w:type="auto"/>
        </w:tcPr>
        <w:p w:rsidR="00111831" w:rsidRDefault="00D653D2">
          <w:pPr>
            <w:tabs>
              <w:tab w:val="right" w:pos="8838"/>
            </w:tabs>
            <w:ind w:right="-105"/>
            <w:rPr>
              <w:b/>
              <w:bCs/>
            </w:rPr>
          </w:pPr>
          <w:r>
            <w:rPr>
              <w:b/>
              <w:bCs/>
            </w:rPr>
            <w:t>Comisionado Ponente:</w:t>
          </w:r>
        </w:p>
      </w:tc>
      <w:tc>
        <w:tcPr>
          <w:tcW w:w="0" w:type="auto"/>
        </w:tcPr>
        <w:p w:rsidR="00111831" w:rsidRDefault="00D653D2">
          <w:pPr>
            <w:tabs>
              <w:tab w:val="right" w:pos="8838"/>
            </w:tabs>
            <w:ind w:right="-32"/>
            <w:rPr>
              <w:b/>
              <w:bCs/>
            </w:rPr>
          </w:pPr>
          <w:r>
            <w:t>Luis Gustavo Parra Noriega</w:t>
          </w:r>
        </w:p>
      </w:tc>
    </w:tr>
  </w:tbl>
  <w:p w:rsidR="00111831" w:rsidRDefault="001F5577">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1" w:rsidRDefault="001F5577">
    <w:pPr>
      <w:widowControl w:val="0"/>
      <w:pBdr>
        <w:top w:val="nil"/>
        <w:left w:val="nil"/>
        <w:bottom w:val="nil"/>
        <w:right w:val="nil"/>
        <w:between w:val="nil"/>
      </w:pBdr>
      <w:spacing w:after="0" w:line="276" w:lineRule="auto"/>
      <w:jc w:val="left"/>
    </w:pPr>
    <w:r>
      <w:rPr>
        <w:color w:val="000000"/>
      </w:rPr>
      <w:pict w14:anchorId="73FBE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9"/>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111831">
      <w:trPr>
        <w:trHeight w:val="138"/>
      </w:trPr>
      <w:tc>
        <w:tcPr>
          <w:tcW w:w="2693" w:type="dxa"/>
          <w:vAlign w:val="center"/>
        </w:tcPr>
        <w:p w:rsidR="00111831" w:rsidRDefault="00111831">
          <w:pPr>
            <w:tabs>
              <w:tab w:val="right" w:pos="8838"/>
            </w:tabs>
            <w:ind w:left="-108" w:right="-105"/>
            <w:jc w:val="left"/>
            <w:rPr>
              <w:b/>
              <w:bCs/>
            </w:rPr>
          </w:pPr>
        </w:p>
        <w:p w:rsidR="00111831" w:rsidRDefault="00D653D2">
          <w:pPr>
            <w:tabs>
              <w:tab w:val="right" w:pos="8838"/>
            </w:tabs>
            <w:ind w:left="-108" w:right="-105"/>
            <w:jc w:val="left"/>
            <w:rPr>
              <w:b/>
              <w:bCs/>
            </w:rPr>
          </w:pPr>
          <w:r>
            <w:rPr>
              <w:b/>
              <w:bCs/>
            </w:rPr>
            <w:t>Recurso de Revisión:</w:t>
          </w:r>
        </w:p>
      </w:tc>
      <w:tc>
        <w:tcPr>
          <w:tcW w:w="3969" w:type="dxa"/>
        </w:tcPr>
        <w:p w:rsidR="00111831" w:rsidRDefault="00111831">
          <w:pPr>
            <w:tabs>
              <w:tab w:val="right" w:pos="8838"/>
            </w:tabs>
            <w:ind w:right="57"/>
          </w:pPr>
        </w:p>
        <w:p w:rsidR="00111831" w:rsidRDefault="00D653D2">
          <w:pPr>
            <w:tabs>
              <w:tab w:val="right" w:pos="8838"/>
            </w:tabs>
            <w:ind w:right="57"/>
          </w:pPr>
          <w:r>
            <w:t>10396/INFOEM/IP/RR/2025</w:t>
          </w:r>
        </w:p>
      </w:tc>
    </w:tr>
    <w:tr w:rsidR="00111831">
      <w:trPr>
        <w:trHeight w:val="273"/>
      </w:trPr>
      <w:tc>
        <w:tcPr>
          <w:tcW w:w="2693" w:type="dxa"/>
        </w:tcPr>
        <w:p w:rsidR="00111831" w:rsidRDefault="00D653D2">
          <w:pPr>
            <w:tabs>
              <w:tab w:val="right" w:pos="8838"/>
            </w:tabs>
            <w:ind w:left="-108" w:right="-105"/>
            <w:rPr>
              <w:b/>
              <w:bCs/>
            </w:rPr>
          </w:pPr>
          <w:r>
            <w:rPr>
              <w:b/>
              <w:bCs/>
            </w:rPr>
            <w:t>Sujeto Obligado:</w:t>
          </w:r>
        </w:p>
      </w:tc>
      <w:tc>
        <w:tcPr>
          <w:tcW w:w="3969" w:type="dxa"/>
        </w:tcPr>
        <w:p w:rsidR="00111831" w:rsidRDefault="00D653D2">
          <w:pPr>
            <w:tabs>
              <w:tab w:val="right" w:pos="8838"/>
            </w:tabs>
            <w:ind w:right="180"/>
          </w:pPr>
          <w:r>
            <w:t>Ayuntamiento de Chimalhuacán</w:t>
          </w:r>
        </w:p>
      </w:tc>
    </w:tr>
    <w:tr w:rsidR="00111831">
      <w:trPr>
        <w:trHeight w:val="273"/>
      </w:trPr>
      <w:tc>
        <w:tcPr>
          <w:tcW w:w="2693" w:type="dxa"/>
        </w:tcPr>
        <w:p w:rsidR="00111831" w:rsidRDefault="00D653D2">
          <w:pPr>
            <w:tabs>
              <w:tab w:val="right" w:pos="8838"/>
            </w:tabs>
            <w:ind w:left="-108" w:right="-105"/>
            <w:rPr>
              <w:b/>
              <w:bCs/>
            </w:rPr>
          </w:pPr>
          <w:r>
            <w:rPr>
              <w:b/>
              <w:bCs/>
            </w:rPr>
            <w:t>Comisionado Ponente:</w:t>
          </w:r>
        </w:p>
      </w:tc>
      <w:tc>
        <w:tcPr>
          <w:tcW w:w="3969" w:type="dxa"/>
        </w:tcPr>
        <w:p w:rsidR="00111831" w:rsidRDefault="00D653D2">
          <w:pPr>
            <w:tabs>
              <w:tab w:val="right" w:pos="8838"/>
            </w:tabs>
            <w:ind w:right="-170"/>
          </w:pPr>
          <w:r>
            <w:t>Luis Gustavo Parra Noriega</w:t>
          </w:r>
        </w:p>
        <w:p w:rsidR="00111831" w:rsidRDefault="00111831">
          <w:pPr>
            <w:tabs>
              <w:tab w:val="right" w:pos="8838"/>
            </w:tabs>
            <w:ind w:right="-170"/>
            <w:rPr>
              <w:b/>
              <w:bCs/>
            </w:rPr>
          </w:pPr>
        </w:p>
      </w:tc>
    </w:tr>
  </w:tbl>
  <w:p w:rsidR="00111831" w:rsidRDefault="0011183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831" w:rsidRDefault="00111831">
    <w:pPr>
      <w:widowControl w:val="0"/>
      <w:pBdr>
        <w:top w:val="nil"/>
        <w:left w:val="nil"/>
        <w:bottom w:val="nil"/>
        <w:right w:val="nil"/>
        <w:between w:val="nil"/>
      </w:pBdr>
      <w:spacing w:after="0" w:line="276" w:lineRule="auto"/>
      <w:jc w:val="left"/>
      <w:rPr>
        <w:color w:val="000000"/>
      </w:rPr>
    </w:pPr>
  </w:p>
  <w:tbl>
    <w:tblPr>
      <w:tblStyle w:val="aa"/>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111831">
      <w:trPr>
        <w:trHeight w:val="132"/>
      </w:trPr>
      <w:tc>
        <w:tcPr>
          <w:tcW w:w="2551" w:type="dxa"/>
        </w:tcPr>
        <w:p w:rsidR="00111831" w:rsidRDefault="00111831">
          <w:pPr>
            <w:tabs>
              <w:tab w:val="right" w:pos="8838"/>
            </w:tabs>
            <w:ind w:right="-105"/>
            <w:rPr>
              <w:b/>
              <w:bCs/>
            </w:rPr>
          </w:pPr>
        </w:p>
        <w:p w:rsidR="00111831" w:rsidRDefault="00D653D2">
          <w:pPr>
            <w:tabs>
              <w:tab w:val="right" w:pos="8838"/>
            </w:tabs>
            <w:ind w:right="-105"/>
            <w:rPr>
              <w:b/>
              <w:bCs/>
            </w:rPr>
          </w:pPr>
          <w:r>
            <w:rPr>
              <w:b/>
              <w:bCs/>
            </w:rPr>
            <w:t>Recurso de Revisión:</w:t>
          </w:r>
        </w:p>
      </w:tc>
      <w:tc>
        <w:tcPr>
          <w:tcW w:w="4253" w:type="dxa"/>
        </w:tcPr>
        <w:p w:rsidR="00111831" w:rsidRDefault="00111831"/>
        <w:p w:rsidR="00111831" w:rsidRDefault="00D653D2">
          <w:r>
            <w:t>10396/INFOEM/IP/RR/2025</w:t>
          </w:r>
        </w:p>
      </w:tc>
    </w:tr>
    <w:tr w:rsidR="00111831">
      <w:trPr>
        <w:trHeight w:val="132"/>
      </w:trPr>
      <w:tc>
        <w:tcPr>
          <w:tcW w:w="2551" w:type="dxa"/>
        </w:tcPr>
        <w:p w:rsidR="00111831" w:rsidRDefault="00D653D2">
          <w:pPr>
            <w:tabs>
              <w:tab w:val="left" w:pos="1875"/>
            </w:tabs>
            <w:ind w:right="-105"/>
            <w:rPr>
              <w:b/>
              <w:bCs/>
            </w:rPr>
          </w:pPr>
          <w:r>
            <w:rPr>
              <w:b/>
              <w:bCs/>
            </w:rPr>
            <w:t>Recurrente:</w:t>
          </w:r>
          <w:r>
            <w:rPr>
              <w:b/>
              <w:bCs/>
            </w:rPr>
            <w:tab/>
          </w:r>
        </w:p>
      </w:tc>
      <w:tc>
        <w:tcPr>
          <w:tcW w:w="4253" w:type="dxa"/>
        </w:tcPr>
        <w:p w:rsidR="00111831" w:rsidRDefault="00491753">
          <w:pPr>
            <w:tabs>
              <w:tab w:val="right" w:pos="8838"/>
            </w:tabs>
            <w:ind w:right="-250"/>
          </w:pPr>
          <w:r w:rsidRPr="00491753">
            <w:rPr>
              <w:highlight w:val="black"/>
            </w:rPr>
            <w:t>XXXXXXX</w:t>
          </w:r>
        </w:p>
      </w:tc>
    </w:tr>
    <w:tr w:rsidR="00111831">
      <w:trPr>
        <w:trHeight w:val="261"/>
      </w:trPr>
      <w:tc>
        <w:tcPr>
          <w:tcW w:w="2551" w:type="dxa"/>
        </w:tcPr>
        <w:p w:rsidR="00111831" w:rsidRDefault="00D653D2">
          <w:pPr>
            <w:tabs>
              <w:tab w:val="right" w:pos="8838"/>
            </w:tabs>
            <w:ind w:right="-105"/>
            <w:rPr>
              <w:b/>
              <w:bCs/>
            </w:rPr>
          </w:pPr>
          <w:r>
            <w:rPr>
              <w:b/>
              <w:bCs/>
            </w:rPr>
            <w:t>Sujeto Obligado:</w:t>
          </w:r>
        </w:p>
      </w:tc>
      <w:tc>
        <w:tcPr>
          <w:tcW w:w="4253" w:type="dxa"/>
        </w:tcPr>
        <w:p w:rsidR="00111831" w:rsidRDefault="00D653D2">
          <w:r>
            <w:t>Ayuntamiento de Chimalhuacán</w:t>
          </w:r>
        </w:p>
      </w:tc>
    </w:tr>
    <w:tr w:rsidR="00111831">
      <w:trPr>
        <w:trHeight w:val="261"/>
      </w:trPr>
      <w:tc>
        <w:tcPr>
          <w:tcW w:w="2551" w:type="dxa"/>
        </w:tcPr>
        <w:p w:rsidR="00111831" w:rsidRDefault="00D653D2">
          <w:pPr>
            <w:tabs>
              <w:tab w:val="right" w:pos="8838"/>
            </w:tabs>
            <w:ind w:right="-105"/>
            <w:rPr>
              <w:b/>
              <w:bCs/>
            </w:rPr>
          </w:pPr>
          <w:r>
            <w:rPr>
              <w:b/>
              <w:bCs/>
            </w:rPr>
            <w:t>Comisionado Ponente:</w:t>
          </w:r>
        </w:p>
      </w:tc>
      <w:tc>
        <w:tcPr>
          <w:tcW w:w="4253" w:type="dxa"/>
        </w:tcPr>
        <w:p w:rsidR="00111831" w:rsidRDefault="00D653D2">
          <w:pPr>
            <w:tabs>
              <w:tab w:val="right" w:pos="8838"/>
            </w:tabs>
            <w:ind w:right="-32"/>
            <w:rPr>
              <w:b/>
              <w:bCs/>
            </w:rPr>
          </w:pPr>
          <w:r>
            <w:t>Luis Gustavo Parra Noriega</w:t>
          </w:r>
        </w:p>
      </w:tc>
    </w:tr>
  </w:tbl>
  <w:p w:rsidR="00111831" w:rsidRDefault="001F5577">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BC2691"/>
    <w:multiLevelType w:val="multilevel"/>
    <w:tmpl w:val="9E6E7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A661A8"/>
    <w:multiLevelType w:val="multilevel"/>
    <w:tmpl w:val="50E48C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831"/>
    <w:rsid w:val="00111831"/>
    <w:rsid w:val="001B0116"/>
    <w:rsid w:val="001F5577"/>
    <w:rsid w:val="00277817"/>
    <w:rsid w:val="004841C2"/>
    <w:rsid w:val="00491753"/>
    <w:rsid w:val="00D40F51"/>
    <w:rsid w:val="00D653D2"/>
    <w:rsid w:val="00D95175"/>
    <w:rsid w:val="00F71E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DC3C05A-26EC-4B0F-95A1-FF806477C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4">
    <w:name w:val="4"/>
    <w:basedOn w:val="TableNormal3"/>
    <w:pPr>
      <w:spacing w:after="0" w:line="240" w:lineRule="auto"/>
    </w:pPr>
    <w:tblPr>
      <w:tblStyleRowBandSize w:val="1"/>
      <w:tblStyleColBandSize w:val="1"/>
      <w:tblCellMar>
        <w:left w:w="108" w:type="dxa"/>
        <w:right w:w="108" w:type="dxa"/>
      </w:tblCellMar>
    </w:tblPr>
  </w:style>
  <w:style w:type="table" w:customStyle="1" w:styleId="3">
    <w:name w:val="3"/>
    <w:basedOn w:val="TableNormal3"/>
    <w:pPr>
      <w:spacing w:after="0" w:line="240" w:lineRule="auto"/>
    </w:pPr>
    <w:tblPr>
      <w:tblStyleRowBandSize w:val="1"/>
      <w:tblStyleColBandSize w:val="1"/>
      <w:tblCellMar>
        <w:left w:w="108" w:type="dxa"/>
        <w:right w:w="108" w:type="dxa"/>
      </w:tblCellMar>
    </w:tblPr>
  </w:style>
  <w:style w:type="table" w:customStyle="1" w:styleId="2">
    <w:name w:val="2"/>
    <w:basedOn w:val="TableNormal3"/>
    <w:pPr>
      <w:spacing w:after="0" w:line="240" w:lineRule="auto"/>
    </w:pPr>
    <w:tblPr>
      <w:tblStyleRowBandSize w:val="1"/>
      <w:tblStyleColBandSize w:val="1"/>
      <w:tblCellMar>
        <w:left w:w="108" w:type="dxa"/>
        <w:right w:w="108" w:type="dxa"/>
      </w:tblCellMar>
    </w:tblPr>
  </w:style>
  <w:style w:type="table" w:customStyle="1" w:styleId="1">
    <w:name w:val="1"/>
    <w:basedOn w:val="TableNormal3"/>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0D3924"/>
    <w:rPr>
      <w:color w:val="605E5C"/>
      <w:shd w:val="clear" w:color="auto" w:fill="E1DFDD"/>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xY/xZdC5mjtzxCA+5pYWbfFkw==">CgMxLjAyDmgubmFic2d4dmJwOGpoMg5oLjh4YmFuNXpnMzA0bzIOaC55ZHJodG1udnY4aXYyDmguMXY4bGo1YTF0eGg5Mg5oLmdva3BvZnlzd3VpOTIOaC4zN2l5eDhia2RieXcyDWguYm5sNDNyMTRhNDQyDmguZGQxdzQ4cDBvcmU0Mg5oLm8yM2NmcXQ4Z2IxZzIJaC4zMGowemxsMg5oLnEyazNpN2dnN2F6dzIOaC5tZXo1c2F2MDQ3b24yDmgueGV4N2xrMzZ6a3E0Mg5oLmlydXd2MTRwOXl0aDIOaC5qeWRqOHl5bnFhbG8yDmguNWNyNXR5ZnZxaWYyMg5oLmpuOXh0NW02NXZzaDgAciExT3hUbGNCWDRKdjliYXd4RWN5bWZUUkJtbjZodjlSQ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76FB94-8629-4E9B-B652-4A932E9D6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5158</Words>
  <Characters>28374</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2026-01-30T15:45:00Z</cp:lastPrinted>
  <dcterms:created xsi:type="dcterms:W3CDTF">2026-01-30T15:45:00Z</dcterms:created>
  <dcterms:modified xsi:type="dcterms:W3CDTF">2026-03-12T23:13:00Z</dcterms:modified>
</cp:coreProperties>
</file>