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4D5292E6" w:rsidR="00C877F6" w:rsidRPr="002927A4" w:rsidRDefault="00F36565">
      <w:pPr>
        <w:spacing w:line="360" w:lineRule="auto"/>
        <w:ind w:right="49" w:hanging="22"/>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244C94" w:rsidRPr="002927A4">
        <w:rPr>
          <w:rFonts w:ascii="Palatino Linotype" w:eastAsia="Palatino Linotype" w:hAnsi="Palatino Linotype" w:cs="Palatino Linotype"/>
          <w:b/>
          <w:sz w:val="22"/>
          <w:szCs w:val="22"/>
        </w:rPr>
        <w:t>diecioch</w:t>
      </w:r>
      <w:r w:rsidR="00854ADA" w:rsidRPr="002927A4">
        <w:rPr>
          <w:rFonts w:ascii="Palatino Linotype" w:eastAsia="Palatino Linotype" w:hAnsi="Palatino Linotype" w:cs="Palatino Linotype"/>
          <w:b/>
          <w:sz w:val="22"/>
          <w:szCs w:val="22"/>
        </w:rPr>
        <w:t>o</w:t>
      </w:r>
      <w:r w:rsidR="00D52078" w:rsidRPr="002927A4">
        <w:rPr>
          <w:rFonts w:ascii="Palatino Linotype" w:eastAsia="Palatino Linotype" w:hAnsi="Palatino Linotype" w:cs="Palatino Linotype"/>
          <w:b/>
          <w:sz w:val="22"/>
          <w:szCs w:val="22"/>
        </w:rPr>
        <w:t xml:space="preserve"> de </w:t>
      </w:r>
      <w:r w:rsidR="005C2ED1" w:rsidRPr="002927A4">
        <w:rPr>
          <w:rFonts w:ascii="Palatino Linotype" w:eastAsia="Palatino Linotype" w:hAnsi="Palatino Linotype" w:cs="Palatino Linotype"/>
          <w:b/>
          <w:sz w:val="22"/>
          <w:szCs w:val="22"/>
        </w:rPr>
        <w:t>febrero</w:t>
      </w:r>
      <w:r w:rsidRPr="002927A4">
        <w:rPr>
          <w:rFonts w:ascii="Palatino Linotype" w:eastAsia="Palatino Linotype" w:hAnsi="Palatino Linotype" w:cs="Palatino Linotype"/>
          <w:sz w:val="22"/>
          <w:szCs w:val="22"/>
        </w:rPr>
        <w:t xml:space="preserve"> </w:t>
      </w:r>
      <w:r w:rsidR="000C6DFE" w:rsidRPr="002927A4">
        <w:rPr>
          <w:rFonts w:ascii="Palatino Linotype" w:eastAsia="Palatino Linotype" w:hAnsi="Palatino Linotype" w:cs="Palatino Linotype"/>
          <w:b/>
          <w:sz w:val="22"/>
          <w:szCs w:val="22"/>
        </w:rPr>
        <w:t>de dos mil veintiséis.</w:t>
      </w:r>
      <w:r w:rsidR="004C19EC" w:rsidRPr="002927A4">
        <w:rPr>
          <w:rFonts w:ascii="Palatino Linotype" w:eastAsia="Palatino Linotype" w:hAnsi="Palatino Linotype" w:cs="Palatino Linotype"/>
          <w:b/>
          <w:sz w:val="22"/>
          <w:szCs w:val="22"/>
        </w:rPr>
        <w:t xml:space="preserve"> </w:t>
      </w:r>
    </w:p>
    <w:p w14:paraId="7F051BA5"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02027E82" w14:textId="32A79526" w:rsidR="00C877F6" w:rsidRPr="002927A4" w:rsidRDefault="00F36565">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VISTO </w:t>
      </w:r>
      <w:r w:rsidRPr="002927A4">
        <w:rPr>
          <w:rFonts w:ascii="Palatino Linotype" w:eastAsia="Palatino Linotype" w:hAnsi="Palatino Linotype" w:cs="Palatino Linotype"/>
          <w:sz w:val="22"/>
          <w:szCs w:val="22"/>
        </w:rPr>
        <w:t xml:space="preserve">el expediente relativo al recurso de revisión </w:t>
      </w:r>
      <w:r w:rsidR="00854ADA" w:rsidRPr="002927A4">
        <w:rPr>
          <w:rFonts w:ascii="Palatino Linotype" w:eastAsia="Palatino Linotype" w:hAnsi="Palatino Linotype" w:cs="Palatino Linotype"/>
          <w:b/>
          <w:sz w:val="22"/>
          <w:szCs w:val="22"/>
        </w:rPr>
        <w:t>13114/INFOEM/IP/RR/2025</w:t>
      </w:r>
      <w:r w:rsidRPr="002927A4">
        <w:rPr>
          <w:rFonts w:ascii="Palatino Linotype" w:eastAsia="Palatino Linotype" w:hAnsi="Palatino Linotype" w:cs="Palatino Linotype"/>
          <w:b/>
          <w:sz w:val="22"/>
          <w:szCs w:val="22"/>
        </w:rPr>
        <w:t xml:space="preserve">, </w:t>
      </w:r>
      <w:r w:rsidRPr="002927A4">
        <w:rPr>
          <w:rFonts w:ascii="Palatino Linotype" w:eastAsia="Palatino Linotype" w:hAnsi="Palatino Linotype" w:cs="Palatino Linotype"/>
          <w:sz w:val="22"/>
          <w:szCs w:val="22"/>
        </w:rPr>
        <w:t xml:space="preserve">interpuesto por </w:t>
      </w:r>
      <w:r w:rsidR="001160BA" w:rsidRPr="001160BA">
        <w:rPr>
          <w:rFonts w:ascii="Palatino Linotype" w:eastAsia="Palatino Linotype" w:hAnsi="Palatino Linotype" w:cs="Palatino Linotype"/>
          <w:b/>
          <w:sz w:val="22"/>
          <w:szCs w:val="22"/>
        </w:rPr>
        <w:t>XXXXX XXXXXXXX XXXXX</w:t>
      </w:r>
      <w:r w:rsidRPr="001160BA">
        <w:rPr>
          <w:rFonts w:ascii="Palatino Linotype" w:eastAsia="Palatino Linotype" w:hAnsi="Palatino Linotype" w:cs="Palatino Linotype"/>
          <w:b/>
          <w:sz w:val="22"/>
          <w:szCs w:val="22"/>
        </w:rPr>
        <w:t>,</w:t>
      </w:r>
      <w:r w:rsidRPr="002927A4">
        <w:rPr>
          <w:rFonts w:ascii="Palatino Linotype" w:eastAsia="Palatino Linotype" w:hAnsi="Palatino Linotype" w:cs="Palatino Linotype"/>
          <w:sz w:val="22"/>
          <w:szCs w:val="22"/>
        </w:rPr>
        <w:t xml:space="preserve"> en lo sucesivo la parte </w:t>
      </w:r>
      <w:r w:rsidRPr="002927A4">
        <w:rPr>
          <w:rFonts w:ascii="Palatino Linotype" w:eastAsia="Palatino Linotype" w:hAnsi="Palatino Linotype" w:cs="Palatino Linotype"/>
          <w:b/>
          <w:sz w:val="22"/>
          <w:szCs w:val="22"/>
        </w:rPr>
        <w:t>Recurrente</w:t>
      </w:r>
      <w:r w:rsidRPr="002927A4">
        <w:rPr>
          <w:rFonts w:ascii="Palatino Linotype" w:eastAsia="Palatino Linotype" w:hAnsi="Palatino Linotype" w:cs="Palatino Linotype"/>
          <w:sz w:val="22"/>
          <w:szCs w:val="22"/>
        </w:rPr>
        <w:t xml:space="preserve">, en contra de la respuesta a la solicitud de información por parte del </w:t>
      </w:r>
      <w:r w:rsidR="00854ADA" w:rsidRPr="002927A4">
        <w:rPr>
          <w:rFonts w:ascii="Palatino Linotype" w:eastAsia="Palatino Linotype" w:hAnsi="Palatino Linotype" w:cs="Palatino Linotype"/>
          <w:b/>
          <w:sz w:val="22"/>
          <w:szCs w:val="22"/>
        </w:rPr>
        <w:t>Ayuntamiento de Calimaya</w:t>
      </w:r>
      <w:r w:rsidRPr="002927A4">
        <w:rPr>
          <w:rFonts w:ascii="Palatino Linotype" w:eastAsia="Palatino Linotype" w:hAnsi="Palatino Linotype" w:cs="Palatino Linotype"/>
          <w:sz w:val="22"/>
          <w:szCs w:val="22"/>
        </w:rPr>
        <w:t xml:space="preserve">, en lo sucesivo el </w:t>
      </w:r>
      <w:r w:rsidRPr="002927A4">
        <w:rPr>
          <w:rFonts w:ascii="Palatino Linotype" w:eastAsia="Palatino Linotype" w:hAnsi="Palatino Linotype" w:cs="Palatino Linotype"/>
          <w:b/>
          <w:sz w:val="22"/>
          <w:szCs w:val="22"/>
        </w:rPr>
        <w:t xml:space="preserve">Sujeto Obligado; </w:t>
      </w:r>
      <w:r w:rsidRPr="002927A4">
        <w:rPr>
          <w:rFonts w:ascii="Palatino Linotype" w:eastAsia="Palatino Linotype" w:hAnsi="Palatino Linotype" w:cs="Palatino Linotype"/>
          <w:sz w:val="22"/>
          <w:szCs w:val="22"/>
        </w:rPr>
        <w:t>se procede a dictar la presente resolución, con base en lo siguiente.</w:t>
      </w:r>
      <w:r w:rsidR="005C2ED1" w:rsidRPr="002927A4">
        <w:rPr>
          <w:rFonts w:ascii="Palatino Linotype" w:eastAsia="Palatino Linotype" w:hAnsi="Palatino Linotype" w:cs="Palatino Linotype"/>
          <w:sz w:val="22"/>
          <w:szCs w:val="22"/>
        </w:rPr>
        <w:t xml:space="preserve"> </w:t>
      </w:r>
    </w:p>
    <w:p w14:paraId="34BBF48E"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2927A4" w:rsidRDefault="00F36565">
      <w:pPr>
        <w:spacing w:line="360" w:lineRule="auto"/>
        <w:ind w:right="49"/>
        <w:jc w:val="center"/>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I.</w:t>
      </w:r>
      <w:r w:rsidRPr="002927A4">
        <w:rPr>
          <w:rFonts w:ascii="Palatino Linotype" w:eastAsia="Palatino Linotype" w:hAnsi="Palatino Linotype" w:cs="Palatino Linotype"/>
          <w:b/>
          <w:sz w:val="22"/>
          <w:szCs w:val="22"/>
        </w:rPr>
        <w:tab/>
        <w:t>A N T E C E D E N T E S</w:t>
      </w:r>
      <w:r w:rsidR="005C74CB" w:rsidRPr="002927A4">
        <w:rPr>
          <w:rFonts w:ascii="Palatino Linotype" w:eastAsia="Palatino Linotype" w:hAnsi="Palatino Linotype" w:cs="Palatino Linotype"/>
          <w:b/>
          <w:sz w:val="22"/>
          <w:szCs w:val="22"/>
        </w:rPr>
        <w:t xml:space="preserve"> </w:t>
      </w:r>
    </w:p>
    <w:p w14:paraId="3ACFD56D"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523B7B02" w14:textId="511A672C"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1.</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 xml:space="preserve">Solicitud </w:t>
      </w:r>
      <w:r w:rsidR="00D3382D" w:rsidRPr="002927A4">
        <w:rPr>
          <w:rFonts w:ascii="Palatino Linotype" w:eastAsia="Palatino Linotype" w:hAnsi="Palatino Linotype" w:cs="Palatino Linotype"/>
          <w:b/>
          <w:sz w:val="22"/>
          <w:szCs w:val="22"/>
        </w:rPr>
        <w:t xml:space="preserve">de </w:t>
      </w:r>
      <w:r w:rsidR="009456FA" w:rsidRPr="002927A4">
        <w:rPr>
          <w:rFonts w:ascii="Palatino Linotype" w:eastAsia="Palatino Linotype" w:hAnsi="Palatino Linotype" w:cs="Palatino Linotype"/>
          <w:b/>
          <w:sz w:val="22"/>
          <w:szCs w:val="22"/>
        </w:rPr>
        <w:t xml:space="preserve">Acceso a la Información. El </w:t>
      </w:r>
      <w:r w:rsidR="00B101BE" w:rsidRPr="002927A4">
        <w:rPr>
          <w:rFonts w:ascii="Palatino Linotype" w:eastAsia="Palatino Linotype" w:hAnsi="Palatino Linotype" w:cs="Palatino Linotype"/>
          <w:b/>
          <w:sz w:val="22"/>
          <w:szCs w:val="22"/>
        </w:rPr>
        <w:t>dieciocho de octubre</w:t>
      </w:r>
      <w:r w:rsidRPr="002927A4">
        <w:rPr>
          <w:rFonts w:ascii="Palatino Linotype" w:eastAsia="Palatino Linotype" w:hAnsi="Palatino Linotype" w:cs="Palatino Linotype"/>
          <w:b/>
          <w:sz w:val="22"/>
          <w:szCs w:val="22"/>
        </w:rPr>
        <w:t xml:space="preserve"> de dos mil veinticinco</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LA PARTE</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RECURRENTE</w:t>
      </w:r>
      <w:r w:rsidRPr="002927A4">
        <w:rPr>
          <w:rFonts w:ascii="Palatino Linotype" w:eastAsia="Palatino Linotype" w:hAnsi="Palatino Linotype" w:cs="Palatino Linotype"/>
          <w:sz w:val="22"/>
          <w:szCs w:val="22"/>
        </w:rPr>
        <w:t xml:space="preserve"> formuló solicitud de acceso a información pública a través del </w:t>
      </w:r>
      <w:r w:rsidRPr="002927A4">
        <w:rPr>
          <w:rFonts w:ascii="Palatino Linotype" w:eastAsia="Palatino Linotype" w:hAnsi="Palatino Linotype" w:cs="Palatino Linotype"/>
          <w:b/>
          <w:sz w:val="22"/>
          <w:szCs w:val="22"/>
        </w:rPr>
        <w:t>SAIMEX</w:t>
      </w:r>
      <w:r w:rsidR="00B101BE" w:rsidRPr="002927A4">
        <w:rPr>
          <w:rFonts w:ascii="Palatino Linotype" w:eastAsia="Palatino Linotype" w:hAnsi="Palatino Linotype" w:cs="Palatino Linotype"/>
          <w:sz w:val="22"/>
          <w:szCs w:val="22"/>
        </w:rPr>
        <w:t xml:space="preserve">; sin embargo, al ser día inhábil, se tuvo por presentada el veinte de octubre de la misma anualidad, </w:t>
      </w:r>
      <w:r w:rsidRPr="002927A4">
        <w:rPr>
          <w:rFonts w:ascii="Palatino Linotype" w:eastAsia="Palatino Linotype" w:hAnsi="Palatino Linotype" w:cs="Palatino Linotype"/>
          <w:sz w:val="22"/>
          <w:szCs w:val="22"/>
        </w:rPr>
        <w:t xml:space="preserve">en la que requirió lo siguiente: </w:t>
      </w:r>
    </w:p>
    <w:p w14:paraId="4EEACF59"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21215815" w14:textId="5418188D" w:rsidR="00C877F6" w:rsidRPr="002927A4"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2927A4">
        <w:rPr>
          <w:rFonts w:ascii="Palatino Linotype" w:eastAsia="Palatino Linotype" w:hAnsi="Palatino Linotype" w:cs="Palatino Linotype"/>
          <w:b/>
          <w:sz w:val="22"/>
          <w:szCs w:val="22"/>
        </w:rPr>
        <w:t>0</w:t>
      </w:r>
      <w:r w:rsidR="00854ADA" w:rsidRPr="002927A4">
        <w:rPr>
          <w:rFonts w:ascii="Palatino Linotype" w:eastAsia="Palatino Linotype" w:hAnsi="Palatino Linotype" w:cs="Palatino Linotype"/>
          <w:b/>
          <w:sz w:val="22"/>
          <w:szCs w:val="22"/>
        </w:rPr>
        <w:t>0542</w:t>
      </w:r>
      <w:r w:rsidRPr="002927A4">
        <w:rPr>
          <w:rFonts w:ascii="Palatino Linotype" w:eastAsia="Palatino Linotype" w:hAnsi="Palatino Linotype" w:cs="Palatino Linotype"/>
          <w:b/>
          <w:sz w:val="22"/>
          <w:szCs w:val="22"/>
        </w:rPr>
        <w:t>/</w:t>
      </w:r>
      <w:r w:rsidR="00854ADA" w:rsidRPr="002927A4">
        <w:rPr>
          <w:rFonts w:ascii="Palatino Linotype" w:eastAsia="Palatino Linotype" w:hAnsi="Palatino Linotype" w:cs="Palatino Linotype"/>
          <w:b/>
          <w:sz w:val="22"/>
          <w:szCs w:val="22"/>
        </w:rPr>
        <w:t>CALIMAYA</w:t>
      </w:r>
      <w:r w:rsidRPr="002927A4">
        <w:rPr>
          <w:rFonts w:ascii="Palatino Linotype" w:eastAsia="Palatino Linotype" w:hAnsi="Palatino Linotype" w:cs="Palatino Linotype"/>
          <w:b/>
          <w:sz w:val="22"/>
          <w:szCs w:val="22"/>
        </w:rPr>
        <w:t>/IP/2025</w:t>
      </w:r>
    </w:p>
    <w:p w14:paraId="173CF3CD" w14:textId="3EC6AEA8" w:rsidR="00C877F6" w:rsidRPr="002927A4" w:rsidRDefault="00F36565">
      <w:pPr>
        <w:spacing w:line="276" w:lineRule="auto"/>
        <w:ind w:left="567" w:right="843"/>
        <w:jc w:val="both"/>
        <w:rPr>
          <w:rFonts w:ascii="Palatino Linotype" w:eastAsia="Palatino Linotype" w:hAnsi="Palatino Linotype" w:cs="Palatino Linotype"/>
          <w:b/>
          <w:i/>
          <w:sz w:val="22"/>
          <w:szCs w:val="22"/>
        </w:rPr>
      </w:pPr>
      <w:r w:rsidRPr="002927A4">
        <w:rPr>
          <w:rFonts w:ascii="Palatino Linotype" w:eastAsia="Palatino Linotype" w:hAnsi="Palatino Linotype" w:cs="Palatino Linotype"/>
          <w:i/>
          <w:sz w:val="22"/>
          <w:szCs w:val="22"/>
        </w:rPr>
        <w:t>"</w:t>
      </w:r>
      <w:r w:rsidR="00854ADA" w:rsidRPr="002927A4">
        <w:rPr>
          <w:rFonts w:ascii="Palatino Linotype" w:eastAsia="Palatino Linotype" w:hAnsi="Palatino Linotype" w:cs="Palatino Linotype"/>
          <w:i/>
          <w:sz w:val="22"/>
          <w:szCs w:val="22"/>
        </w:rPr>
        <w:t>solicito se me entrege la nomina completa de los trabajadores de ayuntamiento de calimaya, incluida la de seguridad publica y cadetes de seguridad publica de enero de 2025 a septiembre de 2025 asi mismo el estado de situaciòn finanaciera, balanza de comprobaciòn mayor nivel 5 al mes de septiembre del año 2025</w:t>
      </w:r>
      <w:r w:rsidRPr="002927A4">
        <w:rPr>
          <w:rFonts w:ascii="Palatino Linotype" w:eastAsia="Palatino Linotype" w:hAnsi="Palatino Linotype" w:cs="Palatino Linotype"/>
          <w:b/>
          <w:i/>
          <w:sz w:val="22"/>
          <w:szCs w:val="22"/>
        </w:rPr>
        <w:t>” (Sic.)</w:t>
      </w:r>
    </w:p>
    <w:p w14:paraId="1861AE9B" w14:textId="77777777" w:rsidR="00C877F6" w:rsidRPr="002927A4"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2927A4" w:rsidRDefault="00F36565">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Modalidad elegida para la entrega de la información:</w:t>
      </w:r>
      <w:r w:rsidRPr="002927A4">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2927A4" w:rsidRDefault="00C877F6">
      <w:pPr>
        <w:widowControl w:val="0"/>
        <w:spacing w:line="360" w:lineRule="auto"/>
        <w:jc w:val="both"/>
        <w:rPr>
          <w:rFonts w:ascii="Palatino Linotype" w:eastAsia="Palatino Linotype" w:hAnsi="Palatino Linotype" w:cs="Palatino Linotype"/>
          <w:b/>
          <w:sz w:val="22"/>
          <w:szCs w:val="22"/>
        </w:rPr>
      </w:pPr>
    </w:p>
    <w:p w14:paraId="46E266A9" w14:textId="4CAB0D4D" w:rsidR="00C877F6" w:rsidRPr="002927A4" w:rsidRDefault="00F36565">
      <w:pPr>
        <w:widowControl w:val="0"/>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2. Respuesta.</w:t>
      </w:r>
      <w:r w:rsidRPr="002927A4">
        <w:rPr>
          <w:rFonts w:ascii="Palatino Linotype" w:eastAsia="Palatino Linotype" w:hAnsi="Palatino Linotype" w:cs="Palatino Linotype"/>
          <w:sz w:val="22"/>
          <w:szCs w:val="22"/>
        </w:rPr>
        <w:t xml:space="preserve"> El </w:t>
      </w:r>
      <w:r w:rsidR="00854ADA" w:rsidRPr="002927A4">
        <w:rPr>
          <w:rFonts w:ascii="Palatino Linotype" w:eastAsia="Palatino Linotype" w:hAnsi="Palatino Linotype" w:cs="Palatino Linotype"/>
          <w:b/>
          <w:sz w:val="22"/>
          <w:szCs w:val="22"/>
        </w:rPr>
        <w:t>diez</w:t>
      </w:r>
      <w:r w:rsidR="00854ADA"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 xml:space="preserve">de </w:t>
      </w:r>
      <w:r w:rsidR="00854ADA" w:rsidRPr="002927A4">
        <w:rPr>
          <w:rFonts w:ascii="Palatino Linotype" w:eastAsia="Palatino Linotype" w:hAnsi="Palatino Linotype" w:cs="Palatino Linotype"/>
          <w:b/>
          <w:sz w:val="22"/>
          <w:szCs w:val="22"/>
        </w:rPr>
        <w:t>noviembre</w:t>
      </w:r>
      <w:r w:rsidR="009456FA" w:rsidRPr="002927A4">
        <w:rPr>
          <w:rFonts w:ascii="Palatino Linotype" w:eastAsia="Palatino Linotype" w:hAnsi="Palatino Linotype" w:cs="Palatino Linotype"/>
          <w:b/>
          <w:sz w:val="22"/>
          <w:szCs w:val="22"/>
        </w:rPr>
        <w:t xml:space="preserve"> </w:t>
      </w:r>
      <w:r w:rsidRPr="002927A4">
        <w:rPr>
          <w:rFonts w:ascii="Palatino Linotype" w:eastAsia="Palatino Linotype" w:hAnsi="Palatino Linotype" w:cs="Palatino Linotype"/>
          <w:b/>
          <w:sz w:val="22"/>
          <w:szCs w:val="22"/>
        </w:rPr>
        <w:t>de dos mil veinticinco</w:t>
      </w:r>
      <w:r w:rsidRPr="002927A4">
        <w:rPr>
          <w:rFonts w:ascii="Palatino Linotype" w:eastAsia="Palatino Linotype" w:hAnsi="Palatino Linotype" w:cs="Palatino Linotype"/>
          <w:sz w:val="22"/>
          <w:szCs w:val="22"/>
        </w:rPr>
        <w:t xml:space="preserve">, el Sujeto Obligado dio respuesta </w:t>
      </w:r>
      <w:r w:rsidRPr="002927A4">
        <w:rPr>
          <w:rFonts w:ascii="Palatino Linotype" w:eastAsia="Palatino Linotype" w:hAnsi="Palatino Linotype" w:cs="Palatino Linotype"/>
          <w:sz w:val="22"/>
          <w:szCs w:val="22"/>
        </w:rPr>
        <w:lastRenderedPageBreak/>
        <w:t>a la solicitud en los siguientes términos:</w:t>
      </w:r>
    </w:p>
    <w:p w14:paraId="7689408D" w14:textId="77777777" w:rsidR="00C877F6" w:rsidRPr="002927A4" w:rsidRDefault="00C877F6">
      <w:pPr>
        <w:widowControl w:val="0"/>
        <w:spacing w:line="360" w:lineRule="auto"/>
        <w:jc w:val="both"/>
        <w:rPr>
          <w:rFonts w:ascii="Palatino Linotype" w:eastAsia="Palatino Linotype" w:hAnsi="Palatino Linotype" w:cs="Palatino Linotype"/>
          <w:sz w:val="22"/>
          <w:szCs w:val="22"/>
        </w:rPr>
      </w:pPr>
    </w:p>
    <w:p w14:paraId="0691A8A0" w14:textId="77777777" w:rsidR="00854ADA" w:rsidRPr="002927A4" w:rsidRDefault="00F36565" w:rsidP="00854ADA">
      <w:pPr>
        <w:widowControl w:val="0"/>
        <w:spacing w:line="360" w:lineRule="auto"/>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00854ADA" w:rsidRPr="002927A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FEBA40" w14:textId="3FE69546" w:rsidR="00854ADA" w:rsidRPr="002927A4" w:rsidRDefault="00854ADA" w:rsidP="00854ADA">
      <w:pPr>
        <w:widowControl w:val="0"/>
        <w:spacing w:line="360" w:lineRule="auto"/>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ESTIMADO </w:t>
      </w:r>
      <w:r w:rsidR="001160BA">
        <w:rPr>
          <w:rFonts w:ascii="Palatino Linotype" w:eastAsia="Palatino Linotype" w:hAnsi="Palatino Linotype" w:cs="Palatino Linotype"/>
          <w:i/>
          <w:sz w:val="22"/>
          <w:szCs w:val="22"/>
        </w:rPr>
        <w:t>XXXXXXXXXXX</w:t>
      </w:r>
      <w:bookmarkStart w:id="1" w:name="_GoBack"/>
      <w:bookmarkEnd w:id="1"/>
      <w:r w:rsidRPr="002927A4">
        <w:rPr>
          <w:rFonts w:ascii="Palatino Linotype" w:eastAsia="Palatino Linotype" w:hAnsi="Palatino Linotype" w:cs="Palatino Linotype"/>
          <w:i/>
          <w:sz w:val="22"/>
          <w:szCs w:val="22"/>
        </w:rPr>
        <w:t xml:space="preserve">: EN ATENCIÓN A SU SOLICITUD DE INFORMACIÓN CON NÚMERO DE FOLIO 00542/CALIMAYA/IP/2025 POR ESTE MEDIO ME PERMITO HACER DE SU CONOCIMIENTO QUE SU SOLICITUD FUE TURNADA AL SERVIDOR PÚBLICO HABILITADO QUE A CONTINUACIÓN SE ENLISTA, QUIEN EMITIÓ LA SIGUIENTE RESPUESTA Y DOCUMENTOS ADJUNTOS QUE SE ENTREGAN A TRAVÉS DEL SAIMEX, DE CONFORMIDAD A LO ESTABLECIDO EN LOS ARTÍCULOS 53 FRACCIÓN II Y IV, 59, 158, 159, 161, 162 Y 163 DE LA LEY DE TRANSPARENCIA Y ACCESO A LA INFORMACIÓN PÚBLICA DEL ESTADO DE MÉXICO Y MUNICIPIOS: “SE HACE DEL CONOCIMIENTO DEL SOLICITANTE QUE MEDIANTE EL OFICIO NÚMERO PMC/TM/0808/2025 (TESORERÍA MUNICIPAL), SE DIO RESPUESTA A LA SOLICITUD CON NÚMERO DE FOLIO 00542/CALIMAYA/IP/2025, SE ADJUNTAN EL OFICIO DE RESPUESTA, CON SUS ANEXOS PARA MAYOR REFERENCIA.” ADICIONALMENTE, CON FUNDAMENTO EN EL ARTÍCULO 132 FRACCIONES I Y III DE LA LEY DE TRANSPARENCIA Y ACCESO A LA INFORMACIÓN PÚBLICA DEL ESTADO DE MÉXICO Y MUNICIPIOS, SE ANEXA EL ACTA DE LA DÉCIMA PRIMERA SESIÓN ORDINARIA DEL COMITÉ DE TRANSPARENCIA, LA CUAL CONTIENE EL ACUERDO DE CLASIFICACIÓN CALIMAYA/CT/11ORD/0075/2025, QUE MANTIENE EL </w:t>
      </w:r>
      <w:r w:rsidRPr="002927A4">
        <w:rPr>
          <w:rFonts w:ascii="Palatino Linotype" w:eastAsia="Palatino Linotype" w:hAnsi="Palatino Linotype" w:cs="Palatino Linotype"/>
          <w:i/>
          <w:sz w:val="22"/>
          <w:szCs w:val="22"/>
        </w:rPr>
        <w:lastRenderedPageBreak/>
        <w:t>EXPEDIENTE CLASIFICADO PARA SU ENTREGA EN VERSIÓN PÚBLICA, MISMO QUE ABRÁ DE DAR RESPUESTA A SU SOLICITUD DE INFORMACIÓN PÚBLICA. SIN OTRO ASUNTO, DEJANDO A SALVO SUS PRERROGATIVAS DE INCONFORMIDAD ESTABLECIDAS EN EL TÍTULO OCTAVO DE LA LEY DE TRANSPARENCIA Y ACCESO A LA INFORMACIÓN PÚBLICA DEL ESTADO DE MÉXICO Y MUNICIPIOS, INFORMANDO QUE CUENTA, EN SU CASO, CON 15 DÍAS PARA PROMOVERLA, QUEDO DE USTED.</w:t>
      </w:r>
    </w:p>
    <w:p w14:paraId="733BDE99" w14:textId="77777777" w:rsidR="00854ADA" w:rsidRPr="002927A4" w:rsidRDefault="00854ADA" w:rsidP="00854ADA">
      <w:pPr>
        <w:widowControl w:val="0"/>
        <w:spacing w:line="360" w:lineRule="auto"/>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ATENTAMENTE</w:t>
      </w:r>
    </w:p>
    <w:p w14:paraId="7858BA1C" w14:textId="5AD77A02" w:rsidR="00C877F6" w:rsidRPr="002927A4" w:rsidRDefault="00854ADA" w:rsidP="00854ADA">
      <w:pPr>
        <w:widowControl w:val="0"/>
        <w:spacing w:line="360" w:lineRule="auto"/>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Mtra. Mari Toña Olmedo Carmona</w:t>
      </w:r>
      <w:r w:rsidR="00287278" w:rsidRPr="002927A4">
        <w:rPr>
          <w:rFonts w:ascii="Palatino Linotype" w:eastAsia="Palatino Linotype" w:hAnsi="Palatino Linotype" w:cs="Palatino Linotype"/>
          <w:i/>
          <w:sz w:val="22"/>
          <w:szCs w:val="22"/>
        </w:rPr>
        <w:t>”</w:t>
      </w:r>
    </w:p>
    <w:p w14:paraId="7C751FDF" w14:textId="77777777" w:rsidR="009456FA" w:rsidRPr="002927A4"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369D8218" w14:textId="77777777" w:rsidR="00D42C47" w:rsidRPr="002927A4" w:rsidRDefault="00F36565">
      <w:pPr>
        <w:widowControl w:val="0"/>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El Sujeto Obligado adjunt</w:t>
      </w:r>
      <w:r w:rsidR="000D6BF4" w:rsidRPr="002927A4">
        <w:rPr>
          <w:rFonts w:ascii="Palatino Linotype" w:eastAsia="Palatino Linotype" w:hAnsi="Palatino Linotype" w:cs="Palatino Linotype"/>
          <w:sz w:val="22"/>
          <w:szCs w:val="22"/>
        </w:rPr>
        <w:t xml:space="preserve">ó </w:t>
      </w:r>
      <w:r w:rsidR="00D42C47" w:rsidRPr="002927A4">
        <w:rPr>
          <w:rFonts w:ascii="Palatino Linotype" w:eastAsia="Palatino Linotype" w:hAnsi="Palatino Linotype" w:cs="Palatino Linotype"/>
          <w:sz w:val="22"/>
          <w:szCs w:val="22"/>
        </w:rPr>
        <w:t>los documentos electrónicos siguientes:</w:t>
      </w:r>
    </w:p>
    <w:p w14:paraId="05AA89CB" w14:textId="77777777" w:rsidR="00D42C47" w:rsidRPr="002927A4" w:rsidRDefault="00D42C47">
      <w:pPr>
        <w:widowControl w:val="0"/>
        <w:spacing w:line="360" w:lineRule="auto"/>
        <w:jc w:val="both"/>
        <w:rPr>
          <w:rFonts w:ascii="Palatino Linotype" w:eastAsia="Palatino Linotype" w:hAnsi="Palatino Linotype" w:cs="Palatino Linotype"/>
          <w:sz w:val="22"/>
          <w:szCs w:val="22"/>
        </w:rPr>
      </w:pPr>
    </w:p>
    <w:p w14:paraId="29DB4285" w14:textId="77777777" w:rsidR="00854ADA" w:rsidRPr="002927A4" w:rsidRDefault="00854ADA" w:rsidP="00854ADA">
      <w:pPr>
        <w:pStyle w:val="Prrafodelista"/>
        <w:widowControl w:val="0"/>
        <w:numPr>
          <w:ilvl w:val="0"/>
          <w:numId w:val="5"/>
        </w:num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542.pdf: </w:t>
      </w:r>
      <w:r w:rsidRPr="002927A4">
        <w:rPr>
          <w:rFonts w:ascii="Palatino Linotype" w:eastAsia="Palatino Linotype" w:hAnsi="Palatino Linotype" w:cs="Palatino Linotype"/>
          <w:sz w:val="22"/>
          <w:szCs w:val="22"/>
        </w:rPr>
        <w:t>Documento suscrito por el Tesorero Municipal mediante el cual remite la siguiente información:</w:t>
      </w:r>
    </w:p>
    <w:p w14:paraId="20AD5A88" w14:textId="77777777" w:rsidR="00854ADA" w:rsidRPr="002927A4" w:rsidRDefault="00854ADA" w:rsidP="00854ADA">
      <w:pPr>
        <w:pStyle w:val="Prrafodelista"/>
        <w:widowControl w:val="0"/>
        <w:numPr>
          <w:ilvl w:val="0"/>
          <w:numId w:val="11"/>
        </w:numPr>
        <w:spacing w:line="360" w:lineRule="auto"/>
        <w:ind w:left="9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Los recibos de nómina de los integrantes del Cabildo; </w:t>
      </w:r>
    </w:p>
    <w:p w14:paraId="1E11782F" w14:textId="77777777" w:rsidR="00854ADA" w:rsidRPr="002927A4" w:rsidRDefault="00854ADA" w:rsidP="00854ADA">
      <w:pPr>
        <w:pStyle w:val="Prrafodelista"/>
        <w:widowControl w:val="0"/>
        <w:numPr>
          <w:ilvl w:val="0"/>
          <w:numId w:val="11"/>
        </w:numPr>
        <w:spacing w:line="360" w:lineRule="auto"/>
        <w:ind w:left="9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Recibo del Director de Seguridad Pública;</w:t>
      </w:r>
    </w:p>
    <w:p w14:paraId="183410B2" w14:textId="7822767A" w:rsidR="00854ADA" w:rsidRPr="002927A4" w:rsidRDefault="00854ADA" w:rsidP="00854ADA">
      <w:pPr>
        <w:pStyle w:val="Prrafodelista"/>
        <w:widowControl w:val="0"/>
        <w:numPr>
          <w:ilvl w:val="0"/>
          <w:numId w:val="11"/>
        </w:numPr>
        <w:spacing w:line="360" w:lineRule="auto"/>
        <w:ind w:left="9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No se cuenta con cadetes de seguri</w:t>
      </w:r>
      <w:r w:rsidR="00381CAC" w:rsidRPr="002927A4">
        <w:rPr>
          <w:rFonts w:ascii="Palatino Linotype" w:eastAsia="Palatino Linotype" w:hAnsi="Palatino Linotype" w:cs="Palatino Linotype"/>
          <w:sz w:val="22"/>
          <w:szCs w:val="22"/>
        </w:rPr>
        <w:t>dad;</w:t>
      </w:r>
    </w:p>
    <w:p w14:paraId="7F967D22" w14:textId="69ADE52A" w:rsidR="00854ADA" w:rsidRPr="002927A4" w:rsidRDefault="00854ADA" w:rsidP="00854ADA">
      <w:pPr>
        <w:pStyle w:val="Prrafodelista"/>
        <w:widowControl w:val="0"/>
        <w:numPr>
          <w:ilvl w:val="0"/>
          <w:numId w:val="11"/>
        </w:numPr>
        <w:spacing w:line="360" w:lineRule="auto"/>
        <w:ind w:left="9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Entregó una dirección electrónica </w:t>
      </w:r>
      <w:r w:rsidR="00381CAC" w:rsidRPr="002927A4">
        <w:rPr>
          <w:rFonts w:ascii="Palatino Linotype" w:eastAsia="Palatino Linotype" w:hAnsi="Palatino Linotype" w:cs="Palatino Linotype"/>
          <w:sz w:val="22"/>
          <w:szCs w:val="22"/>
        </w:rPr>
        <w:t>donde se localiza el estado de situación financiera del mes de septiembre de dos mil veinticinco;</w:t>
      </w:r>
    </w:p>
    <w:p w14:paraId="4F3D690E" w14:textId="0243214E" w:rsidR="00381CAC" w:rsidRPr="002927A4" w:rsidRDefault="00381CAC" w:rsidP="00854ADA">
      <w:pPr>
        <w:pStyle w:val="Prrafodelista"/>
        <w:widowControl w:val="0"/>
        <w:numPr>
          <w:ilvl w:val="0"/>
          <w:numId w:val="11"/>
        </w:numPr>
        <w:spacing w:line="360" w:lineRule="auto"/>
        <w:ind w:left="9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Se anexa la balanza de comprobación a nivel 5.</w:t>
      </w:r>
    </w:p>
    <w:p w14:paraId="207132B1" w14:textId="05BC7534" w:rsidR="00854ADA" w:rsidRPr="002927A4" w:rsidRDefault="00854ADA" w:rsidP="00854ADA">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542.5.pdf</w:t>
      </w:r>
      <w:r w:rsidR="00381CAC" w:rsidRPr="002927A4">
        <w:rPr>
          <w:rFonts w:ascii="Palatino Linotype" w:eastAsia="Palatino Linotype" w:hAnsi="Palatino Linotype" w:cs="Palatino Linotype"/>
          <w:b/>
          <w:sz w:val="22"/>
          <w:szCs w:val="22"/>
        </w:rPr>
        <w:t xml:space="preserve">: </w:t>
      </w:r>
      <w:r w:rsidR="00381CAC" w:rsidRPr="002927A4">
        <w:rPr>
          <w:rFonts w:ascii="Palatino Linotype" w:eastAsia="Palatino Linotype" w:hAnsi="Palatino Linotype" w:cs="Palatino Linotype"/>
          <w:sz w:val="22"/>
          <w:szCs w:val="22"/>
        </w:rPr>
        <w:t>Balanza de comprobación al treinta de septiembre de dos mil veinticinco.</w:t>
      </w:r>
    </w:p>
    <w:p w14:paraId="423DCAAA" w14:textId="737C6EFC" w:rsidR="00854ADA" w:rsidRPr="002927A4" w:rsidRDefault="00854ADA" w:rsidP="00854ADA">
      <w:pPr>
        <w:pStyle w:val="Prrafodelista"/>
        <w:widowControl w:val="0"/>
        <w:numPr>
          <w:ilvl w:val="0"/>
          <w:numId w:val="5"/>
        </w:numPr>
        <w:spacing w:line="360" w:lineRule="auto"/>
        <w:jc w:val="both"/>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ACTA DE LA DÉCIMA PRIMERA SESIÓN ORDINARIA DEL COMITÉ DE TRANSPARENCIA.pdf</w:t>
      </w:r>
      <w:r w:rsidR="00381CAC" w:rsidRPr="002927A4">
        <w:rPr>
          <w:rFonts w:ascii="Palatino Linotype" w:eastAsia="Palatino Linotype" w:hAnsi="Palatino Linotype" w:cs="Palatino Linotype"/>
          <w:b/>
          <w:sz w:val="22"/>
          <w:szCs w:val="22"/>
        </w:rPr>
        <w:t xml:space="preserve">: </w:t>
      </w:r>
      <w:r w:rsidR="00381CAC" w:rsidRPr="002927A4">
        <w:rPr>
          <w:rFonts w:ascii="Palatino Linotype" w:eastAsia="Palatino Linotype" w:hAnsi="Palatino Linotype" w:cs="Palatino Linotype"/>
          <w:sz w:val="22"/>
          <w:szCs w:val="22"/>
        </w:rPr>
        <w:t>Acta de la décima primera sesión ordinaria del Comité de Transparencia mediante el cual se sustentan las versiones públicas proporcionadas en respuesta.</w:t>
      </w:r>
    </w:p>
    <w:p w14:paraId="73557A01" w14:textId="77777777" w:rsidR="00D42C47" w:rsidRPr="002927A4" w:rsidRDefault="00D42C47">
      <w:pPr>
        <w:widowControl w:val="0"/>
        <w:spacing w:line="360" w:lineRule="auto"/>
        <w:jc w:val="both"/>
        <w:rPr>
          <w:rFonts w:ascii="Palatino Linotype" w:eastAsia="Palatino Linotype" w:hAnsi="Palatino Linotype" w:cs="Palatino Linotype"/>
          <w:sz w:val="22"/>
          <w:szCs w:val="22"/>
        </w:rPr>
      </w:pPr>
    </w:p>
    <w:p w14:paraId="4DA0D391" w14:textId="65ECDEE0"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3. Del Recurso de Revisión. </w:t>
      </w:r>
      <w:r w:rsidRPr="002927A4">
        <w:rPr>
          <w:rFonts w:ascii="Palatino Linotype" w:eastAsia="Palatino Linotype" w:hAnsi="Palatino Linotype" w:cs="Palatino Linotype"/>
          <w:sz w:val="22"/>
          <w:szCs w:val="22"/>
        </w:rPr>
        <w:t>Inconforme con la respuesta del</w:t>
      </w:r>
      <w:r w:rsidRPr="002927A4">
        <w:rPr>
          <w:rFonts w:ascii="Palatino Linotype" w:eastAsia="Palatino Linotype" w:hAnsi="Palatino Linotype" w:cs="Palatino Linotype"/>
          <w:b/>
          <w:sz w:val="22"/>
          <w:szCs w:val="22"/>
        </w:rPr>
        <w:t xml:space="preserve"> SUJETO OBLIGADO, </w:t>
      </w:r>
      <w:r w:rsidRPr="002927A4">
        <w:rPr>
          <w:rFonts w:ascii="Palatino Linotype" w:eastAsia="Palatino Linotype" w:hAnsi="Palatino Linotype" w:cs="Palatino Linotype"/>
          <w:sz w:val="22"/>
          <w:szCs w:val="22"/>
        </w:rPr>
        <w:t xml:space="preserve">el </w:t>
      </w:r>
      <w:r w:rsidR="00381CAC" w:rsidRPr="002927A4">
        <w:rPr>
          <w:rFonts w:ascii="Palatino Linotype" w:eastAsia="Palatino Linotype" w:hAnsi="Palatino Linotype" w:cs="Palatino Linotype"/>
          <w:b/>
          <w:sz w:val="22"/>
          <w:szCs w:val="22"/>
        </w:rPr>
        <w:t>dieciocho</w:t>
      </w:r>
      <w:r w:rsidR="00507CDE"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sz w:val="22"/>
          <w:szCs w:val="22"/>
        </w:rPr>
        <w:t>d</w:t>
      </w:r>
      <w:r w:rsidRPr="002927A4">
        <w:rPr>
          <w:rFonts w:ascii="Palatino Linotype" w:eastAsia="Palatino Linotype" w:hAnsi="Palatino Linotype" w:cs="Palatino Linotype"/>
          <w:b/>
          <w:sz w:val="22"/>
          <w:szCs w:val="22"/>
        </w:rPr>
        <w:t xml:space="preserve">e </w:t>
      </w:r>
      <w:r w:rsidR="00381CAC" w:rsidRPr="002927A4">
        <w:rPr>
          <w:rFonts w:ascii="Palatino Linotype" w:eastAsia="Palatino Linotype" w:hAnsi="Palatino Linotype" w:cs="Palatino Linotype"/>
          <w:b/>
          <w:sz w:val="22"/>
          <w:szCs w:val="22"/>
        </w:rPr>
        <w:t>noviembre</w:t>
      </w:r>
      <w:r w:rsidRPr="002927A4">
        <w:rPr>
          <w:rFonts w:ascii="Palatino Linotype" w:eastAsia="Palatino Linotype" w:hAnsi="Palatino Linotype" w:cs="Palatino Linotype"/>
          <w:b/>
          <w:sz w:val="22"/>
          <w:szCs w:val="22"/>
        </w:rPr>
        <w:t xml:space="preserve"> de dos mil veinticinco, LA PARTE RECURRENTE </w:t>
      </w:r>
      <w:r w:rsidRPr="002927A4">
        <w:rPr>
          <w:rFonts w:ascii="Palatino Linotype" w:eastAsia="Palatino Linotype" w:hAnsi="Palatino Linotype" w:cs="Palatino Linotype"/>
          <w:sz w:val="22"/>
          <w:szCs w:val="22"/>
        </w:rPr>
        <w:t xml:space="preserve">interpuso el recurso de revisión, mediante el cual y manifestó lo siguiente: </w:t>
      </w:r>
    </w:p>
    <w:p w14:paraId="36671519" w14:textId="3733F6CB" w:rsidR="00C877F6" w:rsidRPr="002927A4" w:rsidRDefault="00F36565" w:rsidP="00381CAC">
      <w:pPr>
        <w:pStyle w:val="Listaconvietas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Acto Impugnado:</w:t>
      </w:r>
      <w:r w:rsidRPr="002927A4">
        <w:rPr>
          <w:rFonts w:ascii="Palatino Linotype" w:eastAsia="Palatino Linotype" w:hAnsi="Palatino Linotype" w:cs="Palatino Linotype"/>
          <w:i/>
          <w:sz w:val="22"/>
          <w:szCs w:val="22"/>
        </w:rPr>
        <w:t xml:space="preserve"> “</w:t>
      </w:r>
      <w:r w:rsidR="00381CAC" w:rsidRPr="002927A4">
        <w:rPr>
          <w:rFonts w:ascii="Palatino Linotype" w:eastAsia="Palatino Linotype" w:hAnsi="Palatino Linotype" w:cs="Palatino Linotype"/>
          <w:i/>
          <w:sz w:val="22"/>
          <w:szCs w:val="22"/>
        </w:rPr>
        <w:t>La negativa de entrega de información publica como lo es la nómina de trabajadores de este municipio ya que es un documento público eliminado los puntos que pudieran ser violatoria a los principios de publicidad</w:t>
      </w:r>
      <w:r w:rsidRPr="002927A4">
        <w:rPr>
          <w:rFonts w:ascii="Palatino Linotype" w:eastAsia="Palatino Linotype" w:hAnsi="Palatino Linotype" w:cs="Palatino Linotype"/>
          <w:i/>
          <w:sz w:val="22"/>
          <w:szCs w:val="22"/>
        </w:rPr>
        <w:t>” (Sic.)</w:t>
      </w:r>
    </w:p>
    <w:p w14:paraId="2BA13102" w14:textId="77777777" w:rsidR="00C877F6" w:rsidRPr="002927A4" w:rsidRDefault="00C877F6" w:rsidP="00381CAC">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4BCF571E" w:rsidR="00C877F6" w:rsidRPr="002927A4" w:rsidRDefault="00F36565" w:rsidP="00381CAC">
      <w:pPr>
        <w:pStyle w:val="Listaconvietas3"/>
        <w:jc w:val="both"/>
        <w:rPr>
          <w:rFonts w:ascii="Palatino Linotype" w:eastAsia="Palatino Linotype" w:hAnsi="Palatino Linotype"/>
          <w:sz w:val="22"/>
          <w:szCs w:val="22"/>
        </w:rPr>
      </w:pPr>
      <w:r w:rsidRPr="002927A4">
        <w:rPr>
          <w:rFonts w:ascii="Palatino Linotype" w:eastAsia="Palatino Linotype" w:hAnsi="Palatino Linotype"/>
          <w:b/>
          <w:sz w:val="22"/>
          <w:szCs w:val="22"/>
        </w:rPr>
        <w:t>Motivo de inconformidad:</w:t>
      </w:r>
      <w:r w:rsidRPr="002927A4">
        <w:rPr>
          <w:rFonts w:ascii="Palatino Linotype" w:eastAsia="Palatino Linotype" w:hAnsi="Palatino Linotype"/>
          <w:sz w:val="22"/>
          <w:szCs w:val="22"/>
        </w:rPr>
        <w:t xml:space="preserve"> “</w:t>
      </w:r>
      <w:r w:rsidR="00381CAC" w:rsidRPr="002927A4">
        <w:rPr>
          <w:rFonts w:ascii="Palatino Linotype" w:eastAsia="Palatino Linotype" w:hAnsi="Palatino Linotype" w:cs="Palatino Linotype"/>
          <w:i/>
          <w:sz w:val="22"/>
          <w:szCs w:val="22"/>
        </w:rPr>
        <w:t>La negativa de entrega de información publica como lo es la nómina de trabajadores de este municipio ya que tratan de desvirtuar la publicidad de la información creando una acta de comité interno de transparencia en donde hacen una determinación sobre estos documentos señalando los como confidenciales siendo que estos son totalmente públicos así mismo no son cargados a las plataformas correspondientes donde uno como ciudadano puede verificar la.ammera del manejo del recurso público generando con esto una clara violación a las normas de transparencia que rigen este organismo</w:t>
      </w:r>
      <w:r w:rsidRPr="002927A4">
        <w:rPr>
          <w:rFonts w:ascii="Palatino Linotype" w:eastAsia="Palatino Linotype" w:hAnsi="Palatino Linotype"/>
          <w:sz w:val="22"/>
          <w:szCs w:val="22"/>
        </w:rPr>
        <w:t>” (Sic.)</w:t>
      </w:r>
    </w:p>
    <w:p w14:paraId="5FFC28A4" w14:textId="77777777" w:rsidR="00422637" w:rsidRPr="002927A4"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2927A4"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00B4E0E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4. Turno. </w:t>
      </w:r>
      <w:r w:rsidRPr="002927A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854ADA" w:rsidRPr="002927A4">
        <w:rPr>
          <w:rFonts w:ascii="Palatino Linotype" w:eastAsia="Palatino Linotype" w:hAnsi="Palatino Linotype" w:cs="Palatino Linotype"/>
          <w:b/>
          <w:sz w:val="22"/>
          <w:szCs w:val="22"/>
        </w:rPr>
        <w:t>13114/INFOEM/IP/RR/2025</w:t>
      </w:r>
      <w:r w:rsidRPr="002927A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2927A4">
        <w:rPr>
          <w:rFonts w:ascii="Palatino Linotype" w:eastAsia="Palatino Linotype" w:hAnsi="Palatino Linotype" w:cs="Palatino Linotype"/>
          <w:b/>
          <w:sz w:val="22"/>
          <w:szCs w:val="22"/>
        </w:rPr>
        <w:t>Guadalupe Ramírez Peña</w:t>
      </w:r>
      <w:r w:rsidRPr="002927A4">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4B06CA9F" w14:textId="20E52C4A" w:rsidR="00C877F6" w:rsidRPr="002927A4" w:rsidRDefault="00F36565">
      <w:pPr>
        <w:spacing w:line="360" w:lineRule="auto"/>
        <w:jc w:val="both"/>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 xml:space="preserve">5. Admisión. </w:t>
      </w:r>
      <w:r w:rsidRPr="002927A4">
        <w:rPr>
          <w:rFonts w:ascii="Palatino Linotype" w:eastAsia="Palatino Linotype" w:hAnsi="Palatino Linotype" w:cs="Palatino Linotype"/>
          <w:sz w:val="22"/>
          <w:szCs w:val="22"/>
        </w:rPr>
        <w:t xml:space="preserve">El </w:t>
      </w:r>
      <w:r w:rsidR="000F3A18" w:rsidRPr="002927A4">
        <w:rPr>
          <w:rFonts w:ascii="Palatino Linotype" w:eastAsia="Palatino Linotype" w:hAnsi="Palatino Linotype" w:cs="Palatino Linotype"/>
          <w:b/>
          <w:sz w:val="22"/>
          <w:szCs w:val="22"/>
        </w:rPr>
        <w:t>veint</w:t>
      </w:r>
      <w:r w:rsidR="00CA0CC9" w:rsidRPr="002927A4">
        <w:rPr>
          <w:rFonts w:ascii="Palatino Linotype" w:eastAsia="Palatino Linotype" w:hAnsi="Palatino Linotype" w:cs="Palatino Linotype"/>
          <w:b/>
          <w:sz w:val="22"/>
          <w:szCs w:val="22"/>
        </w:rPr>
        <w:t>i</w:t>
      </w:r>
      <w:r w:rsidR="00381CAC" w:rsidRPr="002927A4">
        <w:rPr>
          <w:rFonts w:ascii="Palatino Linotype" w:eastAsia="Palatino Linotype" w:hAnsi="Palatino Linotype" w:cs="Palatino Linotype"/>
          <w:b/>
          <w:sz w:val="22"/>
          <w:szCs w:val="22"/>
        </w:rPr>
        <w:t>uno</w:t>
      </w:r>
      <w:r w:rsidR="005A4875" w:rsidRPr="002927A4">
        <w:rPr>
          <w:rFonts w:ascii="Palatino Linotype" w:eastAsia="Palatino Linotype" w:hAnsi="Palatino Linotype" w:cs="Palatino Linotype"/>
          <w:b/>
          <w:sz w:val="22"/>
          <w:szCs w:val="22"/>
        </w:rPr>
        <w:t xml:space="preserve"> de </w:t>
      </w:r>
      <w:r w:rsidR="00381CAC" w:rsidRPr="002927A4">
        <w:rPr>
          <w:rFonts w:ascii="Palatino Linotype" w:eastAsia="Palatino Linotype" w:hAnsi="Palatino Linotype" w:cs="Palatino Linotype"/>
          <w:b/>
          <w:sz w:val="22"/>
          <w:szCs w:val="22"/>
        </w:rPr>
        <w:t>noviembre</w:t>
      </w:r>
      <w:r w:rsidRPr="002927A4">
        <w:rPr>
          <w:rFonts w:ascii="Palatino Linotype" w:eastAsia="Palatino Linotype" w:hAnsi="Palatino Linotype" w:cs="Palatino Linotype"/>
          <w:b/>
          <w:sz w:val="22"/>
          <w:szCs w:val="22"/>
        </w:rPr>
        <w:t xml:space="preserve"> de dos mil veinticinco</w:t>
      </w:r>
      <w:r w:rsidRPr="002927A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2927A4">
        <w:rPr>
          <w:rFonts w:ascii="Palatino Linotype" w:eastAsia="Palatino Linotype" w:hAnsi="Palatino Linotype" w:cs="Palatino Linotype"/>
          <w:b/>
          <w:sz w:val="22"/>
          <w:szCs w:val="22"/>
        </w:rPr>
        <w:t>.</w:t>
      </w:r>
      <w:r w:rsidR="005A668A" w:rsidRPr="002927A4">
        <w:rPr>
          <w:rFonts w:ascii="Palatino Linotype" w:eastAsia="Palatino Linotype" w:hAnsi="Palatino Linotype" w:cs="Palatino Linotype"/>
          <w:b/>
          <w:sz w:val="22"/>
          <w:szCs w:val="22"/>
        </w:rPr>
        <w:t xml:space="preserve"> </w:t>
      </w:r>
    </w:p>
    <w:p w14:paraId="5E981DE9" w14:textId="77777777" w:rsidR="00C877F6" w:rsidRPr="002927A4" w:rsidRDefault="00C877F6">
      <w:pPr>
        <w:spacing w:line="360" w:lineRule="auto"/>
        <w:jc w:val="both"/>
        <w:rPr>
          <w:rFonts w:ascii="Palatino Linotype" w:eastAsia="Palatino Linotype" w:hAnsi="Palatino Linotype" w:cs="Palatino Linotype"/>
          <w:b/>
          <w:sz w:val="22"/>
          <w:szCs w:val="22"/>
        </w:rPr>
      </w:pPr>
    </w:p>
    <w:p w14:paraId="77FD2CA7" w14:textId="77777777" w:rsidR="00381CAC"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6. Manifestaciones.</w:t>
      </w:r>
      <w:r w:rsidRPr="002927A4">
        <w:rPr>
          <w:rFonts w:ascii="Palatino Linotype" w:eastAsia="Palatino Linotype" w:hAnsi="Palatino Linotype" w:cs="Palatino Linotype"/>
          <w:sz w:val="22"/>
          <w:szCs w:val="22"/>
        </w:rPr>
        <w:t xml:space="preserve"> De las constancias que obran en el expediente electrónico del SAIMEX, se advierte que </w:t>
      </w:r>
      <w:r w:rsidR="00381CAC" w:rsidRPr="002927A4">
        <w:rPr>
          <w:rFonts w:ascii="Palatino Linotype" w:eastAsia="Palatino Linotype" w:hAnsi="Palatino Linotype" w:cs="Palatino Linotype"/>
          <w:sz w:val="22"/>
          <w:szCs w:val="22"/>
        </w:rPr>
        <w:t>tanto el S</w:t>
      </w:r>
      <w:r w:rsidRPr="002927A4">
        <w:rPr>
          <w:rFonts w:ascii="Palatino Linotype" w:eastAsia="Palatino Linotype" w:hAnsi="Palatino Linotype" w:cs="Palatino Linotype"/>
          <w:sz w:val="22"/>
          <w:szCs w:val="22"/>
        </w:rPr>
        <w:t xml:space="preserve">ujeto Obligado </w:t>
      </w:r>
      <w:r w:rsidR="00381CAC" w:rsidRPr="002927A4">
        <w:rPr>
          <w:rFonts w:ascii="Palatino Linotype" w:eastAsia="Palatino Linotype" w:hAnsi="Palatino Linotype" w:cs="Palatino Linotype"/>
          <w:sz w:val="22"/>
          <w:szCs w:val="22"/>
        </w:rPr>
        <w:t>como el Recurrente fueron omisos en realizar manifestaciones; se inserta imagen de referencia:</w:t>
      </w:r>
    </w:p>
    <w:p w14:paraId="414ED58B" w14:textId="04CC5E65" w:rsidR="00381CAC" w:rsidRPr="002927A4" w:rsidRDefault="00381CAC">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noProof/>
          <w:sz w:val="22"/>
          <w:szCs w:val="22"/>
        </w:rPr>
        <w:drawing>
          <wp:inline distT="0" distB="0" distL="0" distR="0" wp14:anchorId="2F4DE9E3" wp14:editId="710734C4">
            <wp:extent cx="5756275" cy="1680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1680845"/>
                    </a:xfrm>
                    <a:prstGeom prst="rect">
                      <a:avLst/>
                    </a:prstGeom>
                  </pic:spPr>
                </pic:pic>
              </a:graphicData>
            </a:graphic>
          </wp:inline>
        </w:drawing>
      </w:r>
    </w:p>
    <w:p w14:paraId="16288D25" w14:textId="2A7B7B30" w:rsidR="008360A2" w:rsidRPr="002927A4" w:rsidRDefault="008360A2" w:rsidP="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7. Ampliación de plazo. El </w:t>
      </w:r>
      <w:r w:rsidR="00381CAC" w:rsidRPr="002927A4">
        <w:rPr>
          <w:rFonts w:ascii="Palatino Linotype" w:eastAsia="Palatino Linotype" w:hAnsi="Palatino Linotype" w:cs="Palatino Linotype"/>
          <w:b/>
          <w:sz w:val="22"/>
          <w:szCs w:val="22"/>
        </w:rPr>
        <w:t xml:space="preserve">nueve </w:t>
      </w:r>
      <w:r w:rsidRPr="002927A4">
        <w:rPr>
          <w:rFonts w:ascii="Palatino Linotype" w:eastAsia="Palatino Linotype" w:hAnsi="Palatino Linotype" w:cs="Palatino Linotype"/>
          <w:b/>
          <w:sz w:val="22"/>
          <w:szCs w:val="22"/>
        </w:rPr>
        <w:t>de febrero de dos mil veintiséis</w:t>
      </w:r>
      <w:r w:rsidRPr="002927A4">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292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Complejidad del Asunto:</w:t>
      </w:r>
      <w:r w:rsidRPr="002927A4">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292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Actividad Procesal del interesado</w:t>
      </w:r>
      <w:r w:rsidRPr="002927A4">
        <w:rPr>
          <w:rFonts w:ascii="Palatino Linotype" w:eastAsia="Palatino Linotype" w:hAnsi="Palatino Linotype" w:cs="Palatino Linotype"/>
          <w:sz w:val="22"/>
          <w:szCs w:val="22"/>
        </w:rPr>
        <w:t>. Acciones u omisiones del interesado.</w:t>
      </w:r>
    </w:p>
    <w:p w14:paraId="676E9738" w14:textId="77777777" w:rsidR="008360A2" w:rsidRPr="00292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Conducta de la Autoridad:</w:t>
      </w:r>
      <w:r w:rsidRPr="002927A4">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2927A4"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La afectación generada en la situación jurídica de la persona involucrada en el proceso:</w:t>
      </w:r>
      <w:r w:rsidRPr="002927A4">
        <w:rPr>
          <w:rFonts w:ascii="Palatino Linotype" w:eastAsia="Palatino Linotype" w:hAnsi="Palatino Linotype" w:cs="Palatino Linotype"/>
          <w:sz w:val="22"/>
          <w:szCs w:val="22"/>
        </w:rPr>
        <w:t xml:space="preserve"> Violación a sus derechos humanos.</w:t>
      </w:r>
    </w:p>
    <w:p w14:paraId="1E2F27A9"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2927A4">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2927A4">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2927A4"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i/>
          <w:sz w:val="22"/>
          <w:szCs w:val="22"/>
        </w:rPr>
        <w:t>“PLAZO RAZONABLE PARA RESOLVER. DIMENSIÓN Y EFECTOS DE ESTE CONCEPTO CUANDO SE ADUCE EXCESIVA CARGA DE TRABAJO</w:t>
      </w: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2927A4"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927A4">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2927A4" w:rsidRDefault="008360A2" w:rsidP="008360A2">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619E8D37" w:rsidR="00C877F6" w:rsidRPr="002927A4"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8</w:t>
      </w:r>
      <w:r w:rsidR="00F36565" w:rsidRPr="002927A4">
        <w:rPr>
          <w:rFonts w:ascii="Palatino Linotype" w:eastAsia="Palatino Linotype" w:hAnsi="Palatino Linotype" w:cs="Palatino Linotype"/>
          <w:b/>
          <w:sz w:val="22"/>
          <w:szCs w:val="22"/>
        </w:rPr>
        <w:t>. Cierre de instrucción</w:t>
      </w:r>
      <w:r w:rsidR="00F36565" w:rsidRPr="002927A4">
        <w:rPr>
          <w:rFonts w:ascii="Palatino Linotype" w:eastAsia="Palatino Linotype" w:hAnsi="Palatino Linotype" w:cs="Palatino Linotype"/>
          <w:sz w:val="22"/>
          <w:szCs w:val="22"/>
        </w:rPr>
        <w:t xml:space="preserve">. En fecha </w:t>
      </w:r>
      <w:r w:rsidR="003B4DB5" w:rsidRPr="002927A4">
        <w:rPr>
          <w:rFonts w:ascii="Palatino Linotype" w:eastAsia="Palatino Linotype" w:hAnsi="Palatino Linotype" w:cs="Palatino Linotype"/>
          <w:b/>
          <w:sz w:val="22"/>
          <w:szCs w:val="22"/>
        </w:rPr>
        <w:t>nueve</w:t>
      </w:r>
      <w:r w:rsidR="00F36565" w:rsidRPr="002927A4">
        <w:rPr>
          <w:rFonts w:ascii="Palatino Linotype" w:eastAsia="Palatino Linotype" w:hAnsi="Palatino Linotype" w:cs="Palatino Linotype"/>
          <w:sz w:val="22"/>
          <w:szCs w:val="22"/>
        </w:rPr>
        <w:t xml:space="preserve"> </w:t>
      </w:r>
      <w:r w:rsidR="00F36565" w:rsidRPr="002927A4">
        <w:rPr>
          <w:rFonts w:ascii="Palatino Linotype" w:eastAsia="Palatino Linotype" w:hAnsi="Palatino Linotype" w:cs="Palatino Linotype"/>
          <w:b/>
          <w:sz w:val="22"/>
          <w:szCs w:val="22"/>
        </w:rPr>
        <w:t xml:space="preserve">de </w:t>
      </w:r>
      <w:r w:rsidR="000F3A18" w:rsidRPr="002927A4">
        <w:rPr>
          <w:rFonts w:ascii="Palatino Linotype" w:eastAsia="Palatino Linotype" w:hAnsi="Palatino Linotype" w:cs="Palatino Linotype"/>
          <w:b/>
          <w:sz w:val="22"/>
          <w:szCs w:val="22"/>
        </w:rPr>
        <w:t>febrero</w:t>
      </w:r>
      <w:r w:rsidR="00F36565" w:rsidRPr="002927A4">
        <w:rPr>
          <w:rFonts w:ascii="Palatino Linotype" w:eastAsia="Palatino Linotype" w:hAnsi="Palatino Linotype" w:cs="Palatino Linotype"/>
          <w:b/>
          <w:sz w:val="22"/>
          <w:szCs w:val="22"/>
        </w:rPr>
        <w:t xml:space="preserve"> de dos mil veinti</w:t>
      </w:r>
      <w:r w:rsidR="00E111DF" w:rsidRPr="002927A4">
        <w:rPr>
          <w:rFonts w:ascii="Palatino Linotype" w:eastAsia="Palatino Linotype" w:hAnsi="Palatino Linotype" w:cs="Palatino Linotype"/>
          <w:b/>
          <w:sz w:val="22"/>
          <w:szCs w:val="22"/>
        </w:rPr>
        <w:t>séis</w:t>
      </w:r>
      <w:r w:rsidR="00F36565" w:rsidRPr="002927A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2927A4" w:rsidRDefault="00F36565">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Debido a que fue</w:t>
      </w:r>
      <w:r w:rsidR="008D5D61" w:rsidRPr="002927A4">
        <w:rPr>
          <w:rFonts w:ascii="Palatino Linotype" w:eastAsia="Palatino Linotype" w:hAnsi="Palatino Linotype" w:cs="Palatino Linotype"/>
          <w:sz w:val="22"/>
          <w:szCs w:val="22"/>
        </w:rPr>
        <w:t xml:space="preserve"> debidamente sustanciado</w:t>
      </w:r>
      <w:r w:rsidRPr="002927A4">
        <w:rPr>
          <w:rFonts w:ascii="Palatino Linotype" w:eastAsia="Palatino Linotype" w:hAnsi="Palatino Linotype" w:cs="Palatino Linotype"/>
          <w:sz w:val="22"/>
          <w:szCs w:val="22"/>
        </w:rPr>
        <w:t xml:space="preserve"> </w:t>
      </w:r>
      <w:r w:rsidR="008D5D61" w:rsidRPr="002927A4">
        <w:rPr>
          <w:rFonts w:ascii="Palatino Linotype" w:eastAsia="Palatino Linotype" w:hAnsi="Palatino Linotype" w:cs="Palatino Linotype"/>
          <w:sz w:val="22"/>
          <w:szCs w:val="22"/>
        </w:rPr>
        <w:tab/>
        <w:t>el</w:t>
      </w:r>
      <w:r w:rsidRPr="002927A4">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2927A4"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2927A4"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II.</w:t>
      </w:r>
      <w:r w:rsidRPr="002927A4">
        <w:rPr>
          <w:rFonts w:ascii="Palatino Linotype" w:eastAsia="Palatino Linotype" w:hAnsi="Palatino Linotype" w:cs="Palatino Linotype"/>
          <w:b/>
          <w:sz w:val="22"/>
          <w:szCs w:val="22"/>
        </w:rPr>
        <w:tab/>
        <w:t>C O N S I D E R A N D O:</w:t>
      </w:r>
      <w:r w:rsidR="00351E01" w:rsidRPr="002927A4">
        <w:rPr>
          <w:rFonts w:ascii="Palatino Linotype" w:eastAsia="Palatino Linotype" w:hAnsi="Palatino Linotype" w:cs="Palatino Linotype"/>
          <w:b/>
          <w:sz w:val="22"/>
          <w:szCs w:val="22"/>
        </w:rPr>
        <w:t xml:space="preserve"> </w:t>
      </w:r>
    </w:p>
    <w:p w14:paraId="3E2B3FBD"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Primero. Competencia.</w:t>
      </w:r>
      <w:r w:rsidRPr="002927A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Segundo. Oportunidad y Procedibilidad del Recurso de Revisión. </w:t>
      </w:r>
      <w:r w:rsidRPr="002927A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2927A4" w:rsidRDefault="00F36565">
      <w:pPr>
        <w:spacing w:line="360" w:lineRule="auto"/>
        <w:ind w:left="851" w:right="900"/>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 xml:space="preserve">“Artículo 178. </w:t>
      </w:r>
      <w:r w:rsidRPr="002927A4">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2E1C6917" w:rsidR="00C877F6" w:rsidRPr="002927A4" w:rsidRDefault="00F36565">
      <w:pPr>
        <w:spacing w:before="240" w:after="240"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927A4">
        <w:rPr>
          <w:rFonts w:ascii="Palatino Linotype" w:eastAsia="Palatino Linotype" w:hAnsi="Palatino Linotype" w:cs="Palatino Linotype"/>
          <w:b/>
          <w:sz w:val="22"/>
          <w:szCs w:val="22"/>
        </w:rPr>
        <w:t>SUJETO OBLIGADO</w:t>
      </w:r>
      <w:r w:rsidRPr="002927A4">
        <w:rPr>
          <w:rFonts w:ascii="Palatino Linotype" w:eastAsia="Palatino Linotype" w:hAnsi="Palatino Linotype" w:cs="Palatino Linotype"/>
          <w:sz w:val="22"/>
          <w:szCs w:val="22"/>
        </w:rPr>
        <w:t xml:space="preserve"> remitió la respuesta a la solicitud de información el día </w:t>
      </w:r>
      <w:r w:rsidR="001E4484" w:rsidRPr="002927A4">
        <w:rPr>
          <w:rFonts w:ascii="Palatino Linotype" w:eastAsia="Palatino Linotype" w:hAnsi="Palatino Linotype" w:cs="Palatino Linotype"/>
          <w:b/>
          <w:sz w:val="22"/>
          <w:szCs w:val="22"/>
        </w:rPr>
        <w:t>diez</w:t>
      </w:r>
      <w:r w:rsidRPr="002927A4">
        <w:rPr>
          <w:rFonts w:ascii="Palatino Linotype" w:eastAsia="Palatino Linotype" w:hAnsi="Palatino Linotype" w:cs="Palatino Linotype"/>
          <w:b/>
          <w:sz w:val="22"/>
          <w:szCs w:val="22"/>
        </w:rPr>
        <w:t xml:space="preserve"> de </w:t>
      </w:r>
      <w:r w:rsidR="001E4484" w:rsidRPr="002927A4">
        <w:rPr>
          <w:rFonts w:ascii="Palatino Linotype" w:eastAsia="Palatino Linotype" w:hAnsi="Palatino Linotype" w:cs="Palatino Linotype"/>
          <w:b/>
          <w:sz w:val="22"/>
          <w:szCs w:val="22"/>
        </w:rPr>
        <w:t>noviembre</w:t>
      </w:r>
      <w:r w:rsidR="008E4A90" w:rsidRPr="002927A4">
        <w:rPr>
          <w:rFonts w:ascii="Palatino Linotype" w:eastAsia="Palatino Linotype" w:hAnsi="Palatino Linotype" w:cs="Palatino Linotype"/>
          <w:b/>
          <w:sz w:val="22"/>
          <w:szCs w:val="22"/>
        </w:rPr>
        <w:t xml:space="preserve"> </w:t>
      </w:r>
      <w:r w:rsidRPr="002927A4">
        <w:rPr>
          <w:rFonts w:ascii="Palatino Linotype" w:eastAsia="Palatino Linotype" w:hAnsi="Palatino Linotype" w:cs="Palatino Linotype"/>
          <w:b/>
          <w:sz w:val="22"/>
          <w:szCs w:val="22"/>
        </w:rPr>
        <w:t xml:space="preserve">de dos mil veinticinco, </w:t>
      </w:r>
      <w:r w:rsidRPr="002927A4">
        <w:rPr>
          <w:rFonts w:ascii="Palatino Linotype" w:eastAsia="Palatino Linotype" w:hAnsi="Palatino Linotype" w:cs="Palatino Linotype"/>
          <w:sz w:val="22"/>
          <w:szCs w:val="22"/>
        </w:rPr>
        <w:t xml:space="preserve">mientras que el recurso de revisión interpuesto por la parte </w:t>
      </w:r>
      <w:r w:rsidRPr="002927A4">
        <w:rPr>
          <w:rFonts w:ascii="Palatino Linotype" w:eastAsia="Palatino Linotype" w:hAnsi="Palatino Linotype" w:cs="Palatino Linotype"/>
          <w:b/>
          <w:sz w:val="22"/>
          <w:szCs w:val="22"/>
        </w:rPr>
        <w:t>RECURRENTE</w:t>
      </w:r>
      <w:r w:rsidRPr="002927A4">
        <w:rPr>
          <w:rFonts w:ascii="Palatino Linotype" w:eastAsia="Palatino Linotype" w:hAnsi="Palatino Linotype" w:cs="Palatino Linotype"/>
          <w:sz w:val="22"/>
          <w:szCs w:val="22"/>
        </w:rPr>
        <w:t xml:space="preserve">, se tuvo por presentado el </w:t>
      </w:r>
      <w:r w:rsidR="001E4484" w:rsidRPr="002927A4">
        <w:rPr>
          <w:rFonts w:ascii="Palatino Linotype" w:eastAsia="Palatino Linotype" w:hAnsi="Palatino Linotype" w:cs="Palatino Linotype"/>
          <w:b/>
          <w:sz w:val="22"/>
          <w:szCs w:val="22"/>
        </w:rPr>
        <w:t>dieciocho</w:t>
      </w:r>
      <w:r w:rsidRPr="002927A4">
        <w:rPr>
          <w:rFonts w:ascii="Palatino Linotype" w:eastAsia="Palatino Linotype" w:hAnsi="Palatino Linotype" w:cs="Palatino Linotype"/>
          <w:b/>
          <w:sz w:val="22"/>
          <w:szCs w:val="22"/>
        </w:rPr>
        <w:t xml:space="preserve"> de </w:t>
      </w:r>
      <w:r w:rsidR="001E4484" w:rsidRPr="002927A4">
        <w:rPr>
          <w:rFonts w:ascii="Palatino Linotype" w:eastAsia="Palatino Linotype" w:hAnsi="Palatino Linotype" w:cs="Palatino Linotype"/>
          <w:b/>
          <w:sz w:val="22"/>
          <w:szCs w:val="22"/>
        </w:rPr>
        <w:t>noviembre</w:t>
      </w:r>
      <w:r w:rsidRPr="002927A4">
        <w:rPr>
          <w:rFonts w:ascii="Palatino Linotype" w:eastAsia="Palatino Linotype" w:hAnsi="Palatino Linotype" w:cs="Palatino Linotype"/>
          <w:b/>
          <w:sz w:val="22"/>
          <w:szCs w:val="22"/>
        </w:rPr>
        <w:t xml:space="preserve"> del año dos mil veinticinco</w:t>
      </w:r>
      <w:r w:rsidRPr="002927A4">
        <w:rPr>
          <w:rFonts w:ascii="Palatino Linotype" w:eastAsia="Palatino Linotype" w:hAnsi="Palatino Linotype" w:cs="Palatino Linotype"/>
          <w:sz w:val="22"/>
          <w:szCs w:val="22"/>
        </w:rPr>
        <w:t xml:space="preserve">; esto es, al </w:t>
      </w:r>
      <w:r w:rsidR="001E4484" w:rsidRPr="002927A4">
        <w:rPr>
          <w:rFonts w:ascii="Palatino Linotype" w:eastAsia="Palatino Linotype" w:hAnsi="Palatino Linotype" w:cs="Palatino Linotype"/>
          <w:b/>
          <w:sz w:val="22"/>
          <w:szCs w:val="22"/>
        </w:rPr>
        <w:t>quinto</w:t>
      </w:r>
      <w:r w:rsidR="009D625A" w:rsidRPr="002927A4">
        <w:rPr>
          <w:rFonts w:ascii="Palatino Linotype" w:eastAsia="Palatino Linotype" w:hAnsi="Palatino Linotype" w:cs="Palatino Linotype"/>
          <w:b/>
          <w:sz w:val="22"/>
          <w:szCs w:val="22"/>
        </w:rPr>
        <w:t xml:space="preserve"> </w:t>
      </w:r>
      <w:r w:rsidRPr="002927A4">
        <w:rPr>
          <w:rFonts w:ascii="Palatino Linotype" w:eastAsia="Palatino Linotype" w:hAnsi="Palatino Linotype" w:cs="Palatino Linotype"/>
          <w:b/>
          <w:sz w:val="22"/>
          <w:szCs w:val="22"/>
        </w:rPr>
        <w:t xml:space="preserve">día hábil </w:t>
      </w:r>
      <w:r w:rsidRPr="002927A4">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2927A4" w:rsidRDefault="00F36565">
      <w:pPr>
        <w:spacing w:before="240" w:after="240"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556C89C4"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2927A4">
        <w:rPr>
          <w:rFonts w:ascii="Palatino Linotype" w:eastAsia="Palatino Linotype" w:hAnsi="Palatino Linotype" w:cs="Palatino Linotype"/>
          <w:sz w:val="22"/>
          <w:szCs w:val="22"/>
        </w:rPr>
        <w:t xml:space="preserve">s en el artículo 179, fracción </w:t>
      </w:r>
      <w:r w:rsidR="007D533B" w:rsidRPr="002927A4">
        <w:rPr>
          <w:rFonts w:ascii="Palatino Linotype" w:eastAsia="Palatino Linotype" w:hAnsi="Palatino Linotype" w:cs="Palatino Linotype"/>
          <w:sz w:val="22"/>
          <w:szCs w:val="22"/>
        </w:rPr>
        <w:t>V</w:t>
      </w:r>
      <w:r w:rsidRPr="002927A4">
        <w:rPr>
          <w:rFonts w:ascii="Palatino Linotype" w:eastAsia="Palatino Linotype" w:hAnsi="Palatino Linotype" w:cs="Palatino Linotype"/>
          <w:sz w:val="22"/>
          <w:szCs w:val="22"/>
        </w:rPr>
        <w:t xml:space="preserve"> de la ley de la materia, que a la letra dice:</w:t>
      </w:r>
    </w:p>
    <w:p w14:paraId="47475447" w14:textId="77777777" w:rsidR="00C877F6" w:rsidRPr="002927A4" w:rsidRDefault="00F36565">
      <w:pPr>
        <w:spacing w:line="360" w:lineRule="auto"/>
        <w:ind w:left="851" w:right="1041"/>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 xml:space="preserve">Artículo 179. </w:t>
      </w:r>
      <w:r w:rsidRPr="002927A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5BE81925" w:rsidR="00C877F6" w:rsidRPr="002927A4" w:rsidRDefault="00F36565">
      <w:pPr>
        <w:spacing w:line="360" w:lineRule="auto"/>
        <w:ind w:left="851" w:right="1041"/>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19F3E495" w14:textId="2DDAFA24" w:rsidR="001E4484" w:rsidRPr="002927A4" w:rsidRDefault="001E4484">
      <w:pPr>
        <w:spacing w:line="360" w:lineRule="auto"/>
        <w:ind w:left="851" w:right="1041"/>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V. La entrega de información incompleta;</w:t>
      </w:r>
    </w:p>
    <w:p w14:paraId="44BAFDBC" w14:textId="236E4A97" w:rsidR="001E4484" w:rsidRPr="002927A4" w:rsidRDefault="001E4484">
      <w:pPr>
        <w:spacing w:line="360" w:lineRule="auto"/>
        <w:ind w:left="851" w:right="1041"/>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1A2EB9D0"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Tercero. Materia de la revisión. </w:t>
      </w:r>
      <w:r w:rsidRPr="002927A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927A4">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2927A4">
        <w:rPr>
          <w:rFonts w:ascii="Palatino Linotype" w:eastAsia="Palatino Linotype" w:hAnsi="Palatino Linotype" w:cs="Palatino Linotype"/>
          <w:sz w:val="22"/>
          <w:szCs w:val="22"/>
        </w:rPr>
        <w:t xml:space="preserve">de la parte </w:t>
      </w:r>
      <w:r w:rsidRPr="002927A4">
        <w:rPr>
          <w:rFonts w:ascii="Palatino Linotype" w:eastAsia="Palatino Linotype" w:hAnsi="Palatino Linotype" w:cs="Palatino Linotype"/>
          <w:b/>
          <w:sz w:val="22"/>
          <w:szCs w:val="22"/>
        </w:rPr>
        <w:t>Recurrente</w:t>
      </w:r>
      <w:r w:rsidRPr="002927A4">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Cuarto. Estudio del asunto. </w:t>
      </w:r>
      <w:r w:rsidRPr="002927A4">
        <w:rPr>
          <w:rFonts w:ascii="Palatino Linotype" w:eastAsia="Palatino Linotype" w:hAnsi="Palatino Linotype" w:cs="Palatino Linotype"/>
          <w:sz w:val="22"/>
          <w:szCs w:val="22"/>
        </w:rPr>
        <w:t xml:space="preserve">En principio, es conveniente analizar si la respuesta del </w:t>
      </w:r>
      <w:r w:rsidRPr="002927A4">
        <w:rPr>
          <w:rFonts w:ascii="Palatino Linotype" w:eastAsia="Palatino Linotype" w:hAnsi="Palatino Linotype" w:cs="Palatino Linotype"/>
          <w:b/>
          <w:sz w:val="22"/>
          <w:szCs w:val="22"/>
        </w:rPr>
        <w:t>SUJETO OBLIGADO</w:t>
      </w:r>
      <w:r w:rsidRPr="002927A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2927A4" w:rsidRDefault="00F36565">
      <w:pPr>
        <w:spacing w:line="276" w:lineRule="auto"/>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Artículo 4</w:t>
      </w:r>
      <w:r w:rsidRPr="002927A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2927A4" w:rsidRDefault="00F36565">
      <w:pPr>
        <w:spacing w:line="276" w:lineRule="auto"/>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927A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2927A4" w:rsidRDefault="00F36565">
      <w:pPr>
        <w:spacing w:line="276" w:lineRule="auto"/>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927A4">
        <w:rPr>
          <w:rFonts w:ascii="Palatino Linotype" w:eastAsia="Palatino Linotype" w:hAnsi="Palatino Linotype" w:cs="Palatino Linotype"/>
          <w:i/>
          <w:sz w:val="22"/>
          <w:szCs w:val="22"/>
        </w:rPr>
        <w:t>.”</w:t>
      </w:r>
    </w:p>
    <w:p w14:paraId="6FBC13EC" w14:textId="77777777" w:rsidR="00C877F6" w:rsidRPr="002927A4"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2927A4" w:rsidRDefault="00F36565">
      <w:pPr>
        <w:spacing w:line="276" w:lineRule="auto"/>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12.-</w:t>
      </w:r>
      <w:r w:rsidRPr="002927A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2927A4"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2927A4" w:rsidRDefault="00F36565">
      <w:pPr>
        <w:spacing w:line="276" w:lineRule="auto"/>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927A4">
        <w:rPr>
          <w:rFonts w:ascii="Palatino Linotype" w:eastAsia="Palatino Linotype" w:hAnsi="Palatino Linotype" w:cs="Palatino Linotype"/>
          <w:i/>
          <w:sz w:val="22"/>
          <w:szCs w:val="22"/>
        </w:rPr>
        <w:t xml:space="preserve">. </w:t>
      </w:r>
      <w:r w:rsidRPr="002927A4">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2927A4"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2927A4" w:rsidRDefault="00F36565">
      <w:pPr>
        <w:spacing w:line="360" w:lineRule="auto"/>
        <w:ind w:right="-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2927A4"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2927A4" w:rsidRDefault="00F36565">
      <w:pPr>
        <w:spacing w:line="360" w:lineRule="auto"/>
        <w:ind w:right="-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927A4">
        <w:rPr>
          <w:rFonts w:ascii="Palatino Linotype" w:eastAsia="Palatino Linotype" w:hAnsi="Palatino Linotype" w:cs="Palatino Linotype"/>
          <w:b/>
          <w:sz w:val="22"/>
          <w:szCs w:val="22"/>
        </w:rPr>
        <w:t xml:space="preserve"> </w:t>
      </w:r>
    </w:p>
    <w:p w14:paraId="2E2DBFC3" w14:textId="77777777" w:rsidR="00C877F6" w:rsidRPr="002927A4"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No existe obligación de elaborar documentos ad hoc para atender las solicitudes de acceso a la información.</w:t>
      </w:r>
      <w:r w:rsidRPr="002927A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2927A4"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2927A4" w:rsidRDefault="00F36565">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2927A4"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2927A4"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 xml:space="preserve">Artículo 3. </w:t>
      </w:r>
      <w:r w:rsidRPr="002927A4">
        <w:rPr>
          <w:rFonts w:ascii="Palatino Linotype" w:eastAsia="Palatino Linotype" w:hAnsi="Palatino Linotype" w:cs="Palatino Linotype"/>
          <w:i/>
          <w:sz w:val="22"/>
          <w:szCs w:val="22"/>
        </w:rPr>
        <w:t>Para los efectos de la presente Ley se entenderá por:</w:t>
      </w:r>
    </w:p>
    <w:p w14:paraId="505D52C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273D4E7F"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XI. Documento:</w:t>
      </w:r>
      <w:r w:rsidRPr="002927A4">
        <w:rPr>
          <w:rFonts w:ascii="Palatino Linotype" w:eastAsia="Palatino Linotype" w:hAnsi="Palatino Linotype" w:cs="Palatino Linotype"/>
          <w:i/>
          <w:sz w:val="22"/>
          <w:szCs w:val="22"/>
        </w:rPr>
        <w:t xml:space="preserve"> Los expedientes, reportes, estudios, actas</w:t>
      </w:r>
      <w:r w:rsidRPr="002927A4">
        <w:rPr>
          <w:rFonts w:ascii="Palatino Linotype" w:eastAsia="Palatino Linotype" w:hAnsi="Palatino Linotype" w:cs="Palatino Linotype"/>
          <w:b/>
          <w:i/>
          <w:sz w:val="22"/>
          <w:szCs w:val="22"/>
        </w:rPr>
        <w:t>,</w:t>
      </w:r>
      <w:r w:rsidRPr="002927A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2927A4"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2927A4" w:rsidRDefault="00F36565">
      <w:pPr>
        <w:ind w:left="567" w:right="616"/>
        <w:jc w:val="both"/>
        <w:rPr>
          <w:rFonts w:ascii="Palatino Linotype" w:eastAsia="Palatino Linotype" w:hAnsi="Palatino Linotype" w:cs="Palatino Linotype"/>
          <w:b/>
          <w:i/>
          <w:sz w:val="22"/>
          <w:szCs w:val="22"/>
        </w:rPr>
      </w:pPr>
      <w:r w:rsidRPr="002927A4">
        <w:rPr>
          <w:rFonts w:ascii="Palatino Linotype" w:eastAsia="Palatino Linotype" w:hAnsi="Palatino Linotype" w:cs="Palatino Linotype"/>
          <w:b/>
          <w:sz w:val="22"/>
          <w:szCs w:val="22"/>
        </w:rPr>
        <w:t>“</w:t>
      </w:r>
      <w:r w:rsidRPr="002927A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927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2927A4" w:rsidRDefault="00F36565">
      <w:pPr>
        <w:ind w:left="567" w:right="616"/>
        <w:jc w:val="both"/>
        <w:rPr>
          <w:rFonts w:ascii="Palatino Linotype" w:eastAsia="Palatino Linotype" w:hAnsi="Palatino Linotype" w:cs="Palatino Linotype"/>
          <w:b/>
          <w:i/>
          <w:sz w:val="22"/>
          <w:szCs w:val="22"/>
        </w:rPr>
      </w:pPr>
      <w:r w:rsidRPr="002927A4">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2927A4" w:rsidRDefault="00F36565">
      <w:pPr>
        <w:ind w:left="567" w:right="616"/>
        <w:jc w:val="both"/>
        <w:rPr>
          <w:rFonts w:ascii="Palatino Linotype" w:eastAsia="Palatino Linotype" w:hAnsi="Palatino Linotype" w:cs="Palatino Linotype"/>
          <w:b/>
          <w:i/>
          <w:sz w:val="22"/>
          <w:szCs w:val="22"/>
        </w:rPr>
      </w:pPr>
      <w:r w:rsidRPr="002927A4">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2927A4" w:rsidRDefault="00C877F6">
      <w:pPr>
        <w:tabs>
          <w:tab w:val="left" w:pos="8647"/>
        </w:tabs>
        <w:spacing w:line="360" w:lineRule="auto"/>
        <w:jc w:val="both"/>
        <w:rPr>
          <w:rFonts w:ascii="Palatino Linotype" w:eastAsia="Palatino Linotype" w:hAnsi="Palatino Linotype" w:cs="Palatino Linotype"/>
          <w:b/>
          <w:sz w:val="22"/>
          <w:szCs w:val="22"/>
        </w:rPr>
      </w:pPr>
    </w:p>
    <w:p w14:paraId="28414BC4" w14:textId="2CF1834F" w:rsidR="00697BED" w:rsidRPr="002927A4" w:rsidRDefault="00F36565">
      <w:pPr>
        <w:spacing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2927A4">
        <w:rPr>
          <w:rFonts w:ascii="Palatino Linotype" w:eastAsia="Palatino Linotype" w:hAnsi="Palatino Linotype" w:cs="Palatino Linotype"/>
          <w:sz w:val="22"/>
          <w:szCs w:val="22"/>
        </w:rPr>
        <w:t xml:space="preserve">se tiene que el Recurrente solicitó al </w:t>
      </w:r>
      <w:r w:rsidR="00854ADA" w:rsidRPr="002927A4">
        <w:rPr>
          <w:rFonts w:ascii="Palatino Linotype" w:eastAsia="Palatino Linotype" w:hAnsi="Palatino Linotype" w:cs="Palatino Linotype"/>
          <w:b/>
          <w:sz w:val="22"/>
          <w:szCs w:val="22"/>
        </w:rPr>
        <w:t>Ayuntamiento de Calimaya</w:t>
      </w:r>
      <w:r w:rsidR="00697BED" w:rsidRPr="002927A4">
        <w:rPr>
          <w:rFonts w:ascii="Palatino Linotype" w:eastAsia="Palatino Linotype" w:hAnsi="Palatino Linotype" w:cs="Palatino Linotype"/>
          <w:sz w:val="22"/>
          <w:szCs w:val="22"/>
        </w:rPr>
        <w:t xml:space="preserve"> la siguiente información:</w:t>
      </w:r>
    </w:p>
    <w:p w14:paraId="583E46E3" w14:textId="4639B274" w:rsidR="000F2E5A" w:rsidRPr="002927A4" w:rsidRDefault="000F2E5A" w:rsidP="00B101BE">
      <w:pPr>
        <w:pStyle w:val="Prrafodelista"/>
        <w:numPr>
          <w:ilvl w:val="0"/>
          <w:numId w:val="8"/>
        </w:numPr>
        <w:spacing w:after="240" w:line="360" w:lineRule="auto"/>
        <w:ind w:left="709" w:right="843"/>
        <w:jc w:val="both"/>
        <w:rPr>
          <w:rFonts w:ascii="Palatino Linotype" w:eastAsia="Palatino Linotype" w:hAnsi="Palatino Linotype" w:cs="Palatino Linotype"/>
          <w:b/>
          <w:sz w:val="22"/>
          <w:szCs w:val="22"/>
        </w:rPr>
      </w:pPr>
      <w:r w:rsidRPr="002927A4">
        <w:rPr>
          <w:rFonts w:ascii="Palatino Linotype" w:hAnsi="Palatino Linotype"/>
          <w:b/>
          <w:sz w:val="22"/>
          <w:szCs w:val="22"/>
        </w:rPr>
        <w:t>Nomina completa de los trabajadores de ayuntamiento de calimaya, incluida la de seguridad pública y cadetes de seguridad pública de enero de 2025 a septiembre de 2025;</w:t>
      </w:r>
    </w:p>
    <w:p w14:paraId="33A4D095" w14:textId="77777777" w:rsidR="000F2E5A" w:rsidRPr="002927A4" w:rsidRDefault="000F2E5A" w:rsidP="00B101BE">
      <w:pPr>
        <w:pStyle w:val="Prrafodelista"/>
        <w:numPr>
          <w:ilvl w:val="0"/>
          <w:numId w:val="8"/>
        </w:numPr>
        <w:spacing w:after="240" w:line="360" w:lineRule="auto"/>
        <w:ind w:left="709" w:right="843"/>
        <w:jc w:val="both"/>
        <w:rPr>
          <w:rFonts w:ascii="Palatino Linotype" w:eastAsia="Palatino Linotype" w:hAnsi="Palatino Linotype" w:cs="Palatino Linotype"/>
          <w:b/>
          <w:sz w:val="22"/>
          <w:szCs w:val="22"/>
        </w:rPr>
      </w:pPr>
      <w:r w:rsidRPr="002927A4">
        <w:rPr>
          <w:rFonts w:ascii="Palatino Linotype" w:hAnsi="Palatino Linotype"/>
          <w:b/>
          <w:sz w:val="22"/>
          <w:szCs w:val="22"/>
        </w:rPr>
        <w:t>Estado de situación financiera;</w:t>
      </w:r>
    </w:p>
    <w:p w14:paraId="141C3722" w14:textId="57025AD0" w:rsidR="000F2E5A" w:rsidRPr="002927A4" w:rsidRDefault="000F2E5A" w:rsidP="00B101BE">
      <w:pPr>
        <w:pStyle w:val="Prrafodelista"/>
        <w:numPr>
          <w:ilvl w:val="0"/>
          <w:numId w:val="8"/>
        </w:numPr>
        <w:spacing w:after="240" w:line="360" w:lineRule="auto"/>
        <w:ind w:left="709" w:right="843"/>
        <w:jc w:val="both"/>
        <w:rPr>
          <w:rFonts w:ascii="Palatino Linotype" w:eastAsia="Palatino Linotype" w:hAnsi="Palatino Linotype" w:cs="Palatino Linotype"/>
          <w:b/>
          <w:sz w:val="22"/>
          <w:szCs w:val="22"/>
        </w:rPr>
      </w:pPr>
      <w:r w:rsidRPr="002927A4">
        <w:rPr>
          <w:rFonts w:ascii="Palatino Linotype" w:hAnsi="Palatino Linotype"/>
          <w:b/>
          <w:sz w:val="22"/>
          <w:szCs w:val="22"/>
        </w:rPr>
        <w:t xml:space="preserve">Balanza de comprobación mayor nivel 5 al mes de septiembre del año 2025 </w:t>
      </w:r>
    </w:p>
    <w:p w14:paraId="4AD35E96" w14:textId="54DBF0DA" w:rsidR="00C3577A" w:rsidRPr="002927A4" w:rsidRDefault="00C3577A" w:rsidP="00C3577A">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Conocida la respuesta, el Recurrente se inconformó de manera expresa por lo siguiente </w:t>
      </w:r>
      <w:r w:rsidRPr="002927A4">
        <w:rPr>
          <w:rFonts w:ascii="Palatino Linotype" w:eastAsia="Palatino Linotype" w:hAnsi="Palatino Linotype" w:cs="Palatino Linotype"/>
          <w:i/>
          <w:sz w:val="22"/>
          <w:szCs w:val="22"/>
        </w:rPr>
        <w:t xml:space="preserve">“La negativa de entrega de información publica como lo es </w:t>
      </w:r>
      <w:r w:rsidRPr="002927A4">
        <w:rPr>
          <w:rFonts w:ascii="Palatino Linotype" w:eastAsia="Palatino Linotype" w:hAnsi="Palatino Linotype" w:cs="Palatino Linotype"/>
          <w:b/>
          <w:i/>
          <w:sz w:val="22"/>
          <w:szCs w:val="22"/>
        </w:rPr>
        <w:t>la nómina de trabajadores</w:t>
      </w:r>
      <w:r w:rsidRPr="002927A4">
        <w:rPr>
          <w:rFonts w:ascii="Palatino Linotype" w:eastAsia="Palatino Linotype" w:hAnsi="Palatino Linotype" w:cs="Palatino Linotype"/>
          <w:i/>
          <w:sz w:val="22"/>
          <w:szCs w:val="22"/>
        </w:rPr>
        <w:t xml:space="preserve"> de este municipio ya que tratan de desvirtuar la publicidad de la información creando una acta de comité interno de transparencia en donde hacen una determinación sobre estos documentos señalando los como confidenciales siendo que estos son totalmente públicos así mismo no son cargados a las plataformas correspondientes donde uno como ciudadano puede verificar la.ammera del manejo del recurso público generando con esto una clara violación a las normas de transparencia que rigen este organismo”</w:t>
      </w:r>
      <w:r w:rsidRPr="002927A4">
        <w:rPr>
          <w:rFonts w:ascii="Palatino Linotype" w:eastAsia="Palatino Linotype" w:hAnsi="Palatino Linotype" w:cs="Palatino Linotype"/>
          <w:sz w:val="22"/>
          <w:szCs w:val="22"/>
        </w:rPr>
        <w:t xml:space="preserve"> Se colige que, la parte de la respuesta que no fue impugnada debe declararse consentida, como lo es los </w:t>
      </w:r>
      <w:r w:rsidR="00B101BE" w:rsidRPr="002927A4">
        <w:rPr>
          <w:rFonts w:ascii="Palatino Linotype" w:eastAsia="Palatino Linotype" w:hAnsi="Palatino Linotype" w:cs="Palatino Linotype"/>
          <w:sz w:val="22"/>
          <w:szCs w:val="22"/>
        </w:rPr>
        <w:t xml:space="preserve">estados de situación financiera; </w:t>
      </w:r>
      <w:r w:rsidRPr="002927A4">
        <w:rPr>
          <w:rFonts w:ascii="Palatino Linotype" w:eastAsia="Palatino Linotype" w:hAnsi="Palatino Linotype" w:cs="Palatino Linotype"/>
          <w:sz w:val="22"/>
          <w:szCs w:val="22"/>
        </w:rPr>
        <w:t>la balanza de comprobación</w:t>
      </w:r>
      <w:r w:rsidR="00B101BE" w:rsidRPr="002927A4">
        <w:rPr>
          <w:rFonts w:ascii="Palatino Linotype" w:eastAsia="Palatino Linotype" w:hAnsi="Palatino Linotype" w:cs="Palatino Linotype"/>
          <w:sz w:val="22"/>
          <w:szCs w:val="22"/>
        </w:rPr>
        <w:t xml:space="preserve"> y </w:t>
      </w:r>
      <w:r w:rsidR="009A5579" w:rsidRPr="002927A4">
        <w:rPr>
          <w:rFonts w:ascii="Palatino Linotype" w:eastAsia="Palatino Linotype" w:hAnsi="Palatino Linotype" w:cs="Palatino Linotype"/>
          <w:sz w:val="22"/>
          <w:szCs w:val="22"/>
        </w:rPr>
        <w:t>respecto a los cadetes de seguridad pública</w:t>
      </w:r>
      <w:r w:rsidRPr="002927A4">
        <w:rPr>
          <w:rFonts w:ascii="Palatino Linotype" w:eastAsia="Palatino Linotype" w:hAnsi="Palatino Linotype" w:cs="Palatino Linotype"/>
          <w:sz w:val="22"/>
          <w:szCs w:val="22"/>
        </w:rPr>
        <w:t>, ya que, de esta información no emitió pronunciamiento alguno el Recurrente.</w:t>
      </w:r>
    </w:p>
    <w:p w14:paraId="29E086EC"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p>
    <w:p w14:paraId="25A4CAD3"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E05D83E"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p>
    <w:p w14:paraId="0145A954" w14:textId="77777777" w:rsidR="00C3577A" w:rsidRPr="002927A4" w:rsidRDefault="00C3577A" w:rsidP="00C3577A">
      <w:pPr>
        <w:ind w:left="567" w:right="616"/>
        <w:jc w:val="both"/>
        <w:rPr>
          <w:rFonts w:ascii="Palatino Linotype" w:eastAsia="Palatino Linotype" w:hAnsi="Palatino Linotype" w:cs="Palatino Linotype"/>
          <w:i/>
          <w:iCs/>
          <w:sz w:val="22"/>
          <w:szCs w:val="22"/>
        </w:rPr>
      </w:pPr>
      <w:r w:rsidRPr="002927A4">
        <w:rPr>
          <w:rFonts w:ascii="Palatino Linotype" w:eastAsia="Palatino Linotype" w:hAnsi="Palatino Linotype" w:cs="Palatino Linotype"/>
          <w:b/>
          <w:bCs/>
          <w:i/>
          <w:iCs/>
          <w:sz w:val="22"/>
          <w:szCs w:val="22"/>
        </w:rPr>
        <w:t xml:space="preserve">“REVISIÓN EN AMPARO. LOS RESOLUTIVOS NO COMBATIDOS DEBEN DECLARARSE FIRMES. </w:t>
      </w:r>
      <w:r w:rsidRPr="002927A4">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87DB715"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p>
    <w:p w14:paraId="39E589FB"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35EB2FF6"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p>
    <w:p w14:paraId="1A9BB8AD"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63088330"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p>
    <w:p w14:paraId="589DA712" w14:textId="77777777" w:rsidR="00C3577A" w:rsidRPr="002927A4" w:rsidRDefault="00C3577A" w:rsidP="00C3577A">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2927A4">
        <w:rPr>
          <w:rFonts w:ascii="Palatino Linotype" w:eastAsia="Palatino Linotype" w:hAnsi="Palatino Linotype" w:cs="Palatino Linotype"/>
          <w:i/>
          <w:iCs/>
          <w:sz w:val="22"/>
          <w:szCs w:val="22"/>
        </w:rPr>
        <w:t>“</w:t>
      </w:r>
      <w:r w:rsidRPr="002927A4">
        <w:rPr>
          <w:rFonts w:ascii="Palatino Linotype" w:eastAsia="Palatino Linotype" w:hAnsi="Palatino Linotype" w:cs="Palatino Linotype"/>
          <w:b/>
          <w:bCs/>
          <w:i/>
          <w:iCs/>
          <w:sz w:val="22"/>
          <w:szCs w:val="22"/>
        </w:rPr>
        <w:t xml:space="preserve">Actos consentidos tácitamente. Improcedencia de su análisis. </w:t>
      </w:r>
      <w:r w:rsidRPr="002927A4">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31F4730" w14:textId="77777777" w:rsidR="00C3577A" w:rsidRPr="002927A4" w:rsidRDefault="00C3577A" w:rsidP="00C3577A">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51FADA9F" w14:textId="77777777" w:rsidR="00C3577A" w:rsidRPr="002927A4" w:rsidRDefault="00C3577A" w:rsidP="00C3577A">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FA1EBF7" w14:textId="77777777" w:rsidR="00C3577A" w:rsidRPr="002927A4" w:rsidRDefault="00C3577A" w:rsidP="00C3577A">
      <w:pPr>
        <w:spacing w:line="360" w:lineRule="auto"/>
        <w:ind w:left="851" w:right="900"/>
        <w:jc w:val="both"/>
        <w:rPr>
          <w:rFonts w:ascii="Palatino Linotype" w:eastAsia="Palatino Linotype" w:hAnsi="Palatino Linotype" w:cs="Palatino Linotype"/>
          <w:b/>
          <w:bCs/>
          <w:i/>
          <w:iCs/>
          <w:smallCaps/>
          <w:sz w:val="22"/>
          <w:szCs w:val="22"/>
        </w:rPr>
      </w:pPr>
    </w:p>
    <w:p w14:paraId="21E63348" w14:textId="77777777" w:rsidR="00C3577A" w:rsidRPr="002927A4" w:rsidRDefault="00C3577A" w:rsidP="00C3577A">
      <w:pPr>
        <w:tabs>
          <w:tab w:val="left" w:pos="851"/>
          <w:tab w:val="left" w:pos="1276"/>
        </w:tabs>
        <w:ind w:left="567" w:right="70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bCs/>
          <w:i/>
          <w:iCs/>
          <w:smallCaps/>
          <w:sz w:val="22"/>
          <w:szCs w:val="22"/>
        </w:rPr>
        <w:t xml:space="preserve">“ACTOS CONSENTIDOS. SON LOS QUE NO SE IMPUGNAN MEDIANTE EL RECURSO IDÓNEO. </w:t>
      </w:r>
      <w:r w:rsidRPr="002927A4">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74A0EC0" w14:textId="77777777" w:rsidR="00C3577A" w:rsidRPr="002927A4" w:rsidRDefault="00C3577A" w:rsidP="00C357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7723311" w14:textId="549BB54F" w:rsidR="00C3577A" w:rsidRPr="002927A4" w:rsidRDefault="00C3577A" w:rsidP="00C357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u w:val="single"/>
        </w:rPr>
      </w:pPr>
      <w:r w:rsidRPr="002927A4">
        <w:rPr>
          <w:rFonts w:ascii="Palatino Linotype" w:eastAsia="Palatino Linotype" w:hAnsi="Palatino Linotype" w:cs="Palatino Linotype"/>
          <w:sz w:val="22"/>
          <w:szCs w:val="22"/>
        </w:rPr>
        <w:t xml:space="preserve">Dicho lo anterior, la información de la que resulta procedente pronunciarse respecto a la información referente a la </w:t>
      </w:r>
      <w:r w:rsidRPr="002927A4">
        <w:rPr>
          <w:rFonts w:ascii="Palatino Linotype" w:hAnsi="Palatino Linotype"/>
          <w:sz w:val="22"/>
          <w:szCs w:val="22"/>
        </w:rPr>
        <w:t>nómina completa de los trabajadores de ayuntamiento de calimaya, i</w:t>
      </w:r>
      <w:r w:rsidR="009A5579" w:rsidRPr="002927A4">
        <w:rPr>
          <w:rFonts w:ascii="Palatino Linotype" w:hAnsi="Palatino Linotype"/>
          <w:sz w:val="22"/>
          <w:szCs w:val="22"/>
        </w:rPr>
        <w:t>ncluida la de seguridad pública.</w:t>
      </w:r>
    </w:p>
    <w:p w14:paraId="670BF658" w14:textId="77777777" w:rsidR="008A3087" w:rsidRPr="002927A4" w:rsidRDefault="008A3087" w:rsidP="00C3577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78A1026" w14:textId="07AEB0B6"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Dicho lo anterior, se procede a contextualizar la información solicitada, para ello, es de recordar que la parte Recurrente solicitó conocer información sobre la nómina de los servidores públicos, por lo que, es necesario traer a colación el Glosario localizado en la página de Transparencia Presupuestaria de la Secretaría de Hacienda y Crédito Público (consultado en </w:t>
      </w:r>
      <w:hyperlink r:id="rId9">
        <w:r w:rsidRPr="002927A4">
          <w:rPr>
            <w:rFonts w:ascii="Palatino Linotype" w:eastAsia="Palatino Linotype" w:hAnsi="Palatino Linotype" w:cs="Palatino Linotype"/>
            <w:sz w:val="22"/>
            <w:szCs w:val="22"/>
            <w:u w:val="single"/>
          </w:rPr>
          <w:t>https://www.transparenciapresupuestaria.gob.mx/es/PTP/Glosario</w:t>
        </w:r>
      </w:hyperlink>
      <w:r w:rsidRPr="002927A4">
        <w:rPr>
          <w:rFonts w:ascii="Palatino Linotype" w:eastAsia="Palatino Linotype" w:hAnsi="Palatino Linotype" w:cs="Palatino Linotype"/>
          <w:sz w:val="22"/>
          <w:szCs w:val="22"/>
        </w:rPr>
        <w:t>), establece que:</w:t>
      </w:r>
    </w:p>
    <w:p w14:paraId="669A5A25" w14:textId="77777777" w:rsidR="00203CA6" w:rsidRPr="002927A4" w:rsidRDefault="00203CA6" w:rsidP="00203CA6">
      <w:pPr>
        <w:tabs>
          <w:tab w:val="left" w:pos="3261"/>
        </w:tabs>
        <w:spacing w:line="360" w:lineRule="auto"/>
        <w:jc w:val="both"/>
        <w:rPr>
          <w:rFonts w:ascii="Palatino Linotype" w:eastAsia="Palatino Linotype" w:hAnsi="Palatino Linotype" w:cs="Palatino Linotype"/>
          <w:sz w:val="22"/>
          <w:szCs w:val="22"/>
        </w:rPr>
      </w:pPr>
    </w:p>
    <w:p w14:paraId="4A811D33" w14:textId="77777777" w:rsidR="00203CA6" w:rsidRPr="002927A4" w:rsidRDefault="00203CA6" w:rsidP="00203CA6">
      <w:pPr>
        <w:spacing w:line="360" w:lineRule="auto"/>
        <w:jc w:val="center"/>
        <w:rPr>
          <w:rFonts w:ascii="Palatino Linotype" w:eastAsia="Palatino Linotype" w:hAnsi="Palatino Linotype" w:cs="Palatino Linotype"/>
          <w:sz w:val="22"/>
          <w:szCs w:val="22"/>
        </w:rPr>
      </w:pPr>
      <w:r w:rsidRPr="002927A4">
        <w:rPr>
          <w:rFonts w:ascii="Palatino Linotype" w:eastAsia="Palatino Linotype" w:hAnsi="Palatino Linotype" w:cs="Palatino Linotype"/>
          <w:noProof/>
          <w:sz w:val="22"/>
          <w:szCs w:val="22"/>
        </w:rPr>
        <w:drawing>
          <wp:inline distT="0" distB="0" distL="0" distR="0" wp14:anchorId="12099DAE" wp14:editId="15F2E5A5">
            <wp:extent cx="4186953" cy="1197435"/>
            <wp:effectExtent l="0" t="0" r="0" b="0"/>
            <wp:docPr id="6744007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186953" cy="1197435"/>
                    </a:xfrm>
                    <a:prstGeom prst="rect">
                      <a:avLst/>
                    </a:prstGeom>
                    <a:ln/>
                  </pic:spPr>
                </pic:pic>
              </a:graphicData>
            </a:graphic>
          </wp:inline>
        </w:drawing>
      </w:r>
    </w:p>
    <w:p w14:paraId="564A0C9C"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71D2A9C4"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1">
        <w:r w:rsidRPr="002927A4">
          <w:rPr>
            <w:rFonts w:ascii="Palatino Linotype" w:eastAsia="Palatino Linotype" w:hAnsi="Palatino Linotype" w:cs="Palatino Linotype"/>
            <w:sz w:val="22"/>
            <w:szCs w:val="22"/>
            <w:u w:val="single"/>
          </w:rPr>
          <w:t>http://www.apartados.hacienda.gob.mx/contabilidad/documentos/informe_cuenta/1998/cuenta_publica/Glosario/n.htm</w:t>
        </w:r>
      </w:hyperlink>
      <w:r w:rsidRPr="002927A4">
        <w:rPr>
          <w:rFonts w:ascii="Palatino Linotype" w:eastAsia="Palatino Linotype" w:hAnsi="Palatino Linotype" w:cs="Palatino Linotype"/>
          <w:sz w:val="22"/>
          <w:szCs w:val="22"/>
        </w:rPr>
        <w:t>), establece que la nómina es un listado general de los trabajadores de una institución, en el cual se asientan las percepciones brutas, deducciones y alcance neto de las mismas.</w:t>
      </w:r>
    </w:p>
    <w:p w14:paraId="39C7B007"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3CB8BEB5"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Conforme a lo anterior, se puede advertir que la nómina se puede referir a lo siguiente:</w:t>
      </w:r>
    </w:p>
    <w:p w14:paraId="1678E825"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w:t>
      </w:r>
    </w:p>
    <w:p w14:paraId="376E845F" w14:textId="77777777" w:rsidR="00203CA6" w:rsidRPr="002927A4" w:rsidRDefault="00203CA6" w:rsidP="00203CA6">
      <w:pPr>
        <w:tabs>
          <w:tab w:val="left" w:pos="8222"/>
        </w:tabs>
        <w:ind w:left="567" w:right="709"/>
        <w:jc w:val="both"/>
        <w:rPr>
          <w:rFonts w:ascii="Palatino Linotype" w:eastAsia="Palatino Linotype" w:hAnsi="Palatino Linotype" w:cs="Palatino Linotype"/>
          <w:b/>
          <w:bCs/>
          <w:sz w:val="22"/>
          <w:szCs w:val="22"/>
        </w:rPr>
      </w:pPr>
      <w:r w:rsidRPr="002927A4">
        <w:rPr>
          <w:rFonts w:ascii="Palatino Linotype" w:eastAsia="Palatino Linotype" w:hAnsi="Palatino Linotype" w:cs="Palatino Linotype"/>
          <w:b/>
          <w:bCs/>
          <w:sz w:val="22"/>
          <w:szCs w:val="22"/>
        </w:rPr>
        <w:t>a)      Relación de trabajadores con las percepciones monetarias de cada uno.</w:t>
      </w:r>
    </w:p>
    <w:p w14:paraId="25D8FB71" w14:textId="77777777" w:rsidR="00203CA6" w:rsidRPr="002927A4" w:rsidRDefault="00203CA6" w:rsidP="00203CA6">
      <w:pPr>
        <w:tabs>
          <w:tab w:val="left" w:pos="8222"/>
        </w:tabs>
        <w:ind w:left="567" w:right="709"/>
        <w:jc w:val="both"/>
        <w:rPr>
          <w:rFonts w:ascii="Palatino Linotype" w:eastAsia="Palatino Linotype" w:hAnsi="Palatino Linotype" w:cs="Palatino Linotype"/>
          <w:b/>
          <w:bCs/>
          <w:sz w:val="22"/>
          <w:szCs w:val="22"/>
        </w:rPr>
      </w:pPr>
      <w:r w:rsidRPr="002927A4">
        <w:rPr>
          <w:rFonts w:ascii="Palatino Linotype" w:eastAsia="Palatino Linotype" w:hAnsi="Palatino Linotype" w:cs="Palatino Linotype"/>
          <w:b/>
          <w:bCs/>
          <w:sz w:val="22"/>
          <w:szCs w:val="22"/>
        </w:rPr>
        <w:t>b)      Recibo individual que contiene las prestaciones y deducciones de un trabajador.</w:t>
      </w:r>
    </w:p>
    <w:p w14:paraId="1032EA1B" w14:textId="77777777" w:rsidR="00203CA6" w:rsidRPr="002927A4" w:rsidRDefault="00203CA6" w:rsidP="00203CA6">
      <w:pPr>
        <w:tabs>
          <w:tab w:val="left" w:pos="8222"/>
        </w:tabs>
        <w:ind w:left="567" w:right="709"/>
        <w:jc w:val="both"/>
        <w:rPr>
          <w:rFonts w:ascii="Palatino Linotype" w:eastAsia="Palatino Linotype" w:hAnsi="Palatino Linotype" w:cs="Palatino Linotype"/>
          <w:b/>
          <w:bCs/>
          <w:sz w:val="22"/>
          <w:szCs w:val="22"/>
        </w:rPr>
      </w:pPr>
      <w:r w:rsidRPr="002927A4">
        <w:rPr>
          <w:rFonts w:ascii="Palatino Linotype" w:eastAsia="Palatino Linotype" w:hAnsi="Palatino Linotype" w:cs="Palatino Linotype"/>
          <w:b/>
          <w:bCs/>
          <w:sz w:val="22"/>
          <w:szCs w:val="22"/>
        </w:rPr>
        <w:t>c)       Listado general de los servidores públicos de una institución o dependencia, en el cual se asientan las percepciones brutas, deducciones y alcance neto de las mismas.</w:t>
      </w:r>
    </w:p>
    <w:p w14:paraId="0C4BCF4D"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535C6702" w14:textId="77777777" w:rsidR="00203CA6" w:rsidRPr="002927A4" w:rsidRDefault="00203CA6" w:rsidP="00203CA6">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1AE88DBF" w14:textId="77777777" w:rsidR="00203CA6" w:rsidRPr="002927A4" w:rsidRDefault="00203CA6" w:rsidP="00203CA6">
      <w:pPr>
        <w:spacing w:line="360" w:lineRule="auto"/>
        <w:ind w:right="49"/>
        <w:jc w:val="both"/>
        <w:rPr>
          <w:rFonts w:ascii="Palatino Linotype" w:eastAsia="Palatino Linotype" w:hAnsi="Palatino Linotype" w:cs="Palatino Linotype"/>
          <w:sz w:val="22"/>
          <w:szCs w:val="22"/>
        </w:rPr>
      </w:pPr>
    </w:p>
    <w:p w14:paraId="66929FF1" w14:textId="77777777" w:rsidR="00203CA6" w:rsidRPr="002927A4" w:rsidRDefault="00203CA6" w:rsidP="00203CA6">
      <w:pPr>
        <w:spacing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220ECC4D" w14:textId="77777777" w:rsidR="00203CA6" w:rsidRPr="002927A4" w:rsidRDefault="00203CA6" w:rsidP="00203CA6">
      <w:pPr>
        <w:spacing w:line="360" w:lineRule="auto"/>
        <w:ind w:right="49"/>
        <w:jc w:val="both"/>
        <w:rPr>
          <w:rFonts w:ascii="Palatino Linotype" w:eastAsia="Palatino Linotype" w:hAnsi="Palatino Linotype" w:cs="Palatino Linotype"/>
          <w:sz w:val="22"/>
          <w:szCs w:val="22"/>
        </w:rPr>
      </w:pPr>
    </w:p>
    <w:p w14:paraId="2CC06118"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6B599541" w14:textId="77777777" w:rsidR="00203CA6" w:rsidRPr="002927A4" w:rsidRDefault="00203CA6" w:rsidP="00203CA6">
      <w:pPr>
        <w:spacing w:line="360" w:lineRule="auto"/>
        <w:ind w:right="843"/>
        <w:jc w:val="both"/>
        <w:rPr>
          <w:rFonts w:ascii="Palatino Linotype" w:eastAsia="Palatino Linotype" w:hAnsi="Palatino Linotype" w:cs="Palatino Linotype"/>
          <w:i/>
          <w:sz w:val="22"/>
          <w:szCs w:val="22"/>
        </w:rPr>
      </w:pPr>
    </w:p>
    <w:p w14:paraId="66BFE003"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Por su parte, la Ley del Trabajo de los Servidores Públicos del Estado y Municipios, en su artículo 220 K, fracciones II y IV, establece que: </w:t>
      </w:r>
    </w:p>
    <w:p w14:paraId="6A01C79A"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61534A17"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220 K</w:t>
      </w:r>
      <w:r w:rsidRPr="002927A4">
        <w:rPr>
          <w:rFonts w:ascii="Palatino Linotype" w:eastAsia="Palatino Linotype" w:hAnsi="Palatino Linotype" w:cs="Palatino Linotype"/>
          <w:i/>
          <w:sz w:val="22"/>
          <w:szCs w:val="22"/>
        </w:rPr>
        <w:t>.- La institución o dependencia pública tiene la obligación de conservar y exhibir en el proceso los documentos que a continuación se precisan:</w:t>
      </w:r>
    </w:p>
    <w:p w14:paraId="534E4AD1"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7D99146E"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74B1BE5D"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61E0E01B"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IV. Recibos o las constancias de deposito o del medio de información magnética o electrónica que sean utilizadas para el pago de salarios, prima vacacional, aguinaldo y demás prestaciones establecidas en la presente ley; </w:t>
      </w:r>
    </w:p>
    <w:p w14:paraId="0B02626C" w14:textId="77777777" w:rsidR="00203CA6" w:rsidRPr="002927A4" w:rsidRDefault="00203CA6" w:rsidP="00203CA6">
      <w:pPr>
        <w:spacing w:line="360" w:lineRule="auto"/>
        <w:ind w:left="567" w:right="843"/>
        <w:jc w:val="both"/>
        <w:rPr>
          <w:rFonts w:ascii="Palatino Linotype" w:eastAsia="Palatino Linotype" w:hAnsi="Palatino Linotype" w:cs="Palatino Linotype"/>
          <w:i/>
          <w:sz w:val="22"/>
          <w:szCs w:val="22"/>
        </w:rPr>
      </w:pPr>
    </w:p>
    <w:p w14:paraId="75869150"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documentos que de manera enunciativa, más no limitativa pueden ser entregados por el Sujeto Obligado para colmar la pretensión del ahora Recurrente. </w:t>
      </w:r>
    </w:p>
    <w:p w14:paraId="4681A039"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75EC95C7"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Por otro lado, es de mencionar que el </w:t>
      </w:r>
      <w:r w:rsidRPr="002927A4">
        <w:rPr>
          <w:rFonts w:ascii="Palatino Linotype" w:eastAsia="Palatino Linotype" w:hAnsi="Palatino Linotype" w:cs="Palatino Linotype"/>
          <w:b/>
          <w:sz w:val="22"/>
          <w:szCs w:val="22"/>
        </w:rPr>
        <w:t xml:space="preserve">Sujeto Obligado </w:t>
      </w:r>
      <w:r w:rsidRPr="002927A4">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2927A4">
        <w:rPr>
          <w:rFonts w:ascii="Palatino Linotype" w:eastAsia="Palatino Linotype" w:hAnsi="Palatino Linotype" w:cs="Palatino Linotype"/>
          <w:i/>
          <w:sz w:val="22"/>
          <w:szCs w:val="22"/>
        </w:rPr>
        <w:t>conciliación de nómina</w:t>
      </w:r>
      <w:r w:rsidRPr="002927A4">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103AE2CA" w14:textId="77777777" w:rsidR="00203CA6" w:rsidRPr="002927A4" w:rsidRDefault="00203CA6" w:rsidP="00203CA6">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 la nómina, se encuentra en el Módulo 4 Información Administrativa, Submódulo Nómina (Plataforma Digital), como se muestra a continuación:</w:t>
      </w:r>
    </w:p>
    <w:p w14:paraId="3E1B1DA6" w14:textId="77777777" w:rsidR="00203CA6" w:rsidRPr="002927A4" w:rsidRDefault="00203CA6" w:rsidP="00203CA6">
      <w:pPr>
        <w:spacing w:before="240" w:after="240" w:line="360" w:lineRule="auto"/>
        <w:jc w:val="center"/>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noProof/>
          <w:sz w:val="22"/>
          <w:szCs w:val="22"/>
        </w:rPr>
        <w:drawing>
          <wp:inline distT="0" distB="0" distL="0" distR="0" wp14:anchorId="22609EB8" wp14:editId="6DBD7BEE">
            <wp:extent cx="4192183" cy="454612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831" cy="4567427"/>
                    </a:xfrm>
                    <a:prstGeom prst="rect">
                      <a:avLst/>
                    </a:prstGeom>
                  </pic:spPr>
                </pic:pic>
              </a:graphicData>
            </a:graphic>
          </wp:inline>
        </w:drawing>
      </w:r>
    </w:p>
    <w:p w14:paraId="314D40F9" w14:textId="77777777" w:rsidR="00203CA6" w:rsidRPr="002927A4" w:rsidRDefault="00203CA6" w:rsidP="00203CA6">
      <w:pPr>
        <w:spacing w:before="240" w:after="240" w:line="360" w:lineRule="auto"/>
        <w:jc w:val="both"/>
        <w:rPr>
          <w:rFonts w:ascii="Palatino Linotype" w:hAnsi="Palatino Linotype"/>
          <w:sz w:val="22"/>
          <w:szCs w:val="22"/>
        </w:rPr>
      </w:pPr>
      <w:r w:rsidRPr="002927A4">
        <w:rPr>
          <w:rFonts w:ascii="Palatino Linotype" w:hAnsi="Palatino Linotype"/>
          <w:sz w:val="22"/>
          <w:szCs w:val="22"/>
        </w:rPr>
        <w:t xml:space="preserve"> </w:t>
      </w:r>
      <w:r w:rsidRPr="002927A4">
        <w:rPr>
          <w:rFonts w:ascii="Palatino Linotype" w:eastAsia="Palatino Linotype" w:hAnsi="Palatino Linotype" w:cs="Palatino Linotype"/>
          <w:sz w:val="22"/>
          <w:szCs w:val="22"/>
        </w:rPr>
        <w:t>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7BC257DC" w14:textId="77777777" w:rsidR="00203CA6" w:rsidRPr="002927A4" w:rsidRDefault="00203CA6" w:rsidP="00203CA6">
      <w:pPr>
        <w:spacing w:before="240" w:after="240"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Y, debe presentarse a través de los formatos XLSX y TXT, siendo el primero el siguiente:</w:t>
      </w:r>
    </w:p>
    <w:p w14:paraId="69B19718" w14:textId="77777777" w:rsidR="00203CA6" w:rsidRPr="002927A4" w:rsidRDefault="00203CA6" w:rsidP="00203CA6">
      <w:pPr>
        <w:ind w:right="51"/>
        <w:jc w:val="center"/>
        <w:rPr>
          <w:rFonts w:ascii="Palatino Linotype" w:eastAsia="Palatino Linotype" w:hAnsi="Palatino Linotype" w:cs="Palatino Linotype"/>
          <w:sz w:val="22"/>
          <w:szCs w:val="22"/>
        </w:rPr>
      </w:pPr>
      <w:r w:rsidRPr="002927A4">
        <w:rPr>
          <w:rFonts w:ascii="Palatino Linotype" w:hAnsi="Palatino Linotype"/>
          <w:noProof/>
          <w:sz w:val="22"/>
          <w:szCs w:val="22"/>
        </w:rPr>
        <w:drawing>
          <wp:inline distT="0" distB="0" distL="0" distR="0" wp14:anchorId="2A949573" wp14:editId="21362C94">
            <wp:extent cx="4124325" cy="5419725"/>
            <wp:effectExtent l="0" t="0" r="9525" b="9525"/>
            <wp:docPr id="21401318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1" b="-191"/>
                    <a:stretch>
                      <a:fillRect/>
                    </a:stretch>
                  </pic:blipFill>
                  <pic:spPr>
                    <a:xfrm>
                      <a:off x="0" y="0"/>
                      <a:ext cx="4124519" cy="5419980"/>
                    </a:xfrm>
                    <a:prstGeom prst="rect">
                      <a:avLst/>
                    </a:prstGeom>
                    <a:ln/>
                  </pic:spPr>
                </pic:pic>
              </a:graphicData>
            </a:graphic>
          </wp:inline>
        </w:drawing>
      </w:r>
    </w:p>
    <w:p w14:paraId="25539D35" w14:textId="77777777" w:rsidR="00203CA6" w:rsidRPr="002927A4" w:rsidRDefault="00203CA6" w:rsidP="00203CA6">
      <w:pPr>
        <w:spacing w:before="240" w:line="360" w:lineRule="auto"/>
        <w:ind w:right="49"/>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Además, para el llenado de dicho formato se deben observar las siguientes consideraciones:</w:t>
      </w:r>
    </w:p>
    <w:p w14:paraId="13C2B5FA" w14:textId="77777777" w:rsidR="00203CA6" w:rsidRPr="002927A4" w:rsidRDefault="00203CA6" w:rsidP="00203CA6">
      <w:pPr>
        <w:spacing w:before="240" w:line="360" w:lineRule="auto"/>
        <w:ind w:right="49"/>
        <w:jc w:val="center"/>
        <w:rPr>
          <w:rFonts w:ascii="Palatino Linotype" w:eastAsia="Palatino Linotype" w:hAnsi="Palatino Linotype" w:cs="Palatino Linotype"/>
          <w:sz w:val="22"/>
          <w:szCs w:val="22"/>
        </w:rPr>
      </w:pPr>
      <w:r w:rsidRPr="002927A4">
        <w:rPr>
          <w:rFonts w:ascii="Palatino Linotype" w:hAnsi="Palatino Linotype"/>
          <w:noProof/>
          <w:sz w:val="22"/>
          <w:szCs w:val="22"/>
        </w:rPr>
        <w:drawing>
          <wp:inline distT="0" distB="0" distL="0" distR="0" wp14:anchorId="3658EE67" wp14:editId="0CBEA795">
            <wp:extent cx="4644000" cy="1276864"/>
            <wp:effectExtent l="0" t="0" r="0" b="0"/>
            <wp:docPr id="21401318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44000" cy="1276864"/>
                    </a:xfrm>
                    <a:prstGeom prst="rect">
                      <a:avLst/>
                    </a:prstGeom>
                    <a:ln/>
                  </pic:spPr>
                </pic:pic>
              </a:graphicData>
            </a:graphic>
          </wp:inline>
        </w:drawing>
      </w:r>
      <w:r w:rsidRPr="002927A4">
        <w:rPr>
          <w:rFonts w:ascii="Palatino Linotype" w:hAnsi="Palatino Linotype"/>
          <w:noProof/>
          <w:sz w:val="22"/>
          <w:szCs w:val="22"/>
        </w:rPr>
        <w:drawing>
          <wp:inline distT="0" distB="0" distL="0" distR="0" wp14:anchorId="092FC185" wp14:editId="081FBC40">
            <wp:extent cx="4642622" cy="4868323"/>
            <wp:effectExtent l="0" t="0" r="0" b="0"/>
            <wp:docPr id="21401318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b="207"/>
                    <a:stretch>
                      <a:fillRect/>
                    </a:stretch>
                  </pic:blipFill>
                  <pic:spPr>
                    <a:xfrm>
                      <a:off x="0" y="0"/>
                      <a:ext cx="4642622" cy="4868323"/>
                    </a:xfrm>
                    <a:prstGeom prst="rect">
                      <a:avLst/>
                    </a:prstGeom>
                    <a:ln/>
                  </pic:spPr>
                </pic:pic>
              </a:graphicData>
            </a:graphic>
          </wp:inline>
        </w:drawing>
      </w:r>
    </w:p>
    <w:p w14:paraId="2FCBE262"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w:t>
      </w:r>
      <w:r w:rsidRPr="002927A4">
        <w:rPr>
          <w:rFonts w:ascii="Palatino Linotype" w:eastAsia="Palatino Linotype" w:hAnsi="Palatino Linotype" w:cs="Palatino Linotype"/>
          <w:b/>
          <w:sz w:val="22"/>
          <w:szCs w:val="22"/>
        </w:rPr>
        <w:t>Nombre completo</w:t>
      </w:r>
      <w:r w:rsidRPr="002927A4">
        <w:rPr>
          <w:rFonts w:ascii="Palatino Linotype" w:eastAsia="Palatino Linotype" w:hAnsi="Palatino Linotype" w:cs="Palatino Linotype"/>
          <w:sz w:val="22"/>
          <w:szCs w:val="22"/>
        </w:rPr>
        <w:t xml:space="preserve">: Apellido Paterno, Apellido Materno, Nombre (s), Fecha de alta, Fecha de baja, </w:t>
      </w:r>
      <w:r w:rsidRPr="002927A4">
        <w:rPr>
          <w:rFonts w:ascii="Palatino Linotype" w:eastAsia="Palatino Linotype" w:hAnsi="Palatino Linotype" w:cs="Palatino Linotype"/>
          <w:b/>
          <w:sz w:val="22"/>
          <w:szCs w:val="22"/>
        </w:rPr>
        <w:t>Puesto funcional</w:t>
      </w:r>
      <w:r w:rsidRPr="002927A4">
        <w:rPr>
          <w:rFonts w:ascii="Palatino Linotype" w:eastAsia="Palatino Linotype" w:hAnsi="Palatino Linotype" w:cs="Palatino Linotype"/>
          <w:sz w:val="22"/>
          <w:szCs w:val="22"/>
        </w:rPr>
        <w:t xml:space="preserve">, Nivel y/o rango, No. de horas laboradas, </w:t>
      </w:r>
      <w:r w:rsidRPr="002927A4">
        <w:rPr>
          <w:rFonts w:ascii="Palatino Linotype" w:eastAsia="Palatino Linotype" w:hAnsi="Palatino Linotype" w:cs="Palatino Linotype"/>
          <w:b/>
          <w:sz w:val="22"/>
          <w:szCs w:val="22"/>
        </w:rPr>
        <w:t>Adscripción,</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Categoría: Confianza, Sindicalizado o Eventual</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Percepciones ordinarias</w:t>
      </w:r>
      <w:r w:rsidRPr="002927A4">
        <w:rPr>
          <w:rFonts w:ascii="Palatino Linotype" w:eastAsia="Palatino Linotype" w:hAnsi="Palatino Linotype" w:cs="Palatino Linotype"/>
          <w:sz w:val="22"/>
          <w:szCs w:val="22"/>
        </w:rPr>
        <w:t xml:space="preserve"> (de acuerdo al tabulador), </w:t>
      </w:r>
      <w:r w:rsidRPr="002927A4">
        <w:rPr>
          <w:rFonts w:ascii="Palatino Linotype" w:eastAsia="Palatino Linotype" w:hAnsi="Palatino Linotype" w:cs="Palatino Linotype"/>
          <w:b/>
          <w:sz w:val="22"/>
          <w:szCs w:val="22"/>
        </w:rPr>
        <w:t>Percepciones extraordinarias</w:t>
      </w:r>
      <w:r w:rsidRPr="002927A4">
        <w:rPr>
          <w:rFonts w:ascii="Palatino Linotype" w:eastAsia="Palatino Linotype" w:hAnsi="Palatino Linotype" w:cs="Palatino Linotype"/>
          <w:sz w:val="22"/>
          <w:szCs w:val="22"/>
        </w:rPr>
        <w:t xml:space="preserve">, </w:t>
      </w:r>
      <w:r w:rsidRPr="002927A4">
        <w:rPr>
          <w:rFonts w:ascii="Palatino Linotype" w:eastAsia="Palatino Linotype" w:hAnsi="Palatino Linotype" w:cs="Palatino Linotype"/>
          <w:b/>
          <w:sz w:val="22"/>
          <w:szCs w:val="22"/>
        </w:rPr>
        <w:t>Total de percepciones brutas; Deducciones; Total de deducciones, Total neto</w:t>
      </w:r>
      <w:r w:rsidRPr="002927A4">
        <w:rPr>
          <w:rFonts w:ascii="Palatino Linotype" w:eastAsia="Palatino Linotype" w:hAnsi="Palatino Linotype" w:cs="Palatino Linotype"/>
          <w:sz w:val="22"/>
          <w:szCs w:val="22"/>
        </w:rPr>
        <w:t xml:space="preserve">, Días pagados, Nombre de la fuente de financiamiento, Póliza, y Medio de pago. </w:t>
      </w:r>
    </w:p>
    <w:p w14:paraId="3BB883AC"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30A02E8F"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Además, es de mencionar que respecto a los sueldos y salarios pagados a servidores públicos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0C26EBF5" w14:textId="77777777" w:rsidR="00203CA6" w:rsidRPr="002927A4" w:rsidRDefault="00203CA6" w:rsidP="00203CA6">
      <w:pPr>
        <w:spacing w:line="360" w:lineRule="auto"/>
        <w:jc w:val="both"/>
        <w:rPr>
          <w:rFonts w:ascii="Palatino Linotype" w:eastAsia="Palatino Linotype" w:hAnsi="Palatino Linotype" w:cs="Palatino Linotype"/>
          <w:sz w:val="22"/>
          <w:szCs w:val="22"/>
        </w:rPr>
      </w:pPr>
    </w:p>
    <w:p w14:paraId="4C36DED5" w14:textId="77777777" w:rsidR="00203CA6" w:rsidRPr="002927A4" w:rsidRDefault="00203CA6" w:rsidP="00203CA6">
      <w:pPr>
        <w:ind w:left="567" w:right="843"/>
        <w:jc w:val="center"/>
        <w:rPr>
          <w:rFonts w:ascii="Palatino Linotype" w:eastAsia="Palatino Linotype" w:hAnsi="Palatino Linotype" w:cs="Palatino Linotype"/>
          <w:b/>
          <w:i/>
          <w:sz w:val="22"/>
          <w:szCs w:val="22"/>
        </w:rPr>
      </w:pPr>
      <w:r w:rsidRPr="002927A4">
        <w:rPr>
          <w:rFonts w:ascii="Palatino Linotype" w:eastAsia="Palatino Linotype" w:hAnsi="Palatino Linotype" w:cs="Palatino Linotype"/>
          <w:b/>
          <w:i/>
          <w:sz w:val="22"/>
          <w:szCs w:val="22"/>
        </w:rPr>
        <w:t>Ley de Transparencia y Acceso a la Información Pública del Estado de México y Municipios</w:t>
      </w:r>
    </w:p>
    <w:p w14:paraId="700F807F" w14:textId="77777777" w:rsidR="00203CA6" w:rsidRPr="002927A4" w:rsidRDefault="00203CA6" w:rsidP="00203CA6">
      <w:pPr>
        <w:ind w:left="567" w:right="843"/>
        <w:jc w:val="both"/>
        <w:rPr>
          <w:rFonts w:ascii="Palatino Linotype" w:eastAsia="Palatino Linotype" w:hAnsi="Palatino Linotype" w:cs="Palatino Linotype"/>
          <w:i/>
          <w:sz w:val="22"/>
          <w:szCs w:val="22"/>
        </w:rPr>
      </w:pPr>
    </w:p>
    <w:p w14:paraId="1DC1704A"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92.</w:t>
      </w:r>
      <w:r w:rsidRPr="002927A4">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FD8CF1"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3A14CD06" w14:textId="77777777" w:rsidR="00203CA6" w:rsidRPr="002927A4" w:rsidRDefault="00203CA6" w:rsidP="00203CA6">
      <w:pPr>
        <w:ind w:left="567" w:right="843"/>
        <w:jc w:val="both"/>
        <w:rPr>
          <w:rFonts w:ascii="Palatino Linotype" w:eastAsia="Palatino Linotype" w:hAnsi="Palatino Linotype" w:cs="Palatino Linotype"/>
          <w:b/>
          <w:i/>
          <w:sz w:val="22"/>
          <w:szCs w:val="22"/>
          <w:u w:val="single"/>
        </w:rPr>
      </w:pPr>
      <w:r w:rsidRPr="002927A4">
        <w:rPr>
          <w:rFonts w:ascii="Palatino Linotype" w:eastAsia="Palatino Linotype" w:hAnsi="Palatino Linotype" w:cs="Palatino Linotype"/>
          <w:b/>
          <w:i/>
          <w:sz w:val="22"/>
          <w:szCs w:val="22"/>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B0A1FFE" w14:textId="77777777" w:rsidR="00203CA6" w:rsidRPr="002927A4" w:rsidRDefault="00203CA6" w:rsidP="00203CA6">
      <w:pPr>
        <w:ind w:left="567" w:right="843"/>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5E7A31AE" w14:textId="77777777" w:rsidR="00203CA6" w:rsidRPr="002927A4" w:rsidRDefault="00203CA6" w:rsidP="00203CA6">
      <w:pPr>
        <w:spacing w:line="360" w:lineRule="auto"/>
        <w:ind w:right="134"/>
        <w:jc w:val="both"/>
        <w:rPr>
          <w:rFonts w:ascii="Palatino Linotype" w:eastAsia="Palatino Linotype" w:hAnsi="Palatino Linotype" w:cs="Palatino Linotype"/>
          <w:sz w:val="22"/>
          <w:szCs w:val="22"/>
        </w:rPr>
      </w:pPr>
    </w:p>
    <w:p w14:paraId="10D0DB52" w14:textId="77777777" w:rsidR="00203CA6" w:rsidRPr="002927A4" w:rsidRDefault="00203CA6" w:rsidP="00203CA6">
      <w:pPr>
        <w:spacing w:line="360" w:lineRule="auto"/>
        <w:ind w:right="13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14:paraId="19485000" w14:textId="77777777" w:rsidR="00203CA6" w:rsidRPr="002927A4" w:rsidRDefault="00203CA6" w:rsidP="00203CA6">
      <w:pPr>
        <w:spacing w:line="360" w:lineRule="auto"/>
        <w:ind w:right="134"/>
        <w:jc w:val="both"/>
        <w:rPr>
          <w:rFonts w:ascii="Palatino Linotype" w:eastAsia="Palatino Linotype" w:hAnsi="Palatino Linotype" w:cs="Palatino Linotype"/>
          <w:sz w:val="22"/>
          <w:szCs w:val="22"/>
        </w:rPr>
      </w:pPr>
    </w:p>
    <w:p w14:paraId="54FBB2D4" w14:textId="071A0440" w:rsidR="00494D0E" w:rsidRPr="002927A4" w:rsidRDefault="00203CA6" w:rsidP="00203CA6">
      <w:pPr>
        <w:spacing w:line="360" w:lineRule="auto"/>
        <w:ind w:right="13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Es de recordar que el servidor público que dio respuesta a la solicitud es la Tesorería Municipal, unidad administrativa </w:t>
      </w:r>
      <w:r w:rsidR="00494D0E" w:rsidRPr="002927A4">
        <w:rPr>
          <w:rFonts w:ascii="Palatino Linotype" w:eastAsia="Palatino Linotype" w:hAnsi="Palatino Linotype" w:cs="Palatino Linotype"/>
          <w:sz w:val="22"/>
          <w:szCs w:val="22"/>
        </w:rPr>
        <w:t xml:space="preserve">que de acuerdo al bando municipal, </w:t>
      </w:r>
      <w:r w:rsidR="00494D0E" w:rsidRPr="002927A4">
        <w:rPr>
          <w:rFonts w:ascii="Palatino Linotype" w:hAnsi="Palatino Linotype"/>
          <w:i/>
          <w:sz w:val="22"/>
          <w:szCs w:val="22"/>
        </w:rPr>
        <w:t>es el órgano encargado de la recaudación de los ingresos municipales y responsable de realizar las erogaciones que haga el Ayuntamiento; estará a cargo de un Tesorero Municipal, el cual al tomar posesión de su cargo, recibirá la Hacienda Pública de acuerdo con las previsiones a que se refiere el artículo 19 de la Ley Orgánica Municipal y remitirá un ejemplar de dicha documentación al Ayuntamiento, al Órgano Superior de Fiscalización del Estado de México y al Archivo de la Tesorería. El Tesorero Municipal tendrá las atribuciones que le confiere la Ley Orgánica Municipal, en su artículo 95 y demás disposiciones aplicables.</w:t>
      </w:r>
    </w:p>
    <w:p w14:paraId="4035D932" w14:textId="77777777" w:rsidR="00203CA6" w:rsidRPr="002927A4" w:rsidRDefault="00203CA6" w:rsidP="00203CA6">
      <w:pPr>
        <w:spacing w:line="360" w:lineRule="auto"/>
        <w:ind w:right="134"/>
        <w:jc w:val="both"/>
        <w:rPr>
          <w:rFonts w:ascii="Palatino Linotype" w:eastAsia="Palatino Linotype" w:hAnsi="Palatino Linotype" w:cs="Palatino Linotype"/>
          <w:sz w:val="22"/>
          <w:szCs w:val="22"/>
        </w:rPr>
      </w:pPr>
    </w:p>
    <w:p w14:paraId="4746E7BC" w14:textId="091E950C" w:rsidR="00AA5D5B" w:rsidRPr="002927A4" w:rsidRDefault="009E6D1D" w:rsidP="00477E95">
      <w:pPr>
        <w:spacing w:after="240" w:line="360" w:lineRule="auto"/>
        <w:jc w:val="both"/>
        <w:rPr>
          <w:rFonts w:ascii="Palatino Linotype" w:eastAsia="Palatino Linotype" w:hAnsi="Palatino Linotype" w:cs="Palatino Linotype"/>
          <w:sz w:val="22"/>
          <w:szCs w:val="22"/>
        </w:rPr>
      </w:pPr>
      <w:r w:rsidRPr="002927A4">
        <w:rPr>
          <w:rFonts w:ascii="Palatino Linotype" w:hAnsi="Palatino Linotype"/>
          <w:sz w:val="22"/>
          <w:szCs w:val="22"/>
        </w:rPr>
        <w:t xml:space="preserve">Dicho lo anterior, se advierte que, el Titular de la Unidad de Transparencia turnó la solicitud </w:t>
      </w:r>
      <w:r w:rsidR="00494D0E" w:rsidRPr="002927A4">
        <w:rPr>
          <w:rFonts w:ascii="Palatino Linotype" w:hAnsi="Palatino Linotype"/>
          <w:sz w:val="22"/>
          <w:szCs w:val="22"/>
        </w:rPr>
        <w:t>a la Tesorería Municipal</w:t>
      </w:r>
      <w:r w:rsidRPr="002927A4">
        <w:rPr>
          <w:rFonts w:ascii="Palatino Linotype" w:hAnsi="Palatino Linotype"/>
          <w:sz w:val="22"/>
          <w:szCs w:val="22"/>
        </w:rPr>
        <w:t>,</w:t>
      </w:r>
      <w:r w:rsidR="00D06EB7" w:rsidRPr="002927A4">
        <w:rPr>
          <w:rFonts w:ascii="Palatino Linotype" w:hAnsi="Palatino Linotype"/>
          <w:sz w:val="22"/>
          <w:szCs w:val="22"/>
        </w:rPr>
        <w:t xml:space="preserve"> en consecuencia, </w:t>
      </w:r>
      <w:r w:rsidR="00D561F5" w:rsidRPr="002927A4">
        <w:rPr>
          <w:rFonts w:ascii="Palatino Linotype" w:eastAsia="Palatino Linotype" w:hAnsi="Palatino Linotype" w:cs="Palatino Linotype"/>
          <w:sz w:val="22"/>
          <w:szCs w:val="22"/>
        </w:rPr>
        <w:t>se tiene que se</w:t>
      </w:r>
      <w:r w:rsidR="00AA5D5B" w:rsidRPr="002927A4">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74D4650" w14:textId="77777777"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2927A4">
        <w:rPr>
          <w:rFonts w:ascii="Palatino Linotype" w:eastAsia="Palatino Linotype" w:hAnsi="Palatino Linotype" w:cs="Palatino Linotype"/>
          <w:sz w:val="22"/>
          <w:szCs w:val="22"/>
        </w:rPr>
        <w:t xml:space="preserve">nte a la presentación de esta. </w:t>
      </w:r>
    </w:p>
    <w:p w14:paraId="51E0AB4B" w14:textId="77777777"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2927A4" w:rsidRDefault="00AA5D5B" w:rsidP="00AA5D5B">
      <w:pPr>
        <w:spacing w:after="240" w:line="360" w:lineRule="auto"/>
        <w:ind w:left="284"/>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C84FFDC" w14:textId="62DD7FE3" w:rsidR="009E6D1D" w:rsidRPr="002927A4" w:rsidRDefault="00AA5D5B"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 este orden de ideas, se reitera que </w:t>
      </w:r>
      <w:r w:rsidR="009E6D1D" w:rsidRPr="002927A4">
        <w:rPr>
          <w:rFonts w:ascii="Palatino Linotype" w:eastAsia="Palatino Linotype" w:hAnsi="Palatino Linotype" w:cs="Palatino Linotype"/>
          <w:sz w:val="22"/>
          <w:szCs w:val="22"/>
        </w:rPr>
        <w:t>la solicitud se turnó la solicitud a la unidad administrativa competentes, por lo que se acreditó la búsqueda exhaustiva y razonable de la información.</w:t>
      </w:r>
    </w:p>
    <w:p w14:paraId="45B30F0E" w14:textId="77777777" w:rsidR="001F7D7C" w:rsidRPr="002927A4" w:rsidRDefault="001F7D7C" w:rsidP="00AA5D5B">
      <w:pPr>
        <w:spacing w:line="360" w:lineRule="auto"/>
        <w:jc w:val="both"/>
        <w:rPr>
          <w:rFonts w:ascii="Palatino Linotype" w:eastAsia="Palatino Linotype" w:hAnsi="Palatino Linotype" w:cs="Palatino Linotype"/>
          <w:sz w:val="22"/>
          <w:szCs w:val="22"/>
        </w:rPr>
      </w:pPr>
    </w:p>
    <w:p w14:paraId="015578D0" w14:textId="02C670F4" w:rsidR="001F7D7C" w:rsidRPr="002927A4" w:rsidRDefault="001F7D7C"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Ahora bien, es de recordar que el </w:t>
      </w:r>
      <w:r w:rsidR="00AC45DF" w:rsidRPr="002927A4">
        <w:rPr>
          <w:rFonts w:ascii="Palatino Linotype" w:eastAsia="Palatino Linotype" w:hAnsi="Palatino Linotype" w:cs="Palatino Linotype"/>
          <w:sz w:val="22"/>
          <w:szCs w:val="22"/>
        </w:rPr>
        <w:t>Sujeto Obligado se limitó a proporcionar los recibos de nómina</w:t>
      </w:r>
      <w:r w:rsidR="00A04D4F" w:rsidRPr="002927A4">
        <w:rPr>
          <w:rFonts w:ascii="Palatino Linotype" w:eastAsia="Palatino Linotype" w:hAnsi="Palatino Linotype" w:cs="Palatino Linotype"/>
          <w:sz w:val="22"/>
          <w:szCs w:val="22"/>
        </w:rPr>
        <w:t xml:space="preserve"> de la primera quincena de octubre</w:t>
      </w:r>
      <w:r w:rsidR="00AC45DF" w:rsidRPr="002927A4">
        <w:rPr>
          <w:rFonts w:ascii="Palatino Linotype" w:eastAsia="Palatino Linotype" w:hAnsi="Palatino Linotype" w:cs="Palatino Linotype"/>
          <w:sz w:val="22"/>
          <w:szCs w:val="22"/>
        </w:rPr>
        <w:t xml:space="preserve"> de los integrantes del cabildo, es decir, Presidente, Regidores y Síndico Municipal</w:t>
      </w:r>
      <w:r w:rsidR="00A04D4F" w:rsidRPr="002927A4">
        <w:rPr>
          <w:rFonts w:ascii="Palatino Linotype" w:eastAsia="Palatino Linotype" w:hAnsi="Palatino Linotype" w:cs="Palatino Linotype"/>
          <w:sz w:val="22"/>
          <w:szCs w:val="22"/>
        </w:rPr>
        <w:t>, adicional a ello, proporcionó el recibo de nómina del Comisario de Seguridad Pública.</w:t>
      </w:r>
    </w:p>
    <w:p w14:paraId="11E7FFBC" w14:textId="77777777" w:rsidR="00A04D4F" w:rsidRPr="002927A4" w:rsidRDefault="00A04D4F" w:rsidP="00AA5D5B">
      <w:pPr>
        <w:spacing w:line="360" w:lineRule="auto"/>
        <w:jc w:val="both"/>
        <w:rPr>
          <w:rFonts w:ascii="Palatino Linotype" w:eastAsia="Palatino Linotype" w:hAnsi="Palatino Linotype" w:cs="Palatino Linotype"/>
          <w:sz w:val="22"/>
          <w:szCs w:val="22"/>
        </w:rPr>
      </w:pPr>
    </w:p>
    <w:p w14:paraId="0C4A8088" w14:textId="24E1D170" w:rsidR="00A04D4F" w:rsidRPr="002927A4" w:rsidRDefault="00A04D4F"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Es importante mencionar que, el Recurrente solicitó la nómina de todos los trabajadores, entendiéndose con esto a la conciliación de nómina; pues como se ha mencionado, este último documento es el concentrado de todos los trabajadores de una dependencia donde consta el total de sus percepciones y deducciones. </w:t>
      </w:r>
    </w:p>
    <w:p w14:paraId="062C8018" w14:textId="77777777" w:rsidR="00A04D4F" w:rsidRPr="002927A4" w:rsidRDefault="00A04D4F" w:rsidP="00AA5D5B">
      <w:pPr>
        <w:spacing w:line="360" w:lineRule="auto"/>
        <w:jc w:val="both"/>
        <w:rPr>
          <w:rFonts w:ascii="Palatino Linotype" w:eastAsia="Palatino Linotype" w:hAnsi="Palatino Linotype" w:cs="Palatino Linotype"/>
          <w:sz w:val="22"/>
          <w:szCs w:val="22"/>
        </w:rPr>
      </w:pPr>
    </w:p>
    <w:p w14:paraId="743ADA5A" w14:textId="1151DB79" w:rsidR="00A04D4F" w:rsidRPr="002927A4" w:rsidRDefault="00A04D4F"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Hasta este punto, se tienen dos conclusiones, siendo las siguientes:</w:t>
      </w:r>
    </w:p>
    <w:p w14:paraId="0C5D7B70" w14:textId="77777777" w:rsidR="00A04D4F" w:rsidRPr="002927A4" w:rsidRDefault="00A04D4F" w:rsidP="00AA5D5B">
      <w:pPr>
        <w:spacing w:line="360" w:lineRule="auto"/>
        <w:jc w:val="both"/>
        <w:rPr>
          <w:rFonts w:ascii="Palatino Linotype" w:eastAsia="Palatino Linotype" w:hAnsi="Palatino Linotype" w:cs="Palatino Linotype"/>
          <w:sz w:val="22"/>
          <w:szCs w:val="22"/>
        </w:rPr>
      </w:pPr>
    </w:p>
    <w:p w14:paraId="7955404A" w14:textId="51BDF1E4" w:rsidR="00A04D4F" w:rsidRPr="002927A4" w:rsidRDefault="00A04D4F" w:rsidP="00A04D4F">
      <w:pPr>
        <w:pStyle w:val="Prrafodelista"/>
        <w:numPr>
          <w:ilvl w:val="0"/>
          <w:numId w:val="13"/>
        </w:num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Se entregó información únicamente de algunos servidores públicos, siendo los integrantes del Cabildo y del Comisario de Seguridad;</w:t>
      </w:r>
    </w:p>
    <w:p w14:paraId="7EF595C9" w14:textId="0EC65C11" w:rsidR="00A04D4F" w:rsidRPr="002927A4" w:rsidRDefault="00A04D4F" w:rsidP="00A04D4F">
      <w:pPr>
        <w:pStyle w:val="Prrafodelista"/>
        <w:numPr>
          <w:ilvl w:val="0"/>
          <w:numId w:val="13"/>
        </w:num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Se proporcionaron recibos de nómina y no la conciliación de nómina. </w:t>
      </w:r>
    </w:p>
    <w:p w14:paraId="6AC69EC3" w14:textId="77777777" w:rsidR="00A04D4F" w:rsidRPr="002927A4" w:rsidRDefault="00A04D4F" w:rsidP="00AA5D5B">
      <w:pPr>
        <w:spacing w:line="360" w:lineRule="auto"/>
        <w:jc w:val="both"/>
        <w:rPr>
          <w:rFonts w:ascii="Palatino Linotype" w:eastAsia="Palatino Linotype" w:hAnsi="Palatino Linotype" w:cs="Palatino Linotype"/>
          <w:sz w:val="22"/>
          <w:szCs w:val="22"/>
        </w:rPr>
      </w:pPr>
    </w:p>
    <w:p w14:paraId="0C86EE67" w14:textId="1E447B59" w:rsidR="009E6D1D" w:rsidRPr="002927A4" w:rsidRDefault="00A04D4F"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En consecuencia, se determina que la información que proporcionó el Sujeto Obligado sobre este requerimiento es insuficiente para colmar el derecho accionado por el Recurrente, al corresponder a información que no fue solicitada</w:t>
      </w:r>
      <w:r w:rsidR="00D050D5" w:rsidRPr="002927A4">
        <w:rPr>
          <w:rFonts w:ascii="Palatino Linotype" w:eastAsia="Palatino Linotype" w:hAnsi="Palatino Linotype" w:cs="Palatino Linotype"/>
          <w:sz w:val="22"/>
          <w:szCs w:val="22"/>
        </w:rPr>
        <w:t>, además, de resultar incompleta.</w:t>
      </w:r>
    </w:p>
    <w:p w14:paraId="69C9C083" w14:textId="2A08D6C4" w:rsidR="00D050D5" w:rsidRPr="002927A4" w:rsidRDefault="00D050D5" w:rsidP="00AA5D5B">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 por lo anteriormente mencionado que se ORDENA al Sujeto Obligado entregar la conciliación de nómina del periodo comprendido de la primera quincena de enero a la segunda quincena de septiembre de dos mil veinticinco.</w:t>
      </w:r>
    </w:p>
    <w:p w14:paraId="5DA90964" w14:textId="77777777" w:rsidR="00A04D4F" w:rsidRPr="002927A4" w:rsidRDefault="00A04D4F" w:rsidP="00AA5D5B">
      <w:pPr>
        <w:spacing w:line="360" w:lineRule="auto"/>
        <w:jc w:val="both"/>
        <w:rPr>
          <w:rFonts w:ascii="Palatino Linotype" w:eastAsia="Palatino Linotype" w:hAnsi="Palatino Linotype" w:cs="Palatino Linotype"/>
          <w:sz w:val="22"/>
          <w:szCs w:val="22"/>
        </w:rPr>
      </w:pPr>
    </w:p>
    <w:p w14:paraId="6119E46A" w14:textId="11E0A9CF" w:rsidR="00E53604" w:rsidRPr="002927A4" w:rsidRDefault="00D050D5" w:rsidP="00D632AD">
      <w:pPr>
        <w:spacing w:line="360" w:lineRule="auto"/>
        <w:jc w:val="both"/>
        <w:rPr>
          <w:rFonts w:ascii="Palatino Linotype" w:hAnsi="Palatino Linotype"/>
          <w:sz w:val="22"/>
          <w:szCs w:val="22"/>
        </w:rPr>
      </w:pPr>
      <w:r w:rsidRPr="002927A4">
        <w:rPr>
          <w:rFonts w:ascii="Palatino Linotype" w:hAnsi="Palatino Linotype"/>
          <w:sz w:val="22"/>
          <w:szCs w:val="22"/>
        </w:rPr>
        <w:t>Para la elaboración de las versiones públicas, el Sujeto Obligado estará a lo dispuesto en el Considerando Quinto de la presente resolución.</w:t>
      </w:r>
    </w:p>
    <w:p w14:paraId="72DF23F7" w14:textId="77777777" w:rsidR="00D050D5" w:rsidRPr="002927A4" w:rsidRDefault="00D050D5" w:rsidP="00D632AD">
      <w:pPr>
        <w:spacing w:line="360" w:lineRule="auto"/>
        <w:jc w:val="both"/>
        <w:rPr>
          <w:rFonts w:ascii="Palatino Linotype" w:hAnsi="Palatino Linotype"/>
          <w:sz w:val="22"/>
          <w:szCs w:val="22"/>
        </w:rPr>
      </w:pPr>
    </w:p>
    <w:p w14:paraId="2246F67C"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Quinto. Versión Pública. </w:t>
      </w:r>
      <w:r w:rsidRPr="002927A4">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2927A4" w:rsidRDefault="00F36565">
      <w:pPr>
        <w:spacing w:line="360" w:lineRule="auto"/>
        <w:ind w:right="50"/>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2927A4"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Artículo 3.</w:t>
      </w:r>
      <w:r w:rsidRPr="002927A4">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07C497C9"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7BE5EF39"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91.</w:t>
      </w:r>
      <w:r w:rsidRPr="002927A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132.</w:t>
      </w:r>
      <w:r w:rsidRPr="002927A4">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2927A4" w:rsidRDefault="00F36565">
      <w:pPr>
        <w:tabs>
          <w:tab w:val="left" w:pos="1134"/>
        </w:tabs>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 Se reciba una solicitud de acceso a la información;</w:t>
      </w:r>
    </w:p>
    <w:p w14:paraId="45CEA9D2" w14:textId="77777777" w:rsidR="00C877F6" w:rsidRPr="002927A4" w:rsidRDefault="00F36565">
      <w:pPr>
        <w:tabs>
          <w:tab w:val="left" w:pos="1134"/>
        </w:tabs>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 Se determine mediante resolución de autoridad competente; o</w:t>
      </w:r>
    </w:p>
    <w:p w14:paraId="2455AA3E" w14:textId="77777777" w:rsidR="00C877F6" w:rsidRPr="002927A4" w:rsidRDefault="00F36565">
      <w:pPr>
        <w:tabs>
          <w:tab w:val="left" w:pos="1134"/>
        </w:tabs>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54A48D97"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Artículo 143</w:t>
      </w:r>
      <w:r w:rsidRPr="002927A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2927A4" w:rsidRDefault="00C877F6">
      <w:pPr>
        <w:ind w:left="567" w:right="616"/>
        <w:jc w:val="both"/>
        <w:rPr>
          <w:rFonts w:ascii="Palatino Linotype" w:eastAsia="Palatino Linotype" w:hAnsi="Palatino Linotype" w:cs="Palatino Linotype"/>
          <w:i/>
          <w:sz w:val="22"/>
          <w:szCs w:val="22"/>
        </w:rPr>
      </w:pPr>
    </w:p>
    <w:p w14:paraId="4931F605" w14:textId="12F467C1"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2927A4">
        <w:rPr>
          <w:rFonts w:ascii="Palatino Linotype" w:eastAsia="Palatino Linotype" w:hAnsi="Palatino Linotype" w:cs="Palatino Linotype"/>
          <w:sz w:val="22"/>
          <w:szCs w:val="22"/>
        </w:rPr>
        <w:t xml:space="preserve"> </w:t>
      </w:r>
    </w:p>
    <w:p w14:paraId="0E5A94BF" w14:textId="77777777" w:rsidR="00A95F85" w:rsidRPr="002927A4" w:rsidRDefault="00A95F85">
      <w:pPr>
        <w:spacing w:line="360" w:lineRule="auto"/>
        <w:jc w:val="both"/>
        <w:rPr>
          <w:rFonts w:ascii="Palatino Linotype" w:eastAsia="Palatino Linotype" w:hAnsi="Palatino Linotype" w:cs="Palatino Linotype"/>
          <w:sz w:val="22"/>
          <w:szCs w:val="22"/>
        </w:rPr>
      </w:pPr>
    </w:p>
    <w:p w14:paraId="29D36413"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2927A4">
        <w:rPr>
          <w:rFonts w:ascii="Palatino Linotype" w:hAnsi="Palatino Linotype"/>
          <w:b/>
          <w:bCs/>
          <w:sz w:val="22"/>
          <w:szCs w:val="22"/>
        </w:rPr>
        <w:t>Registro Federal de Contribuyentes</w:t>
      </w:r>
      <w:r w:rsidRPr="002927A4">
        <w:rPr>
          <w:rFonts w:ascii="Palatino Linotype" w:hAnsi="Palatino Linotype"/>
          <w:sz w:val="22"/>
          <w:szCs w:val="22"/>
        </w:rPr>
        <w:t xml:space="preserve"> (RFC), la </w:t>
      </w:r>
      <w:r w:rsidRPr="002927A4">
        <w:rPr>
          <w:rFonts w:ascii="Palatino Linotype" w:hAnsi="Palatino Linotype"/>
          <w:b/>
          <w:bCs/>
          <w:sz w:val="22"/>
          <w:szCs w:val="22"/>
        </w:rPr>
        <w:t>Clave Única de Registro de Población</w:t>
      </w:r>
      <w:r w:rsidRPr="002927A4">
        <w:rPr>
          <w:rFonts w:ascii="Palatino Linotype" w:hAnsi="Palatino Linotype"/>
          <w:sz w:val="22"/>
          <w:szCs w:val="22"/>
        </w:rPr>
        <w:t xml:space="preserve"> (CURP) y cualquier información de carácter personal, bajo las siguientes consideraciones. </w:t>
      </w:r>
    </w:p>
    <w:p w14:paraId="2DB2EE17" w14:textId="77777777" w:rsidR="00A95F85" w:rsidRPr="002927A4" w:rsidRDefault="00A95F85" w:rsidP="00A95F85">
      <w:pPr>
        <w:pStyle w:val="NormalWeb"/>
        <w:spacing w:before="240" w:beforeAutospacing="0" w:after="240" w:afterAutospacing="0" w:line="360" w:lineRule="auto"/>
        <w:ind w:right="49"/>
        <w:jc w:val="both"/>
        <w:rPr>
          <w:rFonts w:ascii="Palatino Linotype" w:hAnsi="Palatino Linotype"/>
          <w:sz w:val="22"/>
          <w:szCs w:val="22"/>
        </w:rPr>
      </w:pPr>
      <w:r w:rsidRPr="002927A4">
        <w:rPr>
          <w:rFonts w:ascii="Palatino Linotype" w:hAnsi="Palatino Linotype"/>
          <w:sz w:val="22"/>
          <w:szCs w:val="22"/>
        </w:rPr>
        <w:t>En cuanto al RFC, este constituye un dato personal, ya que para su obtención es necesario acreditar ante la autoridad fiscal previamente la identidad de la persona, su fecha de nacimiento, entre otros aspectos.</w:t>
      </w:r>
    </w:p>
    <w:p w14:paraId="4464C33E"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8A30806"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Lo anterior era compartido por el entonces Instituto Nacional de Transparencia, Acceso a la Información y Protección de Datos (INAI) a través del Criterio orientador 19/17, el cual es del tenor literal siguiente:</w:t>
      </w:r>
    </w:p>
    <w:p w14:paraId="5177BA9A" w14:textId="77777777" w:rsidR="00A95F85" w:rsidRPr="002927A4" w:rsidRDefault="00A95F85" w:rsidP="00A95F85">
      <w:pPr>
        <w:pStyle w:val="NormalWeb"/>
        <w:spacing w:before="240" w:beforeAutospacing="0" w:after="240" w:afterAutospacing="0"/>
        <w:ind w:left="851" w:right="616"/>
        <w:jc w:val="both"/>
        <w:rPr>
          <w:rFonts w:ascii="Palatino Linotype" w:hAnsi="Palatino Linotype"/>
          <w:sz w:val="22"/>
          <w:szCs w:val="22"/>
        </w:rPr>
      </w:pPr>
      <w:r w:rsidRPr="002927A4">
        <w:rPr>
          <w:rFonts w:ascii="Palatino Linotype" w:hAnsi="Palatino Linotype"/>
          <w:i/>
          <w:iCs/>
          <w:sz w:val="22"/>
          <w:szCs w:val="22"/>
        </w:rPr>
        <w:t>“</w:t>
      </w:r>
      <w:r w:rsidRPr="002927A4">
        <w:rPr>
          <w:rFonts w:ascii="Palatino Linotype" w:hAnsi="Palatino Linotype"/>
          <w:b/>
          <w:bCs/>
          <w:i/>
          <w:iCs/>
          <w:sz w:val="22"/>
          <w:szCs w:val="22"/>
        </w:rPr>
        <w:t xml:space="preserve">Registro Federal de Contribuyentes (RFC) de personas físicas. </w:t>
      </w:r>
      <w:r w:rsidRPr="002927A4">
        <w:rPr>
          <w:rFonts w:ascii="Palatino Linotype" w:hAnsi="Palatino Linotype"/>
          <w:i/>
          <w:iCs/>
          <w:sz w:val="22"/>
          <w:szCs w:val="22"/>
        </w:rPr>
        <w:t>El RFC es una clave de carácter fiscal, única e irrepetible, que permite identificar al titular, su edad y fecha de nacimiento, por lo que es un dato personal de carácter confidencial.” (Sic)</w:t>
      </w:r>
    </w:p>
    <w:p w14:paraId="793E796A"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CC4BEAF"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2D41E0F" w14:textId="77777777" w:rsidR="00A95F85" w:rsidRPr="002927A4" w:rsidRDefault="00A95F85" w:rsidP="00A95F85">
      <w:pPr>
        <w:pStyle w:val="NormalWeb"/>
        <w:spacing w:before="240" w:beforeAutospacing="0" w:after="240" w:afterAutospacing="0" w:line="360" w:lineRule="auto"/>
        <w:jc w:val="both"/>
        <w:rPr>
          <w:rFonts w:ascii="Palatino Linotype" w:hAnsi="Palatino Linotype"/>
          <w:sz w:val="22"/>
          <w:szCs w:val="22"/>
        </w:rPr>
      </w:pPr>
      <w:r w:rsidRPr="002927A4">
        <w:rPr>
          <w:rFonts w:ascii="Palatino Linotype" w:hAnsi="Palatino Linotype"/>
          <w:sz w:val="22"/>
          <w:szCs w:val="22"/>
        </w:rPr>
        <w:t>Argumento que era compartido por el entonces Instituto Nacional de Transparencia, Acceso a la Información y Protección de Datos (INAI)</w:t>
      </w:r>
      <w:r w:rsidRPr="002927A4">
        <w:rPr>
          <w:rFonts w:ascii="Palatino Linotype" w:hAnsi="Palatino Linotype"/>
          <w:b/>
          <w:bCs/>
          <w:sz w:val="22"/>
          <w:szCs w:val="22"/>
        </w:rPr>
        <w:t xml:space="preserve">, conforme al </w:t>
      </w:r>
      <w:r w:rsidRPr="002927A4">
        <w:rPr>
          <w:rFonts w:ascii="Palatino Linotype" w:hAnsi="Palatino Linotype"/>
          <w:sz w:val="22"/>
          <w:szCs w:val="22"/>
        </w:rPr>
        <w:t>criterio orientador número 18/17, el cual refiere: </w:t>
      </w:r>
    </w:p>
    <w:p w14:paraId="2E92013D" w14:textId="77777777" w:rsidR="00A95F85" w:rsidRPr="002927A4" w:rsidRDefault="00A95F85" w:rsidP="00A95F85">
      <w:pPr>
        <w:pStyle w:val="NormalWeb"/>
        <w:spacing w:before="240" w:beforeAutospacing="0" w:after="240" w:afterAutospacing="0" w:line="276" w:lineRule="auto"/>
        <w:ind w:left="851" w:right="616"/>
        <w:jc w:val="both"/>
        <w:rPr>
          <w:rFonts w:ascii="Palatino Linotype" w:hAnsi="Palatino Linotype"/>
          <w:sz w:val="22"/>
          <w:szCs w:val="22"/>
        </w:rPr>
      </w:pPr>
      <w:r w:rsidRPr="002927A4">
        <w:rPr>
          <w:rFonts w:ascii="Palatino Linotype" w:hAnsi="Palatino Linotype"/>
          <w:i/>
          <w:iCs/>
          <w:sz w:val="22"/>
          <w:szCs w:val="22"/>
        </w:rPr>
        <w:t>“</w:t>
      </w:r>
      <w:r w:rsidRPr="002927A4">
        <w:rPr>
          <w:rFonts w:ascii="Palatino Linotype" w:hAnsi="Palatino Linotype"/>
          <w:b/>
          <w:bCs/>
          <w:i/>
          <w:iCs/>
          <w:sz w:val="22"/>
          <w:szCs w:val="22"/>
        </w:rPr>
        <w:t xml:space="preserve">Clave Única de Registro de Población (CURP). </w:t>
      </w:r>
      <w:r w:rsidRPr="002927A4">
        <w:rPr>
          <w:rFonts w:ascii="Palatino Linotype" w:hAnsi="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687B16C" w14:textId="77777777" w:rsidR="009A5579" w:rsidRPr="002927A4" w:rsidRDefault="009A5579">
      <w:pPr>
        <w:spacing w:line="360" w:lineRule="auto"/>
        <w:jc w:val="both"/>
        <w:rPr>
          <w:rFonts w:ascii="Palatino Linotype" w:eastAsia="Palatino Linotype" w:hAnsi="Palatino Linotype" w:cs="Palatino Linotype"/>
          <w:sz w:val="22"/>
          <w:szCs w:val="22"/>
        </w:rPr>
      </w:pPr>
    </w:p>
    <w:p w14:paraId="4E5332F5" w14:textId="51A8A1C3" w:rsidR="009A5579" w:rsidRPr="002927A4" w:rsidRDefault="009A5579" w:rsidP="004C19EC">
      <w:pPr>
        <w:spacing w:line="360" w:lineRule="auto"/>
        <w:jc w:val="both"/>
        <w:rPr>
          <w:rFonts w:ascii="Palatino Linotype" w:hAnsi="Palatino Linotype" w:cs="Tahoma"/>
          <w:bCs/>
          <w:szCs w:val="22"/>
        </w:rPr>
      </w:pPr>
      <w:r w:rsidRPr="002927A4">
        <w:rPr>
          <w:rFonts w:ascii="Palatino Linotype" w:eastAsia="Palatino Linotype" w:hAnsi="Palatino Linotype" w:cs="Palatino Linotype"/>
          <w:b/>
          <w:sz w:val="22"/>
          <w:szCs w:val="22"/>
        </w:rPr>
        <w:t>Deducciones personales</w:t>
      </w:r>
      <w:r w:rsidR="004C19EC" w:rsidRPr="002927A4">
        <w:rPr>
          <w:rFonts w:ascii="Palatino Linotype" w:eastAsia="Palatino Linotype" w:hAnsi="Palatino Linotype" w:cs="Palatino Linotype"/>
          <w:b/>
          <w:sz w:val="22"/>
          <w:szCs w:val="22"/>
        </w:rPr>
        <w:t xml:space="preserve">. </w:t>
      </w:r>
      <w:r w:rsidRPr="002927A4">
        <w:rPr>
          <w:rFonts w:ascii="Palatino Linotype" w:hAnsi="Palatino Linotype" w:cs="Tahoma"/>
          <w:bCs/>
          <w:szCs w:val="22"/>
        </w:rPr>
        <w:t xml:space="preserve">Es necesario precisar que existen deducciones que se generan con motivo de una decisión libre y voluntaria de los servidores públicos, como son: créditos personales, </w:t>
      </w:r>
      <w:r w:rsidRPr="002927A4">
        <w:rPr>
          <w:rFonts w:ascii="Palatino Linotype" w:hAnsi="Palatino Linotype" w:cs="Tahoma"/>
          <w:b/>
          <w:bCs/>
          <w:szCs w:val="22"/>
          <w:u w:val="single"/>
        </w:rPr>
        <w:t>cuotas sindicales y fondo de resistencia del Sindicato Único de Trabajadores de los Poderes, Municipios e Institución Descentralizadas del Estado de México</w:t>
      </w:r>
      <w:r w:rsidRPr="002927A4">
        <w:rPr>
          <w:rFonts w:ascii="Palatino Linotype" w:hAnsi="Palatino Linotype" w:cs="Tahoma"/>
          <w:bCs/>
          <w:szCs w:val="22"/>
        </w:rPr>
        <w:t>, seguro de vida, accidentes y enfermedades.</w:t>
      </w:r>
    </w:p>
    <w:p w14:paraId="68D6BFF0" w14:textId="77777777" w:rsidR="009A5579" w:rsidRPr="002927A4" w:rsidRDefault="009A5579" w:rsidP="009A5579">
      <w:pPr>
        <w:pStyle w:val="Prrafodelista"/>
        <w:spacing w:line="360" w:lineRule="auto"/>
        <w:ind w:left="0"/>
        <w:jc w:val="both"/>
        <w:rPr>
          <w:rFonts w:ascii="Palatino Linotype" w:hAnsi="Palatino Linotype" w:cs="Tahoma"/>
          <w:bCs/>
          <w:szCs w:val="22"/>
        </w:rPr>
      </w:pPr>
    </w:p>
    <w:p w14:paraId="118E3959" w14:textId="77777777" w:rsidR="009A5579" w:rsidRPr="002927A4" w:rsidRDefault="009A5579" w:rsidP="009A5579">
      <w:pPr>
        <w:pStyle w:val="Prrafodelista"/>
        <w:spacing w:line="360" w:lineRule="auto"/>
        <w:ind w:left="0"/>
        <w:jc w:val="both"/>
        <w:rPr>
          <w:rFonts w:ascii="Palatino Linotype" w:hAnsi="Palatino Linotype" w:cs="Tahoma"/>
          <w:bCs/>
          <w:szCs w:val="22"/>
        </w:rPr>
      </w:pPr>
      <w:r w:rsidRPr="002927A4">
        <w:rPr>
          <w:rFonts w:ascii="Palatino Linotype" w:hAnsi="Palatino Linotype" w:cs="Tahoma"/>
          <w:bCs/>
          <w:szCs w:val="22"/>
        </w:rPr>
        <w:t xml:space="preserve">Asimismo, hay otras que se generan con motivo de una sentencia judicial, como es la pensión alimenticia que periódicamente se retira de la cuenta de un empleado, a efecto de que sea entregado a un tercero.  </w:t>
      </w:r>
    </w:p>
    <w:p w14:paraId="183AD909" w14:textId="77777777" w:rsidR="009A5579" w:rsidRPr="002927A4" w:rsidRDefault="009A5579" w:rsidP="009A5579">
      <w:pPr>
        <w:pStyle w:val="Prrafodelista"/>
        <w:spacing w:line="360" w:lineRule="auto"/>
        <w:jc w:val="both"/>
        <w:rPr>
          <w:rFonts w:ascii="Palatino Linotype" w:hAnsi="Palatino Linotype" w:cs="Tahoma"/>
          <w:bCs/>
          <w:szCs w:val="22"/>
        </w:rPr>
      </w:pPr>
    </w:p>
    <w:p w14:paraId="24A4EF9C" w14:textId="77777777" w:rsidR="009A5579" w:rsidRPr="002927A4" w:rsidRDefault="009A5579" w:rsidP="009A5579">
      <w:pPr>
        <w:pStyle w:val="Prrafodelista"/>
        <w:spacing w:line="360" w:lineRule="auto"/>
        <w:ind w:left="0"/>
        <w:jc w:val="both"/>
        <w:rPr>
          <w:rFonts w:ascii="Palatino Linotype" w:hAnsi="Palatino Linotype" w:cs="Tahoma"/>
          <w:bCs/>
          <w:szCs w:val="22"/>
        </w:rPr>
      </w:pPr>
      <w:r w:rsidRPr="002927A4">
        <w:rPr>
          <w:rFonts w:ascii="Palatino Linotype" w:hAnsi="Palatino Linotype" w:cs="Tahoma"/>
          <w:bCs/>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6688F622" w14:textId="77777777" w:rsidR="009A5579" w:rsidRPr="002927A4" w:rsidRDefault="009A5579" w:rsidP="009A5579">
      <w:pPr>
        <w:pStyle w:val="Prrafodelista"/>
        <w:spacing w:line="360" w:lineRule="auto"/>
        <w:jc w:val="both"/>
        <w:rPr>
          <w:rFonts w:ascii="Palatino Linotype" w:hAnsi="Palatino Linotype" w:cs="Tahoma"/>
          <w:bCs/>
          <w:szCs w:val="22"/>
        </w:rPr>
      </w:pPr>
    </w:p>
    <w:p w14:paraId="2F57549D" w14:textId="77777777" w:rsidR="009A5579" w:rsidRPr="002927A4" w:rsidRDefault="009A5579" w:rsidP="009A5579">
      <w:pPr>
        <w:pStyle w:val="Prrafodelista"/>
        <w:spacing w:line="360" w:lineRule="auto"/>
        <w:ind w:left="0"/>
        <w:jc w:val="both"/>
        <w:rPr>
          <w:rFonts w:ascii="Palatino Linotype" w:hAnsi="Palatino Linotype" w:cs="Tahoma"/>
          <w:bCs/>
          <w:szCs w:val="22"/>
        </w:rPr>
      </w:pPr>
      <w:r w:rsidRPr="002927A4">
        <w:rPr>
          <w:rFonts w:ascii="Palatino Linotype" w:hAnsi="Palatino Linotype" w:cs="Tahoma"/>
          <w:bCs/>
          <w:szCs w:val="22"/>
        </w:rPr>
        <w:t>Así, dichas deducciones reflejan el destino que un servidor público da a su patrimonio, lo que se aleja de la transparencia y rendición de cuentas.</w:t>
      </w:r>
    </w:p>
    <w:p w14:paraId="19251340" w14:textId="77777777" w:rsidR="004C19EC" w:rsidRPr="002927A4" w:rsidRDefault="004C19EC" w:rsidP="009A5579">
      <w:pPr>
        <w:pStyle w:val="Prrafodelista"/>
        <w:spacing w:line="360" w:lineRule="auto"/>
        <w:ind w:left="0"/>
        <w:jc w:val="both"/>
        <w:rPr>
          <w:rFonts w:ascii="Palatino Linotype" w:hAnsi="Palatino Linotype" w:cs="Tahoma"/>
          <w:bCs/>
          <w:szCs w:val="22"/>
        </w:rPr>
      </w:pPr>
    </w:p>
    <w:p w14:paraId="3E6049EE" w14:textId="37369986" w:rsidR="004C19EC" w:rsidRPr="002927A4" w:rsidRDefault="004C19EC" w:rsidP="009A5579">
      <w:pPr>
        <w:pStyle w:val="Prrafodelista"/>
        <w:spacing w:line="360" w:lineRule="auto"/>
        <w:ind w:left="0"/>
        <w:jc w:val="both"/>
        <w:rPr>
          <w:rFonts w:ascii="Palatino Linotype" w:hAnsi="Palatino Linotype" w:cs="Tahoma"/>
          <w:bCs/>
          <w:szCs w:val="22"/>
        </w:rPr>
      </w:pPr>
      <w:r w:rsidRPr="002927A4">
        <w:rPr>
          <w:rFonts w:ascii="Palatino Linotype" w:hAnsi="Palatino Linotype" w:cs="Tahoma"/>
          <w:bCs/>
          <w:szCs w:val="22"/>
        </w:rPr>
        <w:t>Clave de seguridad social.</w:t>
      </w:r>
    </w:p>
    <w:p w14:paraId="6CD2CCB2" w14:textId="77777777" w:rsidR="004C19EC" w:rsidRPr="002927A4" w:rsidRDefault="004C19EC" w:rsidP="004C19EC">
      <w:pPr>
        <w:pStyle w:val="Prrafodelista"/>
        <w:spacing w:line="360" w:lineRule="auto"/>
        <w:ind w:left="0"/>
        <w:jc w:val="both"/>
        <w:rPr>
          <w:rFonts w:ascii="Palatino Linotype" w:hAnsi="Palatino Linotype" w:cs="Tahoma"/>
          <w:bCs/>
          <w:iCs/>
          <w:szCs w:val="22"/>
        </w:rPr>
      </w:pPr>
      <w:r w:rsidRPr="002927A4">
        <w:rPr>
          <w:rFonts w:ascii="Palatino Linotype" w:hAnsi="Palatino Linotype" w:cs="Tahoma"/>
          <w:bCs/>
          <w:iCs/>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E03BF6C" w14:textId="77777777" w:rsidR="004C19EC" w:rsidRPr="002927A4" w:rsidRDefault="004C19EC" w:rsidP="004C19EC">
      <w:pPr>
        <w:pStyle w:val="Prrafodelista"/>
        <w:spacing w:line="360" w:lineRule="auto"/>
        <w:ind w:left="0"/>
        <w:jc w:val="both"/>
        <w:rPr>
          <w:rFonts w:ascii="Palatino Linotype" w:hAnsi="Palatino Linotype" w:cs="Tahoma"/>
          <w:bCs/>
          <w:iCs/>
          <w:szCs w:val="22"/>
        </w:rPr>
      </w:pPr>
    </w:p>
    <w:p w14:paraId="20D38EB1" w14:textId="77777777" w:rsidR="004C19EC" w:rsidRPr="002927A4" w:rsidRDefault="004C19EC" w:rsidP="004C19EC">
      <w:pPr>
        <w:pStyle w:val="Prrafodelista"/>
        <w:spacing w:line="360" w:lineRule="auto"/>
        <w:ind w:left="0"/>
        <w:jc w:val="both"/>
        <w:rPr>
          <w:rFonts w:ascii="Palatino Linotype" w:hAnsi="Palatino Linotype" w:cs="Tahoma"/>
          <w:bCs/>
          <w:szCs w:val="22"/>
        </w:rPr>
      </w:pPr>
      <w:r w:rsidRPr="002927A4">
        <w:rPr>
          <w:rFonts w:ascii="Palatino Linotype" w:hAnsi="Palatino Linotype" w:cs="Tahoma"/>
          <w:bCs/>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F15EAE6" w14:textId="77777777" w:rsidR="004C19EC" w:rsidRPr="002927A4" w:rsidRDefault="004C19EC" w:rsidP="004C19EC">
      <w:pPr>
        <w:pStyle w:val="Prrafodelista"/>
        <w:spacing w:line="360" w:lineRule="auto"/>
        <w:jc w:val="both"/>
        <w:rPr>
          <w:rFonts w:ascii="Palatino Linotype" w:hAnsi="Palatino Linotype" w:cs="Tahoma"/>
          <w:bCs/>
          <w:szCs w:val="22"/>
        </w:rPr>
      </w:pPr>
    </w:p>
    <w:p w14:paraId="0DF228BE" w14:textId="36E16826" w:rsidR="009A5579" w:rsidRPr="002927A4" w:rsidRDefault="004C19EC" w:rsidP="004C19EC">
      <w:pPr>
        <w:spacing w:line="360" w:lineRule="auto"/>
        <w:jc w:val="both"/>
        <w:rPr>
          <w:rFonts w:ascii="Palatino Linotype" w:eastAsia="Palatino Linotype" w:hAnsi="Palatino Linotype" w:cs="Palatino Linotype"/>
          <w:sz w:val="22"/>
          <w:szCs w:val="22"/>
        </w:rPr>
      </w:pPr>
      <w:r w:rsidRPr="002927A4">
        <w:rPr>
          <w:rFonts w:ascii="Palatino Linotype" w:hAnsi="Palatino Linotype" w:cs="Tahoma"/>
          <w:bCs/>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7180B8D"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 “</w:t>
      </w:r>
      <w:r w:rsidRPr="002927A4">
        <w:rPr>
          <w:rFonts w:ascii="Palatino Linotype" w:eastAsia="Palatino Linotype" w:hAnsi="Palatino Linotype" w:cs="Palatino Linotype"/>
          <w:b/>
          <w:i/>
          <w:sz w:val="22"/>
          <w:szCs w:val="22"/>
        </w:rPr>
        <w:t>Quincuagésimo</w:t>
      </w:r>
      <w:r w:rsidRPr="002927A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Quincuagésimo primero.</w:t>
      </w:r>
      <w:r w:rsidRPr="002927A4">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 El número de sesión y fecha; </w:t>
      </w:r>
    </w:p>
    <w:p w14:paraId="241B2257"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IV. La resolución o resoluciones aprobadas; y </w:t>
      </w:r>
    </w:p>
    <w:p w14:paraId="682C4065"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Quincuagésimo segundo.</w:t>
      </w:r>
      <w:r w:rsidRPr="002927A4">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2927A4"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2927A4"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r w:rsidRPr="002927A4">
        <w:rPr>
          <w:rFonts w:ascii="Palatino Linotype" w:eastAsia="Palatino Linotype" w:hAnsi="Palatino Linotype" w:cs="Palatino Linotype"/>
          <w:b/>
          <w:i/>
          <w:sz w:val="22"/>
          <w:szCs w:val="22"/>
        </w:rPr>
        <w:t>Quincuagésimo cuarto.</w:t>
      </w:r>
      <w:r w:rsidRPr="002927A4">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Quincuagésimo quinto.</w:t>
      </w:r>
      <w:r w:rsidRPr="002927A4">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w:t>
      </w:r>
    </w:p>
    <w:p w14:paraId="09D096A7"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b/>
          <w:i/>
          <w:sz w:val="22"/>
          <w:szCs w:val="22"/>
        </w:rPr>
        <w:t>Quincuagésimo séptimo.</w:t>
      </w:r>
      <w:r w:rsidRPr="002927A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2927A4" w:rsidRDefault="00F36565">
      <w:pPr>
        <w:ind w:left="567" w:right="616"/>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2927A4"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2927A4" w:rsidRDefault="00F3656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1A61E38" w14:textId="77777777" w:rsidR="00A95F85" w:rsidRPr="002927A4" w:rsidRDefault="00A95F85">
      <w:pPr>
        <w:spacing w:line="360" w:lineRule="auto"/>
        <w:jc w:val="both"/>
        <w:rPr>
          <w:rFonts w:ascii="Palatino Linotype" w:eastAsia="Palatino Linotype" w:hAnsi="Palatino Linotype" w:cs="Palatino Linotype"/>
          <w:sz w:val="22"/>
          <w:szCs w:val="22"/>
        </w:rPr>
      </w:pPr>
    </w:p>
    <w:p w14:paraId="763A82CB"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 xml:space="preserve">Por otro lado, derivado de la información que se ordena entregar pudiera existir información de la </w:t>
      </w:r>
      <w:r w:rsidRPr="002927A4">
        <w:rPr>
          <w:rFonts w:ascii="Palatino Linotype" w:hAnsi="Palatino Linotype"/>
          <w:b/>
          <w:bCs/>
          <w:sz w:val="22"/>
          <w:szCs w:val="22"/>
        </w:rPr>
        <w:t>Dirección de Seguridad Pública del Ayuntamiento o su equivalente,</w:t>
      </w:r>
      <w:r w:rsidRPr="002927A4">
        <w:rPr>
          <w:rFonts w:ascii="Palatino Linotype" w:hAnsi="Palatino Linotype"/>
          <w:sz w:val="22"/>
          <w:szCs w:val="22"/>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RPr="002927A4">
        <w:rPr>
          <w:rFonts w:ascii="Palatino Linotype" w:hAnsi="Palatino Linotype"/>
          <w:b/>
          <w:bCs/>
          <w:sz w:val="22"/>
          <w:szCs w:val="22"/>
        </w:rPr>
        <w:t>que desempeñen funciones operativas</w:t>
      </w:r>
      <w:r w:rsidRPr="002927A4">
        <w:rPr>
          <w:rFonts w:ascii="Palatino Linotype" w:hAnsi="Palatino Linotype"/>
          <w:sz w:val="22"/>
          <w:szCs w:val="22"/>
        </w:rPr>
        <w:t>.</w:t>
      </w:r>
    </w:p>
    <w:p w14:paraId="3DB89517" w14:textId="77777777" w:rsidR="00A95F85" w:rsidRPr="002927A4" w:rsidRDefault="00A95F85" w:rsidP="00A95F85">
      <w:pPr>
        <w:spacing w:line="360" w:lineRule="auto"/>
        <w:rPr>
          <w:rFonts w:ascii="Palatino Linotype" w:hAnsi="Palatino Linotype"/>
          <w:sz w:val="22"/>
          <w:szCs w:val="22"/>
        </w:rPr>
      </w:pPr>
    </w:p>
    <w:p w14:paraId="6D3C6A32"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 xml:space="preserve">Al respecto, la información </w:t>
      </w:r>
      <w:r w:rsidRPr="002927A4">
        <w:rPr>
          <w:rFonts w:ascii="Palatino Linotype" w:hAnsi="Palatino Linotype"/>
          <w:b/>
          <w:bCs/>
          <w:sz w:val="22"/>
          <w:szCs w:val="22"/>
        </w:rPr>
        <w:t>de los elementos que realizan funciones operativas, entre ellos su nombre debe ser protegido</w:t>
      </w:r>
      <w:r w:rsidRPr="002927A4">
        <w:rPr>
          <w:rFonts w:ascii="Palatino Linotype" w:hAnsi="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1C2EE02" w14:textId="77777777" w:rsidR="00A95F85" w:rsidRPr="002927A4" w:rsidRDefault="00A95F85" w:rsidP="00A95F85">
      <w:pPr>
        <w:spacing w:line="360" w:lineRule="auto"/>
        <w:rPr>
          <w:rFonts w:ascii="Palatino Linotype" w:hAnsi="Palatino Linotype"/>
          <w:sz w:val="22"/>
          <w:szCs w:val="22"/>
        </w:rPr>
      </w:pPr>
    </w:p>
    <w:p w14:paraId="6E31A7A7" w14:textId="0E20CA05"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w:t>
      </w:r>
      <w:r w:rsidR="009A5579" w:rsidRPr="002927A4">
        <w:rPr>
          <w:rFonts w:ascii="Palatino Linotype" w:hAnsi="Palatino Linotype"/>
          <w:sz w:val="22"/>
          <w:szCs w:val="22"/>
        </w:rPr>
        <w:t>,</w:t>
      </w:r>
      <w:r w:rsidRPr="002927A4">
        <w:rPr>
          <w:rFonts w:ascii="Palatino Linotype" w:hAnsi="Palatino Linotype"/>
          <w:sz w:val="22"/>
          <w:szCs w:val="22"/>
        </w:rPr>
        <w:t xml:space="preserve"> vigente a la fecha de la solicitud,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01F9A536" w14:textId="77777777" w:rsidR="00A95F85" w:rsidRPr="002927A4" w:rsidRDefault="00A95F85" w:rsidP="00A95F85">
      <w:pPr>
        <w:spacing w:line="360" w:lineRule="auto"/>
        <w:rPr>
          <w:rFonts w:ascii="Palatino Linotype" w:hAnsi="Palatino Linotype"/>
          <w:sz w:val="22"/>
          <w:szCs w:val="22"/>
        </w:rPr>
      </w:pPr>
    </w:p>
    <w:p w14:paraId="6143BFB0"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7F1DB02F" w14:textId="77777777" w:rsidR="00A95F85" w:rsidRPr="002927A4" w:rsidRDefault="00A95F85" w:rsidP="00A95F85">
      <w:pPr>
        <w:spacing w:line="360" w:lineRule="auto"/>
        <w:rPr>
          <w:rFonts w:ascii="Palatino Linotype" w:hAnsi="Palatino Linotype"/>
          <w:sz w:val="22"/>
          <w:szCs w:val="22"/>
        </w:rPr>
      </w:pPr>
    </w:p>
    <w:p w14:paraId="30FCE579"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En ese entendido, la leyenda de clasificación que se genere, deberá establecer ambos supuestos de clasificación: reserva y confidencialidad, en congruencia con los requisitos establecidos en los lineamientos citados.</w:t>
      </w:r>
    </w:p>
    <w:p w14:paraId="70FC2A19" w14:textId="77777777" w:rsidR="00A95F85" w:rsidRPr="002927A4" w:rsidRDefault="00A95F85" w:rsidP="00A95F85">
      <w:pPr>
        <w:spacing w:line="360" w:lineRule="auto"/>
        <w:rPr>
          <w:rFonts w:ascii="Palatino Linotype" w:hAnsi="Palatino Linotype"/>
          <w:sz w:val="22"/>
          <w:szCs w:val="22"/>
        </w:rPr>
      </w:pPr>
    </w:p>
    <w:p w14:paraId="14E7E471"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que establece lo siguiente:</w:t>
      </w:r>
    </w:p>
    <w:p w14:paraId="1F337122" w14:textId="77777777" w:rsidR="00A95F85" w:rsidRPr="002927A4" w:rsidRDefault="00A95F85" w:rsidP="00A95F85">
      <w:pPr>
        <w:pStyle w:val="NormalWeb"/>
        <w:spacing w:before="0" w:beforeAutospacing="0" w:after="0" w:afterAutospacing="0"/>
        <w:ind w:left="567" w:right="616"/>
        <w:jc w:val="both"/>
        <w:rPr>
          <w:rFonts w:ascii="Palatino Linotype" w:hAnsi="Palatino Linotype"/>
          <w:sz w:val="22"/>
          <w:szCs w:val="22"/>
        </w:rPr>
      </w:pPr>
      <w:r w:rsidRPr="002927A4">
        <w:rPr>
          <w:rFonts w:ascii="Palatino Linotype" w:hAnsi="Palatino Linotype"/>
          <w:b/>
          <w:bCs/>
          <w:i/>
          <w:iCs/>
          <w:sz w:val="22"/>
          <w:szCs w:val="22"/>
        </w:rPr>
        <w:t>Nombres de servidores públicos dedicados a actividades en materia de seguridad, por excepción pueden considerarse información reservada.</w:t>
      </w:r>
      <w:r w:rsidRPr="002927A4">
        <w:rPr>
          <w:rFonts w:ascii="Palatino Linotype" w:hAnsi="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387F408" w14:textId="77777777" w:rsidR="00A95F85" w:rsidRPr="002927A4" w:rsidRDefault="00A95F85" w:rsidP="00A95F85">
      <w:pPr>
        <w:spacing w:line="360" w:lineRule="auto"/>
        <w:rPr>
          <w:rFonts w:ascii="Palatino Linotype" w:hAnsi="Palatino Linotype"/>
          <w:sz w:val="22"/>
          <w:szCs w:val="22"/>
        </w:rPr>
      </w:pPr>
    </w:p>
    <w:p w14:paraId="61A97FBE"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2927A4">
        <w:rPr>
          <w:rFonts w:ascii="Palatino Linotype" w:hAnsi="Palatino Linotype"/>
          <w:b/>
          <w:bCs/>
          <w:sz w:val="22"/>
          <w:szCs w:val="22"/>
        </w:rPr>
        <w:t>funciones de carácter operativo.</w:t>
      </w:r>
    </w:p>
    <w:p w14:paraId="3E9675A3" w14:textId="77777777" w:rsidR="00A95F85" w:rsidRPr="002927A4" w:rsidRDefault="00A95F85" w:rsidP="00A95F85">
      <w:pPr>
        <w:spacing w:line="360" w:lineRule="auto"/>
        <w:rPr>
          <w:rFonts w:ascii="Palatino Linotype" w:hAnsi="Palatino Linotype"/>
          <w:sz w:val="22"/>
          <w:szCs w:val="22"/>
        </w:rPr>
      </w:pPr>
    </w:p>
    <w:p w14:paraId="2D2BD159" w14:textId="77777777" w:rsidR="00A95F85" w:rsidRPr="002927A4" w:rsidRDefault="00A95F85" w:rsidP="00A95F85">
      <w:pPr>
        <w:pStyle w:val="NormalWeb"/>
        <w:spacing w:before="0" w:beforeAutospacing="0" w:after="0" w:afterAutospacing="0" w:line="360" w:lineRule="auto"/>
        <w:jc w:val="both"/>
        <w:rPr>
          <w:rFonts w:ascii="Palatino Linotype" w:hAnsi="Palatino Linotype"/>
          <w:sz w:val="22"/>
          <w:szCs w:val="22"/>
        </w:rPr>
      </w:pPr>
      <w:r w:rsidRPr="002927A4">
        <w:rPr>
          <w:rFonts w:ascii="Palatino Linotype" w:hAnsi="Palatino Linotype"/>
          <w:sz w:val="22"/>
          <w:szCs w:val="22"/>
        </w:rPr>
        <w:t>Sirven de sustento a lo anterior las tesis jurisprudenciales emitidas por la Suprema corte de Justicia de la Nación, que son del literal siguiente:</w:t>
      </w:r>
    </w:p>
    <w:p w14:paraId="050B02BA" w14:textId="77777777" w:rsidR="00A95F85" w:rsidRPr="002927A4" w:rsidRDefault="00A95F85" w:rsidP="00A95F85">
      <w:pPr>
        <w:spacing w:line="360" w:lineRule="auto"/>
        <w:rPr>
          <w:rFonts w:ascii="Palatino Linotype" w:hAnsi="Palatino Linotype"/>
          <w:sz w:val="22"/>
          <w:szCs w:val="22"/>
        </w:rPr>
      </w:pPr>
    </w:p>
    <w:p w14:paraId="12744050" w14:textId="77777777" w:rsidR="00A95F85" w:rsidRPr="002927A4" w:rsidRDefault="00A95F85" w:rsidP="00A95F85">
      <w:pPr>
        <w:pStyle w:val="NormalWeb"/>
        <w:spacing w:before="0" w:beforeAutospacing="0" w:after="0" w:afterAutospacing="0"/>
        <w:ind w:left="567" w:right="616"/>
        <w:jc w:val="both"/>
        <w:rPr>
          <w:rFonts w:ascii="Palatino Linotype" w:hAnsi="Palatino Linotype"/>
          <w:sz w:val="22"/>
          <w:szCs w:val="22"/>
        </w:rPr>
      </w:pPr>
      <w:r w:rsidRPr="002927A4">
        <w:rPr>
          <w:rFonts w:ascii="Palatino Linotype" w:hAnsi="Palatino Linotype"/>
          <w:b/>
          <w:bCs/>
          <w:i/>
          <w:iCs/>
          <w:sz w:val="22"/>
          <w:szCs w:val="22"/>
        </w:rPr>
        <w:t xml:space="preserve">DERECHO A LA INFORMACIÓN. SU EJERCICIO SE ENCUENTRA LIMITADO TANTO POR LOS INTERESES NACIONALES Y DE LA SOCIEDAD, COMO POR LOS DERECHOS DE TERCEROS. </w:t>
      </w:r>
      <w:r w:rsidRPr="002927A4">
        <w:rPr>
          <w:rFonts w:ascii="Palatino Linotype" w:hAnsi="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2927A4">
        <w:rPr>
          <w:rFonts w:ascii="Palatino Linotype" w:hAnsi="Palatino Linotype"/>
          <w:b/>
          <w:bCs/>
          <w:i/>
          <w:iCs/>
          <w:sz w:val="22"/>
          <w:szCs w:val="22"/>
        </w:rPr>
        <w:t>restringen el acceso a la información en esta materia, en razón de que su conocimiento público puede generar daños a los intereses nacionales y, por el otro, sancionan la inobservancia de esa reserva;</w:t>
      </w:r>
      <w:r w:rsidRPr="002927A4">
        <w:rPr>
          <w:rFonts w:ascii="Palatino Linotype" w:hAnsi="Palatino Linotype"/>
          <w:i/>
          <w:iCs/>
          <w:sz w:val="22"/>
          <w:szCs w:val="22"/>
        </w:rPr>
        <w:t xml:space="preserve"> por lo que hace al interés social, se cuenta con normas que tienden a proteger la averiguación de los delitos, la salud y la moral públicas, </w:t>
      </w:r>
      <w:r w:rsidRPr="002927A4">
        <w:rPr>
          <w:rFonts w:ascii="Palatino Linotype" w:hAnsi="Palatino Linotype"/>
          <w:b/>
          <w:bCs/>
          <w:i/>
          <w:iCs/>
          <w:sz w:val="22"/>
          <w:szCs w:val="22"/>
        </w:rPr>
        <w:t>mientras que por lo que respecta a la protección de la persona existen normas que protegen el derecho a la vida o a la privacidad de los gobernados.</w:t>
      </w:r>
    </w:p>
    <w:p w14:paraId="10D3ED05" w14:textId="77777777" w:rsidR="00A95F85" w:rsidRPr="002927A4" w:rsidRDefault="00A95F85" w:rsidP="00A95F85">
      <w:pPr>
        <w:rPr>
          <w:rFonts w:ascii="Palatino Linotype" w:hAnsi="Palatino Linotype"/>
          <w:sz w:val="22"/>
          <w:szCs w:val="22"/>
        </w:rPr>
      </w:pPr>
    </w:p>
    <w:p w14:paraId="2D3895E2" w14:textId="77777777" w:rsidR="00A95F85" w:rsidRPr="002927A4" w:rsidRDefault="00A95F85" w:rsidP="00A95F85">
      <w:pPr>
        <w:pStyle w:val="NormalWeb"/>
        <w:spacing w:before="0" w:beforeAutospacing="0" w:after="0" w:afterAutospacing="0"/>
        <w:ind w:left="567" w:right="616"/>
        <w:jc w:val="both"/>
        <w:rPr>
          <w:rFonts w:ascii="Palatino Linotype" w:hAnsi="Palatino Linotype"/>
          <w:sz w:val="22"/>
          <w:szCs w:val="22"/>
        </w:rPr>
      </w:pPr>
      <w:r w:rsidRPr="002927A4">
        <w:rPr>
          <w:rFonts w:ascii="Palatino Linotype" w:hAnsi="Palatino Linotype"/>
          <w:b/>
          <w:bCs/>
          <w:i/>
          <w:iCs/>
          <w:sz w:val="22"/>
          <w:szCs w:val="22"/>
        </w:rPr>
        <w:t>TRANSPARENCIA Y ACCESO A LA INFORMACIÓN PÚBLICA GUBERNAMENTAL. EL ARTÍCULO 14, FRACCIÓN I, DE LA LEY FEDERAL RELATIVA, NO VIOLA LA GARANTÍA DE ACCESO A LA INFORMACIÓN.</w:t>
      </w:r>
      <w:r w:rsidRPr="002927A4">
        <w:rPr>
          <w:rFonts w:ascii="Palatino Linotype" w:hAnsi="Palatino Linotype"/>
          <w:i/>
          <w:iCs/>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2927A4">
        <w:rPr>
          <w:rFonts w:ascii="Palatino Linotype" w:hAnsi="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2927A4">
        <w:rPr>
          <w:rFonts w:ascii="Palatino Linotype" w:hAnsi="Palatino Linotype"/>
          <w:i/>
          <w:iCs/>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6EDADA5D" w14:textId="77777777" w:rsidR="00A95F85" w:rsidRPr="002927A4" w:rsidRDefault="00A95F85" w:rsidP="00A95F85">
      <w:pPr>
        <w:spacing w:line="360" w:lineRule="auto"/>
        <w:jc w:val="both"/>
        <w:rPr>
          <w:rFonts w:ascii="Palatino Linotype" w:eastAsia="Palatino Linotype" w:hAnsi="Palatino Linotype" w:cs="Palatino Linotype"/>
          <w:sz w:val="22"/>
          <w:szCs w:val="22"/>
        </w:rPr>
      </w:pPr>
    </w:p>
    <w:p w14:paraId="5CF804C4" w14:textId="274A6C1F" w:rsidR="00A95F85" w:rsidRPr="002927A4" w:rsidRDefault="00A95F85" w:rsidP="00A95F85">
      <w:pPr>
        <w:spacing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D22A704" w14:textId="656E48C6" w:rsidR="00B967DA" w:rsidRPr="002927A4" w:rsidRDefault="00B967DA" w:rsidP="00A95F85">
      <w:pPr>
        <w:spacing w:line="360" w:lineRule="auto"/>
        <w:jc w:val="both"/>
        <w:rPr>
          <w:rFonts w:ascii="Palatino Linotype" w:eastAsia="Palatino Linotype" w:hAnsi="Palatino Linotype" w:cs="Palatino Linotype"/>
          <w:sz w:val="22"/>
          <w:szCs w:val="22"/>
        </w:rPr>
      </w:pPr>
    </w:p>
    <w:p w14:paraId="4189785E"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3F3A69DE" w14:textId="77777777" w:rsidR="002B39AC" w:rsidRPr="002927A4" w:rsidRDefault="002B39AC">
      <w:pPr>
        <w:spacing w:before="240" w:after="240" w:line="360" w:lineRule="auto"/>
        <w:jc w:val="both"/>
        <w:rPr>
          <w:rFonts w:ascii="Palatino Linotype" w:eastAsia="Palatino Linotype" w:hAnsi="Palatino Linotype" w:cs="Palatino Linotype"/>
          <w:sz w:val="22"/>
          <w:szCs w:val="22"/>
        </w:rPr>
      </w:pPr>
    </w:p>
    <w:p w14:paraId="51DB8E95" w14:textId="77777777" w:rsidR="00C877F6" w:rsidRPr="002927A4"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R E S U E L V E:</w:t>
      </w:r>
    </w:p>
    <w:p w14:paraId="6EF9BB33" w14:textId="3ABBAA16" w:rsidR="00C877F6" w:rsidRPr="002927A4" w:rsidRDefault="00F36565">
      <w:pPr>
        <w:spacing w:before="240" w:after="240" w:line="360" w:lineRule="auto"/>
        <w:jc w:val="both"/>
        <w:rPr>
          <w:rFonts w:ascii="Palatino Linotype" w:eastAsia="Palatino Linotype" w:hAnsi="Palatino Linotype" w:cs="Palatino Linotype"/>
          <w:b/>
          <w:sz w:val="22"/>
          <w:szCs w:val="22"/>
        </w:rPr>
      </w:pPr>
      <w:r w:rsidRPr="002927A4">
        <w:rPr>
          <w:rFonts w:ascii="Palatino Linotype" w:eastAsia="Palatino Linotype" w:hAnsi="Palatino Linotype" w:cs="Palatino Linotype"/>
          <w:b/>
          <w:sz w:val="22"/>
          <w:szCs w:val="22"/>
        </w:rPr>
        <w:t xml:space="preserve">Primero. </w:t>
      </w:r>
      <w:r w:rsidRPr="002927A4">
        <w:rPr>
          <w:rFonts w:ascii="Palatino Linotype" w:eastAsia="Palatino Linotype" w:hAnsi="Palatino Linotype" w:cs="Palatino Linotype"/>
          <w:sz w:val="22"/>
          <w:szCs w:val="22"/>
        </w:rPr>
        <w:t>Resultan</w:t>
      </w:r>
      <w:r w:rsidRPr="002927A4">
        <w:rPr>
          <w:rFonts w:ascii="Palatino Linotype" w:eastAsia="Palatino Linotype" w:hAnsi="Palatino Linotype" w:cs="Palatino Linotype"/>
          <w:b/>
          <w:sz w:val="22"/>
          <w:szCs w:val="22"/>
        </w:rPr>
        <w:t xml:space="preserve"> parcialmente fundados </w:t>
      </w:r>
      <w:r w:rsidRPr="002927A4">
        <w:rPr>
          <w:rFonts w:ascii="Palatino Linotype" w:eastAsia="Palatino Linotype" w:hAnsi="Palatino Linotype" w:cs="Palatino Linotype"/>
          <w:sz w:val="22"/>
          <w:szCs w:val="22"/>
        </w:rPr>
        <w:t xml:space="preserve">los motivos de inconformidad hechos valer por </w:t>
      </w:r>
      <w:r w:rsidRPr="002927A4">
        <w:rPr>
          <w:rFonts w:ascii="Palatino Linotype" w:eastAsia="Palatino Linotype" w:hAnsi="Palatino Linotype" w:cs="Palatino Linotype"/>
          <w:b/>
          <w:sz w:val="22"/>
          <w:szCs w:val="22"/>
        </w:rPr>
        <w:t>la parte Recurrente</w:t>
      </w:r>
      <w:r w:rsidRPr="002927A4">
        <w:rPr>
          <w:rFonts w:ascii="Palatino Linotype" w:eastAsia="Palatino Linotype" w:hAnsi="Palatino Linotype" w:cs="Palatino Linotype"/>
          <w:sz w:val="22"/>
          <w:szCs w:val="22"/>
        </w:rPr>
        <w:t xml:space="preserve"> en el Recurso de Revisión</w:t>
      </w:r>
      <w:r w:rsidRPr="002927A4">
        <w:rPr>
          <w:rFonts w:ascii="Palatino Linotype" w:eastAsia="Palatino Linotype" w:hAnsi="Palatino Linotype" w:cs="Palatino Linotype"/>
          <w:b/>
          <w:sz w:val="22"/>
          <w:szCs w:val="22"/>
        </w:rPr>
        <w:t xml:space="preserve"> </w:t>
      </w:r>
      <w:r w:rsidR="00854ADA" w:rsidRPr="002927A4">
        <w:rPr>
          <w:rFonts w:ascii="Palatino Linotype" w:eastAsia="Palatino Linotype" w:hAnsi="Palatino Linotype" w:cs="Palatino Linotype"/>
          <w:b/>
          <w:sz w:val="22"/>
          <w:szCs w:val="22"/>
        </w:rPr>
        <w:t>13114/INFOEM/IP/RR/2025</w:t>
      </w:r>
      <w:r w:rsidRPr="002927A4">
        <w:rPr>
          <w:rFonts w:ascii="Palatino Linotype" w:eastAsia="Palatino Linotype" w:hAnsi="Palatino Linotype" w:cs="Palatino Linotype"/>
          <w:b/>
          <w:sz w:val="22"/>
          <w:szCs w:val="22"/>
        </w:rPr>
        <w:t xml:space="preserve">, </w:t>
      </w:r>
      <w:r w:rsidRPr="002927A4">
        <w:rPr>
          <w:rFonts w:ascii="Palatino Linotype" w:eastAsia="Palatino Linotype" w:hAnsi="Palatino Linotype" w:cs="Palatino Linotype"/>
          <w:sz w:val="22"/>
          <w:szCs w:val="22"/>
        </w:rPr>
        <w:t>por lo que</w:t>
      </w:r>
      <w:r w:rsidRPr="002927A4">
        <w:rPr>
          <w:rFonts w:ascii="Palatino Linotype" w:eastAsia="Palatino Linotype" w:hAnsi="Palatino Linotype" w:cs="Palatino Linotype"/>
          <w:b/>
          <w:sz w:val="22"/>
          <w:szCs w:val="22"/>
        </w:rPr>
        <w:t xml:space="preserve">, en términos del Considerando Cuarto </w:t>
      </w:r>
      <w:r w:rsidRPr="002927A4">
        <w:rPr>
          <w:rFonts w:ascii="Palatino Linotype" w:eastAsia="Palatino Linotype" w:hAnsi="Palatino Linotype" w:cs="Palatino Linotype"/>
          <w:sz w:val="22"/>
          <w:szCs w:val="22"/>
        </w:rPr>
        <w:t>de la presente resolución</w:t>
      </w:r>
      <w:r w:rsidRPr="002927A4">
        <w:rPr>
          <w:rFonts w:ascii="Palatino Linotype" w:eastAsia="Palatino Linotype" w:hAnsi="Palatino Linotype" w:cs="Palatino Linotype"/>
          <w:b/>
          <w:sz w:val="22"/>
          <w:szCs w:val="22"/>
        </w:rPr>
        <w:t>, se MODIFICA l</w:t>
      </w:r>
      <w:r w:rsidRPr="002927A4">
        <w:rPr>
          <w:rFonts w:ascii="Palatino Linotype" w:eastAsia="Palatino Linotype" w:hAnsi="Palatino Linotype" w:cs="Palatino Linotype"/>
          <w:sz w:val="22"/>
          <w:szCs w:val="22"/>
        </w:rPr>
        <w:t>a respuesta del</w:t>
      </w:r>
      <w:r w:rsidRPr="002927A4">
        <w:rPr>
          <w:rFonts w:ascii="Palatino Linotype" w:eastAsia="Palatino Linotype" w:hAnsi="Palatino Linotype" w:cs="Palatino Linotype"/>
          <w:b/>
          <w:sz w:val="22"/>
          <w:szCs w:val="22"/>
        </w:rPr>
        <w:t xml:space="preserve"> Sujeto Obligado.</w:t>
      </w:r>
    </w:p>
    <w:p w14:paraId="7ED52C07" w14:textId="4ADC2BE3" w:rsidR="00BF3E37" w:rsidRPr="002927A4" w:rsidRDefault="00F36565">
      <w:pPr>
        <w:spacing w:before="240" w:after="240" w:line="360" w:lineRule="auto"/>
        <w:jc w:val="both"/>
        <w:rPr>
          <w:rFonts w:ascii="Palatino Linotype" w:eastAsia="Palatino Linotype" w:hAnsi="Palatino Linotype" w:cs="Palatino Linotype"/>
          <w:sz w:val="22"/>
          <w:szCs w:val="22"/>
        </w:rPr>
      </w:pPr>
      <w:bookmarkStart w:id="2" w:name="_heading=h.j3ppyxwlb1s2" w:colFirst="0" w:colLast="0"/>
      <w:bookmarkEnd w:id="2"/>
      <w:r w:rsidRPr="002927A4">
        <w:rPr>
          <w:rFonts w:ascii="Palatino Linotype" w:eastAsia="Palatino Linotype" w:hAnsi="Palatino Linotype" w:cs="Palatino Linotype"/>
          <w:b/>
          <w:sz w:val="22"/>
          <w:szCs w:val="22"/>
        </w:rPr>
        <w:t xml:space="preserve">Segundo. Se Ordena al Sujeto Obligado </w:t>
      </w:r>
      <w:r w:rsidR="00B967DA" w:rsidRPr="002927A4">
        <w:rPr>
          <w:rFonts w:ascii="Palatino Linotype" w:eastAsia="Palatino Linotype" w:hAnsi="Palatino Linotype" w:cs="Palatino Linotype"/>
          <w:sz w:val="22"/>
          <w:szCs w:val="22"/>
        </w:rPr>
        <w:t>que,</w:t>
      </w:r>
      <w:r w:rsidRPr="002927A4">
        <w:rPr>
          <w:rFonts w:ascii="Palatino Linotype" w:eastAsia="Palatino Linotype" w:hAnsi="Palatino Linotype" w:cs="Palatino Linotype"/>
          <w:sz w:val="22"/>
          <w:szCs w:val="22"/>
        </w:rPr>
        <w:t xml:space="preserve"> en términos de los</w:t>
      </w:r>
      <w:r w:rsidRPr="002927A4">
        <w:rPr>
          <w:rFonts w:ascii="Palatino Linotype" w:eastAsia="Palatino Linotype" w:hAnsi="Palatino Linotype" w:cs="Palatino Linotype"/>
          <w:b/>
          <w:sz w:val="22"/>
          <w:szCs w:val="22"/>
        </w:rPr>
        <w:t xml:space="preserve"> Considerandos Cuarto y Quinto </w:t>
      </w:r>
      <w:r w:rsidRPr="002927A4">
        <w:rPr>
          <w:rFonts w:ascii="Palatino Linotype" w:eastAsia="Palatino Linotype" w:hAnsi="Palatino Linotype" w:cs="Palatino Linotype"/>
          <w:sz w:val="22"/>
          <w:szCs w:val="22"/>
        </w:rPr>
        <w:t xml:space="preserve">de esta resolución, haga entrega a </w:t>
      </w:r>
      <w:r w:rsidRPr="002927A4">
        <w:rPr>
          <w:rFonts w:ascii="Palatino Linotype" w:eastAsia="Palatino Linotype" w:hAnsi="Palatino Linotype" w:cs="Palatino Linotype"/>
          <w:b/>
          <w:sz w:val="22"/>
          <w:szCs w:val="22"/>
        </w:rPr>
        <w:t xml:space="preserve">la parte Recurrente a través del SAIMEX, </w:t>
      </w:r>
      <w:r w:rsidR="00D35935" w:rsidRPr="002927A4">
        <w:rPr>
          <w:rFonts w:ascii="Palatino Linotype" w:eastAsia="Palatino Linotype" w:hAnsi="Palatino Linotype" w:cs="Palatino Linotype"/>
          <w:b/>
          <w:sz w:val="22"/>
          <w:szCs w:val="22"/>
        </w:rPr>
        <w:t xml:space="preserve">en versión pública, </w:t>
      </w:r>
      <w:r w:rsidRPr="002927A4">
        <w:rPr>
          <w:rFonts w:ascii="Palatino Linotype" w:eastAsia="Palatino Linotype" w:hAnsi="Palatino Linotype" w:cs="Palatino Linotype"/>
          <w:sz w:val="22"/>
          <w:szCs w:val="22"/>
        </w:rPr>
        <w:t>la siguiente información:</w:t>
      </w:r>
    </w:p>
    <w:p w14:paraId="435083C5" w14:textId="3C384E64" w:rsidR="001F7D7C" w:rsidRPr="002927A4" w:rsidRDefault="001F7D7C" w:rsidP="00DA22DE">
      <w:pPr>
        <w:pStyle w:val="Prrafodelista"/>
        <w:numPr>
          <w:ilvl w:val="0"/>
          <w:numId w:val="4"/>
        </w:numPr>
        <w:spacing w:line="360" w:lineRule="auto"/>
        <w:jc w:val="both"/>
        <w:rPr>
          <w:rFonts w:ascii="Palatino Linotype" w:hAnsi="Palatino Linotype"/>
          <w:b/>
          <w:sz w:val="22"/>
          <w:szCs w:val="22"/>
        </w:rPr>
      </w:pPr>
      <w:r w:rsidRPr="002927A4">
        <w:rPr>
          <w:rFonts w:ascii="Palatino Linotype" w:hAnsi="Palatino Linotype"/>
          <w:b/>
          <w:sz w:val="22"/>
          <w:szCs w:val="22"/>
        </w:rPr>
        <w:t>Conciliación de nómina de la primera quincena de enero a la segunda quincena de septiembre de dos mil veinticinco.</w:t>
      </w:r>
    </w:p>
    <w:p w14:paraId="57242712" w14:textId="77777777" w:rsidR="001F7D7C" w:rsidRPr="002927A4" w:rsidRDefault="001F7D7C"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p>
    <w:p w14:paraId="09EFB991" w14:textId="77777777" w:rsidR="00602DB8" w:rsidRPr="002927A4" w:rsidRDefault="00F36565" w:rsidP="00602DB8">
      <w:pPr>
        <w:pBdr>
          <w:top w:val="nil"/>
          <w:left w:val="nil"/>
          <w:bottom w:val="nil"/>
          <w:right w:val="nil"/>
          <w:between w:val="nil"/>
        </w:pBdr>
        <w:spacing w:line="360" w:lineRule="auto"/>
        <w:ind w:left="284" w:right="560"/>
        <w:jc w:val="both"/>
        <w:rPr>
          <w:rFonts w:ascii="Palatino Linotype" w:eastAsia="Palatino Linotype" w:hAnsi="Palatino Linotype" w:cs="Palatino Linotype"/>
          <w:i/>
          <w:sz w:val="22"/>
          <w:szCs w:val="22"/>
        </w:rPr>
      </w:pPr>
      <w:r w:rsidRPr="002927A4">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ABA00F7"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Tercero.  Notifíquese vía SAIMEX, </w:t>
      </w:r>
      <w:r w:rsidRPr="002927A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2927A4" w:rsidRDefault="00F36565">
      <w:pPr>
        <w:spacing w:before="240" w:after="240" w:line="360" w:lineRule="auto"/>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b/>
          <w:sz w:val="22"/>
          <w:szCs w:val="22"/>
        </w:rPr>
        <w:t xml:space="preserve">Cuarto. </w:t>
      </w:r>
      <w:r w:rsidRPr="002927A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2927A4">
        <w:rPr>
          <w:rFonts w:ascii="Palatino Linotype" w:eastAsia="Palatino Linotype" w:hAnsi="Palatino Linotype" w:cs="Palatino Linotype"/>
          <w:b/>
          <w:sz w:val="22"/>
          <w:szCs w:val="22"/>
        </w:rPr>
        <w:t>Sujeto Obligado</w:t>
      </w:r>
      <w:r w:rsidRPr="002927A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2927A4" w:rsidRDefault="00F36565">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2927A4">
        <w:rPr>
          <w:rFonts w:ascii="Palatino Linotype" w:eastAsia="Palatino Linotype" w:hAnsi="Palatino Linotype" w:cs="Palatino Linotype"/>
          <w:b/>
          <w:sz w:val="22"/>
          <w:szCs w:val="22"/>
        </w:rPr>
        <w:t xml:space="preserve">Quinto. Notifíquese vía SAIMEX, </w:t>
      </w:r>
      <w:r w:rsidRPr="002927A4">
        <w:rPr>
          <w:rFonts w:ascii="Palatino Linotype" w:eastAsia="Palatino Linotype" w:hAnsi="Palatino Linotype" w:cs="Palatino Linotype"/>
          <w:sz w:val="22"/>
          <w:szCs w:val="22"/>
        </w:rPr>
        <w:t>a</w:t>
      </w:r>
      <w:r w:rsidRPr="002927A4">
        <w:rPr>
          <w:rFonts w:ascii="Palatino Linotype" w:eastAsia="Palatino Linotype" w:hAnsi="Palatino Linotype" w:cs="Palatino Linotype"/>
          <w:b/>
          <w:sz w:val="22"/>
          <w:szCs w:val="22"/>
        </w:rPr>
        <w:t xml:space="preserve"> la parte Recurrente</w:t>
      </w:r>
      <w:r w:rsidRPr="002927A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2927A4" w:rsidRDefault="005509CC">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5A1CE951" w:rsidR="00C877F6" w:rsidRPr="00556925" w:rsidRDefault="00F36565">
      <w:pPr>
        <w:spacing w:line="360" w:lineRule="auto"/>
        <w:ind w:right="-93"/>
        <w:jc w:val="both"/>
        <w:rPr>
          <w:rFonts w:ascii="Palatino Linotype" w:eastAsia="Palatino Linotype" w:hAnsi="Palatino Linotype" w:cs="Palatino Linotype"/>
          <w:sz w:val="22"/>
          <w:szCs w:val="22"/>
        </w:rPr>
      </w:pPr>
      <w:r w:rsidRPr="002927A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56925" w:rsidRPr="002927A4">
        <w:rPr>
          <w:rFonts w:ascii="Palatino Linotype" w:eastAsia="Palatino Linotype" w:hAnsi="Palatino Linotype" w:cs="Palatino Linotype"/>
          <w:sz w:val="22"/>
          <w:szCs w:val="22"/>
        </w:rPr>
        <w:t>, EMITIENDO VOTO PARTICULAR</w:t>
      </w:r>
      <w:r w:rsidRPr="002927A4">
        <w:rPr>
          <w:rFonts w:ascii="Palatino Linotype" w:eastAsia="Palatino Linotype" w:hAnsi="Palatino Linotype" w:cs="Palatino Linotype"/>
          <w:sz w:val="22"/>
          <w:szCs w:val="22"/>
        </w:rPr>
        <w:t xml:space="preserve"> Y GUADALUPE RAMÍREZ PEÑA</w:t>
      </w:r>
      <w:r w:rsidR="00556925" w:rsidRPr="002927A4">
        <w:rPr>
          <w:rFonts w:ascii="Palatino Linotype" w:eastAsia="Palatino Linotype" w:hAnsi="Palatino Linotype" w:cs="Palatino Linotype"/>
          <w:sz w:val="22"/>
          <w:szCs w:val="22"/>
        </w:rPr>
        <w:t>, EMITIENDO VOTO PARTICULAR</w:t>
      </w:r>
      <w:r w:rsidRPr="002927A4">
        <w:rPr>
          <w:rFonts w:ascii="Palatino Linotype" w:eastAsia="Palatino Linotype" w:hAnsi="Palatino Linotype" w:cs="Palatino Linotype"/>
          <w:sz w:val="22"/>
          <w:szCs w:val="22"/>
        </w:rPr>
        <w:t xml:space="preserve">; EN LA </w:t>
      </w:r>
      <w:r w:rsidR="00244C94" w:rsidRPr="002927A4">
        <w:rPr>
          <w:rFonts w:ascii="Palatino Linotype" w:eastAsia="Palatino Linotype" w:hAnsi="Palatino Linotype" w:cs="Palatino Linotype"/>
          <w:sz w:val="22"/>
          <w:szCs w:val="22"/>
        </w:rPr>
        <w:t>SEXTA</w:t>
      </w:r>
      <w:r w:rsidRPr="002927A4">
        <w:rPr>
          <w:rFonts w:ascii="Palatino Linotype" w:eastAsia="Palatino Linotype" w:hAnsi="Palatino Linotype" w:cs="Palatino Linotype"/>
          <w:sz w:val="22"/>
          <w:szCs w:val="22"/>
        </w:rPr>
        <w:t xml:space="preserve"> S</w:t>
      </w:r>
      <w:r w:rsidR="001244B6" w:rsidRPr="002927A4">
        <w:rPr>
          <w:rFonts w:ascii="Palatino Linotype" w:eastAsia="Palatino Linotype" w:hAnsi="Palatino Linotype" w:cs="Palatino Linotype"/>
          <w:sz w:val="22"/>
          <w:szCs w:val="22"/>
        </w:rPr>
        <w:t xml:space="preserve">ESIÓN ORDINARIA CELEBRADA EL </w:t>
      </w:r>
      <w:r w:rsidR="00244C94" w:rsidRPr="002927A4">
        <w:rPr>
          <w:rFonts w:ascii="Palatino Linotype" w:eastAsia="Palatino Linotype" w:hAnsi="Palatino Linotype" w:cs="Palatino Linotype"/>
          <w:sz w:val="22"/>
          <w:szCs w:val="22"/>
        </w:rPr>
        <w:t>DIECIOCHO</w:t>
      </w:r>
      <w:r w:rsidRPr="002927A4">
        <w:rPr>
          <w:rFonts w:ascii="Palatino Linotype" w:eastAsia="Palatino Linotype" w:hAnsi="Palatino Linotype" w:cs="Palatino Linotype"/>
          <w:sz w:val="22"/>
          <w:szCs w:val="22"/>
        </w:rPr>
        <w:t xml:space="preserve"> DE </w:t>
      </w:r>
      <w:r w:rsidR="005C2ED1" w:rsidRPr="002927A4">
        <w:rPr>
          <w:rFonts w:ascii="Palatino Linotype" w:eastAsia="Palatino Linotype" w:hAnsi="Palatino Linotype" w:cs="Palatino Linotype"/>
          <w:sz w:val="22"/>
          <w:szCs w:val="22"/>
        </w:rPr>
        <w:t>FEBRERO</w:t>
      </w:r>
      <w:r w:rsidRPr="002927A4">
        <w:rPr>
          <w:rFonts w:ascii="Palatino Linotype" w:eastAsia="Palatino Linotype" w:hAnsi="Palatino Linotype" w:cs="Palatino Linotype"/>
          <w:sz w:val="22"/>
          <w:szCs w:val="22"/>
        </w:rPr>
        <w:t xml:space="preserve"> DE DOS MIL VEINTI</w:t>
      </w:r>
      <w:r w:rsidR="000C6DFE" w:rsidRPr="002927A4">
        <w:rPr>
          <w:rFonts w:ascii="Palatino Linotype" w:eastAsia="Palatino Linotype" w:hAnsi="Palatino Linotype" w:cs="Palatino Linotype"/>
          <w:sz w:val="22"/>
          <w:szCs w:val="22"/>
        </w:rPr>
        <w:t>SÉIS</w:t>
      </w:r>
      <w:r w:rsidRPr="002927A4">
        <w:rPr>
          <w:rFonts w:ascii="Palatino Linotype" w:eastAsia="Palatino Linotype" w:hAnsi="Palatino Linotype" w:cs="Palatino Linotype"/>
          <w:sz w:val="22"/>
          <w:szCs w:val="22"/>
        </w:rPr>
        <w:t>, ANTE EL SECRETARIO TÉCNICO DEL PLENO ALEXIS TAPIA RAMÍREZ.</w:t>
      </w:r>
    </w:p>
    <w:p w14:paraId="54455659" w14:textId="77777777" w:rsidR="00C877F6" w:rsidRPr="00556925"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556925"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556925"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556925"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556925"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556925" w:rsidRDefault="00C877F6">
      <w:pPr>
        <w:spacing w:line="360" w:lineRule="auto"/>
        <w:ind w:right="49"/>
        <w:jc w:val="both"/>
        <w:rPr>
          <w:rFonts w:ascii="Palatino Linotype" w:eastAsia="Palatino Linotype" w:hAnsi="Palatino Linotype" w:cs="Palatino Linotype"/>
          <w:sz w:val="22"/>
          <w:szCs w:val="22"/>
        </w:rPr>
      </w:pPr>
    </w:p>
    <w:p w14:paraId="0A1C9F17"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070FE4DD"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07CBABE9"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2B8EB0E9"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1C259504"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68D28109"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6EAD1427"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00EB0CDD"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545934F4"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7D515718"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348732F3"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41BA583D"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24D7EC56"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0A92605C"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2C8756FB"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5F209F71"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p w14:paraId="01919E1A" w14:textId="77777777" w:rsidR="00556925" w:rsidRPr="00556925" w:rsidRDefault="00556925">
      <w:pPr>
        <w:spacing w:line="360" w:lineRule="auto"/>
        <w:ind w:right="49"/>
        <w:jc w:val="both"/>
        <w:rPr>
          <w:rFonts w:ascii="Palatino Linotype" w:eastAsia="Palatino Linotype" w:hAnsi="Palatino Linotype" w:cs="Palatino Linotype"/>
          <w:sz w:val="22"/>
          <w:szCs w:val="22"/>
        </w:rPr>
      </w:pPr>
    </w:p>
    <w:sectPr w:rsidR="00556925" w:rsidRPr="00556925">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4DC2B" w14:textId="77777777" w:rsidR="009540DE" w:rsidRDefault="009540DE">
      <w:r>
        <w:separator/>
      </w:r>
    </w:p>
  </w:endnote>
  <w:endnote w:type="continuationSeparator" w:id="0">
    <w:p w14:paraId="20EB6299" w14:textId="77777777" w:rsidR="009540DE" w:rsidRDefault="0095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E44983C-01C3-4E81-9F1D-2143A62DA0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551C36AE-E256-4A31-BBF5-6A4D7FC2224C}"/>
    <w:embedBold r:id="rId3" w:fontKey="{526F27D9-4F76-4545-8C66-84CAB781B7A2}"/>
    <w:embedItalic r:id="rId4" w:fontKey="{4FC16F45-3BF0-42D4-816D-E0813138046E}"/>
    <w:embedBoldItalic r:id="rId5" w:fontKey="{AB3EC952-026B-4CA5-91BE-E36A8E7EAB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55113FE-34D4-4163-BA3D-F959FDF942FD}"/>
    <w:embedBold r:id="rId7" w:fontKey="{ABDD3469-A68E-49A6-B590-953B4ABC3320}"/>
    <w:embedItalic r:id="rId8" w:fontKey="{C24FB9CE-24EB-4086-9FBE-9E9E565AF2B0}"/>
  </w:font>
  <w:font w:name="Georgia">
    <w:panose1 w:val="02040502050405020303"/>
    <w:charset w:val="00"/>
    <w:family w:val="roman"/>
    <w:pitch w:val="variable"/>
    <w:sig w:usb0="00000287" w:usb1="00000000" w:usb2="00000000" w:usb3="00000000" w:csb0="0000009F" w:csb1="00000000"/>
    <w:embedRegular r:id="rId9" w:fontKey="{A994CE09-3EFE-46A5-A726-71A8841EDEBB}"/>
    <w:embedItalic r:id="rId10" w:fontKey="{84038274-39D3-498E-90E9-CAD4A9E7DE03}"/>
  </w:font>
  <w:font w:name="Tahoma">
    <w:panose1 w:val="020B0604030504040204"/>
    <w:charset w:val="00"/>
    <w:family w:val="swiss"/>
    <w:pitch w:val="variable"/>
    <w:sig w:usb0="E1002EFF" w:usb1="C000605B" w:usb2="00000029" w:usb3="00000000" w:csb0="000101FF" w:csb1="00000000"/>
    <w:embedBold r:id="rId11" w:fontKey="{F61D57BD-3744-4A37-930D-D023C822508B}"/>
    <w:embedBoldItalic r:id="rId12" w:fontKey="{F1522743-B933-42BF-A69A-808E5A02F8B0}"/>
  </w:font>
  <w:font w:name="Calibri Light">
    <w:panose1 w:val="020F0302020204030204"/>
    <w:charset w:val="00"/>
    <w:family w:val="swiss"/>
    <w:pitch w:val="variable"/>
    <w:sig w:usb0="E4002EFF" w:usb1="C200247B" w:usb2="00000009" w:usb3="00000000" w:csb0="000001FF" w:csb1="00000000"/>
    <w:embedRegular r:id="rId13" w:fontKey="{F89B4386-BBE7-44F5-9E32-F6A029C055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430D3131" w:rsidR="00203CA6" w:rsidRDefault="00203CA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160BA">
      <w:rPr>
        <w:b/>
        <w:noProof/>
        <w:color w:val="000000"/>
      </w:rPr>
      <w:t>37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160BA">
      <w:rPr>
        <w:b/>
        <w:noProof/>
        <w:color w:val="000000"/>
      </w:rPr>
      <w:t>43</w:t>
    </w:r>
    <w:r>
      <w:rPr>
        <w:b/>
        <w:color w:val="000000"/>
      </w:rPr>
      <w:fldChar w:fldCharType="end"/>
    </w:r>
  </w:p>
  <w:p w14:paraId="7AE4EEFD" w14:textId="77777777" w:rsidR="00203CA6" w:rsidRDefault="00203CA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2A1AE3D" w:rsidR="00203CA6" w:rsidRDefault="00203CA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160BA">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160BA">
      <w:rPr>
        <w:b/>
        <w:noProof/>
        <w:color w:val="000000"/>
      </w:rPr>
      <w:t>43</w:t>
    </w:r>
    <w:r>
      <w:rPr>
        <w:b/>
        <w:color w:val="000000"/>
      </w:rPr>
      <w:fldChar w:fldCharType="end"/>
    </w:r>
  </w:p>
  <w:p w14:paraId="6675DA9D" w14:textId="77777777" w:rsidR="00203CA6" w:rsidRDefault="00203CA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AC9EA" w14:textId="77777777" w:rsidR="009540DE" w:rsidRDefault="009540DE">
      <w:r>
        <w:separator/>
      </w:r>
    </w:p>
  </w:footnote>
  <w:footnote w:type="continuationSeparator" w:id="0">
    <w:p w14:paraId="3232638E" w14:textId="77777777" w:rsidR="009540DE" w:rsidRDefault="009540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03CA6" w:rsidRDefault="00203CA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03CA6" w14:paraId="3DE1F927" w14:textId="77777777">
      <w:tc>
        <w:tcPr>
          <w:tcW w:w="2551" w:type="dxa"/>
          <w:vAlign w:val="center"/>
        </w:tcPr>
        <w:p w14:paraId="27218DF9"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288B99AA" w:rsidR="00203CA6" w:rsidRDefault="00203CA6" w:rsidP="00854AD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13114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203CA6" w14:paraId="6E2D1273" w14:textId="77777777">
      <w:trPr>
        <w:trHeight w:val="217"/>
      </w:trPr>
      <w:tc>
        <w:tcPr>
          <w:tcW w:w="2551" w:type="dxa"/>
          <w:vAlign w:val="center"/>
        </w:tcPr>
        <w:p w14:paraId="21203565"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610A53F4" w:rsidR="00203CA6" w:rsidRDefault="00203CA6"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Calimaya</w:t>
          </w:r>
        </w:p>
      </w:tc>
    </w:tr>
    <w:tr w:rsidR="00203CA6" w14:paraId="651D01A7" w14:textId="77777777">
      <w:tc>
        <w:tcPr>
          <w:tcW w:w="2551" w:type="dxa"/>
          <w:vAlign w:val="center"/>
        </w:tcPr>
        <w:p w14:paraId="5229B5A5"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03CA6" w:rsidRDefault="00203CA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03CA6" w:rsidRDefault="00203CA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03CA6" w14:paraId="1419E4B9" w14:textId="77777777">
      <w:tc>
        <w:tcPr>
          <w:tcW w:w="2343" w:type="dxa"/>
          <w:vAlign w:val="center"/>
        </w:tcPr>
        <w:p w14:paraId="0A4DAE44"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1ABDCC24" w:rsidR="00203CA6" w:rsidRDefault="00203CA6" w:rsidP="00244C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13114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203CA6" w14:paraId="5406FED2" w14:textId="77777777">
      <w:tc>
        <w:tcPr>
          <w:tcW w:w="2343" w:type="dxa"/>
          <w:vAlign w:val="center"/>
        </w:tcPr>
        <w:p w14:paraId="40683B83"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03CEE5A5" w:rsidR="00203CA6" w:rsidRDefault="001160BA" w:rsidP="001160B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 XXXXXXXX XXXXX </w:t>
          </w:r>
        </w:p>
      </w:tc>
    </w:tr>
    <w:tr w:rsidR="00203CA6" w14:paraId="0CE2BEAE" w14:textId="77777777">
      <w:trPr>
        <w:trHeight w:val="152"/>
      </w:trPr>
      <w:tc>
        <w:tcPr>
          <w:tcW w:w="2343" w:type="dxa"/>
          <w:vAlign w:val="center"/>
        </w:tcPr>
        <w:p w14:paraId="2B6A9907" w14:textId="77777777" w:rsidR="00203CA6" w:rsidRDefault="00203CA6">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03CA6" w:rsidRDefault="00203CA6">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78FCB07" w:rsidR="00203CA6" w:rsidRDefault="00203CA6" w:rsidP="00854AD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Calimaya</w:t>
          </w:r>
        </w:p>
      </w:tc>
    </w:tr>
    <w:tr w:rsidR="00203CA6" w14:paraId="1EF4B579" w14:textId="77777777">
      <w:tc>
        <w:tcPr>
          <w:tcW w:w="2343" w:type="dxa"/>
          <w:vAlign w:val="center"/>
        </w:tcPr>
        <w:p w14:paraId="71B9E111"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03CA6" w:rsidRDefault="00203CA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03CA6" w:rsidRDefault="00203CA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364A48"/>
    <w:multiLevelType w:val="multilevel"/>
    <w:tmpl w:val="EAF0A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C415D5"/>
    <w:multiLevelType w:val="hybridMultilevel"/>
    <w:tmpl w:val="731A2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B86E94"/>
    <w:multiLevelType w:val="hybridMultilevel"/>
    <w:tmpl w:val="E4AE90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6"/>
  </w:num>
  <w:num w:numId="5">
    <w:abstractNumId w:val="3"/>
  </w:num>
  <w:num w:numId="6">
    <w:abstractNumId w:val="7"/>
  </w:num>
  <w:num w:numId="7">
    <w:abstractNumId w:val="1"/>
  </w:num>
  <w:num w:numId="8">
    <w:abstractNumId w:val="2"/>
  </w:num>
  <w:num w:numId="9">
    <w:abstractNumId w:val="4"/>
  </w:num>
  <w:num w:numId="10">
    <w:abstractNumId w:val="12"/>
  </w:num>
  <w:num w:numId="11">
    <w:abstractNumId w:val="10"/>
  </w:num>
  <w:num w:numId="12">
    <w:abstractNumId w:val="5"/>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72DB"/>
    <w:rsid w:val="000505A2"/>
    <w:rsid w:val="00085E1F"/>
    <w:rsid w:val="000C2D35"/>
    <w:rsid w:val="000C6DFE"/>
    <w:rsid w:val="000D0009"/>
    <w:rsid w:val="000D6BF4"/>
    <w:rsid w:val="000E264E"/>
    <w:rsid w:val="000F2E5A"/>
    <w:rsid w:val="000F3A18"/>
    <w:rsid w:val="000F461B"/>
    <w:rsid w:val="00102B00"/>
    <w:rsid w:val="00104A39"/>
    <w:rsid w:val="00106A63"/>
    <w:rsid w:val="00106CF0"/>
    <w:rsid w:val="0010766B"/>
    <w:rsid w:val="0011572F"/>
    <w:rsid w:val="00115C81"/>
    <w:rsid w:val="001160BA"/>
    <w:rsid w:val="0012241A"/>
    <w:rsid w:val="001244B6"/>
    <w:rsid w:val="0012725B"/>
    <w:rsid w:val="00137C81"/>
    <w:rsid w:val="00167CFB"/>
    <w:rsid w:val="00177120"/>
    <w:rsid w:val="001775F5"/>
    <w:rsid w:val="00195613"/>
    <w:rsid w:val="001A2C55"/>
    <w:rsid w:val="001C25EE"/>
    <w:rsid w:val="001E4484"/>
    <w:rsid w:val="001F7D7C"/>
    <w:rsid w:val="00203CA6"/>
    <w:rsid w:val="00215433"/>
    <w:rsid w:val="00220962"/>
    <w:rsid w:val="0022312E"/>
    <w:rsid w:val="00240A2A"/>
    <w:rsid w:val="00241C45"/>
    <w:rsid w:val="00244C94"/>
    <w:rsid w:val="002460CA"/>
    <w:rsid w:val="00251552"/>
    <w:rsid w:val="00261424"/>
    <w:rsid w:val="00271603"/>
    <w:rsid w:val="00272A31"/>
    <w:rsid w:val="00282A93"/>
    <w:rsid w:val="00287278"/>
    <w:rsid w:val="002927A4"/>
    <w:rsid w:val="00294BBE"/>
    <w:rsid w:val="002A38A5"/>
    <w:rsid w:val="002A642E"/>
    <w:rsid w:val="002B39AC"/>
    <w:rsid w:val="002C4916"/>
    <w:rsid w:val="002C63CA"/>
    <w:rsid w:val="002D25A9"/>
    <w:rsid w:val="002E51A0"/>
    <w:rsid w:val="002F289C"/>
    <w:rsid w:val="00336C8D"/>
    <w:rsid w:val="003412FF"/>
    <w:rsid w:val="00351E01"/>
    <w:rsid w:val="003535F7"/>
    <w:rsid w:val="00357E62"/>
    <w:rsid w:val="00374863"/>
    <w:rsid w:val="00375A48"/>
    <w:rsid w:val="00381615"/>
    <w:rsid w:val="00381CAC"/>
    <w:rsid w:val="00382B63"/>
    <w:rsid w:val="003A539C"/>
    <w:rsid w:val="003B4DB5"/>
    <w:rsid w:val="003B746B"/>
    <w:rsid w:val="003C0D60"/>
    <w:rsid w:val="003D17CE"/>
    <w:rsid w:val="003E151E"/>
    <w:rsid w:val="003F6A2A"/>
    <w:rsid w:val="00402094"/>
    <w:rsid w:val="004066C2"/>
    <w:rsid w:val="00413D80"/>
    <w:rsid w:val="00420E52"/>
    <w:rsid w:val="00421C3A"/>
    <w:rsid w:val="00422637"/>
    <w:rsid w:val="004422C9"/>
    <w:rsid w:val="00443D93"/>
    <w:rsid w:val="0045016F"/>
    <w:rsid w:val="00477E95"/>
    <w:rsid w:val="00494D0E"/>
    <w:rsid w:val="004A4D59"/>
    <w:rsid w:val="004B37BF"/>
    <w:rsid w:val="004B699A"/>
    <w:rsid w:val="004C19EC"/>
    <w:rsid w:val="004C6A5F"/>
    <w:rsid w:val="004D64F1"/>
    <w:rsid w:val="004F40D3"/>
    <w:rsid w:val="004F4F20"/>
    <w:rsid w:val="00507CDE"/>
    <w:rsid w:val="005116B7"/>
    <w:rsid w:val="00521904"/>
    <w:rsid w:val="00524582"/>
    <w:rsid w:val="0053486A"/>
    <w:rsid w:val="00541989"/>
    <w:rsid w:val="005509CC"/>
    <w:rsid w:val="00556925"/>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460A"/>
    <w:rsid w:val="005F6923"/>
    <w:rsid w:val="00602DB8"/>
    <w:rsid w:val="0060454F"/>
    <w:rsid w:val="00605693"/>
    <w:rsid w:val="00605991"/>
    <w:rsid w:val="00607DE9"/>
    <w:rsid w:val="00612CCA"/>
    <w:rsid w:val="00617B63"/>
    <w:rsid w:val="00641C48"/>
    <w:rsid w:val="0065110C"/>
    <w:rsid w:val="0067251B"/>
    <w:rsid w:val="00697BED"/>
    <w:rsid w:val="006B413C"/>
    <w:rsid w:val="006C5268"/>
    <w:rsid w:val="006D2F09"/>
    <w:rsid w:val="006D4A7D"/>
    <w:rsid w:val="00707E5B"/>
    <w:rsid w:val="0071796C"/>
    <w:rsid w:val="00730751"/>
    <w:rsid w:val="00740429"/>
    <w:rsid w:val="007425E8"/>
    <w:rsid w:val="00745DF3"/>
    <w:rsid w:val="007668BD"/>
    <w:rsid w:val="007671AC"/>
    <w:rsid w:val="00776154"/>
    <w:rsid w:val="007861D5"/>
    <w:rsid w:val="007A250C"/>
    <w:rsid w:val="007A4352"/>
    <w:rsid w:val="007A6122"/>
    <w:rsid w:val="007B023D"/>
    <w:rsid w:val="007C365E"/>
    <w:rsid w:val="007D533B"/>
    <w:rsid w:val="008012C6"/>
    <w:rsid w:val="00816709"/>
    <w:rsid w:val="00822722"/>
    <w:rsid w:val="00822FC6"/>
    <w:rsid w:val="0083209D"/>
    <w:rsid w:val="008360A2"/>
    <w:rsid w:val="00843597"/>
    <w:rsid w:val="00850987"/>
    <w:rsid w:val="0085476E"/>
    <w:rsid w:val="00854ADA"/>
    <w:rsid w:val="008626D6"/>
    <w:rsid w:val="008655BD"/>
    <w:rsid w:val="008712E6"/>
    <w:rsid w:val="008903B9"/>
    <w:rsid w:val="0089595B"/>
    <w:rsid w:val="008A3087"/>
    <w:rsid w:val="008A3B54"/>
    <w:rsid w:val="008D5D61"/>
    <w:rsid w:val="008D6E2B"/>
    <w:rsid w:val="008E4A90"/>
    <w:rsid w:val="008E5996"/>
    <w:rsid w:val="008E5C4C"/>
    <w:rsid w:val="00923A7C"/>
    <w:rsid w:val="00943813"/>
    <w:rsid w:val="009456FA"/>
    <w:rsid w:val="009540DE"/>
    <w:rsid w:val="009653D4"/>
    <w:rsid w:val="00980F4D"/>
    <w:rsid w:val="00992177"/>
    <w:rsid w:val="00992C9D"/>
    <w:rsid w:val="009A113E"/>
    <w:rsid w:val="009A5579"/>
    <w:rsid w:val="009C5423"/>
    <w:rsid w:val="009D0B8C"/>
    <w:rsid w:val="009D1375"/>
    <w:rsid w:val="009D625A"/>
    <w:rsid w:val="009D7455"/>
    <w:rsid w:val="009E3BCC"/>
    <w:rsid w:val="009E6D1D"/>
    <w:rsid w:val="00A04074"/>
    <w:rsid w:val="00A04D4F"/>
    <w:rsid w:val="00A91027"/>
    <w:rsid w:val="00A95F85"/>
    <w:rsid w:val="00AA08AE"/>
    <w:rsid w:val="00AA5D5B"/>
    <w:rsid w:val="00AB4893"/>
    <w:rsid w:val="00AB6007"/>
    <w:rsid w:val="00AC45DF"/>
    <w:rsid w:val="00AD35BC"/>
    <w:rsid w:val="00AE1500"/>
    <w:rsid w:val="00AE181D"/>
    <w:rsid w:val="00AE34F4"/>
    <w:rsid w:val="00AE4C99"/>
    <w:rsid w:val="00AF516B"/>
    <w:rsid w:val="00AF6459"/>
    <w:rsid w:val="00AF6A93"/>
    <w:rsid w:val="00B01B4E"/>
    <w:rsid w:val="00B01F31"/>
    <w:rsid w:val="00B0784B"/>
    <w:rsid w:val="00B101BE"/>
    <w:rsid w:val="00B11D16"/>
    <w:rsid w:val="00B21479"/>
    <w:rsid w:val="00B230A4"/>
    <w:rsid w:val="00B27D30"/>
    <w:rsid w:val="00B4317F"/>
    <w:rsid w:val="00B50137"/>
    <w:rsid w:val="00B5111D"/>
    <w:rsid w:val="00B64821"/>
    <w:rsid w:val="00B67B0F"/>
    <w:rsid w:val="00B705EB"/>
    <w:rsid w:val="00B8230E"/>
    <w:rsid w:val="00B967DA"/>
    <w:rsid w:val="00BA12AE"/>
    <w:rsid w:val="00BF3E37"/>
    <w:rsid w:val="00BF4787"/>
    <w:rsid w:val="00BF7077"/>
    <w:rsid w:val="00C2497E"/>
    <w:rsid w:val="00C26595"/>
    <w:rsid w:val="00C3577A"/>
    <w:rsid w:val="00C36B10"/>
    <w:rsid w:val="00C5418E"/>
    <w:rsid w:val="00C64701"/>
    <w:rsid w:val="00C877F6"/>
    <w:rsid w:val="00C93CB2"/>
    <w:rsid w:val="00C94A83"/>
    <w:rsid w:val="00C975DF"/>
    <w:rsid w:val="00C9792E"/>
    <w:rsid w:val="00CA0CC9"/>
    <w:rsid w:val="00CC63A3"/>
    <w:rsid w:val="00CD4BE9"/>
    <w:rsid w:val="00CF57A2"/>
    <w:rsid w:val="00CF6480"/>
    <w:rsid w:val="00CF7200"/>
    <w:rsid w:val="00D050D5"/>
    <w:rsid w:val="00D06EB7"/>
    <w:rsid w:val="00D261B6"/>
    <w:rsid w:val="00D3382D"/>
    <w:rsid w:val="00D35935"/>
    <w:rsid w:val="00D42C47"/>
    <w:rsid w:val="00D47A86"/>
    <w:rsid w:val="00D501D9"/>
    <w:rsid w:val="00D503A7"/>
    <w:rsid w:val="00D5108C"/>
    <w:rsid w:val="00D52078"/>
    <w:rsid w:val="00D548D9"/>
    <w:rsid w:val="00D561F5"/>
    <w:rsid w:val="00D632AD"/>
    <w:rsid w:val="00D63364"/>
    <w:rsid w:val="00D71419"/>
    <w:rsid w:val="00D86E05"/>
    <w:rsid w:val="00DA22DE"/>
    <w:rsid w:val="00DA5FB3"/>
    <w:rsid w:val="00DA6825"/>
    <w:rsid w:val="00DB08DD"/>
    <w:rsid w:val="00DB20F5"/>
    <w:rsid w:val="00DB2ED8"/>
    <w:rsid w:val="00DB3E69"/>
    <w:rsid w:val="00DC2CE2"/>
    <w:rsid w:val="00DC5898"/>
    <w:rsid w:val="00DF2ABD"/>
    <w:rsid w:val="00DF4BF2"/>
    <w:rsid w:val="00DF7C85"/>
    <w:rsid w:val="00E111DF"/>
    <w:rsid w:val="00E21C9B"/>
    <w:rsid w:val="00E26AFB"/>
    <w:rsid w:val="00E3411D"/>
    <w:rsid w:val="00E34B63"/>
    <w:rsid w:val="00E36FCB"/>
    <w:rsid w:val="00E40539"/>
    <w:rsid w:val="00E41166"/>
    <w:rsid w:val="00E45568"/>
    <w:rsid w:val="00E53604"/>
    <w:rsid w:val="00E542DD"/>
    <w:rsid w:val="00E70C81"/>
    <w:rsid w:val="00E90A7F"/>
    <w:rsid w:val="00E97AD5"/>
    <w:rsid w:val="00EB6FCF"/>
    <w:rsid w:val="00EC1F60"/>
    <w:rsid w:val="00EC3DA1"/>
    <w:rsid w:val="00EC7027"/>
    <w:rsid w:val="00ED1F46"/>
    <w:rsid w:val="00EE30D8"/>
    <w:rsid w:val="00F0001E"/>
    <w:rsid w:val="00F0041B"/>
    <w:rsid w:val="00F11903"/>
    <w:rsid w:val="00F36565"/>
    <w:rsid w:val="00F60B31"/>
    <w:rsid w:val="00F63FA8"/>
    <w:rsid w:val="00F6784D"/>
    <w:rsid w:val="00F80CD2"/>
    <w:rsid w:val="00F90408"/>
    <w:rsid w:val="00FA6C9F"/>
    <w:rsid w:val="00FB389B"/>
    <w:rsid w:val="00FE12DF"/>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0939088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8768332">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47334798">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39957773">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83588485">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84577136">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ransparenciapresupuestaria.gob.mx/es/PTP/Glosario"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10903</Words>
  <Characters>59967</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2026-02-20T19:24:00Z</cp:lastPrinted>
  <dcterms:created xsi:type="dcterms:W3CDTF">2026-04-06T20:41:00Z</dcterms:created>
  <dcterms:modified xsi:type="dcterms:W3CDTF">2026-04-06T20:41:00Z</dcterms:modified>
</cp:coreProperties>
</file>