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55975984"/>
        <w:docPartObj>
          <w:docPartGallery w:val="Table of Contents"/>
          <w:docPartUnique/>
        </w:docPartObj>
      </w:sdtPr>
      <w:sdtEndPr>
        <w:rPr>
          <w:b/>
          <w:bCs/>
        </w:rPr>
      </w:sdtEndPr>
      <w:sdtContent>
        <w:p w14:paraId="5EDA3E16" w14:textId="16C26490" w:rsidR="00192105" w:rsidRDefault="00192105">
          <w:pPr>
            <w:pStyle w:val="TtulodeTDC"/>
          </w:pPr>
          <w:r>
            <w:rPr>
              <w:lang w:val="es-ES"/>
            </w:rPr>
            <w:t>Tabla de contenido</w:t>
          </w:r>
        </w:p>
        <w:p w14:paraId="48E0BB8F" w14:textId="77777777" w:rsidR="00362A22" w:rsidRDefault="00192105">
          <w:pPr>
            <w:pStyle w:val="TDC1"/>
            <w:tabs>
              <w:tab w:val="right" w:leader="dot" w:pos="920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0598949" w:history="1">
            <w:r w:rsidR="00362A22" w:rsidRPr="00540D07">
              <w:rPr>
                <w:rStyle w:val="Hipervnculo"/>
                <w:noProof/>
              </w:rPr>
              <w:t>A N T E C E D E N T E S</w:t>
            </w:r>
            <w:r w:rsidR="00362A22">
              <w:rPr>
                <w:noProof/>
                <w:webHidden/>
              </w:rPr>
              <w:tab/>
            </w:r>
            <w:r w:rsidR="00362A22">
              <w:rPr>
                <w:noProof/>
                <w:webHidden/>
              </w:rPr>
              <w:fldChar w:fldCharType="begin"/>
            </w:r>
            <w:r w:rsidR="00362A22">
              <w:rPr>
                <w:noProof/>
                <w:webHidden/>
              </w:rPr>
              <w:instrText xml:space="preserve"> PAGEREF _Toc220598949 \h </w:instrText>
            </w:r>
            <w:r w:rsidR="00362A22">
              <w:rPr>
                <w:noProof/>
                <w:webHidden/>
              </w:rPr>
            </w:r>
            <w:r w:rsidR="00362A22">
              <w:rPr>
                <w:noProof/>
                <w:webHidden/>
              </w:rPr>
              <w:fldChar w:fldCharType="separate"/>
            </w:r>
            <w:r w:rsidR="00C610B7">
              <w:rPr>
                <w:noProof/>
                <w:webHidden/>
              </w:rPr>
              <w:t>2</w:t>
            </w:r>
            <w:r w:rsidR="00362A22">
              <w:rPr>
                <w:noProof/>
                <w:webHidden/>
              </w:rPr>
              <w:fldChar w:fldCharType="end"/>
            </w:r>
          </w:hyperlink>
        </w:p>
        <w:p w14:paraId="7088470C" w14:textId="77777777" w:rsidR="00362A22" w:rsidRDefault="000E07CA">
          <w:pPr>
            <w:pStyle w:val="TDC2"/>
            <w:tabs>
              <w:tab w:val="right" w:leader="dot" w:pos="9204"/>
            </w:tabs>
            <w:rPr>
              <w:rFonts w:asciiTheme="minorHAnsi" w:eastAsiaTheme="minorEastAsia" w:hAnsiTheme="minorHAnsi" w:cstheme="minorBidi"/>
              <w:noProof/>
            </w:rPr>
          </w:pPr>
          <w:hyperlink w:anchor="_Toc220598950" w:history="1">
            <w:r w:rsidR="00362A22" w:rsidRPr="00540D07">
              <w:rPr>
                <w:rStyle w:val="Hipervnculo"/>
                <w:noProof/>
              </w:rPr>
              <w:t>I. Presentación de la solicitud de información</w:t>
            </w:r>
            <w:r w:rsidR="00362A22">
              <w:rPr>
                <w:noProof/>
                <w:webHidden/>
              </w:rPr>
              <w:tab/>
            </w:r>
            <w:r w:rsidR="00362A22">
              <w:rPr>
                <w:noProof/>
                <w:webHidden/>
              </w:rPr>
              <w:fldChar w:fldCharType="begin"/>
            </w:r>
            <w:r w:rsidR="00362A22">
              <w:rPr>
                <w:noProof/>
                <w:webHidden/>
              </w:rPr>
              <w:instrText xml:space="preserve"> PAGEREF _Toc220598950 \h </w:instrText>
            </w:r>
            <w:r w:rsidR="00362A22">
              <w:rPr>
                <w:noProof/>
                <w:webHidden/>
              </w:rPr>
            </w:r>
            <w:r w:rsidR="00362A22">
              <w:rPr>
                <w:noProof/>
                <w:webHidden/>
              </w:rPr>
              <w:fldChar w:fldCharType="separate"/>
            </w:r>
            <w:r w:rsidR="00C610B7">
              <w:rPr>
                <w:noProof/>
                <w:webHidden/>
              </w:rPr>
              <w:t>2</w:t>
            </w:r>
            <w:r w:rsidR="00362A22">
              <w:rPr>
                <w:noProof/>
                <w:webHidden/>
              </w:rPr>
              <w:fldChar w:fldCharType="end"/>
            </w:r>
          </w:hyperlink>
        </w:p>
        <w:p w14:paraId="371A78FE" w14:textId="77777777" w:rsidR="00362A22" w:rsidRDefault="000E07CA">
          <w:pPr>
            <w:pStyle w:val="TDC2"/>
            <w:tabs>
              <w:tab w:val="right" w:leader="dot" w:pos="9204"/>
            </w:tabs>
            <w:rPr>
              <w:rFonts w:asciiTheme="minorHAnsi" w:eastAsiaTheme="minorEastAsia" w:hAnsiTheme="minorHAnsi" w:cstheme="minorBidi"/>
              <w:noProof/>
            </w:rPr>
          </w:pPr>
          <w:hyperlink w:anchor="_Toc220598951" w:history="1">
            <w:r w:rsidR="00362A22" w:rsidRPr="00540D07">
              <w:rPr>
                <w:rStyle w:val="Hipervnculo"/>
                <w:noProof/>
              </w:rPr>
              <w:t>II. Respuesta del Sujeto Obligado</w:t>
            </w:r>
            <w:r w:rsidR="00362A22">
              <w:rPr>
                <w:noProof/>
                <w:webHidden/>
              </w:rPr>
              <w:tab/>
            </w:r>
            <w:r w:rsidR="00362A22">
              <w:rPr>
                <w:noProof/>
                <w:webHidden/>
              </w:rPr>
              <w:fldChar w:fldCharType="begin"/>
            </w:r>
            <w:r w:rsidR="00362A22">
              <w:rPr>
                <w:noProof/>
                <w:webHidden/>
              </w:rPr>
              <w:instrText xml:space="preserve"> PAGEREF _Toc220598951 \h </w:instrText>
            </w:r>
            <w:r w:rsidR="00362A22">
              <w:rPr>
                <w:noProof/>
                <w:webHidden/>
              </w:rPr>
            </w:r>
            <w:r w:rsidR="00362A22">
              <w:rPr>
                <w:noProof/>
                <w:webHidden/>
              </w:rPr>
              <w:fldChar w:fldCharType="separate"/>
            </w:r>
            <w:r w:rsidR="00C610B7">
              <w:rPr>
                <w:noProof/>
                <w:webHidden/>
              </w:rPr>
              <w:t>2</w:t>
            </w:r>
            <w:r w:rsidR="00362A22">
              <w:rPr>
                <w:noProof/>
                <w:webHidden/>
              </w:rPr>
              <w:fldChar w:fldCharType="end"/>
            </w:r>
          </w:hyperlink>
        </w:p>
        <w:p w14:paraId="0DA075D4" w14:textId="77777777" w:rsidR="00362A22" w:rsidRDefault="000E07CA">
          <w:pPr>
            <w:pStyle w:val="TDC2"/>
            <w:tabs>
              <w:tab w:val="right" w:leader="dot" w:pos="9204"/>
            </w:tabs>
            <w:rPr>
              <w:rFonts w:asciiTheme="minorHAnsi" w:eastAsiaTheme="minorEastAsia" w:hAnsiTheme="minorHAnsi" w:cstheme="minorBidi"/>
              <w:noProof/>
            </w:rPr>
          </w:pPr>
          <w:hyperlink w:anchor="_Toc220598952" w:history="1">
            <w:r w:rsidR="00362A22" w:rsidRPr="00540D07">
              <w:rPr>
                <w:rStyle w:val="Hipervnculo"/>
                <w:noProof/>
              </w:rPr>
              <w:t>III. Interposición del Recurso de Revisión</w:t>
            </w:r>
            <w:r w:rsidR="00362A22">
              <w:rPr>
                <w:noProof/>
                <w:webHidden/>
              </w:rPr>
              <w:tab/>
            </w:r>
            <w:r w:rsidR="00362A22">
              <w:rPr>
                <w:noProof/>
                <w:webHidden/>
              </w:rPr>
              <w:fldChar w:fldCharType="begin"/>
            </w:r>
            <w:r w:rsidR="00362A22">
              <w:rPr>
                <w:noProof/>
                <w:webHidden/>
              </w:rPr>
              <w:instrText xml:space="preserve"> PAGEREF _Toc220598952 \h </w:instrText>
            </w:r>
            <w:r w:rsidR="00362A22">
              <w:rPr>
                <w:noProof/>
                <w:webHidden/>
              </w:rPr>
            </w:r>
            <w:r w:rsidR="00362A22">
              <w:rPr>
                <w:noProof/>
                <w:webHidden/>
              </w:rPr>
              <w:fldChar w:fldCharType="separate"/>
            </w:r>
            <w:r w:rsidR="00C610B7">
              <w:rPr>
                <w:noProof/>
                <w:webHidden/>
              </w:rPr>
              <w:t>4</w:t>
            </w:r>
            <w:r w:rsidR="00362A22">
              <w:rPr>
                <w:noProof/>
                <w:webHidden/>
              </w:rPr>
              <w:fldChar w:fldCharType="end"/>
            </w:r>
          </w:hyperlink>
        </w:p>
        <w:p w14:paraId="5FD4F96A" w14:textId="77777777" w:rsidR="00362A22" w:rsidRDefault="000E07CA">
          <w:pPr>
            <w:pStyle w:val="TDC2"/>
            <w:tabs>
              <w:tab w:val="right" w:leader="dot" w:pos="9204"/>
            </w:tabs>
            <w:rPr>
              <w:rFonts w:asciiTheme="minorHAnsi" w:eastAsiaTheme="minorEastAsia" w:hAnsiTheme="minorHAnsi" w:cstheme="minorBidi"/>
              <w:noProof/>
            </w:rPr>
          </w:pPr>
          <w:hyperlink w:anchor="_Toc220598953" w:history="1">
            <w:r w:rsidR="00362A22" w:rsidRPr="00540D07">
              <w:rPr>
                <w:rStyle w:val="Hipervnculo"/>
                <w:noProof/>
              </w:rPr>
              <w:t>IV. Trámite del Recurso de Revisión ante este Instituto</w:t>
            </w:r>
            <w:r w:rsidR="00362A22">
              <w:rPr>
                <w:noProof/>
                <w:webHidden/>
              </w:rPr>
              <w:tab/>
            </w:r>
            <w:r w:rsidR="00362A22">
              <w:rPr>
                <w:noProof/>
                <w:webHidden/>
              </w:rPr>
              <w:fldChar w:fldCharType="begin"/>
            </w:r>
            <w:r w:rsidR="00362A22">
              <w:rPr>
                <w:noProof/>
                <w:webHidden/>
              </w:rPr>
              <w:instrText xml:space="preserve"> PAGEREF _Toc220598953 \h </w:instrText>
            </w:r>
            <w:r w:rsidR="00362A22">
              <w:rPr>
                <w:noProof/>
                <w:webHidden/>
              </w:rPr>
            </w:r>
            <w:r w:rsidR="00362A22">
              <w:rPr>
                <w:noProof/>
                <w:webHidden/>
              </w:rPr>
              <w:fldChar w:fldCharType="separate"/>
            </w:r>
            <w:r w:rsidR="00C610B7">
              <w:rPr>
                <w:noProof/>
                <w:webHidden/>
              </w:rPr>
              <w:t>5</w:t>
            </w:r>
            <w:r w:rsidR="00362A22">
              <w:rPr>
                <w:noProof/>
                <w:webHidden/>
              </w:rPr>
              <w:fldChar w:fldCharType="end"/>
            </w:r>
          </w:hyperlink>
        </w:p>
        <w:p w14:paraId="08714894" w14:textId="77777777" w:rsidR="00362A22" w:rsidRDefault="000E07CA">
          <w:pPr>
            <w:pStyle w:val="TDC1"/>
            <w:tabs>
              <w:tab w:val="right" w:leader="dot" w:pos="9204"/>
            </w:tabs>
            <w:rPr>
              <w:rFonts w:asciiTheme="minorHAnsi" w:eastAsiaTheme="minorEastAsia" w:hAnsiTheme="minorHAnsi" w:cstheme="minorBidi"/>
              <w:noProof/>
            </w:rPr>
          </w:pPr>
          <w:hyperlink w:anchor="_Toc220598954" w:history="1">
            <w:r w:rsidR="00362A22" w:rsidRPr="00540D07">
              <w:rPr>
                <w:rStyle w:val="Hipervnculo"/>
                <w:noProof/>
              </w:rPr>
              <w:t>C O N S I D E R A N D O S</w:t>
            </w:r>
            <w:r w:rsidR="00362A22">
              <w:rPr>
                <w:noProof/>
                <w:webHidden/>
              </w:rPr>
              <w:tab/>
            </w:r>
            <w:r w:rsidR="00362A22">
              <w:rPr>
                <w:noProof/>
                <w:webHidden/>
              </w:rPr>
              <w:fldChar w:fldCharType="begin"/>
            </w:r>
            <w:r w:rsidR="00362A22">
              <w:rPr>
                <w:noProof/>
                <w:webHidden/>
              </w:rPr>
              <w:instrText xml:space="preserve"> PAGEREF _Toc220598954 \h </w:instrText>
            </w:r>
            <w:r w:rsidR="00362A22">
              <w:rPr>
                <w:noProof/>
                <w:webHidden/>
              </w:rPr>
            </w:r>
            <w:r w:rsidR="00362A22">
              <w:rPr>
                <w:noProof/>
                <w:webHidden/>
              </w:rPr>
              <w:fldChar w:fldCharType="separate"/>
            </w:r>
            <w:r w:rsidR="00C610B7">
              <w:rPr>
                <w:noProof/>
                <w:webHidden/>
              </w:rPr>
              <w:t>7</w:t>
            </w:r>
            <w:r w:rsidR="00362A22">
              <w:rPr>
                <w:noProof/>
                <w:webHidden/>
              </w:rPr>
              <w:fldChar w:fldCharType="end"/>
            </w:r>
          </w:hyperlink>
        </w:p>
        <w:p w14:paraId="7CFA0CE9" w14:textId="77777777" w:rsidR="00362A22" w:rsidRDefault="000E07CA">
          <w:pPr>
            <w:pStyle w:val="TDC2"/>
            <w:tabs>
              <w:tab w:val="right" w:leader="dot" w:pos="9204"/>
            </w:tabs>
            <w:rPr>
              <w:rFonts w:asciiTheme="minorHAnsi" w:eastAsiaTheme="minorEastAsia" w:hAnsiTheme="minorHAnsi" w:cstheme="minorBidi"/>
              <w:noProof/>
            </w:rPr>
          </w:pPr>
          <w:hyperlink w:anchor="_Toc220598955" w:history="1">
            <w:r w:rsidR="00362A22" w:rsidRPr="00540D07">
              <w:rPr>
                <w:rStyle w:val="Hipervnculo"/>
                <w:noProof/>
              </w:rPr>
              <w:t>PRIMERO. Competencia</w:t>
            </w:r>
            <w:r w:rsidR="00362A22">
              <w:rPr>
                <w:noProof/>
                <w:webHidden/>
              </w:rPr>
              <w:tab/>
            </w:r>
            <w:r w:rsidR="00362A22">
              <w:rPr>
                <w:noProof/>
                <w:webHidden/>
              </w:rPr>
              <w:fldChar w:fldCharType="begin"/>
            </w:r>
            <w:r w:rsidR="00362A22">
              <w:rPr>
                <w:noProof/>
                <w:webHidden/>
              </w:rPr>
              <w:instrText xml:space="preserve"> PAGEREF _Toc220598955 \h </w:instrText>
            </w:r>
            <w:r w:rsidR="00362A22">
              <w:rPr>
                <w:noProof/>
                <w:webHidden/>
              </w:rPr>
            </w:r>
            <w:r w:rsidR="00362A22">
              <w:rPr>
                <w:noProof/>
                <w:webHidden/>
              </w:rPr>
              <w:fldChar w:fldCharType="separate"/>
            </w:r>
            <w:r w:rsidR="00C610B7">
              <w:rPr>
                <w:noProof/>
                <w:webHidden/>
              </w:rPr>
              <w:t>7</w:t>
            </w:r>
            <w:r w:rsidR="00362A22">
              <w:rPr>
                <w:noProof/>
                <w:webHidden/>
              </w:rPr>
              <w:fldChar w:fldCharType="end"/>
            </w:r>
          </w:hyperlink>
        </w:p>
        <w:p w14:paraId="1FCE3ADC" w14:textId="77777777" w:rsidR="00362A22" w:rsidRDefault="000E07CA">
          <w:pPr>
            <w:pStyle w:val="TDC2"/>
            <w:tabs>
              <w:tab w:val="right" w:leader="dot" w:pos="9204"/>
            </w:tabs>
            <w:rPr>
              <w:rFonts w:asciiTheme="minorHAnsi" w:eastAsiaTheme="minorEastAsia" w:hAnsiTheme="minorHAnsi" w:cstheme="minorBidi"/>
              <w:noProof/>
            </w:rPr>
          </w:pPr>
          <w:hyperlink w:anchor="_Toc220598956" w:history="1">
            <w:r w:rsidR="00362A22" w:rsidRPr="00540D07">
              <w:rPr>
                <w:rStyle w:val="Hipervnculo"/>
                <w:noProof/>
              </w:rPr>
              <w:t>SEGUNDO. Causales de improcedencia y sobreseimiento</w:t>
            </w:r>
            <w:r w:rsidR="00362A22">
              <w:rPr>
                <w:noProof/>
                <w:webHidden/>
              </w:rPr>
              <w:tab/>
            </w:r>
            <w:r w:rsidR="00362A22">
              <w:rPr>
                <w:noProof/>
                <w:webHidden/>
              </w:rPr>
              <w:fldChar w:fldCharType="begin"/>
            </w:r>
            <w:r w:rsidR="00362A22">
              <w:rPr>
                <w:noProof/>
                <w:webHidden/>
              </w:rPr>
              <w:instrText xml:space="preserve"> PAGEREF _Toc220598956 \h </w:instrText>
            </w:r>
            <w:r w:rsidR="00362A22">
              <w:rPr>
                <w:noProof/>
                <w:webHidden/>
              </w:rPr>
            </w:r>
            <w:r w:rsidR="00362A22">
              <w:rPr>
                <w:noProof/>
                <w:webHidden/>
              </w:rPr>
              <w:fldChar w:fldCharType="separate"/>
            </w:r>
            <w:r w:rsidR="00C610B7">
              <w:rPr>
                <w:noProof/>
                <w:webHidden/>
              </w:rPr>
              <w:t>8</w:t>
            </w:r>
            <w:r w:rsidR="00362A22">
              <w:rPr>
                <w:noProof/>
                <w:webHidden/>
              </w:rPr>
              <w:fldChar w:fldCharType="end"/>
            </w:r>
          </w:hyperlink>
        </w:p>
        <w:p w14:paraId="45B4D945" w14:textId="77777777" w:rsidR="00362A22" w:rsidRDefault="000E07CA">
          <w:pPr>
            <w:pStyle w:val="TDC2"/>
            <w:tabs>
              <w:tab w:val="right" w:leader="dot" w:pos="9204"/>
            </w:tabs>
            <w:rPr>
              <w:rFonts w:asciiTheme="minorHAnsi" w:eastAsiaTheme="minorEastAsia" w:hAnsiTheme="minorHAnsi" w:cstheme="minorBidi"/>
              <w:noProof/>
            </w:rPr>
          </w:pPr>
          <w:hyperlink w:anchor="_Toc220598957" w:history="1">
            <w:r w:rsidR="00362A22" w:rsidRPr="00540D07">
              <w:rPr>
                <w:rStyle w:val="Hipervnculo"/>
                <w:noProof/>
              </w:rPr>
              <w:t>TERCERO. Determinación de la Controversia</w:t>
            </w:r>
            <w:r w:rsidR="00362A22">
              <w:rPr>
                <w:noProof/>
                <w:webHidden/>
              </w:rPr>
              <w:tab/>
            </w:r>
            <w:r w:rsidR="00362A22">
              <w:rPr>
                <w:noProof/>
                <w:webHidden/>
              </w:rPr>
              <w:fldChar w:fldCharType="begin"/>
            </w:r>
            <w:r w:rsidR="00362A22">
              <w:rPr>
                <w:noProof/>
                <w:webHidden/>
              </w:rPr>
              <w:instrText xml:space="preserve"> PAGEREF _Toc220598957 \h </w:instrText>
            </w:r>
            <w:r w:rsidR="00362A22">
              <w:rPr>
                <w:noProof/>
                <w:webHidden/>
              </w:rPr>
            </w:r>
            <w:r w:rsidR="00362A22">
              <w:rPr>
                <w:noProof/>
                <w:webHidden/>
              </w:rPr>
              <w:fldChar w:fldCharType="separate"/>
            </w:r>
            <w:r w:rsidR="00C610B7">
              <w:rPr>
                <w:noProof/>
                <w:webHidden/>
              </w:rPr>
              <w:t>9</w:t>
            </w:r>
            <w:r w:rsidR="00362A22">
              <w:rPr>
                <w:noProof/>
                <w:webHidden/>
              </w:rPr>
              <w:fldChar w:fldCharType="end"/>
            </w:r>
          </w:hyperlink>
        </w:p>
        <w:p w14:paraId="4600139E" w14:textId="77777777" w:rsidR="00362A22" w:rsidRDefault="000E07CA">
          <w:pPr>
            <w:pStyle w:val="TDC2"/>
            <w:tabs>
              <w:tab w:val="right" w:leader="dot" w:pos="9204"/>
            </w:tabs>
            <w:rPr>
              <w:rFonts w:asciiTheme="minorHAnsi" w:eastAsiaTheme="minorEastAsia" w:hAnsiTheme="minorHAnsi" w:cstheme="minorBidi"/>
              <w:noProof/>
            </w:rPr>
          </w:pPr>
          <w:hyperlink w:anchor="_Toc220598958" w:history="1">
            <w:r w:rsidR="00362A22" w:rsidRPr="00540D07">
              <w:rPr>
                <w:rStyle w:val="Hipervnculo"/>
                <w:noProof/>
              </w:rPr>
              <w:t>CUARTO. Marco normativo aplicable en materia de transparencia y acceso a la información pública</w:t>
            </w:r>
            <w:r w:rsidR="00362A22">
              <w:rPr>
                <w:noProof/>
                <w:webHidden/>
              </w:rPr>
              <w:tab/>
            </w:r>
            <w:r w:rsidR="00362A22">
              <w:rPr>
                <w:noProof/>
                <w:webHidden/>
              </w:rPr>
              <w:fldChar w:fldCharType="begin"/>
            </w:r>
            <w:r w:rsidR="00362A22">
              <w:rPr>
                <w:noProof/>
                <w:webHidden/>
              </w:rPr>
              <w:instrText xml:space="preserve"> PAGEREF _Toc220598958 \h </w:instrText>
            </w:r>
            <w:r w:rsidR="00362A22">
              <w:rPr>
                <w:noProof/>
                <w:webHidden/>
              </w:rPr>
            </w:r>
            <w:r w:rsidR="00362A22">
              <w:rPr>
                <w:noProof/>
                <w:webHidden/>
              </w:rPr>
              <w:fldChar w:fldCharType="separate"/>
            </w:r>
            <w:r w:rsidR="00C610B7">
              <w:rPr>
                <w:noProof/>
                <w:webHidden/>
              </w:rPr>
              <w:t>11</w:t>
            </w:r>
            <w:r w:rsidR="00362A22">
              <w:rPr>
                <w:noProof/>
                <w:webHidden/>
              </w:rPr>
              <w:fldChar w:fldCharType="end"/>
            </w:r>
          </w:hyperlink>
        </w:p>
        <w:p w14:paraId="0BFD6F4A" w14:textId="77777777" w:rsidR="00362A22" w:rsidRDefault="000E07CA">
          <w:pPr>
            <w:pStyle w:val="TDC2"/>
            <w:tabs>
              <w:tab w:val="right" w:leader="dot" w:pos="9204"/>
            </w:tabs>
            <w:rPr>
              <w:rFonts w:asciiTheme="minorHAnsi" w:eastAsiaTheme="minorEastAsia" w:hAnsiTheme="minorHAnsi" w:cstheme="minorBidi"/>
              <w:noProof/>
            </w:rPr>
          </w:pPr>
          <w:hyperlink w:anchor="_Toc220598959" w:history="1">
            <w:r w:rsidR="00362A22" w:rsidRPr="00540D07">
              <w:rPr>
                <w:rStyle w:val="Hipervnculo"/>
                <w:smallCaps/>
                <w:noProof/>
              </w:rPr>
              <w:t>QUINTO.</w:t>
            </w:r>
            <w:r w:rsidR="00362A22" w:rsidRPr="00540D07">
              <w:rPr>
                <w:rStyle w:val="Hipervnculo"/>
                <w:noProof/>
              </w:rPr>
              <w:t xml:space="preserve"> Estudio de Fondo</w:t>
            </w:r>
            <w:r w:rsidR="00362A22">
              <w:rPr>
                <w:noProof/>
                <w:webHidden/>
              </w:rPr>
              <w:tab/>
            </w:r>
            <w:r w:rsidR="00362A22">
              <w:rPr>
                <w:noProof/>
                <w:webHidden/>
              </w:rPr>
              <w:fldChar w:fldCharType="begin"/>
            </w:r>
            <w:r w:rsidR="00362A22">
              <w:rPr>
                <w:noProof/>
                <w:webHidden/>
              </w:rPr>
              <w:instrText xml:space="preserve"> PAGEREF _Toc220598959 \h </w:instrText>
            </w:r>
            <w:r w:rsidR="00362A22">
              <w:rPr>
                <w:noProof/>
                <w:webHidden/>
              </w:rPr>
            </w:r>
            <w:r w:rsidR="00362A22">
              <w:rPr>
                <w:noProof/>
                <w:webHidden/>
              </w:rPr>
              <w:fldChar w:fldCharType="separate"/>
            </w:r>
            <w:r w:rsidR="00C610B7">
              <w:rPr>
                <w:noProof/>
                <w:webHidden/>
              </w:rPr>
              <w:t>12</w:t>
            </w:r>
            <w:r w:rsidR="00362A22">
              <w:rPr>
                <w:noProof/>
                <w:webHidden/>
              </w:rPr>
              <w:fldChar w:fldCharType="end"/>
            </w:r>
          </w:hyperlink>
        </w:p>
        <w:p w14:paraId="14A32A06" w14:textId="77777777" w:rsidR="00362A22" w:rsidRDefault="000E07CA">
          <w:pPr>
            <w:pStyle w:val="TDC2"/>
            <w:tabs>
              <w:tab w:val="right" w:leader="dot" w:pos="9204"/>
            </w:tabs>
            <w:rPr>
              <w:rFonts w:asciiTheme="minorHAnsi" w:eastAsiaTheme="minorEastAsia" w:hAnsiTheme="minorHAnsi" w:cstheme="minorBidi"/>
              <w:noProof/>
            </w:rPr>
          </w:pPr>
          <w:hyperlink w:anchor="_Toc220598960" w:history="1">
            <w:r w:rsidR="00362A22" w:rsidRPr="00540D07">
              <w:rPr>
                <w:rStyle w:val="Hipervnculo"/>
                <w:noProof/>
              </w:rPr>
              <w:t>SEXTO. Decisión</w:t>
            </w:r>
            <w:r w:rsidR="00362A22">
              <w:rPr>
                <w:noProof/>
                <w:webHidden/>
              </w:rPr>
              <w:tab/>
            </w:r>
            <w:r w:rsidR="00362A22">
              <w:rPr>
                <w:noProof/>
                <w:webHidden/>
              </w:rPr>
              <w:fldChar w:fldCharType="begin"/>
            </w:r>
            <w:r w:rsidR="00362A22">
              <w:rPr>
                <w:noProof/>
                <w:webHidden/>
              </w:rPr>
              <w:instrText xml:space="preserve"> PAGEREF _Toc220598960 \h </w:instrText>
            </w:r>
            <w:r w:rsidR="00362A22">
              <w:rPr>
                <w:noProof/>
                <w:webHidden/>
              </w:rPr>
            </w:r>
            <w:r w:rsidR="00362A22">
              <w:rPr>
                <w:noProof/>
                <w:webHidden/>
              </w:rPr>
              <w:fldChar w:fldCharType="separate"/>
            </w:r>
            <w:r w:rsidR="00C610B7">
              <w:rPr>
                <w:noProof/>
                <w:webHidden/>
              </w:rPr>
              <w:t>23</w:t>
            </w:r>
            <w:r w:rsidR="00362A22">
              <w:rPr>
                <w:noProof/>
                <w:webHidden/>
              </w:rPr>
              <w:fldChar w:fldCharType="end"/>
            </w:r>
          </w:hyperlink>
        </w:p>
        <w:p w14:paraId="528FEE3D" w14:textId="77777777" w:rsidR="00362A22" w:rsidRDefault="000E07CA">
          <w:pPr>
            <w:pStyle w:val="TDC1"/>
            <w:tabs>
              <w:tab w:val="right" w:leader="dot" w:pos="9204"/>
            </w:tabs>
            <w:rPr>
              <w:rFonts w:asciiTheme="minorHAnsi" w:eastAsiaTheme="minorEastAsia" w:hAnsiTheme="minorHAnsi" w:cstheme="minorBidi"/>
              <w:noProof/>
            </w:rPr>
          </w:pPr>
          <w:hyperlink w:anchor="_Toc220598961" w:history="1">
            <w:r w:rsidR="00362A22" w:rsidRPr="00540D07">
              <w:rPr>
                <w:rStyle w:val="Hipervnculo"/>
                <w:noProof/>
              </w:rPr>
              <w:t>R E S U E L V E</w:t>
            </w:r>
            <w:r w:rsidR="00362A22">
              <w:rPr>
                <w:noProof/>
                <w:webHidden/>
              </w:rPr>
              <w:tab/>
            </w:r>
            <w:r w:rsidR="00362A22">
              <w:rPr>
                <w:noProof/>
                <w:webHidden/>
              </w:rPr>
              <w:fldChar w:fldCharType="begin"/>
            </w:r>
            <w:r w:rsidR="00362A22">
              <w:rPr>
                <w:noProof/>
                <w:webHidden/>
              </w:rPr>
              <w:instrText xml:space="preserve"> PAGEREF _Toc220598961 \h </w:instrText>
            </w:r>
            <w:r w:rsidR="00362A22">
              <w:rPr>
                <w:noProof/>
                <w:webHidden/>
              </w:rPr>
            </w:r>
            <w:r w:rsidR="00362A22">
              <w:rPr>
                <w:noProof/>
                <w:webHidden/>
              </w:rPr>
              <w:fldChar w:fldCharType="separate"/>
            </w:r>
            <w:r w:rsidR="00C610B7">
              <w:rPr>
                <w:noProof/>
                <w:webHidden/>
              </w:rPr>
              <w:t>23</w:t>
            </w:r>
            <w:r w:rsidR="00362A22">
              <w:rPr>
                <w:noProof/>
                <w:webHidden/>
              </w:rPr>
              <w:fldChar w:fldCharType="end"/>
            </w:r>
          </w:hyperlink>
        </w:p>
        <w:p w14:paraId="758CCC7F" w14:textId="53EBC3C6" w:rsidR="00192105" w:rsidRDefault="00192105">
          <w:r>
            <w:rPr>
              <w:b/>
              <w:bCs/>
              <w:lang w:val="es-ES"/>
            </w:rPr>
            <w:fldChar w:fldCharType="end"/>
          </w:r>
        </w:p>
      </w:sdtContent>
    </w:sdt>
    <w:p w14:paraId="4634AC7D" w14:textId="77777777" w:rsidR="006324CD" w:rsidRDefault="006324CD">
      <w:pPr>
        <w:widowControl w:val="0"/>
        <w:pBdr>
          <w:top w:val="nil"/>
          <w:left w:val="nil"/>
          <w:bottom w:val="nil"/>
          <w:right w:val="nil"/>
          <w:between w:val="nil"/>
        </w:pBdr>
        <w:spacing w:after="0" w:line="276" w:lineRule="auto"/>
        <w:jc w:val="left"/>
      </w:pPr>
    </w:p>
    <w:p w14:paraId="6DCA02DC" w14:textId="77777777" w:rsidR="006324CD" w:rsidRDefault="006324CD">
      <w:pPr>
        <w:widowControl w:val="0"/>
        <w:pBdr>
          <w:top w:val="nil"/>
          <w:left w:val="nil"/>
          <w:bottom w:val="nil"/>
          <w:right w:val="nil"/>
          <w:between w:val="nil"/>
        </w:pBdr>
        <w:spacing w:after="0" w:line="360" w:lineRule="auto"/>
        <w:jc w:val="left"/>
      </w:pPr>
    </w:p>
    <w:p w14:paraId="79DCAEC0" w14:textId="77777777" w:rsidR="006324CD" w:rsidRDefault="006324CD">
      <w:pPr>
        <w:widowControl w:val="0"/>
        <w:pBdr>
          <w:top w:val="nil"/>
          <w:left w:val="nil"/>
          <w:bottom w:val="nil"/>
          <w:right w:val="nil"/>
          <w:between w:val="nil"/>
        </w:pBdr>
        <w:spacing w:after="0" w:line="360" w:lineRule="auto"/>
        <w:jc w:val="left"/>
      </w:pPr>
    </w:p>
    <w:p w14:paraId="3272284E" w14:textId="77777777" w:rsidR="006324CD" w:rsidRDefault="006324CD">
      <w:pPr>
        <w:pStyle w:val="Ttulo2"/>
        <w:spacing w:before="0" w:after="0"/>
      </w:pPr>
    </w:p>
    <w:p w14:paraId="6080F8B3" w14:textId="77777777" w:rsidR="006324CD" w:rsidRDefault="006324CD">
      <w:pPr>
        <w:spacing w:after="0" w:line="360" w:lineRule="auto"/>
      </w:pPr>
    </w:p>
    <w:p w14:paraId="4ED1C5FD" w14:textId="77777777" w:rsidR="006324CD" w:rsidRDefault="00192105">
      <w:pPr>
        <w:spacing w:after="0" w:line="360" w:lineRule="auto"/>
      </w:pPr>
      <w:r>
        <w:br w:type="page"/>
      </w:r>
    </w:p>
    <w:p w14:paraId="60A56861" w14:textId="77777777" w:rsidR="006324CD" w:rsidRDefault="00192105">
      <w:pPr>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veintiocho de enero de dos mil veintiséis.</w:t>
      </w:r>
    </w:p>
    <w:p w14:paraId="44A2398A" w14:textId="77777777" w:rsidR="006324CD" w:rsidRDefault="006324CD">
      <w:pPr>
        <w:spacing w:after="0" w:line="360" w:lineRule="auto"/>
        <w:rPr>
          <w:b/>
          <w:bCs/>
        </w:rPr>
      </w:pPr>
    </w:p>
    <w:p w14:paraId="1E8636FB" w14:textId="21D9717E" w:rsidR="006324CD" w:rsidRDefault="00192105">
      <w:pPr>
        <w:spacing w:after="0" w:line="360" w:lineRule="auto"/>
      </w:pPr>
      <w:r>
        <w:rPr>
          <w:b/>
          <w:bCs/>
        </w:rPr>
        <w:t>VISTO</w:t>
      </w:r>
      <w:r>
        <w:t xml:space="preserve"> el expediente conformado con motivo del Recurso de Revisión </w:t>
      </w:r>
      <w:r w:rsidRPr="00D55D16">
        <w:rPr>
          <w:b/>
        </w:rPr>
        <w:t>10276/INFOEM/IP/RR/2025</w:t>
      </w:r>
      <w:r w:rsidRPr="006A7F6C">
        <w:t xml:space="preserve">, interpuesto por </w:t>
      </w:r>
      <w:r>
        <w:t xml:space="preserve">la persona Recurrente o Particular, en contra de la respuesta del Sujeto Obligado, </w:t>
      </w:r>
      <w:bookmarkStart w:id="0" w:name="_GoBack"/>
      <w:r w:rsidRPr="00D55D16">
        <w:rPr>
          <w:b/>
        </w:rPr>
        <w:t>Ayuntamiento de Atlacomulco</w:t>
      </w:r>
      <w:r>
        <w:t xml:space="preserve"> </w:t>
      </w:r>
      <w:bookmarkEnd w:id="0"/>
      <w:r>
        <w:t>se emite la presente Resolución, con base en los antecedentes y considerandos que se exponen a continuación:</w:t>
      </w:r>
    </w:p>
    <w:p w14:paraId="1DF7F87A" w14:textId="77777777" w:rsidR="006324CD" w:rsidRDefault="006324CD">
      <w:pPr>
        <w:spacing w:after="0" w:line="360" w:lineRule="auto"/>
      </w:pPr>
    </w:p>
    <w:p w14:paraId="4D042A20" w14:textId="77777777" w:rsidR="006324CD" w:rsidRDefault="00192105">
      <w:pPr>
        <w:pStyle w:val="Ttulo1"/>
        <w:spacing w:before="0" w:after="0"/>
        <w:rPr>
          <w:sz w:val="22"/>
          <w:szCs w:val="22"/>
        </w:rPr>
      </w:pPr>
      <w:bookmarkStart w:id="1" w:name="_heading=h.7bkvkkd91saf" w:colFirst="0" w:colLast="0"/>
      <w:bookmarkStart w:id="2" w:name="_Toc220598949"/>
      <w:bookmarkEnd w:id="1"/>
      <w:r>
        <w:rPr>
          <w:sz w:val="22"/>
          <w:szCs w:val="22"/>
        </w:rPr>
        <w:t>A N T E C E D E N T E S</w:t>
      </w:r>
      <w:bookmarkEnd w:id="2"/>
    </w:p>
    <w:p w14:paraId="33D0E43E" w14:textId="77777777" w:rsidR="006324CD" w:rsidRDefault="006324CD">
      <w:pPr>
        <w:spacing w:after="0" w:line="360" w:lineRule="auto"/>
      </w:pPr>
      <w:bookmarkStart w:id="3" w:name="_heading=h.gjdgxs" w:colFirst="0" w:colLast="0"/>
      <w:bookmarkEnd w:id="3"/>
    </w:p>
    <w:p w14:paraId="6FD0F776" w14:textId="77777777" w:rsidR="006324CD" w:rsidRDefault="00192105">
      <w:pPr>
        <w:pStyle w:val="Ttulo2"/>
        <w:spacing w:before="0" w:after="0"/>
      </w:pPr>
      <w:bookmarkStart w:id="4" w:name="_heading=h.wzv1qcc4a7qi" w:colFirst="0" w:colLast="0"/>
      <w:bookmarkStart w:id="5" w:name="_Toc220598950"/>
      <w:bookmarkEnd w:id="4"/>
      <w:r>
        <w:t>I. Presentación de la solicitud de información</w:t>
      </w:r>
      <w:bookmarkEnd w:id="5"/>
    </w:p>
    <w:p w14:paraId="3EB25B02" w14:textId="77777777" w:rsidR="006324CD" w:rsidRDefault="006324CD">
      <w:pPr>
        <w:tabs>
          <w:tab w:val="left" w:pos="567"/>
        </w:tabs>
        <w:spacing w:after="0" w:line="360" w:lineRule="auto"/>
      </w:pPr>
    </w:p>
    <w:p w14:paraId="5B5A405B" w14:textId="77777777" w:rsidR="006324CD" w:rsidRDefault="00192105">
      <w:pPr>
        <w:spacing w:after="0" w:line="360" w:lineRule="auto"/>
        <w:rPr>
          <w:color w:val="000000"/>
        </w:rPr>
      </w:pPr>
      <w:r>
        <w:t xml:space="preserve">Con fecha dieciséis de julio de dos mil veinticinco, </w:t>
      </w:r>
      <w:r>
        <w:rPr>
          <w:color w:val="000000"/>
        </w:rPr>
        <w:t>la parte Solicitante presentó una solicitud de acceso a la información pública,</w:t>
      </w:r>
      <w:r>
        <w:t xml:space="preserve"> a través del</w:t>
      </w:r>
      <w:r>
        <w:rPr>
          <w:color w:val="000000"/>
        </w:rPr>
        <w:t xml:space="preserve"> Sistema de Acceso a la Información Mexiquense, en lo sucesivo el SAIMEX; ante el Ayuntamiento de Atlacomulco, en la que requirió lo siguiente:</w:t>
      </w:r>
    </w:p>
    <w:p w14:paraId="3063BABA" w14:textId="77777777" w:rsidR="006324CD" w:rsidRDefault="006324CD">
      <w:pPr>
        <w:spacing w:after="0" w:line="360" w:lineRule="auto"/>
        <w:rPr>
          <w:color w:val="000000"/>
        </w:rPr>
      </w:pPr>
    </w:p>
    <w:p w14:paraId="7CFF38F9" w14:textId="77777777" w:rsidR="006324CD" w:rsidRDefault="00192105">
      <w:pPr>
        <w:tabs>
          <w:tab w:val="left" w:pos="567"/>
        </w:tabs>
        <w:spacing w:after="0" w:line="360" w:lineRule="auto"/>
        <w:ind w:left="567" w:right="709"/>
        <w:rPr>
          <w:b/>
          <w:bCs/>
          <w:sz w:val="20"/>
          <w:szCs w:val="20"/>
        </w:rPr>
      </w:pPr>
      <w:r>
        <w:rPr>
          <w:b/>
          <w:bCs/>
          <w:sz w:val="20"/>
          <w:szCs w:val="20"/>
        </w:rPr>
        <w:t>Folio de la solicitud: 00438/ATLACOM/IP/2025</w:t>
      </w:r>
    </w:p>
    <w:p w14:paraId="6639ACA1" w14:textId="77777777" w:rsidR="006324CD" w:rsidRDefault="00192105">
      <w:pPr>
        <w:tabs>
          <w:tab w:val="left" w:pos="567"/>
        </w:tabs>
        <w:spacing w:after="0" w:line="360" w:lineRule="auto"/>
        <w:ind w:left="567" w:right="709"/>
        <w:rPr>
          <w:b/>
          <w:bCs/>
          <w:sz w:val="20"/>
          <w:szCs w:val="20"/>
        </w:rPr>
      </w:pPr>
      <w:r>
        <w:rPr>
          <w:b/>
          <w:bCs/>
          <w:sz w:val="20"/>
          <w:szCs w:val="20"/>
        </w:rPr>
        <w:t>DESCRIPCIÓN CLARA Y PRECISA DE LA INFORMACIÓN SOLICITADA</w:t>
      </w:r>
    </w:p>
    <w:p w14:paraId="4DA08636" w14:textId="77777777" w:rsidR="006324CD" w:rsidRDefault="00192105">
      <w:pPr>
        <w:tabs>
          <w:tab w:val="left" w:pos="4667"/>
        </w:tabs>
        <w:spacing w:after="0" w:line="360" w:lineRule="auto"/>
        <w:ind w:left="567" w:right="709"/>
        <w:rPr>
          <w:i/>
          <w:iCs/>
          <w:sz w:val="20"/>
          <w:szCs w:val="20"/>
        </w:rPr>
      </w:pPr>
      <w:r>
        <w:rPr>
          <w:i/>
          <w:iCs/>
          <w:sz w:val="20"/>
          <w:szCs w:val="20"/>
        </w:rPr>
        <w:t xml:space="preserve">“Lista de beneficiarios de las despensas entregadas por el municipio y como se </w:t>
      </w:r>
      <w:proofErr w:type="spellStart"/>
      <w:r>
        <w:rPr>
          <w:i/>
          <w:iCs/>
          <w:sz w:val="20"/>
          <w:szCs w:val="20"/>
        </w:rPr>
        <w:t>selecciono</w:t>
      </w:r>
      <w:proofErr w:type="spellEnd"/>
      <w:r>
        <w:rPr>
          <w:i/>
          <w:iCs/>
          <w:sz w:val="20"/>
          <w:szCs w:val="20"/>
        </w:rPr>
        <w:t xml:space="preserve"> a los beneficiarios, convocatoria y expedientes” (Sic).</w:t>
      </w:r>
    </w:p>
    <w:p w14:paraId="2249AAC6" w14:textId="77777777" w:rsidR="006324CD" w:rsidRDefault="006324CD">
      <w:pPr>
        <w:tabs>
          <w:tab w:val="left" w:pos="4667"/>
        </w:tabs>
        <w:spacing w:after="0" w:line="360" w:lineRule="auto"/>
        <w:ind w:left="567" w:right="709"/>
        <w:rPr>
          <w:b/>
          <w:bCs/>
          <w:sz w:val="20"/>
          <w:szCs w:val="20"/>
        </w:rPr>
      </w:pPr>
    </w:p>
    <w:p w14:paraId="7F2929A5" w14:textId="77777777" w:rsidR="006324CD" w:rsidRDefault="00192105">
      <w:pPr>
        <w:tabs>
          <w:tab w:val="left" w:pos="4667"/>
        </w:tabs>
        <w:spacing w:after="0" w:line="360" w:lineRule="auto"/>
        <w:ind w:left="567" w:right="709"/>
        <w:rPr>
          <w:i/>
          <w:iCs/>
          <w:sz w:val="20"/>
          <w:szCs w:val="20"/>
        </w:rPr>
      </w:pPr>
      <w:r>
        <w:rPr>
          <w:b/>
          <w:bCs/>
          <w:sz w:val="20"/>
          <w:szCs w:val="20"/>
        </w:rPr>
        <w:t xml:space="preserve">MODALIDAD DE ENTREGA </w:t>
      </w:r>
      <w:r>
        <w:rPr>
          <w:i/>
          <w:iCs/>
          <w:sz w:val="20"/>
          <w:szCs w:val="20"/>
        </w:rPr>
        <w:t>“A través del SAIMEX.”</w:t>
      </w:r>
    </w:p>
    <w:p w14:paraId="692F963A" w14:textId="77777777" w:rsidR="006324CD" w:rsidRDefault="006324CD">
      <w:pPr>
        <w:tabs>
          <w:tab w:val="left" w:pos="4667"/>
        </w:tabs>
        <w:spacing w:after="0" w:line="360" w:lineRule="auto"/>
        <w:ind w:left="567" w:right="709"/>
        <w:rPr>
          <w:b/>
          <w:bCs/>
        </w:rPr>
      </w:pPr>
    </w:p>
    <w:p w14:paraId="61A30F80" w14:textId="77777777" w:rsidR="006324CD" w:rsidRDefault="00192105">
      <w:pPr>
        <w:pStyle w:val="Ttulo2"/>
        <w:spacing w:before="0" w:after="0"/>
      </w:pPr>
      <w:bookmarkStart w:id="6" w:name="_heading=h.6rmlis9dnc9n" w:colFirst="0" w:colLast="0"/>
      <w:bookmarkStart w:id="7" w:name="_Toc220598951"/>
      <w:bookmarkEnd w:id="6"/>
      <w:r>
        <w:t>II. Respuesta del Sujeto Obligado</w:t>
      </w:r>
      <w:bookmarkEnd w:id="7"/>
    </w:p>
    <w:p w14:paraId="479698F0" w14:textId="77777777" w:rsidR="006324CD" w:rsidRDefault="006324CD">
      <w:pPr>
        <w:spacing w:after="0" w:line="360" w:lineRule="auto"/>
      </w:pPr>
    </w:p>
    <w:p w14:paraId="7775F731" w14:textId="77777777" w:rsidR="006324CD" w:rsidRDefault="00192105">
      <w:pPr>
        <w:spacing w:after="0" w:line="360" w:lineRule="auto"/>
      </w:pPr>
      <w:r>
        <w:lastRenderedPageBreak/>
        <w:t>El veinte de agosto de dos mil veinticinco, el Sujeto Obligado a través de SAIMEX, dio respuesta mediante los siguientes archivos:</w:t>
      </w:r>
    </w:p>
    <w:p w14:paraId="03990200" w14:textId="77777777" w:rsidR="006324CD" w:rsidRDefault="006324CD">
      <w:pPr>
        <w:spacing w:after="0" w:line="360" w:lineRule="auto"/>
      </w:pPr>
    </w:p>
    <w:p w14:paraId="1FEE5C65" w14:textId="77777777" w:rsidR="006324CD" w:rsidRDefault="00192105">
      <w:pPr>
        <w:numPr>
          <w:ilvl w:val="0"/>
          <w:numId w:val="1"/>
        </w:numPr>
        <w:pBdr>
          <w:top w:val="nil"/>
          <w:left w:val="nil"/>
          <w:bottom w:val="nil"/>
          <w:right w:val="nil"/>
          <w:between w:val="nil"/>
        </w:pBdr>
        <w:spacing w:after="0" w:line="360" w:lineRule="auto"/>
        <w:rPr>
          <w:b/>
          <w:bCs/>
          <w:i/>
          <w:iCs/>
          <w:color w:val="000000"/>
        </w:rPr>
      </w:pPr>
      <w:r>
        <w:rPr>
          <w:b/>
          <w:bCs/>
          <w:i/>
          <w:iCs/>
          <w:color w:val="000000"/>
        </w:rPr>
        <w:t xml:space="preserve">438_RESP_SOL_DBS_OK.pdf; </w:t>
      </w:r>
      <w:r>
        <w:rPr>
          <w:color w:val="000000"/>
        </w:rPr>
        <w:t>del que se desprenden los siguientes:</w:t>
      </w:r>
    </w:p>
    <w:p w14:paraId="165B507B" w14:textId="77777777" w:rsidR="006324CD" w:rsidRDefault="00192105">
      <w:pPr>
        <w:numPr>
          <w:ilvl w:val="1"/>
          <w:numId w:val="1"/>
        </w:numPr>
        <w:pBdr>
          <w:top w:val="nil"/>
          <w:left w:val="nil"/>
          <w:bottom w:val="nil"/>
          <w:right w:val="nil"/>
          <w:between w:val="nil"/>
        </w:pBdr>
        <w:spacing w:after="0" w:line="360" w:lineRule="auto"/>
        <w:rPr>
          <w:i/>
          <w:iCs/>
          <w:color w:val="000000"/>
        </w:rPr>
      </w:pPr>
      <w:r>
        <w:rPr>
          <w:color w:val="000000"/>
        </w:rPr>
        <w:t>Oficio suscrito por la Directora de Bienestar Social, en el que informó lo siguiente:</w:t>
      </w:r>
    </w:p>
    <w:p w14:paraId="482B4497" w14:textId="77777777" w:rsidR="006324CD" w:rsidRDefault="00192105">
      <w:pPr>
        <w:spacing w:after="0" w:line="360" w:lineRule="auto"/>
        <w:ind w:left="567" w:right="709"/>
        <w:rPr>
          <w:i/>
          <w:iCs/>
          <w:sz w:val="20"/>
          <w:szCs w:val="20"/>
        </w:rPr>
      </w:pPr>
      <w:r>
        <w:rPr>
          <w:i/>
          <w:iCs/>
          <w:sz w:val="20"/>
          <w:szCs w:val="20"/>
        </w:rPr>
        <w:t>“…</w:t>
      </w:r>
    </w:p>
    <w:p w14:paraId="3EF340C1" w14:textId="77777777" w:rsidR="006324CD" w:rsidRDefault="00192105">
      <w:pPr>
        <w:spacing w:after="0" w:line="360" w:lineRule="auto"/>
        <w:ind w:left="567" w:right="709"/>
        <w:rPr>
          <w:i/>
          <w:iCs/>
          <w:sz w:val="20"/>
          <w:szCs w:val="20"/>
        </w:rPr>
      </w:pPr>
      <w:r>
        <w:rPr>
          <w:i/>
          <w:iCs/>
          <w:sz w:val="20"/>
          <w:szCs w:val="20"/>
        </w:rPr>
        <w:t xml:space="preserve">1. Esta Dirección de Bienestar Social </w:t>
      </w:r>
      <w:r>
        <w:rPr>
          <w:b/>
          <w:bCs/>
          <w:i/>
          <w:iCs/>
          <w:sz w:val="20"/>
          <w:szCs w:val="20"/>
        </w:rPr>
        <w:t xml:space="preserve">solamente realizó la gestión de canastas alimentarias ante la Dirección General del Bienestar Social y Fortalecimiento Familiar de Gobierno del Estado de México. </w:t>
      </w:r>
      <w:r>
        <w:rPr>
          <w:i/>
          <w:iCs/>
          <w:sz w:val="20"/>
          <w:szCs w:val="20"/>
        </w:rPr>
        <w:t xml:space="preserve">Como requisito para la realización de dicha gestión se generó un Dictamen por parte de la Dirección de Protección Civil y Bomberos del municipio de Atlacomulco; el cual se fundamenta en el Atlas de Riesgos Municipal y señala las localidades del municipio como vulnerables y con mayor grado de marginación. </w:t>
      </w:r>
    </w:p>
    <w:p w14:paraId="392A1B83" w14:textId="77777777" w:rsidR="006A7F6C" w:rsidRDefault="006A7F6C">
      <w:pPr>
        <w:spacing w:after="0" w:line="360" w:lineRule="auto"/>
        <w:ind w:left="567" w:right="709"/>
        <w:rPr>
          <w:i/>
          <w:iCs/>
          <w:sz w:val="20"/>
          <w:szCs w:val="20"/>
        </w:rPr>
      </w:pPr>
    </w:p>
    <w:p w14:paraId="1507F52C" w14:textId="77777777" w:rsidR="006324CD" w:rsidRDefault="00192105">
      <w:pPr>
        <w:spacing w:after="0" w:line="360" w:lineRule="auto"/>
        <w:ind w:left="567" w:right="709"/>
        <w:rPr>
          <w:i/>
          <w:iCs/>
          <w:sz w:val="20"/>
          <w:szCs w:val="20"/>
        </w:rPr>
      </w:pPr>
      <w:r>
        <w:rPr>
          <w:i/>
          <w:iCs/>
          <w:sz w:val="20"/>
          <w:szCs w:val="20"/>
        </w:rPr>
        <w:t xml:space="preserve">2. Fueron beneficiarias las comunidades señaladas por el Dictamen emitido por Protección Civil y la organización fue directamente realizada por Gobierno del Estado de México, razón por la cual </w:t>
      </w:r>
      <w:r>
        <w:rPr>
          <w:b/>
          <w:bCs/>
          <w:i/>
          <w:iCs/>
          <w:sz w:val="20"/>
          <w:szCs w:val="20"/>
        </w:rPr>
        <w:t>no se generó una convocatoria de acceso a dichas canastas alimentarias</w:t>
      </w:r>
      <w:r>
        <w:rPr>
          <w:i/>
          <w:iCs/>
          <w:sz w:val="20"/>
          <w:szCs w:val="20"/>
        </w:rPr>
        <w:t xml:space="preserve">. </w:t>
      </w:r>
    </w:p>
    <w:p w14:paraId="05422BE1" w14:textId="77777777" w:rsidR="006A7F6C" w:rsidRDefault="006A7F6C">
      <w:pPr>
        <w:spacing w:after="0" w:line="360" w:lineRule="auto"/>
        <w:ind w:left="567" w:right="709"/>
        <w:rPr>
          <w:i/>
          <w:iCs/>
          <w:sz w:val="20"/>
          <w:szCs w:val="20"/>
        </w:rPr>
      </w:pPr>
    </w:p>
    <w:p w14:paraId="6D555047" w14:textId="77777777" w:rsidR="006324CD" w:rsidRDefault="00192105">
      <w:pPr>
        <w:spacing w:after="0" w:line="360" w:lineRule="auto"/>
        <w:ind w:left="567" w:right="709"/>
        <w:rPr>
          <w:i/>
          <w:iCs/>
          <w:sz w:val="20"/>
          <w:szCs w:val="20"/>
        </w:rPr>
      </w:pPr>
      <w:r>
        <w:rPr>
          <w:i/>
          <w:iCs/>
          <w:sz w:val="20"/>
          <w:szCs w:val="20"/>
        </w:rPr>
        <w:t xml:space="preserve">3. Es importante mencionar que la entrega de las canastas alimentarias la realizó directamente el Gobierno del Estado de México a través del Programa "Alimentación para el Bienestar". Siendo esta Dirección de Bienestar Social </w:t>
      </w:r>
      <w:r>
        <w:rPr>
          <w:b/>
          <w:bCs/>
          <w:i/>
          <w:iCs/>
          <w:sz w:val="20"/>
          <w:szCs w:val="20"/>
        </w:rPr>
        <w:t>solamente intermediarios para comunicar a las autoridades auxiliares competentes de las localidades beneficiarias,</w:t>
      </w:r>
      <w:r>
        <w:rPr>
          <w:i/>
          <w:iCs/>
          <w:sz w:val="20"/>
          <w:szCs w:val="20"/>
        </w:rPr>
        <w:t xml:space="preserve"> </w:t>
      </w:r>
      <w:r>
        <w:rPr>
          <w:b/>
          <w:bCs/>
          <w:i/>
          <w:iCs/>
          <w:sz w:val="20"/>
          <w:szCs w:val="20"/>
        </w:rPr>
        <w:t>el día y hora</w:t>
      </w:r>
      <w:r>
        <w:rPr>
          <w:i/>
          <w:iCs/>
          <w:sz w:val="20"/>
          <w:szCs w:val="20"/>
        </w:rPr>
        <w:t xml:space="preserve"> en que la instancia antes mencionada, acudiría a realizar la entrega correspondiente; razón por la cual, </w:t>
      </w:r>
      <w:r>
        <w:rPr>
          <w:b/>
          <w:bCs/>
          <w:i/>
          <w:iCs/>
          <w:sz w:val="20"/>
          <w:szCs w:val="20"/>
        </w:rPr>
        <w:t>esta dirección no generó lista de beneficiarios ni expedientes.</w:t>
      </w:r>
      <w:r>
        <w:rPr>
          <w:i/>
          <w:iCs/>
          <w:sz w:val="20"/>
          <w:szCs w:val="20"/>
        </w:rPr>
        <w:t xml:space="preserve"> </w:t>
      </w:r>
    </w:p>
    <w:p w14:paraId="6CA3C760" w14:textId="77777777" w:rsidR="006A7F6C" w:rsidRDefault="006A7F6C">
      <w:pPr>
        <w:spacing w:after="0" w:line="360" w:lineRule="auto"/>
        <w:ind w:left="567" w:right="709"/>
        <w:rPr>
          <w:i/>
          <w:iCs/>
          <w:sz w:val="20"/>
          <w:szCs w:val="20"/>
        </w:rPr>
      </w:pPr>
    </w:p>
    <w:p w14:paraId="7CF5B5F1" w14:textId="77777777" w:rsidR="006324CD" w:rsidRDefault="00192105">
      <w:pPr>
        <w:spacing w:after="0" w:line="360" w:lineRule="auto"/>
        <w:ind w:left="567" w:right="709"/>
        <w:rPr>
          <w:i/>
          <w:iCs/>
          <w:sz w:val="20"/>
          <w:szCs w:val="20"/>
        </w:rPr>
      </w:pPr>
      <w:r>
        <w:rPr>
          <w:i/>
          <w:iCs/>
          <w:sz w:val="20"/>
          <w:szCs w:val="20"/>
        </w:rPr>
        <w:t xml:space="preserve">Se anexa evidencia correspondiente. </w:t>
      </w:r>
    </w:p>
    <w:p w14:paraId="346AC4B0" w14:textId="77777777" w:rsidR="006A7F6C" w:rsidRDefault="006A7F6C">
      <w:pPr>
        <w:spacing w:after="0" w:line="360" w:lineRule="auto"/>
        <w:ind w:left="567" w:right="709"/>
        <w:rPr>
          <w:i/>
          <w:iCs/>
          <w:sz w:val="20"/>
          <w:szCs w:val="20"/>
        </w:rPr>
      </w:pPr>
    </w:p>
    <w:p w14:paraId="7951CC05" w14:textId="77777777" w:rsidR="006324CD" w:rsidRDefault="00192105">
      <w:pPr>
        <w:spacing w:after="0" w:line="360" w:lineRule="auto"/>
        <w:ind w:left="567" w:right="709"/>
        <w:rPr>
          <w:i/>
          <w:iCs/>
          <w:sz w:val="20"/>
          <w:szCs w:val="20"/>
        </w:rPr>
      </w:pPr>
      <w:r>
        <w:rPr>
          <w:i/>
          <w:iCs/>
          <w:sz w:val="20"/>
          <w:szCs w:val="20"/>
        </w:rPr>
        <w:t>…” (Énfasis añadido)</w:t>
      </w:r>
    </w:p>
    <w:p w14:paraId="7D044F87" w14:textId="77777777" w:rsidR="006A7F6C" w:rsidRDefault="006A7F6C">
      <w:pPr>
        <w:spacing w:after="0" w:line="360" w:lineRule="auto"/>
        <w:ind w:left="567" w:right="709"/>
        <w:rPr>
          <w:i/>
          <w:iCs/>
          <w:sz w:val="20"/>
          <w:szCs w:val="20"/>
        </w:rPr>
      </w:pPr>
    </w:p>
    <w:p w14:paraId="520CC431" w14:textId="77777777" w:rsidR="006324CD" w:rsidRDefault="00192105">
      <w:pPr>
        <w:numPr>
          <w:ilvl w:val="1"/>
          <w:numId w:val="1"/>
        </w:numPr>
        <w:pBdr>
          <w:top w:val="nil"/>
          <w:left w:val="nil"/>
          <w:bottom w:val="nil"/>
          <w:right w:val="nil"/>
          <w:between w:val="nil"/>
        </w:pBdr>
        <w:spacing w:after="0" w:line="360" w:lineRule="auto"/>
        <w:rPr>
          <w:b/>
          <w:bCs/>
          <w:color w:val="000000"/>
        </w:rPr>
      </w:pPr>
      <w:r>
        <w:rPr>
          <w:color w:val="000000"/>
        </w:rPr>
        <w:lastRenderedPageBreak/>
        <w:t xml:space="preserve">Oficio suscrito por la Directora de Bienestar Social, en el que pidió al Coordinador de Protección Civil y Bomberos que apoyara con un dictamen a las comunidades que presenten un </w:t>
      </w:r>
      <w:r>
        <w:t>alto</w:t>
      </w:r>
      <w:r>
        <w:rPr>
          <w:color w:val="000000"/>
        </w:rPr>
        <w:t xml:space="preserve"> riesgo de marginación y/ alguna contingencia o inundación.</w:t>
      </w:r>
    </w:p>
    <w:p w14:paraId="4ECF66B0" w14:textId="77777777" w:rsidR="006324CD" w:rsidRDefault="00192105">
      <w:pPr>
        <w:numPr>
          <w:ilvl w:val="1"/>
          <w:numId w:val="1"/>
        </w:numPr>
        <w:pBdr>
          <w:top w:val="nil"/>
          <w:left w:val="nil"/>
          <w:bottom w:val="nil"/>
          <w:right w:val="nil"/>
          <w:between w:val="nil"/>
        </w:pBdr>
        <w:spacing w:after="0" w:line="360" w:lineRule="auto"/>
        <w:rPr>
          <w:color w:val="000000"/>
        </w:rPr>
      </w:pPr>
      <w:r>
        <w:rPr>
          <w:color w:val="000000"/>
        </w:rPr>
        <w:t>Oficio suscrito por el Director de Protección Civil y Bomberos, en el que informó las localidades del municipio que cuentan con un grado de marginación MEDIO, y realizó un análisis de las causas de riesgo, lo anterior de conformidad con el atlas municipal de riesgos, información estadística y cartográfica generada por el Consejo Nacional de Población (CONAPO), Información cartográfica de INEGI, Atlas Nacional de Riesgos e información recabada en campo.</w:t>
      </w:r>
    </w:p>
    <w:p w14:paraId="05A35471" w14:textId="77777777" w:rsidR="006324CD" w:rsidRDefault="00192105">
      <w:pPr>
        <w:numPr>
          <w:ilvl w:val="1"/>
          <w:numId w:val="1"/>
        </w:numPr>
        <w:pBdr>
          <w:top w:val="nil"/>
          <w:left w:val="nil"/>
          <w:bottom w:val="nil"/>
          <w:right w:val="nil"/>
          <w:between w:val="nil"/>
        </w:pBdr>
        <w:spacing w:after="0" w:line="360" w:lineRule="auto"/>
        <w:rPr>
          <w:color w:val="000000"/>
        </w:rPr>
      </w:pPr>
      <w:r>
        <w:rPr>
          <w:color w:val="000000"/>
        </w:rPr>
        <w:t>Oficio suscrito por el Presidente Municipal en el que informó a la Directora General del Bienestar Social y Fortalecimiento Familiar, que con motivo de las necesidades de las comunidades de alta marginación y de los incendios, se generó una contingencia en algunas comunidades y que en atención a las Reglas de Operación del Programa de Bienestar Social “Alimentación para el Bienestar”, solicitó la entrega de 4,000 canastas alimentarias que serían distribuidas en las comunidades mencionadas en dicho oficio.</w:t>
      </w:r>
    </w:p>
    <w:p w14:paraId="65EB391B" w14:textId="77777777" w:rsidR="006324CD" w:rsidRDefault="006324CD">
      <w:pPr>
        <w:pBdr>
          <w:top w:val="nil"/>
          <w:left w:val="nil"/>
          <w:bottom w:val="nil"/>
          <w:right w:val="nil"/>
          <w:between w:val="nil"/>
        </w:pBdr>
        <w:spacing w:after="0" w:line="360" w:lineRule="auto"/>
        <w:ind w:left="1440"/>
        <w:rPr>
          <w:color w:val="000000"/>
        </w:rPr>
      </w:pPr>
    </w:p>
    <w:p w14:paraId="0BFABAA5" w14:textId="77777777" w:rsidR="006324CD" w:rsidRDefault="00192105">
      <w:pPr>
        <w:numPr>
          <w:ilvl w:val="0"/>
          <w:numId w:val="1"/>
        </w:numPr>
        <w:pBdr>
          <w:top w:val="nil"/>
          <w:left w:val="nil"/>
          <w:bottom w:val="nil"/>
          <w:right w:val="nil"/>
          <w:between w:val="nil"/>
        </w:pBdr>
        <w:spacing w:after="0" w:line="360" w:lineRule="auto"/>
        <w:rPr>
          <w:b/>
          <w:bCs/>
          <w:i/>
          <w:iCs/>
          <w:color w:val="000000"/>
        </w:rPr>
      </w:pPr>
      <w:r>
        <w:rPr>
          <w:b/>
          <w:bCs/>
          <w:i/>
          <w:iCs/>
          <w:color w:val="000000"/>
        </w:rPr>
        <w:t xml:space="preserve">0438_RESP_UT_2025.pdf; </w:t>
      </w:r>
      <w:r>
        <w:rPr>
          <w:color w:val="000000"/>
        </w:rPr>
        <w:t xml:space="preserve">oficio suscrito por la Titular de la Unidad de Transparencia, en el que dio respuesta conforme </w:t>
      </w:r>
      <w:proofErr w:type="gramStart"/>
      <w:r>
        <w:rPr>
          <w:color w:val="000000"/>
        </w:rPr>
        <w:t>a los descrito</w:t>
      </w:r>
      <w:proofErr w:type="gramEnd"/>
      <w:r>
        <w:rPr>
          <w:color w:val="000000"/>
        </w:rPr>
        <w:t xml:space="preserve"> anteriormente. </w:t>
      </w:r>
    </w:p>
    <w:p w14:paraId="2CD70CC2" w14:textId="77777777" w:rsidR="006324CD" w:rsidRDefault="006324CD">
      <w:pPr>
        <w:pBdr>
          <w:top w:val="nil"/>
          <w:left w:val="nil"/>
          <w:bottom w:val="nil"/>
          <w:right w:val="nil"/>
          <w:between w:val="nil"/>
        </w:pBdr>
        <w:spacing w:after="0" w:line="360" w:lineRule="auto"/>
        <w:rPr>
          <w:i/>
          <w:iCs/>
          <w:color w:val="000000"/>
        </w:rPr>
      </w:pPr>
    </w:p>
    <w:p w14:paraId="51112686" w14:textId="77777777" w:rsidR="006324CD" w:rsidRDefault="00192105">
      <w:pPr>
        <w:pStyle w:val="Ttulo2"/>
        <w:spacing w:before="0" w:after="0"/>
      </w:pPr>
      <w:bookmarkStart w:id="8" w:name="_heading=h.xcnjzn36hatq" w:colFirst="0" w:colLast="0"/>
      <w:bookmarkStart w:id="9" w:name="_Toc220598952"/>
      <w:bookmarkEnd w:id="8"/>
      <w:r>
        <w:t>III. Interposición del Recurso de Revisión</w:t>
      </w:r>
      <w:bookmarkEnd w:id="9"/>
    </w:p>
    <w:p w14:paraId="19FFB76D" w14:textId="77777777" w:rsidR="006324CD" w:rsidRDefault="006324CD">
      <w:pPr>
        <w:spacing w:after="0" w:line="360" w:lineRule="auto"/>
        <w:rPr>
          <w:b/>
          <w:bCs/>
        </w:rPr>
      </w:pPr>
    </w:p>
    <w:p w14:paraId="022C94C9" w14:textId="77777777" w:rsidR="006324CD" w:rsidRDefault="00192105">
      <w:pPr>
        <w:spacing w:after="0" w:line="360" w:lineRule="auto"/>
      </w:pPr>
      <w:bookmarkStart w:id="10" w:name="_heading=h.2et92p0" w:colFirst="0" w:colLast="0"/>
      <w:bookmarkEnd w:id="10"/>
      <w:r>
        <w:t>Con fecha primero de septiembre de dos mil veinticinco, se recibió en este Instituto, a través del SAIMEX, el Recurso de Revisión interpuesto por la persona Recurrente, en los siguientes términos:</w:t>
      </w:r>
    </w:p>
    <w:p w14:paraId="0354A1BD" w14:textId="77777777" w:rsidR="006324CD" w:rsidRDefault="006324CD">
      <w:pPr>
        <w:spacing w:after="0" w:line="360" w:lineRule="auto"/>
      </w:pPr>
    </w:p>
    <w:p w14:paraId="60CD8469" w14:textId="77777777" w:rsidR="006324CD" w:rsidRDefault="00192105">
      <w:pPr>
        <w:spacing w:after="0" w:line="360" w:lineRule="auto"/>
        <w:ind w:left="567" w:right="709"/>
        <w:rPr>
          <w:b/>
          <w:bCs/>
          <w:sz w:val="20"/>
          <w:szCs w:val="20"/>
        </w:rPr>
      </w:pPr>
      <w:r>
        <w:rPr>
          <w:b/>
          <w:bCs/>
          <w:sz w:val="20"/>
          <w:szCs w:val="20"/>
        </w:rPr>
        <w:t>ACTO IMPUGNADO</w:t>
      </w:r>
      <w:r>
        <w:rPr>
          <w:b/>
          <w:bCs/>
          <w:sz w:val="20"/>
          <w:szCs w:val="20"/>
        </w:rPr>
        <w:tab/>
      </w:r>
    </w:p>
    <w:p w14:paraId="475D9C30" w14:textId="77777777" w:rsidR="006324CD" w:rsidRDefault="00192105">
      <w:pPr>
        <w:spacing w:after="0" w:line="360" w:lineRule="auto"/>
        <w:ind w:left="567" w:right="709"/>
        <w:rPr>
          <w:i/>
          <w:iCs/>
          <w:sz w:val="20"/>
          <w:szCs w:val="20"/>
        </w:rPr>
      </w:pPr>
      <w:r>
        <w:rPr>
          <w:i/>
          <w:iCs/>
          <w:sz w:val="20"/>
          <w:szCs w:val="20"/>
        </w:rPr>
        <w:t xml:space="preserve">“Información incompleta” </w:t>
      </w:r>
    </w:p>
    <w:p w14:paraId="6D3DACC9" w14:textId="77777777" w:rsidR="006324CD" w:rsidRDefault="006324CD">
      <w:pPr>
        <w:spacing w:after="0" w:line="360" w:lineRule="auto"/>
        <w:ind w:left="567" w:right="709"/>
        <w:rPr>
          <w:sz w:val="20"/>
          <w:szCs w:val="20"/>
        </w:rPr>
      </w:pPr>
    </w:p>
    <w:p w14:paraId="721A8291" w14:textId="77777777" w:rsidR="006324CD" w:rsidRDefault="00192105">
      <w:pPr>
        <w:spacing w:after="0" w:line="360" w:lineRule="auto"/>
        <w:ind w:left="567" w:right="709"/>
        <w:rPr>
          <w:b/>
          <w:bCs/>
          <w:sz w:val="20"/>
          <w:szCs w:val="20"/>
        </w:rPr>
      </w:pPr>
      <w:r>
        <w:rPr>
          <w:b/>
          <w:bCs/>
          <w:sz w:val="20"/>
          <w:szCs w:val="20"/>
        </w:rPr>
        <w:t>RAZONES O MOTIVOS DE LA INCONFORMIDAD</w:t>
      </w:r>
      <w:r>
        <w:rPr>
          <w:b/>
          <w:bCs/>
          <w:sz w:val="20"/>
          <w:szCs w:val="20"/>
        </w:rPr>
        <w:tab/>
      </w:r>
    </w:p>
    <w:p w14:paraId="7E0FF613" w14:textId="77777777" w:rsidR="006324CD" w:rsidRDefault="00192105">
      <w:pPr>
        <w:tabs>
          <w:tab w:val="left" w:pos="4667"/>
        </w:tabs>
        <w:spacing w:after="0" w:line="360" w:lineRule="auto"/>
        <w:ind w:left="567" w:right="709"/>
        <w:rPr>
          <w:i/>
          <w:iCs/>
          <w:sz w:val="20"/>
          <w:szCs w:val="20"/>
        </w:rPr>
      </w:pPr>
      <w:r>
        <w:rPr>
          <w:i/>
          <w:iCs/>
          <w:sz w:val="20"/>
          <w:szCs w:val="20"/>
        </w:rPr>
        <w:t xml:space="preserve">“No dan la información” </w:t>
      </w:r>
    </w:p>
    <w:p w14:paraId="45602B6A" w14:textId="77777777" w:rsidR="006324CD" w:rsidRDefault="006324CD">
      <w:pPr>
        <w:pBdr>
          <w:top w:val="nil"/>
          <w:left w:val="nil"/>
          <w:bottom w:val="nil"/>
          <w:right w:val="nil"/>
          <w:between w:val="nil"/>
        </w:pBdr>
        <w:spacing w:after="0" w:line="360" w:lineRule="auto"/>
        <w:jc w:val="left"/>
        <w:rPr>
          <w:color w:val="000000"/>
        </w:rPr>
      </w:pPr>
    </w:p>
    <w:p w14:paraId="156E6CBC" w14:textId="77777777" w:rsidR="006324CD" w:rsidRDefault="00192105">
      <w:pPr>
        <w:pStyle w:val="Ttulo2"/>
        <w:spacing w:before="0" w:after="0"/>
      </w:pPr>
      <w:bookmarkStart w:id="11" w:name="_heading=h.bqrywfjbagbp" w:colFirst="0" w:colLast="0"/>
      <w:bookmarkStart w:id="12" w:name="_Toc220598953"/>
      <w:bookmarkEnd w:id="11"/>
      <w:r>
        <w:t>IV. Trámite del Recurso de Revisión ante este Instituto</w:t>
      </w:r>
      <w:bookmarkEnd w:id="12"/>
    </w:p>
    <w:p w14:paraId="484E1900" w14:textId="77777777" w:rsidR="006324CD" w:rsidRDefault="006324CD">
      <w:pPr>
        <w:spacing w:after="0" w:line="360" w:lineRule="auto"/>
        <w:rPr>
          <w:b/>
          <w:bCs/>
        </w:rPr>
      </w:pPr>
    </w:p>
    <w:p w14:paraId="7721F162" w14:textId="77777777" w:rsidR="006324CD" w:rsidRDefault="00192105">
      <w:pPr>
        <w:spacing w:after="0" w:line="360" w:lineRule="auto"/>
        <w:rPr>
          <w:color w:val="000000"/>
        </w:rPr>
      </w:pPr>
      <w:r>
        <w:rPr>
          <w:b/>
          <w:bCs/>
        </w:rPr>
        <w:t>a) Turno del Medio de Impugnación.</w:t>
      </w:r>
      <w:r>
        <w:t xml:space="preserve"> </w:t>
      </w:r>
      <w:r>
        <w:rPr>
          <w:color w:val="000000"/>
        </w:rPr>
        <w:t>El primero de septiembre de dos mil veinticinco, el SAIMEX, asignó el número de expediente</w:t>
      </w:r>
      <w:r>
        <w:rPr>
          <w:b/>
          <w:bCs/>
          <w:color w:val="000000"/>
        </w:rPr>
        <w:t xml:space="preserve"> 10276/INFOEM/IP/RR/2025, </w:t>
      </w:r>
      <w:r>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6C363B61" w14:textId="77777777" w:rsidR="006324CD" w:rsidRDefault="006324CD">
      <w:pPr>
        <w:spacing w:after="0" w:line="360" w:lineRule="auto"/>
      </w:pPr>
    </w:p>
    <w:p w14:paraId="7790DEF6" w14:textId="77777777" w:rsidR="006324CD" w:rsidRDefault="00192105">
      <w:pPr>
        <w:spacing w:after="0" w:line="360" w:lineRule="auto"/>
        <w:rPr>
          <w:color w:val="000000"/>
        </w:rPr>
      </w:pPr>
      <w:r>
        <w:rPr>
          <w:b/>
          <w:bCs/>
        </w:rPr>
        <w:t>b) Admisión del Recurso de Revisión.</w:t>
      </w:r>
      <w:r>
        <w:t xml:space="preserve"> </w:t>
      </w:r>
      <w:r>
        <w:rPr>
          <w:color w:val="000000"/>
        </w:rPr>
        <w:t xml:space="preserve">El </w:t>
      </w:r>
      <w:r>
        <w:t>cuatro de septiembre de dos mil veinticinco</w:t>
      </w:r>
      <w:r>
        <w:rPr>
          <w:color w:val="000000"/>
        </w:rPr>
        <w:t xml:space="preserve">, se notificó vía SAIMEX, el acuerdo mediante el cual se determinó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w:t>
      </w:r>
      <w:r>
        <w:t>manifestara</w:t>
      </w:r>
      <w:r>
        <w:rPr>
          <w:color w:val="000000"/>
        </w:rPr>
        <w:t xml:space="preserve"> lo que a su derecho conviniera y </w:t>
      </w:r>
      <w:r>
        <w:t>formularán</w:t>
      </w:r>
      <w:r>
        <w:rPr>
          <w:color w:val="000000"/>
        </w:rPr>
        <w:t xml:space="preserve"> alegatos.</w:t>
      </w:r>
    </w:p>
    <w:p w14:paraId="0BC684C6" w14:textId="77777777" w:rsidR="006324CD" w:rsidRDefault="006324CD">
      <w:pPr>
        <w:spacing w:after="0" w:line="360" w:lineRule="auto"/>
        <w:rPr>
          <w:color w:val="000000"/>
        </w:rPr>
      </w:pPr>
    </w:p>
    <w:p w14:paraId="59E047B7" w14:textId="77777777" w:rsidR="006324CD" w:rsidRDefault="00192105">
      <w:pPr>
        <w:spacing w:after="0" w:line="360" w:lineRule="auto"/>
        <w:rPr>
          <w:color w:val="000000"/>
        </w:rPr>
      </w:pPr>
      <w:r>
        <w:rPr>
          <w:b/>
          <w:bCs/>
        </w:rPr>
        <w:t xml:space="preserve">c) </w:t>
      </w:r>
      <w:r>
        <w:rPr>
          <w:b/>
          <w:bCs/>
          <w:color w:val="000000"/>
        </w:rPr>
        <w:t xml:space="preserve">Informe Justificado. </w:t>
      </w:r>
      <w:r>
        <w:rPr>
          <w:color w:val="000000"/>
        </w:rPr>
        <w:t>En fecha quince de septiembre de dos mil veinticinco, se recibió en este Instituto, a través del Sistema de Acceso a la Información Mexiquense (SAIMEX), el Informe Justificado, por parte del Sujeto Obligado, en los siguientes términos:</w:t>
      </w:r>
    </w:p>
    <w:p w14:paraId="0C2C22A2" w14:textId="77777777" w:rsidR="006324CD" w:rsidRDefault="006324CD">
      <w:pPr>
        <w:spacing w:after="0" w:line="360" w:lineRule="auto"/>
        <w:rPr>
          <w:color w:val="000000"/>
        </w:rPr>
      </w:pPr>
    </w:p>
    <w:p w14:paraId="14394A97" w14:textId="77777777" w:rsidR="006324CD" w:rsidRDefault="00192105">
      <w:pPr>
        <w:numPr>
          <w:ilvl w:val="0"/>
          <w:numId w:val="4"/>
        </w:numPr>
        <w:pBdr>
          <w:top w:val="nil"/>
          <w:left w:val="nil"/>
          <w:bottom w:val="nil"/>
          <w:right w:val="nil"/>
          <w:between w:val="nil"/>
        </w:pBdr>
        <w:spacing w:after="0" w:line="360" w:lineRule="auto"/>
        <w:rPr>
          <w:b/>
          <w:bCs/>
          <w:i/>
          <w:iCs/>
          <w:color w:val="000000"/>
        </w:rPr>
      </w:pPr>
      <w:r>
        <w:rPr>
          <w:b/>
          <w:bCs/>
          <w:i/>
          <w:iCs/>
          <w:color w:val="000000"/>
        </w:rPr>
        <w:lastRenderedPageBreak/>
        <w:t xml:space="preserve">010276_RR_IFJ_2025.pdf; </w:t>
      </w:r>
      <w:r>
        <w:rPr>
          <w:color w:val="000000"/>
        </w:rPr>
        <w:t>del que se desprende lo siguiente:</w:t>
      </w:r>
    </w:p>
    <w:p w14:paraId="74EF3CFF" w14:textId="77777777" w:rsidR="006324CD" w:rsidRDefault="00192105">
      <w:pPr>
        <w:numPr>
          <w:ilvl w:val="1"/>
          <w:numId w:val="4"/>
        </w:numPr>
        <w:pBdr>
          <w:top w:val="nil"/>
          <w:left w:val="nil"/>
          <w:bottom w:val="nil"/>
          <w:right w:val="nil"/>
          <w:between w:val="nil"/>
        </w:pBdr>
        <w:spacing w:after="0" w:line="360" w:lineRule="auto"/>
        <w:rPr>
          <w:i/>
          <w:iCs/>
          <w:color w:val="000000"/>
        </w:rPr>
      </w:pPr>
      <w:r>
        <w:rPr>
          <w:color w:val="000000"/>
        </w:rPr>
        <w:t>Oficio suscrito por la Titular de la Unidad de Transparencia, en el que medularmente ratificó la respuesta inicial y añadió:</w:t>
      </w:r>
    </w:p>
    <w:p w14:paraId="1904010B" w14:textId="77777777" w:rsidR="006324CD" w:rsidRDefault="006324CD">
      <w:pPr>
        <w:pBdr>
          <w:top w:val="nil"/>
          <w:left w:val="nil"/>
          <w:bottom w:val="nil"/>
          <w:right w:val="nil"/>
          <w:between w:val="nil"/>
        </w:pBdr>
        <w:spacing w:after="0" w:line="360" w:lineRule="auto"/>
        <w:ind w:left="1440"/>
        <w:rPr>
          <w:i/>
          <w:iCs/>
          <w:color w:val="000000"/>
        </w:rPr>
      </w:pPr>
    </w:p>
    <w:p w14:paraId="49A8C6F5" w14:textId="77777777" w:rsidR="006324CD" w:rsidRDefault="00192105">
      <w:pPr>
        <w:pBdr>
          <w:top w:val="nil"/>
          <w:left w:val="nil"/>
          <w:bottom w:val="nil"/>
          <w:right w:val="nil"/>
          <w:between w:val="nil"/>
        </w:pBdr>
        <w:spacing w:after="0" w:line="360" w:lineRule="auto"/>
        <w:ind w:left="1440"/>
        <w:rPr>
          <w:i/>
          <w:iCs/>
          <w:color w:val="000000"/>
          <w:sz w:val="20"/>
          <w:szCs w:val="20"/>
        </w:rPr>
      </w:pPr>
      <w:r>
        <w:rPr>
          <w:i/>
          <w:iCs/>
          <w:color w:val="000000"/>
          <w:sz w:val="20"/>
          <w:szCs w:val="20"/>
        </w:rPr>
        <w:t>“…no está obligado a proporcionar lo que no obre en sus archivos, como es el caso de lista de beneficiarios o expedientes que se solicita, en virtud de que quien las otorgó y entregó fue una dependencia de gobierno estatal, además que por las razones ya citadas, no se expidió convocatoria alguna...”</w:t>
      </w:r>
    </w:p>
    <w:p w14:paraId="6AE5752D" w14:textId="77777777" w:rsidR="006324CD" w:rsidRDefault="006324CD">
      <w:pPr>
        <w:pBdr>
          <w:top w:val="nil"/>
          <w:left w:val="nil"/>
          <w:bottom w:val="nil"/>
          <w:right w:val="nil"/>
          <w:between w:val="nil"/>
        </w:pBdr>
        <w:spacing w:after="0" w:line="360" w:lineRule="auto"/>
        <w:ind w:left="1440"/>
        <w:rPr>
          <w:i/>
          <w:iCs/>
          <w:color w:val="000000"/>
        </w:rPr>
      </w:pPr>
    </w:p>
    <w:p w14:paraId="7FCD26D2" w14:textId="77777777" w:rsidR="006324CD" w:rsidRDefault="00192105">
      <w:pPr>
        <w:numPr>
          <w:ilvl w:val="1"/>
          <w:numId w:val="4"/>
        </w:numPr>
        <w:pBdr>
          <w:top w:val="nil"/>
          <w:left w:val="nil"/>
          <w:bottom w:val="nil"/>
          <w:right w:val="nil"/>
          <w:between w:val="nil"/>
        </w:pBdr>
        <w:spacing w:after="0" w:line="360" w:lineRule="auto"/>
        <w:rPr>
          <w:i/>
          <w:iCs/>
          <w:color w:val="000000"/>
        </w:rPr>
      </w:pPr>
      <w:r>
        <w:rPr>
          <w:color w:val="000000"/>
        </w:rPr>
        <w:t xml:space="preserve">Oficio suscrito por la Titular de la Unidad de Transparencia, en el que le solicitó a la Directora de Bienestar Social que manifestara lo correspondiente ante </w:t>
      </w:r>
      <w:r>
        <w:t>el Recurso</w:t>
      </w:r>
      <w:r>
        <w:rPr>
          <w:color w:val="000000"/>
        </w:rPr>
        <w:t xml:space="preserve"> de Revisión. </w:t>
      </w:r>
    </w:p>
    <w:p w14:paraId="7C5740A5" w14:textId="77777777" w:rsidR="006324CD" w:rsidRDefault="00192105">
      <w:pPr>
        <w:numPr>
          <w:ilvl w:val="1"/>
          <w:numId w:val="4"/>
        </w:numPr>
        <w:pBdr>
          <w:top w:val="nil"/>
          <w:left w:val="nil"/>
          <w:bottom w:val="nil"/>
          <w:right w:val="nil"/>
          <w:between w:val="nil"/>
        </w:pBdr>
        <w:spacing w:after="0" w:line="360" w:lineRule="auto"/>
        <w:rPr>
          <w:i/>
          <w:iCs/>
          <w:color w:val="000000"/>
        </w:rPr>
      </w:pPr>
      <w:r>
        <w:rPr>
          <w:color w:val="000000"/>
        </w:rPr>
        <w:t xml:space="preserve">Oficio suscrito por la Directora de Bienestar Social, mediante el cual ratificó la respuesta inicial. </w:t>
      </w:r>
    </w:p>
    <w:p w14:paraId="3A57EB9C" w14:textId="77777777" w:rsidR="006324CD" w:rsidRDefault="006324CD">
      <w:pPr>
        <w:pBdr>
          <w:top w:val="nil"/>
          <w:left w:val="nil"/>
          <w:bottom w:val="nil"/>
          <w:right w:val="nil"/>
          <w:between w:val="nil"/>
        </w:pBdr>
        <w:spacing w:after="0" w:line="360" w:lineRule="auto"/>
        <w:ind w:left="567" w:right="709"/>
        <w:rPr>
          <w:i/>
          <w:iCs/>
          <w:color w:val="000000"/>
        </w:rPr>
      </w:pPr>
    </w:p>
    <w:p w14:paraId="59F68847" w14:textId="77777777" w:rsidR="006324CD" w:rsidRDefault="00192105">
      <w:pPr>
        <w:spacing w:after="0" w:line="360" w:lineRule="auto"/>
        <w:rPr>
          <w:color w:val="000000"/>
        </w:rPr>
      </w:pPr>
      <w:r>
        <w:rPr>
          <w:b/>
          <w:bCs/>
          <w:color w:val="000000"/>
        </w:rPr>
        <w:t xml:space="preserve">d) Vista de Informe Justificado. </w:t>
      </w:r>
      <w:r>
        <w:rPr>
          <w:color w:val="000000"/>
        </w:rPr>
        <w:t>El veinte de enero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61D6E601" w14:textId="77777777" w:rsidR="006324CD" w:rsidRDefault="006324CD">
      <w:pPr>
        <w:widowControl w:val="0"/>
        <w:spacing w:after="0" w:line="360" w:lineRule="auto"/>
        <w:rPr>
          <w:b/>
          <w:bCs/>
        </w:rPr>
      </w:pPr>
    </w:p>
    <w:p w14:paraId="0C42A8E1" w14:textId="77777777" w:rsidR="006324CD" w:rsidRDefault="00192105">
      <w:pPr>
        <w:spacing w:after="0" w:line="360" w:lineRule="auto"/>
      </w:pPr>
      <w:r>
        <w:rPr>
          <w:b/>
          <w:bCs/>
        </w:rPr>
        <w:t xml:space="preserve">e) Manifestaciones de la parte Recurrente. </w:t>
      </w:r>
      <w:r>
        <w:t>De las constancias que integran el expediente se advierte que la parte Recurrente no añadió manifestaciones.</w:t>
      </w:r>
    </w:p>
    <w:p w14:paraId="74558485" w14:textId="77777777" w:rsidR="006324CD" w:rsidRDefault="006324CD">
      <w:pPr>
        <w:spacing w:after="0" w:line="360" w:lineRule="auto"/>
      </w:pPr>
    </w:p>
    <w:p w14:paraId="0FC9D8C8" w14:textId="77777777" w:rsidR="006324CD" w:rsidRDefault="00192105">
      <w:pPr>
        <w:spacing w:after="0" w:line="360" w:lineRule="auto"/>
        <w:rPr>
          <w:b/>
          <w:bCs/>
        </w:rPr>
      </w:pPr>
      <w:r>
        <w:rPr>
          <w:b/>
          <w:bCs/>
        </w:rPr>
        <w:t xml:space="preserve">f) Ampliación de plazo para resolver. </w:t>
      </w:r>
      <w:r>
        <w:t xml:space="preserve">El veinte de enero de dos mil veintiséis, se notificó vía SAIMEX el acuerdo mediante el cual, el Comisionado Ponente, con fundamento en lo dispuesto por el artículo 181, párrafo tercero, de la Ley de Transparencia y Acceso a la Información Pública </w:t>
      </w:r>
      <w:r>
        <w:lastRenderedPageBreak/>
        <w:t>del Estado de México y Municipios, acordó ampliar por un periodo razonable, el plazo para resolver el Recurso de Revisión que nos ocupa.</w:t>
      </w:r>
    </w:p>
    <w:p w14:paraId="4D8E2AE0" w14:textId="77777777" w:rsidR="006324CD" w:rsidRDefault="006324CD">
      <w:pPr>
        <w:pBdr>
          <w:top w:val="nil"/>
          <w:left w:val="nil"/>
          <w:bottom w:val="nil"/>
          <w:right w:val="nil"/>
          <w:between w:val="nil"/>
        </w:pBdr>
        <w:tabs>
          <w:tab w:val="left" w:pos="426"/>
        </w:tabs>
        <w:spacing w:after="0" w:line="360" w:lineRule="auto"/>
        <w:rPr>
          <w:b/>
          <w:bCs/>
          <w:color w:val="000000"/>
        </w:rPr>
      </w:pPr>
    </w:p>
    <w:p w14:paraId="620FB262" w14:textId="77777777" w:rsidR="006324CD" w:rsidRDefault="00192105">
      <w:pPr>
        <w:spacing w:after="0" w:line="360" w:lineRule="auto"/>
      </w:pPr>
      <w:r>
        <w:rPr>
          <w:b/>
          <w:bCs/>
        </w:rPr>
        <w:t>g) Cierre de instrucción.</w:t>
      </w:r>
      <w:r>
        <w:t xml:space="preserve"> El veintisiete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0F3B3FBB" w14:textId="77777777" w:rsidR="006324CD" w:rsidRDefault="006324CD">
      <w:pPr>
        <w:spacing w:after="0" w:line="360" w:lineRule="auto"/>
      </w:pPr>
    </w:p>
    <w:p w14:paraId="6F08B283" w14:textId="77777777" w:rsidR="006324CD" w:rsidRDefault="00192105">
      <w:pPr>
        <w:spacing w:after="0" w:line="360" w:lineRule="auto"/>
      </w:pPr>
      <w:r>
        <w:t xml:space="preserve">En razón de que fue debidamente sustanciado e integrado el expediente electrónico y no existir diligencia pendiente de desahogo, se emite la resolución que conforme a Derecho proceda, de acuerdo a los siguientes: </w:t>
      </w:r>
    </w:p>
    <w:p w14:paraId="3BB533AA" w14:textId="77777777" w:rsidR="006324CD" w:rsidRDefault="006324CD">
      <w:pPr>
        <w:spacing w:after="0" w:line="360" w:lineRule="auto"/>
      </w:pPr>
    </w:p>
    <w:p w14:paraId="318BE623" w14:textId="77777777" w:rsidR="006324CD" w:rsidRDefault="00192105">
      <w:pPr>
        <w:pStyle w:val="Ttulo1"/>
        <w:spacing w:before="0" w:after="0"/>
        <w:rPr>
          <w:sz w:val="22"/>
          <w:szCs w:val="22"/>
        </w:rPr>
      </w:pPr>
      <w:bookmarkStart w:id="13" w:name="_heading=h.eyb5rfzacwu6" w:colFirst="0" w:colLast="0"/>
      <w:bookmarkStart w:id="14" w:name="_Toc220598954"/>
      <w:bookmarkEnd w:id="13"/>
      <w:r>
        <w:rPr>
          <w:sz w:val="22"/>
          <w:szCs w:val="22"/>
        </w:rPr>
        <w:t>C O N S I D E R A N D O S</w:t>
      </w:r>
      <w:bookmarkEnd w:id="14"/>
    </w:p>
    <w:p w14:paraId="5F089D56" w14:textId="77777777" w:rsidR="006324CD" w:rsidRDefault="006324CD">
      <w:pPr>
        <w:spacing w:after="0" w:line="360" w:lineRule="auto"/>
        <w:rPr>
          <w:b/>
          <w:bCs/>
        </w:rPr>
      </w:pPr>
    </w:p>
    <w:p w14:paraId="6888D72A" w14:textId="77777777" w:rsidR="006324CD" w:rsidRDefault="00192105">
      <w:pPr>
        <w:pStyle w:val="Ttulo2"/>
        <w:spacing w:before="0" w:after="0"/>
      </w:pPr>
      <w:bookmarkStart w:id="15" w:name="_heading=h.rof3mhyyvocp" w:colFirst="0" w:colLast="0"/>
      <w:bookmarkStart w:id="16" w:name="_Toc220598955"/>
      <w:bookmarkEnd w:id="15"/>
      <w:r>
        <w:t>PRIMERO. Competencia</w:t>
      </w:r>
      <w:bookmarkEnd w:id="16"/>
    </w:p>
    <w:p w14:paraId="64B347D0" w14:textId="77777777" w:rsidR="006324CD" w:rsidRDefault="006324CD">
      <w:pPr>
        <w:spacing w:after="0" w:line="360" w:lineRule="auto"/>
      </w:pPr>
    </w:p>
    <w:p w14:paraId="4CD6E36F" w14:textId="11DBB259" w:rsidR="006324CD" w:rsidRDefault="00192105">
      <w:pPr>
        <w:spacing w:after="0" w:line="360" w:lineRule="auto"/>
      </w:pPr>
      <w:r w:rsidRPr="00192105">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w:t>
      </w:r>
      <w:r w:rsidRPr="00192105">
        <w:lastRenderedPageBreak/>
        <w:t>9°, fracciones I y XXIII y 11 del Reglamento Interior del Instituto de Transparencia, Acceso a la Información Pública y Protección de Datos Personales del Estado de México y Municipios.</w:t>
      </w:r>
    </w:p>
    <w:p w14:paraId="6ADFF03D" w14:textId="77777777" w:rsidR="006324CD" w:rsidRDefault="006324CD">
      <w:pPr>
        <w:spacing w:after="0" w:line="360" w:lineRule="auto"/>
      </w:pPr>
    </w:p>
    <w:p w14:paraId="2C1048FA" w14:textId="77777777" w:rsidR="006324CD" w:rsidRDefault="00192105">
      <w:pPr>
        <w:pStyle w:val="Ttulo2"/>
        <w:spacing w:before="0" w:after="0"/>
      </w:pPr>
      <w:bookmarkStart w:id="17" w:name="_heading=h.7fk2z4js7rje" w:colFirst="0" w:colLast="0"/>
      <w:bookmarkStart w:id="18" w:name="_Toc220598956"/>
      <w:bookmarkEnd w:id="17"/>
      <w:r>
        <w:t>SEGUNDO. Causales de improcedencia y sobreseimiento</w:t>
      </w:r>
      <w:bookmarkEnd w:id="18"/>
    </w:p>
    <w:p w14:paraId="07CC5931" w14:textId="77777777" w:rsidR="006324CD" w:rsidRDefault="006324CD">
      <w:pPr>
        <w:spacing w:after="0" w:line="360" w:lineRule="auto"/>
      </w:pPr>
    </w:p>
    <w:p w14:paraId="45867362" w14:textId="77777777" w:rsidR="006324CD" w:rsidRDefault="00192105">
      <w:pPr>
        <w:spacing w:after="0" w:line="360" w:lineRule="auto"/>
      </w:pPr>
      <w:r>
        <w:t xml:space="preserve">De las constancias que forman parte del Recurso de Revisión que se analiza, se advierte que previo al estudio del fondo de la </w:t>
      </w:r>
      <w:proofErr w:type="spellStart"/>
      <w:r>
        <w:rPr>
          <w:i/>
          <w:iCs/>
        </w:rPr>
        <w:t>litis</w:t>
      </w:r>
      <w:proofErr w:type="spellEnd"/>
      <w:r>
        <w:t>, es necesario estudiar las causales de improcedencia y sobreseimiento que se adviertan, para determinar lo que en Derecho proceda.</w:t>
      </w:r>
    </w:p>
    <w:p w14:paraId="5205547C" w14:textId="77777777" w:rsidR="006324CD" w:rsidRDefault="006324CD">
      <w:pPr>
        <w:spacing w:after="0" w:line="360" w:lineRule="auto"/>
      </w:pPr>
    </w:p>
    <w:p w14:paraId="318709BD" w14:textId="77777777" w:rsidR="006324CD" w:rsidRDefault="00192105">
      <w:pPr>
        <w:spacing w:after="0" w:line="360" w:lineRule="auto"/>
        <w:rPr>
          <w:b/>
          <w:bCs/>
        </w:rPr>
      </w:pPr>
      <w:r>
        <w:rPr>
          <w:b/>
          <w:bCs/>
        </w:rPr>
        <w:t>Causales de improcedencia</w:t>
      </w:r>
    </w:p>
    <w:p w14:paraId="248D78B2" w14:textId="77777777" w:rsidR="006324CD" w:rsidRDefault="006324CD">
      <w:pPr>
        <w:spacing w:after="0" w:line="360" w:lineRule="auto"/>
      </w:pPr>
    </w:p>
    <w:p w14:paraId="625C00C1" w14:textId="77777777" w:rsidR="006324CD" w:rsidRDefault="00192105">
      <w:pPr>
        <w:spacing w:after="0" w:line="360" w:lineRule="auto"/>
      </w:pPr>
      <w: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t>./</w:t>
      </w:r>
      <w:proofErr w:type="gramEnd"/>
      <w:r>
        <w:t>J. 163/2005</w:t>
      </w:r>
      <w:r>
        <w:rPr>
          <w:b/>
          <w:bCs/>
        </w:rPr>
        <w:t xml:space="preserve"> </w:t>
      </w:r>
      <w: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7E95DFE0" w14:textId="77777777" w:rsidR="006324CD" w:rsidRDefault="006324CD">
      <w:pPr>
        <w:spacing w:after="0" w:line="360" w:lineRule="auto"/>
      </w:pPr>
    </w:p>
    <w:p w14:paraId="56BA8691" w14:textId="77777777" w:rsidR="006324CD" w:rsidRDefault="00192105">
      <w:pPr>
        <w:spacing w:after="0" w:line="360" w:lineRule="auto"/>
      </w:pPr>
      <w:r>
        <w:t xml:space="preserve">En el presente caso, </w:t>
      </w:r>
      <w:r>
        <w:rPr>
          <w:b/>
          <w:bCs/>
        </w:rPr>
        <w:t>no se actualiza ninguna de las causales de improcedencia</w:t>
      </w:r>
      <w: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CC93B9F" w14:textId="77777777" w:rsidR="006324CD" w:rsidRDefault="006324CD">
      <w:pPr>
        <w:spacing w:after="0" w:line="360" w:lineRule="auto"/>
        <w:rPr>
          <w:b/>
          <w:bCs/>
        </w:rPr>
      </w:pPr>
    </w:p>
    <w:p w14:paraId="5F011F85" w14:textId="77777777" w:rsidR="006324CD" w:rsidRDefault="00192105">
      <w:pPr>
        <w:spacing w:after="0" w:line="360" w:lineRule="auto"/>
        <w:ind w:right="-28"/>
        <w:rPr>
          <w:b/>
          <w:bCs/>
          <w:color w:val="000000"/>
        </w:rPr>
      </w:pPr>
      <w:r>
        <w:rPr>
          <w:b/>
          <w:bCs/>
          <w:color w:val="000000"/>
        </w:rPr>
        <w:lastRenderedPageBreak/>
        <w:t>Causales de sobreseimiento</w:t>
      </w:r>
    </w:p>
    <w:p w14:paraId="49232C93" w14:textId="77777777" w:rsidR="006324CD" w:rsidRDefault="006324CD">
      <w:pPr>
        <w:spacing w:after="0" w:line="360" w:lineRule="auto"/>
        <w:ind w:right="-28"/>
        <w:rPr>
          <w:color w:val="000000"/>
        </w:rPr>
      </w:pPr>
    </w:p>
    <w:p w14:paraId="6571D586" w14:textId="77777777" w:rsidR="006324CD" w:rsidRDefault="00192105">
      <w:pPr>
        <w:spacing w:after="0" w:line="360" w:lineRule="auto"/>
        <w:rPr>
          <w:color w:val="000000"/>
        </w:rPr>
      </w:pPr>
      <w:r>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Pr>
          <w:b/>
          <w:bCs/>
          <w:color w:val="0D0D0D"/>
        </w:rPr>
        <w:t xml:space="preserve"> </w:t>
      </w:r>
      <w:r>
        <w:rPr>
          <w:color w:val="0D0D0D"/>
        </w:rPr>
        <w:t>toda vez que no hay constancias en el expediente en que se actúa, de que la persona Recurrente se haya desistido, fallecido, que el Sujeto Obligado hubiese modificado o revocado el acto impugnado o bien,</w:t>
      </w:r>
      <w:r>
        <w:t xml:space="preserve"> </w:t>
      </w:r>
      <w:r>
        <w:rPr>
          <w:color w:val="0D0D0D"/>
        </w:rPr>
        <w:t>que admitido una vez admitido el Recurso de Revisión, aparezca alguna causal de improcedencia o haya quedado sin materia.</w:t>
      </w:r>
    </w:p>
    <w:p w14:paraId="5B195284" w14:textId="77777777" w:rsidR="006324CD" w:rsidRDefault="006324CD">
      <w:pPr>
        <w:spacing w:after="0" w:line="360" w:lineRule="auto"/>
        <w:rPr>
          <w:color w:val="000000"/>
        </w:rPr>
      </w:pPr>
    </w:p>
    <w:p w14:paraId="757F6DD0" w14:textId="77777777" w:rsidR="006324CD" w:rsidRDefault="00192105">
      <w:pPr>
        <w:pStyle w:val="Ttulo2"/>
        <w:spacing w:before="0" w:after="0"/>
      </w:pPr>
      <w:bookmarkStart w:id="19" w:name="_heading=h.jlzzcveazx2o" w:colFirst="0" w:colLast="0"/>
      <w:bookmarkStart w:id="20" w:name="_Toc220598957"/>
      <w:bookmarkEnd w:id="19"/>
      <w:r>
        <w:t>TERCERO. Determinación de la Controversia</w:t>
      </w:r>
      <w:bookmarkEnd w:id="20"/>
    </w:p>
    <w:p w14:paraId="34A4B8ED" w14:textId="77777777" w:rsidR="006324CD" w:rsidRDefault="006324CD">
      <w:pPr>
        <w:tabs>
          <w:tab w:val="left" w:pos="4962"/>
        </w:tabs>
        <w:spacing w:after="0" w:line="360" w:lineRule="auto"/>
      </w:pPr>
    </w:p>
    <w:p w14:paraId="2E573963" w14:textId="42F1E081" w:rsidR="006324CD" w:rsidRDefault="00192105">
      <w:pPr>
        <w:spacing w:after="0" w:line="360" w:lineRule="auto"/>
      </w:pPr>
      <w:r>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6A7F6C">
        <w:t xml:space="preserve">respecto de </w:t>
      </w:r>
      <w:r w:rsidR="006A7F6C" w:rsidRPr="006A7F6C">
        <w:t>las despensas entregadas por el Municipio</w:t>
      </w:r>
      <w:r w:rsidR="006A7F6C">
        <w:t xml:space="preserve">, </w:t>
      </w:r>
      <w:r>
        <w:t>lo siguiente:</w:t>
      </w:r>
    </w:p>
    <w:p w14:paraId="59D71D48" w14:textId="7BFE8333" w:rsidR="006324CD" w:rsidRDefault="006324CD">
      <w:pPr>
        <w:tabs>
          <w:tab w:val="left" w:pos="4962"/>
        </w:tabs>
        <w:spacing w:after="0" w:line="360" w:lineRule="auto"/>
        <w:rPr>
          <w:b/>
          <w:bCs/>
          <w:color w:val="000000"/>
        </w:rPr>
      </w:pPr>
    </w:p>
    <w:p w14:paraId="2C8B329E" w14:textId="21A71024" w:rsidR="006324CD" w:rsidRPr="006A7F6C" w:rsidRDefault="00192105">
      <w:pPr>
        <w:numPr>
          <w:ilvl w:val="0"/>
          <w:numId w:val="2"/>
        </w:numPr>
        <w:pBdr>
          <w:top w:val="nil"/>
          <w:left w:val="nil"/>
          <w:bottom w:val="nil"/>
          <w:right w:val="nil"/>
          <w:between w:val="nil"/>
        </w:pBdr>
        <w:tabs>
          <w:tab w:val="left" w:pos="4962"/>
        </w:tabs>
        <w:spacing w:after="0" w:line="360" w:lineRule="auto"/>
        <w:rPr>
          <w:color w:val="000000"/>
        </w:rPr>
      </w:pPr>
      <w:r w:rsidRPr="006A7F6C">
        <w:rPr>
          <w:color w:val="000000"/>
        </w:rPr>
        <w:t>Lista de beneficiarios</w:t>
      </w:r>
      <w:r w:rsidR="006A7F6C">
        <w:rPr>
          <w:color w:val="000000"/>
        </w:rPr>
        <w:t>;</w:t>
      </w:r>
    </w:p>
    <w:p w14:paraId="73219A9B" w14:textId="2122E961" w:rsidR="006324CD" w:rsidRPr="006A7F6C" w:rsidRDefault="00192105">
      <w:pPr>
        <w:numPr>
          <w:ilvl w:val="0"/>
          <w:numId w:val="2"/>
        </w:numPr>
        <w:pBdr>
          <w:top w:val="nil"/>
          <w:left w:val="nil"/>
          <w:bottom w:val="nil"/>
          <w:right w:val="nil"/>
          <w:between w:val="nil"/>
        </w:pBdr>
        <w:tabs>
          <w:tab w:val="left" w:pos="4962"/>
        </w:tabs>
        <w:spacing w:after="0" w:line="360" w:lineRule="auto"/>
        <w:rPr>
          <w:color w:val="000000"/>
        </w:rPr>
      </w:pPr>
      <w:r w:rsidRPr="006A7F6C">
        <w:rPr>
          <w:color w:val="000000"/>
        </w:rPr>
        <w:t>Forma en la que se seleccionaron a los beneficiarios</w:t>
      </w:r>
      <w:r w:rsidR="006A7F6C">
        <w:rPr>
          <w:color w:val="000000"/>
        </w:rPr>
        <w:t>;</w:t>
      </w:r>
    </w:p>
    <w:p w14:paraId="6B3529E3" w14:textId="2B0E8DB0" w:rsidR="006324CD" w:rsidRPr="006A7F6C" w:rsidRDefault="00192105">
      <w:pPr>
        <w:numPr>
          <w:ilvl w:val="0"/>
          <w:numId w:val="2"/>
        </w:numPr>
        <w:pBdr>
          <w:top w:val="nil"/>
          <w:left w:val="nil"/>
          <w:bottom w:val="nil"/>
          <w:right w:val="nil"/>
          <w:between w:val="nil"/>
        </w:pBdr>
        <w:tabs>
          <w:tab w:val="left" w:pos="4962"/>
        </w:tabs>
        <w:spacing w:after="0" w:line="360" w:lineRule="auto"/>
        <w:rPr>
          <w:color w:val="000000"/>
        </w:rPr>
      </w:pPr>
      <w:r w:rsidRPr="006A7F6C">
        <w:rPr>
          <w:color w:val="000000"/>
        </w:rPr>
        <w:t>Convocatoria</w:t>
      </w:r>
      <w:r w:rsidR="006A7F6C">
        <w:rPr>
          <w:color w:val="000000"/>
        </w:rPr>
        <w:t>, y</w:t>
      </w:r>
    </w:p>
    <w:p w14:paraId="7194D3C9" w14:textId="23035801" w:rsidR="006324CD" w:rsidRPr="006A7F6C" w:rsidRDefault="00192105">
      <w:pPr>
        <w:numPr>
          <w:ilvl w:val="0"/>
          <w:numId w:val="2"/>
        </w:numPr>
        <w:pBdr>
          <w:top w:val="nil"/>
          <w:left w:val="nil"/>
          <w:bottom w:val="nil"/>
          <w:right w:val="nil"/>
          <w:between w:val="nil"/>
        </w:pBdr>
        <w:tabs>
          <w:tab w:val="left" w:pos="4962"/>
        </w:tabs>
        <w:spacing w:after="0" w:line="360" w:lineRule="auto"/>
        <w:rPr>
          <w:color w:val="000000"/>
        </w:rPr>
      </w:pPr>
      <w:r w:rsidRPr="006A7F6C">
        <w:rPr>
          <w:color w:val="000000"/>
        </w:rPr>
        <w:t>Expedientes</w:t>
      </w:r>
      <w:r w:rsidR="006A7F6C">
        <w:rPr>
          <w:color w:val="000000"/>
        </w:rPr>
        <w:t xml:space="preserve"> de beneficiarios.</w:t>
      </w:r>
    </w:p>
    <w:p w14:paraId="758DBCA1" w14:textId="77777777" w:rsidR="006324CD" w:rsidRDefault="006324CD">
      <w:pPr>
        <w:pBdr>
          <w:top w:val="nil"/>
          <w:left w:val="nil"/>
          <w:bottom w:val="nil"/>
          <w:right w:val="nil"/>
          <w:between w:val="nil"/>
        </w:pBdr>
        <w:tabs>
          <w:tab w:val="left" w:pos="4962"/>
        </w:tabs>
        <w:spacing w:after="0" w:line="360" w:lineRule="auto"/>
        <w:ind w:left="720"/>
        <w:rPr>
          <w:color w:val="000000"/>
        </w:rPr>
      </w:pPr>
    </w:p>
    <w:p w14:paraId="598A5B02" w14:textId="4B4C018A" w:rsidR="006324CD" w:rsidRDefault="00192105">
      <w:pPr>
        <w:tabs>
          <w:tab w:val="left" w:pos="4962"/>
        </w:tabs>
        <w:spacing w:after="0" w:line="360" w:lineRule="auto"/>
        <w:rPr>
          <w:color w:val="000000"/>
        </w:rPr>
      </w:pPr>
      <w:r>
        <w:rPr>
          <w:color w:val="000000"/>
        </w:rPr>
        <w:t xml:space="preserve">En respuesta la Dirección de Bienestar Social, indicó que únicamente realizó la gestión de canastas alimentarias ante la Dirección General del Bienestar Social y Fortalecimiento Familiar de Gobierno del Estado de México, que fueron beneficiadas las comunidades señaladas por el Dictamen emitido por Protección Civil y que la organización en la entrega fue realizada por el </w:t>
      </w:r>
      <w:r>
        <w:rPr>
          <w:color w:val="000000"/>
        </w:rPr>
        <w:lastRenderedPageBreak/>
        <w:t xml:space="preserve">Gobierno del Estado de </w:t>
      </w:r>
      <w:r>
        <w:t>México</w:t>
      </w:r>
      <w:r>
        <w:rPr>
          <w:color w:val="000000"/>
        </w:rPr>
        <w:t xml:space="preserve">, por lo que no se generó una convocatoria, asimismo refirió que la entrega se realizó conforme al Programa "Alimentación para el Bienestar”, por lo que, dicha Dirección </w:t>
      </w:r>
      <w:r>
        <w:t>sólo</w:t>
      </w:r>
      <w:r>
        <w:rPr>
          <w:color w:val="000000"/>
        </w:rPr>
        <w:t xml:space="preserve"> fue intermediario para comunicar a las autoridades auxiliares de las localidades beneficiarias el día y hora, en la que se realizaría la entrega, por lo que tampoco generó una lista de beneficiarios</w:t>
      </w:r>
      <w:r w:rsidR="006A7F6C">
        <w:rPr>
          <w:color w:val="000000"/>
        </w:rPr>
        <w:t>,</w:t>
      </w:r>
      <w:r>
        <w:rPr>
          <w:color w:val="000000"/>
        </w:rPr>
        <w:t xml:space="preserve"> ni expedientes. Asimismo, remitió el dictamen emitido por el </w:t>
      </w:r>
      <w:r>
        <w:t>Director de Protección Civil y Bomberos y un oficio del Presidente Municipal en el que solicitó a la Directora General del Bienestar Social y Fortalecimiento Familiar la entrega de 4,000 canastas alimentarias en el marco del Programa de Bienestar Social “Alimentación para el Bienestar”.</w:t>
      </w:r>
    </w:p>
    <w:p w14:paraId="2BD23292" w14:textId="77777777" w:rsidR="006324CD" w:rsidRDefault="006324CD">
      <w:pPr>
        <w:tabs>
          <w:tab w:val="left" w:pos="4962"/>
        </w:tabs>
        <w:spacing w:after="0" w:line="360" w:lineRule="auto"/>
        <w:rPr>
          <w:color w:val="000000"/>
        </w:rPr>
      </w:pPr>
    </w:p>
    <w:p w14:paraId="39EAD285" w14:textId="77777777" w:rsidR="006324CD" w:rsidRDefault="00192105">
      <w:pPr>
        <w:tabs>
          <w:tab w:val="left" w:pos="4962"/>
        </w:tabs>
        <w:spacing w:after="0" w:line="360" w:lineRule="auto"/>
        <w:rPr>
          <w:color w:val="000000"/>
        </w:rPr>
      </w:pPr>
      <w:r>
        <w:rPr>
          <w:color w:val="000000"/>
        </w:rPr>
        <w:t xml:space="preserve">Derivado de la respuesta, la parte Recurrente se inconformó y señaló la entrega de información incompleta dado que no se entregó la información. Durante la sustanciación del Recurso de Revisión el Sujeto Obligado rindió informe justificado en el que ratificó la respuesta inicial y añadió que la información requerida no se generó dado que la entrega de las despensas fue realizada por una dependencia del Gobierno Estatal. La parte Recurrente no añadió manifestaciones. </w:t>
      </w:r>
    </w:p>
    <w:p w14:paraId="009B1D19" w14:textId="77777777" w:rsidR="006324CD" w:rsidRDefault="006324CD">
      <w:pPr>
        <w:tabs>
          <w:tab w:val="left" w:pos="4962"/>
        </w:tabs>
        <w:spacing w:after="0" w:line="360" w:lineRule="auto"/>
        <w:rPr>
          <w:color w:val="000000"/>
        </w:rPr>
      </w:pPr>
    </w:p>
    <w:p w14:paraId="59B80752" w14:textId="77777777" w:rsidR="006324CD" w:rsidRDefault="00192105">
      <w:pPr>
        <w:tabs>
          <w:tab w:val="left" w:pos="4962"/>
        </w:tabs>
        <w:spacing w:after="0" w:line="360" w:lineRule="auto"/>
      </w:pPr>
      <w:r>
        <w:t xml:space="preserve">Así pues, de las constancias que integran el expediente, se advierte que </w:t>
      </w:r>
      <w:r>
        <w:rPr>
          <w:color w:val="000000"/>
        </w:rPr>
        <w:t xml:space="preserve">en el asunto que nos ocupa se actualiza la causal de procedencia señalada en el </w:t>
      </w:r>
      <w:r>
        <w:t xml:space="preserve">artículo 179, fracción I, de la Ley de la materia; por la negativa a la información solicitada. </w:t>
      </w:r>
    </w:p>
    <w:p w14:paraId="03FDBA52" w14:textId="77777777" w:rsidR="006324CD" w:rsidRDefault="006324CD">
      <w:pPr>
        <w:tabs>
          <w:tab w:val="left" w:pos="4962"/>
        </w:tabs>
        <w:spacing w:after="0" w:line="360" w:lineRule="auto"/>
      </w:pPr>
    </w:p>
    <w:p w14:paraId="37E19F73" w14:textId="77777777" w:rsidR="006324CD" w:rsidRDefault="00192105">
      <w:pPr>
        <w:tabs>
          <w:tab w:val="left" w:pos="4962"/>
        </w:tabs>
        <w:spacing w:after="0" w:line="360" w:lineRule="auto"/>
      </w:pPr>
      <w: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5AED970" w14:textId="77777777" w:rsidR="006324CD" w:rsidRDefault="006324CD">
      <w:pPr>
        <w:spacing w:after="0" w:line="360" w:lineRule="auto"/>
      </w:pPr>
    </w:p>
    <w:p w14:paraId="7FD895A5" w14:textId="77777777" w:rsidR="006324CD" w:rsidRDefault="00192105">
      <w:pPr>
        <w:pStyle w:val="Ttulo2"/>
        <w:spacing w:before="0" w:after="0"/>
      </w:pPr>
      <w:bookmarkStart w:id="21" w:name="_heading=h.2v79mjwy1l80" w:colFirst="0" w:colLast="0"/>
      <w:bookmarkStart w:id="22" w:name="_Toc220598958"/>
      <w:bookmarkEnd w:id="21"/>
      <w:r>
        <w:lastRenderedPageBreak/>
        <w:t>CUARTO. Marco normativo aplicable en materia de transparencia y acceso a la información pública</w:t>
      </w:r>
      <w:bookmarkEnd w:id="22"/>
    </w:p>
    <w:p w14:paraId="32F1D3BA" w14:textId="77777777" w:rsidR="006324CD" w:rsidRDefault="006324CD">
      <w:pPr>
        <w:spacing w:after="0" w:line="360" w:lineRule="auto"/>
        <w:rPr>
          <w:color w:val="000000"/>
        </w:rPr>
      </w:pPr>
    </w:p>
    <w:p w14:paraId="025458EC" w14:textId="77777777" w:rsidR="006324CD" w:rsidRDefault="00192105">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8E3FABF" w14:textId="77777777" w:rsidR="006324CD" w:rsidRDefault="006324CD">
      <w:pPr>
        <w:spacing w:after="0" w:line="360" w:lineRule="auto"/>
        <w:rPr>
          <w:color w:val="000000"/>
        </w:rPr>
      </w:pPr>
    </w:p>
    <w:p w14:paraId="5D176740" w14:textId="77777777" w:rsidR="006324CD" w:rsidRDefault="00192105">
      <w:pPr>
        <w:spacing w:after="0" w:line="360" w:lineRule="auto"/>
        <w:rPr>
          <w:color w:val="000000"/>
        </w:rPr>
      </w:pPr>
      <w:r>
        <w:rPr>
          <w:color w:val="000000"/>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5E0E860" w14:textId="77777777" w:rsidR="006324CD" w:rsidRDefault="006324CD">
      <w:pPr>
        <w:spacing w:after="0" w:line="360" w:lineRule="auto"/>
        <w:rPr>
          <w:color w:val="000000"/>
        </w:rPr>
      </w:pPr>
    </w:p>
    <w:p w14:paraId="003F9AD2" w14:textId="77777777" w:rsidR="006324CD" w:rsidRDefault="00192105">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23232C01" w14:textId="77777777" w:rsidR="006324CD" w:rsidRDefault="006324CD">
      <w:pPr>
        <w:spacing w:after="0" w:line="360" w:lineRule="auto"/>
        <w:rPr>
          <w:color w:val="000000"/>
        </w:rPr>
      </w:pPr>
    </w:p>
    <w:p w14:paraId="175BE14F" w14:textId="77777777" w:rsidR="006324CD" w:rsidRDefault="00192105">
      <w:pPr>
        <w:spacing w:after="0" w:line="360" w:lineRule="auto"/>
        <w:rPr>
          <w:color w:val="000000"/>
        </w:rPr>
      </w:pPr>
      <w:r>
        <w:rPr>
          <w:color w:val="000000"/>
        </w:rPr>
        <w:t xml:space="preserve">El artículo </w:t>
      </w:r>
      <w:r>
        <w:t>12 dice que</w:t>
      </w:r>
      <w:r>
        <w:rPr>
          <w:color w:val="000000"/>
        </w:rPr>
        <w:t>, quienes generen, recopilen, administren, manejen, procesen, archiven o conserven información pública serán responsables de la misma.</w:t>
      </w:r>
    </w:p>
    <w:p w14:paraId="3ADF4561" w14:textId="77777777" w:rsidR="006324CD" w:rsidRDefault="006324CD">
      <w:pPr>
        <w:spacing w:after="0" w:line="360" w:lineRule="auto"/>
        <w:rPr>
          <w:color w:val="000000"/>
        </w:rPr>
      </w:pPr>
    </w:p>
    <w:p w14:paraId="22755E20" w14:textId="77777777" w:rsidR="006324CD" w:rsidRDefault="00192105">
      <w:pPr>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BA8BAD5" w14:textId="77777777" w:rsidR="006324CD" w:rsidRDefault="006324CD">
      <w:pPr>
        <w:spacing w:after="0" w:line="360" w:lineRule="auto"/>
        <w:rPr>
          <w:color w:val="000000"/>
        </w:rPr>
      </w:pPr>
    </w:p>
    <w:p w14:paraId="6314429C" w14:textId="77777777" w:rsidR="006324CD" w:rsidRDefault="00192105">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B4C5495" w14:textId="77777777" w:rsidR="006324CD" w:rsidRDefault="006324CD">
      <w:pPr>
        <w:pStyle w:val="Ttulo2"/>
        <w:spacing w:before="0" w:after="0"/>
        <w:rPr>
          <w:smallCaps/>
        </w:rPr>
      </w:pPr>
    </w:p>
    <w:p w14:paraId="5A559FE9" w14:textId="77777777" w:rsidR="006324CD" w:rsidRDefault="00192105">
      <w:pPr>
        <w:pStyle w:val="Ttulo2"/>
        <w:spacing w:before="0" w:after="0"/>
      </w:pPr>
      <w:bookmarkStart w:id="23" w:name="_heading=h.7rqcpkua283m" w:colFirst="0" w:colLast="0"/>
      <w:bookmarkStart w:id="24" w:name="_Toc220598959"/>
      <w:bookmarkEnd w:id="23"/>
      <w:r>
        <w:rPr>
          <w:smallCaps/>
        </w:rPr>
        <w:t>QUINTO.</w:t>
      </w:r>
      <w:r>
        <w:t xml:space="preserve"> Estudio de Fondo</w:t>
      </w:r>
      <w:bookmarkEnd w:id="24"/>
    </w:p>
    <w:p w14:paraId="21E487EF" w14:textId="77777777" w:rsidR="006324CD" w:rsidRDefault="006324CD">
      <w:pPr>
        <w:spacing w:after="0" w:line="360" w:lineRule="auto"/>
      </w:pPr>
    </w:p>
    <w:p w14:paraId="573FB0F1" w14:textId="77777777" w:rsidR="006324CD" w:rsidRDefault="00192105">
      <w:pPr>
        <w:spacing w:after="0" w:line="360" w:lineRule="auto"/>
      </w:pPr>
      <w:r>
        <w:t>Al respecto, vale la pena contextualizar la solicitud de información, la cual versa sobre la entrega de despensas, lista de beneficiarios, razones por las que se seleccionaron y expedientes.</w:t>
      </w:r>
    </w:p>
    <w:p w14:paraId="4173F494" w14:textId="77777777" w:rsidR="006324CD" w:rsidRDefault="006324CD">
      <w:pPr>
        <w:spacing w:after="0" w:line="360" w:lineRule="auto"/>
      </w:pPr>
    </w:p>
    <w:p w14:paraId="187AA23E" w14:textId="77777777" w:rsidR="006324CD" w:rsidRDefault="00192105">
      <w:pPr>
        <w:spacing w:after="0" w:line="360" w:lineRule="auto"/>
        <w:rPr>
          <w:b/>
          <w:bCs/>
        </w:rPr>
      </w:pPr>
      <w:r>
        <w:t xml:space="preserve">Al respecto es preciso señalar que la Ley Orgánica Municipal del Estado de </w:t>
      </w:r>
      <w:proofErr w:type="spellStart"/>
      <w:r>
        <w:t>Mexico</w:t>
      </w:r>
      <w:proofErr w:type="spellEnd"/>
      <w:r>
        <w:t xml:space="preserve"> prevé en su artículo 96 </w:t>
      </w:r>
      <w:proofErr w:type="spellStart"/>
      <w:r>
        <w:t>Duodecies</w:t>
      </w:r>
      <w:proofErr w:type="spellEnd"/>
      <w:r>
        <w:t xml:space="preserve">, que dentro de las estructuras orgánicas de los Municipios, se debe contar con una Dirección de Desarrollo Social o equivalente, que tiene dentro de sus atribuciones las de diagnosticar, formular, dirigir, implementar y evaluar la política social del Gobierno Municipal; cuantificar, determinar y proponer, en coordinación con las instancias competentes, los recursos públicos necesarios para generar los programas y acciones que atiendan las necesidades básicas de la población vulnerable del municipio; ejecutar los programas, proyectos y acciones municipales en materia de desarrollo social, de manera coordinada con las instancias correspondientes; auxiliar o representar al Presidente Municipal, en el ámbito de su competencia, en la coordinación con las dependencias correspondientes en materia de desarrollo social de los Gobiernos Estatal y Federal en la ejecución de sus programas y acciones en el territorio municipal; </w:t>
      </w:r>
      <w:r>
        <w:rPr>
          <w:b/>
          <w:bCs/>
        </w:rPr>
        <w:t>integrar los padrones respectivos de beneficiarios de los programas de desarrollo social municipal;</w:t>
      </w:r>
      <w:r>
        <w:t xml:space="preserve"> </w:t>
      </w:r>
      <w:r>
        <w:rPr>
          <w:b/>
          <w:bCs/>
        </w:rPr>
        <w:t>informar a la ciudadanía de las políticas, programas</w:t>
      </w:r>
      <w:r>
        <w:t xml:space="preserve"> y acciones de desarrollo social </w:t>
      </w:r>
      <w:r>
        <w:rPr>
          <w:b/>
          <w:bCs/>
        </w:rPr>
        <w:t>que ejecuten</w:t>
      </w:r>
      <w:r>
        <w:t xml:space="preserve">; así como sobre la aplicación de los recursos y evolución de cada uno de estos programas, en términos de las disposiciones jurídicas aplicables; </w:t>
      </w:r>
      <w:r>
        <w:rPr>
          <w:b/>
          <w:bCs/>
        </w:rPr>
        <w:t xml:space="preserve">así pues dicha área debe conocer de los programas y listas de beneficiarios. </w:t>
      </w:r>
    </w:p>
    <w:p w14:paraId="33AEDB26" w14:textId="77777777" w:rsidR="006324CD" w:rsidRDefault="006324CD">
      <w:pPr>
        <w:spacing w:after="0" w:line="360" w:lineRule="auto"/>
      </w:pPr>
    </w:p>
    <w:p w14:paraId="561A043D" w14:textId="77777777" w:rsidR="006324CD" w:rsidRDefault="00192105">
      <w:pPr>
        <w:spacing w:after="0" w:line="360" w:lineRule="auto"/>
        <w:rPr>
          <w:b/>
          <w:bCs/>
        </w:rPr>
      </w:pPr>
      <w:r>
        <w:t xml:space="preserve">En este sentido el Bando Municipal del Sujeto Obligado 2025; prevé en su artículo 82 que la </w:t>
      </w:r>
      <w:r>
        <w:rPr>
          <w:b/>
          <w:bCs/>
        </w:rPr>
        <w:t>Dirección de Bienestar Social</w:t>
      </w:r>
      <w:r>
        <w:t xml:space="preserve">, es la dependencia encargada de diagnosticar, formular, dirigir, implementar y evaluar la política social del Gobierno Municipal; cuantificar, determinar y proponer, en coordinación con las instancias competentes, los recursos públicos necesarios para </w:t>
      </w:r>
      <w:r>
        <w:lastRenderedPageBreak/>
        <w:t xml:space="preserve">generar los programas y acciones que atiendan las necesidades básicas de la población vulnerable del municipio; así como la de ejecutar los programas, proyectos y acciones municipales en materia de desarrollo social, de manera coordinada con las instancias correspondientes; </w:t>
      </w:r>
      <w:r>
        <w:rPr>
          <w:b/>
          <w:bCs/>
        </w:rPr>
        <w:t xml:space="preserve"> en consecuencia, el Sujeto Obligado puede generar programas de apoyo a la población y lo realiza a través de la Dirección de Bienestar Social. </w:t>
      </w:r>
    </w:p>
    <w:p w14:paraId="3F218448" w14:textId="77777777" w:rsidR="006324CD" w:rsidRDefault="006324CD">
      <w:pPr>
        <w:spacing w:after="0" w:line="360" w:lineRule="auto"/>
      </w:pPr>
    </w:p>
    <w:p w14:paraId="03DC9C1F" w14:textId="77777777" w:rsidR="006324CD" w:rsidRDefault="00192105">
      <w:pPr>
        <w:spacing w:after="0" w:line="360" w:lineRule="auto"/>
      </w:pPr>
      <w:r>
        <w:t xml:space="preserve">En este tenor, la solicitud de información se relaciona con la entrega de beneficios o apoyos, en este sentido, el artículo 92, fracciones XIV y XLII de la Ley de Transparencia y Acceso a la Información Pública del Estado de México y Municipios, señala que los Sujetos Obligados deberán poner a distinción del público de manera permanente y actualizada de forma sencilla, precisa y entendible, a través de medios electrónicos, de acuerdo a sus funciones, diversa información, entre ellas, la información de los programas de subsidios, estímulos y apoyos y los programas que ofrecen, padrón de beneficiarios e información sobre la población, objeto y destino, tiempos de respuesta, requisitos y formatos para acceder a los mismos, en consecuencia, la </w:t>
      </w:r>
      <w:r>
        <w:rPr>
          <w:b/>
          <w:bCs/>
        </w:rPr>
        <w:t>información relacionada con programas de apoyo tiene el carácter de pública.</w:t>
      </w:r>
    </w:p>
    <w:p w14:paraId="415DFC32" w14:textId="77777777" w:rsidR="006324CD" w:rsidRDefault="006324CD">
      <w:pPr>
        <w:spacing w:after="0" w:line="360" w:lineRule="auto"/>
      </w:pPr>
    </w:p>
    <w:p w14:paraId="4DA0E713" w14:textId="1B2F6D3B" w:rsidR="006A7F6C" w:rsidRPr="006A7F6C" w:rsidRDefault="00192105" w:rsidP="006A7F6C">
      <w:pPr>
        <w:spacing w:after="0" w:line="360" w:lineRule="auto"/>
        <w:rPr>
          <w:color w:val="000000"/>
        </w:rPr>
      </w:pPr>
      <w:r w:rsidRPr="006A7F6C">
        <w:t>En este contexto normativo es preciso reiterar que la parte Solicitante requirió</w:t>
      </w:r>
      <w:r w:rsidR="006A7F6C" w:rsidRPr="006A7F6C">
        <w:t xml:space="preserve"> respecto a las </w:t>
      </w:r>
    </w:p>
    <w:p w14:paraId="5C82442D" w14:textId="057E3A9E" w:rsidR="006324CD" w:rsidRDefault="00192105">
      <w:pPr>
        <w:tabs>
          <w:tab w:val="left" w:pos="4962"/>
        </w:tabs>
        <w:spacing w:after="0" w:line="360" w:lineRule="auto"/>
        <w:rPr>
          <w:color w:val="000000"/>
        </w:rPr>
      </w:pPr>
      <w:proofErr w:type="gramStart"/>
      <w:r w:rsidRPr="006A7F6C">
        <w:rPr>
          <w:color w:val="000000"/>
        </w:rPr>
        <w:t>despensas</w:t>
      </w:r>
      <w:proofErr w:type="gramEnd"/>
      <w:r w:rsidRPr="006A7F6C">
        <w:rPr>
          <w:color w:val="000000"/>
        </w:rPr>
        <w:t xml:space="preserve"> entregadas por el Municipio:</w:t>
      </w:r>
    </w:p>
    <w:p w14:paraId="4B3AB753" w14:textId="77777777" w:rsidR="006A7F6C" w:rsidRPr="006A7F6C" w:rsidRDefault="006A7F6C">
      <w:pPr>
        <w:tabs>
          <w:tab w:val="left" w:pos="4962"/>
        </w:tabs>
        <w:spacing w:after="0" w:line="360" w:lineRule="auto"/>
        <w:rPr>
          <w:color w:val="000000"/>
        </w:rPr>
      </w:pPr>
    </w:p>
    <w:p w14:paraId="0C7E4FF0" w14:textId="2697D64D" w:rsidR="006324CD" w:rsidRPr="006A7F6C" w:rsidRDefault="00192105">
      <w:pPr>
        <w:numPr>
          <w:ilvl w:val="0"/>
          <w:numId w:val="3"/>
        </w:numPr>
        <w:pBdr>
          <w:top w:val="nil"/>
          <w:left w:val="nil"/>
          <w:bottom w:val="nil"/>
          <w:right w:val="nil"/>
          <w:between w:val="nil"/>
        </w:pBdr>
        <w:tabs>
          <w:tab w:val="left" w:pos="4962"/>
        </w:tabs>
        <w:spacing w:after="0" w:line="360" w:lineRule="auto"/>
        <w:rPr>
          <w:color w:val="000000"/>
        </w:rPr>
      </w:pPr>
      <w:r w:rsidRPr="006A7F6C">
        <w:rPr>
          <w:color w:val="000000"/>
        </w:rPr>
        <w:t>Lista de beneficiarios</w:t>
      </w:r>
      <w:r w:rsidR="006A7F6C">
        <w:rPr>
          <w:color w:val="000000"/>
        </w:rPr>
        <w:t>;</w:t>
      </w:r>
    </w:p>
    <w:p w14:paraId="64CD58A4" w14:textId="2A051813" w:rsidR="006324CD" w:rsidRPr="006A7F6C" w:rsidRDefault="00192105">
      <w:pPr>
        <w:numPr>
          <w:ilvl w:val="0"/>
          <w:numId w:val="3"/>
        </w:numPr>
        <w:pBdr>
          <w:top w:val="nil"/>
          <w:left w:val="nil"/>
          <w:bottom w:val="nil"/>
          <w:right w:val="nil"/>
          <w:between w:val="nil"/>
        </w:pBdr>
        <w:tabs>
          <w:tab w:val="left" w:pos="4962"/>
        </w:tabs>
        <w:spacing w:after="0" w:line="360" w:lineRule="auto"/>
        <w:rPr>
          <w:color w:val="000000"/>
        </w:rPr>
      </w:pPr>
      <w:r w:rsidRPr="006A7F6C">
        <w:rPr>
          <w:color w:val="000000"/>
        </w:rPr>
        <w:t>Forma en la que se seleccionaron a los beneficiarios</w:t>
      </w:r>
      <w:r w:rsidR="006A7F6C">
        <w:rPr>
          <w:color w:val="000000"/>
        </w:rPr>
        <w:t>;</w:t>
      </w:r>
    </w:p>
    <w:p w14:paraId="34CE7D18" w14:textId="1C60AA4E" w:rsidR="006324CD" w:rsidRPr="006A7F6C" w:rsidRDefault="00192105">
      <w:pPr>
        <w:numPr>
          <w:ilvl w:val="0"/>
          <w:numId w:val="3"/>
        </w:numPr>
        <w:pBdr>
          <w:top w:val="nil"/>
          <w:left w:val="nil"/>
          <w:bottom w:val="nil"/>
          <w:right w:val="nil"/>
          <w:between w:val="nil"/>
        </w:pBdr>
        <w:tabs>
          <w:tab w:val="left" w:pos="4962"/>
        </w:tabs>
        <w:spacing w:after="0" w:line="360" w:lineRule="auto"/>
        <w:rPr>
          <w:color w:val="000000"/>
        </w:rPr>
      </w:pPr>
      <w:r w:rsidRPr="006A7F6C">
        <w:rPr>
          <w:color w:val="000000"/>
        </w:rPr>
        <w:t>Convocatoria</w:t>
      </w:r>
      <w:r w:rsidR="006A7F6C">
        <w:rPr>
          <w:color w:val="000000"/>
        </w:rPr>
        <w:t>, y</w:t>
      </w:r>
      <w:r w:rsidRPr="006A7F6C">
        <w:rPr>
          <w:color w:val="000000"/>
        </w:rPr>
        <w:t xml:space="preserve"> </w:t>
      </w:r>
    </w:p>
    <w:p w14:paraId="70A1E2AC" w14:textId="106308BC" w:rsidR="006324CD" w:rsidRPr="006A7F6C" w:rsidRDefault="00192105">
      <w:pPr>
        <w:numPr>
          <w:ilvl w:val="0"/>
          <w:numId w:val="3"/>
        </w:numPr>
        <w:pBdr>
          <w:top w:val="nil"/>
          <w:left w:val="nil"/>
          <w:bottom w:val="nil"/>
          <w:right w:val="nil"/>
          <w:between w:val="nil"/>
        </w:pBdr>
        <w:tabs>
          <w:tab w:val="left" w:pos="4962"/>
        </w:tabs>
        <w:spacing w:after="0" w:line="360" w:lineRule="auto"/>
        <w:rPr>
          <w:color w:val="000000"/>
        </w:rPr>
      </w:pPr>
      <w:r w:rsidRPr="006A7F6C">
        <w:rPr>
          <w:color w:val="000000"/>
        </w:rPr>
        <w:t>Expedientes</w:t>
      </w:r>
      <w:r w:rsidR="006A7F6C">
        <w:rPr>
          <w:color w:val="000000"/>
        </w:rPr>
        <w:t>.</w:t>
      </w:r>
    </w:p>
    <w:p w14:paraId="0D81E257" w14:textId="77777777" w:rsidR="006324CD" w:rsidRDefault="006324CD">
      <w:pPr>
        <w:spacing w:after="0" w:line="360" w:lineRule="auto"/>
      </w:pPr>
    </w:p>
    <w:p w14:paraId="4AD4CED7" w14:textId="77777777" w:rsidR="006324CD" w:rsidRDefault="00192105">
      <w:pPr>
        <w:spacing w:after="0" w:line="360" w:lineRule="auto"/>
      </w:pPr>
      <w:r>
        <w:rPr>
          <w:color w:val="000000"/>
        </w:rPr>
        <w:t>Así, se procede analizar la información proporcionada por el Sujeto Obligado, para lo cual, cabe señalar que este dio respuesta a través de la Dirección de Bienestar Social</w:t>
      </w:r>
      <w:r>
        <w:t xml:space="preserve">, </w:t>
      </w:r>
      <w:r>
        <w:rPr>
          <w:color w:val="000000"/>
        </w:rPr>
        <w:t xml:space="preserve">por lo que, </w:t>
      </w:r>
      <w:r>
        <w:t xml:space="preserve">es oportuno hacer referencia al </w:t>
      </w:r>
      <w:r>
        <w:rPr>
          <w:b/>
          <w:bCs/>
        </w:rPr>
        <w:t xml:space="preserve">procedimiento de búsqueda que deben de seguir los Sujetos </w:t>
      </w:r>
      <w:r>
        <w:rPr>
          <w:b/>
          <w:bCs/>
        </w:rPr>
        <w:lastRenderedPageBreak/>
        <w:t>Obligados para localizar la información</w:t>
      </w:r>
      <w: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610FE086" w14:textId="77777777" w:rsidR="006324CD" w:rsidRDefault="006324CD">
      <w:pPr>
        <w:spacing w:after="0" w:line="360" w:lineRule="auto"/>
      </w:pPr>
    </w:p>
    <w:p w14:paraId="39256D64" w14:textId="77777777" w:rsidR="006324CD" w:rsidRDefault="00192105">
      <w:pPr>
        <w:spacing w:after="0" w:line="360" w:lineRule="auto"/>
        <w:rPr>
          <w:color w:val="000000"/>
        </w:rPr>
      </w:pPr>
      <w:r>
        <w:rPr>
          <w:color w:val="000000"/>
        </w:rPr>
        <w:t xml:space="preserve">Así, con la finalidad de determinar si el Sujeto Obligado </w:t>
      </w:r>
      <w:r>
        <w:rPr>
          <w:b/>
          <w:bCs/>
          <w:color w:val="000000"/>
        </w:rPr>
        <w:t>cumplió con el procedimiento de búsqueda</w:t>
      </w:r>
      <w:r>
        <w:rPr>
          <w:color w:val="000000"/>
        </w:rPr>
        <w:t xml:space="preserve"> previsto en el artículo 162 de la Ley de Transparencia y Acceso a la Información Pública del Estado de México y Municipios, dado que, </w:t>
      </w:r>
      <w:r>
        <w:rPr>
          <w:b/>
          <w:bCs/>
          <w:color w:val="000000"/>
        </w:rPr>
        <w:t>turnó</w:t>
      </w:r>
      <w:r>
        <w:rPr>
          <w:color w:val="000000"/>
        </w:rPr>
        <w:t xml:space="preserve"> la solicitud de información a las áreas que pueden conocer de lo solicitado.</w:t>
      </w:r>
    </w:p>
    <w:p w14:paraId="6BE260B4" w14:textId="77777777" w:rsidR="006324CD" w:rsidRDefault="006324CD">
      <w:pPr>
        <w:spacing w:after="0" w:line="360" w:lineRule="auto"/>
      </w:pPr>
    </w:p>
    <w:p w14:paraId="66A4CF40" w14:textId="77777777" w:rsidR="006324CD" w:rsidRDefault="00192105">
      <w:pPr>
        <w:tabs>
          <w:tab w:val="left" w:pos="4962"/>
        </w:tabs>
        <w:spacing w:after="0" w:line="360" w:lineRule="auto"/>
      </w:pPr>
      <w:r>
        <w:t>En este contexto, es oportuno señalar que este Organismo Garante procedió a realizar la búsqueda de la información respecto a la entrega de despensas por parte del Sujeto Obligado y únicamente se localizó lo siguiente:</w:t>
      </w:r>
    </w:p>
    <w:p w14:paraId="5BAFBFD0" w14:textId="77777777" w:rsidR="006324CD" w:rsidRDefault="006324CD">
      <w:pPr>
        <w:tabs>
          <w:tab w:val="left" w:pos="4962"/>
        </w:tabs>
        <w:spacing w:after="0" w:line="360" w:lineRule="auto"/>
      </w:pPr>
    </w:p>
    <w:p w14:paraId="005E682E" w14:textId="77777777" w:rsidR="006324CD" w:rsidRDefault="00192105">
      <w:pPr>
        <w:numPr>
          <w:ilvl w:val="0"/>
          <w:numId w:val="4"/>
        </w:numPr>
        <w:pBdr>
          <w:top w:val="nil"/>
          <w:left w:val="nil"/>
          <w:bottom w:val="nil"/>
          <w:right w:val="nil"/>
          <w:between w:val="nil"/>
        </w:pBdr>
        <w:tabs>
          <w:tab w:val="left" w:pos="4962"/>
        </w:tabs>
        <w:spacing w:after="0" w:line="360" w:lineRule="auto"/>
        <w:rPr>
          <w:color w:val="000000"/>
        </w:rPr>
      </w:pPr>
      <w:r>
        <w:rPr>
          <w:color w:val="000000"/>
        </w:rPr>
        <w:t xml:space="preserve">Publicación en la Red Social </w:t>
      </w:r>
      <w:r>
        <w:rPr>
          <w:i/>
          <w:iCs/>
          <w:color w:val="000000"/>
        </w:rPr>
        <w:t xml:space="preserve">Facebook, </w:t>
      </w:r>
      <w:r>
        <w:rPr>
          <w:color w:val="000000"/>
        </w:rPr>
        <w:t>en el perfil del Sujeto Obligado, de fecha 19 de febrero de 2025; en el que se señala:</w:t>
      </w:r>
    </w:p>
    <w:p w14:paraId="7BD55376" w14:textId="77777777" w:rsidR="006A7F6C" w:rsidRDefault="006A7F6C" w:rsidP="006A7F6C">
      <w:pPr>
        <w:pBdr>
          <w:top w:val="nil"/>
          <w:left w:val="nil"/>
          <w:bottom w:val="nil"/>
          <w:right w:val="nil"/>
          <w:between w:val="nil"/>
        </w:pBdr>
        <w:tabs>
          <w:tab w:val="left" w:pos="4962"/>
        </w:tabs>
        <w:spacing w:after="0" w:line="360" w:lineRule="auto"/>
        <w:ind w:left="720"/>
        <w:rPr>
          <w:color w:val="000000"/>
        </w:rPr>
      </w:pPr>
    </w:p>
    <w:p w14:paraId="40CF697A" w14:textId="77777777" w:rsidR="006324CD" w:rsidRDefault="00192105">
      <w:pPr>
        <w:tabs>
          <w:tab w:val="left" w:pos="4962"/>
        </w:tabs>
        <w:spacing w:after="0" w:line="360" w:lineRule="auto"/>
        <w:jc w:val="center"/>
      </w:pPr>
      <w:r>
        <w:rPr>
          <w:noProof/>
        </w:rPr>
        <w:lastRenderedPageBreak/>
        <w:drawing>
          <wp:inline distT="0" distB="0" distL="0" distR="0" wp14:anchorId="781246A4" wp14:editId="702D006E">
            <wp:extent cx="4290304" cy="2194974"/>
            <wp:effectExtent l="0" t="0" r="0" b="0"/>
            <wp:docPr id="21134987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290304" cy="2194974"/>
                    </a:xfrm>
                    <a:prstGeom prst="rect">
                      <a:avLst/>
                    </a:prstGeom>
                    <a:ln/>
                  </pic:spPr>
                </pic:pic>
              </a:graphicData>
            </a:graphic>
          </wp:inline>
        </w:drawing>
      </w:r>
    </w:p>
    <w:p w14:paraId="7095DB63" w14:textId="77777777" w:rsidR="006324CD" w:rsidRDefault="00192105">
      <w:pPr>
        <w:numPr>
          <w:ilvl w:val="0"/>
          <w:numId w:val="4"/>
        </w:numPr>
        <w:pBdr>
          <w:top w:val="nil"/>
          <w:left w:val="nil"/>
          <w:bottom w:val="nil"/>
          <w:right w:val="nil"/>
          <w:between w:val="nil"/>
        </w:pBdr>
        <w:tabs>
          <w:tab w:val="left" w:pos="4962"/>
        </w:tabs>
        <w:spacing w:after="0" w:line="360" w:lineRule="auto"/>
        <w:rPr>
          <w:color w:val="000000"/>
        </w:rPr>
      </w:pPr>
      <w:r>
        <w:rPr>
          <w:color w:val="000000"/>
        </w:rPr>
        <w:t xml:space="preserve">Publicación en la Red Social </w:t>
      </w:r>
      <w:r>
        <w:rPr>
          <w:i/>
          <w:iCs/>
          <w:color w:val="000000"/>
        </w:rPr>
        <w:t xml:space="preserve">Facebook, </w:t>
      </w:r>
      <w:r>
        <w:rPr>
          <w:color w:val="000000"/>
        </w:rPr>
        <w:t>en el perfil del Sujeto Obligado, de fecha 14 de mayo de 2025; en el que se señala:</w:t>
      </w:r>
    </w:p>
    <w:p w14:paraId="29058183" w14:textId="77777777" w:rsidR="006A7F6C" w:rsidRDefault="006A7F6C" w:rsidP="006A7F6C">
      <w:pPr>
        <w:pBdr>
          <w:top w:val="nil"/>
          <w:left w:val="nil"/>
          <w:bottom w:val="nil"/>
          <w:right w:val="nil"/>
          <w:between w:val="nil"/>
        </w:pBdr>
        <w:tabs>
          <w:tab w:val="left" w:pos="4962"/>
        </w:tabs>
        <w:spacing w:after="0" w:line="360" w:lineRule="auto"/>
        <w:ind w:left="720"/>
        <w:rPr>
          <w:color w:val="000000"/>
        </w:rPr>
      </w:pPr>
    </w:p>
    <w:p w14:paraId="400E5CED" w14:textId="77777777" w:rsidR="006324CD" w:rsidRDefault="00192105">
      <w:pPr>
        <w:tabs>
          <w:tab w:val="left" w:pos="4962"/>
        </w:tabs>
        <w:spacing w:after="0" w:line="360" w:lineRule="auto"/>
        <w:jc w:val="center"/>
      </w:pPr>
      <w:r>
        <w:rPr>
          <w:noProof/>
        </w:rPr>
        <w:drawing>
          <wp:inline distT="0" distB="0" distL="0" distR="0" wp14:anchorId="097669BC" wp14:editId="65FAC302">
            <wp:extent cx="3830955" cy="1266825"/>
            <wp:effectExtent l="0" t="0" r="0" b="9525"/>
            <wp:docPr id="21134987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b="64731"/>
                    <a:stretch/>
                  </pic:blipFill>
                  <pic:spPr bwMode="auto">
                    <a:xfrm>
                      <a:off x="0" y="0"/>
                      <a:ext cx="3831302" cy="1266940"/>
                    </a:xfrm>
                    <a:prstGeom prst="rect">
                      <a:avLst/>
                    </a:prstGeom>
                    <a:ln>
                      <a:noFill/>
                    </a:ln>
                    <a:extLst>
                      <a:ext uri="{53640926-AAD7-44D8-BBD7-CCE9431645EC}">
                        <a14:shadowObscured xmlns:a14="http://schemas.microsoft.com/office/drawing/2010/main"/>
                      </a:ext>
                    </a:extLst>
                  </pic:spPr>
                </pic:pic>
              </a:graphicData>
            </a:graphic>
          </wp:inline>
        </w:drawing>
      </w:r>
    </w:p>
    <w:p w14:paraId="020FC299" w14:textId="77777777" w:rsidR="006324CD" w:rsidRDefault="006324CD">
      <w:pPr>
        <w:tabs>
          <w:tab w:val="left" w:pos="4962"/>
        </w:tabs>
        <w:spacing w:after="0" w:line="360" w:lineRule="auto"/>
        <w:jc w:val="center"/>
      </w:pPr>
    </w:p>
    <w:p w14:paraId="31A91A89" w14:textId="77777777" w:rsidR="006324CD" w:rsidRDefault="00192105">
      <w:pPr>
        <w:numPr>
          <w:ilvl w:val="0"/>
          <w:numId w:val="4"/>
        </w:numPr>
        <w:pBdr>
          <w:top w:val="nil"/>
          <w:left w:val="nil"/>
          <w:bottom w:val="nil"/>
          <w:right w:val="nil"/>
          <w:between w:val="nil"/>
        </w:pBdr>
        <w:tabs>
          <w:tab w:val="left" w:pos="4962"/>
        </w:tabs>
        <w:spacing w:after="0" w:line="360" w:lineRule="auto"/>
        <w:rPr>
          <w:color w:val="000000"/>
        </w:rPr>
      </w:pPr>
      <w:r>
        <w:rPr>
          <w:color w:val="000000"/>
        </w:rPr>
        <w:t>Nota: “</w:t>
      </w:r>
      <w:r>
        <w:rPr>
          <w:b/>
          <w:bCs/>
          <w:color w:val="000000"/>
        </w:rPr>
        <w:t>DIF Atlacomulco ofrece despensas accesibles para la comunidad”,</w:t>
      </w:r>
      <w:r>
        <w:rPr>
          <w:color w:val="000000"/>
        </w:rPr>
        <w:t xml:space="preserve"> publicada en el medio Rotativo de </w:t>
      </w:r>
      <w:r>
        <w:t>México</w:t>
      </w:r>
      <w:r>
        <w:rPr>
          <w:color w:val="000000"/>
        </w:rPr>
        <w:t>, en fecha 4 de marzo de 2025; en el que se señala:</w:t>
      </w:r>
    </w:p>
    <w:p w14:paraId="1DDCD876" w14:textId="77777777" w:rsidR="006A7F6C" w:rsidRDefault="006A7F6C" w:rsidP="006A7F6C">
      <w:pPr>
        <w:pBdr>
          <w:top w:val="nil"/>
          <w:left w:val="nil"/>
          <w:bottom w:val="nil"/>
          <w:right w:val="nil"/>
          <w:between w:val="nil"/>
        </w:pBdr>
        <w:tabs>
          <w:tab w:val="left" w:pos="4962"/>
        </w:tabs>
        <w:spacing w:after="0" w:line="360" w:lineRule="auto"/>
        <w:ind w:left="720"/>
        <w:rPr>
          <w:color w:val="000000"/>
        </w:rPr>
      </w:pPr>
    </w:p>
    <w:p w14:paraId="3F6BC107" w14:textId="77777777" w:rsidR="006324CD" w:rsidRDefault="00192105">
      <w:pPr>
        <w:tabs>
          <w:tab w:val="left" w:pos="4962"/>
        </w:tabs>
        <w:spacing w:after="0" w:line="360" w:lineRule="auto"/>
        <w:jc w:val="center"/>
      </w:pPr>
      <w:r>
        <w:rPr>
          <w:noProof/>
        </w:rPr>
        <w:lastRenderedPageBreak/>
        <w:drawing>
          <wp:inline distT="0" distB="0" distL="0" distR="0" wp14:anchorId="3B362A9E" wp14:editId="19245344">
            <wp:extent cx="2858135" cy="3162300"/>
            <wp:effectExtent l="0" t="0" r="0" b="0"/>
            <wp:docPr id="21134987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1"/>
                    <a:srcRect b="3749"/>
                    <a:stretch/>
                  </pic:blipFill>
                  <pic:spPr bwMode="auto">
                    <a:xfrm>
                      <a:off x="0" y="0"/>
                      <a:ext cx="2858990" cy="3163246"/>
                    </a:xfrm>
                    <a:prstGeom prst="rect">
                      <a:avLst/>
                    </a:prstGeom>
                    <a:ln>
                      <a:noFill/>
                    </a:ln>
                    <a:extLst>
                      <a:ext uri="{53640926-AAD7-44D8-BBD7-CCE9431645EC}">
                        <a14:shadowObscured xmlns:a14="http://schemas.microsoft.com/office/drawing/2010/main"/>
                      </a:ext>
                    </a:extLst>
                  </pic:spPr>
                </pic:pic>
              </a:graphicData>
            </a:graphic>
          </wp:inline>
        </w:drawing>
      </w:r>
    </w:p>
    <w:p w14:paraId="29FFB58B" w14:textId="219B0EDA" w:rsidR="006A7F6C" w:rsidRDefault="006A7F6C">
      <w:pPr>
        <w:tabs>
          <w:tab w:val="left" w:pos="4962"/>
        </w:tabs>
        <w:spacing w:after="0" w:line="360" w:lineRule="auto"/>
        <w:jc w:val="center"/>
      </w:pPr>
    </w:p>
    <w:p w14:paraId="23D9106C" w14:textId="77777777" w:rsidR="006324CD" w:rsidRDefault="006324CD">
      <w:pPr>
        <w:tabs>
          <w:tab w:val="left" w:pos="4962"/>
        </w:tabs>
        <w:spacing w:after="0" w:line="360" w:lineRule="auto"/>
        <w:jc w:val="center"/>
      </w:pPr>
    </w:p>
    <w:p w14:paraId="5957C1C5" w14:textId="77777777" w:rsidR="006324CD" w:rsidRDefault="00192105">
      <w:pPr>
        <w:tabs>
          <w:tab w:val="left" w:pos="4962"/>
        </w:tabs>
        <w:spacing w:after="0" w:line="360" w:lineRule="auto"/>
      </w:pPr>
      <w:r>
        <w:t xml:space="preserve">De los anteriores, se advierte que el Sujeto Obligado publicita la entrega de diversas canastas o despensas alimentarias, por una parte, entregadas por el Sistema para el Desarrollo Integral de la Familia del Estado de México por el programa “Canasta Alimentaria del Bienestar” y por otro lado en el contexto del programa “Alimentación para el Bienestar” mediante la Secretaría de Bienestar y la Dirección General de Bienestar Social; y sumado a lo anterior, el  Sistema Municipal para el Desarrollo Integral de la Familia de Atlacomulco. (DIF Municipal) generó el programa de compra de despensas a un precio menor; sin embargo, </w:t>
      </w:r>
      <w:r>
        <w:rPr>
          <w:b/>
          <w:bCs/>
        </w:rPr>
        <w:t>no se localizó ninguna entrega de despensas por parte del Ayuntamiento directamente.</w:t>
      </w:r>
      <w:r>
        <w:t xml:space="preserve"> </w:t>
      </w:r>
    </w:p>
    <w:p w14:paraId="16B187CC" w14:textId="77777777" w:rsidR="006324CD" w:rsidRDefault="006324CD">
      <w:pPr>
        <w:tabs>
          <w:tab w:val="left" w:pos="4962"/>
        </w:tabs>
        <w:spacing w:after="0" w:line="360" w:lineRule="auto"/>
      </w:pPr>
    </w:p>
    <w:p w14:paraId="33B35FCC" w14:textId="77777777" w:rsidR="006324CD" w:rsidRDefault="00192105">
      <w:pPr>
        <w:tabs>
          <w:tab w:val="left" w:pos="4962"/>
        </w:tabs>
        <w:spacing w:after="0" w:line="360" w:lineRule="auto"/>
      </w:pPr>
      <w:r>
        <w:t>En este sentido respecto al programa “</w:t>
      </w:r>
      <w:r>
        <w:rPr>
          <w:b/>
          <w:bCs/>
        </w:rPr>
        <w:t>Canasta Alimentaria del Bienestar” del Sistema para el Desarrollo Integral de la Familia del Estado de México</w:t>
      </w:r>
      <w:r>
        <w:t xml:space="preserve">; dicho programa tuvo por objeto contribuir al acceso y consumo de alimentos inocuos y nutritivos de las personas de 2 hasta 64 años de edad, que habiten en el Estado de México, que presentan carencia por acceso a la </w:t>
      </w:r>
      <w:r>
        <w:lastRenderedPageBreak/>
        <w:t>alimentación nutritiva y de calidad, por medio de la entrega de paquetes alimentarios, diseñados con base en criterios de calidad nutricia emitidos por el SNDIF en la EIASADC 2025, acompañados de acciones complementarias; y de acuerdo con la convocatoria, se registraron para obtener el apoyo, a continuación se adjunta convocatoria correspondiente:</w:t>
      </w:r>
    </w:p>
    <w:p w14:paraId="78F1E501" w14:textId="77777777" w:rsidR="006A7F6C" w:rsidRDefault="006A7F6C">
      <w:pPr>
        <w:tabs>
          <w:tab w:val="left" w:pos="4962"/>
        </w:tabs>
        <w:spacing w:after="0" w:line="360" w:lineRule="auto"/>
      </w:pPr>
    </w:p>
    <w:p w14:paraId="036EE1EA" w14:textId="77777777" w:rsidR="006324CD" w:rsidRDefault="00192105">
      <w:pPr>
        <w:tabs>
          <w:tab w:val="left" w:pos="4962"/>
        </w:tabs>
        <w:spacing w:after="0" w:line="360" w:lineRule="auto"/>
      </w:pPr>
      <w:r>
        <w:rPr>
          <w:noProof/>
        </w:rPr>
        <w:drawing>
          <wp:inline distT="0" distB="0" distL="0" distR="0" wp14:anchorId="3501EE6B" wp14:editId="09393967">
            <wp:extent cx="5562600" cy="2133600"/>
            <wp:effectExtent l="0" t="0" r="0" b="0"/>
            <wp:docPr id="21134987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2"/>
                    <a:srcRect b="67347"/>
                    <a:stretch/>
                  </pic:blipFill>
                  <pic:spPr bwMode="auto">
                    <a:xfrm>
                      <a:off x="0" y="0"/>
                      <a:ext cx="5562600" cy="2133600"/>
                    </a:xfrm>
                    <a:prstGeom prst="rect">
                      <a:avLst/>
                    </a:prstGeom>
                    <a:ln>
                      <a:noFill/>
                    </a:ln>
                    <a:extLst>
                      <a:ext uri="{53640926-AAD7-44D8-BBD7-CCE9431645EC}">
                        <a14:shadowObscured xmlns:a14="http://schemas.microsoft.com/office/drawing/2010/main"/>
                      </a:ext>
                    </a:extLst>
                  </pic:spPr>
                </pic:pic>
              </a:graphicData>
            </a:graphic>
          </wp:inline>
        </w:drawing>
      </w:r>
    </w:p>
    <w:p w14:paraId="4FDD8874" w14:textId="77777777" w:rsidR="006324CD" w:rsidRDefault="00192105">
      <w:pPr>
        <w:tabs>
          <w:tab w:val="left" w:pos="4962"/>
        </w:tabs>
        <w:spacing w:after="0" w:line="360" w:lineRule="auto"/>
      </w:pPr>
      <w:r>
        <w:t>De la anterior, se prevé que la convocatoria fue emitida por el Sistema para el Desarrollo Integral de la Familia del Estado de México y de acuerdo con el ACUERDO DE LA JUNTA DE GOBIERNO DEL SISTEMA PARA EL DESARROLLO INTEGRAL DE LA FAMILIA DEL ESTADO DE MÉXICO POR EL QUE SE EXPIDEN LAS MODIFICACIONES A LAS REGLAS DE OPERACIÓN DEL PROGRAMA DE DESARROLLO SOCIAL “CANASTA ALIMENTARIA DEL BIENESTAR”; específicamente en su apartado 3 de glosario de términos y 8. 1.5 se precisa que la instancia ejecutora sería la Dirección de Alimentación y Nutrición Familiar del Sistema para el Desarrollo Integral de la Familia del Estado de México y que es quién integrará y actualizará el padrón de personas beneficiarias, y no se advierte ninguna participación por parte del ente municipal.</w:t>
      </w:r>
    </w:p>
    <w:p w14:paraId="00C897B2" w14:textId="77777777" w:rsidR="006324CD" w:rsidRDefault="006324CD">
      <w:pPr>
        <w:tabs>
          <w:tab w:val="left" w:pos="4962"/>
        </w:tabs>
        <w:spacing w:after="0" w:line="360" w:lineRule="auto"/>
      </w:pPr>
    </w:p>
    <w:p w14:paraId="2A703B11" w14:textId="77777777" w:rsidR="006324CD" w:rsidRDefault="00192105">
      <w:pPr>
        <w:tabs>
          <w:tab w:val="left" w:pos="4962"/>
        </w:tabs>
        <w:spacing w:after="0" w:line="360" w:lineRule="auto"/>
      </w:pPr>
      <w:r>
        <w:t xml:space="preserve">En este sentido, se aprecia que, conforme a lo localizado en redes sociales del Sujeto Obligado, algunos servidores públicos del Ayuntamiento de Atlacomulco participaron en la entrega de las despensas en el marco de dicho programa, este no fue administrado, ejecutado o realizado por </w:t>
      </w:r>
      <w:r>
        <w:lastRenderedPageBreak/>
        <w:t>el Sujeto Obligado y, por tanto, es procedente considerar que no cuenta con la información solicitada.</w:t>
      </w:r>
    </w:p>
    <w:p w14:paraId="2E96C5E2" w14:textId="77777777" w:rsidR="006324CD" w:rsidRDefault="006324CD">
      <w:pPr>
        <w:tabs>
          <w:tab w:val="left" w:pos="4962"/>
        </w:tabs>
        <w:spacing w:after="0" w:line="360" w:lineRule="auto"/>
      </w:pPr>
    </w:p>
    <w:p w14:paraId="693231C0" w14:textId="77777777" w:rsidR="006324CD" w:rsidRDefault="00192105">
      <w:pPr>
        <w:tabs>
          <w:tab w:val="left" w:pos="4962"/>
        </w:tabs>
        <w:spacing w:after="0" w:line="360" w:lineRule="auto"/>
      </w:pPr>
      <w:r>
        <w:t xml:space="preserve">Ahora bien, respecto al programa </w:t>
      </w:r>
      <w:r>
        <w:rPr>
          <w:b/>
          <w:bCs/>
        </w:rPr>
        <w:t xml:space="preserve">“Alimentación para el Bienestar” de la Secretaría de Bienestar y la Dirección General de Bienestar Social”, </w:t>
      </w:r>
      <w:r>
        <w:t xml:space="preserve">es preciso mencionar que conforme a la convocatoria tiene como objetivo favorecer el acceso a alimentos para mujeres de 50 a 64 años de edad del Estado de México que se encuentren en condición de pobreza, pobreza extrema o carencia por acceso a la alimentación nutritiva y de calidad, así como a personas en situación de contingencia, mediante la entrega de canastas alimentarias y Servicios Integrales para el Bienestar; y para acceder a ellas se debió generar un pre registro vía </w:t>
      </w:r>
      <w:r>
        <w:rPr>
          <w:i/>
          <w:iCs/>
        </w:rPr>
        <w:t xml:space="preserve">Internet, </w:t>
      </w:r>
      <w:r>
        <w:t>asimismo se precisa el procedimiento, criterios de priorización y requisitos en los siguientes términos:</w:t>
      </w:r>
    </w:p>
    <w:p w14:paraId="45AB6F40" w14:textId="77777777" w:rsidR="006324CD" w:rsidRDefault="006324CD">
      <w:pPr>
        <w:tabs>
          <w:tab w:val="left" w:pos="4962"/>
        </w:tabs>
        <w:spacing w:after="0" w:line="360" w:lineRule="auto"/>
      </w:pPr>
    </w:p>
    <w:p w14:paraId="5CD7B9F9" w14:textId="77777777" w:rsidR="006324CD" w:rsidRDefault="00192105">
      <w:pPr>
        <w:tabs>
          <w:tab w:val="left" w:pos="4962"/>
        </w:tabs>
        <w:spacing w:after="0" w:line="360" w:lineRule="auto"/>
      </w:pPr>
      <w:r>
        <w:rPr>
          <w:noProof/>
        </w:rPr>
        <w:lastRenderedPageBreak/>
        <w:drawing>
          <wp:inline distT="0" distB="0" distL="0" distR="0" wp14:anchorId="598EE542" wp14:editId="698A30F4">
            <wp:extent cx="5637523" cy="4248150"/>
            <wp:effectExtent l="0" t="0" r="1905" b="0"/>
            <wp:docPr id="21134987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3"/>
                    <a:srcRect b="32838"/>
                    <a:stretch/>
                  </pic:blipFill>
                  <pic:spPr bwMode="auto">
                    <a:xfrm>
                      <a:off x="0" y="0"/>
                      <a:ext cx="5637907" cy="4248439"/>
                    </a:xfrm>
                    <a:prstGeom prst="rect">
                      <a:avLst/>
                    </a:prstGeom>
                    <a:ln>
                      <a:noFill/>
                    </a:ln>
                    <a:extLst>
                      <a:ext uri="{53640926-AAD7-44D8-BBD7-CCE9431645EC}">
                        <a14:shadowObscured xmlns:a14="http://schemas.microsoft.com/office/drawing/2010/main"/>
                      </a:ext>
                    </a:extLst>
                  </pic:spPr>
                </pic:pic>
              </a:graphicData>
            </a:graphic>
          </wp:inline>
        </w:drawing>
      </w:r>
    </w:p>
    <w:p w14:paraId="5B06697C" w14:textId="77777777" w:rsidR="006324CD" w:rsidRDefault="006324CD">
      <w:pPr>
        <w:tabs>
          <w:tab w:val="left" w:pos="4962"/>
        </w:tabs>
        <w:spacing w:after="0" w:line="360" w:lineRule="auto"/>
      </w:pPr>
    </w:p>
    <w:p w14:paraId="2009A6B2" w14:textId="77777777" w:rsidR="006324CD" w:rsidRDefault="00192105">
      <w:pPr>
        <w:tabs>
          <w:tab w:val="left" w:pos="4962"/>
        </w:tabs>
        <w:spacing w:after="0" w:line="360" w:lineRule="auto"/>
      </w:pPr>
      <w:r>
        <w:t>Del anterior, se advierte que la convocatoria fue emitida por la Secretaría de Bienestar y la Dirección General de Bienestar Social y Fortalecimiento Familiar; asimismo de acuerdo con el ACUERDO DEL SECRETARIO DE BIENESTAR POR EL QUE SE EMITEN LAS MODIFICACIONES A LAS REGLAS DE OPERACIÓN DEL PROGRAMA DE DESARROLLO SOCIAL "ALIMENTACIÓN PARA EL BIENESTAR", se prevé que en su apartado 3 de glosario de términos y 8. 1.5 se precisa que la instancia ejecutora sería la Dirección General de Bienestar Social y Fortalecimiento Familiar de la Secretaría de Bienestar y que es quién integrará y actualizará el padrón de personas beneficiarias, y no se advierte ninguna participación por parte del ente municipal.</w:t>
      </w:r>
    </w:p>
    <w:p w14:paraId="2D4CBCAD" w14:textId="77777777" w:rsidR="006324CD" w:rsidRDefault="006324CD">
      <w:pPr>
        <w:tabs>
          <w:tab w:val="left" w:pos="4962"/>
        </w:tabs>
        <w:spacing w:after="0" w:line="360" w:lineRule="auto"/>
      </w:pPr>
    </w:p>
    <w:p w14:paraId="73EF13A8" w14:textId="77777777" w:rsidR="006324CD" w:rsidRDefault="00192105">
      <w:pPr>
        <w:tabs>
          <w:tab w:val="left" w:pos="4962"/>
        </w:tabs>
        <w:spacing w:after="0" w:line="360" w:lineRule="auto"/>
      </w:pPr>
      <w:r>
        <w:lastRenderedPageBreak/>
        <w:t>Por último, respecto al</w:t>
      </w:r>
      <w:r>
        <w:rPr>
          <w:b/>
          <w:bCs/>
        </w:rPr>
        <w:t xml:space="preserve"> programa para ofrecer despensas accesibles</w:t>
      </w:r>
      <w:r>
        <w:t xml:space="preserve"> </w:t>
      </w:r>
      <w:r>
        <w:rPr>
          <w:b/>
          <w:bCs/>
        </w:rPr>
        <w:t xml:space="preserve">del Sistema Municipal para el Desarrollo Integral de la Familia de Atlacomulco. (DIF Municipal), </w:t>
      </w:r>
      <w:r>
        <w:t xml:space="preserve">se aprecia que dicho programa no busca la entrega de despensas sino su venta a un menor costo, sin embargo, se precisa que dicho programa es responsabilidad del DIF Municipal y si bien el Presidente Municipal del Ayuntamiento de Atlacomulco participa en el reforzamiento del programa, no se advierte ninguna participación directa en la distribución o venta de las despensas. </w:t>
      </w:r>
    </w:p>
    <w:p w14:paraId="35D219EE" w14:textId="77777777" w:rsidR="006324CD" w:rsidRDefault="006324CD">
      <w:pPr>
        <w:tabs>
          <w:tab w:val="left" w:pos="4962"/>
        </w:tabs>
        <w:spacing w:after="0" w:line="360" w:lineRule="auto"/>
      </w:pPr>
    </w:p>
    <w:p w14:paraId="583989B7" w14:textId="77777777" w:rsidR="006324CD" w:rsidRDefault="00192105">
      <w:pPr>
        <w:tabs>
          <w:tab w:val="left" w:pos="4962"/>
        </w:tabs>
        <w:spacing w:after="0" w:line="360" w:lineRule="auto"/>
      </w:pPr>
      <w:r>
        <w:t xml:space="preserve">En este sentido vale la pena señalar que el </w:t>
      </w:r>
      <w:r>
        <w:rPr>
          <w:b/>
          <w:bCs/>
        </w:rPr>
        <w:t xml:space="preserve">Sistema Municipal para el Desarrollo Integral de la Familia de Atlacomulco, </w:t>
      </w:r>
      <w:r>
        <w:t>corresponde a un Sujeto Obligado diverso al Ayuntamiento de Atlacomulco, por lo que, en todo caso, el Sujeto Obligado que nos ocupa no conoce de la información generada con por el DIF Municipal.</w:t>
      </w:r>
    </w:p>
    <w:p w14:paraId="32650B8C" w14:textId="77777777" w:rsidR="006324CD" w:rsidRDefault="006324CD">
      <w:pPr>
        <w:tabs>
          <w:tab w:val="left" w:pos="4962"/>
        </w:tabs>
        <w:spacing w:after="0" w:line="360" w:lineRule="auto"/>
      </w:pPr>
    </w:p>
    <w:p w14:paraId="6978BA12" w14:textId="77777777" w:rsidR="006324CD" w:rsidRDefault="00192105">
      <w:pPr>
        <w:tabs>
          <w:tab w:val="left" w:pos="4962"/>
        </w:tabs>
        <w:spacing w:after="0" w:line="360" w:lineRule="auto"/>
        <w:rPr>
          <w:b/>
          <w:bCs/>
        </w:rPr>
      </w:pPr>
      <w:r>
        <w:t>En atención a lo antes expuesto, es dable considerar que si bien el Sujeto Obligado participó en las entregas de despensas de los programas de la Sistema para el Desarrollo Integral de la Familia del Estado de México y la Dirección General de Bienestar Social y Fortalecimiento Familiar de la Secretaría de Bienestar y fortaleció el programa impulsado por el Sistema Municipal para el Desarrollo Integral de la Familia de Atlacomulco</w:t>
      </w:r>
      <w:r>
        <w:rPr>
          <w:b/>
          <w:bCs/>
        </w:rPr>
        <w:t xml:space="preserve">, </w:t>
      </w:r>
      <w:r>
        <w:t>dichos programas no fueron impulsados o administrados por el Sujeto Obligado y</w:t>
      </w:r>
      <w:r>
        <w:rPr>
          <w:b/>
          <w:bCs/>
        </w:rPr>
        <w:t xml:space="preserve"> no se localizó ningún </w:t>
      </w:r>
      <w:proofErr w:type="spellStart"/>
      <w:r>
        <w:rPr>
          <w:b/>
          <w:bCs/>
        </w:rPr>
        <w:t>indició</w:t>
      </w:r>
      <w:proofErr w:type="spellEnd"/>
      <w:r>
        <w:rPr>
          <w:b/>
          <w:bCs/>
        </w:rPr>
        <w:t xml:space="preserve"> de entregas de despensas directamente por el Ayuntamiento de Atlacomulco.</w:t>
      </w:r>
    </w:p>
    <w:p w14:paraId="578737ED" w14:textId="77777777" w:rsidR="006324CD" w:rsidRDefault="006324CD">
      <w:pPr>
        <w:tabs>
          <w:tab w:val="left" w:pos="4962"/>
        </w:tabs>
        <w:spacing w:after="0" w:line="360" w:lineRule="auto"/>
        <w:rPr>
          <w:b/>
          <w:bCs/>
        </w:rPr>
      </w:pPr>
    </w:p>
    <w:p w14:paraId="797974CF" w14:textId="77777777" w:rsidR="006324CD" w:rsidRDefault="00192105">
      <w:pPr>
        <w:tabs>
          <w:tab w:val="left" w:pos="4962"/>
        </w:tabs>
        <w:spacing w:after="0" w:line="360" w:lineRule="auto"/>
      </w:pPr>
      <w:r>
        <w:t xml:space="preserve">En este contexto se aprecia que el Sujeto Obligado a través de </w:t>
      </w:r>
      <w:r>
        <w:rPr>
          <w:color w:val="000000"/>
        </w:rPr>
        <w:t xml:space="preserve">la Dirección de Bienestar Social, que corresponde al área competente para conocer de los apoyos y programas de ayuda a la población dentro del Ayuntamiento de Atlacomulco, indicó que únicamente apoyo a gestionar las canastas alimentarias ante la Dirección General del Bienestar Social y Fortalecimiento Familiar del Gobierno del Estado de </w:t>
      </w:r>
      <w:r>
        <w:t>México</w:t>
      </w:r>
      <w:r>
        <w:rPr>
          <w:color w:val="000000"/>
        </w:rPr>
        <w:t xml:space="preserve">, y que dicho programa fue gestionado por el Gobierno Estatal por lo que no generó ninguna convocatoria, no participó en el proceso, ni generó listas de beneficiarios ni expedientes sobre entrega de despensas. </w:t>
      </w:r>
      <w:r>
        <w:t xml:space="preserve">Al respecto, no pasa </w:t>
      </w:r>
      <w:r>
        <w:lastRenderedPageBreak/>
        <w:t xml:space="preserve">desapercibido para este Organismo Garante mencionar, que no se cuentan con facultades para dudar de la veracidad de lo manifestado por el Sujeto Obligado, dado que no existe normativa que señale la facultad para dichos fines. </w:t>
      </w:r>
    </w:p>
    <w:p w14:paraId="438310C0" w14:textId="77777777" w:rsidR="006324CD" w:rsidRDefault="006324CD">
      <w:pPr>
        <w:tabs>
          <w:tab w:val="left" w:pos="4962"/>
        </w:tabs>
        <w:spacing w:after="0" w:line="360" w:lineRule="auto"/>
        <w:rPr>
          <w:color w:val="000000"/>
        </w:rPr>
      </w:pPr>
    </w:p>
    <w:p w14:paraId="162670CA" w14:textId="77777777" w:rsidR="006324CD" w:rsidRDefault="00192105">
      <w:pPr>
        <w:tabs>
          <w:tab w:val="left" w:pos="4962"/>
        </w:tabs>
        <w:spacing w:after="0" w:line="360" w:lineRule="auto"/>
      </w:pPr>
      <w:r>
        <w:rPr>
          <w:color w:val="000000"/>
        </w:rPr>
        <w:t xml:space="preserve">Así pues, se aprecia que la información requerida por la parte Recurrente resulta inexistente porque no se generó, </w:t>
      </w:r>
      <w:r>
        <w:t xml:space="preserve">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5BC1C375" w14:textId="77777777" w:rsidR="006324CD" w:rsidRDefault="006324CD">
      <w:pPr>
        <w:spacing w:after="0" w:line="360" w:lineRule="auto"/>
      </w:pPr>
    </w:p>
    <w:p w14:paraId="337443AF" w14:textId="77777777" w:rsidR="006324CD" w:rsidRDefault="00192105">
      <w:pPr>
        <w:spacing w:after="0" w:line="360" w:lineRule="auto"/>
      </w:pPr>
      <w: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E5564CC" w14:textId="77777777" w:rsidR="006324CD" w:rsidRDefault="006324CD">
      <w:pPr>
        <w:spacing w:after="0" w:line="360" w:lineRule="auto"/>
      </w:pPr>
    </w:p>
    <w:p w14:paraId="7D089FE0" w14:textId="77777777" w:rsidR="006324CD" w:rsidRDefault="00192105">
      <w:pPr>
        <w:spacing w:after="0" w:line="360" w:lineRule="auto"/>
      </w:pPr>
      <w:r>
        <w:t xml:space="preserve">Así, es posible concluir que la </w:t>
      </w:r>
      <w:r>
        <w:rPr>
          <w:b/>
          <w:bCs/>
        </w:rPr>
        <w:t>inexistencia</w:t>
      </w:r>
      <w:r>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4EEA564D" w14:textId="77777777" w:rsidR="006324CD" w:rsidRDefault="006324CD">
      <w:pPr>
        <w:spacing w:after="0" w:line="360" w:lineRule="auto"/>
      </w:pPr>
    </w:p>
    <w:p w14:paraId="0EFDA09E" w14:textId="77777777" w:rsidR="006324CD" w:rsidRDefault="00192105">
      <w:pPr>
        <w:spacing w:after="0" w:line="360" w:lineRule="auto"/>
      </w:pPr>
      <w:r>
        <w:t xml:space="preserve">En ese sentido, se logra colegir que la información solicitada por el ahora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w:t>
      </w:r>
      <w:r>
        <w:lastRenderedPageBreak/>
        <w:t>facultades, competencias o funciones no se hayan ejercido, se debe motivar la respuesta en función de las causas que motiven tal circunstancia.</w:t>
      </w:r>
    </w:p>
    <w:p w14:paraId="33077C4E" w14:textId="77777777" w:rsidR="006324CD" w:rsidRDefault="006324CD">
      <w:pPr>
        <w:spacing w:after="0" w:line="360" w:lineRule="auto"/>
      </w:pPr>
    </w:p>
    <w:p w14:paraId="41388AF0" w14:textId="77777777" w:rsidR="006324CD" w:rsidRDefault="00192105">
      <w:pPr>
        <w:spacing w:after="0" w:line="360" w:lineRule="auto"/>
      </w:pPr>
      <w:r>
        <w:t>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apuntó a su existencia.</w:t>
      </w:r>
    </w:p>
    <w:p w14:paraId="3136E16B" w14:textId="77777777" w:rsidR="006324CD" w:rsidRDefault="006324CD">
      <w:pPr>
        <w:spacing w:after="0" w:line="360" w:lineRule="auto"/>
      </w:pPr>
    </w:p>
    <w:p w14:paraId="2172A39C" w14:textId="77777777" w:rsidR="006324CD" w:rsidRDefault="00192105">
      <w:pPr>
        <w:spacing w:after="0" w:line="360" w:lineRule="auto"/>
      </w:pPr>
      <w:r>
        <w:t>Al respecto, dicho criterio aplica al caso en concreto, ya que, no se localizó algún indicio de que el Sujeto Obligado cuente con la información requerida; por lo cual, se considera que el Sujeto Obligado señaló las razones por las cuales no contaba con lo requerido y cumplió con el segundo párrafo, del artículo 19 de la Ley de Transparencia y Acceso a la Información Pública del Estado de México y Municipios.</w:t>
      </w:r>
    </w:p>
    <w:p w14:paraId="45FB5410" w14:textId="77777777" w:rsidR="006324CD" w:rsidRDefault="006324CD">
      <w:pPr>
        <w:tabs>
          <w:tab w:val="left" w:pos="4962"/>
        </w:tabs>
        <w:spacing w:after="0" w:line="360" w:lineRule="auto"/>
      </w:pPr>
    </w:p>
    <w:p w14:paraId="55D4D316" w14:textId="77777777" w:rsidR="006324CD" w:rsidRDefault="00192105">
      <w:pPr>
        <w:tabs>
          <w:tab w:val="left" w:pos="4962"/>
        </w:tabs>
        <w:spacing w:after="0" w:line="360" w:lineRule="auto"/>
      </w:pPr>
      <w:r>
        <w:t xml:space="preserve">Sin menoscabo de lo anterior, se dejan a salvo los derechos de la parte Recurrente a fin de solicitar información relacionada con la entrega de despensas a la población de Atlacomulco al el Sistema para el Desarrollo Integral de la Familia del Estado de México; a la Secretaría de Bienestar y la Dirección General de Bienestar Social; y/o al Sistema Municipal para el Desarrollo Integral de la Familia de Atlacomulco sobre los programas antes referidos, siempre que así convenga a sus intereses. </w:t>
      </w:r>
    </w:p>
    <w:p w14:paraId="60B2D4B2" w14:textId="77777777" w:rsidR="006324CD" w:rsidRDefault="006324CD">
      <w:pPr>
        <w:tabs>
          <w:tab w:val="left" w:pos="4962"/>
        </w:tabs>
        <w:spacing w:after="0" w:line="360" w:lineRule="auto"/>
      </w:pPr>
    </w:p>
    <w:p w14:paraId="4796AB79" w14:textId="77777777" w:rsidR="006324CD" w:rsidRDefault="00192105">
      <w:pPr>
        <w:tabs>
          <w:tab w:val="left" w:pos="3962"/>
        </w:tabs>
        <w:spacing w:after="0" w:line="360" w:lineRule="auto"/>
      </w:pPr>
      <w:r>
        <w:t xml:space="preserve">Así, se concluye que, el Sujeto Obligado a través de las áreas competentes entregó informó que no se generó la información solicitada, por lo que, se considera que el agravio resulta </w:t>
      </w:r>
      <w:r>
        <w:rPr>
          <w:b/>
          <w:bCs/>
        </w:rPr>
        <w:t>INFUNDADO</w:t>
      </w:r>
      <w:r>
        <w:t xml:space="preserve">. </w:t>
      </w:r>
    </w:p>
    <w:p w14:paraId="7A3D0FA1" w14:textId="77777777" w:rsidR="006324CD" w:rsidRDefault="006324CD">
      <w:pPr>
        <w:spacing w:after="0" w:line="360" w:lineRule="auto"/>
      </w:pPr>
    </w:p>
    <w:p w14:paraId="138D890E" w14:textId="77777777" w:rsidR="006324CD" w:rsidRDefault="00192105">
      <w:pPr>
        <w:pStyle w:val="Ttulo2"/>
        <w:spacing w:before="0" w:after="0"/>
        <w:rPr>
          <w:b w:val="0"/>
          <w:bCs w:val="0"/>
        </w:rPr>
      </w:pPr>
      <w:bookmarkStart w:id="25" w:name="_heading=h.5akhqhun7g8j" w:colFirst="0" w:colLast="0"/>
      <w:bookmarkStart w:id="26" w:name="_Toc220598960"/>
      <w:bookmarkEnd w:id="25"/>
      <w:r>
        <w:lastRenderedPageBreak/>
        <w:t>SEXTO. Decisión</w:t>
      </w:r>
      <w:bookmarkEnd w:id="26"/>
    </w:p>
    <w:p w14:paraId="37CF916A" w14:textId="77777777" w:rsidR="006324CD" w:rsidRDefault="006324CD">
      <w:pPr>
        <w:spacing w:after="0" w:line="360" w:lineRule="auto"/>
        <w:rPr>
          <w:b/>
          <w:bCs/>
        </w:rPr>
      </w:pPr>
    </w:p>
    <w:p w14:paraId="310A533F" w14:textId="77777777" w:rsidR="006324CD" w:rsidRDefault="00192105">
      <w:pPr>
        <w:tabs>
          <w:tab w:val="left" w:pos="4962"/>
        </w:tabs>
        <w:spacing w:after="0" w:line="360" w:lineRule="auto"/>
      </w:pPr>
      <w:r>
        <w:t xml:space="preserve">Con fundamento en el artículo 186, fracción II, de la Ley de Transparencia y Acceso a la Información Pública del Estado de México y Municipios, este Instituto considera procedente </w:t>
      </w:r>
      <w:r>
        <w:rPr>
          <w:b/>
          <w:bCs/>
        </w:rPr>
        <w:t xml:space="preserve">CONFIRMAR </w:t>
      </w:r>
      <w:r>
        <w:t xml:space="preserve">la respuesta otorgada por el Sujeto Obligado. </w:t>
      </w:r>
    </w:p>
    <w:p w14:paraId="74285327" w14:textId="77777777" w:rsidR="006324CD" w:rsidRDefault="006324CD">
      <w:pPr>
        <w:spacing w:after="0" w:line="360" w:lineRule="auto"/>
      </w:pPr>
    </w:p>
    <w:p w14:paraId="4A0AF302" w14:textId="5C81A0AA" w:rsidR="006324CD" w:rsidRDefault="00192105">
      <w:pPr>
        <w:spacing w:after="0" w:line="360" w:lineRule="auto"/>
        <w:rPr>
          <w:b/>
          <w:bCs/>
          <w:u w:val="single"/>
        </w:rPr>
      </w:pPr>
      <w:r>
        <w:rPr>
          <w:b/>
          <w:bCs/>
          <w:u w:val="single"/>
        </w:rPr>
        <w:t>Términos de la Reso</w:t>
      </w:r>
      <w:r w:rsidR="00362A22">
        <w:rPr>
          <w:b/>
          <w:bCs/>
          <w:u w:val="single"/>
        </w:rPr>
        <w:t>lución para la parte Recurrente</w:t>
      </w:r>
    </w:p>
    <w:p w14:paraId="211966AD" w14:textId="77777777" w:rsidR="006324CD" w:rsidRDefault="006324CD">
      <w:pPr>
        <w:spacing w:after="0" w:line="360" w:lineRule="auto"/>
        <w:rPr>
          <w:u w:val="single"/>
        </w:rPr>
      </w:pPr>
    </w:p>
    <w:p w14:paraId="6684B13E" w14:textId="77777777" w:rsidR="006324CD" w:rsidRDefault="00192105">
      <w:pPr>
        <w:spacing w:after="0" w:line="360" w:lineRule="auto"/>
        <w:rPr>
          <w:u w:val="single"/>
        </w:rPr>
      </w:pPr>
      <w:r>
        <w:rPr>
          <w:u w:val="single"/>
        </w:rPr>
        <w:t xml:space="preserve">Se hace del conocimiento de parte Recurrente que este Organismo Garante determinó confirmar la respuesta, en virtud de que, en respuesta se pronunció el área competente e informó que no generó la información y señaló que solo fue intermediario, y no se localizó ningún indició para considerar que pudo entregar despensas directamente. </w:t>
      </w:r>
    </w:p>
    <w:p w14:paraId="0B9092C9" w14:textId="77777777" w:rsidR="006324CD" w:rsidRDefault="006324CD">
      <w:pPr>
        <w:spacing w:after="0" w:line="360" w:lineRule="auto"/>
        <w:rPr>
          <w:u w:val="single"/>
        </w:rPr>
      </w:pPr>
    </w:p>
    <w:p w14:paraId="445BD4C7" w14:textId="77777777" w:rsidR="006324CD" w:rsidRDefault="00192105">
      <w:pPr>
        <w:spacing w:after="0" w:line="360" w:lineRule="auto"/>
        <w:rPr>
          <w:u w:val="single"/>
        </w:rPr>
      </w:pPr>
      <w:r>
        <w:rPr>
          <w:u w:val="single"/>
        </w:rPr>
        <w:t>Sin embargo, se dejan a salvo sus derechos para solicitar información a otros Sujetos Obligados, entre ellos, el Sistema para el Desarrollo Integral de la Familia del Estado de México; a la Secretaría de Bienestar y la Dirección General de Bienestar Social; y/o al Sistema Municipal para el Desarrollo Integral de la Familia de Atlacomulco.</w:t>
      </w:r>
    </w:p>
    <w:p w14:paraId="11FEB322" w14:textId="77777777" w:rsidR="006324CD" w:rsidRDefault="006324CD">
      <w:pPr>
        <w:spacing w:after="0" w:line="360" w:lineRule="auto"/>
        <w:rPr>
          <w:u w:val="single"/>
        </w:rPr>
      </w:pPr>
    </w:p>
    <w:p w14:paraId="732AD4D9" w14:textId="77777777" w:rsidR="006324CD" w:rsidRDefault="00192105">
      <w:pPr>
        <w:spacing w:after="0" w:line="360" w:lineRule="auto"/>
        <w:rPr>
          <w:u w:val="single"/>
        </w:rPr>
      </w:pPr>
      <w:r>
        <w:rPr>
          <w:u w:val="single"/>
        </w:rPr>
        <w:t>La labor del INFOEM, es apoyar a la población para acceder a la información pública y garantizar la protección de sus datos personales.</w:t>
      </w:r>
    </w:p>
    <w:p w14:paraId="4D347D32" w14:textId="77777777" w:rsidR="006324CD" w:rsidRDefault="006324CD">
      <w:pPr>
        <w:spacing w:after="0" w:line="360" w:lineRule="auto"/>
        <w:rPr>
          <w:u w:val="single"/>
        </w:rPr>
      </w:pPr>
    </w:p>
    <w:p w14:paraId="71B3C472" w14:textId="77777777" w:rsidR="006324CD" w:rsidRDefault="00192105">
      <w:pPr>
        <w:pStyle w:val="Ttulo1"/>
        <w:spacing w:before="0" w:after="0"/>
        <w:rPr>
          <w:b w:val="0"/>
          <w:bCs w:val="0"/>
          <w:sz w:val="22"/>
          <w:szCs w:val="22"/>
        </w:rPr>
      </w:pPr>
      <w:bookmarkStart w:id="27" w:name="_heading=h.e4ikgjp9b19o" w:colFirst="0" w:colLast="0"/>
      <w:bookmarkStart w:id="28" w:name="_Toc220598961"/>
      <w:bookmarkEnd w:id="27"/>
      <w:r>
        <w:rPr>
          <w:sz w:val="22"/>
          <w:szCs w:val="22"/>
        </w:rPr>
        <w:t>R E S U E L V E</w:t>
      </w:r>
      <w:bookmarkEnd w:id="28"/>
    </w:p>
    <w:p w14:paraId="18844F17" w14:textId="77777777" w:rsidR="006324CD" w:rsidRDefault="006324CD">
      <w:pPr>
        <w:spacing w:after="0" w:line="360" w:lineRule="auto"/>
        <w:rPr>
          <w:b/>
          <w:bCs/>
        </w:rPr>
      </w:pPr>
    </w:p>
    <w:p w14:paraId="26DADAA2" w14:textId="77777777" w:rsidR="006324CD" w:rsidRDefault="00192105">
      <w:pPr>
        <w:tabs>
          <w:tab w:val="left" w:pos="4962"/>
        </w:tabs>
        <w:spacing w:after="0" w:line="360" w:lineRule="auto"/>
      </w:pPr>
      <w:r>
        <w:rPr>
          <w:b/>
          <w:bCs/>
        </w:rPr>
        <w:t>PRIMERO.</w:t>
      </w:r>
      <w:r>
        <w:t xml:space="preserve"> Se </w:t>
      </w:r>
      <w:r>
        <w:rPr>
          <w:b/>
          <w:bCs/>
        </w:rPr>
        <w:t xml:space="preserve">CONFIRMA </w:t>
      </w:r>
      <w:r>
        <w:t xml:space="preserve">la respuesta entregada por el Sujeto Obligado a la solicitud de acceso a la información con número de folio </w:t>
      </w:r>
      <w:r>
        <w:rPr>
          <w:b/>
          <w:bCs/>
        </w:rPr>
        <w:t>00438/ATLACOM/IP/2025</w:t>
      </w:r>
      <w:r>
        <w:t xml:space="preserve">, por resultar </w:t>
      </w:r>
      <w:r>
        <w:rPr>
          <w:b/>
          <w:bCs/>
        </w:rPr>
        <w:t>INFUNDADAS</w:t>
      </w:r>
      <w:r>
        <w:t xml:space="preserve"> las razones o motivos de inconformidad hechas valer por la persona Recurrente, en términos de los Considerandos QUINTO y SEXTO de esta Resolución.</w:t>
      </w:r>
    </w:p>
    <w:p w14:paraId="350231F3" w14:textId="77777777" w:rsidR="006324CD" w:rsidRDefault="006324CD">
      <w:pPr>
        <w:spacing w:after="0" w:line="360" w:lineRule="auto"/>
      </w:pPr>
    </w:p>
    <w:p w14:paraId="3042FA7D" w14:textId="77777777" w:rsidR="006324CD" w:rsidRDefault="00192105">
      <w:pPr>
        <w:tabs>
          <w:tab w:val="left" w:pos="4962"/>
        </w:tabs>
        <w:spacing w:after="0" w:line="360" w:lineRule="auto"/>
        <w:rPr>
          <w:b/>
          <w:bCs/>
        </w:rPr>
      </w:pPr>
      <w:bookmarkStart w:id="29" w:name="_heading=h.argy21qnkmhr" w:colFirst="0" w:colLast="0"/>
      <w:bookmarkEnd w:id="29"/>
      <w:r>
        <w:rPr>
          <w:b/>
          <w:bCs/>
        </w:rPr>
        <w:t xml:space="preserve">SEGUNDO. NOTIFÍQUESE POR SAIMEX </w:t>
      </w:r>
      <w:r>
        <w:t>la presente Resolución, al Titular de la Unidad de Transparencia del Sujeto Obligado.</w:t>
      </w:r>
    </w:p>
    <w:p w14:paraId="149064A1" w14:textId="77777777" w:rsidR="006324CD" w:rsidRDefault="006324CD">
      <w:pPr>
        <w:tabs>
          <w:tab w:val="left" w:pos="4962"/>
        </w:tabs>
        <w:spacing w:after="0" w:line="360" w:lineRule="auto"/>
        <w:rPr>
          <w:b/>
          <w:bCs/>
          <w:i/>
          <w:iCs/>
        </w:rPr>
      </w:pPr>
    </w:p>
    <w:p w14:paraId="02713874" w14:textId="77777777" w:rsidR="006324CD" w:rsidRDefault="00192105">
      <w:pPr>
        <w:tabs>
          <w:tab w:val="left" w:pos="4962"/>
        </w:tabs>
        <w:spacing w:after="0" w:line="360" w:lineRule="auto"/>
        <w:rPr>
          <w:b/>
          <w:bCs/>
        </w:rPr>
      </w:pPr>
      <w:r>
        <w:rPr>
          <w:b/>
          <w:bCs/>
        </w:rPr>
        <w:t xml:space="preserve">TERCERO. NOTIFÍQUESE POR SAIMEX </w:t>
      </w:r>
      <w: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C8F63F3" w14:textId="77777777" w:rsidR="006324CD" w:rsidRDefault="006324CD">
      <w:pPr>
        <w:spacing w:after="0" w:line="360" w:lineRule="auto"/>
      </w:pPr>
    </w:p>
    <w:p w14:paraId="33FA48C2" w14:textId="4F764A13" w:rsidR="006324CD" w:rsidRDefault="00192105">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w:t>
      </w:r>
      <w:r w:rsidR="00362A22">
        <w:t>ARÍA DEL ROSARIO MEJÍA AYALA</w:t>
      </w:r>
      <w:r>
        <w:t xml:space="preserve"> </w:t>
      </w:r>
      <w:r w:rsidR="00362A22">
        <w:t>(</w:t>
      </w:r>
      <w:r>
        <w:t>AUSENCIA JUSTIFICADA</w:t>
      </w:r>
      <w:r w:rsidR="00362A22">
        <w:t>)</w:t>
      </w:r>
      <w:r>
        <w:t>, SHARON CRISTINA MORALES MARTÍNEZ, LUIS GUSTAVO PARRA NORIEGA Y GUADALUPE RAMÍREZ PEÑA, EN LA TERCERA SESIÓN ORDINARIA, CELEBRADA EL VEINTIOCHO DE ENERO DE DOS MIL VEINTISÉIS, ANTE EL SECRETARIO TÉCNICO DEL PLENO, ALEXIS TAPIA RAMÍREZ.</w:t>
      </w:r>
    </w:p>
    <w:p w14:paraId="23C5FF0A" w14:textId="77777777" w:rsidR="006324CD" w:rsidRDefault="006324CD">
      <w:pPr>
        <w:pStyle w:val="Ttulo2"/>
        <w:spacing w:before="0" w:after="0"/>
        <w:rPr>
          <w:b w:val="0"/>
          <w:bCs w:val="0"/>
        </w:rPr>
      </w:pPr>
    </w:p>
    <w:p w14:paraId="7DD5DDD3" w14:textId="77777777" w:rsidR="006324CD" w:rsidRDefault="006324CD">
      <w:pPr>
        <w:spacing w:after="0" w:line="360" w:lineRule="auto"/>
      </w:pPr>
    </w:p>
    <w:p w14:paraId="10ABD487" w14:textId="77777777" w:rsidR="006324CD" w:rsidRDefault="006324CD">
      <w:pPr>
        <w:spacing w:after="0" w:line="360" w:lineRule="auto"/>
      </w:pPr>
    </w:p>
    <w:p w14:paraId="2B04EFAC" w14:textId="77777777" w:rsidR="006324CD" w:rsidRDefault="006324CD">
      <w:pPr>
        <w:spacing w:after="0" w:line="360" w:lineRule="auto"/>
      </w:pPr>
    </w:p>
    <w:p w14:paraId="776B6EE6" w14:textId="77777777" w:rsidR="006324CD" w:rsidRDefault="006324CD">
      <w:pPr>
        <w:spacing w:after="0" w:line="360" w:lineRule="auto"/>
      </w:pPr>
    </w:p>
    <w:p w14:paraId="6F8A7074" w14:textId="77777777" w:rsidR="006324CD" w:rsidRDefault="006324CD">
      <w:pPr>
        <w:spacing w:after="0" w:line="360" w:lineRule="auto"/>
      </w:pPr>
    </w:p>
    <w:p w14:paraId="2D08F892" w14:textId="77777777" w:rsidR="006324CD" w:rsidRDefault="006324CD">
      <w:pPr>
        <w:spacing w:after="0" w:line="360" w:lineRule="auto"/>
      </w:pPr>
    </w:p>
    <w:p w14:paraId="4C34B834" w14:textId="77777777" w:rsidR="006324CD" w:rsidRDefault="006324CD">
      <w:pPr>
        <w:spacing w:after="0" w:line="360" w:lineRule="auto"/>
      </w:pPr>
    </w:p>
    <w:p w14:paraId="1D8B8174" w14:textId="77777777" w:rsidR="006324CD" w:rsidRDefault="006324CD">
      <w:pPr>
        <w:spacing w:after="0" w:line="360" w:lineRule="auto"/>
      </w:pPr>
    </w:p>
    <w:p w14:paraId="0BF1FB76" w14:textId="77777777" w:rsidR="006324CD" w:rsidRDefault="006324CD">
      <w:pPr>
        <w:spacing w:after="0" w:line="360" w:lineRule="auto"/>
      </w:pPr>
    </w:p>
    <w:p w14:paraId="5D4899CF" w14:textId="77777777" w:rsidR="006324CD" w:rsidRDefault="006324CD">
      <w:pPr>
        <w:spacing w:after="0" w:line="360" w:lineRule="auto"/>
      </w:pPr>
    </w:p>
    <w:p w14:paraId="45418007" w14:textId="77777777" w:rsidR="006324CD" w:rsidRDefault="006324CD">
      <w:pPr>
        <w:spacing w:after="0" w:line="360" w:lineRule="auto"/>
      </w:pPr>
    </w:p>
    <w:p w14:paraId="7CD9609C" w14:textId="77777777" w:rsidR="006324CD" w:rsidRDefault="006324CD">
      <w:pPr>
        <w:spacing w:after="0" w:line="360" w:lineRule="auto"/>
      </w:pPr>
    </w:p>
    <w:p w14:paraId="3A5C393B" w14:textId="77777777" w:rsidR="006324CD" w:rsidRDefault="006324CD">
      <w:pPr>
        <w:spacing w:after="0" w:line="360" w:lineRule="auto"/>
      </w:pPr>
    </w:p>
    <w:p w14:paraId="7F0C704F" w14:textId="77777777" w:rsidR="006324CD" w:rsidRDefault="006324CD">
      <w:pPr>
        <w:spacing w:after="0" w:line="360" w:lineRule="auto"/>
      </w:pPr>
    </w:p>
    <w:p w14:paraId="1B3D8BC6" w14:textId="77777777" w:rsidR="006324CD" w:rsidRDefault="006324CD">
      <w:pPr>
        <w:spacing w:after="0" w:line="360" w:lineRule="auto"/>
      </w:pPr>
    </w:p>
    <w:p w14:paraId="2327F530" w14:textId="77777777" w:rsidR="006324CD" w:rsidRDefault="006324CD">
      <w:pPr>
        <w:spacing w:after="0" w:line="360" w:lineRule="auto"/>
      </w:pPr>
    </w:p>
    <w:p w14:paraId="4EF5E623" w14:textId="77777777" w:rsidR="006324CD" w:rsidRDefault="006324CD">
      <w:pPr>
        <w:spacing w:after="0" w:line="360" w:lineRule="auto"/>
      </w:pPr>
    </w:p>
    <w:p w14:paraId="4A8AB34B" w14:textId="77777777" w:rsidR="006324CD" w:rsidRDefault="006324CD">
      <w:pPr>
        <w:spacing w:after="0" w:line="360" w:lineRule="auto"/>
      </w:pPr>
    </w:p>
    <w:p w14:paraId="460D1146" w14:textId="77777777" w:rsidR="006324CD" w:rsidRDefault="006324CD">
      <w:pPr>
        <w:spacing w:after="0" w:line="360" w:lineRule="auto"/>
      </w:pPr>
    </w:p>
    <w:p w14:paraId="7E5C79C6" w14:textId="77777777" w:rsidR="006324CD" w:rsidRDefault="006324CD">
      <w:pPr>
        <w:spacing w:after="0" w:line="360" w:lineRule="auto"/>
      </w:pPr>
    </w:p>
    <w:p w14:paraId="3CB8AED8" w14:textId="77777777" w:rsidR="006324CD" w:rsidRDefault="006324CD">
      <w:pPr>
        <w:spacing w:after="0" w:line="360" w:lineRule="auto"/>
      </w:pPr>
    </w:p>
    <w:p w14:paraId="14186F82" w14:textId="77777777" w:rsidR="006324CD" w:rsidRDefault="006324CD">
      <w:pPr>
        <w:spacing w:after="0" w:line="360" w:lineRule="auto"/>
      </w:pPr>
    </w:p>
    <w:p w14:paraId="087A9C4E" w14:textId="77777777" w:rsidR="006324CD" w:rsidRDefault="006324CD">
      <w:pPr>
        <w:spacing w:after="0" w:line="360" w:lineRule="auto"/>
      </w:pPr>
    </w:p>
    <w:p w14:paraId="62CB1A26" w14:textId="77777777" w:rsidR="006324CD" w:rsidRDefault="006324CD">
      <w:pPr>
        <w:spacing w:after="0" w:line="360" w:lineRule="auto"/>
      </w:pPr>
    </w:p>
    <w:p w14:paraId="24B71E64" w14:textId="77777777" w:rsidR="006324CD" w:rsidRDefault="006324CD">
      <w:pPr>
        <w:spacing w:after="0" w:line="360" w:lineRule="auto"/>
      </w:pPr>
    </w:p>
    <w:p w14:paraId="20159C1A" w14:textId="77777777" w:rsidR="006324CD" w:rsidRDefault="006324CD">
      <w:pPr>
        <w:spacing w:after="0" w:line="360" w:lineRule="auto"/>
      </w:pPr>
    </w:p>
    <w:sectPr w:rsidR="006324CD">
      <w:headerReference w:type="even" r:id="rId14"/>
      <w:headerReference w:type="default" r:id="rId15"/>
      <w:footerReference w:type="even" r:id="rId16"/>
      <w:footerReference w:type="default" r:id="rId17"/>
      <w:headerReference w:type="first" r:id="rId18"/>
      <w:footerReference w:type="first" r:id="rId19"/>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07AFF" w14:textId="77777777" w:rsidR="000E07CA" w:rsidRDefault="000E07CA">
      <w:pPr>
        <w:spacing w:after="0" w:line="240" w:lineRule="auto"/>
      </w:pPr>
      <w:r>
        <w:separator/>
      </w:r>
    </w:p>
  </w:endnote>
  <w:endnote w:type="continuationSeparator" w:id="0">
    <w:p w14:paraId="41E8A297" w14:textId="77777777" w:rsidR="000E07CA" w:rsidRDefault="000E0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4B0C2348-5C70-40F6-851F-1986C76D4C71}"/>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F435EC8-136E-41FA-ACBD-525A6E88EBBA}"/>
    <w:embedBold r:id="rId3" w:fontKey="{37B4BE69-BB92-4DED-83B0-FFB4365E5DC8}"/>
    <w:embedItalic r:id="rId4" w:fontKey="{CB32D7B4-1E27-4B38-B9C7-0F30FD5EDCD8}"/>
    <w:embedBoldItalic r:id="rId5" w:fontKey="{8D837F6D-17BC-4E27-80FA-AEF0856CF95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9F970C8B-EDA7-4E5A-8107-5AEA1216CAD8}"/>
  </w:font>
  <w:font w:name="Georgia">
    <w:panose1 w:val="02040502050405020303"/>
    <w:charset w:val="00"/>
    <w:family w:val="roman"/>
    <w:pitch w:val="variable"/>
    <w:sig w:usb0="00000287" w:usb1="00000000" w:usb2="00000000" w:usb3="00000000" w:csb0="0000009F" w:csb1="00000000"/>
    <w:embedItalic r:id="rId7" w:fontKey="{173A02A6-BBD4-4266-8174-7ACD8F8B8F28}"/>
  </w:font>
  <w:font w:name="Calibri">
    <w:panose1 w:val="020F0502020204030204"/>
    <w:charset w:val="00"/>
    <w:family w:val="swiss"/>
    <w:pitch w:val="variable"/>
    <w:sig w:usb0="E4002EFF" w:usb1="C200247B" w:usb2="00000009" w:usb3="00000000" w:csb0="000001FF" w:csb1="00000000"/>
    <w:embedRegular r:id="rId8" w:fontKey="{F8146164-0376-4FB8-AA36-07B26D0DC947}"/>
  </w:font>
  <w:font w:name="Garamond">
    <w:panose1 w:val="02020404030301010803"/>
    <w:charset w:val="00"/>
    <w:family w:val="roman"/>
    <w:pitch w:val="variable"/>
    <w:sig w:usb0="00000287" w:usb1="00000000" w:usb2="00000000" w:usb3="00000000" w:csb0="0000009F" w:csb1="00000000"/>
    <w:embedRegular r:id="rId9" w:fontKey="{BB26A5EF-DB85-4142-ACE5-BAC2A05471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EC0FE" w14:textId="77777777" w:rsidR="006324CD" w:rsidRDefault="0019210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C610B7">
      <w:rPr>
        <w:b/>
        <w:bCs/>
        <w:color w:val="000000"/>
        <w:sz w:val="24"/>
        <w:szCs w:val="24"/>
      </w:rPr>
      <w:fldChar w:fldCharType="separate"/>
    </w:r>
    <w:r w:rsidR="00C610B7">
      <w:rPr>
        <w:b/>
        <w:bCs/>
        <w:noProof/>
        <w:color w:val="000000"/>
        <w:sz w:val="24"/>
        <w:szCs w:val="24"/>
      </w:rPr>
      <w:t>25</w:t>
    </w:r>
    <w:r>
      <w:rPr>
        <w:b/>
        <w:bCs/>
        <w:color w:val="000000"/>
        <w:sz w:val="24"/>
        <w:szCs w:val="24"/>
      </w:rPr>
      <w:fldChar w:fldCharType="end"/>
    </w:r>
  </w:p>
  <w:p w14:paraId="42FE9A87" w14:textId="77777777" w:rsidR="006324CD" w:rsidRDefault="006324C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C7D62" w14:textId="77777777" w:rsidR="006324CD" w:rsidRDefault="0019210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610B7">
      <w:rPr>
        <w:b/>
        <w:bCs/>
        <w:noProof/>
        <w:color w:val="000000"/>
        <w:sz w:val="24"/>
        <w:szCs w:val="24"/>
      </w:rPr>
      <w:t>24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610B7">
      <w:rPr>
        <w:b/>
        <w:bCs/>
        <w:noProof/>
        <w:color w:val="000000"/>
        <w:sz w:val="24"/>
        <w:szCs w:val="24"/>
      </w:rPr>
      <w:t>25</w:t>
    </w:r>
    <w:r>
      <w:rPr>
        <w:b/>
        <w:bCs/>
        <w:color w:val="000000"/>
        <w:sz w:val="24"/>
        <w:szCs w:val="24"/>
      </w:rPr>
      <w:fldChar w:fldCharType="end"/>
    </w:r>
  </w:p>
  <w:p w14:paraId="7DF30BFD" w14:textId="77777777" w:rsidR="006324CD" w:rsidRDefault="006324C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49665" w14:textId="77777777" w:rsidR="006324CD" w:rsidRDefault="0019210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610B7">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610B7">
      <w:rPr>
        <w:b/>
        <w:bCs/>
        <w:noProof/>
        <w:color w:val="000000"/>
        <w:sz w:val="24"/>
        <w:szCs w:val="24"/>
      </w:rPr>
      <w:t>25</w:t>
    </w:r>
    <w:r>
      <w:rPr>
        <w:b/>
        <w:bCs/>
        <w:color w:val="000000"/>
        <w:sz w:val="24"/>
        <w:szCs w:val="24"/>
      </w:rPr>
      <w:fldChar w:fldCharType="end"/>
    </w:r>
  </w:p>
  <w:p w14:paraId="1F1A8AF1" w14:textId="77777777" w:rsidR="006324CD" w:rsidRDefault="006324C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B2531" w14:textId="77777777" w:rsidR="000E07CA" w:rsidRDefault="000E07CA">
      <w:pPr>
        <w:spacing w:after="0" w:line="240" w:lineRule="auto"/>
      </w:pPr>
      <w:r>
        <w:separator/>
      </w:r>
    </w:p>
  </w:footnote>
  <w:footnote w:type="continuationSeparator" w:id="0">
    <w:p w14:paraId="1CABB243" w14:textId="77777777" w:rsidR="000E07CA" w:rsidRDefault="000E07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6F253" w14:textId="77777777" w:rsidR="006324CD" w:rsidRDefault="006324CD">
    <w:pPr>
      <w:widowControl w:val="0"/>
      <w:pBdr>
        <w:top w:val="nil"/>
        <w:left w:val="nil"/>
        <w:bottom w:val="nil"/>
        <w:right w:val="nil"/>
        <w:between w:val="nil"/>
      </w:pBdr>
      <w:spacing w:after="0" w:line="276" w:lineRule="auto"/>
      <w:jc w:val="left"/>
      <w:rPr>
        <w:color w:val="000000"/>
      </w:rPr>
    </w:pPr>
  </w:p>
  <w:tbl>
    <w:tblPr>
      <w:tblStyle w:val="affff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6324CD" w14:paraId="0F0F21DD" w14:textId="77777777">
      <w:trPr>
        <w:trHeight w:val="141"/>
      </w:trPr>
      <w:tc>
        <w:tcPr>
          <w:tcW w:w="2404" w:type="dxa"/>
        </w:tcPr>
        <w:p w14:paraId="144B25E8" w14:textId="77777777" w:rsidR="006324CD" w:rsidRDefault="00192105">
          <w:pPr>
            <w:tabs>
              <w:tab w:val="right" w:pos="8838"/>
            </w:tabs>
            <w:ind w:right="-105"/>
            <w:rPr>
              <w:b/>
              <w:bCs/>
            </w:rPr>
          </w:pPr>
          <w:r>
            <w:rPr>
              <w:b/>
              <w:bCs/>
            </w:rPr>
            <w:t>Recurso de Revisión:</w:t>
          </w:r>
        </w:p>
      </w:tc>
      <w:tc>
        <w:tcPr>
          <w:tcW w:w="3587" w:type="dxa"/>
        </w:tcPr>
        <w:p w14:paraId="21FA0143" w14:textId="77777777" w:rsidR="006324CD" w:rsidRDefault="00192105">
          <w:pPr>
            <w:tabs>
              <w:tab w:val="right" w:pos="8838"/>
            </w:tabs>
            <w:ind w:left="-28" w:right="683"/>
          </w:pPr>
          <w:r>
            <w:t>04196/INFOEM/IP/RR/2020</w:t>
          </w:r>
        </w:p>
      </w:tc>
    </w:tr>
    <w:tr w:rsidR="006324CD" w14:paraId="0AB47CBF" w14:textId="77777777">
      <w:trPr>
        <w:trHeight w:val="276"/>
      </w:trPr>
      <w:tc>
        <w:tcPr>
          <w:tcW w:w="2404" w:type="dxa"/>
        </w:tcPr>
        <w:p w14:paraId="5292C971" w14:textId="77777777" w:rsidR="006324CD" w:rsidRDefault="00192105">
          <w:pPr>
            <w:tabs>
              <w:tab w:val="right" w:pos="8838"/>
            </w:tabs>
            <w:ind w:right="-105"/>
            <w:rPr>
              <w:b/>
              <w:bCs/>
            </w:rPr>
          </w:pPr>
          <w:r>
            <w:rPr>
              <w:b/>
              <w:bCs/>
            </w:rPr>
            <w:t>Sujeto Obligado:</w:t>
          </w:r>
        </w:p>
      </w:tc>
      <w:tc>
        <w:tcPr>
          <w:tcW w:w="3587" w:type="dxa"/>
        </w:tcPr>
        <w:p w14:paraId="6446C9B1" w14:textId="77777777" w:rsidR="006324CD" w:rsidRDefault="00192105">
          <w:pPr>
            <w:tabs>
              <w:tab w:val="right" w:pos="8838"/>
            </w:tabs>
            <w:ind w:right="116"/>
          </w:pPr>
          <w:r>
            <w:t>Ayuntamiento de Chapultepec</w:t>
          </w:r>
        </w:p>
      </w:tc>
    </w:tr>
    <w:tr w:rsidR="006324CD" w14:paraId="164A052D" w14:textId="77777777">
      <w:trPr>
        <w:trHeight w:val="276"/>
      </w:trPr>
      <w:tc>
        <w:tcPr>
          <w:tcW w:w="2404" w:type="dxa"/>
        </w:tcPr>
        <w:p w14:paraId="49225F03" w14:textId="77777777" w:rsidR="006324CD" w:rsidRDefault="00192105">
          <w:pPr>
            <w:tabs>
              <w:tab w:val="right" w:pos="8838"/>
            </w:tabs>
            <w:ind w:right="-105"/>
            <w:rPr>
              <w:b/>
              <w:bCs/>
            </w:rPr>
          </w:pPr>
          <w:r>
            <w:rPr>
              <w:b/>
              <w:bCs/>
            </w:rPr>
            <w:t>Comisionado Ponente:</w:t>
          </w:r>
        </w:p>
      </w:tc>
      <w:tc>
        <w:tcPr>
          <w:tcW w:w="3587" w:type="dxa"/>
        </w:tcPr>
        <w:p w14:paraId="46A3D5B3" w14:textId="77777777" w:rsidR="006324CD" w:rsidRDefault="00192105">
          <w:pPr>
            <w:tabs>
              <w:tab w:val="right" w:pos="8838"/>
            </w:tabs>
            <w:ind w:right="-32"/>
          </w:pPr>
          <w:r>
            <w:t>Luis Gustavo Parra Noriega</w:t>
          </w:r>
        </w:p>
      </w:tc>
    </w:tr>
  </w:tbl>
  <w:p w14:paraId="30B55E53" w14:textId="77777777" w:rsidR="006324CD" w:rsidRDefault="000E07CA">
    <w:pPr>
      <w:pBdr>
        <w:top w:val="nil"/>
        <w:left w:val="nil"/>
        <w:bottom w:val="nil"/>
        <w:right w:val="nil"/>
        <w:between w:val="nil"/>
      </w:pBdr>
      <w:tabs>
        <w:tab w:val="center" w:pos="4419"/>
        <w:tab w:val="right" w:pos="8838"/>
      </w:tabs>
      <w:spacing w:after="0" w:line="240" w:lineRule="auto"/>
      <w:rPr>
        <w:color w:val="000000"/>
      </w:rPr>
    </w:pPr>
    <w:r>
      <w:rPr>
        <w:color w:val="000000"/>
      </w:rPr>
      <w:pict w14:anchorId="51CC7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A9969" w14:textId="77777777" w:rsidR="006324CD" w:rsidRDefault="006324CD">
    <w:pPr>
      <w:rPr>
        <w:sz w:val="16"/>
        <w:szCs w:val="16"/>
      </w:rPr>
    </w:pPr>
  </w:p>
  <w:tbl>
    <w:tblPr>
      <w:tblStyle w:val="afffff4"/>
      <w:tblW w:w="6319"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97"/>
      <w:gridCol w:w="3822"/>
    </w:tblGrid>
    <w:tr w:rsidR="006324CD" w14:paraId="5B4490E1" w14:textId="77777777" w:rsidTr="006A7F6C">
      <w:trPr>
        <w:trHeight w:val="135"/>
      </w:trPr>
      <w:tc>
        <w:tcPr>
          <w:tcW w:w="2497" w:type="dxa"/>
        </w:tcPr>
        <w:p w14:paraId="183C5C24" w14:textId="77777777" w:rsidR="006324CD" w:rsidRDefault="00192105">
          <w:pPr>
            <w:tabs>
              <w:tab w:val="right" w:pos="8838"/>
            </w:tabs>
            <w:ind w:left="-395" w:right="-105" w:firstLine="395"/>
            <w:rPr>
              <w:b/>
              <w:bCs/>
            </w:rPr>
          </w:pPr>
          <w:r>
            <w:rPr>
              <w:b/>
              <w:bCs/>
            </w:rPr>
            <w:t>Recurso de Revisión:</w:t>
          </w:r>
        </w:p>
      </w:tc>
      <w:tc>
        <w:tcPr>
          <w:tcW w:w="3822" w:type="dxa"/>
        </w:tcPr>
        <w:p w14:paraId="5EA78274" w14:textId="77777777" w:rsidR="006324CD" w:rsidRDefault="00192105">
          <w:pPr>
            <w:tabs>
              <w:tab w:val="right" w:pos="8838"/>
            </w:tabs>
            <w:ind w:right="176"/>
          </w:pPr>
          <w:r>
            <w:t>10276/INFOEM/IP/RR/2025</w:t>
          </w:r>
        </w:p>
      </w:tc>
    </w:tr>
    <w:tr w:rsidR="006324CD" w14:paraId="3C951A4C" w14:textId="77777777" w:rsidTr="006A7F6C">
      <w:trPr>
        <w:trHeight w:val="264"/>
      </w:trPr>
      <w:tc>
        <w:tcPr>
          <w:tcW w:w="2497" w:type="dxa"/>
        </w:tcPr>
        <w:p w14:paraId="7076E16D" w14:textId="77777777" w:rsidR="006324CD" w:rsidRDefault="00192105">
          <w:pPr>
            <w:tabs>
              <w:tab w:val="right" w:pos="8838"/>
            </w:tabs>
            <w:ind w:right="-105"/>
            <w:rPr>
              <w:b/>
              <w:bCs/>
            </w:rPr>
          </w:pPr>
          <w:r>
            <w:rPr>
              <w:b/>
              <w:bCs/>
            </w:rPr>
            <w:t>Sujeto Obligado:</w:t>
          </w:r>
        </w:p>
      </w:tc>
      <w:tc>
        <w:tcPr>
          <w:tcW w:w="3822" w:type="dxa"/>
        </w:tcPr>
        <w:p w14:paraId="1BB2FCB3" w14:textId="77777777" w:rsidR="006324CD" w:rsidRDefault="00192105">
          <w:pPr>
            <w:tabs>
              <w:tab w:val="left" w:pos="3158"/>
              <w:tab w:val="left" w:pos="4292"/>
              <w:tab w:val="right" w:pos="8838"/>
            </w:tabs>
            <w:ind w:right="176"/>
          </w:pPr>
          <w:r>
            <w:t>Ayuntamiento de Atlacomulco</w:t>
          </w:r>
        </w:p>
      </w:tc>
    </w:tr>
    <w:tr w:rsidR="006324CD" w14:paraId="6A71CF63" w14:textId="77777777" w:rsidTr="006A7F6C">
      <w:trPr>
        <w:trHeight w:val="264"/>
      </w:trPr>
      <w:tc>
        <w:tcPr>
          <w:tcW w:w="2497" w:type="dxa"/>
        </w:tcPr>
        <w:p w14:paraId="3F1EA316" w14:textId="77777777" w:rsidR="006324CD" w:rsidRDefault="00192105">
          <w:pPr>
            <w:tabs>
              <w:tab w:val="right" w:pos="8838"/>
            </w:tabs>
            <w:ind w:right="-105"/>
            <w:rPr>
              <w:b/>
              <w:bCs/>
            </w:rPr>
          </w:pPr>
          <w:r>
            <w:rPr>
              <w:b/>
              <w:bCs/>
            </w:rPr>
            <w:t>Comisionado Ponente:</w:t>
          </w:r>
        </w:p>
      </w:tc>
      <w:tc>
        <w:tcPr>
          <w:tcW w:w="3822" w:type="dxa"/>
        </w:tcPr>
        <w:p w14:paraId="156355CA" w14:textId="77777777" w:rsidR="006324CD" w:rsidRDefault="00192105">
          <w:pPr>
            <w:tabs>
              <w:tab w:val="right" w:pos="8838"/>
            </w:tabs>
            <w:ind w:right="176"/>
          </w:pPr>
          <w:r>
            <w:t>Luis Gustavo Parra Noriega</w:t>
          </w:r>
        </w:p>
        <w:p w14:paraId="1EDEF536" w14:textId="77777777" w:rsidR="006324CD" w:rsidRDefault="006324CD">
          <w:pPr>
            <w:tabs>
              <w:tab w:val="right" w:pos="8838"/>
            </w:tabs>
            <w:ind w:right="176"/>
          </w:pPr>
        </w:p>
      </w:tc>
    </w:tr>
  </w:tbl>
  <w:p w14:paraId="2B2E00B4" w14:textId="77777777" w:rsidR="006324CD" w:rsidRDefault="000E07CA">
    <w:pPr>
      <w:pBdr>
        <w:top w:val="nil"/>
        <w:left w:val="nil"/>
        <w:bottom w:val="nil"/>
        <w:right w:val="nil"/>
        <w:between w:val="nil"/>
      </w:pBdr>
      <w:tabs>
        <w:tab w:val="center" w:pos="4419"/>
        <w:tab w:val="right" w:pos="8838"/>
      </w:tabs>
      <w:spacing w:after="0" w:line="240" w:lineRule="auto"/>
      <w:rPr>
        <w:color w:val="000000"/>
      </w:rPr>
    </w:pPr>
    <w:r>
      <w:rPr>
        <w:color w:val="000000"/>
      </w:rPr>
      <w:pict w14:anchorId="2CD74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C6164" w14:textId="77777777" w:rsidR="006324CD" w:rsidRDefault="000E07CA">
    <w:pPr>
      <w:widowControl w:val="0"/>
      <w:pBdr>
        <w:top w:val="nil"/>
        <w:left w:val="nil"/>
        <w:bottom w:val="nil"/>
        <w:right w:val="nil"/>
        <w:between w:val="nil"/>
      </w:pBdr>
      <w:spacing w:after="0" w:line="276" w:lineRule="auto"/>
      <w:jc w:val="left"/>
      <w:rPr>
        <w:color w:val="000000"/>
      </w:rPr>
    </w:pPr>
    <w:r>
      <w:rPr>
        <w:color w:val="000000"/>
      </w:rPr>
      <w:pict w14:anchorId="5AC68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4"/>
          <w10:wrap anchorx="margin" anchory="margin"/>
        </v:shape>
      </w:pict>
    </w:r>
  </w:p>
  <w:tbl>
    <w:tblPr>
      <w:tblStyle w:val="afffff5"/>
      <w:tblW w:w="9214" w:type="dxa"/>
      <w:tblInd w:w="0" w:type="dxa"/>
      <w:tblLayout w:type="fixed"/>
      <w:tblLook w:val="0400" w:firstRow="0" w:lastRow="0" w:firstColumn="0" w:lastColumn="0" w:noHBand="0" w:noVBand="1"/>
    </w:tblPr>
    <w:tblGrid>
      <w:gridCol w:w="2127"/>
      <w:gridCol w:w="7087"/>
    </w:tblGrid>
    <w:tr w:rsidR="006324CD" w14:paraId="41286880" w14:textId="77777777">
      <w:trPr>
        <w:trHeight w:val="1546"/>
      </w:trPr>
      <w:tc>
        <w:tcPr>
          <w:tcW w:w="2127" w:type="dxa"/>
        </w:tcPr>
        <w:p w14:paraId="1D20F4E6" w14:textId="77777777" w:rsidR="006324CD" w:rsidRDefault="006324CD">
          <w:pPr>
            <w:tabs>
              <w:tab w:val="right" w:pos="4273"/>
            </w:tabs>
            <w:rPr>
              <w:rFonts w:ascii="Garamond" w:eastAsia="Garamond" w:hAnsi="Garamond" w:cs="Garamond"/>
              <w:sz w:val="16"/>
              <w:szCs w:val="16"/>
            </w:rPr>
          </w:pPr>
        </w:p>
      </w:tc>
      <w:tc>
        <w:tcPr>
          <w:tcW w:w="7087" w:type="dxa"/>
        </w:tcPr>
        <w:p w14:paraId="145FDE8B" w14:textId="77777777" w:rsidR="006324CD" w:rsidRDefault="006324CD">
          <w:pPr>
            <w:rPr>
              <w:sz w:val="10"/>
              <w:szCs w:val="10"/>
            </w:rPr>
          </w:pPr>
        </w:p>
        <w:tbl>
          <w:tblPr>
            <w:tblStyle w:val="afffff6"/>
            <w:tblW w:w="6384" w:type="dxa"/>
            <w:tblInd w:w="595" w:type="dxa"/>
            <w:tblLayout w:type="fixed"/>
            <w:tblLook w:val="0400" w:firstRow="0" w:lastRow="0" w:firstColumn="0" w:lastColumn="0" w:noHBand="0" w:noVBand="1"/>
          </w:tblPr>
          <w:tblGrid>
            <w:gridCol w:w="2376"/>
            <w:gridCol w:w="4008"/>
          </w:tblGrid>
          <w:tr w:rsidR="006324CD" w14:paraId="4FE6B19C" w14:textId="77777777">
            <w:trPr>
              <w:trHeight w:val="427"/>
            </w:trPr>
            <w:tc>
              <w:tcPr>
                <w:tcW w:w="2376" w:type="dxa"/>
                <w:vAlign w:val="bottom"/>
              </w:tcPr>
              <w:p w14:paraId="3CE93CCF" w14:textId="77777777" w:rsidR="006324CD" w:rsidRDefault="00192105">
                <w:pPr>
                  <w:tabs>
                    <w:tab w:val="right" w:pos="8838"/>
                  </w:tabs>
                  <w:ind w:right="-105"/>
                  <w:rPr>
                    <w:b/>
                    <w:bCs/>
                  </w:rPr>
                </w:pPr>
                <w:r>
                  <w:rPr>
                    <w:b/>
                    <w:bCs/>
                  </w:rPr>
                  <w:t>Recurso de Revisión:</w:t>
                </w:r>
              </w:p>
            </w:tc>
            <w:tc>
              <w:tcPr>
                <w:tcW w:w="4008" w:type="dxa"/>
              </w:tcPr>
              <w:p w14:paraId="5ACEA185" w14:textId="77777777" w:rsidR="006324CD" w:rsidRDefault="006324CD">
                <w:pPr>
                  <w:tabs>
                    <w:tab w:val="right" w:pos="8838"/>
                  </w:tabs>
                  <w:ind w:left="-28" w:right="-107"/>
                  <w:rPr>
                    <w:b/>
                    <w:bCs/>
                  </w:rPr>
                </w:pPr>
              </w:p>
              <w:p w14:paraId="441760BB" w14:textId="77777777" w:rsidR="006324CD" w:rsidRDefault="00192105">
                <w:pPr>
                  <w:tabs>
                    <w:tab w:val="right" w:pos="8838"/>
                  </w:tabs>
                  <w:ind w:left="-28" w:right="-107"/>
                </w:pPr>
                <w:r>
                  <w:t>10276/INFOEM/IP/RR/2025</w:t>
                </w:r>
              </w:p>
            </w:tc>
          </w:tr>
          <w:tr w:rsidR="006324CD" w14:paraId="145C7426" w14:textId="77777777">
            <w:trPr>
              <w:trHeight w:val="141"/>
            </w:trPr>
            <w:tc>
              <w:tcPr>
                <w:tcW w:w="2376" w:type="dxa"/>
              </w:tcPr>
              <w:p w14:paraId="6038990B" w14:textId="77777777" w:rsidR="006324CD" w:rsidRDefault="00192105">
                <w:pPr>
                  <w:tabs>
                    <w:tab w:val="right" w:pos="8838"/>
                  </w:tabs>
                  <w:ind w:right="-105"/>
                  <w:rPr>
                    <w:b/>
                    <w:bCs/>
                  </w:rPr>
                </w:pPr>
                <w:r>
                  <w:rPr>
                    <w:b/>
                    <w:bCs/>
                  </w:rPr>
                  <w:t>Recurrente:</w:t>
                </w:r>
              </w:p>
            </w:tc>
            <w:tc>
              <w:tcPr>
                <w:tcW w:w="4008" w:type="dxa"/>
              </w:tcPr>
              <w:p w14:paraId="76541FFF" w14:textId="77777777" w:rsidR="006324CD" w:rsidRDefault="00192105">
                <w:pPr>
                  <w:tabs>
                    <w:tab w:val="right" w:pos="8838"/>
                  </w:tabs>
                  <w:ind w:right="-107"/>
                </w:pPr>
                <w:r>
                  <w:t xml:space="preserve"> </w:t>
                </w:r>
              </w:p>
            </w:tc>
          </w:tr>
          <w:tr w:rsidR="006324CD" w14:paraId="6EFF2F47" w14:textId="77777777">
            <w:trPr>
              <w:trHeight w:val="276"/>
            </w:trPr>
            <w:tc>
              <w:tcPr>
                <w:tcW w:w="2376" w:type="dxa"/>
              </w:tcPr>
              <w:p w14:paraId="39E088AF" w14:textId="77777777" w:rsidR="006324CD" w:rsidRDefault="00192105">
                <w:pPr>
                  <w:tabs>
                    <w:tab w:val="right" w:pos="8838"/>
                  </w:tabs>
                  <w:ind w:right="-105"/>
                  <w:rPr>
                    <w:b/>
                    <w:bCs/>
                  </w:rPr>
                </w:pPr>
                <w:r>
                  <w:rPr>
                    <w:b/>
                    <w:bCs/>
                  </w:rPr>
                  <w:t>Sujeto Obligado:</w:t>
                </w:r>
              </w:p>
            </w:tc>
            <w:tc>
              <w:tcPr>
                <w:tcW w:w="4008" w:type="dxa"/>
              </w:tcPr>
              <w:p w14:paraId="75E861DC" w14:textId="77777777" w:rsidR="006324CD" w:rsidRDefault="00192105">
                <w:pPr>
                  <w:tabs>
                    <w:tab w:val="right" w:pos="8838"/>
                  </w:tabs>
                  <w:ind w:right="33"/>
                </w:pPr>
                <w:r>
                  <w:t>Ayuntamiento de Atlacomulco</w:t>
                </w:r>
              </w:p>
            </w:tc>
          </w:tr>
          <w:tr w:rsidR="006324CD" w14:paraId="19131F2C" w14:textId="77777777">
            <w:trPr>
              <w:trHeight w:val="276"/>
            </w:trPr>
            <w:tc>
              <w:tcPr>
                <w:tcW w:w="2376" w:type="dxa"/>
              </w:tcPr>
              <w:p w14:paraId="4EC5A875" w14:textId="77777777" w:rsidR="006324CD" w:rsidRDefault="00192105">
                <w:pPr>
                  <w:tabs>
                    <w:tab w:val="right" w:pos="8838"/>
                  </w:tabs>
                  <w:ind w:right="-105"/>
                  <w:rPr>
                    <w:b/>
                    <w:bCs/>
                  </w:rPr>
                </w:pPr>
                <w:r>
                  <w:rPr>
                    <w:b/>
                    <w:bCs/>
                  </w:rPr>
                  <w:t>Comisionado Ponente:</w:t>
                </w:r>
              </w:p>
            </w:tc>
            <w:tc>
              <w:tcPr>
                <w:tcW w:w="4008" w:type="dxa"/>
              </w:tcPr>
              <w:p w14:paraId="0FDC7F7A" w14:textId="77777777" w:rsidR="006324CD" w:rsidRDefault="00192105">
                <w:pPr>
                  <w:tabs>
                    <w:tab w:val="right" w:pos="8838"/>
                  </w:tabs>
                  <w:ind w:right="-107"/>
                </w:pPr>
                <w:r>
                  <w:t>Luis Gustavo Parra Noriega</w:t>
                </w:r>
              </w:p>
            </w:tc>
          </w:tr>
        </w:tbl>
        <w:p w14:paraId="0D9FA923" w14:textId="77777777" w:rsidR="006324CD" w:rsidRDefault="006324CD">
          <w:pPr>
            <w:tabs>
              <w:tab w:val="right" w:pos="8838"/>
            </w:tabs>
            <w:ind w:left="-28"/>
            <w:rPr>
              <w:rFonts w:ascii="Arial" w:eastAsia="Arial" w:hAnsi="Arial" w:cs="Arial"/>
              <w:b/>
              <w:bCs/>
            </w:rPr>
          </w:pPr>
        </w:p>
      </w:tc>
    </w:tr>
  </w:tbl>
  <w:p w14:paraId="463DC699" w14:textId="77777777" w:rsidR="006324CD" w:rsidRDefault="006324C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517BC"/>
    <w:multiLevelType w:val="multilevel"/>
    <w:tmpl w:val="60900C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FD3A7A"/>
    <w:multiLevelType w:val="multilevel"/>
    <w:tmpl w:val="191231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C05C20"/>
    <w:multiLevelType w:val="multilevel"/>
    <w:tmpl w:val="1E7E46B6"/>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E24718"/>
    <w:multiLevelType w:val="multilevel"/>
    <w:tmpl w:val="65D65D16"/>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4CD"/>
    <w:rsid w:val="000E07CA"/>
    <w:rsid w:val="00192105"/>
    <w:rsid w:val="003116AD"/>
    <w:rsid w:val="00362A22"/>
    <w:rsid w:val="003A1F65"/>
    <w:rsid w:val="0041108B"/>
    <w:rsid w:val="006324CD"/>
    <w:rsid w:val="006A7F6C"/>
    <w:rsid w:val="00C610B7"/>
    <w:rsid w:val="00D55D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5520B9"/>
  <w15:docId w15:val="{86012297-0F9E-483E-89D8-75E7E8E1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
    <w:pPr>
      <w:spacing w:after="0" w:line="240" w:lineRule="auto"/>
    </w:pPr>
    <w:tblPr>
      <w:tblStyleRowBandSize w:val="1"/>
      <w:tblStyleColBandSize w:val="1"/>
      <w:tblCellMar>
        <w:left w:w="108" w:type="dxa"/>
        <w:right w:w="108" w:type="dxa"/>
      </w:tblCellMar>
    </w:tblPr>
  </w:style>
  <w:style w:type="table" w:customStyle="1" w:styleId="a0">
    <w:basedOn w:val="TableNormalf"/>
    <w:pPr>
      <w:spacing w:after="0" w:line="240" w:lineRule="auto"/>
    </w:pPr>
    <w:tblPr>
      <w:tblStyleRowBandSize w:val="1"/>
      <w:tblStyleColBandSize w:val="1"/>
      <w:tblCellMar>
        <w:left w:w="108" w:type="dxa"/>
        <w:right w:w="108" w:type="dxa"/>
      </w:tblCellMar>
    </w:tblPr>
  </w:style>
  <w:style w:type="table" w:customStyle="1" w:styleId="a1">
    <w:basedOn w:val="TableNormalf"/>
    <w:tblPr>
      <w:tblStyleRowBandSize w:val="1"/>
      <w:tblStyleColBandSize w:val="1"/>
      <w:tblCellMar>
        <w:left w:w="115" w:type="dxa"/>
        <w:right w:w="115" w:type="dxa"/>
      </w:tblCellMar>
    </w:tblPr>
  </w:style>
  <w:style w:type="table" w:customStyle="1" w:styleId="a2">
    <w:basedOn w:val="TableNormalf"/>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
    <w:pPr>
      <w:spacing w:after="0" w:line="240" w:lineRule="auto"/>
    </w:pPr>
    <w:tblPr>
      <w:tblStyleRowBandSize w:val="1"/>
      <w:tblStyleColBandSize w:val="1"/>
      <w:tblCellMar>
        <w:left w:w="108" w:type="dxa"/>
        <w:right w:w="108" w:type="dxa"/>
      </w:tblCellMar>
    </w:tblPr>
  </w:style>
  <w:style w:type="table" w:customStyle="1" w:styleId="a4">
    <w:basedOn w:val="TableNormalf"/>
    <w:pPr>
      <w:spacing w:after="0" w:line="240" w:lineRule="auto"/>
    </w:pPr>
    <w:tblPr>
      <w:tblStyleRowBandSize w:val="1"/>
      <w:tblStyleColBandSize w:val="1"/>
      <w:tblCellMar>
        <w:left w:w="108" w:type="dxa"/>
        <w:right w:w="108" w:type="dxa"/>
      </w:tblCellMar>
    </w:tblPr>
  </w:style>
  <w:style w:type="table" w:customStyle="1" w:styleId="a5">
    <w:basedOn w:val="TableNormalf"/>
    <w:pPr>
      <w:spacing w:after="0" w:line="240" w:lineRule="auto"/>
    </w:pPr>
    <w:tblPr>
      <w:tblStyleRowBandSize w:val="1"/>
      <w:tblStyleColBandSize w:val="1"/>
      <w:tblCellMar>
        <w:left w:w="108" w:type="dxa"/>
        <w:right w:w="108" w:type="dxa"/>
      </w:tblCellMar>
    </w:tblPr>
  </w:style>
  <w:style w:type="table" w:customStyle="1" w:styleId="a6">
    <w:basedOn w:val="TableNormalf"/>
    <w:pPr>
      <w:spacing w:after="0" w:line="240" w:lineRule="auto"/>
    </w:pPr>
    <w:tblPr>
      <w:tblStyleRowBandSize w:val="1"/>
      <w:tblStyleColBandSize w:val="1"/>
      <w:tblCellMar>
        <w:left w:w="108" w:type="dxa"/>
        <w:right w:w="108" w:type="dxa"/>
      </w:tblCellMar>
    </w:tblPr>
  </w:style>
  <w:style w:type="table" w:customStyle="1" w:styleId="a7">
    <w:basedOn w:val="TableNormale"/>
    <w:pPr>
      <w:spacing w:after="0" w:line="240" w:lineRule="auto"/>
    </w:pPr>
    <w:tblPr>
      <w:tblStyleRowBandSize w:val="1"/>
      <w:tblStyleColBandSize w:val="1"/>
      <w:tblCellMar>
        <w:left w:w="108" w:type="dxa"/>
        <w:right w:w="108" w:type="dxa"/>
      </w:tblCellMar>
    </w:tblPr>
  </w:style>
  <w:style w:type="table" w:customStyle="1" w:styleId="a8">
    <w:basedOn w:val="TableNormale"/>
    <w:pPr>
      <w:spacing w:after="0" w:line="240" w:lineRule="auto"/>
    </w:pPr>
    <w:tblPr>
      <w:tblStyleRowBandSize w:val="1"/>
      <w:tblStyleColBandSize w:val="1"/>
      <w:tblCellMar>
        <w:left w:w="108" w:type="dxa"/>
        <w:right w:w="108" w:type="dxa"/>
      </w:tblCellMar>
    </w:tblPr>
  </w:style>
  <w:style w:type="table" w:customStyle="1" w:styleId="a9">
    <w:basedOn w:val="TableNormale"/>
    <w:pPr>
      <w:spacing w:after="0" w:line="240" w:lineRule="auto"/>
    </w:pPr>
    <w:tblPr>
      <w:tblStyleRowBandSize w:val="1"/>
      <w:tblStyleColBandSize w:val="1"/>
      <w:tblCellMar>
        <w:left w:w="108" w:type="dxa"/>
        <w:right w:w="108" w:type="dxa"/>
      </w:tblCellMar>
    </w:tblPr>
  </w:style>
  <w:style w:type="table" w:customStyle="1" w:styleId="aa">
    <w:basedOn w:val="TableNormale"/>
    <w:pPr>
      <w:spacing w:after="0" w:line="240" w:lineRule="auto"/>
    </w:pPr>
    <w:tblPr>
      <w:tblStyleRowBandSize w:val="1"/>
      <w:tblStyleColBandSize w:val="1"/>
      <w:tblCellMar>
        <w:left w:w="108" w:type="dxa"/>
        <w:right w:w="108" w:type="dxa"/>
      </w:tblCellMar>
    </w:tblPr>
  </w:style>
  <w:style w:type="table" w:customStyle="1" w:styleId="ab">
    <w:basedOn w:val="TableNormald"/>
    <w:pPr>
      <w:spacing w:after="0" w:line="240" w:lineRule="auto"/>
    </w:pPr>
    <w:tblPr>
      <w:tblStyleRowBandSize w:val="1"/>
      <w:tblStyleColBandSize w:val="1"/>
      <w:tblCellMar>
        <w:left w:w="108" w:type="dxa"/>
        <w:right w:w="108" w:type="dxa"/>
      </w:tblCellMar>
    </w:tblPr>
  </w:style>
  <w:style w:type="table" w:customStyle="1" w:styleId="ac">
    <w:basedOn w:val="TableNormald"/>
    <w:pPr>
      <w:spacing w:after="0" w:line="240" w:lineRule="auto"/>
    </w:pPr>
    <w:tblPr>
      <w:tblStyleRowBandSize w:val="1"/>
      <w:tblStyleColBandSize w:val="1"/>
      <w:tblCellMar>
        <w:left w:w="108" w:type="dxa"/>
        <w:right w:w="108" w:type="dxa"/>
      </w:tblCellMar>
    </w:tblPr>
  </w:style>
  <w:style w:type="table" w:customStyle="1" w:styleId="ad">
    <w:basedOn w:val="TableNormald"/>
    <w:pPr>
      <w:spacing w:after="0" w:line="240" w:lineRule="auto"/>
    </w:pPr>
    <w:tblPr>
      <w:tblStyleRowBandSize w:val="1"/>
      <w:tblStyleColBandSize w:val="1"/>
      <w:tblCellMar>
        <w:left w:w="108" w:type="dxa"/>
        <w:right w:w="108" w:type="dxa"/>
      </w:tblCellMar>
    </w:tblPr>
  </w:style>
  <w:style w:type="table" w:customStyle="1" w:styleId="ae">
    <w:basedOn w:val="TableNormald"/>
    <w:pPr>
      <w:spacing w:after="0" w:line="240" w:lineRule="auto"/>
    </w:pPr>
    <w:tblPr>
      <w:tblStyleRowBandSize w:val="1"/>
      <w:tblStyleColBandSize w:val="1"/>
      <w:tblCellMar>
        <w:left w:w="108" w:type="dxa"/>
        <w:right w:w="108" w:type="dxa"/>
      </w:tblCellMar>
    </w:tblPr>
  </w:style>
  <w:style w:type="table" w:customStyle="1" w:styleId="af">
    <w:basedOn w:val="TableNormalc"/>
    <w:pPr>
      <w:spacing w:after="0" w:line="240" w:lineRule="auto"/>
    </w:pPr>
    <w:tblPr>
      <w:tblStyleRowBandSize w:val="1"/>
      <w:tblStyleColBandSize w:val="1"/>
      <w:tblCellMar>
        <w:left w:w="108" w:type="dxa"/>
        <w:right w:w="108" w:type="dxa"/>
      </w:tblCellMar>
    </w:tblPr>
  </w:style>
  <w:style w:type="table" w:customStyle="1" w:styleId="af0">
    <w:basedOn w:val="TableNormalc"/>
    <w:pPr>
      <w:spacing w:after="0" w:line="240" w:lineRule="auto"/>
    </w:pPr>
    <w:tblPr>
      <w:tblStyleRowBandSize w:val="1"/>
      <w:tblStyleColBandSize w:val="1"/>
      <w:tblCellMar>
        <w:left w:w="108" w:type="dxa"/>
        <w:right w:w="108" w:type="dxa"/>
      </w:tblCellMar>
    </w:tblPr>
  </w:style>
  <w:style w:type="table" w:customStyle="1" w:styleId="af1">
    <w:basedOn w:val="TableNormalc"/>
    <w:pPr>
      <w:spacing w:after="0" w:line="240" w:lineRule="auto"/>
    </w:pPr>
    <w:tblPr>
      <w:tblStyleRowBandSize w:val="1"/>
      <w:tblStyleColBandSize w:val="1"/>
      <w:tblCellMar>
        <w:left w:w="108" w:type="dxa"/>
        <w:right w:w="108" w:type="dxa"/>
      </w:tblCellMar>
    </w:tblPr>
  </w:style>
  <w:style w:type="table" w:customStyle="1" w:styleId="af2">
    <w:basedOn w:val="TableNormalc"/>
    <w:pPr>
      <w:spacing w:after="0" w:line="240" w:lineRule="auto"/>
    </w:pPr>
    <w:tblPr>
      <w:tblStyleRowBandSize w:val="1"/>
      <w:tblStyleColBandSize w:val="1"/>
      <w:tblCellMar>
        <w:left w:w="108" w:type="dxa"/>
        <w:right w:w="108" w:type="dxa"/>
      </w:tblCellMar>
    </w:tblPr>
  </w:style>
  <w:style w:type="table" w:customStyle="1" w:styleId="af3">
    <w:basedOn w:val="TableNormalb"/>
    <w:pPr>
      <w:spacing w:after="0" w:line="240" w:lineRule="auto"/>
    </w:pPr>
    <w:tblPr>
      <w:tblStyleRowBandSize w:val="1"/>
      <w:tblStyleColBandSize w:val="1"/>
      <w:tblCellMar>
        <w:left w:w="108" w:type="dxa"/>
        <w:right w:w="108" w:type="dxa"/>
      </w:tblCellMar>
    </w:tblPr>
  </w:style>
  <w:style w:type="table" w:customStyle="1" w:styleId="af4">
    <w:basedOn w:val="TableNormalb"/>
    <w:pPr>
      <w:spacing w:after="0" w:line="240" w:lineRule="auto"/>
    </w:pPr>
    <w:tblPr>
      <w:tblStyleRowBandSize w:val="1"/>
      <w:tblStyleColBandSize w:val="1"/>
      <w:tblCellMar>
        <w:left w:w="108" w:type="dxa"/>
        <w:right w:w="108" w:type="dxa"/>
      </w:tblCellMar>
    </w:tblPr>
  </w:style>
  <w:style w:type="table" w:customStyle="1" w:styleId="af5">
    <w:basedOn w:val="TableNormalb"/>
    <w:pPr>
      <w:spacing w:after="0" w:line="240" w:lineRule="auto"/>
    </w:pPr>
    <w:tblPr>
      <w:tblStyleRowBandSize w:val="1"/>
      <w:tblStyleColBandSize w:val="1"/>
      <w:tblCellMar>
        <w:left w:w="108" w:type="dxa"/>
        <w:right w:w="108" w:type="dxa"/>
      </w:tblCellMar>
    </w:tblPr>
  </w:style>
  <w:style w:type="table" w:customStyle="1" w:styleId="af6">
    <w:basedOn w:val="TableNormalb"/>
    <w:pPr>
      <w:spacing w:after="0" w:line="240" w:lineRule="auto"/>
    </w:pPr>
    <w:tblPr>
      <w:tblStyleRowBandSize w:val="1"/>
      <w:tblStyleColBandSize w:val="1"/>
      <w:tblCellMar>
        <w:left w:w="108" w:type="dxa"/>
        <w:right w:w="108" w:type="dxa"/>
      </w:tblCellMar>
    </w:tblPr>
  </w:style>
  <w:style w:type="table" w:customStyle="1" w:styleId="af7">
    <w:basedOn w:val="TableNormala"/>
    <w:pPr>
      <w:spacing w:after="0" w:line="240" w:lineRule="auto"/>
    </w:pPr>
    <w:tblPr>
      <w:tblStyleRowBandSize w:val="1"/>
      <w:tblStyleColBandSize w:val="1"/>
      <w:tblCellMar>
        <w:left w:w="108" w:type="dxa"/>
        <w:right w:w="108" w:type="dxa"/>
      </w:tblCellMar>
    </w:tblPr>
  </w:style>
  <w:style w:type="table" w:customStyle="1" w:styleId="af8">
    <w:basedOn w:val="TableNormala"/>
    <w:pPr>
      <w:spacing w:after="0" w:line="240" w:lineRule="auto"/>
    </w:pPr>
    <w:tblPr>
      <w:tblStyleRowBandSize w:val="1"/>
      <w:tblStyleColBandSize w:val="1"/>
      <w:tblCellMar>
        <w:left w:w="108" w:type="dxa"/>
        <w:right w:w="108" w:type="dxa"/>
      </w:tblCellMar>
    </w:tblPr>
  </w:style>
  <w:style w:type="table" w:customStyle="1" w:styleId="af9">
    <w:basedOn w:val="TableNormala"/>
    <w:pPr>
      <w:spacing w:after="0" w:line="240" w:lineRule="auto"/>
    </w:pPr>
    <w:tblPr>
      <w:tblStyleRowBandSize w:val="1"/>
      <w:tblStyleColBandSize w:val="1"/>
      <w:tblCellMar>
        <w:left w:w="108" w:type="dxa"/>
        <w:right w:w="108" w:type="dxa"/>
      </w:tblCellMar>
    </w:tblPr>
  </w:style>
  <w:style w:type="table" w:customStyle="1" w:styleId="afa">
    <w:basedOn w:val="TableNormala"/>
    <w:pPr>
      <w:spacing w:after="0" w:line="240" w:lineRule="auto"/>
    </w:pPr>
    <w:tblPr>
      <w:tblStyleRowBandSize w:val="1"/>
      <w:tblStyleColBandSize w:val="1"/>
      <w:tblCellMar>
        <w:left w:w="108" w:type="dxa"/>
        <w:right w:w="108" w:type="dxa"/>
      </w:tblCellMar>
    </w:tblPr>
  </w:style>
  <w:style w:type="table" w:customStyle="1" w:styleId="afb">
    <w:basedOn w:val="TableNormal9"/>
    <w:pPr>
      <w:spacing w:after="0" w:line="240" w:lineRule="auto"/>
    </w:pPr>
    <w:tblPr>
      <w:tblStyleRowBandSize w:val="1"/>
      <w:tblStyleColBandSize w:val="1"/>
      <w:tblCellMar>
        <w:left w:w="108" w:type="dxa"/>
        <w:right w:w="108" w:type="dxa"/>
      </w:tblCellMar>
    </w:tblPr>
  </w:style>
  <w:style w:type="table" w:customStyle="1" w:styleId="afc">
    <w:basedOn w:val="TableNormal9"/>
    <w:pPr>
      <w:spacing w:after="0" w:line="240" w:lineRule="auto"/>
    </w:pPr>
    <w:tblPr>
      <w:tblStyleRowBandSize w:val="1"/>
      <w:tblStyleColBandSize w:val="1"/>
      <w:tblCellMar>
        <w:left w:w="108" w:type="dxa"/>
        <w:right w:w="108" w:type="dxa"/>
      </w:tblCellMar>
    </w:tblPr>
  </w:style>
  <w:style w:type="table" w:customStyle="1" w:styleId="afd">
    <w:basedOn w:val="TableNormal9"/>
    <w:pPr>
      <w:spacing w:after="0" w:line="240" w:lineRule="auto"/>
    </w:pPr>
    <w:tblPr>
      <w:tblStyleRowBandSize w:val="1"/>
      <w:tblStyleColBandSize w:val="1"/>
      <w:tblCellMar>
        <w:left w:w="108" w:type="dxa"/>
        <w:right w:w="108" w:type="dxa"/>
      </w:tblCellMar>
    </w:tblPr>
  </w:style>
  <w:style w:type="table" w:customStyle="1" w:styleId="afe">
    <w:basedOn w:val="TableNormal9"/>
    <w:pPr>
      <w:spacing w:after="0" w:line="240" w:lineRule="auto"/>
    </w:pPr>
    <w:tblPr>
      <w:tblStyleRowBandSize w:val="1"/>
      <w:tblStyleColBandSize w:val="1"/>
      <w:tblCellMar>
        <w:left w:w="108" w:type="dxa"/>
        <w:right w:w="108" w:type="dxa"/>
      </w:tblCellMar>
    </w:tblPr>
  </w:style>
  <w:style w:type="table" w:customStyle="1" w:styleId="aff">
    <w:basedOn w:val="TableNormal8"/>
    <w:pPr>
      <w:spacing w:after="0" w:line="240" w:lineRule="auto"/>
    </w:pPr>
    <w:tblPr>
      <w:tblStyleRowBandSize w:val="1"/>
      <w:tblStyleColBandSize w:val="1"/>
      <w:tblCellMar>
        <w:left w:w="108" w:type="dxa"/>
        <w:right w:w="108" w:type="dxa"/>
      </w:tblCellMar>
    </w:tblPr>
  </w:style>
  <w:style w:type="table" w:customStyle="1" w:styleId="aff0">
    <w:basedOn w:val="TableNormal8"/>
    <w:pPr>
      <w:spacing w:after="0" w:line="240" w:lineRule="auto"/>
    </w:pPr>
    <w:tblPr>
      <w:tblStyleRowBandSize w:val="1"/>
      <w:tblStyleColBandSize w:val="1"/>
      <w:tblCellMar>
        <w:left w:w="108" w:type="dxa"/>
        <w:right w:w="108" w:type="dxa"/>
      </w:tblCellMar>
    </w:tblPr>
  </w:style>
  <w:style w:type="table" w:customStyle="1" w:styleId="aff1">
    <w:basedOn w:val="TableNormal8"/>
    <w:pPr>
      <w:spacing w:after="0" w:line="240" w:lineRule="auto"/>
    </w:pPr>
    <w:tblPr>
      <w:tblStyleRowBandSize w:val="1"/>
      <w:tblStyleColBandSize w:val="1"/>
      <w:tblCellMar>
        <w:left w:w="108" w:type="dxa"/>
        <w:right w:w="108" w:type="dxa"/>
      </w:tblCellMar>
    </w:tblPr>
  </w:style>
  <w:style w:type="table" w:customStyle="1" w:styleId="aff2">
    <w:basedOn w:val="TableNormal8"/>
    <w:pPr>
      <w:spacing w:after="0" w:line="240" w:lineRule="auto"/>
    </w:pPr>
    <w:tblPr>
      <w:tblStyleRowBandSize w:val="1"/>
      <w:tblStyleColBandSize w:val="1"/>
      <w:tblCellMar>
        <w:left w:w="108" w:type="dxa"/>
        <w:right w:w="108" w:type="dxa"/>
      </w:tblCellMar>
    </w:tblPr>
  </w:style>
  <w:style w:type="table" w:customStyle="1" w:styleId="aff3">
    <w:basedOn w:val="TableNormal7"/>
    <w:pPr>
      <w:spacing w:after="0" w:line="240" w:lineRule="auto"/>
    </w:pPr>
    <w:tblPr>
      <w:tblStyleRowBandSize w:val="1"/>
      <w:tblStyleColBandSize w:val="1"/>
      <w:tblCellMar>
        <w:left w:w="108" w:type="dxa"/>
        <w:right w:w="108" w:type="dxa"/>
      </w:tblCellMar>
    </w:tblPr>
  </w:style>
  <w:style w:type="table" w:customStyle="1" w:styleId="aff4">
    <w:basedOn w:val="TableNormal7"/>
    <w:pPr>
      <w:spacing w:after="0" w:line="240" w:lineRule="auto"/>
    </w:pPr>
    <w:tblPr>
      <w:tblStyleRowBandSize w:val="1"/>
      <w:tblStyleColBandSize w:val="1"/>
      <w:tblCellMar>
        <w:left w:w="108" w:type="dxa"/>
        <w:right w:w="108" w:type="dxa"/>
      </w:tblCellMar>
    </w:tblPr>
  </w:style>
  <w:style w:type="table" w:customStyle="1" w:styleId="aff5">
    <w:basedOn w:val="TableNormal7"/>
    <w:pPr>
      <w:spacing w:after="0" w:line="240" w:lineRule="auto"/>
    </w:pPr>
    <w:tblPr>
      <w:tblStyleRowBandSize w:val="1"/>
      <w:tblStyleColBandSize w:val="1"/>
      <w:tblCellMar>
        <w:left w:w="108" w:type="dxa"/>
        <w:right w:w="108" w:type="dxa"/>
      </w:tblCellMar>
    </w:tblPr>
  </w:style>
  <w:style w:type="table" w:customStyle="1" w:styleId="aff6">
    <w:basedOn w:val="TableNormal7"/>
    <w:pPr>
      <w:spacing w:after="0" w:line="240" w:lineRule="auto"/>
    </w:pPr>
    <w:tblPr>
      <w:tblStyleRowBandSize w:val="1"/>
      <w:tblStyleColBandSize w:val="1"/>
      <w:tblCellMar>
        <w:left w:w="108" w:type="dxa"/>
        <w:right w:w="108" w:type="dxa"/>
      </w:tblCellMar>
    </w:tblPr>
  </w:style>
  <w:style w:type="table" w:customStyle="1" w:styleId="aff7">
    <w:basedOn w:val="TableNormal6"/>
    <w:pPr>
      <w:spacing w:after="0" w:line="240" w:lineRule="auto"/>
    </w:pPr>
    <w:tblPr>
      <w:tblStyleRowBandSize w:val="1"/>
      <w:tblStyleColBandSize w:val="1"/>
      <w:tblCellMar>
        <w:left w:w="108" w:type="dxa"/>
        <w:right w:w="108" w:type="dxa"/>
      </w:tblCellMar>
    </w:tblPr>
  </w:style>
  <w:style w:type="table" w:customStyle="1" w:styleId="aff8">
    <w:basedOn w:val="TableNormal6"/>
    <w:pPr>
      <w:spacing w:after="0" w:line="240" w:lineRule="auto"/>
    </w:pPr>
    <w:tblPr>
      <w:tblStyleRowBandSize w:val="1"/>
      <w:tblStyleColBandSize w:val="1"/>
      <w:tblCellMar>
        <w:left w:w="108" w:type="dxa"/>
        <w:right w:w="108" w:type="dxa"/>
      </w:tblCellMar>
    </w:tblPr>
  </w:style>
  <w:style w:type="table" w:customStyle="1" w:styleId="aff9">
    <w:basedOn w:val="TableNormal6"/>
    <w:pPr>
      <w:spacing w:after="0" w:line="240" w:lineRule="auto"/>
    </w:pPr>
    <w:tblPr>
      <w:tblStyleRowBandSize w:val="1"/>
      <w:tblStyleColBandSize w:val="1"/>
      <w:tblCellMar>
        <w:left w:w="108" w:type="dxa"/>
        <w:right w:w="108" w:type="dxa"/>
      </w:tblCellMar>
    </w:tblPr>
  </w:style>
  <w:style w:type="table" w:customStyle="1" w:styleId="affa">
    <w:basedOn w:val="TableNormal6"/>
    <w:pPr>
      <w:spacing w:after="0" w:line="240" w:lineRule="auto"/>
    </w:pPr>
    <w:tblPr>
      <w:tblStyleRowBandSize w:val="1"/>
      <w:tblStyleColBandSize w:val="1"/>
      <w:tblCellMar>
        <w:left w:w="108" w:type="dxa"/>
        <w:right w:w="108" w:type="dxa"/>
      </w:tblCellMar>
    </w:tblPr>
  </w:style>
  <w:style w:type="table" w:customStyle="1" w:styleId="affb">
    <w:basedOn w:val="TableNormal6"/>
    <w:pPr>
      <w:spacing w:after="0" w:line="240" w:lineRule="auto"/>
    </w:pPr>
    <w:tblPr>
      <w:tblStyleRowBandSize w:val="1"/>
      <w:tblStyleColBandSize w:val="1"/>
      <w:tblCellMar>
        <w:left w:w="108" w:type="dxa"/>
        <w:right w:w="108" w:type="dxa"/>
      </w:tblCellMar>
    </w:tblPr>
  </w:style>
  <w:style w:type="table" w:customStyle="1" w:styleId="affc">
    <w:basedOn w:val="TableNormal6"/>
    <w:pPr>
      <w:spacing w:after="0" w:line="240" w:lineRule="auto"/>
    </w:pPr>
    <w:tblPr>
      <w:tblStyleRowBandSize w:val="1"/>
      <w:tblStyleColBandSize w:val="1"/>
      <w:tblCellMar>
        <w:left w:w="108" w:type="dxa"/>
        <w:right w:w="108" w:type="dxa"/>
      </w:tblCellMar>
    </w:tblPr>
  </w:style>
  <w:style w:type="table" w:customStyle="1" w:styleId="affd">
    <w:basedOn w:val="TableNormal6"/>
    <w:pPr>
      <w:spacing w:after="0" w:line="240" w:lineRule="auto"/>
    </w:pPr>
    <w:tblPr>
      <w:tblStyleRowBandSize w:val="1"/>
      <w:tblStyleColBandSize w:val="1"/>
      <w:tblCellMar>
        <w:left w:w="108" w:type="dxa"/>
        <w:right w:w="108" w:type="dxa"/>
      </w:tblCellMar>
    </w:tblPr>
  </w:style>
  <w:style w:type="table" w:customStyle="1" w:styleId="affe">
    <w:basedOn w:val="TableNormal6"/>
    <w:pPr>
      <w:spacing w:after="0" w:line="240" w:lineRule="auto"/>
    </w:pPr>
    <w:tblPr>
      <w:tblStyleRowBandSize w:val="1"/>
      <w:tblStyleColBandSize w:val="1"/>
      <w:tblCellMar>
        <w:left w:w="108" w:type="dxa"/>
        <w:right w:w="108" w:type="dxa"/>
      </w:tblCellMar>
    </w:tblPr>
  </w:style>
  <w:style w:type="table" w:customStyle="1" w:styleId="afff">
    <w:basedOn w:val="TableNormal6"/>
    <w:pPr>
      <w:spacing w:after="0" w:line="240" w:lineRule="auto"/>
    </w:pPr>
    <w:tblPr>
      <w:tblStyleRowBandSize w:val="1"/>
      <w:tblStyleColBandSize w:val="1"/>
      <w:tblCellMar>
        <w:left w:w="108" w:type="dxa"/>
        <w:right w:w="108" w:type="dxa"/>
      </w:tblCellMar>
    </w:tblPr>
  </w:style>
  <w:style w:type="table" w:customStyle="1" w:styleId="afff0">
    <w:basedOn w:val="TableNormal6"/>
    <w:pPr>
      <w:spacing w:after="0" w:line="240" w:lineRule="auto"/>
    </w:pPr>
    <w:tblPr>
      <w:tblStyleRowBandSize w:val="1"/>
      <w:tblStyleColBandSize w:val="1"/>
      <w:tblCellMar>
        <w:left w:w="108" w:type="dxa"/>
        <w:right w:w="108" w:type="dxa"/>
      </w:tblCellMar>
    </w:tblPr>
  </w:style>
  <w:style w:type="table" w:customStyle="1" w:styleId="afff1">
    <w:basedOn w:val="TableNormal6"/>
    <w:pPr>
      <w:spacing w:after="0" w:line="240" w:lineRule="auto"/>
    </w:pPr>
    <w:tblPr>
      <w:tblStyleRowBandSize w:val="1"/>
      <w:tblStyleColBandSize w:val="1"/>
      <w:tblCellMar>
        <w:left w:w="108" w:type="dxa"/>
        <w:right w:w="108" w:type="dxa"/>
      </w:tblCellMar>
    </w:tblPr>
  </w:style>
  <w:style w:type="table" w:customStyle="1" w:styleId="afff2">
    <w:basedOn w:val="TableNormal6"/>
    <w:pPr>
      <w:spacing w:after="0" w:line="240" w:lineRule="auto"/>
    </w:pPr>
    <w:tblPr>
      <w:tblStyleRowBandSize w:val="1"/>
      <w:tblStyleColBandSize w:val="1"/>
      <w:tblCellMar>
        <w:left w:w="108" w:type="dxa"/>
        <w:right w:w="108" w:type="dxa"/>
      </w:tblCellMar>
    </w:tblPr>
  </w:style>
  <w:style w:type="table" w:customStyle="1" w:styleId="afff3">
    <w:basedOn w:val="TableNormal6"/>
    <w:pPr>
      <w:spacing w:after="0" w:line="240" w:lineRule="auto"/>
    </w:pPr>
    <w:tblPr>
      <w:tblStyleRowBandSize w:val="1"/>
      <w:tblStyleColBandSize w:val="1"/>
      <w:tblCellMar>
        <w:left w:w="108" w:type="dxa"/>
        <w:right w:w="108" w:type="dxa"/>
      </w:tblCellMar>
    </w:tblPr>
  </w:style>
  <w:style w:type="table" w:customStyle="1" w:styleId="afff4">
    <w:basedOn w:val="TableNormal6"/>
    <w:pPr>
      <w:spacing w:after="0" w:line="240" w:lineRule="auto"/>
    </w:pPr>
    <w:tblPr>
      <w:tblStyleRowBandSize w:val="1"/>
      <w:tblStyleColBandSize w:val="1"/>
      <w:tblCellMar>
        <w:left w:w="108" w:type="dxa"/>
        <w:right w:w="108" w:type="dxa"/>
      </w:tblCellMar>
    </w:tblPr>
  </w:style>
  <w:style w:type="table" w:customStyle="1" w:styleId="afff5">
    <w:basedOn w:val="TableNormal6"/>
    <w:pPr>
      <w:spacing w:after="0" w:line="240" w:lineRule="auto"/>
    </w:pPr>
    <w:tblPr>
      <w:tblStyleRowBandSize w:val="1"/>
      <w:tblStyleColBandSize w:val="1"/>
      <w:tblCellMar>
        <w:left w:w="108" w:type="dxa"/>
        <w:right w:w="108" w:type="dxa"/>
      </w:tblCellMar>
    </w:tblPr>
  </w:style>
  <w:style w:type="table" w:customStyle="1" w:styleId="afff6">
    <w:basedOn w:val="TableNormal6"/>
    <w:pPr>
      <w:spacing w:after="0" w:line="240" w:lineRule="auto"/>
    </w:pPr>
    <w:tblPr>
      <w:tblStyleRowBandSize w:val="1"/>
      <w:tblStyleColBandSize w:val="1"/>
      <w:tblCellMar>
        <w:left w:w="108" w:type="dxa"/>
        <w:right w:w="108" w:type="dxa"/>
      </w:tblCellMar>
    </w:tblPr>
  </w:style>
  <w:style w:type="table" w:customStyle="1" w:styleId="afff7">
    <w:basedOn w:val="TableNormal6"/>
    <w:pPr>
      <w:spacing w:after="0" w:line="240" w:lineRule="auto"/>
    </w:pPr>
    <w:tblPr>
      <w:tblStyleRowBandSize w:val="1"/>
      <w:tblStyleColBandSize w:val="1"/>
      <w:tblCellMar>
        <w:left w:w="108" w:type="dxa"/>
        <w:right w:w="108" w:type="dxa"/>
      </w:tblCellMar>
    </w:tblPr>
  </w:style>
  <w:style w:type="table" w:customStyle="1" w:styleId="afff8">
    <w:basedOn w:val="TableNormal6"/>
    <w:pPr>
      <w:spacing w:after="0" w:line="240" w:lineRule="auto"/>
    </w:pPr>
    <w:tblPr>
      <w:tblStyleRowBandSize w:val="1"/>
      <w:tblStyleColBandSize w:val="1"/>
      <w:tblCellMar>
        <w:left w:w="108" w:type="dxa"/>
        <w:right w:w="108" w:type="dxa"/>
      </w:tblCellMar>
    </w:tblPr>
  </w:style>
  <w:style w:type="table" w:customStyle="1" w:styleId="afff9">
    <w:basedOn w:val="TableNormal6"/>
    <w:pPr>
      <w:spacing w:after="0" w:line="240" w:lineRule="auto"/>
    </w:pPr>
    <w:tblPr>
      <w:tblStyleRowBandSize w:val="1"/>
      <w:tblStyleColBandSize w:val="1"/>
      <w:tblCellMar>
        <w:left w:w="108" w:type="dxa"/>
        <w:right w:w="108" w:type="dxa"/>
      </w:tblCellMar>
    </w:tblPr>
  </w:style>
  <w:style w:type="table" w:customStyle="1" w:styleId="afffa">
    <w:basedOn w:val="TableNormal6"/>
    <w:pPr>
      <w:spacing w:after="0" w:line="240" w:lineRule="auto"/>
    </w:pPr>
    <w:tblPr>
      <w:tblStyleRowBandSize w:val="1"/>
      <w:tblStyleColBandSize w:val="1"/>
      <w:tblCellMar>
        <w:left w:w="108" w:type="dxa"/>
        <w:right w:w="108" w:type="dxa"/>
      </w:tblCellMar>
    </w:tblPr>
  </w:style>
  <w:style w:type="table" w:customStyle="1" w:styleId="afffb">
    <w:basedOn w:val="TableNormal6"/>
    <w:pPr>
      <w:spacing w:after="0" w:line="240" w:lineRule="auto"/>
    </w:pPr>
    <w:tblPr>
      <w:tblStyleRowBandSize w:val="1"/>
      <w:tblStyleColBandSize w:val="1"/>
      <w:tblCellMar>
        <w:left w:w="108" w:type="dxa"/>
        <w:right w:w="108" w:type="dxa"/>
      </w:tblCellMar>
    </w:tblPr>
  </w:style>
  <w:style w:type="table" w:customStyle="1" w:styleId="afffc">
    <w:basedOn w:val="TableNormal6"/>
    <w:pPr>
      <w:spacing w:after="0" w:line="240" w:lineRule="auto"/>
    </w:pPr>
    <w:tblPr>
      <w:tblStyleRowBandSize w:val="1"/>
      <w:tblStyleColBandSize w:val="1"/>
      <w:tblCellMar>
        <w:left w:w="108" w:type="dxa"/>
        <w:right w:w="108" w:type="dxa"/>
      </w:tblCellMar>
    </w:tblPr>
  </w:style>
  <w:style w:type="table" w:customStyle="1" w:styleId="afffd">
    <w:basedOn w:val="TableNormal5"/>
    <w:pPr>
      <w:spacing w:after="0" w:line="240" w:lineRule="auto"/>
    </w:pPr>
    <w:tblPr>
      <w:tblStyleRowBandSize w:val="1"/>
      <w:tblStyleColBandSize w:val="1"/>
      <w:tblCellMar>
        <w:left w:w="108" w:type="dxa"/>
        <w:right w:w="108" w:type="dxa"/>
      </w:tblCellMar>
    </w:tblPr>
  </w:style>
  <w:style w:type="table" w:customStyle="1" w:styleId="afffe">
    <w:basedOn w:val="TableNormal5"/>
    <w:pPr>
      <w:spacing w:after="0" w:line="240" w:lineRule="auto"/>
    </w:pPr>
    <w:tblPr>
      <w:tblStyleRowBandSize w:val="1"/>
      <w:tblStyleColBandSize w:val="1"/>
      <w:tblCellMar>
        <w:left w:w="108" w:type="dxa"/>
        <w:right w:w="108" w:type="dxa"/>
      </w:tblCellMar>
    </w:tblPr>
  </w:style>
  <w:style w:type="table" w:customStyle="1" w:styleId="affff">
    <w:basedOn w:val="TableNormal5"/>
    <w:pPr>
      <w:spacing w:after="0" w:line="240" w:lineRule="auto"/>
    </w:pPr>
    <w:tblPr>
      <w:tblStyleRowBandSize w:val="1"/>
      <w:tblStyleColBandSize w:val="1"/>
      <w:tblCellMar>
        <w:left w:w="108" w:type="dxa"/>
        <w:right w:w="108" w:type="dxa"/>
      </w:tblCellMar>
    </w:tblPr>
  </w:style>
  <w:style w:type="table" w:customStyle="1" w:styleId="affff0">
    <w:basedOn w:val="TableNormal5"/>
    <w:pPr>
      <w:spacing w:after="0" w:line="240" w:lineRule="auto"/>
    </w:pPr>
    <w:tblPr>
      <w:tblStyleRowBandSize w:val="1"/>
      <w:tblStyleColBandSize w:val="1"/>
      <w:tblCellMar>
        <w:left w:w="108" w:type="dxa"/>
        <w:right w:w="108" w:type="dxa"/>
      </w:tblCellMar>
    </w:tblPr>
  </w:style>
  <w:style w:type="table" w:customStyle="1" w:styleId="affff1">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4"/>
    <w:pPr>
      <w:spacing w:after="0" w:line="240" w:lineRule="auto"/>
    </w:pPr>
    <w:tblPr>
      <w:tblStyleRowBandSize w:val="1"/>
      <w:tblStyleColBandSize w:val="1"/>
      <w:tblCellMar>
        <w:left w:w="108" w:type="dxa"/>
        <w:right w:w="108" w:type="dxa"/>
      </w:tblCellMar>
    </w:tblPr>
  </w:style>
  <w:style w:type="table" w:customStyle="1" w:styleId="affff3">
    <w:basedOn w:val="TableNormal4"/>
    <w:pPr>
      <w:spacing w:after="0" w:line="240" w:lineRule="auto"/>
    </w:pPr>
    <w:tblPr>
      <w:tblStyleRowBandSize w:val="1"/>
      <w:tblStyleColBandSize w:val="1"/>
      <w:tblCellMar>
        <w:left w:w="108" w:type="dxa"/>
        <w:right w:w="108" w:type="dxa"/>
      </w:tblCellMar>
    </w:tblPr>
  </w:style>
  <w:style w:type="table" w:customStyle="1" w:styleId="affff4">
    <w:basedOn w:val="TableNormal4"/>
    <w:pPr>
      <w:spacing w:after="0" w:line="240" w:lineRule="auto"/>
    </w:pPr>
    <w:tblPr>
      <w:tblStyleRowBandSize w:val="1"/>
      <w:tblStyleColBandSize w:val="1"/>
      <w:tblCellMar>
        <w:left w:w="108" w:type="dxa"/>
        <w:right w:w="108" w:type="dxa"/>
      </w:tblCellMar>
    </w:tblPr>
  </w:style>
  <w:style w:type="table" w:customStyle="1" w:styleId="affff5">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3"/>
    <w:pPr>
      <w:spacing w:after="0" w:line="240" w:lineRule="auto"/>
    </w:pPr>
    <w:tblPr>
      <w:tblStyleRowBandSize w:val="1"/>
      <w:tblStyleColBandSize w:val="1"/>
      <w:tblCellMar>
        <w:left w:w="108" w:type="dxa"/>
        <w:right w:w="108" w:type="dxa"/>
      </w:tblCellMar>
    </w:tblPr>
  </w:style>
  <w:style w:type="table" w:customStyle="1" w:styleId="affff7">
    <w:basedOn w:val="TableNormal3"/>
    <w:pPr>
      <w:spacing w:after="0" w:line="240" w:lineRule="auto"/>
    </w:pPr>
    <w:tblPr>
      <w:tblStyleRowBandSize w:val="1"/>
      <w:tblStyleColBandSize w:val="1"/>
      <w:tblCellMar>
        <w:left w:w="108" w:type="dxa"/>
        <w:right w:w="108" w:type="dxa"/>
      </w:tblCellMar>
    </w:tblPr>
  </w:style>
  <w:style w:type="table" w:customStyle="1" w:styleId="affff8">
    <w:basedOn w:val="TableNormal3"/>
    <w:pPr>
      <w:spacing w:after="0" w:line="240" w:lineRule="auto"/>
    </w:pPr>
    <w:tblPr>
      <w:tblStyleRowBandSize w:val="1"/>
      <w:tblStyleColBandSize w:val="1"/>
      <w:tblCellMar>
        <w:left w:w="108" w:type="dxa"/>
        <w:right w:w="108" w:type="dxa"/>
      </w:tblCellMar>
    </w:tblPr>
  </w:style>
  <w:style w:type="table" w:customStyle="1" w:styleId="affff9">
    <w:basedOn w:val="TableNormal3"/>
    <w:pPr>
      <w:spacing w:after="0" w:line="240" w:lineRule="auto"/>
    </w:pPr>
    <w:tblPr>
      <w:tblStyleRowBandSize w:val="1"/>
      <w:tblStyleColBandSize w:val="1"/>
      <w:tblCellMar>
        <w:left w:w="108" w:type="dxa"/>
        <w:right w:w="108" w:type="dxa"/>
      </w:tblCellMar>
    </w:tblPr>
  </w:style>
  <w:style w:type="table" w:customStyle="1" w:styleId="affffa">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2"/>
    <w:pPr>
      <w:spacing w:after="0" w:line="240" w:lineRule="auto"/>
    </w:pPr>
    <w:tblPr>
      <w:tblStyleRowBandSize w:val="1"/>
      <w:tblStyleColBandSize w:val="1"/>
      <w:tblCellMar>
        <w:left w:w="108" w:type="dxa"/>
        <w:right w:w="108" w:type="dxa"/>
      </w:tblCellMar>
    </w:tblPr>
  </w:style>
  <w:style w:type="table" w:customStyle="1" w:styleId="affffc">
    <w:basedOn w:val="TableNormal2"/>
    <w:pPr>
      <w:spacing w:after="0" w:line="240" w:lineRule="auto"/>
    </w:pPr>
    <w:tblPr>
      <w:tblStyleRowBandSize w:val="1"/>
      <w:tblStyleColBandSize w:val="1"/>
      <w:tblCellMar>
        <w:left w:w="108" w:type="dxa"/>
        <w:right w:w="108" w:type="dxa"/>
      </w:tblCellMar>
    </w:tblPr>
  </w:style>
  <w:style w:type="table" w:customStyle="1" w:styleId="affffd">
    <w:basedOn w:val="TableNormal2"/>
    <w:pPr>
      <w:spacing w:after="0" w:line="240" w:lineRule="auto"/>
    </w:pPr>
    <w:tblPr>
      <w:tblStyleRowBandSize w:val="1"/>
      <w:tblStyleColBandSize w:val="1"/>
      <w:tblCellMar>
        <w:left w:w="108" w:type="dxa"/>
        <w:right w:w="108" w:type="dxa"/>
      </w:tblCellMar>
    </w:tblPr>
  </w:style>
  <w:style w:type="table" w:customStyle="1" w:styleId="affffe">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B755C"/>
    <w:rPr>
      <w:color w:val="605E5C"/>
      <w:shd w:val="clear" w:color="auto" w:fill="E1DFDD"/>
    </w:rPr>
  </w:style>
  <w:style w:type="table" w:customStyle="1" w:styleId="afffff">
    <w:basedOn w:val="TableNormal1"/>
    <w:pPr>
      <w:spacing w:after="0" w:line="240" w:lineRule="auto"/>
    </w:pPr>
    <w:tblPr>
      <w:tblStyleRowBandSize w:val="1"/>
      <w:tblStyleColBandSize w:val="1"/>
      <w:tblCellMar>
        <w:left w:w="108" w:type="dxa"/>
        <w:right w:w="108" w:type="dxa"/>
      </w:tblCellMar>
    </w:tblPr>
  </w:style>
  <w:style w:type="table" w:customStyle="1" w:styleId="afffff0">
    <w:basedOn w:val="TableNormal1"/>
    <w:pPr>
      <w:spacing w:after="0" w:line="240" w:lineRule="auto"/>
    </w:pPr>
    <w:tblPr>
      <w:tblStyleRowBandSize w:val="1"/>
      <w:tblStyleColBandSize w:val="1"/>
      <w:tblCellMar>
        <w:left w:w="108" w:type="dxa"/>
        <w:right w:w="108" w:type="dxa"/>
      </w:tblCellMar>
    </w:tblPr>
  </w:style>
  <w:style w:type="table" w:customStyle="1" w:styleId="afffff1">
    <w:basedOn w:val="TableNormal1"/>
    <w:pPr>
      <w:spacing w:after="0" w:line="240" w:lineRule="auto"/>
    </w:pPr>
    <w:tblPr>
      <w:tblStyleRowBandSize w:val="1"/>
      <w:tblStyleColBandSize w:val="1"/>
      <w:tblCellMar>
        <w:left w:w="108" w:type="dxa"/>
        <w:right w:w="108" w:type="dxa"/>
      </w:tblCellMar>
    </w:tblPr>
  </w:style>
  <w:style w:type="table" w:customStyle="1" w:styleId="afffff2">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6D19DF"/>
    <w:rPr>
      <w:color w:val="605E5C"/>
      <w:shd w:val="clear" w:color="auto" w:fill="E1DFDD"/>
    </w:rPr>
  </w:style>
  <w:style w:type="character" w:customStyle="1" w:styleId="UnresolvedMention">
    <w:name w:val="Unresolved Mention"/>
    <w:basedOn w:val="Fuentedeprrafopredeter"/>
    <w:uiPriority w:val="99"/>
    <w:semiHidden/>
    <w:unhideWhenUsed/>
    <w:rsid w:val="00E75A5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3">
    <w:basedOn w:val="TableNormal0"/>
    <w:pPr>
      <w:spacing w:after="0" w:line="240" w:lineRule="auto"/>
    </w:pPr>
    <w:tblPr>
      <w:tblStyleRowBandSize w:val="1"/>
      <w:tblStyleColBandSize w:val="1"/>
      <w:tblCellMar>
        <w:left w:w="108" w:type="dxa"/>
        <w:right w:w="108" w:type="dxa"/>
      </w:tblCellMar>
    </w:tblPr>
  </w:style>
  <w:style w:type="table" w:customStyle="1" w:styleId="afffff4">
    <w:basedOn w:val="TableNormal0"/>
    <w:pPr>
      <w:spacing w:after="0" w:line="240" w:lineRule="auto"/>
    </w:pPr>
    <w:tblPr>
      <w:tblStyleRowBandSize w:val="1"/>
      <w:tblStyleColBandSize w:val="1"/>
      <w:tblCellMar>
        <w:left w:w="108" w:type="dxa"/>
        <w:right w:w="108" w:type="dxa"/>
      </w:tblCellMar>
    </w:tblPr>
  </w:style>
  <w:style w:type="table" w:customStyle="1" w:styleId="afffff5">
    <w:basedOn w:val="TableNormal0"/>
    <w:pPr>
      <w:spacing w:after="0" w:line="240" w:lineRule="auto"/>
    </w:pPr>
    <w:tblPr>
      <w:tblStyleRowBandSize w:val="1"/>
      <w:tblStyleColBandSize w:val="1"/>
      <w:tblCellMar>
        <w:left w:w="108" w:type="dxa"/>
        <w:right w:w="108" w:type="dxa"/>
      </w:tblCellMar>
    </w:tblPr>
  </w:style>
  <w:style w:type="table" w:customStyle="1" w:styleId="afffff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iO4Nu9WC8Vu/jV5PQyfwKRBbg==">CgMxLjAyDmguN2JrdmtrZDkxc2FmMghoLmdqZGd4czIOaC53enYxcWNjNGE3cWkyDmguNnJtbGlzOWRuYzluMg5oLnhjbmp6bjM2aGF0cTIJaC4yZXQ5MnAwMg5oLmJxcnl3ZmpiYWdicDIOaC5leWI1cmZ6YWN3dTYyDmgucm9mM21oeXl2b2NwMg5oLjdmazJ6NGpzN3JqZTIOaC5qbHp6Y3ZlYXp4Mm8yDmguMnY3OW1qd3kxbDgwMg5oLjdycWNwa3VhMjgzbTIOaC41YWtocWh1bjdnOGoyDmguZTRpa2dqcDliMTlvMg5oLmFyZ3kyMXFua21ocjgAciExNHpEbGtlZVJjSFZLYlYzMGEtd0RXNkJ1bzJDTEh0cz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127EAA-AFA1-4EB3-BE05-FDCF7DDE9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5421</Words>
  <Characters>29821</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2026-01-30T16:45:00Z</cp:lastPrinted>
  <dcterms:created xsi:type="dcterms:W3CDTF">2026-01-30T16:44:00Z</dcterms:created>
  <dcterms:modified xsi:type="dcterms:W3CDTF">2026-01-30T16:45:00Z</dcterms:modified>
</cp:coreProperties>
</file>