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102323" w14:textId="029BC6CD" w:rsidR="00A010E9" w:rsidRPr="0011161D" w:rsidRDefault="00EA661E">
      <w:pPr>
        <w:spacing w:line="360" w:lineRule="auto"/>
        <w:jc w:val="both"/>
        <w:rPr>
          <w:rFonts w:ascii="Palatino Linotype" w:eastAsia="Palatino Linotype" w:hAnsi="Palatino Linotype" w:cs="Palatino Linotype"/>
        </w:rPr>
      </w:pPr>
      <w:bookmarkStart w:id="0" w:name="_GoBack"/>
      <w:bookmarkEnd w:id="0"/>
      <w:r w:rsidRPr="0011161D">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6042AC" w:rsidRPr="0011161D">
        <w:rPr>
          <w:rFonts w:ascii="Palatino Linotype" w:eastAsia="Palatino Linotype" w:hAnsi="Palatino Linotype" w:cs="Palatino Linotype"/>
        </w:rPr>
        <w:t xml:space="preserve"> de México; de fecha veintidós </w:t>
      </w:r>
      <w:r w:rsidR="0011161D">
        <w:rPr>
          <w:rFonts w:ascii="Palatino Linotype" w:eastAsia="Palatino Linotype" w:hAnsi="Palatino Linotype" w:cs="Palatino Linotype"/>
        </w:rPr>
        <w:t xml:space="preserve">(22) </w:t>
      </w:r>
      <w:r w:rsidR="006042AC" w:rsidRPr="0011161D">
        <w:rPr>
          <w:rFonts w:ascii="Palatino Linotype" w:eastAsia="Palatino Linotype" w:hAnsi="Palatino Linotype" w:cs="Palatino Linotype"/>
        </w:rPr>
        <w:t>de abril de dos mil veintiséis</w:t>
      </w:r>
      <w:r w:rsidRPr="0011161D">
        <w:rPr>
          <w:rFonts w:ascii="Palatino Linotype" w:eastAsia="Palatino Linotype" w:hAnsi="Palatino Linotype" w:cs="Palatino Linotype"/>
        </w:rPr>
        <w:t>.</w:t>
      </w:r>
    </w:p>
    <w:p w14:paraId="1F20DAB8" w14:textId="77777777" w:rsidR="00A010E9" w:rsidRPr="0011161D" w:rsidRDefault="00A010E9">
      <w:pPr>
        <w:jc w:val="both"/>
        <w:rPr>
          <w:rFonts w:ascii="Palatino Linotype" w:eastAsia="Palatino Linotype" w:hAnsi="Palatino Linotype" w:cs="Palatino Linotype"/>
        </w:rPr>
      </w:pPr>
    </w:p>
    <w:p w14:paraId="4A7398FD" w14:textId="77777777" w:rsidR="00A010E9" w:rsidRPr="0011161D" w:rsidRDefault="00EA661E">
      <w:pPr>
        <w:spacing w:line="360" w:lineRule="auto"/>
        <w:jc w:val="both"/>
        <w:rPr>
          <w:rFonts w:ascii="Palatino Linotype" w:eastAsia="Palatino Linotype" w:hAnsi="Palatino Linotype" w:cs="Palatino Linotype"/>
        </w:rPr>
      </w:pPr>
      <w:r w:rsidRPr="0011161D">
        <w:rPr>
          <w:rFonts w:ascii="Palatino Linotype" w:eastAsia="Palatino Linotype" w:hAnsi="Palatino Linotype" w:cs="Palatino Linotype"/>
          <w:b/>
          <w:bCs/>
        </w:rPr>
        <w:t>VISTO</w:t>
      </w:r>
      <w:r w:rsidRPr="0011161D">
        <w:rPr>
          <w:rFonts w:ascii="Palatino Linotype" w:eastAsia="Palatino Linotype" w:hAnsi="Palatino Linotype" w:cs="Palatino Linotype"/>
        </w:rPr>
        <w:t xml:space="preserve"> el expediente electrónico formado con motivo del recurso de revisión </w:t>
      </w:r>
      <w:r w:rsidRPr="0011161D">
        <w:rPr>
          <w:rFonts w:ascii="Palatino Linotype" w:eastAsia="Palatino Linotype" w:hAnsi="Palatino Linotype" w:cs="Palatino Linotype"/>
          <w:b/>
          <w:bCs/>
        </w:rPr>
        <w:t xml:space="preserve">10268/INFOEM/IP/RR/2025, </w:t>
      </w:r>
      <w:r w:rsidRPr="0011161D">
        <w:rPr>
          <w:rFonts w:ascii="Palatino Linotype" w:eastAsia="Palatino Linotype" w:hAnsi="Palatino Linotype" w:cs="Palatino Linotype"/>
        </w:rPr>
        <w:t>promovido por un</w:t>
      </w:r>
      <w:r w:rsidRPr="0011161D">
        <w:rPr>
          <w:rFonts w:ascii="Palatino Linotype" w:eastAsia="Palatino Linotype" w:hAnsi="Palatino Linotype" w:cs="Palatino Linotype"/>
          <w:b/>
          <w:bCs/>
        </w:rPr>
        <w:t xml:space="preserve"> RECURRENTE,</w:t>
      </w:r>
      <w:r w:rsidRPr="0011161D">
        <w:rPr>
          <w:rFonts w:ascii="Palatino Linotype" w:eastAsia="Palatino Linotype" w:hAnsi="Palatino Linotype" w:cs="Palatino Linotype"/>
        </w:rPr>
        <w:t xml:space="preserve"> en contra de la respuesta del </w:t>
      </w:r>
      <w:r w:rsidRPr="0011161D">
        <w:rPr>
          <w:rFonts w:ascii="Palatino Linotype" w:eastAsia="Palatino Linotype" w:hAnsi="Palatino Linotype" w:cs="Palatino Linotype"/>
          <w:b/>
          <w:bCs/>
        </w:rPr>
        <w:t xml:space="preserve">Ayuntamiento de Atlacomulco, </w:t>
      </w:r>
      <w:r w:rsidRPr="0011161D">
        <w:rPr>
          <w:rFonts w:ascii="Palatino Linotype" w:eastAsia="Palatino Linotype" w:hAnsi="Palatino Linotype" w:cs="Palatino Linotype"/>
        </w:rPr>
        <w:t>en adelante el</w:t>
      </w:r>
      <w:r w:rsidRPr="0011161D">
        <w:rPr>
          <w:rFonts w:ascii="Palatino Linotype" w:eastAsia="Palatino Linotype" w:hAnsi="Palatino Linotype" w:cs="Palatino Linotype"/>
          <w:b/>
          <w:bCs/>
        </w:rPr>
        <w:t xml:space="preserve"> SUJETO OBLIGADO</w:t>
      </w:r>
      <w:r w:rsidRPr="0011161D">
        <w:rPr>
          <w:rFonts w:ascii="Palatino Linotype" w:eastAsia="Palatino Linotype" w:hAnsi="Palatino Linotype" w:cs="Palatino Linotype"/>
        </w:rPr>
        <w:t>, por lo que se procede a dictar la presente resolución, con base en los siguientes:</w:t>
      </w:r>
    </w:p>
    <w:p w14:paraId="4FC0FB13" w14:textId="77777777" w:rsidR="00A010E9" w:rsidRPr="0011161D" w:rsidRDefault="00A010E9">
      <w:pPr>
        <w:jc w:val="both"/>
        <w:rPr>
          <w:rFonts w:ascii="Palatino Linotype" w:eastAsia="Palatino Linotype" w:hAnsi="Palatino Linotype" w:cs="Palatino Linotype"/>
        </w:rPr>
      </w:pPr>
    </w:p>
    <w:p w14:paraId="396CE796" w14:textId="77777777" w:rsidR="00A010E9" w:rsidRPr="0011161D" w:rsidRDefault="00EA661E">
      <w:pPr>
        <w:keepNext/>
        <w:keepLines/>
        <w:spacing w:line="360" w:lineRule="auto"/>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A N T E C E D E N T E S</w:t>
      </w:r>
    </w:p>
    <w:p w14:paraId="21FD3D9C" w14:textId="77777777" w:rsidR="00A010E9" w:rsidRPr="0011161D" w:rsidRDefault="00A010E9">
      <w:pPr>
        <w:rPr>
          <w:rFonts w:ascii="Palatino Linotype" w:eastAsia="Palatino Linotype" w:hAnsi="Palatino Linotype" w:cs="Palatino Linotype"/>
        </w:rPr>
      </w:pPr>
    </w:p>
    <w:p w14:paraId="0B315487"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rPr>
      </w:pPr>
      <w:bookmarkStart w:id="1" w:name="_heading=h.euvq95gbe3c2" w:colFirst="0" w:colLast="0"/>
      <w:bookmarkEnd w:id="1"/>
      <w:r w:rsidRPr="0011161D">
        <w:rPr>
          <w:rFonts w:ascii="Palatino Linotype" w:eastAsia="Palatino Linotype" w:hAnsi="Palatino Linotype" w:cs="Palatino Linotype"/>
        </w:rPr>
        <w:t>El dieciséis de julio de dos mil veinticinco, la</w:t>
      </w:r>
      <w:r w:rsidRPr="0011161D">
        <w:rPr>
          <w:rFonts w:ascii="Palatino Linotype" w:eastAsia="Palatino Linotype" w:hAnsi="Palatino Linotype" w:cs="Palatino Linotype"/>
          <w:b/>
          <w:bCs/>
        </w:rPr>
        <w:t xml:space="preserve"> RECURRENTE </w:t>
      </w:r>
      <w:r w:rsidRPr="0011161D">
        <w:rPr>
          <w:rFonts w:ascii="Palatino Linotype" w:eastAsia="Palatino Linotype" w:hAnsi="Palatino Linotype" w:cs="Palatino Linotype"/>
        </w:rPr>
        <w:t xml:space="preserve">presentó ante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a través del el Sistema de Acceso a la Información Mexiquense </w:t>
      </w:r>
      <w:r w:rsidRPr="0011161D">
        <w:rPr>
          <w:rFonts w:ascii="Palatino Linotype" w:eastAsia="Palatino Linotype" w:hAnsi="Palatino Linotype" w:cs="Palatino Linotype"/>
          <w:b/>
          <w:bCs/>
        </w:rPr>
        <w:t>(SAIMEX),</w:t>
      </w:r>
      <w:r w:rsidRPr="0011161D">
        <w:rPr>
          <w:rFonts w:ascii="Palatino Linotype" w:eastAsia="Palatino Linotype" w:hAnsi="Palatino Linotype" w:cs="Palatino Linotype"/>
        </w:rPr>
        <w:t xml:space="preserve"> la solicitud de información pública </w:t>
      </w:r>
      <w:r w:rsidRPr="0011161D">
        <w:rPr>
          <w:rFonts w:ascii="Palatino Linotype" w:eastAsia="Palatino Linotype" w:hAnsi="Palatino Linotype" w:cs="Palatino Linotype"/>
          <w:b/>
          <w:bCs/>
        </w:rPr>
        <w:t>00432/ATLACOM/IP/2025</w:t>
      </w:r>
      <w:r w:rsidRPr="0011161D">
        <w:rPr>
          <w:rFonts w:ascii="Palatino Linotype" w:eastAsia="Palatino Linotype" w:hAnsi="Palatino Linotype" w:cs="Palatino Linotype"/>
        </w:rPr>
        <w:t>, en la que solicitó:</w:t>
      </w:r>
    </w:p>
    <w:p w14:paraId="7E848420" w14:textId="77777777" w:rsidR="00A010E9" w:rsidRPr="0011161D" w:rsidRDefault="00A010E9">
      <w:pPr>
        <w:jc w:val="both"/>
        <w:rPr>
          <w:rFonts w:ascii="Palatino Linotype" w:eastAsia="Palatino Linotype" w:hAnsi="Palatino Linotype" w:cs="Palatino Linotype"/>
          <w:i/>
          <w:iCs/>
        </w:rPr>
      </w:pPr>
    </w:p>
    <w:p w14:paraId="3CCDAB99"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color w:val="000000"/>
        </w:rPr>
        <w:t xml:space="preserve">“Expediente y licitación de obra del techado de la secundaria justo sierra” (Sic) </w:t>
      </w:r>
    </w:p>
    <w:p w14:paraId="393CDCAE" w14:textId="77777777" w:rsidR="00A010E9" w:rsidRDefault="00A010E9">
      <w:pPr>
        <w:pBdr>
          <w:top w:val="nil"/>
          <w:left w:val="nil"/>
          <w:bottom w:val="nil"/>
          <w:right w:val="nil"/>
          <w:between w:val="nil"/>
        </w:pBdr>
        <w:jc w:val="both"/>
        <w:rPr>
          <w:rFonts w:ascii="Palatino Linotype" w:eastAsia="Palatino Linotype" w:hAnsi="Palatino Linotype" w:cs="Palatino Linotype"/>
          <w:color w:val="000000"/>
        </w:rPr>
      </w:pPr>
    </w:p>
    <w:p w14:paraId="2D265335" w14:textId="77777777" w:rsidR="0011161D" w:rsidRPr="0011161D" w:rsidRDefault="0011161D">
      <w:pPr>
        <w:pBdr>
          <w:top w:val="nil"/>
          <w:left w:val="nil"/>
          <w:bottom w:val="nil"/>
          <w:right w:val="nil"/>
          <w:between w:val="nil"/>
        </w:pBdr>
        <w:jc w:val="both"/>
        <w:rPr>
          <w:rFonts w:ascii="Palatino Linotype" w:eastAsia="Palatino Linotype" w:hAnsi="Palatino Linotype" w:cs="Palatino Linotype"/>
          <w:color w:val="000000"/>
        </w:rPr>
      </w:pPr>
    </w:p>
    <w:p w14:paraId="6EEADFB7"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Se hace constar que se señaló como modalidad de entrega de la información a través del </w:t>
      </w:r>
      <w:r w:rsidRPr="0011161D">
        <w:rPr>
          <w:rFonts w:ascii="Palatino Linotype" w:eastAsia="Palatino Linotype" w:hAnsi="Palatino Linotype" w:cs="Palatino Linotype"/>
          <w:b/>
          <w:bCs/>
        </w:rPr>
        <w:t>SAIMEX.</w:t>
      </w:r>
    </w:p>
    <w:p w14:paraId="43956DE2" w14:textId="77777777" w:rsidR="00A010E9" w:rsidRPr="0011161D" w:rsidRDefault="00A010E9">
      <w:pPr>
        <w:spacing w:line="360" w:lineRule="auto"/>
        <w:jc w:val="both"/>
        <w:rPr>
          <w:rFonts w:ascii="Palatino Linotype" w:eastAsia="Palatino Linotype" w:hAnsi="Palatino Linotype" w:cs="Palatino Linotype"/>
        </w:rPr>
      </w:pPr>
    </w:p>
    <w:p w14:paraId="56A5616C"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El veinte de agosto de dos mil veinticinco,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b/>
          <w:bCs/>
          <w:i/>
          <w:iCs/>
        </w:rPr>
        <w:t xml:space="preserve"> </w:t>
      </w:r>
      <w:r w:rsidRPr="0011161D">
        <w:rPr>
          <w:rFonts w:ascii="Palatino Linotype" w:eastAsia="Palatino Linotype" w:hAnsi="Palatino Linotype" w:cs="Palatino Linotype"/>
        </w:rPr>
        <w:t>dio respuesta a la solicitud de información, en los siguientes términos:</w:t>
      </w:r>
    </w:p>
    <w:p w14:paraId="219762C6" w14:textId="77777777" w:rsidR="00A010E9" w:rsidRPr="0011161D" w:rsidRDefault="00A010E9">
      <w:pPr>
        <w:ind w:right="567"/>
        <w:jc w:val="both"/>
        <w:rPr>
          <w:rFonts w:ascii="Palatino Linotype" w:eastAsia="Palatino Linotype" w:hAnsi="Palatino Linotype" w:cs="Palatino Linotype"/>
          <w:i/>
          <w:iCs/>
        </w:rPr>
      </w:pPr>
    </w:p>
    <w:p w14:paraId="47B5070B" w14:textId="77777777" w:rsidR="00A010E9" w:rsidRPr="0011161D" w:rsidRDefault="00EA661E">
      <w:pPr>
        <w:ind w:left="567" w:right="567"/>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rPr>
        <w:t>“</w:t>
      </w:r>
      <w:r w:rsidRPr="0011161D">
        <w:rPr>
          <w:rFonts w:ascii="Palatino Linotype" w:eastAsia="Palatino Linotype" w:hAnsi="Palatino Linotype" w:cs="Palatino Linotype"/>
          <w:i/>
          <w:iCs/>
          <w:color w:val="000000"/>
        </w:rPr>
        <w:t>Se remite respuesta a su solicitud de información.” (Sic)</w:t>
      </w:r>
    </w:p>
    <w:p w14:paraId="06DC04EB" w14:textId="77777777" w:rsidR="00A010E9" w:rsidRDefault="00A010E9">
      <w:pPr>
        <w:ind w:right="567"/>
        <w:jc w:val="both"/>
        <w:rPr>
          <w:rFonts w:ascii="Palatino Linotype" w:eastAsia="Palatino Linotype" w:hAnsi="Palatino Linotype" w:cs="Palatino Linotype"/>
          <w:i/>
          <w:iCs/>
          <w:color w:val="000000"/>
        </w:rPr>
      </w:pPr>
    </w:p>
    <w:p w14:paraId="3252DC98" w14:textId="77777777" w:rsidR="0011161D" w:rsidRDefault="0011161D">
      <w:pPr>
        <w:ind w:right="567"/>
        <w:jc w:val="both"/>
        <w:rPr>
          <w:rFonts w:ascii="Palatino Linotype" w:eastAsia="Palatino Linotype" w:hAnsi="Palatino Linotype" w:cs="Palatino Linotype"/>
          <w:i/>
          <w:iCs/>
          <w:color w:val="000000"/>
        </w:rPr>
      </w:pPr>
    </w:p>
    <w:p w14:paraId="2FE57083" w14:textId="77777777" w:rsidR="0011161D" w:rsidRDefault="0011161D">
      <w:pPr>
        <w:ind w:right="567"/>
        <w:jc w:val="both"/>
        <w:rPr>
          <w:rFonts w:ascii="Palatino Linotype" w:eastAsia="Palatino Linotype" w:hAnsi="Palatino Linotype" w:cs="Palatino Linotype"/>
          <w:i/>
          <w:iCs/>
          <w:color w:val="000000"/>
        </w:rPr>
      </w:pPr>
    </w:p>
    <w:p w14:paraId="101A1B66" w14:textId="77777777" w:rsidR="0011161D" w:rsidRPr="0011161D" w:rsidRDefault="0011161D">
      <w:pPr>
        <w:ind w:right="567"/>
        <w:jc w:val="both"/>
        <w:rPr>
          <w:rFonts w:ascii="Palatino Linotype" w:eastAsia="Palatino Linotype" w:hAnsi="Palatino Linotype" w:cs="Palatino Linotype"/>
          <w:i/>
          <w:iCs/>
          <w:color w:val="000000"/>
        </w:rPr>
      </w:pPr>
    </w:p>
    <w:p w14:paraId="41B56FA2" w14:textId="77777777" w:rsidR="00A010E9" w:rsidRPr="0011161D" w:rsidRDefault="00EA661E">
      <w:pPr>
        <w:ind w:right="567"/>
        <w:jc w:val="both"/>
        <w:rPr>
          <w:rFonts w:ascii="Palatino Linotype" w:eastAsia="Palatino Linotype" w:hAnsi="Palatino Linotype" w:cs="Palatino Linotype"/>
          <w:b/>
          <w:bCs/>
        </w:rPr>
      </w:pPr>
      <w:r w:rsidRPr="0011161D">
        <w:rPr>
          <w:rFonts w:ascii="Palatino Linotype" w:eastAsia="Palatino Linotype" w:hAnsi="Palatino Linotype" w:cs="Palatino Linotype"/>
          <w:b/>
          <w:bCs/>
        </w:rPr>
        <w:lastRenderedPageBreak/>
        <w:t>Archivos electrónicos adjuntos:</w:t>
      </w:r>
      <w:r w:rsidRPr="0011161D">
        <w:rPr>
          <w:rFonts w:ascii="Palatino Linotype" w:eastAsia="Palatino Linotype" w:hAnsi="Palatino Linotype" w:cs="Palatino Linotype"/>
        </w:rPr>
        <w:t xml:space="preserve"> </w:t>
      </w:r>
    </w:p>
    <w:p w14:paraId="68885F88" w14:textId="77777777" w:rsidR="00A010E9" w:rsidRPr="0011161D" w:rsidRDefault="00A010E9">
      <w:pPr>
        <w:ind w:right="-592"/>
        <w:jc w:val="both"/>
        <w:rPr>
          <w:rFonts w:ascii="Palatino Linotype" w:eastAsia="Palatino Linotype" w:hAnsi="Palatino Linotype" w:cs="Palatino Linotype"/>
          <w:b/>
          <w:bCs/>
          <w:color w:val="000000"/>
        </w:rPr>
      </w:pPr>
    </w:p>
    <w:p w14:paraId="52C5E1C3" w14:textId="77777777" w:rsidR="00A010E9" w:rsidRPr="0011161D" w:rsidRDefault="00AE52A2">
      <w:pPr>
        <w:ind w:left="567" w:right="538"/>
        <w:jc w:val="both"/>
        <w:rPr>
          <w:rFonts w:ascii="Palatino Linotype" w:eastAsia="Palatino Linotype" w:hAnsi="Palatino Linotype" w:cs="Palatino Linotype"/>
        </w:rPr>
      </w:pPr>
      <w:hyperlink r:id="rId8">
        <w:r w:rsidR="00EA661E" w:rsidRPr="0011161D">
          <w:rPr>
            <w:rFonts w:ascii="Palatino Linotype" w:eastAsia="Palatino Linotype" w:hAnsi="Palatino Linotype" w:cs="Palatino Linotype"/>
            <w:b/>
            <w:bCs/>
            <w:color w:val="000000"/>
          </w:rPr>
          <w:t>DOP_0432_RESPUESTA_002.pdf</w:t>
        </w:r>
      </w:hyperlink>
      <w:r w:rsidR="00EA661E" w:rsidRPr="0011161D">
        <w:rPr>
          <w:rFonts w:ascii="Palatino Linotype" w:eastAsia="Palatino Linotype" w:hAnsi="Palatino Linotype" w:cs="Palatino Linotype"/>
        </w:rPr>
        <w:t>: Expediente técnico de la obra denominada “Construcción de techado en área de impartición de educación física en escuela secundaria Justo Sierra”.</w:t>
      </w:r>
    </w:p>
    <w:p w14:paraId="0C72CB43" w14:textId="77777777" w:rsidR="00A010E9" w:rsidRPr="0011161D" w:rsidRDefault="00A010E9">
      <w:pPr>
        <w:ind w:left="567" w:right="538"/>
        <w:jc w:val="both"/>
        <w:rPr>
          <w:rFonts w:ascii="Palatino Linotype" w:eastAsia="Palatino Linotype" w:hAnsi="Palatino Linotype" w:cs="Palatino Linotype"/>
        </w:rPr>
      </w:pPr>
    </w:p>
    <w:p w14:paraId="2AEC7F84" w14:textId="77777777" w:rsidR="00A010E9" w:rsidRPr="0011161D" w:rsidRDefault="00AE52A2">
      <w:pPr>
        <w:ind w:left="567" w:right="538"/>
        <w:jc w:val="both"/>
        <w:rPr>
          <w:rFonts w:ascii="Palatino Linotype" w:eastAsia="Palatino Linotype" w:hAnsi="Palatino Linotype" w:cs="Palatino Linotype"/>
        </w:rPr>
      </w:pPr>
      <w:hyperlink r:id="rId9">
        <w:r w:rsidR="00EA661E" w:rsidRPr="0011161D">
          <w:rPr>
            <w:rFonts w:ascii="Palatino Linotype" w:eastAsia="Palatino Linotype" w:hAnsi="Palatino Linotype" w:cs="Palatino Linotype"/>
            <w:b/>
            <w:bCs/>
            <w:color w:val="000000"/>
          </w:rPr>
          <w:t>DOP_0432_RESPUESTA_003.pdf</w:t>
        </w:r>
      </w:hyperlink>
      <w:r w:rsidR="00EA661E" w:rsidRPr="0011161D">
        <w:rPr>
          <w:rFonts w:ascii="Palatino Linotype" w:eastAsia="Palatino Linotype" w:hAnsi="Palatino Linotype" w:cs="Palatino Linotype"/>
        </w:rPr>
        <w:t>: Copia digitalizada de las dos primeras páginas del documento denominado “Bases para la contratación de obra pública mediante el procedimiento por invitación restringida” de la invitación No. MA/DOP/IR/FAISMUN/2025-02, relativo a la obra “Construcción de techado en área de impartición de educación física en escuela secundaria Justo Sierra”.</w:t>
      </w:r>
    </w:p>
    <w:p w14:paraId="4DE4AAF1" w14:textId="77777777" w:rsidR="00A010E9" w:rsidRPr="0011161D" w:rsidRDefault="00A010E9">
      <w:pPr>
        <w:ind w:left="567" w:right="538"/>
        <w:jc w:val="both"/>
        <w:rPr>
          <w:rFonts w:ascii="Palatino Linotype" w:eastAsia="Palatino Linotype" w:hAnsi="Palatino Linotype" w:cs="Palatino Linotype"/>
        </w:rPr>
      </w:pPr>
    </w:p>
    <w:p w14:paraId="587EBE09" w14:textId="77777777" w:rsidR="00A010E9" w:rsidRPr="0011161D" w:rsidRDefault="00AE52A2">
      <w:pPr>
        <w:ind w:left="567" w:right="538"/>
        <w:jc w:val="both"/>
        <w:rPr>
          <w:rFonts w:ascii="Palatino Linotype" w:eastAsia="Palatino Linotype" w:hAnsi="Palatino Linotype" w:cs="Palatino Linotype"/>
        </w:rPr>
      </w:pPr>
      <w:hyperlink r:id="rId10">
        <w:r w:rsidR="00EA661E" w:rsidRPr="0011161D">
          <w:rPr>
            <w:rFonts w:ascii="Palatino Linotype" w:eastAsia="Palatino Linotype" w:hAnsi="Palatino Linotype" w:cs="Palatino Linotype"/>
            <w:b/>
            <w:bCs/>
            <w:color w:val="000000"/>
          </w:rPr>
          <w:t>DOP_0432_RESPUESTA_001.pdf</w:t>
        </w:r>
      </w:hyperlink>
      <w:r w:rsidR="00EA661E" w:rsidRPr="0011161D">
        <w:rPr>
          <w:rFonts w:ascii="Palatino Linotype" w:eastAsia="Palatino Linotype" w:hAnsi="Palatino Linotype" w:cs="Palatino Linotype"/>
        </w:rPr>
        <w:t>: Oficio suscrito por el Director de Obras Públicas, mediante el cual, informó adjuntar la información solicitada.</w:t>
      </w:r>
    </w:p>
    <w:p w14:paraId="114D3AFC" w14:textId="77777777" w:rsidR="00A010E9" w:rsidRPr="0011161D" w:rsidRDefault="00A010E9">
      <w:pPr>
        <w:ind w:left="567" w:right="538"/>
        <w:jc w:val="both"/>
        <w:rPr>
          <w:rFonts w:ascii="Palatino Linotype" w:eastAsia="Palatino Linotype" w:hAnsi="Palatino Linotype" w:cs="Palatino Linotype"/>
        </w:rPr>
      </w:pPr>
    </w:p>
    <w:p w14:paraId="5ADC959C" w14:textId="77777777" w:rsidR="00A010E9" w:rsidRPr="0011161D" w:rsidRDefault="00AE52A2">
      <w:pPr>
        <w:ind w:left="567" w:right="538"/>
        <w:jc w:val="both"/>
        <w:rPr>
          <w:rFonts w:ascii="Palatino Linotype" w:eastAsia="Palatino Linotype" w:hAnsi="Palatino Linotype" w:cs="Palatino Linotype"/>
        </w:rPr>
      </w:pPr>
      <w:hyperlink r:id="rId11">
        <w:r w:rsidR="00EA661E" w:rsidRPr="0011161D">
          <w:rPr>
            <w:rFonts w:ascii="Palatino Linotype" w:eastAsia="Palatino Linotype" w:hAnsi="Palatino Linotype" w:cs="Palatino Linotype"/>
            <w:b/>
            <w:bCs/>
            <w:color w:val="000000"/>
          </w:rPr>
          <w:t>0432_RESP_UT_2025.pdf</w:t>
        </w:r>
      </w:hyperlink>
      <w:r w:rsidR="00EA661E" w:rsidRPr="0011161D">
        <w:rPr>
          <w:rFonts w:ascii="Palatino Linotype" w:eastAsia="Palatino Linotype" w:hAnsi="Palatino Linotype" w:cs="Palatino Linotype"/>
        </w:rPr>
        <w:t>: Oficio suscrito por la Titular de la Unidad de Transparencia, mediante el cual, informó que la solicitud de información fue turnada al Servidor Público Habilitado de la Dirección de Obras Públicas.</w:t>
      </w:r>
    </w:p>
    <w:p w14:paraId="5B646720" w14:textId="77777777" w:rsidR="00A010E9" w:rsidRPr="0011161D" w:rsidRDefault="00A010E9">
      <w:pPr>
        <w:ind w:left="567" w:right="-592"/>
        <w:jc w:val="both"/>
        <w:rPr>
          <w:rFonts w:ascii="Palatino Linotype" w:eastAsia="Palatino Linotype" w:hAnsi="Palatino Linotype" w:cs="Palatino Linotype"/>
        </w:rPr>
      </w:pPr>
    </w:p>
    <w:p w14:paraId="35D50E38"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El uno de septiembre de dos mil veinticinco,</w:t>
      </w:r>
      <w:r w:rsidRPr="0011161D">
        <w:rPr>
          <w:rFonts w:ascii="Palatino Linotype" w:eastAsia="Palatino Linotype" w:hAnsi="Palatino Linotype" w:cs="Palatino Linotype"/>
          <w:b/>
          <w:bCs/>
        </w:rPr>
        <w:t xml:space="preserve"> </w:t>
      </w:r>
      <w:r w:rsidRPr="0011161D">
        <w:rPr>
          <w:rFonts w:ascii="Palatino Linotype" w:eastAsia="Palatino Linotype" w:hAnsi="Palatino Linotype" w:cs="Palatino Linotype"/>
        </w:rPr>
        <w:t xml:space="preserve">el </w:t>
      </w:r>
      <w:r w:rsidRPr="0011161D">
        <w:rPr>
          <w:rFonts w:ascii="Palatino Linotype" w:eastAsia="Palatino Linotype" w:hAnsi="Palatino Linotype" w:cs="Palatino Linotype"/>
          <w:b/>
          <w:bCs/>
        </w:rPr>
        <w:t>RECURRENTE</w:t>
      </w:r>
      <w:r w:rsidRPr="0011161D">
        <w:rPr>
          <w:rFonts w:ascii="Palatino Linotype" w:eastAsia="Palatino Linotype" w:hAnsi="Palatino Linotype" w:cs="Palatino Linotype"/>
        </w:rPr>
        <w:t xml:space="preserve"> interpuso el recurso de revisión en contra de la respuesta, señalando como:</w:t>
      </w:r>
    </w:p>
    <w:p w14:paraId="498F3AC8" w14:textId="77777777" w:rsidR="00A010E9" w:rsidRPr="0011161D" w:rsidRDefault="00A010E9">
      <w:pPr>
        <w:ind w:right="1"/>
        <w:jc w:val="both"/>
        <w:rPr>
          <w:rFonts w:ascii="Palatino Linotype" w:eastAsia="Palatino Linotype" w:hAnsi="Palatino Linotype" w:cs="Palatino Linotype"/>
        </w:rPr>
      </w:pPr>
    </w:p>
    <w:p w14:paraId="16CEEC97" w14:textId="77777777" w:rsidR="00A010E9" w:rsidRPr="0011161D" w:rsidRDefault="00EA661E">
      <w:pPr>
        <w:ind w:left="567" w:right="568"/>
        <w:jc w:val="both"/>
        <w:rPr>
          <w:rFonts w:ascii="Palatino Linotype" w:eastAsia="Palatino Linotype" w:hAnsi="Palatino Linotype" w:cs="Palatino Linotype"/>
          <w:i/>
          <w:iCs/>
        </w:rPr>
      </w:pPr>
      <w:r w:rsidRPr="0011161D">
        <w:rPr>
          <w:rFonts w:ascii="Palatino Linotype" w:eastAsia="Palatino Linotype" w:hAnsi="Palatino Linotype" w:cs="Palatino Linotype"/>
          <w:b/>
          <w:bCs/>
        </w:rPr>
        <w:t>Acto impugnado</w:t>
      </w:r>
      <w:r w:rsidRPr="0011161D">
        <w:rPr>
          <w:rFonts w:ascii="Palatino Linotype" w:eastAsia="Palatino Linotype" w:hAnsi="Palatino Linotype" w:cs="Palatino Linotype"/>
          <w:b/>
          <w:bCs/>
          <w:i/>
          <w:iCs/>
        </w:rPr>
        <w:t>:</w:t>
      </w:r>
      <w:r w:rsidRPr="0011161D">
        <w:rPr>
          <w:rFonts w:ascii="Palatino Linotype" w:eastAsia="Palatino Linotype" w:hAnsi="Palatino Linotype" w:cs="Palatino Linotype"/>
          <w:i/>
          <w:iCs/>
          <w:color w:val="000000"/>
        </w:rPr>
        <w:t xml:space="preserve"> "Información incompleta” (Sic)</w:t>
      </w:r>
    </w:p>
    <w:p w14:paraId="1B571FD8" w14:textId="77777777" w:rsidR="00A010E9" w:rsidRPr="0011161D" w:rsidRDefault="00A010E9">
      <w:pPr>
        <w:ind w:left="567" w:right="568"/>
        <w:jc w:val="both"/>
        <w:rPr>
          <w:rFonts w:ascii="Palatino Linotype" w:eastAsia="Palatino Linotype" w:hAnsi="Palatino Linotype" w:cs="Palatino Linotype"/>
        </w:rPr>
      </w:pPr>
    </w:p>
    <w:p w14:paraId="786D63C7" w14:textId="77777777" w:rsidR="00A010E9" w:rsidRPr="0011161D" w:rsidRDefault="00EA661E">
      <w:pPr>
        <w:ind w:left="567" w:right="568"/>
        <w:jc w:val="both"/>
        <w:rPr>
          <w:rFonts w:ascii="Palatino Linotype" w:eastAsia="Palatino Linotype" w:hAnsi="Palatino Linotype" w:cs="Palatino Linotype"/>
          <w:i/>
          <w:iCs/>
        </w:rPr>
      </w:pPr>
      <w:r w:rsidRPr="0011161D">
        <w:rPr>
          <w:rFonts w:ascii="Palatino Linotype" w:eastAsia="Palatino Linotype" w:hAnsi="Palatino Linotype" w:cs="Palatino Linotype"/>
          <w:b/>
          <w:bCs/>
        </w:rPr>
        <w:t>Razones o Motivos de inconformidad:</w:t>
      </w:r>
      <w:r w:rsidRPr="0011161D">
        <w:rPr>
          <w:rFonts w:ascii="Palatino Linotype" w:eastAsia="Palatino Linotype" w:hAnsi="Palatino Linotype" w:cs="Palatino Linotype"/>
          <w:b/>
          <w:bCs/>
          <w:i/>
          <w:iCs/>
        </w:rPr>
        <w:t xml:space="preserve"> </w:t>
      </w:r>
      <w:r w:rsidRPr="0011161D">
        <w:rPr>
          <w:rFonts w:ascii="Palatino Linotype" w:eastAsia="Palatino Linotype" w:hAnsi="Palatino Linotype" w:cs="Palatino Linotype"/>
          <w:i/>
          <w:iCs/>
          <w:color w:val="000000"/>
        </w:rPr>
        <w:t>"Información incompleta” (Sic)</w:t>
      </w:r>
    </w:p>
    <w:p w14:paraId="1799BFFB" w14:textId="77777777" w:rsidR="00A010E9" w:rsidRPr="0011161D" w:rsidRDefault="00A010E9">
      <w:pPr>
        <w:ind w:right="568"/>
        <w:jc w:val="both"/>
        <w:rPr>
          <w:rFonts w:ascii="Palatino Linotype" w:eastAsia="Palatino Linotype" w:hAnsi="Palatino Linotype" w:cs="Palatino Linotype"/>
          <w:b/>
          <w:bCs/>
        </w:rPr>
      </w:pPr>
    </w:p>
    <w:p w14:paraId="0066CF3D"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11161D">
        <w:rPr>
          <w:rFonts w:ascii="Palatino Linotype" w:eastAsia="Palatino Linotype" w:hAnsi="Palatino Linotype" w:cs="Palatino Linotype"/>
          <w:b/>
          <w:bCs/>
        </w:rPr>
        <w:t xml:space="preserve">Ley de Transparencia y Acceso a la Información Pública del Estado de México y Municipios </w:t>
      </w:r>
      <w:r w:rsidRPr="0011161D">
        <w:rPr>
          <w:rFonts w:ascii="Palatino Linotype" w:eastAsia="Palatino Linotype" w:hAnsi="Palatino Linotype" w:cs="Palatino Linotype"/>
        </w:rPr>
        <w:t xml:space="preserve">se turna a la </w:t>
      </w:r>
      <w:r w:rsidRPr="0011161D">
        <w:rPr>
          <w:rFonts w:ascii="Palatino Linotype" w:eastAsia="Palatino Linotype" w:hAnsi="Palatino Linotype" w:cs="Palatino Linotype"/>
          <w:b/>
          <w:bCs/>
        </w:rPr>
        <w:t xml:space="preserve">Comisionada María del Rosario Mejía Ayala, </w:t>
      </w:r>
      <w:r w:rsidRPr="0011161D">
        <w:rPr>
          <w:rFonts w:ascii="Palatino Linotype" w:eastAsia="Palatino Linotype" w:hAnsi="Palatino Linotype" w:cs="Palatino Linotype"/>
        </w:rPr>
        <w:t xml:space="preserve">para su análisis. </w:t>
      </w:r>
    </w:p>
    <w:p w14:paraId="0328FC7A" w14:textId="77777777" w:rsidR="00A010E9" w:rsidRPr="0011161D" w:rsidRDefault="00A010E9">
      <w:pPr>
        <w:ind w:right="-592"/>
        <w:jc w:val="both"/>
        <w:rPr>
          <w:rFonts w:ascii="Palatino Linotype" w:eastAsia="Palatino Linotype" w:hAnsi="Palatino Linotype" w:cs="Palatino Linotype"/>
        </w:rPr>
      </w:pPr>
    </w:p>
    <w:p w14:paraId="566A9954"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dos de septiembre de dos mil </w:t>
      </w:r>
      <w:r w:rsidRPr="0011161D">
        <w:rPr>
          <w:rFonts w:ascii="Palatino Linotype" w:eastAsia="Palatino Linotype" w:hAnsi="Palatino Linotype" w:cs="Palatino Linotype"/>
        </w:rPr>
        <w:lastRenderedPageBreak/>
        <w:t xml:space="preserve">veinticinco, puso a disposición de las partes el expediente electrónico vía </w:t>
      </w:r>
      <w:r w:rsidRPr="0011161D">
        <w:rPr>
          <w:rFonts w:ascii="Palatino Linotype" w:eastAsia="Palatino Linotype" w:hAnsi="Palatino Linotype" w:cs="Palatino Linotype"/>
          <w:b/>
          <w:bCs/>
        </w:rPr>
        <w:t xml:space="preserve">SAIMEX </w:t>
      </w:r>
      <w:r w:rsidRPr="0011161D">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presentará el informe justificado procedente. </w:t>
      </w:r>
    </w:p>
    <w:p w14:paraId="52891EE5" w14:textId="77777777" w:rsidR="00A010E9" w:rsidRPr="0011161D" w:rsidRDefault="00A010E9">
      <w:pPr>
        <w:shd w:val="clear" w:color="auto" w:fill="FFFFFF"/>
        <w:ind w:right="-592"/>
        <w:rPr>
          <w:rFonts w:ascii="Palatino Linotype" w:eastAsia="Palatino Linotype" w:hAnsi="Palatino Linotype" w:cs="Palatino Linotype"/>
        </w:rPr>
      </w:pPr>
    </w:p>
    <w:p w14:paraId="7173069D"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color w:val="000000"/>
        </w:rPr>
      </w:pPr>
      <w:r w:rsidRPr="0011161D">
        <w:rPr>
          <w:rFonts w:ascii="Palatino Linotype" w:eastAsia="Palatino Linotype" w:hAnsi="Palatino Linotype" w:cs="Palatino Linotype"/>
        </w:rPr>
        <w:t xml:space="preserve">El once de septiembre de dos mil veinticinco,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rindió el informe justificado correspondiente, mediante el archivo electrónico denominado </w:t>
      </w:r>
      <w:r w:rsidRPr="0011161D">
        <w:rPr>
          <w:rFonts w:ascii="Palatino Linotype" w:eastAsia="Palatino Linotype" w:hAnsi="Palatino Linotype" w:cs="Palatino Linotype"/>
          <w:b/>
          <w:bCs/>
        </w:rPr>
        <w:t>010268_RR_IFJ_2025.pdf,</w:t>
      </w:r>
      <w:r w:rsidRPr="0011161D">
        <w:rPr>
          <w:rFonts w:ascii="Palatino Linotype" w:eastAsia="Palatino Linotype" w:hAnsi="Palatino Linotype" w:cs="Palatino Linotype"/>
        </w:rPr>
        <w:t xml:space="preserve"> mediante el cual ratificó la respuesta.</w:t>
      </w:r>
    </w:p>
    <w:p w14:paraId="64D1A38D" w14:textId="77777777" w:rsidR="00A010E9" w:rsidRPr="0011161D" w:rsidRDefault="00A010E9">
      <w:pPr>
        <w:ind w:right="538"/>
        <w:rPr>
          <w:rFonts w:ascii="Palatino Linotype" w:eastAsia="Palatino Linotype" w:hAnsi="Palatino Linotype" w:cs="Palatino Linotype"/>
          <w:color w:val="000000"/>
        </w:rPr>
      </w:pPr>
    </w:p>
    <w:p w14:paraId="597C556D"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Por su parte, el </w:t>
      </w:r>
      <w:r w:rsidRPr="0011161D">
        <w:rPr>
          <w:rFonts w:ascii="Palatino Linotype" w:eastAsia="Palatino Linotype" w:hAnsi="Palatino Linotype" w:cs="Palatino Linotype"/>
          <w:b/>
          <w:bCs/>
        </w:rPr>
        <w:t xml:space="preserve">RECURRENTE </w:t>
      </w:r>
      <w:r w:rsidRPr="0011161D">
        <w:rPr>
          <w:rFonts w:ascii="Palatino Linotype" w:eastAsia="Palatino Linotype" w:hAnsi="Palatino Linotype" w:cs="Palatino Linotype"/>
        </w:rPr>
        <w:t>no realizó manifestaciones que a su derecho convinieran.</w:t>
      </w:r>
    </w:p>
    <w:p w14:paraId="11E62472" w14:textId="77777777" w:rsidR="00A010E9" w:rsidRPr="0011161D" w:rsidRDefault="00A010E9">
      <w:pPr>
        <w:spacing w:line="360" w:lineRule="auto"/>
        <w:ind w:right="1"/>
        <w:jc w:val="both"/>
        <w:rPr>
          <w:rFonts w:ascii="Palatino Linotype" w:eastAsia="Palatino Linotype" w:hAnsi="Palatino Linotype" w:cs="Palatino Linotype"/>
        </w:rPr>
      </w:pPr>
    </w:p>
    <w:p w14:paraId="4510E7D4"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El veintisiete de enero de dos mil veintiséis, se notificó el acuerdo mediante el cual se amplió el plazo para emitir resolución por un término de 15 días adicionales.</w:t>
      </w:r>
    </w:p>
    <w:p w14:paraId="349A959F" w14:textId="77777777" w:rsidR="00A010E9" w:rsidRPr="0011161D" w:rsidRDefault="00A010E9">
      <w:pPr>
        <w:spacing w:line="360" w:lineRule="auto"/>
        <w:ind w:right="1"/>
        <w:jc w:val="both"/>
        <w:rPr>
          <w:rFonts w:ascii="Palatino Linotype" w:eastAsia="Palatino Linotype" w:hAnsi="Palatino Linotype" w:cs="Palatino Linotype"/>
        </w:rPr>
      </w:pPr>
    </w:p>
    <w:p w14:paraId="2AA657A4" w14:textId="092BEBA7" w:rsidR="0011161D" w:rsidRPr="0011161D" w:rsidRDefault="00EA661E" w:rsidP="0011161D">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 xml:space="preserve">La Comisionada Ponente decretó el cierre de instrucción mediante el acuerdo del veintidós de abril de dos mil veintiséis. </w:t>
      </w:r>
    </w:p>
    <w:p w14:paraId="7D8569A7" w14:textId="77777777" w:rsidR="00A010E9" w:rsidRPr="0011161D" w:rsidRDefault="00A010E9">
      <w:pPr>
        <w:rPr>
          <w:rFonts w:ascii="Palatino Linotype" w:eastAsia="Palatino Linotype" w:hAnsi="Palatino Linotype" w:cs="Palatino Linotype"/>
          <w:b/>
          <w:bCs/>
        </w:rPr>
      </w:pPr>
    </w:p>
    <w:p w14:paraId="023334B7" w14:textId="77777777" w:rsidR="00A010E9" w:rsidRPr="0011161D" w:rsidRDefault="00EA661E">
      <w:pPr>
        <w:keepNext/>
        <w:keepLines/>
        <w:spacing w:line="360" w:lineRule="auto"/>
        <w:ind w:right="-592"/>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 xml:space="preserve">C O N S I D E R A N D O </w:t>
      </w:r>
    </w:p>
    <w:p w14:paraId="017A0C81" w14:textId="77777777" w:rsidR="00A010E9" w:rsidRPr="0011161D" w:rsidRDefault="00A010E9">
      <w:pPr>
        <w:keepNext/>
        <w:keepLines/>
        <w:ind w:right="-592"/>
        <w:rPr>
          <w:rFonts w:ascii="Palatino Linotype" w:eastAsia="Palatino Linotype" w:hAnsi="Palatino Linotype" w:cs="Palatino Linotype"/>
        </w:rPr>
      </w:pPr>
    </w:p>
    <w:p w14:paraId="423E50EF" w14:textId="77777777" w:rsidR="00A010E9" w:rsidRPr="0011161D" w:rsidRDefault="00EA661E">
      <w:pPr>
        <w:keepNext/>
        <w:keepLines/>
        <w:spacing w:line="360" w:lineRule="auto"/>
        <w:ind w:right="-592"/>
        <w:rPr>
          <w:rFonts w:ascii="Palatino Linotype" w:eastAsia="Palatino Linotype" w:hAnsi="Palatino Linotype" w:cs="Palatino Linotype"/>
          <w:b/>
          <w:bCs/>
        </w:rPr>
      </w:pPr>
      <w:r w:rsidRPr="0011161D">
        <w:rPr>
          <w:rFonts w:ascii="Palatino Linotype" w:eastAsia="Palatino Linotype" w:hAnsi="Palatino Linotype" w:cs="Palatino Linotype"/>
          <w:b/>
          <w:bCs/>
        </w:rPr>
        <w:t>PRIMERO. De la competencia.</w:t>
      </w:r>
    </w:p>
    <w:p w14:paraId="6B03AD53"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11161D">
        <w:rPr>
          <w:rFonts w:ascii="Palatino Linotype" w:eastAsia="Palatino Linotype" w:hAnsi="Palatino Linotype" w:cs="Palatino Linotype"/>
        </w:rPr>
        <w:t xml:space="preserve">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w:t>
      </w:r>
      <w:r w:rsidRPr="0011161D">
        <w:rPr>
          <w:rFonts w:ascii="Palatino Linotype" w:eastAsia="Palatino Linotype" w:hAnsi="Palatino Linotype" w:cs="Palatino Linotype"/>
        </w:rPr>
        <w:lastRenderedPageBreak/>
        <w:t>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071D4490" w14:textId="77777777" w:rsidR="00A010E9" w:rsidRPr="0011161D" w:rsidRDefault="00A010E9">
      <w:pPr>
        <w:spacing w:line="360" w:lineRule="auto"/>
        <w:ind w:right="1"/>
        <w:jc w:val="both"/>
        <w:rPr>
          <w:rFonts w:ascii="Palatino Linotype" w:eastAsia="Palatino Linotype" w:hAnsi="Palatino Linotype" w:cs="Palatino Linotype"/>
          <w:b/>
          <w:bCs/>
        </w:rPr>
      </w:pPr>
    </w:p>
    <w:p w14:paraId="08DC0216" w14:textId="77777777" w:rsidR="00A010E9" w:rsidRPr="0011161D" w:rsidRDefault="00EA661E">
      <w:pPr>
        <w:keepNext/>
        <w:keepLines/>
        <w:spacing w:line="360" w:lineRule="auto"/>
        <w:ind w:right="1"/>
        <w:rPr>
          <w:rFonts w:ascii="Palatino Linotype" w:eastAsia="Palatino Linotype" w:hAnsi="Palatino Linotype" w:cs="Palatino Linotype"/>
          <w:b/>
          <w:bCs/>
        </w:rPr>
      </w:pPr>
      <w:r w:rsidRPr="0011161D">
        <w:rPr>
          <w:rFonts w:ascii="Palatino Linotype" w:eastAsia="Palatino Linotype" w:hAnsi="Palatino Linotype" w:cs="Palatino Linotype"/>
          <w:b/>
          <w:bCs/>
        </w:rPr>
        <w:t>SEGUNDO. De la oportunidad y procedencia.</w:t>
      </w:r>
    </w:p>
    <w:p w14:paraId="30421F4B"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11161D">
        <w:rPr>
          <w:rFonts w:ascii="Palatino Linotype" w:eastAsia="Palatino Linotype" w:hAnsi="Palatino Linotype" w:cs="Palatino Linotype"/>
        </w:rPr>
        <w:t xml:space="preserve">El medio de impugnación fue presentado a través del </w:t>
      </w:r>
      <w:r w:rsidRPr="0011161D">
        <w:rPr>
          <w:rFonts w:ascii="Palatino Linotype" w:eastAsia="Palatino Linotype" w:hAnsi="Palatino Linotype" w:cs="Palatino Linotype"/>
          <w:b/>
          <w:bCs/>
        </w:rPr>
        <w:t>SAIMEX,</w:t>
      </w:r>
      <w:r w:rsidRPr="0011161D">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entregó respuesta el veinte de agosto de dos mil veinticinco, de tal forma que el plazo para interponer el recurso de revisión transcurrió del veintiuno de agosto al diez de septiembre de dos mil veinticinco; en consecuencia, presentó su inconformidad el uno de septiembre</w:t>
      </w:r>
      <w:r w:rsidRPr="0011161D">
        <w:rPr>
          <w:rFonts w:ascii="Palatino Linotype" w:eastAsia="Palatino Linotype" w:hAnsi="Palatino Linotype" w:cs="Palatino Linotype"/>
          <w:b/>
          <w:bCs/>
        </w:rPr>
        <w:t xml:space="preserve"> </w:t>
      </w:r>
      <w:r w:rsidRPr="0011161D">
        <w:rPr>
          <w:rFonts w:ascii="Palatino Linotype" w:eastAsia="Palatino Linotype" w:hAnsi="Palatino Linotype" w:cs="Palatino Linotype"/>
        </w:rPr>
        <w:t xml:space="preserve">de dos mil veinticinco, por lo que se encuentra dentro de los márgenes temporales previstos en el artículo 178 de la </w:t>
      </w:r>
      <w:r w:rsidRPr="0011161D">
        <w:rPr>
          <w:rFonts w:ascii="Palatino Linotype" w:eastAsia="Palatino Linotype" w:hAnsi="Palatino Linotype" w:cs="Palatino Linotype"/>
          <w:b/>
          <w:bCs/>
        </w:rPr>
        <w:t xml:space="preserve">Ley de Transparencia y Acceso a la Información Pública del Estado de México y Municipios </w:t>
      </w:r>
      <w:r w:rsidRPr="0011161D">
        <w:rPr>
          <w:rFonts w:ascii="Palatino Linotype" w:eastAsia="Palatino Linotype" w:hAnsi="Palatino Linotype" w:cs="Palatino Linotype"/>
        </w:rPr>
        <w:t>vigente.</w:t>
      </w:r>
    </w:p>
    <w:p w14:paraId="74FC1DA3" w14:textId="77777777" w:rsidR="0011161D" w:rsidRPr="0011161D" w:rsidRDefault="0011161D" w:rsidP="0011161D">
      <w:pPr>
        <w:spacing w:line="360" w:lineRule="auto"/>
        <w:ind w:right="1"/>
        <w:jc w:val="both"/>
        <w:rPr>
          <w:rFonts w:ascii="Palatino Linotype" w:eastAsia="Palatino Linotype" w:hAnsi="Palatino Linotype" w:cs="Palatino Linotype"/>
          <w:b/>
          <w:bCs/>
        </w:rPr>
      </w:pPr>
    </w:p>
    <w:p w14:paraId="73B747A6"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5944AF7A" w14:textId="77777777" w:rsidR="00A010E9" w:rsidRPr="0011161D" w:rsidRDefault="00A010E9">
      <w:pPr>
        <w:ind w:right="-592"/>
        <w:jc w:val="both"/>
        <w:rPr>
          <w:rFonts w:ascii="Palatino Linotype" w:eastAsia="Palatino Linotype" w:hAnsi="Palatino Linotype" w:cs="Palatino Linotype"/>
          <w:b/>
          <w:bCs/>
        </w:rPr>
      </w:pPr>
    </w:p>
    <w:p w14:paraId="3B0CC50B" w14:textId="77777777" w:rsidR="00A010E9" w:rsidRPr="0011161D" w:rsidRDefault="00EA661E">
      <w:pPr>
        <w:spacing w:line="360" w:lineRule="auto"/>
        <w:ind w:right="-592"/>
        <w:jc w:val="both"/>
        <w:rPr>
          <w:rFonts w:ascii="Palatino Linotype" w:eastAsia="Palatino Linotype" w:hAnsi="Palatino Linotype" w:cs="Palatino Linotype"/>
          <w:b/>
          <w:bCs/>
        </w:rPr>
      </w:pPr>
      <w:r w:rsidRPr="0011161D">
        <w:rPr>
          <w:rFonts w:ascii="Palatino Linotype" w:eastAsia="Palatino Linotype" w:hAnsi="Palatino Linotype" w:cs="Palatino Linotype"/>
          <w:b/>
          <w:bCs/>
        </w:rPr>
        <w:t>TERCERO. Del Planteamiento de la Litis.</w:t>
      </w:r>
    </w:p>
    <w:p w14:paraId="5D74BFE2"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bookmarkStart w:id="4" w:name="_heading=h.sg69pjfuscz6" w:colFirst="0" w:colLast="0"/>
      <w:bookmarkEnd w:id="4"/>
      <w:r w:rsidRPr="0011161D">
        <w:rPr>
          <w:rFonts w:ascii="Palatino Linotype" w:eastAsia="Palatino Linotype" w:hAnsi="Palatino Linotype" w:cs="Palatino Linotype"/>
        </w:rPr>
        <w:t xml:space="preserve">El </w:t>
      </w:r>
      <w:r w:rsidRPr="0011161D">
        <w:rPr>
          <w:rFonts w:ascii="Palatino Linotype" w:eastAsia="Palatino Linotype" w:hAnsi="Palatino Linotype" w:cs="Palatino Linotype"/>
          <w:b/>
          <w:bCs/>
        </w:rPr>
        <w:t>RECURRENTE</w:t>
      </w:r>
      <w:r w:rsidRPr="0011161D">
        <w:rPr>
          <w:rFonts w:ascii="Palatino Linotype" w:eastAsia="Palatino Linotype" w:hAnsi="Palatino Linotype" w:cs="Palatino Linotype"/>
        </w:rPr>
        <w:t xml:space="preserve"> solicitó el expediente y licitación de obra del techado de la escuela Justo Sierra.</w:t>
      </w:r>
    </w:p>
    <w:p w14:paraId="62F23876" w14:textId="77777777" w:rsidR="00A010E9" w:rsidRPr="0011161D" w:rsidRDefault="00A010E9">
      <w:pPr>
        <w:spacing w:line="360" w:lineRule="auto"/>
        <w:ind w:right="1"/>
        <w:jc w:val="both"/>
        <w:rPr>
          <w:rFonts w:ascii="Palatino Linotype" w:eastAsia="Palatino Linotype" w:hAnsi="Palatino Linotype" w:cs="Palatino Linotype"/>
        </w:rPr>
      </w:pPr>
    </w:p>
    <w:p w14:paraId="016CEE46"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lastRenderedPageBreak/>
        <w:t>El</w:t>
      </w:r>
      <w:r w:rsidRPr="0011161D">
        <w:rPr>
          <w:rFonts w:ascii="Palatino Linotype" w:eastAsia="Palatino Linotype" w:hAnsi="Palatino Linotype" w:cs="Palatino Linotype"/>
          <w:b/>
          <w:bCs/>
        </w:rPr>
        <w:t xml:space="preserve"> SUJETO OBLIGADO </w:t>
      </w:r>
      <w:r w:rsidRPr="0011161D">
        <w:rPr>
          <w:rFonts w:ascii="Palatino Linotype" w:eastAsia="Palatino Linotype" w:hAnsi="Palatino Linotype" w:cs="Palatino Linotype"/>
        </w:rPr>
        <w:t xml:space="preserve">emitió respuesta en términos del </w:t>
      </w:r>
      <w:r w:rsidRPr="0011161D">
        <w:rPr>
          <w:rFonts w:ascii="Palatino Linotype" w:eastAsia="Palatino Linotype" w:hAnsi="Palatino Linotype" w:cs="Palatino Linotype"/>
          <w:b/>
          <w:bCs/>
        </w:rPr>
        <w:t>párrafo 3</w:t>
      </w:r>
      <w:r w:rsidRPr="0011161D">
        <w:rPr>
          <w:rFonts w:ascii="Palatino Linotype" w:eastAsia="Palatino Linotype" w:hAnsi="Palatino Linotype" w:cs="Palatino Linotype"/>
        </w:rPr>
        <w:t xml:space="preserve"> de la presente resolución.</w:t>
      </w:r>
    </w:p>
    <w:p w14:paraId="4AFD9A04" w14:textId="77777777" w:rsidR="00A010E9" w:rsidRPr="0011161D" w:rsidRDefault="00A010E9">
      <w:pPr>
        <w:spacing w:line="360" w:lineRule="auto"/>
        <w:ind w:right="1"/>
        <w:jc w:val="both"/>
        <w:rPr>
          <w:rFonts w:ascii="Palatino Linotype" w:eastAsia="Palatino Linotype" w:hAnsi="Palatino Linotype" w:cs="Palatino Linotype"/>
          <w:b/>
          <w:bCs/>
        </w:rPr>
      </w:pPr>
    </w:p>
    <w:p w14:paraId="7E0A7A32"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En consecuencia, la parte</w:t>
      </w:r>
      <w:r w:rsidRPr="0011161D">
        <w:rPr>
          <w:rFonts w:ascii="Palatino Linotype" w:eastAsia="Palatino Linotype" w:hAnsi="Palatino Linotype" w:cs="Palatino Linotype"/>
          <w:b/>
          <w:bCs/>
        </w:rPr>
        <w:t xml:space="preserve"> RECURRENTE </w:t>
      </w:r>
      <w:r w:rsidRPr="0011161D">
        <w:rPr>
          <w:rFonts w:ascii="Palatino Linotype" w:eastAsia="Palatino Linotype" w:hAnsi="Palatino Linotype" w:cs="Palatino Linotype"/>
        </w:rPr>
        <w:t>se inconformó</w:t>
      </w:r>
      <w:r w:rsidRPr="0011161D">
        <w:rPr>
          <w:rFonts w:ascii="Palatino Linotype" w:eastAsia="Palatino Linotype" w:hAnsi="Palatino Linotype" w:cs="Palatino Linotype"/>
          <w:b/>
          <w:bCs/>
        </w:rPr>
        <w:t xml:space="preserve"> </w:t>
      </w:r>
      <w:r w:rsidRPr="0011161D">
        <w:rPr>
          <w:rFonts w:ascii="Palatino Linotype" w:eastAsia="Palatino Linotype" w:hAnsi="Palatino Linotype" w:cs="Palatino Linotype"/>
        </w:rPr>
        <w:t>por la</w:t>
      </w:r>
      <w:r w:rsidRPr="0011161D">
        <w:rPr>
          <w:rFonts w:ascii="Palatino Linotype" w:eastAsia="Palatino Linotype" w:hAnsi="Palatino Linotype" w:cs="Palatino Linotype"/>
          <w:b/>
          <w:bCs/>
        </w:rPr>
        <w:t xml:space="preserve"> entrega de información incompleta.</w:t>
      </w:r>
    </w:p>
    <w:p w14:paraId="72FEC74C" w14:textId="77777777" w:rsidR="00A010E9" w:rsidRPr="0011161D" w:rsidRDefault="00A010E9">
      <w:pPr>
        <w:rPr>
          <w:rFonts w:ascii="Palatino Linotype" w:eastAsia="Palatino Linotype" w:hAnsi="Palatino Linotype" w:cs="Palatino Linotype"/>
        </w:rPr>
      </w:pPr>
    </w:p>
    <w:p w14:paraId="3330A79F"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 xml:space="preserve">En dichas condiciones, la </w:t>
      </w:r>
      <w:r w:rsidRPr="0011161D">
        <w:rPr>
          <w:rFonts w:ascii="Palatino Linotype" w:eastAsia="Palatino Linotype" w:hAnsi="Palatino Linotype" w:cs="Palatino Linotype"/>
          <w:i/>
          <w:iCs/>
        </w:rPr>
        <w:t>Litis</w:t>
      </w:r>
      <w:r w:rsidRPr="0011161D">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11161D">
        <w:rPr>
          <w:rFonts w:ascii="Palatino Linotype" w:eastAsia="Palatino Linotype" w:hAnsi="Palatino Linotype" w:cs="Palatino Linotype"/>
          <w:b/>
          <w:bCs/>
        </w:rPr>
        <w:t xml:space="preserve">I </w:t>
      </w:r>
      <w:r w:rsidRPr="0011161D">
        <w:rPr>
          <w:rFonts w:ascii="Palatino Linotype" w:eastAsia="Palatino Linotype" w:hAnsi="Palatino Linotype" w:cs="Palatino Linotype"/>
        </w:rPr>
        <w:t xml:space="preserve">de la </w:t>
      </w:r>
      <w:r w:rsidRPr="0011161D">
        <w:rPr>
          <w:rFonts w:ascii="Palatino Linotype" w:eastAsia="Palatino Linotype" w:hAnsi="Palatino Linotype" w:cs="Palatino Linotype"/>
          <w:b/>
          <w:bCs/>
        </w:rPr>
        <w:t>Ley de Transparencia y Acceso a la Información Pública del Estado de México y Municipios</w:t>
      </w:r>
      <w:r w:rsidRPr="0011161D">
        <w:rPr>
          <w:rFonts w:ascii="Palatino Linotype" w:eastAsia="Palatino Linotype" w:hAnsi="Palatino Linotype" w:cs="Palatino Linotype"/>
        </w:rPr>
        <w:t>.</w:t>
      </w:r>
    </w:p>
    <w:p w14:paraId="6C9B3FB9" w14:textId="77777777" w:rsidR="00A010E9" w:rsidRPr="0011161D" w:rsidRDefault="00A010E9">
      <w:pPr>
        <w:spacing w:line="360" w:lineRule="auto"/>
        <w:ind w:right="1"/>
        <w:jc w:val="both"/>
        <w:rPr>
          <w:rFonts w:ascii="Palatino Linotype" w:eastAsia="Palatino Linotype" w:hAnsi="Palatino Linotype" w:cs="Palatino Linotype"/>
          <w:b/>
          <w:bCs/>
        </w:rPr>
      </w:pPr>
    </w:p>
    <w:p w14:paraId="1AE8888E" w14:textId="77777777" w:rsidR="00A010E9" w:rsidRPr="0011161D" w:rsidRDefault="00EA661E">
      <w:pPr>
        <w:pStyle w:val="Ttulo2"/>
        <w:spacing w:before="0" w:line="360" w:lineRule="auto"/>
        <w:ind w:right="1"/>
        <w:rPr>
          <w:rFonts w:ascii="Palatino Linotype" w:eastAsia="Palatino Linotype" w:hAnsi="Palatino Linotype" w:cs="Palatino Linotype"/>
          <w:b/>
          <w:bCs/>
          <w:color w:val="000000"/>
          <w:sz w:val="24"/>
          <w:szCs w:val="24"/>
        </w:rPr>
      </w:pPr>
      <w:r w:rsidRPr="0011161D">
        <w:rPr>
          <w:rFonts w:ascii="Palatino Linotype" w:eastAsia="Palatino Linotype" w:hAnsi="Palatino Linotype" w:cs="Palatino Linotype"/>
          <w:b/>
          <w:bCs/>
          <w:color w:val="000000"/>
          <w:sz w:val="24"/>
          <w:szCs w:val="24"/>
        </w:rPr>
        <w:t>CUARTA. Estudio y resolución del asunto.</w:t>
      </w:r>
    </w:p>
    <w:p w14:paraId="4A6A0308"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El </w:t>
      </w:r>
      <w:r w:rsidRPr="0011161D">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11161D">
        <w:rPr>
          <w:rFonts w:ascii="Palatino Linotype" w:eastAsia="Palatino Linotype" w:hAnsi="Palatino Linotype" w:cs="Palatino Linotype"/>
        </w:rPr>
        <w:t>Particular</w:t>
      </w:r>
      <w:r w:rsidRPr="0011161D">
        <w:rPr>
          <w:rFonts w:ascii="Palatino Linotype" w:eastAsia="Palatino Linotype" w:hAnsi="Palatino Linotype" w:cs="Palatino Linotype"/>
          <w:color w:val="000000"/>
        </w:rPr>
        <w:t xml:space="preserve"> del Estado de México.</w:t>
      </w:r>
    </w:p>
    <w:p w14:paraId="60031FB3" w14:textId="77777777" w:rsidR="00A010E9" w:rsidRPr="0011161D" w:rsidRDefault="00A010E9">
      <w:pPr>
        <w:spacing w:line="360" w:lineRule="auto"/>
        <w:ind w:right="1"/>
        <w:jc w:val="both"/>
        <w:rPr>
          <w:rFonts w:ascii="Palatino Linotype" w:eastAsia="Palatino Linotype" w:hAnsi="Palatino Linotype" w:cs="Palatino Linotype"/>
        </w:rPr>
      </w:pPr>
    </w:p>
    <w:p w14:paraId="72E3EF0A"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Definiendo </w:t>
      </w:r>
      <w:r w:rsidRPr="0011161D">
        <w:rPr>
          <w:rFonts w:ascii="Palatino Linotype" w:eastAsia="Palatino Linotype" w:hAnsi="Palatino Linotype" w:cs="Palatino Linotype"/>
        </w:rPr>
        <w:t xml:space="preserve">el Derecho de Acceso a la Información Pública como: </w:t>
      </w:r>
      <w:r w:rsidRPr="0011161D">
        <w:rPr>
          <w:rFonts w:ascii="Palatino Linotype" w:eastAsia="Palatino Linotype" w:hAnsi="Palatino Linotype" w:cs="Palatino Linotype"/>
          <w:i/>
          <w:iCs/>
          <w:color w:val="000000"/>
        </w:rPr>
        <w:t xml:space="preserve">La igualdad de </w:t>
      </w:r>
      <w:r w:rsidRPr="0011161D">
        <w:rPr>
          <w:rFonts w:ascii="Palatino Linotype" w:eastAsia="Palatino Linotype" w:hAnsi="Palatino Linotype" w:cs="Palatino Linotype"/>
        </w:rPr>
        <w:t>oportunidades</w:t>
      </w:r>
      <w:r w:rsidRPr="0011161D">
        <w:rPr>
          <w:rFonts w:ascii="Palatino Linotype" w:eastAsia="Palatino Linotype" w:hAnsi="Palatino Linotype" w:cs="Palatino Linotype"/>
          <w:i/>
          <w:iCs/>
          <w:color w:val="000000"/>
        </w:rPr>
        <w:t xml:space="preserve"> para recibir, buscar e impartir información</w:t>
      </w:r>
      <w:r w:rsidRPr="0011161D">
        <w:rPr>
          <w:rFonts w:ascii="Palatino Linotype" w:eastAsia="Palatino Linotype" w:hAnsi="Palatino Linotype" w:cs="Palatino Linotype"/>
          <w:vertAlign w:val="superscript"/>
        </w:rPr>
        <w:footnoteReference w:id="1"/>
      </w:r>
      <w:r w:rsidRPr="0011161D">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1161D">
        <w:rPr>
          <w:rFonts w:ascii="Palatino Linotype" w:eastAsia="Palatino Linotype" w:hAnsi="Palatino Linotype" w:cs="Palatino Linotype"/>
          <w:vertAlign w:val="superscript"/>
        </w:rPr>
        <w:footnoteReference w:id="2"/>
      </w:r>
      <w:r w:rsidRPr="0011161D">
        <w:rPr>
          <w:rFonts w:ascii="Palatino Linotype" w:eastAsia="Palatino Linotype" w:hAnsi="Palatino Linotype" w:cs="Palatino Linotype"/>
          <w:color w:val="000000"/>
        </w:rPr>
        <w:t>que se constituye como una herramienta fundamental para ejercer</w:t>
      </w:r>
      <w:r w:rsidRPr="0011161D">
        <w:rPr>
          <w:rFonts w:ascii="Palatino Linotype" w:eastAsia="Palatino Linotype" w:hAnsi="Palatino Linotype" w:cs="Palatino Linotype"/>
          <w:i/>
          <w:iCs/>
          <w:color w:val="000000"/>
        </w:rPr>
        <w:t xml:space="preserve"> el control </w:t>
      </w:r>
      <w:r w:rsidRPr="0011161D">
        <w:rPr>
          <w:rFonts w:ascii="Palatino Linotype" w:eastAsia="Palatino Linotype" w:hAnsi="Palatino Linotype" w:cs="Palatino Linotype"/>
          <w:i/>
          <w:iCs/>
          <w:color w:val="000000"/>
        </w:rPr>
        <w:lastRenderedPageBreak/>
        <w:t>democrático de las gestiones estatales, de forma tal que puedan cuestionar, indagar y considerar si se está dando un adecuado cumplimiento a las funciones públicas,</w:t>
      </w:r>
      <w:r w:rsidRPr="0011161D">
        <w:rPr>
          <w:rFonts w:ascii="Palatino Linotype" w:eastAsia="Palatino Linotype" w:hAnsi="Palatino Linotype" w:cs="Palatino Linotype"/>
          <w:vertAlign w:val="superscript"/>
        </w:rPr>
        <w:footnoteReference w:id="3"/>
      </w:r>
      <w:r w:rsidRPr="0011161D">
        <w:rPr>
          <w:rFonts w:ascii="Palatino Linotype" w:eastAsia="Palatino Linotype" w:hAnsi="Palatino Linotype" w:cs="Palatino Linotype"/>
          <w:color w:val="000000"/>
        </w:rPr>
        <w:t>fomentando</w:t>
      </w:r>
      <w:r w:rsidRPr="0011161D">
        <w:rPr>
          <w:rFonts w:ascii="Palatino Linotype" w:eastAsia="Palatino Linotype" w:hAnsi="Palatino Linotype" w:cs="Palatino Linotype"/>
          <w:i/>
          <w:iCs/>
          <w:color w:val="000000"/>
        </w:rPr>
        <w:t xml:space="preserve"> la transparencia de las actividades estatales y </w:t>
      </w:r>
      <w:r w:rsidRPr="0011161D">
        <w:rPr>
          <w:rFonts w:ascii="Palatino Linotype" w:eastAsia="Palatino Linotype" w:hAnsi="Palatino Linotype" w:cs="Palatino Linotype"/>
          <w:color w:val="000000"/>
        </w:rPr>
        <w:t>promoviendo</w:t>
      </w:r>
      <w:r w:rsidRPr="0011161D">
        <w:rPr>
          <w:rFonts w:ascii="Palatino Linotype" w:eastAsia="Palatino Linotype" w:hAnsi="Palatino Linotype" w:cs="Palatino Linotype"/>
          <w:i/>
          <w:iCs/>
          <w:color w:val="000000"/>
        </w:rPr>
        <w:t xml:space="preserve"> la responsabilidad de los funcionarios sobre su gestión pública,</w:t>
      </w:r>
      <w:r w:rsidRPr="0011161D">
        <w:rPr>
          <w:rFonts w:ascii="Palatino Linotype" w:eastAsia="Palatino Linotype" w:hAnsi="Palatino Linotype" w:cs="Palatino Linotype"/>
          <w:vertAlign w:val="superscript"/>
        </w:rPr>
        <w:footnoteReference w:id="4"/>
      </w:r>
      <w:r w:rsidRPr="0011161D">
        <w:rPr>
          <w:rFonts w:ascii="Palatino Linotype" w:eastAsia="Palatino Linotype" w:hAnsi="Palatino Linotype" w:cs="Palatino Linotype"/>
          <w:color w:val="000000"/>
        </w:rPr>
        <w:t>que permite</w:t>
      </w:r>
      <w:r w:rsidRPr="0011161D">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0709EA5C" w14:textId="77777777" w:rsidR="0011161D" w:rsidRPr="0011161D" w:rsidRDefault="0011161D" w:rsidP="0011161D">
      <w:pPr>
        <w:spacing w:line="360" w:lineRule="auto"/>
        <w:ind w:right="1"/>
        <w:jc w:val="both"/>
        <w:rPr>
          <w:rFonts w:ascii="Palatino Linotype" w:eastAsia="Palatino Linotype" w:hAnsi="Palatino Linotype" w:cs="Palatino Linotype"/>
        </w:rPr>
      </w:pPr>
    </w:p>
    <w:p w14:paraId="2D564ABF"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En </w:t>
      </w:r>
      <w:r w:rsidRPr="0011161D">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627E3B74" w14:textId="77777777" w:rsidR="00A010E9" w:rsidRPr="0011161D" w:rsidRDefault="00A010E9">
      <w:pPr>
        <w:ind w:right="-592"/>
        <w:jc w:val="both"/>
        <w:rPr>
          <w:rFonts w:ascii="Palatino Linotype" w:eastAsia="Palatino Linotype" w:hAnsi="Palatino Linotype" w:cs="Palatino Linotype"/>
          <w:b/>
          <w:bCs/>
        </w:rPr>
      </w:pPr>
    </w:p>
    <w:p w14:paraId="1FBBC894"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r w:rsidRPr="0011161D">
        <w:rPr>
          <w:rFonts w:ascii="Palatino Linotype" w:eastAsia="Palatino Linotype" w:hAnsi="Palatino Linotype" w:cs="Palatino Linotype"/>
          <w:b/>
          <w:bCs/>
          <w:i/>
          <w:iCs/>
        </w:rPr>
        <w:t>Artículo 1.-</w:t>
      </w:r>
      <w:r w:rsidRPr="0011161D">
        <w:rPr>
          <w:rFonts w:ascii="Palatino Linotype" w:eastAsia="Palatino Linotype" w:hAnsi="Palatino Linotype" w:cs="Palatino Linotype"/>
          <w:i/>
          <w:iCs/>
        </w:rPr>
        <w:t xml:space="preserve"> </w:t>
      </w:r>
    </w:p>
    <w:p w14:paraId="020A9DC7"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p>
    <w:p w14:paraId="6C537DC2"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Todas las</w:t>
      </w:r>
      <w:r w:rsidRPr="0011161D">
        <w:rPr>
          <w:rFonts w:ascii="Palatino Linotype" w:eastAsia="Palatino Linotype" w:hAnsi="Palatino Linotype" w:cs="Palatino Linotype"/>
        </w:rPr>
        <w:t xml:space="preserve"> </w:t>
      </w:r>
      <w:r w:rsidRPr="0011161D">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A0C6A99" w14:textId="77777777" w:rsidR="00A010E9" w:rsidRPr="0011161D" w:rsidRDefault="00EA661E">
      <w:pPr>
        <w:ind w:left="567" w:right="710"/>
        <w:jc w:val="both"/>
        <w:rPr>
          <w:rFonts w:ascii="Palatino Linotype" w:eastAsia="Palatino Linotype" w:hAnsi="Palatino Linotype" w:cs="Palatino Linotype"/>
        </w:rPr>
      </w:pPr>
      <w:r w:rsidRPr="0011161D">
        <w:rPr>
          <w:rFonts w:ascii="Palatino Linotype" w:eastAsia="Palatino Linotype" w:hAnsi="Palatino Linotype" w:cs="Palatino Linotype"/>
          <w:i/>
          <w:iCs/>
        </w:rPr>
        <w:t>(…)</w:t>
      </w:r>
      <w:r w:rsidRPr="0011161D">
        <w:rPr>
          <w:rFonts w:ascii="Palatino Linotype" w:eastAsia="Palatino Linotype" w:hAnsi="Palatino Linotype" w:cs="Palatino Linotype"/>
        </w:rPr>
        <w:t>”</w:t>
      </w:r>
    </w:p>
    <w:p w14:paraId="29624860" w14:textId="77777777" w:rsidR="00A010E9" w:rsidRPr="0011161D" w:rsidRDefault="00A010E9">
      <w:pPr>
        <w:ind w:right="-592"/>
        <w:jc w:val="both"/>
        <w:rPr>
          <w:rFonts w:ascii="Palatino Linotype" w:eastAsia="Palatino Linotype" w:hAnsi="Palatino Linotype" w:cs="Palatino Linotype"/>
          <w:b/>
          <w:bCs/>
        </w:rPr>
      </w:pPr>
    </w:p>
    <w:p w14:paraId="3A7F47B8" w14:textId="77777777" w:rsidR="00A010E9" w:rsidRPr="0011161D" w:rsidRDefault="00EA661E">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11161D">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3FEF2434" w14:textId="77777777" w:rsidR="00A010E9" w:rsidRPr="0011161D" w:rsidRDefault="00A010E9">
      <w:pPr>
        <w:ind w:right="1"/>
        <w:jc w:val="both"/>
        <w:rPr>
          <w:rFonts w:ascii="Palatino Linotype" w:eastAsia="Palatino Linotype" w:hAnsi="Palatino Linotype" w:cs="Palatino Linotype"/>
          <w:b/>
          <w:bCs/>
        </w:rPr>
      </w:pPr>
    </w:p>
    <w:p w14:paraId="544CA7DF"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Así </w:t>
      </w:r>
      <w:r w:rsidRPr="0011161D">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w:t>
      </w:r>
      <w:r w:rsidRPr="0011161D">
        <w:rPr>
          <w:rFonts w:ascii="Palatino Linotype" w:eastAsia="Palatino Linotype" w:hAnsi="Palatino Linotype" w:cs="Palatino Linotype"/>
        </w:rPr>
        <w:lastRenderedPageBreak/>
        <w:t>cumplimiento de las garantías primarias, entendidas como obligaciones inmediatamente relacionadas con el Derecho de Acceso a la Información Pública, permiten que todas las autoridades, en el ámbito de sus atribuciones lo respeten, protejan y garanticen:</w:t>
      </w:r>
    </w:p>
    <w:p w14:paraId="1BD0ECB5" w14:textId="77777777" w:rsidR="00A010E9" w:rsidRPr="0011161D" w:rsidRDefault="00A010E9">
      <w:pPr>
        <w:rPr>
          <w:rFonts w:ascii="Palatino Linotype" w:eastAsia="Palatino Linotype" w:hAnsi="Palatino Linotype" w:cs="Palatino Linotype"/>
          <w:b/>
          <w:bCs/>
        </w:rPr>
      </w:pPr>
    </w:p>
    <w:p w14:paraId="3915954D" w14:textId="77777777" w:rsidR="00A010E9" w:rsidRPr="0011161D" w:rsidRDefault="00EA661E">
      <w:pPr>
        <w:ind w:left="567" w:right="710"/>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Constitución Política de los Estados Unidos Mexicanos</w:t>
      </w:r>
    </w:p>
    <w:p w14:paraId="0C0D71A2" w14:textId="77777777" w:rsidR="00A010E9" w:rsidRPr="0011161D" w:rsidRDefault="00EA661E">
      <w:pPr>
        <w:ind w:left="567" w:right="710"/>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“Artículo 6.</w:t>
      </w:r>
      <w:r w:rsidRPr="0011161D">
        <w:rPr>
          <w:rFonts w:ascii="Palatino Linotype" w:eastAsia="Palatino Linotype" w:hAnsi="Palatino Linotype" w:cs="Palatino Linotype"/>
          <w:i/>
          <w:iCs/>
        </w:rPr>
        <w:t xml:space="preserve"> …</w:t>
      </w:r>
    </w:p>
    <w:p w14:paraId="7ACD1257"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p>
    <w:p w14:paraId="2845802E"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Para efectos de lo dispuesto en el presente artículo se observará lo siguiente:</w:t>
      </w:r>
    </w:p>
    <w:p w14:paraId="0D531FD5" w14:textId="77777777" w:rsidR="00A010E9" w:rsidRPr="0011161D" w:rsidRDefault="00EA661E">
      <w:pPr>
        <w:ind w:left="567" w:right="710"/>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A</w:t>
      </w:r>
      <w:r w:rsidRPr="0011161D">
        <w:rPr>
          <w:rFonts w:ascii="Palatino Linotype" w:eastAsia="Palatino Linotype" w:hAnsi="Palatino Linotype" w:cs="Palatino Linotype"/>
          <w:i/>
          <w:iCs/>
        </w:rPr>
        <w:t xml:space="preserve">. </w:t>
      </w:r>
      <w:r w:rsidRPr="0011161D">
        <w:rPr>
          <w:rFonts w:ascii="Palatino Linotype" w:eastAsia="Palatino Linotype" w:hAnsi="Palatino Linotype" w:cs="Palatino Linotype"/>
          <w:b/>
          <w:bCs/>
          <w:i/>
          <w:iCs/>
        </w:rPr>
        <w:t>Para el ejercicio del derecho de acceso a la información</w:t>
      </w:r>
      <w:r w:rsidRPr="0011161D">
        <w:rPr>
          <w:rFonts w:ascii="Palatino Linotype" w:eastAsia="Palatino Linotype" w:hAnsi="Palatino Linotype" w:cs="Palatino Linotype"/>
          <w:i/>
          <w:iCs/>
        </w:rPr>
        <w:t xml:space="preserve">, la Federación y </w:t>
      </w:r>
      <w:r w:rsidRPr="0011161D">
        <w:rPr>
          <w:rFonts w:ascii="Palatino Linotype" w:eastAsia="Palatino Linotype" w:hAnsi="Palatino Linotype" w:cs="Palatino Linotype"/>
          <w:b/>
          <w:bCs/>
          <w:i/>
          <w:iCs/>
        </w:rPr>
        <w:t>las entidades federativas, en el ámbito de sus respectivas competencias, se regirán por los siguientes principios y bases:</w:t>
      </w:r>
    </w:p>
    <w:p w14:paraId="48F8EDEB"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 xml:space="preserve">I. </w:t>
      </w:r>
      <w:r w:rsidRPr="0011161D">
        <w:rPr>
          <w:rFonts w:ascii="Palatino Linotype" w:eastAsia="Palatino Linotype" w:hAnsi="Palatino Linotype" w:cs="Palatino Linotype"/>
          <w:b/>
          <w:bCs/>
          <w:i/>
          <w:iCs/>
        </w:rPr>
        <w:tab/>
        <w:t>Toda la información en posesión de cualquier</w:t>
      </w:r>
      <w:r w:rsidRPr="0011161D">
        <w:rPr>
          <w:rFonts w:ascii="Palatino Linotype" w:eastAsia="Palatino Linotype" w:hAnsi="Palatino Linotype" w:cs="Palatino Linotype"/>
          <w:i/>
          <w:iCs/>
        </w:rPr>
        <w:t xml:space="preserve"> </w:t>
      </w:r>
      <w:r w:rsidRPr="0011161D">
        <w:rPr>
          <w:rFonts w:ascii="Palatino Linotype" w:eastAsia="Palatino Linotype" w:hAnsi="Palatino Linotype" w:cs="Palatino Linotype"/>
          <w:b/>
          <w:bCs/>
          <w:i/>
          <w:iCs/>
        </w:rPr>
        <w:t>autoridad</w:t>
      </w:r>
      <w:r w:rsidRPr="0011161D">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1161D">
        <w:rPr>
          <w:rFonts w:ascii="Palatino Linotype" w:eastAsia="Palatino Linotype" w:hAnsi="Palatino Linotype" w:cs="Palatino Linotype"/>
          <w:b/>
          <w:bCs/>
          <w:i/>
          <w:iCs/>
        </w:rPr>
        <w:t>municipal</w:t>
      </w:r>
      <w:r w:rsidRPr="0011161D">
        <w:rPr>
          <w:rFonts w:ascii="Palatino Linotype" w:eastAsia="Palatino Linotype" w:hAnsi="Palatino Linotype" w:cs="Palatino Linotype"/>
          <w:i/>
          <w:iCs/>
        </w:rPr>
        <w:t xml:space="preserve">, </w:t>
      </w:r>
      <w:r w:rsidRPr="0011161D">
        <w:rPr>
          <w:rFonts w:ascii="Palatino Linotype" w:eastAsia="Palatino Linotype" w:hAnsi="Palatino Linotype" w:cs="Palatino Linotype"/>
          <w:b/>
          <w:bCs/>
          <w:i/>
          <w:iCs/>
        </w:rPr>
        <w:t>es pública</w:t>
      </w:r>
      <w:r w:rsidRPr="0011161D">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1161D">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11161D">
        <w:rPr>
          <w:rFonts w:ascii="Palatino Linotype" w:eastAsia="Palatino Linotype" w:hAnsi="Palatino Linotype" w:cs="Palatino Linotype"/>
          <w:i/>
          <w:iCs/>
        </w:rPr>
        <w:t>, la ley determinará los supuestos específicos bajo los cuales procederá la declaración de inexistencia de la información.”</w:t>
      </w:r>
    </w:p>
    <w:p w14:paraId="10CC2B6A" w14:textId="77777777" w:rsidR="00A010E9" w:rsidRPr="0011161D" w:rsidRDefault="00A010E9">
      <w:pPr>
        <w:tabs>
          <w:tab w:val="left" w:pos="426"/>
          <w:tab w:val="left" w:pos="567"/>
        </w:tabs>
        <w:ind w:left="567" w:right="710"/>
        <w:jc w:val="both"/>
        <w:rPr>
          <w:rFonts w:ascii="Palatino Linotype" w:eastAsia="Palatino Linotype" w:hAnsi="Palatino Linotype" w:cs="Palatino Linotype"/>
          <w:color w:val="000000"/>
        </w:rPr>
      </w:pPr>
    </w:p>
    <w:p w14:paraId="03AA2939" w14:textId="77777777" w:rsidR="00A010E9" w:rsidRPr="0011161D" w:rsidRDefault="00EA661E">
      <w:pPr>
        <w:ind w:left="567" w:right="710"/>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Constitución Política del Estado Libre y Soberano de México</w:t>
      </w:r>
    </w:p>
    <w:p w14:paraId="31FC2D86"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“Artículo 5</w:t>
      </w:r>
      <w:r w:rsidRPr="0011161D">
        <w:rPr>
          <w:rFonts w:ascii="Palatino Linotype" w:eastAsia="Palatino Linotype" w:hAnsi="Palatino Linotype" w:cs="Palatino Linotype"/>
          <w:i/>
          <w:iCs/>
        </w:rPr>
        <w:t>.-…</w:t>
      </w:r>
    </w:p>
    <w:p w14:paraId="326B41E6"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p>
    <w:p w14:paraId="57CBF4B0"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1161D">
        <w:rPr>
          <w:rFonts w:ascii="Palatino Linotype" w:eastAsia="Palatino Linotype" w:hAnsi="Palatino Linotype" w:cs="Palatino Linotype"/>
          <w:i/>
          <w:iCs/>
        </w:rPr>
        <w:t>.</w:t>
      </w:r>
    </w:p>
    <w:p w14:paraId="4676DF80"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96909FD" w14:textId="77777777" w:rsidR="00A010E9" w:rsidRPr="0011161D" w:rsidRDefault="00A010E9">
      <w:pPr>
        <w:ind w:left="567" w:right="710"/>
        <w:jc w:val="both"/>
        <w:rPr>
          <w:rFonts w:ascii="Palatino Linotype" w:eastAsia="Palatino Linotype" w:hAnsi="Palatino Linotype" w:cs="Palatino Linotype"/>
          <w:i/>
          <w:iCs/>
        </w:rPr>
      </w:pPr>
    </w:p>
    <w:p w14:paraId="2DB11C9B" w14:textId="77777777" w:rsidR="00A010E9" w:rsidRPr="0011161D" w:rsidRDefault="00EA661E">
      <w:pPr>
        <w:ind w:left="567" w:right="710"/>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Este derecho se regirá por los principios y bases siguientes</w:t>
      </w:r>
      <w:r w:rsidRPr="0011161D">
        <w:rPr>
          <w:rFonts w:ascii="Palatino Linotype" w:eastAsia="Palatino Linotype" w:hAnsi="Palatino Linotype" w:cs="Palatino Linotype"/>
          <w:i/>
          <w:iCs/>
        </w:rPr>
        <w:t>:</w:t>
      </w:r>
    </w:p>
    <w:p w14:paraId="7EA33D26" w14:textId="77777777" w:rsidR="00A010E9" w:rsidRPr="0011161D" w:rsidRDefault="00EA661E">
      <w:pPr>
        <w:ind w:left="567" w:right="710"/>
        <w:jc w:val="both"/>
        <w:rPr>
          <w:rFonts w:ascii="Palatino Linotype" w:eastAsia="Palatino Linotype" w:hAnsi="Palatino Linotype" w:cs="Palatino Linotype"/>
          <w:b/>
          <w:bCs/>
        </w:rPr>
      </w:pPr>
      <w:r w:rsidRPr="0011161D">
        <w:rPr>
          <w:rFonts w:ascii="Palatino Linotype" w:eastAsia="Palatino Linotype" w:hAnsi="Palatino Linotype" w:cs="Palatino Linotype"/>
          <w:b/>
          <w:bCs/>
          <w:i/>
          <w:iCs/>
        </w:rPr>
        <w:lastRenderedPageBreak/>
        <w:t>Toda la información en posesión de cualquier autoridad, entidad, órgano y organismos de los</w:t>
      </w:r>
      <w:r w:rsidRPr="0011161D">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1161D">
        <w:rPr>
          <w:rFonts w:ascii="Palatino Linotype" w:eastAsia="Palatino Linotype" w:hAnsi="Palatino Linotype" w:cs="Palatino Linotype"/>
          <w:b/>
          <w:bCs/>
          <w:i/>
          <w:iCs/>
        </w:rPr>
        <w:t>municipales</w:t>
      </w:r>
      <w:r w:rsidRPr="0011161D">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1161D">
        <w:rPr>
          <w:rFonts w:ascii="Palatino Linotype" w:eastAsia="Palatino Linotype" w:hAnsi="Palatino Linotype" w:cs="Palatino Linotype"/>
          <w:b/>
          <w:bCs/>
          <w:i/>
          <w:iCs/>
        </w:rPr>
        <w:t>es pública</w:t>
      </w:r>
      <w:r w:rsidRPr="0011161D">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11161D">
        <w:rPr>
          <w:rFonts w:ascii="Palatino Linotype" w:eastAsia="Palatino Linotype" w:hAnsi="Palatino Linotype" w:cs="Palatino Linotype"/>
          <w:b/>
          <w:bCs/>
          <w:i/>
          <w:iCs/>
        </w:rPr>
        <w:t>En la interpretación de este derecho deberá prevalecer el principio de máxima publicidad</w:t>
      </w:r>
      <w:r w:rsidRPr="0011161D">
        <w:rPr>
          <w:rFonts w:ascii="Palatino Linotype" w:eastAsia="Palatino Linotype" w:hAnsi="Palatino Linotype" w:cs="Palatino Linotype"/>
          <w:i/>
          <w:iCs/>
        </w:rPr>
        <w:t xml:space="preserve">. </w:t>
      </w:r>
      <w:r w:rsidRPr="0011161D">
        <w:rPr>
          <w:rFonts w:ascii="Palatino Linotype" w:eastAsia="Palatino Linotype" w:hAnsi="Palatino Linotype" w:cs="Palatino Linotype"/>
          <w:b/>
          <w:bCs/>
          <w:i/>
          <w:iCs/>
        </w:rPr>
        <w:t>Los sujetos obligados deberán documentar todo acto que derive del ejercicio de sus facultades, competencias o funciones</w:t>
      </w:r>
      <w:r w:rsidRPr="0011161D">
        <w:rPr>
          <w:rFonts w:ascii="Palatino Linotype" w:eastAsia="Palatino Linotype" w:hAnsi="Palatino Linotype" w:cs="Palatino Linotype"/>
          <w:i/>
          <w:iCs/>
        </w:rPr>
        <w:t>, la ley determinará los supuestos específicos bajo los cuales procederá la declaración de inexistencia de la información.”</w:t>
      </w:r>
    </w:p>
    <w:p w14:paraId="576DC8A6" w14:textId="77777777" w:rsidR="00A010E9" w:rsidRPr="0011161D" w:rsidRDefault="00A010E9">
      <w:pPr>
        <w:rPr>
          <w:rFonts w:ascii="Palatino Linotype" w:eastAsia="Palatino Linotype" w:hAnsi="Palatino Linotype" w:cs="Palatino Linotype"/>
          <w:b/>
          <w:bCs/>
        </w:rPr>
      </w:pPr>
    </w:p>
    <w:p w14:paraId="29B76D3C"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Según </w:t>
      </w:r>
      <w:r w:rsidRPr="0011161D">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11161D">
        <w:rPr>
          <w:rFonts w:ascii="Palatino Linotype" w:eastAsia="Palatino Linotype" w:hAnsi="Palatino Linotype" w:cs="Palatino Linotype"/>
          <w:i/>
          <w:iCs/>
        </w:rPr>
        <w:t>por los principios de simplicidad, rapidez gratuidad del procedimiento, auxilio y orientación a los particulares</w:t>
      </w:r>
      <w:r w:rsidRPr="0011161D">
        <w:rPr>
          <w:rFonts w:ascii="Palatino Linotype" w:eastAsia="Palatino Linotype" w:hAnsi="Palatino Linotype" w:cs="Palatino Linotype"/>
        </w:rPr>
        <w:t>, contemplando el derecho de las personas con discapacidad y hablantes de lengua indígena.</w:t>
      </w:r>
    </w:p>
    <w:p w14:paraId="4E262D3B" w14:textId="77777777" w:rsidR="0011161D" w:rsidRPr="0011161D" w:rsidRDefault="0011161D" w:rsidP="0011161D">
      <w:pPr>
        <w:spacing w:line="360" w:lineRule="auto"/>
        <w:ind w:right="1"/>
        <w:jc w:val="both"/>
        <w:rPr>
          <w:rFonts w:ascii="Palatino Linotype" w:eastAsia="Palatino Linotype" w:hAnsi="Palatino Linotype" w:cs="Palatino Linotype"/>
          <w:b/>
          <w:bCs/>
        </w:rPr>
      </w:pPr>
    </w:p>
    <w:p w14:paraId="7CE663F8"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El </w:t>
      </w:r>
      <w:r w:rsidRPr="0011161D">
        <w:rPr>
          <w:rFonts w:ascii="Palatino Linotype" w:eastAsia="Palatino Linotype" w:hAnsi="Palatino Linotype" w:cs="Palatino Linotype"/>
        </w:rPr>
        <w:t xml:space="preserve">Derecho de Acceso a la Información se garantiza y respeta oportunamente, y según lo que dispone la Ley, las </w:t>
      </w:r>
      <w:r w:rsidRPr="0011161D">
        <w:rPr>
          <w:rFonts w:ascii="Palatino Linotype" w:eastAsia="Palatino Linotype" w:hAnsi="Palatino Linotype" w:cs="Palatino Linotype"/>
          <w:i/>
          <w:iCs/>
        </w:rPr>
        <w:t>solicitudes de acceso a la información</w:t>
      </w:r>
      <w:r w:rsidRPr="0011161D">
        <w:rPr>
          <w:rFonts w:ascii="Palatino Linotype" w:eastAsia="Palatino Linotype" w:hAnsi="Palatino Linotype" w:cs="Palatino Linotype"/>
        </w:rPr>
        <w:t>.</w:t>
      </w:r>
    </w:p>
    <w:p w14:paraId="2D9624BF" w14:textId="77777777" w:rsidR="00A010E9" w:rsidRPr="0011161D" w:rsidRDefault="00A010E9">
      <w:pPr>
        <w:ind w:right="1"/>
        <w:jc w:val="both"/>
        <w:rPr>
          <w:rFonts w:ascii="Palatino Linotype" w:eastAsia="Palatino Linotype" w:hAnsi="Palatino Linotype" w:cs="Palatino Linotype"/>
          <w:b/>
          <w:bCs/>
        </w:rPr>
      </w:pPr>
    </w:p>
    <w:p w14:paraId="740C6C68"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Así </w:t>
      </w:r>
      <w:r w:rsidRPr="0011161D">
        <w:rPr>
          <w:rFonts w:ascii="Palatino Linotype" w:eastAsia="Palatino Linotype" w:hAnsi="Palatino Linotype" w:cs="Palatino Linotype"/>
        </w:rPr>
        <w:t xml:space="preserve">entonces, se procede analizar, en primer lugar, si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1BA7B464" w14:textId="77777777" w:rsidR="00A010E9" w:rsidRDefault="00A010E9">
      <w:pPr>
        <w:rPr>
          <w:rFonts w:ascii="Palatino Linotype" w:eastAsia="Palatino Linotype" w:hAnsi="Palatino Linotype" w:cs="Palatino Linotype"/>
          <w:b/>
          <w:bCs/>
        </w:rPr>
      </w:pPr>
    </w:p>
    <w:p w14:paraId="29A206D4" w14:textId="77777777" w:rsidR="0011161D" w:rsidRPr="0011161D" w:rsidRDefault="0011161D">
      <w:pPr>
        <w:rPr>
          <w:rFonts w:ascii="Palatino Linotype" w:eastAsia="Palatino Linotype" w:hAnsi="Palatino Linotype" w:cs="Palatino Linotype"/>
          <w:b/>
          <w:bCs/>
        </w:rPr>
      </w:pPr>
    </w:p>
    <w:p w14:paraId="0BC0154E" w14:textId="77777777" w:rsidR="00A010E9" w:rsidRPr="0011161D" w:rsidRDefault="00EA661E">
      <w:pPr>
        <w:keepNext/>
        <w:keepLines/>
        <w:numPr>
          <w:ilvl w:val="1"/>
          <w:numId w:val="2"/>
        </w:numPr>
        <w:spacing w:line="360" w:lineRule="auto"/>
        <w:ind w:left="567" w:right="-592"/>
        <w:jc w:val="both"/>
        <w:rPr>
          <w:rFonts w:ascii="Palatino Linotype" w:eastAsia="Palatino Linotype" w:hAnsi="Palatino Linotype" w:cs="Palatino Linotype"/>
          <w:b/>
          <w:bCs/>
        </w:rPr>
      </w:pPr>
      <w:r w:rsidRPr="0011161D">
        <w:rPr>
          <w:rFonts w:ascii="Palatino Linotype" w:eastAsia="Palatino Linotype" w:hAnsi="Palatino Linotype" w:cs="Palatino Linotype"/>
          <w:b/>
          <w:bCs/>
        </w:rPr>
        <w:lastRenderedPageBreak/>
        <w:t>De la información solicitada y la respuesta del SUJETO OBLIGADO.</w:t>
      </w:r>
    </w:p>
    <w:p w14:paraId="4875756E"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11161D">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5D26D2AD" w14:textId="77777777" w:rsidR="00A010E9" w:rsidRPr="0011161D" w:rsidRDefault="00A010E9">
      <w:pPr>
        <w:spacing w:line="360" w:lineRule="auto"/>
        <w:ind w:right="1"/>
        <w:jc w:val="both"/>
        <w:rPr>
          <w:rFonts w:ascii="Palatino Linotype" w:eastAsia="Palatino Linotype" w:hAnsi="Palatino Linotype" w:cs="Palatino Linotype"/>
          <w:b/>
          <w:bCs/>
        </w:rPr>
      </w:pPr>
    </w:p>
    <w:p w14:paraId="356D2F42"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 xml:space="preserve">Así, resulta conveniente reiterar la información solicitada por la parte </w:t>
      </w:r>
      <w:r w:rsidRPr="0011161D">
        <w:rPr>
          <w:rFonts w:ascii="Palatino Linotype" w:eastAsia="Palatino Linotype" w:hAnsi="Palatino Linotype" w:cs="Palatino Linotype"/>
          <w:b/>
          <w:bCs/>
        </w:rPr>
        <w:t>RECURRENTE</w:t>
      </w:r>
      <w:r w:rsidRPr="0011161D">
        <w:rPr>
          <w:rFonts w:ascii="Palatino Linotype" w:eastAsia="Palatino Linotype" w:hAnsi="Palatino Linotype" w:cs="Palatino Linotype"/>
        </w:rPr>
        <w:t xml:space="preserve">, así como la respuesta emitida por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mediante el siguiente cuadro descriptivo:</w:t>
      </w:r>
    </w:p>
    <w:p w14:paraId="38BACCD8" w14:textId="77777777" w:rsidR="00A010E9" w:rsidRPr="0011161D" w:rsidRDefault="00A010E9">
      <w:pPr>
        <w:spacing w:line="360" w:lineRule="auto"/>
        <w:ind w:right="1"/>
        <w:jc w:val="both"/>
        <w:rPr>
          <w:rFonts w:ascii="Palatino Linotype" w:eastAsia="Palatino Linotype" w:hAnsi="Palatino Linotype" w:cs="Palatino Linotype"/>
          <w:b/>
          <w:bCs/>
        </w:rPr>
      </w:pPr>
    </w:p>
    <w:tbl>
      <w:tblPr>
        <w:tblStyle w:val="a"/>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3544"/>
        <w:gridCol w:w="2977"/>
      </w:tblGrid>
      <w:tr w:rsidR="00A010E9" w:rsidRPr="0011161D" w14:paraId="563049C5" w14:textId="77777777" w:rsidTr="0011161D">
        <w:tc>
          <w:tcPr>
            <w:tcW w:w="3539" w:type="dxa"/>
            <w:shd w:val="clear" w:color="auto" w:fill="D9D9D9"/>
          </w:tcPr>
          <w:p w14:paraId="71515A73" w14:textId="77777777" w:rsidR="00A010E9" w:rsidRPr="0011161D" w:rsidRDefault="00EA661E">
            <w:pPr>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Información Solicitada de la obra denominada “Construcción de techado en área de impartición de educación física en Escuela Secundaria Justo Sierra”</w:t>
            </w:r>
          </w:p>
        </w:tc>
        <w:tc>
          <w:tcPr>
            <w:tcW w:w="3544" w:type="dxa"/>
            <w:shd w:val="clear" w:color="auto" w:fill="D9D9D9"/>
          </w:tcPr>
          <w:p w14:paraId="5907E1C4" w14:textId="77777777" w:rsidR="00A010E9" w:rsidRPr="0011161D" w:rsidRDefault="00EA661E">
            <w:pPr>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Respuesta emitida por el Director de Obras Públicas</w:t>
            </w:r>
          </w:p>
        </w:tc>
        <w:tc>
          <w:tcPr>
            <w:tcW w:w="2977" w:type="dxa"/>
            <w:shd w:val="clear" w:color="auto" w:fill="D9D9D9"/>
          </w:tcPr>
          <w:p w14:paraId="1E6CFCF0" w14:textId="77777777" w:rsidR="00A010E9" w:rsidRPr="0011161D" w:rsidRDefault="00EA661E">
            <w:pPr>
              <w:spacing w:line="360" w:lineRule="auto"/>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Comentario</w:t>
            </w:r>
          </w:p>
        </w:tc>
      </w:tr>
      <w:tr w:rsidR="00A010E9" w:rsidRPr="0011161D" w14:paraId="1825DC95" w14:textId="77777777" w:rsidTr="0011161D">
        <w:trPr>
          <w:trHeight w:val="1928"/>
        </w:trPr>
        <w:tc>
          <w:tcPr>
            <w:tcW w:w="3539" w:type="dxa"/>
          </w:tcPr>
          <w:p w14:paraId="158AE874" w14:textId="77777777" w:rsidR="00A010E9" w:rsidRPr="0011161D" w:rsidRDefault="00EA661E">
            <w:pPr>
              <w:ind w:right="1"/>
              <w:jc w:val="both"/>
              <w:rPr>
                <w:rFonts w:ascii="Palatino Linotype" w:eastAsia="Palatino Linotype" w:hAnsi="Palatino Linotype" w:cs="Palatino Linotype"/>
                <w:b/>
                <w:bCs/>
              </w:rPr>
            </w:pPr>
            <w:r w:rsidRPr="0011161D">
              <w:rPr>
                <w:rFonts w:ascii="Palatino Linotype" w:eastAsia="Palatino Linotype" w:hAnsi="Palatino Linotype" w:cs="Palatino Linotype"/>
                <w:b/>
                <w:bCs/>
              </w:rPr>
              <w:t>1. Expediente</w:t>
            </w:r>
          </w:p>
        </w:tc>
        <w:tc>
          <w:tcPr>
            <w:tcW w:w="3544" w:type="dxa"/>
          </w:tcPr>
          <w:p w14:paraId="0D047479" w14:textId="77777777" w:rsidR="00A010E9" w:rsidRPr="0011161D" w:rsidRDefault="00EA661E">
            <w:pPr>
              <w:jc w:val="both"/>
              <w:rPr>
                <w:rFonts w:ascii="Palatino Linotype" w:eastAsia="Palatino Linotype" w:hAnsi="Palatino Linotype" w:cs="Palatino Linotype"/>
              </w:rPr>
            </w:pPr>
            <w:r w:rsidRPr="0011161D">
              <w:rPr>
                <w:rFonts w:ascii="Palatino Linotype" w:eastAsia="Palatino Linotype" w:hAnsi="Palatino Linotype" w:cs="Palatino Linotype"/>
              </w:rPr>
              <w:t>El Servidor Público Habilitado Competente remitió expediente técnico de la obra denominada “Construcción de techado en área de impartición de educación física en Escuela Secundaria Justo Sierra”.</w:t>
            </w:r>
          </w:p>
        </w:tc>
        <w:tc>
          <w:tcPr>
            <w:tcW w:w="2977" w:type="dxa"/>
          </w:tcPr>
          <w:p w14:paraId="7EF5009F" w14:textId="77777777" w:rsidR="00A010E9" w:rsidRPr="0011161D" w:rsidRDefault="00EA661E">
            <w:pPr>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El requerimiento fue atendido parcialmente.</w:t>
            </w:r>
          </w:p>
        </w:tc>
      </w:tr>
      <w:tr w:rsidR="00A010E9" w:rsidRPr="0011161D" w14:paraId="18CDA317" w14:textId="77777777" w:rsidTr="0011161D">
        <w:trPr>
          <w:trHeight w:val="1928"/>
        </w:trPr>
        <w:tc>
          <w:tcPr>
            <w:tcW w:w="3539" w:type="dxa"/>
          </w:tcPr>
          <w:p w14:paraId="7F8C0DAD" w14:textId="77777777" w:rsidR="00A010E9" w:rsidRPr="0011161D" w:rsidRDefault="00EA661E">
            <w:pPr>
              <w:numPr>
                <w:ilvl w:val="0"/>
                <w:numId w:val="2"/>
              </w:numPr>
              <w:pBdr>
                <w:top w:val="nil"/>
                <w:left w:val="nil"/>
                <w:bottom w:val="nil"/>
                <w:right w:val="nil"/>
                <w:between w:val="nil"/>
              </w:pBdr>
              <w:ind w:right="1"/>
              <w:jc w:val="both"/>
              <w:rPr>
                <w:rFonts w:ascii="Palatino Linotype" w:eastAsia="Palatino Linotype" w:hAnsi="Palatino Linotype" w:cs="Palatino Linotype"/>
                <w:b/>
                <w:bCs/>
                <w:color w:val="000000"/>
              </w:rPr>
            </w:pPr>
            <w:r w:rsidRPr="0011161D">
              <w:rPr>
                <w:rFonts w:ascii="Palatino Linotype" w:eastAsia="Palatino Linotype" w:hAnsi="Palatino Linotype" w:cs="Palatino Linotype"/>
                <w:b/>
                <w:bCs/>
                <w:color w:val="000000"/>
              </w:rPr>
              <w:t>Licitación</w:t>
            </w:r>
          </w:p>
        </w:tc>
        <w:tc>
          <w:tcPr>
            <w:tcW w:w="3544" w:type="dxa"/>
          </w:tcPr>
          <w:p w14:paraId="3AF5A5FA" w14:textId="77777777" w:rsidR="00A010E9" w:rsidRPr="0011161D" w:rsidRDefault="00EA661E">
            <w:pPr>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El Servidor Público Habilitado competente informó que la contratación de la obra pública se realizó mediante el procedimiento de “invitación restringida”; asimismo, </w:t>
            </w:r>
            <w:r w:rsidRPr="0011161D">
              <w:rPr>
                <w:rFonts w:ascii="Palatino Linotype" w:eastAsia="Palatino Linotype" w:hAnsi="Palatino Linotype" w:cs="Palatino Linotype"/>
              </w:rPr>
              <w:lastRenderedPageBreak/>
              <w:t>adjuntó la copia digitalizada de las dos primeras páginas del documento denominado “Bases para la contratación de obra pública mediante el procedimiento por invitación restringida” de la invitación No. MA/DOP/IR/FAISMUN/2025-02, de la obra Construcción de techado en área de impartición de educación física en escuela secundaria Justo Sierra”.</w:t>
            </w:r>
          </w:p>
        </w:tc>
        <w:tc>
          <w:tcPr>
            <w:tcW w:w="2977" w:type="dxa"/>
          </w:tcPr>
          <w:p w14:paraId="7CED32AC" w14:textId="77777777" w:rsidR="00A010E9" w:rsidRPr="0011161D" w:rsidRDefault="00EA661E">
            <w:pPr>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lastRenderedPageBreak/>
              <w:t>El requerimiento fue atendido</w:t>
            </w:r>
          </w:p>
          <w:p w14:paraId="32BDDBEF" w14:textId="77777777" w:rsidR="00A010E9" w:rsidRPr="0011161D" w:rsidRDefault="00A010E9">
            <w:pPr>
              <w:ind w:right="1"/>
              <w:jc w:val="center"/>
              <w:rPr>
                <w:rFonts w:ascii="Palatino Linotype" w:eastAsia="Palatino Linotype" w:hAnsi="Palatino Linotype" w:cs="Palatino Linotype"/>
                <w:b/>
                <w:bCs/>
              </w:rPr>
            </w:pPr>
          </w:p>
          <w:p w14:paraId="38AB2595" w14:textId="77777777" w:rsidR="00A010E9" w:rsidRPr="0011161D" w:rsidRDefault="00EA661E">
            <w:pPr>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(Hechos negativos)</w:t>
            </w:r>
          </w:p>
        </w:tc>
      </w:tr>
    </w:tbl>
    <w:p w14:paraId="23F67AA8" w14:textId="77777777" w:rsidR="00A010E9" w:rsidRPr="0011161D" w:rsidRDefault="00A010E9">
      <w:pPr>
        <w:spacing w:line="360" w:lineRule="auto"/>
        <w:ind w:right="1"/>
        <w:jc w:val="both"/>
        <w:rPr>
          <w:rFonts w:ascii="Palatino Linotype" w:eastAsia="Palatino Linotype" w:hAnsi="Palatino Linotype" w:cs="Palatino Linotype"/>
          <w:b/>
          <w:bCs/>
        </w:rPr>
      </w:pPr>
    </w:p>
    <w:p w14:paraId="41CC3594"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En atención a lo expuesto, se advierte que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por medio del Director de Obras Públicas, atendió de manera parcial el requerimiento de información expediente técnico de la obra denominada “Construcción de techado en área de impartición de educación física en Escuela Secundaria Justo Sierra”, no así el expediente completo de la misma.</w:t>
      </w:r>
    </w:p>
    <w:p w14:paraId="52305198" w14:textId="77777777" w:rsidR="00EA661E" w:rsidRPr="0011161D" w:rsidRDefault="00EA661E" w:rsidP="00EA661E">
      <w:pPr>
        <w:spacing w:line="360" w:lineRule="auto"/>
        <w:ind w:right="1"/>
        <w:jc w:val="both"/>
        <w:rPr>
          <w:rFonts w:ascii="Palatino Linotype" w:eastAsia="Palatino Linotype" w:hAnsi="Palatino Linotype" w:cs="Palatino Linotype"/>
        </w:rPr>
      </w:pPr>
    </w:p>
    <w:p w14:paraId="22B72477" w14:textId="77777777" w:rsidR="00EA661E" w:rsidRPr="0011161D" w:rsidRDefault="00EA661E" w:rsidP="00C02B7C">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Así, </w:t>
      </w:r>
      <w:r w:rsidRPr="0011161D">
        <w:rPr>
          <w:rFonts w:ascii="Palatino Linotype" w:hAnsi="Palatino Linotype"/>
        </w:rPr>
        <w:t xml:space="preserve">el estudio de la naturaleza jurídica de la información pública solicitada, tiene por objeto determinar si ésta </w:t>
      </w:r>
      <w:r w:rsidR="00C02B7C" w:rsidRPr="0011161D">
        <w:rPr>
          <w:rFonts w:ascii="Palatino Linotype" w:hAnsi="Palatino Linotype"/>
        </w:rPr>
        <w:t>la genera, posee o administra el</w:t>
      </w:r>
      <w:r w:rsidRPr="0011161D">
        <w:rPr>
          <w:rFonts w:ascii="Palatino Linotype" w:hAnsi="Palatino Linotype"/>
        </w:rPr>
        <w:t xml:space="preserve"> </w:t>
      </w:r>
      <w:r w:rsidRPr="0011161D">
        <w:rPr>
          <w:rFonts w:ascii="Palatino Linotype" w:hAnsi="Palatino Linotype"/>
          <w:b/>
        </w:rPr>
        <w:t>SUJETO OBLIGADO;</w:t>
      </w:r>
      <w:r w:rsidRPr="0011161D">
        <w:rPr>
          <w:rFonts w:ascii="Palatino Linotype" w:hAnsi="Palatino Linotype"/>
        </w:rPr>
        <w:t xml:space="preserve">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66FEA073" w14:textId="77777777" w:rsidR="00EA661E" w:rsidRPr="0011161D" w:rsidRDefault="00EA661E" w:rsidP="00EA661E">
      <w:pPr>
        <w:spacing w:line="360" w:lineRule="auto"/>
        <w:ind w:right="49"/>
        <w:jc w:val="both"/>
        <w:rPr>
          <w:rFonts w:ascii="Palatino Linotype" w:eastAsia="Palatino Linotype" w:hAnsi="Palatino Linotype" w:cs="Palatino Linotype"/>
          <w:i/>
        </w:rPr>
      </w:pPr>
    </w:p>
    <w:p w14:paraId="515E56F5" w14:textId="738598F1" w:rsidR="00EA661E" w:rsidRPr="0011161D" w:rsidRDefault="00BB5AE3"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Ahora bien, en relación a la obra</w:t>
      </w:r>
      <w:r w:rsidR="00EA661E" w:rsidRPr="0011161D">
        <w:rPr>
          <w:rFonts w:ascii="Palatino Linotype" w:eastAsia="Palatino Linotype" w:hAnsi="Palatino Linotype" w:cs="Palatino Linotype"/>
        </w:rPr>
        <w:t xml:space="preserve"> objeto de </w:t>
      </w:r>
      <w:r w:rsidRPr="0011161D">
        <w:rPr>
          <w:rFonts w:ascii="Palatino Linotype" w:eastAsia="Palatino Linotype" w:hAnsi="Palatino Linotype" w:cs="Palatino Linotype"/>
        </w:rPr>
        <w:t xml:space="preserve">la presente resolución, </w:t>
      </w:r>
      <w:r w:rsidR="00EA661E" w:rsidRPr="0011161D">
        <w:rPr>
          <w:rFonts w:ascii="Palatino Linotype" w:eastAsia="Palatino Linotype" w:hAnsi="Palatino Linotype" w:cs="Palatino Linotype"/>
        </w:rPr>
        <w:t xml:space="preserve">el artículo 12.4 del Código Administrativo del Estado de México, establece que las obras públicas son aquellas </w:t>
      </w:r>
      <w:r w:rsidR="00EA661E" w:rsidRPr="0011161D">
        <w:rPr>
          <w:rFonts w:ascii="Palatino Linotype" w:eastAsia="Palatino Linotype" w:hAnsi="Palatino Linotype" w:cs="Palatino Linotype"/>
        </w:rPr>
        <w:lastRenderedPageBreak/>
        <w:t xml:space="preserve">cuyo objeto principal es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 </w:t>
      </w:r>
    </w:p>
    <w:p w14:paraId="2B3AE686"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0DAA5D47"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Además, conforme al artículo 12.6 de dicho ordenamiento jurídico, uno de los entes que pueden llevar a cabo contratos de obra pública o servicios relacionados con la misma, son los Municipios, a través de los Ayuntamientos.</w:t>
      </w:r>
    </w:p>
    <w:p w14:paraId="5BC921EA" w14:textId="77777777" w:rsidR="00C02B7C" w:rsidRPr="0011161D" w:rsidRDefault="00C02B7C" w:rsidP="00C02B7C">
      <w:pPr>
        <w:pStyle w:val="Prrafodelista"/>
        <w:spacing w:line="360" w:lineRule="auto"/>
        <w:ind w:left="0" w:right="49"/>
        <w:jc w:val="both"/>
        <w:rPr>
          <w:rFonts w:ascii="Palatino Linotype" w:eastAsia="Palatino Linotype" w:hAnsi="Palatino Linotype" w:cs="Palatino Linotype"/>
        </w:rPr>
      </w:pPr>
    </w:p>
    <w:p w14:paraId="4E2705E4"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En ese orden de ideas, es responsabilidad de los Ayuntamientos ejecutar la obra pública respectiva, mediante contrato con terceros o por administración directa; dicho acto jurídico, será adjudicado a través de licitaciones públicas, </w:t>
      </w:r>
      <w:r w:rsidRPr="0011161D">
        <w:rPr>
          <w:rFonts w:ascii="Palatino Linotype" w:eastAsia="Palatino Linotype" w:hAnsi="Palatino Linotype" w:cs="Palatino Linotype"/>
          <w:b/>
        </w:rPr>
        <w:t>invitación restringida</w:t>
      </w:r>
      <w:r w:rsidRPr="0011161D">
        <w:rPr>
          <w:rFonts w:ascii="Palatino Linotype" w:eastAsia="Palatino Linotype" w:hAnsi="Palatino Linotype" w:cs="Palatino Linotype"/>
        </w:rPr>
        <w:t xml:space="preserve"> o adjudicación directa, conforme a los artículos 12.8, 12.20 y 12.21 del Código mencionado.</w:t>
      </w:r>
    </w:p>
    <w:p w14:paraId="4A19EDA5"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5FBEA968"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Además, el artículo 12.38 del Código Administrativo del Estado de México, establece que la adjudicación de un procedimiento de ejecución de obra, se realizará mediante la suscripción de un contrato, entre el Ayuntamiento y la persona a la cual haya ganado el procedimiento respectivo, dentro de los diez días hábiles siguientes a la notificación del fallo.</w:t>
      </w:r>
    </w:p>
    <w:p w14:paraId="3075EC26"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36F140D3"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En ese orden de ideas, el artículo 70 fracción XXVIII, de la Ley General de Transparencia y Acceso a la Información Pública y 92 fracción XXIX, de la Ley de Transparencia y Acceso a la Información Pública del Estado de México y Municipios, </w:t>
      </w:r>
      <w:r w:rsidRPr="0011161D">
        <w:rPr>
          <w:rFonts w:ascii="Palatino Linotype" w:eastAsia="Palatino Linotype" w:hAnsi="Palatino Linotype" w:cs="Palatino Linotype"/>
          <w:b/>
        </w:rPr>
        <w:t xml:space="preserve">precisa que es información que es pública de oficio, la información sobre los procesos y resultados sobre procedimientos de adjudicación directa, </w:t>
      </w:r>
      <w:r w:rsidRPr="0011161D">
        <w:rPr>
          <w:rFonts w:ascii="Palatino Linotype" w:eastAsia="Palatino Linotype" w:hAnsi="Palatino Linotype" w:cs="Palatino Linotype"/>
          <w:b/>
          <w:u w:val="single"/>
        </w:rPr>
        <w:t>invitación restringida</w:t>
      </w:r>
      <w:r w:rsidRPr="0011161D">
        <w:rPr>
          <w:rFonts w:ascii="Palatino Linotype" w:eastAsia="Palatino Linotype" w:hAnsi="Palatino Linotype" w:cs="Palatino Linotype"/>
          <w:b/>
        </w:rPr>
        <w:t xml:space="preserve"> y licitación de </w:t>
      </w:r>
      <w:r w:rsidRPr="0011161D">
        <w:rPr>
          <w:rFonts w:ascii="Palatino Linotype" w:eastAsia="Palatino Linotype" w:hAnsi="Palatino Linotype" w:cs="Palatino Linotype"/>
          <w:b/>
        </w:rPr>
        <w:lastRenderedPageBreak/>
        <w:t xml:space="preserve">cualquier naturaleza, que incluye </w:t>
      </w:r>
      <w:r w:rsidRPr="0011161D">
        <w:rPr>
          <w:rFonts w:ascii="Palatino Linotype" w:eastAsia="Palatino Linotype" w:hAnsi="Palatino Linotype" w:cs="Palatino Linotype"/>
          <w:b/>
          <w:u w:val="single"/>
        </w:rPr>
        <w:t>la versión pública del expediente respectivo</w:t>
      </w:r>
      <w:r w:rsidRPr="0011161D">
        <w:rPr>
          <w:rFonts w:ascii="Palatino Linotype" w:eastAsia="Palatino Linotype" w:hAnsi="Palatino Linotype" w:cs="Palatino Linotype"/>
          <w:b/>
        </w:rPr>
        <w:t xml:space="preserve"> y de los contratos celebrados</w:t>
      </w:r>
      <w:r w:rsidRPr="0011161D">
        <w:rPr>
          <w:rFonts w:ascii="Palatino Linotype" w:eastAsia="Palatino Linotype" w:hAnsi="Palatino Linotype" w:cs="Palatino Linotype"/>
        </w:rPr>
        <w:t>.</w:t>
      </w:r>
    </w:p>
    <w:p w14:paraId="6050C261"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153DFA61"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Así mismo, se localizó el Acuerdo del Secretario de Infraestructura por el que se establece el Índice de Expediente Único de Obra Pública e Instructivos de llenado en las modalidades de adjudicación directa, invitación restringida y licitación pública el cual establece los Índices de Expedientes Únicos de Obra e instructivos de llenado para la integración de dichos legajos, que deberán integrar entre otros, los Ayuntamientos, donde en su página 10, establece la documentación que debe de contener el Expediente Único de Obra en la modalidad de Invitación Restringida, los cuales son los siguientes:</w:t>
      </w:r>
    </w:p>
    <w:p w14:paraId="05BB0760"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7316A0D3"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Expediente técnico</w:t>
      </w:r>
    </w:p>
    <w:p w14:paraId="4624AC46"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Proyecto ejecutivo</w:t>
      </w:r>
    </w:p>
    <w:p w14:paraId="07F1C962"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Presupuesto base</w:t>
      </w:r>
    </w:p>
    <w:p w14:paraId="61C760CF"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Oficio de asignación, autorización de recursos y dictamen de procedencia</w:t>
      </w:r>
    </w:p>
    <w:p w14:paraId="38D9C57C"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Bases de concurso y en su caso términos de referencia</w:t>
      </w:r>
    </w:p>
    <w:p w14:paraId="1579E930"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Invitación a la persona física o moral para participar en la licitación </w:t>
      </w:r>
    </w:p>
    <w:p w14:paraId="00F38054"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Escrito de aceptación de las personas físicas o morales para participar en la licitación</w:t>
      </w:r>
    </w:p>
    <w:p w14:paraId="188EB83C"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Recibo de pago de bases de concurso</w:t>
      </w:r>
    </w:p>
    <w:p w14:paraId="363EA599"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Invitación a instancias internas y externas a los actos de concurso</w:t>
      </w:r>
    </w:p>
    <w:p w14:paraId="1C63AEB8"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Acta de recepción y apertura de propuestas</w:t>
      </w:r>
    </w:p>
    <w:p w14:paraId="3732999E"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Evaluación de propuestas, dictamen y acta de fallo</w:t>
      </w:r>
    </w:p>
    <w:p w14:paraId="2B3C14E5"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Propuesta Ganadora (con todos los documentos solicitados en las bases y en su caso términos de referencia)</w:t>
      </w:r>
    </w:p>
    <w:p w14:paraId="3AFA6E82"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Contrato, diferimiento, convenios de reprogramación, y/o convenios de ampliación al importe del contrato, incluyendo solicitud de la empresa, opinión de la residencia y de la supervisión externa</w:t>
      </w:r>
    </w:p>
    <w:p w14:paraId="346E387C"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Comunicados de modificación al contrato</w:t>
      </w:r>
    </w:p>
    <w:p w14:paraId="0379BCED"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Garantías de cumplimiento de contrato, anticipos y/o convenios</w:t>
      </w:r>
    </w:p>
    <w:p w14:paraId="70517556"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lastRenderedPageBreak/>
        <w:t>Aviso de inicio de obra</w:t>
      </w:r>
    </w:p>
    <w:p w14:paraId="000F48A6"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Programa de obra o servicio (incluyendo modificaciones), aprobado por la residencia de obra y la supervisión externa</w:t>
      </w:r>
    </w:p>
    <w:p w14:paraId="6562CB10"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Números generadores, estimaciones y facturas, incluyendo estimación de finiquito</w:t>
      </w:r>
    </w:p>
    <w:p w14:paraId="1A151EF3"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Resolución de ajuste o escalatoria de precios unitarios, incluyendo la solicitud de la empresa con sus matrices, y el visto bueno de la residencia de obra y supervisión externa</w:t>
      </w:r>
    </w:p>
    <w:p w14:paraId="3751143D"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Autorización de precios unitarios extraordinarios, incluyendo la solicitud y análisis de la empresa, y la validación de la residencia de obra y en su caso de la supervisión externa </w:t>
      </w:r>
    </w:p>
    <w:p w14:paraId="3C823855"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Bitácora de obra o servicios (original) y minutas de trabajo</w:t>
      </w:r>
    </w:p>
    <w:p w14:paraId="6AB7FC5A"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Reportes de control de calidad</w:t>
      </w:r>
    </w:p>
    <w:p w14:paraId="2F5902FB"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Álbum fotográfico </w:t>
      </w:r>
    </w:p>
    <w:p w14:paraId="04D41B72"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Planos actualizados definitivos</w:t>
      </w:r>
    </w:p>
    <w:p w14:paraId="582DAA19"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Acta de entrega recepción de los trabajos y garantía de vicios ocultos (incluyendo Invitaciones Internas y externas a dicho acto)</w:t>
      </w:r>
    </w:p>
    <w:p w14:paraId="6AE35812" w14:textId="77777777" w:rsidR="00EA661E" w:rsidRPr="0011161D" w:rsidRDefault="00EA661E" w:rsidP="00BB5AE3">
      <w:pPr>
        <w:pStyle w:val="Prrafodelista"/>
        <w:numPr>
          <w:ilvl w:val="0"/>
          <w:numId w:val="5"/>
        </w:numPr>
        <w:spacing w:line="276" w:lineRule="auto"/>
        <w:ind w:left="567" w:right="538" w:hanging="141"/>
        <w:jc w:val="both"/>
        <w:rPr>
          <w:rFonts w:ascii="Palatino Linotype" w:eastAsia="Palatino Linotype" w:hAnsi="Palatino Linotype" w:cs="Palatino Linotype"/>
          <w:i/>
        </w:rPr>
      </w:pPr>
      <w:r w:rsidRPr="0011161D">
        <w:rPr>
          <w:rFonts w:ascii="Palatino Linotype" w:eastAsia="Palatino Linotype" w:hAnsi="Palatino Linotype" w:cs="Palatino Linotype"/>
          <w:i/>
        </w:rPr>
        <w:t>Acta de entrega a la instancia encargada de su operación</w:t>
      </w:r>
    </w:p>
    <w:p w14:paraId="2EB6A652"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30177454"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De acuerdo a lo anterior, </w:t>
      </w:r>
      <w:r w:rsidR="00BB5AE3" w:rsidRPr="0011161D">
        <w:rPr>
          <w:rFonts w:ascii="Palatino Linotype" w:eastAsia="Palatino Linotype" w:hAnsi="Palatino Linotype" w:cs="Palatino Linotype"/>
        </w:rPr>
        <w:t>se</w:t>
      </w:r>
      <w:r w:rsidRPr="0011161D">
        <w:rPr>
          <w:rFonts w:ascii="Palatino Linotype" w:eastAsia="Palatino Linotype" w:hAnsi="Palatino Linotype" w:cs="Palatino Linotype"/>
        </w:rPr>
        <w:t xml:space="preserve"> realiza</w:t>
      </w:r>
      <w:r w:rsidR="00BB5AE3" w:rsidRPr="0011161D">
        <w:rPr>
          <w:rFonts w:ascii="Palatino Linotype" w:eastAsia="Palatino Linotype" w:hAnsi="Palatino Linotype" w:cs="Palatino Linotype"/>
        </w:rPr>
        <w:t>rá</w:t>
      </w:r>
      <w:r w:rsidRPr="0011161D">
        <w:rPr>
          <w:rFonts w:ascii="Palatino Linotype" w:eastAsia="Palatino Linotype" w:hAnsi="Palatino Linotype" w:cs="Palatino Linotype"/>
        </w:rPr>
        <w:t xml:space="preserve"> la programación y ejecución de las obras públicas y servicios relacionados, que por orden expresa del Ayuntamiento, planeando y coordinando los proyectos de obras públicas y servicios relacionados con las mismas que autorice el Ayuntamiento, una vez que se cumplan los requisitos de licitación, vigilando que se cumplan y lleven a cabo los programas de construcción y mantenimiento de obras públicas y servicios relacionados. Administrando y ejerciendo en el ámbito de su competencia, de manera coordinada con el Tesorero municipal, los recursos públicos destinados a la planeación, programación, presupuestación, adjudicación, contratación, ejecución y control de la obra pública en congruencia con los planes, programas, especificaciones técnicas, controles y procedimientos administrativos aprobados.</w:t>
      </w:r>
    </w:p>
    <w:p w14:paraId="0ED67A82"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55268559" w14:textId="77777777" w:rsidR="00EA661E" w:rsidRPr="0011161D" w:rsidRDefault="00EA661E" w:rsidP="0011161D">
      <w:pPr>
        <w:pStyle w:val="Prrafodelista"/>
        <w:numPr>
          <w:ilvl w:val="0"/>
          <w:numId w:val="1"/>
        </w:numPr>
        <w:spacing w:line="360" w:lineRule="auto"/>
        <w:ind w:left="0" w:right="49"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lastRenderedPageBreak/>
        <w:t xml:space="preserve">Aunado a lo anterior, la Ley de Contratación Pública del Estado de México y Municipios, la cual tiene por objeto regular los actos relativos a la planeación, programación, presupuestación, ejecución y control de la adquisición, enajenación y arrendamiento de bienes, y la contratación de servicios de cualquier naturaleza, que realicen los Ayuntamientos del Estado; entre ellos el </w:t>
      </w:r>
      <w:r w:rsidRPr="0011161D">
        <w:rPr>
          <w:rFonts w:ascii="Palatino Linotype" w:eastAsia="Palatino Linotype" w:hAnsi="Palatino Linotype" w:cs="Palatino Linotype"/>
          <w:b/>
        </w:rPr>
        <w:t>SUJETO OBLIGADO</w:t>
      </w:r>
      <w:r w:rsidRPr="0011161D">
        <w:rPr>
          <w:rFonts w:ascii="Palatino Linotype" w:eastAsia="Palatino Linotype" w:hAnsi="Palatino Linotype" w:cs="Palatino Linotype"/>
        </w:rPr>
        <w:t xml:space="preserve">, los cuales se adjudicarán a través de licitación pública, </w:t>
      </w:r>
      <w:r w:rsidRPr="0011161D">
        <w:rPr>
          <w:rFonts w:ascii="Palatino Linotype" w:eastAsia="Palatino Linotype" w:hAnsi="Palatino Linotype" w:cs="Palatino Linotype"/>
          <w:b/>
        </w:rPr>
        <w:t>invitación restringida</w:t>
      </w:r>
      <w:r w:rsidRPr="0011161D">
        <w:rPr>
          <w:rFonts w:ascii="Palatino Linotype" w:eastAsia="Palatino Linotype" w:hAnsi="Palatino Linotype" w:cs="Palatino Linotype"/>
        </w:rPr>
        <w:t xml:space="preserve"> o adjudicación directa, tal y como lo establecen los artículos 4, 26 y 27 de dicha Ley, los cuales son del tenor siguiente:</w:t>
      </w:r>
    </w:p>
    <w:p w14:paraId="41D6830B" w14:textId="77777777" w:rsidR="00EA661E" w:rsidRPr="0011161D" w:rsidRDefault="00EA661E" w:rsidP="00EA661E">
      <w:pPr>
        <w:spacing w:line="360" w:lineRule="auto"/>
        <w:ind w:right="49"/>
        <w:jc w:val="both"/>
        <w:rPr>
          <w:rFonts w:ascii="Palatino Linotype" w:eastAsia="Palatino Linotype" w:hAnsi="Palatino Linotype" w:cs="Palatino Linotype"/>
        </w:rPr>
      </w:pPr>
    </w:p>
    <w:p w14:paraId="5D6E236C"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“Artículo 4.- Para los efectos de esta Ley, en las adquisiciones, enajenaciones, arrendamientos y servicios, quedan comprendidos:</w:t>
      </w:r>
    </w:p>
    <w:p w14:paraId="6551CBAF" w14:textId="77777777" w:rsidR="00BB5AE3" w:rsidRPr="0011161D" w:rsidRDefault="00BB5AE3" w:rsidP="00BB5AE3">
      <w:pPr>
        <w:spacing w:line="276" w:lineRule="auto"/>
        <w:ind w:left="567" w:right="538"/>
        <w:jc w:val="both"/>
        <w:rPr>
          <w:rFonts w:ascii="Palatino Linotype" w:eastAsia="Palatino Linotype" w:hAnsi="Palatino Linotype" w:cs="Palatino Linotype"/>
          <w:b/>
          <w:i/>
        </w:rPr>
      </w:pPr>
    </w:p>
    <w:p w14:paraId="0DFFF688"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I. La adquisición de bienes muebles.</w:t>
      </w:r>
    </w:p>
    <w:p w14:paraId="2FA17FD9"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II. La adquisición de bienes inmuebles, a través de compraventa.</w:t>
      </w:r>
    </w:p>
    <w:p w14:paraId="61B26366"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III. La enajenación de bienes muebles e inmuebles.</w:t>
      </w:r>
    </w:p>
    <w:p w14:paraId="139C2968"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 xml:space="preserve">IV. El arrendamiento de bienes muebles e inmuebles. </w:t>
      </w:r>
    </w:p>
    <w:p w14:paraId="68ED3D17"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V. La contratación de los servicios, relacionados con bienes muebles que se encuentran incorporados o adheridos a bienes inmuebles, cuya instalación o mantenimiento no implique modificación al bien inmueble.</w:t>
      </w:r>
    </w:p>
    <w:p w14:paraId="704D920A"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 xml:space="preserve">VI. La contratación de los servicios de reconstrucción y mantenimiento de bienes muebles. </w:t>
      </w:r>
    </w:p>
    <w:p w14:paraId="6AE87F0B"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 xml:space="preserve">VII. La contratación de los servicios de maquila, seguros y transportación, así como de los de limpieza y vigilancia de bienes inmuebles. </w:t>
      </w:r>
    </w:p>
    <w:p w14:paraId="745EBB1C"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 xml:space="preserve">VIII. La prestación de servicios profesionales, la contratación de consultorías, asesorías y estudios e investigaciones, excepto la contratación de servicios personales de personas físicas bajo el régimen de honorarios. </w:t>
      </w:r>
    </w:p>
    <w:p w14:paraId="713D1396"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En general, otros actos que impliquen la contratación de servicios de cualquier naturaleza</w:t>
      </w:r>
      <w:r w:rsidR="00BB5AE3" w:rsidRPr="0011161D">
        <w:rPr>
          <w:rFonts w:ascii="Palatino Linotype" w:eastAsia="Palatino Linotype" w:hAnsi="Palatino Linotype" w:cs="Palatino Linotype"/>
          <w:b/>
          <w:i/>
        </w:rPr>
        <w:t>.</w:t>
      </w:r>
    </w:p>
    <w:p w14:paraId="4F25496B" w14:textId="77777777" w:rsidR="00BB5AE3" w:rsidRPr="0011161D" w:rsidRDefault="00BB5AE3" w:rsidP="00BB5AE3">
      <w:pPr>
        <w:spacing w:line="276" w:lineRule="auto"/>
        <w:ind w:left="567" w:right="538"/>
        <w:jc w:val="both"/>
        <w:rPr>
          <w:rFonts w:ascii="Palatino Linotype" w:eastAsia="Palatino Linotype" w:hAnsi="Palatino Linotype" w:cs="Palatino Linotype"/>
          <w:b/>
          <w:i/>
        </w:rPr>
      </w:pPr>
    </w:p>
    <w:p w14:paraId="647E654F"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 xml:space="preserve">Artículo 26.- Las adquisiciones, arrendamientos y servicios se adjudicarán a través de licitaciones públicas, mediante convocatoria pública. </w:t>
      </w:r>
    </w:p>
    <w:p w14:paraId="600186ED"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lastRenderedPageBreak/>
        <w:t>Artículo 27.- La Secretaría, las entidades, los tribunales administrativos y los ayuntamientos podrán adjudicar adquisiciones, arrendamientos y servicios, mediante las excepciones al procedimiento de licitación que a continuación se señalan:</w:t>
      </w:r>
    </w:p>
    <w:p w14:paraId="35A21C46" w14:textId="77777777" w:rsidR="00BB5AE3" w:rsidRPr="0011161D" w:rsidRDefault="00BB5AE3" w:rsidP="00BB5AE3">
      <w:pPr>
        <w:spacing w:line="276" w:lineRule="auto"/>
        <w:ind w:left="567" w:right="538"/>
        <w:jc w:val="both"/>
        <w:rPr>
          <w:rFonts w:ascii="Palatino Linotype" w:eastAsia="Palatino Linotype" w:hAnsi="Palatino Linotype" w:cs="Palatino Linotype"/>
          <w:b/>
          <w:i/>
        </w:rPr>
      </w:pPr>
    </w:p>
    <w:p w14:paraId="27236BAB" w14:textId="77777777" w:rsidR="00EA661E" w:rsidRPr="0011161D" w:rsidRDefault="00EA661E" w:rsidP="00BB5AE3">
      <w:pPr>
        <w:spacing w:line="276" w:lineRule="auto"/>
        <w:ind w:left="567" w:right="538"/>
        <w:jc w:val="both"/>
        <w:rPr>
          <w:rFonts w:ascii="Palatino Linotype" w:eastAsia="Palatino Linotype" w:hAnsi="Palatino Linotype" w:cs="Palatino Linotype"/>
          <w:b/>
          <w:i/>
          <w:u w:val="single"/>
        </w:rPr>
      </w:pPr>
      <w:r w:rsidRPr="0011161D">
        <w:rPr>
          <w:rFonts w:ascii="Palatino Linotype" w:eastAsia="Palatino Linotype" w:hAnsi="Palatino Linotype" w:cs="Palatino Linotype"/>
          <w:b/>
          <w:i/>
          <w:u w:val="single"/>
        </w:rPr>
        <w:t>I. Invitación restringida.</w:t>
      </w:r>
    </w:p>
    <w:p w14:paraId="14E6487B" w14:textId="77777777" w:rsidR="00EA661E" w:rsidRPr="0011161D" w:rsidRDefault="00EA661E" w:rsidP="00BB5AE3">
      <w:pPr>
        <w:spacing w:line="276" w:lineRule="auto"/>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b/>
          <w:i/>
        </w:rPr>
        <w:t>II. Adjudicación directa.”</w:t>
      </w:r>
    </w:p>
    <w:p w14:paraId="6177437D" w14:textId="77777777" w:rsidR="00EA661E" w:rsidRPr="0011161D" w:rsidRDefault="00EA661E">
      <w:pPr>
        <w:spacing w:line="360" w:lineRule="auto"/>
        <w:ind w:right="1"/>
        <w:jc w:val="both"/>
        <w:rPr>
          <w:rFonts w:ascii="Palatino Linotype" w:eastAsia="Palatino Linotype" w:hAnsi="Palatino Linotype" w:cs="Palatino Linotype"/>
        </w:rPr>
      </w:pPr>
    </w:p>
    <w:p w14:paraId="37650414" w14:textId="77777777" w:rsidR="00C02B7C" w:rsidRPr="0011161D" w:rsidRDefault="00EA661E" w:rsidP="00C02B7C">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Con base en los preceptos citados se advierte que, por regla general, las adquisiciones, que celebren los entes públicos, deben adjudicarse por regla general mediante licitación pública, sin embargo, también se contemplan como excepciones a dicho proceso, </w:t>
      </w:r>
      <w:r w:rsidRPr="0011161D">
        <w:rPr>
          <w:rFonts w:ascii="Palatino Linotype" w:eastAsia="Palatino Linotype" w:hAnsi="Palatino Linotype" w:cs="Palatino Linotype"/>
          <w:b/>
          <w:u w:val="single"/>
        </w:rPr>
        <w:t>la invitación restringida</w:t>
      </w:r>
      <w:r w:rsidRPr="0011161D">
        <w:rPr>
          <w:rFonts w:ascii="Palatino Linotype" w:eastAsia="Palatino Linotype" w:hAnsi="Palatino Linotype" w:cs="Palatino Linotype"/>
        </w:rPr>
        <w:t xml:space="preserve"> y la adjudicación directa, procedimientos que son materia de la solicitud presentada por el particular.</w:t>
      </w:r>
    </w:p>
    <w:p w14:paraId="395A3BCC" w14:textId="77777777" w:rsidR="00C02B7C" w:rsidRPr="0011161D" w:rsidRDefault="00C02B7C" w:rsidP="00C02B7C">
      <w:pPr>
        <w:spacing w:line="360" w:lineRule="auto"/>
        <w:ind w:right="1"/>
        <w:jc w:val="both"/>
        <w:rPr>
          <w:rFonts w:ascii="Palatino Linotype" w:eastAsia="Palatino Linotype" w:hAnsi="Palatino Linotype" w:cs="Palatino Linotype"/>
        </w:rPr>
      </w:pPr>
    </w:p>
    <w:p w14:paraId="55B4D45B" w14:textId="77777777" w:rsidR="00EA661E" w:rsidRPr="0011161D" w:rsidRDefault="00EA661E" w:rsidP="00C02B7C">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Ahora bien, a través del cumplimiento a la obligación de transparencia señalada en la fracción XIX del artículo 92 de la Ley de la Materia, los sujetos obligados deben poner a disposición del público de manera constante y actualizada, de forma sencilla, precisa y entendible, en los respectivos medios electrónicos, información relativa a los procesos y resultados sobre procedimientos de adjudicación directa, </w:t>
      </w:r>
      <w:r w:rsidRPr="0011161D">
        <w:rPr>
          <w:rFonts w:ascii="Palatino Linotype" w:eastAsia="Palatino Linotype" w:hAnsi="Palatino Linotype" w:cs="Palatino Linotype"/>
          <w:b/>
          <w:u w:val="single"/>
        </w:rPr>
        <w:t>invitación restringida</w:t>
      </w:r>
      <w:r w:rsidRPr="0011161D">
        <w:rPr>
          <w:rFonts w:ascii="Palatino Linotype" w:eastAsia="Palatino Linotype" w:hAnsi="Palatino Linotype" w:cs="Palatino Linotype"/>
        </w:rPr>
        <w:t>, y licitación de cualquier naturaleza, incluyendo la versión pública del expediente respectivo y de los contratos celebrados, a saber:</w:t>
      </w:r>
    </w:p>
    <w:p w14:paraId="15437955" w14:textId="77777777" w:rsidR="00EA661E" w:rsidRPr="0011161D" w:rsidRDefault="00EA661E" w:rsidP="00EA661E">
      <w:pPr>
        <w:ind w:right="49"/>
        <w:jc w:val="both"/>
        <w:rPr>
          <w:rFonts w:ascii="Palatino Linotype" w:eastAsia="Palatino Linotype" w:hAnsi="Palatino Linotype" w:cs="Palatino Linotype"/>
        </w:rPr>
      </w:pPr>
    </w:p>
    <w:p w14:paraId="5892764A"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b/>
          <w:i/>
        </w:rPr>
        <w:t>“Artículo 92.</w:t>
      </w:r>
      <w:r w:rsidRPr="0011161D">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5D0C882"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w:t>
      </w:r>
    </w:p>
    <w:p w14:paraId="35A8CB9D"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lastRenderedPageBreak/>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7981C34"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a) De licitaciones públicas o procedimientos de invitación restringida:</w:t>
      </w:r>
    </w:p>
    <w:p w14:paraId="117ECC63"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1) La convocatoria o invitación emitida, así como los fundamentos legales aplicados para llevarla a cabo;</w:t>
      </w:r>
    </w:p>
    <w:p w14:paraId="4873AF1B"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2) Los nombres de los participantes o invitados;</w:t>
      </w:r>
    </w:p>
    <w:p w14:paraId="1911810B"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3) El nombre del ganador y las razones que lo justifican;</w:t>
      </w:r>
    </w:p>
    <w:p w14:paraId="4F903B7E"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4) El área solicitante y la responsable de su ejecución;</w:t>
      </w:r>
    </w:p>
    <w:p w14:paraId="6B4728F6"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5) Las convocatorias e invitaciones emitidas; </w:t>
      </w:r>
    </w:p>
    <w:p w14:paraId="23FB5D8E"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6) Los dictámenes y fallo de adjudicación;</w:t>
      </w:r>
    </w:p>
    <w:p w14:paraId="7D40D18C"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7) El contrato y, en su caso, sus anexos; </w:t>
      </w:r>
    </w:p>
    <w:p w14:paraId="3AB3D435"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8) Los mecanismos de vigilancia y supervisión, incluyendo en su caso, los estudios de impacto urbano y ambiental, según corresponda;</w:t>
      </w:r>
    </w:p>
    <w:p w14:paraId="1FE0C1E8"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9) La partida presupuestal, de conformidad con el clasificador por objeto del gasto, en el caso de ser aplicable; </w:t>
      </w:r>
    </w:p>
    <w:p w14:paraId="0C7BB428"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10) Origen de los recursos especificando si son federales, estatales o municipales, así como el tipo de fondo de participación o aportación respectiva;</w:t>
      </w:r>
    </w:p>
    <w:p w14:paraId="00BB11F7"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11) Los convenios modificatorios que, en su caso, sean firmados, precisando el objeto y la fecha de celebración;</w:t>
      </w:r>
    </w:p>
    <w:p w14:paraId="23ACE362"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12) Los informes de avance físico y financiero sobre las obras o servicios contratados; </w:t>
      </w:r>
    </w:p>
    <w:p w14:paraId="3A9BF85A"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13) El convenio de terminación; </w:t>
      </w:r>
    </w:p>
    <w:p w14:paraId="0C935A32"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14) El finiquito.</w:t>
      </w:r>
    </w:p>
    <w:p w14:paraId="0BF7E285"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b) De las adjudicaciones directas: </w:t>
      </w:r>
    </w:p>
    <w:p w14:paraId="3FB9BE31"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1) La propuesta enviada por el participante; </w:t>
      </w:r>
    </w:p>
    <w:p w14:paraId="53C22847"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2) Los motivos y fundamentos legales aplicados para llevarla a cabo;</w:t>
      </w:r>
    </w:p>
    <w:p w14:paraId="5A901AC3"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3) La autorización del ejercicio de la opción; </w:t>
      </w:r>
    </w:p>
    <w:p w14:paraId="655F850D"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4) En su caso, las cotizaciones consideradas, especificando los nombres de los proveedores y sus montos; </w:t>
      </w:r>
    </w:p>
    <w:p w14:paraId="1C80383D"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5) El nombre de la persona física o jurídica colectiva adjudicada; </w:t>
      </w:r>
    </w:p>
    <w:p w14:paraId="7DFA40F1"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6) La unidad administrativa solicitante y la responsable de su ejecución; </w:t>
      </w:r>
    </w:p>
    <w:p w14:paraId="049A5404"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lastRenderedPageBreak/>
        <w:t xml:space="preserve">7) El número, fecha, el monto del contrato y el plazo de entrega o de ejecución de los servicios u obra; </w:t>
      </w:r>
    </w:p>
    <w:p w14:paraId="2F95D7AC"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227FC07F"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9) Los informes de avance sobre las obras o servicios contratados; </w:t>
      </w:r>
    </w:p>
    <w:p w14:paraId="1A0887E7"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 xml:space="preserve">10) El convenio de terminación; y </w:t>
      </w:r>
    </w:p>
    <w:p w14:paraId="5452727F" w14:textId="77777777" w:rsidR="00EA661E" w:rsidRPr="0011161D" w:rsidRDefault="00EA661E" w:rsidP="00BB5AE3">
      <w:pPr>
        <w:spacing w:line="276" w:lineRule="auto"/>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11) El finiquito;”</w:t>
      </w:r>
    </w:p>
    <w:p w14:paraId="79FF5A35" w14:textId="77777777" w:rsidR="00EA661E" w:rsidRPr="0011161D" w:rsidRDefault="00EA661E" w:rsidP="00EA661E">
      <w:pPr>
        <w:spacing w:line="276" w:lineRule="auto"/>
        <w:ind w:left="1134" w:right="849"/>
        <w:jc w:val="both"/>
        <w:rPr>
          <w:rFonts w:ascii="Palatino Linotype" w:eastAsia="Palatino Linotype" w:hAnsi="Palatino Linotype" w:cs="Palatino Linotype"/>
          <w:i/>
        </w:rPr>
      </w:pPr>
    </w:p>
    <w:p w14:paraId="5434AEEB" w14:textId="77777777" w:rsidR="00EA661E" w:rsidRPr="0011161D" w:rsidRDefault="00EA661E" w:rsidP="00C02B7C">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04275D65" w14:textId="77777777" w:rsidR="00EA661E" w:rsidRPr="0011161D" w:rsidRDefault="00EA661E" w:rsidP="00C02B7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5368E01" w14:textId="77777777" w:rsidR="00EA661E" w:rsidRPr="0011161D" w:rsidRDefault="00EA661E" w:rsidP="00C02B7C">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Además, respecto al dictamen y el fallo de la adjudicación, es de señalar que la Ley en mención indica lo siguiente:</w:t>
      </w:r>
    </w:p>
    <w:p w14:paraId="48F2C3E9" w14:textId="77777777" w:rsidR="00EA661E" w:rsidRPr="0011161D" w:rsidRDefault="00EA661E" w:rsidP="00EA661E">
      <w:pPr>
        <w:jc w:val="both"/>
        <w:rPr>
          <w:rFonts w:ascii="Palatino Linotype" w:eastAsia="Palatino Linotype" w:hAnsi="Palatino Linotype" w:cs="Palatino Linotype"/>
        </w:rPr>
      </w:pPr>
    </w:p>
    <w:p w14:paraId="24528BC0" w14:textId="77777777" w:rsidR="00EA661E" w:rsidRPr="0011161D" w:rsidRDefault="00EA661E" w:rsidP="00BB5AE3">
      <w:pPr>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b/>
          <w:i/>
        </w:rPr>
        <w:t>“Artículo 37.-</w:t>
      </w:r>
      <w:r w:rsidRPr="0011161D">
        <w:rPr>
          <w:rFonts w:ascii="Palatino Linotype" w:eastAsia="Palatino Linotype" w:hAnsi="Palatino Linotype" w:cs="Palatino Linotype"/>
          <w:i/>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p w14:paraId="0DC810E1" w14:textId="77777777" w:rsidR="00EA661E" w:rsidRPr="0011161D" w:rsidRDefault="00EA661E" w:rsidP="00BB5AE3">
      <w:pPr>
        <w:ind w:left="567" w:right="538"/>
        <w:jc w:val="both"/>
        <w:rPr>
          <w:rFonts w:ascii="Palatino Linotype" w:eastAsia="Palatino Linotype" w:hAnsi="Palatino Linotype" w:cs="Palatino Linotype"/>
          <w:b/>
          <w:i/>
        </w:rPr>
      </w:pPr>
    </w:p>
    <w:p w14:paraId="4F3C5031" w14:textId="77777777" w:rsidR="00EA661E" w:rsidRPr="0011161D" w:rsidRDefault="00EA661E" w:rsidP="00BB5AE3">
      <w:pPr>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b/>
          <w:i/>
        </w:rPr>
        <w:t>Artículo 38.-</w:t>
      </w:r>
      <w:r w:rsidRPr="0011161D">
        <w:rPr>
          <w:rFonts w:ascii="Palatino Linotype" w:eastAsia="Palatino Linotype" w:hAnsi="Palatino Linotype" w:cs="Palatino Linotype"/>
          <w:i/>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57DD5A71" w14:textId="77777777" w:rsidR="00EA661E" w:rsidRPr="0011161D" w:rsidRDefault="00EA661E" w:rsidP="00BB5AE3">
      <w:pPr>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lastRenderedPageBreak/>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sidRPr="0011161D">
        <w:rPr>
          <w:rFonts w:ascii="Palatino Linotype" w:eastAsia="Palatino Linotype" w:hAnsi="Palatino Linotype" w:cs="Palatino Linotype"/>
          <w:b/>
          <w:i/>
        </w:rPr>
        <w:t>”</w:t>
      </w:r>
      <w:r w:rsidRPr="0011161D">
        <w:rPr>
          <w:rFonts w:ascii="Palatino Linotype" w:eastAsia="Palatino Linotype" w:hAnsi="Palatino Linotype" w:cs="Palatino Linotype"/>
          <w:i/>
        </w:rPr>
        <w:t xml:space="preserve"> </w:t>
      </w:r>
    </w:p>
    <w:p w14:paraId="61E37771" w14:textId="77777777" w:rsidR="00EA661E" w:rsidRPr="0011161D" w:rsidRDefault="00EA661E" w:rsidP="00BB5AE3">
      <w:pPr>
        <w:spacing w:line="360" w:lineRule="auto"/>
        <w:ind w:left="567" w:right="538"/>
        <w:jc w:val="both"/>
        <w:rPr>
          <w:rFonts w:ascii="Palatino Linotype" w:eastAsia="Palatino Linotype" w:hAnsi="Palatino Linotype" w:cs="Palatino Linotype"/>
          <w:i/>
        </w:rPr>
      </w:pPr>
    </w:p>
    <w:p w14:paraId="6E6A1472" w14:textId="77777777" w:rsidR="00EA661E" w:rsidRPr="0011161D" w:rsidRDefault="00EA661E" w:rsidP="00C02B7C">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769F56EA" w14:textId="77777777" w:rsidR="00EA661E" w:rsidRPr="0011161D" w:rsidRDefault="00EA661E" w:rsidP="00EA661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9D658CD" w14:textId="77777777" w:rsidR="00EA661E" w:rsidRPr="0011161D" w:rsidRDefault="00EA661E" w:rsidP="00C02B7C">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0F198BD0" w14:textId="77777777" w:rsidR="00EA661E" w:rsidRPr="0011161D" w:rsidRDefault="00EA661E" w:rsidP="00C02B7C">
      <w:pPr>
        <w:spacing w:line="360" w:lineRule="auto"/>
        <w:ind w:left="567" w:right="538"/>
        <w:jc w:val="both"/>
        <w:rPr>
          <w:rFonts w:ascii="Palatino Linotype" w:eastAsia="Palatino Linotype" w:hAnsi="Palatino Linotype" w:cs="Palatino Linotype"/>
        </w:rPr>
      </w:pPr>
    </w:p>
    <w:p w14:paraId="62156E25"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b/>
          <w:i/>
        </w:rPr>
        <w:t>“Artículo 46.-</w:t>
      </w:r>
      <w:r w:rsidRPr="0011161D">
        <w:rPr>
          <w:rFonts w:ascii="Palatino Linotype" w:eastAsia="Palatino Linotype" w:hAnsi="Palatino Linotype" w:cs="Palatino Linotype"/>
          <w:i/>
        </w:rPr>
        <w:t xml:space="preserve"> El procedimiento de invitación restringida se desarrollará en los términos de la licitación pública, a excepción de la publicación de la convocatoria.” (Sic)</w:t>
      </w:r>
    </w:p>
    <w:p w14:paraId="6B2F7B7F"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Por ello, el Reglamento de la Ley en comento, en su artículo 90, indica cuales son los supuestos que deberán observarse para llevar a cabo dicho procedimiento:</w:t>
      </w:r>
    </w:p>
    <w:p w14:paraId="17A1B339" w14:textId="77777777" w:rsidR="00EA661E" w:rsidRPr="0011161D" w:rsidRDefault="00EA661E" w:rsidP="00C02B7C">
      <w:pPr>
        <w:tabs>
          <w:tab w:val="left" w:pos="7938"/>
        </w:tabs>
        <w:ind w:left="567" w:right="538"/>
        <w:jc w:val="both"/>
        <w:rPr>
          <w:rFonts w:ascii="Palatino Linotype" w:eastAsia="Palatino Linotype" w:hAnsi="Palatino Linotype" w:cs="Palatino Linotype"/>
          <w:b/>
          <w:i/>
        </w:rPr>
      </w:pPr>
    </w:p>
    <w:p w14:paraId="31653D64"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b/>
          <w:i/>
        </w:rPr>
        <w:t>Artículo 90.-</w:t>
      </w:r>
      <w:r w:rsidRPr="0011161D">
        <w:rPr>
          <w:rFonts w:ascii="Palatino Linotype" w:eastAsia="Palatino Linotype" w:hAnsi="Palatino Linotype" w:cs="Palatino Linotype"/>
          <w:i/>
        </w:rPr>
        <w:t xml:space="preserve"> En el procedimiento de invitación restringida se deberá observar lo siguiente:</w:t>
      </w:r>
    </w:p>
    <w:p w14:paraId="13F0FB33"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p>
    <w:p w14:paraId="1EE18D26"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I. Se invitará a un mínimo de tres personas seleccionadas de entre las que se encuentren inscritas en el catálogo de proveedores y de prestadores de servicios.</w:t>
      </w:r>
    </w:p>
    <w:p w14:paraId="4DF0B86E"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Se podrá invitar a personas que no se encuentren inscritas, cuando en el giro correspondiente del catálogo de proveedores y prestadores de servicios no exista el registro mínimo de personas requeridas para tal modalidad;</w:t>
      </w:r>
    </w:p>
    <w:p w14:paraId="26E034B2" w14:textId="77777777" w:rsidR="00EA661E" w:rsidRPr="0011161D" w:rsidRDefault="00EA661E" w:rsidP="00C02B7C">
      <w:pPr>
        <w:tabs>
          <w:tab w:val="left" w:pos="7938"/>
        </w:tabs>
        <w:ind w:left="567" w:right="538"/>
        <w:jc w:val="both"/>
        <w:rPr>
          <w:rFonts w:ascii="Palatino Linotype" w:eastAsia="Palatino Linotype" w:hAnsi="Palatino Linotype" w:cs="Palatino Linotype"/>
          <w:i/>
        </w:rPr>
      </w:pPr>
      <w:r w:rsidRPr="0011161D">
        <w:rPr>
          <w:rFonts w:ascii="Palatino Linotype" w:eastAsia="Palatino Linotype" w:hAnsi="Palatino Linotype" w:cs="Palatino Linotype"/>
          <w:i/>
        </w:rPr>
        <w:t>II. Las bases de la invitación restringida indicarán los aspectos de la adquisición o contratación; y</w:t>
      </w:r>
    </w:p>
    <w:p w14:paraId="02525740" w14:textId="77777777" w:rsidR="00EA661E" w:rsidRPr="0011161D" w:rsidRDefault="00EA661E" w:rsidP="00C02B7C">
      <w:pPr>
        <w:tabs>
          <w:tab w:val="left" w:pos="7938"/>
        </w:tabs>
        <w:ind w:left="567" w:right="538"/>
        <w:jc w:val="both"/>
        <w:rPr>
          <w:rFonts w:ascii="Palatino Linotype" w:eastAsia="Palatino Linotype" w:hAnsi="Palatino Linotype" w:cs="Palatino Linotype"/>
          <w:b/>
          <w:i/>
        </w:rPr>
      </w:pPr>
      <w:r w:rsidRPr="0011161D">
        <w:rPr>
          <w:rFonts w:ascii="Palatino Linotype" w:eastAsia="Palatino Linotype" w:hAnsi="Palatino Linotype" w:cs="Palatino Linotype"/>
          <w:i/>
        </w:rPr>
        <w:t>III. Serán aplicables, en lo conducente, las disposiciones de la licitación pública.</w:t>
      </w:r>
      <w:r w:rsidRPr="0011161D">
        <w:rPr>
          <w:rFonts w:ascii="Palatino Linotype" w:eastAsia="Palatino Linotype" w:hAnsi="Palatino Linotype" w:cs="Palatino Linotype"/>
          <w:b/>
          <w:i/>
        </w:rPr>
        <w:t>”</w:t>
      </w:r>
    </w:p>
    <w:p w14:paraId="2BE9E9C6" w14:textId="77777777" w:rsidR="00EA661E" w:rsidRPr="0011161D" w:rsidRDefault="00EA661E" w:rsidP="00C02B7C">
      <w:pPr>
        <w:tabs>
          <w:tab w:val="left" w:pos="7938"/>
        </w:tabs>
        <w:ind w:right="851"/>
        <w:jc w:val="both"/>
        <w:rPr>
          <w:rFonts w:ascii="Palatino Linotype" w:eastAsia="Palatino Linotype" w:hAnsi="Palatino Linotype" w:cs="Palatino Linotype"/>
          <w:i/>
        </w:rPr>
      </w:pPr>
    </w:p>
    <w:p w14:paraId="47BA1B43" w14:textId="77777777" w:rsidR="00EA661E" w:rsidRPr="0011161D" w:rsidRDefault="00EA661E" w:rsidP="00C02B7C">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lastRenderedPageBreak/>
        <w:t xml:space="preserve">En conclusión, referente a este punto cuando los procedimientos de adquisición o prestación de servicios materia de la Ley en cita, se hubieran llevado a cabo mediante </w:t>
      </w:r>
      <w:r w:rsidRPr="0011161D">
        <w:rPr>
          <w:rFonts w:ascii="Palatino Linotype" w:eastAsia="Palatino Linotype" w:hAnsi="Palatino Linotype" w:cs="Palatino Linotype"/>
          <w:b/>
          <w:color w:val="000000"/>
          <w:u w:val="single"/>
        </w:rPr>
        <w:t>invitación restringida</w:t>
      </w:r>
      <w:r w:rsidRPr="0011161D">
        <w:rPr>
          <w:rFonts w:ascii="Palatino Linotype" w:eastAsia="Palatino Linotype" w:hAnsi="Palatino Linotype" w:cs="Palatino Linotype"/>
          <w:color w:val="000000"/>
        </w:rPr>
        <w:t>, por cada procedimiento se debe contar con las bases, dictámenes, fallos y en su caso, fianzas, de haber sido esta la garantía exhibida.</w:t>
      </w:r>
    </w:p>
    <w:p w14:paraId="49B4AB03" w14:textId="77777777" w:rsidR="00C02B7C" w:rsidRPr="0011161D" w:rsidRDefault="00C02B7C" w:rsidP="00C02B7C">
      <w:pPr>
        <w:pStyle w:val="Prrafodelista"/>
        <w:tabs>
          <w:tab w:val="left" w:pos="284"/>
        </w:tabs>
        <w:spacing w:before="240" w:after="240" w:line="360" w:lineRule="auto"/>
        <w:ind w:left="0"/>
        <w:jc w:val="both"/>
        <w:rPr>
          <w:rFonts w:ascii="Palatino Linotype" w:eastAsia="Palatino Linotype" w:hAnsi="Palatino Linotype" w:cs="Palatino Linotype"/>
          <w:color w:val="000000"/>
        </w:rPr>
      </w:pPr>
    </w:p>
    <w:p w14:paraId="33116B7B" w14:textId="77777777" w:rsidR="00C02B7C" w:rsidRPr="0011161D" w:rsidRDefault="00BB5AE3" w:rsidP="00C02B7C">
      <w:pPr>
        <w:pStyle w:val="Prrafodelista"/>
        <w:numPr>
          <w:ilvl w:val="0"/>
          <w:numId w:val="1"/>
        </w:numPr>
        <w:tabs>
          <w:tab w:val="left" w:pos="284"/>
        </w:tabs>
        <w:spacing w:before="240" w:after="240"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E</w:t>
      </w:r>
      <w:r w:rsidR="00EA661E" w:rsidRPr="0011161D">
        <w:rPr>
          <w:rFonts w:ascii="Palatino Linotype" w:eastAsia="Palatino Linotype" w:hAnsi="Palatino Linotype" w:cs="Palatino Linotype"/>
          <w:color w:val="000000"/>
        </w:rPr>
        <w:t>n consecuencia y en mérito de todo lo expuesto, resultan fundadas las razones o motivos de in</w:t>
      </w:r>
      <w:r w:rsidR="00C02B7C" w:rsidRPr="0011161D">
        <w:rPr>
          <w:rFonts w:ascii="Palatino Linotype" w:eastAsia="Palatino Linotype" w:hAnsi="Palatino Linotype" w:cs="Palatino Linotype"/>
          <w:color w:val="000000"/>
        </w:rPr>
        <w:t xml:space="preserve">conformidad hechos valer por la parte </w:t>
      </w:r>
      <w:r w:rsidR="00EA661E" w:rsidRPr="0011161D">
        <w:rPr>
          <w:rFonts w:ascii="Palatino Linotype" w:eastAsia="Palatino Linotype" w:hAnsi="Palatino Linotype" w:cs="Palatino Linotype"/>
          <w:b/>
          <w:color w:val="000000"/>
        </w:rPr>
        <w:t>RECURRENTE</w:t>
      </w:r>
      <w:r w:rsidR="00EA661E" w:rsidRPr="0011161D">
        <w:rPr>
          <w:rFonts w:ascii="Palatino Linotype" w:eastAsia="Palatino Linotype" w:hAnsi="Palatino Linotype" w:cs="Palatino Linotype"/>
          <w:color w:val="000000"/>
        </w:rPr>
        <w:t xml:space="preserve"> dentro del recurso de revisión </w:t>
      </w:r>
      <w:r w:rsidR="00EA661E" w:rsidRPr="0011161D">
        <w:rPr>
          <w:rFonts w:ascii="Palatino Linotype" w:eastAsia="Palatino Linotype" w:hAnsi="Palatino Linotype" w:cs="Palatino Linotype"/>
          <w:b/>
          <w:color w:val="000000"/>
        </w:rPr>
        <w:t>14668/INFOEM/IP/RR/2025</w:t>
      </w:r>
      <w:r w:rsidR="00EA661E" w:rsidRPr="0011161D">
        <w:rPr>
          <w:rFonts w:ascii="Palatino Linotype" w:eastAsia="Palatino Linotype" w:hAnsi="Palatino Linotype" w:cs="Palatino Linotype"/>
          <w:color w:val="000000"/>
        </w:rPr>
        <w:t xml:space="preserve">, por ello, </w:t>
      </w:r>
      <w:r w:rsidR="00C02B7C" w:rsidRPr="0011161D">
        <w:rPr>
          <w:rFonts w:ascii="Palatino Linotype" w:eastAsia="Palatino Linotype" w:hAnsi="Palatino Linotype" w:cs="Palatino Linotype"/>
          <w:color w:val="000000"/>
        </w:rPr>
        <w:t xml:space="preserve">resulta dable </w:t>
      </w:r>
      <w:r w:rsidR="00C02B7C" w:rsidRPr="0011161D">
        <w:rPr>
          <w:rFonts w:ascii="Palatino Linotype" w:eastAsia="Palatino Linotype" w:hAnsi="Palatino Linotype" w:cs="Palatino Linotype"/>
          <w:b/>
          <w:color w:val="000000"/>
        </w:rPr>
        <w:t>ORDENAR</w:t>
      </w:r>
      <w:r w:rsidR="00C02B7C" w:rsidRPr="0011161D">
        <w:rPr>
          <w:rFonts w:ascii="Palatino Linotype" w:eastAsia="Palatino Linotype" w:hAnsi="Palatino Linotype" w:cs="Palatino Linotype"/>
          <w:color w:val="000000"/>
        </w:rPr>
        <w:t xml:space="preserve"> </w:t>
      </w:r>
      <w:r w:rsidR="00C02B7C" w:rsidRPr="0011161D">
        <w:rPr>
          <w:rFonts w:ascii="Palatino Linotype" w:eastAsia="Palatino Linotype" w:hAnsi="Palatino Linotype" w:cs="Palatino Linotype"/>
          <w:b/>
          <w:bCs/>
          <w:color w:val="000000"/>
        </w:rPr>
        <w:t>el expediente completo de la obra pública “</w:t>
      </w:r>
      <w:r w:rsidR="00C02B7C" w:rsidRPr="0011161D">
        <w:rPr>
          <w:rFonts w:ascii="Palatino Linotype" w:eastAsia="Palatino Linotype" w:hAnsi="Palatino Linotype" w:cs="Palatino Linotype"/>
          <w:b/>
        </w:rPr>
        <w:t>Construcción de techado en área de impartición de educación física en Escuela Secundaria Justo Sierra</w:t>
      </w:r>
      <w:r w:rsidR="00C02B7C" w:rsidRPr="0011161D">
        <w:rPr>
          <w:rFonts w:ascii="Palatino Linotype" w:eastAsia="Palatino Linotype" w:hAnsi="Palatino Linotype" w:cs="Palatino Linotype"/>
          <w:b/>
          <w:bCs/>
          <w:color w:val="000000"/>
        </w:rPr>
        <w:t>”, al 16 de julio de 2025.</w:t>
      </w:r>
    </w:p>
    <w:p w14:paraId="3E551BE9" w14:textId="77777777" w:rsidR="00BB5AE3" w:rsidRPr="0011161D" w:rsidRDefault="00BB5AE3" w:rsidP="00BB5AE3">
      <w:pPr>
        <w:pStyle w:val="Prrafodelista"/>
        <w:tabs>
          <w:tab w:val="left" w:pos="284"/>
        </w:tabs>
        <w:spacing w:before="240" w:after="240"/>
        <w:ind w:left="0"/>
        <w:jc w:val="both"/>
        <w:rPr>
          <w:rFonts w:ascii="Palatino Linotype" w:eastAsia="Palatino Linotype" w:hAnsi="Palatino Linotype" w:cs="Palatino Linotype"/>
          <w:color w:val="000000"/>
          <w:highlight w:val="yellow"/>
        </w:rPr>
      </w:pPr>
    </w:p>
    <w:p w14:paraId="621C8565" w14:textId="77777777" w:rsidR="00A010E9" w:rsidRPr="0011161D" w:rsidRDefault="00EA661E" w:rsidP="00BB5AE3">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Por lo que corresponde al </w:t>
      </w:r>
      <w:r w:rsidRPr="0011161D">
        <w:rPr>
          <w:rFonts w:ascii="Palatino Linotype" w:eastAsia="Palatino Linotype" w:hAnsi="Palatino Linotype" w:cs="Palatino Linotype"/>
          <w:b/>
        </w:rPr>
        <w:t>requerimiento identificado con el número 2</w:t>
      </w:r>
      <w:r w:rsidRPr="0011161D">
        <w:rPr>
          <w:rFonts w:ascii="Palatino Linotype" w:eastAsia="Palatino Linotype" w:hAnsi="Palatino Linotype" w:cs="Palatino Linotype"/>
        </w:rPr>
        <w:t xml:space="preserve">, 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por medio de Director de Obras Públicas, precisó que la obra de referencia se realizó mediante el procedimiento de “invitación restringida”, no así por “licitación pública”, asimismo, adjuntó las dos primeras páginas del documento denominado “Bases para la contratación de obra pública mediante el procedimiento por invitación restringida de la obra Construcción de techado en área de impartición de educación física en escuela secundaria Justo Sierra”; como se observa:</w:t>
      </w:r>
    </w:p>
    <w:p w14:paraId="7B366607" w14:textId="77777777" w:rsidR="00A010E9" w:rsidRPr="0011161D" w:rsidRDefault="00EA661E">
      <w:pPr>
        <w:spacing w:line="360" w:lineRule="auto"/>
        <w:ind w:right="1"/>
        <w:jc w:val="center"/>
        <w:rPr>
          <w:rFonts w:ascii="Palatino Linotype" w:eastAsia="Palatino Linotype" w:hAnsi="Palatino Linotype" w:cs="Palatino Linotype"/>
        </w:rPr>
      </w:pPr>
      <w:r w:rsidRPr="0011161D">
        <w:rPr>
          <w:rFonts w:ascii="Palatino Linotype" w:eastAsia="Palatino Linotype" w:hAnsi="Palatino Linotype" w:cs="Palatino Linotype"/>
          <w:noProof/>
        </w:rPr>
        <w:lastRenderedPageBreak/>
        <w:drawing>
          <wp:inline distT="0" distB="0" distL="0" distR="0" wp14:anchorId="7A05C3FB" wp14:editId="4A3C77AF">
            <wp:extent cx="2952750" cy="3914775"/>
            <wp:effectExtent l="0" t="0" r="0" b="9525"/>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954866" cy="3917581"/>
                    </a:xfrm>
                    <a:prstGeom prst="rect">
                      <a:avLst/>
                    </a:prstGeom>
                    <a:ln/>
                  </pic:spPr>
                </pic:pic>
              </a:graphicData>
            </a:graphic>
          </wp:inline>
        </w:drawing>
      </w:r>
    </w:p>
    <w:p w14:paraId="70F521C9" w14:textId="77777777" w:rsidR="00A010E9" w:rsidRPr="0011161D" w:rsidRDefault="00EA661E">
      <w:pPr>
        <w:spacing w:line="360" w:lineRule="auto"/>
        <w:ind w:right="1"/>
        <w:jc w:val="center"/>
        <w:rPr>
          <w:rFonts w:ascii="Palatino Linotype" w:eastAsia="Palatino Linotype" w:hAnsi="Palatino Linotype" w:cs="Palatino Linotype"/>
          <w:b/>
          <w:bCs/>
        </w:rPr>
      </w:pPr>
      <w:r w:rsidRPr="0011161D">
        <w:rPr>
          <w:rFonts w:ascii="Palatino Linotype" w:eastAsia="Palatino Linotype" w:hAnsi="Palatino Linotype" w:cs="Palatino Linotype"/>
          <w:b/>
          <w:bCs/>
        </w:rPr>
        <w:t>(…)</w:t>
      </w:r>
    </w:p>
    <w:p w14:paraId="071E16FB"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En consecuencia, nos encontramos ante la presencia de un </w:t>
      </w:r>
      <w:r w:rsidRPr="0011161D">
        <w:rPr>
          <w:rFonts w:ascii="Palatino Linotype" w:eastAsia="Palatino Linotype" w:hAnsi="Palatino Linotype" w:cs="Palatino Linotype"/>
          <w:b/>
          <w:bCs/>
        </w:rPr>
        <w:t>hecho negativo</w:t>
      </w:r>
      <w:r w:rsidRPr="0011161D">
        <w:rPr>
          <w:rFonts w:ascii="Palatino Linotype" w:eastAsia="Palatino Linotype" w:hAnsi="Palatino Linotype" w:cs="Palatino Linotype"/>
        </w:rPr>
        <w:t xml:space="preserve">, en virtud de que la información solicitada no puede fácticamente obrar en los archivos del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ya que no puede probarse por ser lógica y materialmente imposible.</w:t>
      </w:r>
    </w:p>
    <w:p w14:paraId="28645182" w14:textId="77777777" w:rsidR="00A010E9" w:rsidRPr="0011161D" w:rsidRDefault="00A010E9">
      <w:pPr>
        <w:spacing w:line="360" w:lineRule="auto"/>
        <w:ind w:right="1"/>
        <w:jc w:val="both"/>
        <w:rPr>
          <w:rFonts w:ascii="Palatino Linotype" w:eastAsia="Palatino Linotype" w:hAnsi="Palatino Linotype" w:cs="Palatino Linotype"/>
        </w:rPr>
      </w:pPr>
    </w:p>
    <w:p w14:paraId="2B97B627"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Asimismo, no se trata de un caso por el cual la negación del hecho implique la afirmación de este, simplemente se está ante una notoria y evidente inexistencia de la información solicitada. En este contexto, nos encontramos ante la presencia de un hecho negativo, en virtud de que la información solicitada no puede fácticamente obrar en los archivos del Sujeto Obligado, ya que no puede probarse por ser lógica y materialmente imposible. </w:t>
      </w:r>
    </w:p>
    <w:p w14:paraId="7633CC68" w14:textId="77777777" w:rsidR="00A010E9" w:rsidRPr="0011161D" w:rsidRDefault="00A010E9">
      <w:pPr>
        <w:rPr>
          <w:rFonts w:ascii="Palatino Linotype" w:eastAsia="Palatino Linotype" w:hAnsi="Palatino Linotype" w:cs="Palatino Linotype"/>
        </w:rPr>
      </w:pPr>
    </w:p>
    <w:p w14:paraId="3C35B49B" w14:textId="77777777" w:rsidR="00A010E9" w:rsidRPr="0011161D" w:rsidRDefault="00EA661E">
      <w:pPr>
        <w:numPr>
          <w:ilvl w:val="0"/>
          <w:numId w:val="1"/>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lastRenderedPageBreak/>
        <w:t xml:space="preserve">Es conveniente, invocar la tesis con número de registro 267287, de la Sexta Época, Instancia: Segunda Sala, publicada en el Semanario Judicial de la Federación, Volumen LII, Tercera Parte, Materia Común, que indica lo siguiente: </w:t>
      </w:r>
    </w:p>
    <w:p w14:paraId="735E7DD7" w14:textId="77777777" w:rsidR="00A010E9" w:rsidRPr="0011161D" w:rsidRDefault="00A010E9">
      <w:pPr>
        <w:tabs>
          <w:tab w:val="left" w:pos="426"/>
          <w:tab w:val="left" w:pos="567"/>
        </w:tabs>
        <w:spacing w:line="360" w:lineRule="auto"/>
        <w:ind w:right="1"/>
        <w:jc w:val="both"/>
        <w:rPr>
          <w:rFonts w:ascii="Palatino Linotype" w:eastAsia="Palatino Linotype" w:hAnsi="Palatino Linotype" w:cs="Palatino Linotype"/>
          <w:color w:val="000000"/>
        </w:rPr>
      </w:pPr>
    </w:p>
    <w:p w14:paraId="0B0E91A7" w14:textId="77777777" w:rsidR="00A010E9" w:rsidRPr="0011161D" w:rsidRDefault="00EA661E">
      <w:pPr>
        <w:ind w:left="567" w:right="567"/>
        <w:jc w:val="both"/>
        <w:rPr>
          <w:rFonts w:ascii="Palatino Linotype" w:eastAsia="Palatino Linotype" w:hAnsi="Palatino Linotype" w:cs="Palatino Linotype"/>
          <w:b/>
          <w:bCs/>
        </w:rPr>
      </w:pPr>
      <w:r w:rsidRPr="0011161D">
        <w:rPr>
          <w:rFonts w:ascii="Palatino Linotype" w:eastAsia="Palatino Linotype" w:hAnsi="Palatino Linotype" w:cs="Palatino Linotype"/>
          <w:i/>
          <w:iCs/>
        </w:rPr>
        <w:t>“</w:t>
      </w:r>
      <w:r w:rsidRPr="0011161D">
        <w:rPr>
          <w:rFonts w:ascii="Palatino Linotype" w:eastAsia="Palatino Linotype" w:hAnsi="Palatino Linotype" w:cs="Palatino Linotype"/>
          <w:b/>
          <w:bCs/>
          <w:i/>
          <w:iCs/>
        </w:rPr>
        <w:t>HECHOS NEGATIVOS, NO SON SUSCEPTIBLES DE DEMOSTRACION.</w:t>
      </w:r>
      <w:r w:rsidRPr="0011161D">
        <w:rPr>
          <w:rFonts w:ascii="Palatino Linotype" w:eastAsia="Palatino Linotype" w:hAnsi="Palatino Linotype" w:cs="Palatino Linotype"/>
          <w:i/>
          <w:iCs/>
        </w:rPr>
        <w:t xml:space="preserve"> Tratándose de un hecho negativo, el Juez no tiene por qué invocar prueba alguna de la que se desprenda, ya que es bien sabido que esta clase de hechos no son susceptibles de demostración.”</w:t>
      </w:r>
    </w:p>
    <w:p w14:paraId="48F6608D" w14:textId="77777777" w:rsidR="00A010E9" w:rsidRPr="0011161D" w:rsidRDefault="00A010E9">
      <w:pPr>
        <w:spacing w:line="360" w:lineRule="auto"/>
        <w:ind w:right="1"/>
        <w:jc w:val="both"/>
        <w:rPr>
          <w:rFonts w:ascii="Palatino Linotype" w:eastAsia="Palatino Linotype" w:hAnsi="Palatino Linotype" w:cs="Palatino Linotype"/>
        </w:rPr>
      </w:pPr>
    </w:p>
    <w:p w14:paraId="2EE2D37F"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 xml:space="preserve">Precisado </w:t>
      </w:r>
      <w:r w:rsidRPr="0011161D">
        <w:rPr>
          <w:rFonts w:ascii="Palatino Linotype" w:eastAsia="Palatino Linotype" w:hAnsi="Palatino Linotype" w:cs="Palatino Linotype"/>
          <w:color w:val="000000"/>
        </w:rPr>
        <w:t>lo anterior,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4ED8738C" w14:textId="77777777" w:rsidR="00A010E9" w:rsidRPr="0011161D" w:rsidRDefault="00A010E9">
      <w:pPr>
        <w:rPr>
          <w:rFonts w:ascii="Palatino Linotype" w:eastAsia="Palatino Linotype" w:hAnsi="Palatino Linotype" w:cs="Palatino Linotype"/>
          <w:color w:val="000000"/>
        </w:rPr>
      </w:pPr>
    </w:p>
    <w:p w14:paraId="60D5957A" w14:textId="77777777" w:rsidR="00A010E9" w:rsidRPr="0011161D" w:rsidRDefault="00EA661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11161D">
        <w:rPr>
          <w:rFonts w:ascii="Palatino Linotype" w:eastAsia="Palatino Linotype" w:hAnsi="Palatino Linotype" w:cs="Palatino Linotype"/>
          <w:color w:val="000000"/>
          <w:vertAlign w:val="superscript"/>
        </w:rPr>
        <w:footnoteReference w:id="5"/>
      </w:r>
      <w:r w:rsidRPr="0011161D">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11161D">
        <w:rPr>
          <w:rFonts w:ascii="Palatino Linotype" w:eastAsia="Palatino Linotype" w:hAnsi="Palatino Linotype" w:cs="Palatino Linotype"/>
          <w:b/>
          <w:bCs/>
          <w:color w:val="000000"/>
        </w:rPr>
        <w:t xml:space="preserve"> </w:t>
      </w:r>
      <w:r w:rsidRPr="0011161D">
        <w:rPr>
          <w:rFonts w:ascii="Palatino Linotype" w:eastAsia="Palatino Linotype" w:hAnsi="Palatino Linotype" w:cs="Palatino Linotype"/>
          <w:color w:val="000000"/>
        </w:rPr>
        <w:lastRenderedPageBreak/>
        <w:t>en los términos de la Ley General y la Ley de Transparencia y Acceso a la Información Pública del Estado de México y Municipios</w:t>
      </w:r>
      <w:r w:rsidRPr="0011161D">
        <w:rPr>
          <w:rFonts w:ascii="Palatino Linotype" w:eastAsia="Palatino Linotype" w:hAnsi="Palatino Linotype" w:cs="Palatino Linotype"/>
          <w:color w:val="000000"/>
          <w:vertAlign w:val="superscript"/>
        </w:rPr>
        <w:footnoteReference w:id="6"/>
      </w:r>
      <w:r w:rsidRPr="0011161D">
        <w:rPr>
          <w:rFonts w:ascii="Palatino Linotype" w:eastAsia="Palatino Linotype" w:hAnsi="Palatino Linotype" w:cs="Palatino Linotype"/>
          <w:color w:val="000000"/>
        </w:rPr>
        <w:t>.</w:t>
      </w:r>
    </w:p>
    <w:p w14:paraId="7CD45E6E" w14:textId="77777777" w:rsidR="00A010E9" w:rsidRPr="0011161D" w:rsidRDefault="00A010E9">
      <w:pPr>
        <w:rPr>
          <w:rFonts w:ascii="Palatino Linotype" w:eastAsia="Palatino Linotype" w:hAnsi="Palatino Linotype" w:cs="Palatino Linotype"/>
          <w:color w:val="000000"/>
        </w:rPr>
      </w:pPr>
    </w:p>
    <w:p w14:paraId="7A379E7D"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color w:val="000000"/>
        </w:rPr>
      </w:pPr>
      <w:r w:rsidRPr="0011161D">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42C81D6B" w14:textId="77777777" w:rsidR="00A010E9" w:rsidRPr="0011161D" w:rsidRDefault="00A010E9">
      <w:pPr>
        <w:tabs>
          <w:tab w:val="left" w:pos="426"/>
        </w:tabs>
        <w:spacing w:line="360" w:lineRule="auto"/>
        <w:ind w:right="51"/>
        <w:jc w:val="both"/>
        <w:rPr>
          <w:rFonts w:ascii="Palatino Linotype" w:eastAsia="Palatino Linotype" w:hAnsi="Palatino Linotype" w:cs="Palatino Linotype"/>
          <w:color w:val="000000"/>
        </w:rPr>
      </w:pPr>
    </w:p>
    <w:p w14:paraId="121D5D07" w14:textId="77777777" w:rsidR="00A010E9" w:rsidRPr="0011161D" w:rsidRDefault="00EA661E">
      <w:pPr>
        <w:numPr>
          <w:ilvl w:val="1"/>
          <w:numId w:val="3"/>
        </w:numPr>
        <w:ind w:left="709" w:right="616"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Recibir, tramitar y dar respuesta a las solicitudes de acceso a la información;</w:t>
      </w:r>
    </w:p>
    <w:p w14:paraId="0B869024" w14:textId="77777777" w:rsidR="00A010E9" w:rsidRPr="0011161D" w:rsidRDefault="00EA661E">
      <w:pPr>
        <w:numPr>
          <w:ilvl w:val="1"/>
          <w:numId w:val="3"/>
        </w:numPr>
        <w:ind w:left="709" w:right="616"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44546A34" w14:textId="77777777" w:rsidR="00A010E9" w:rsidRPr="0011161D" w:rsidRDefault="00EA661E">
      <w:pPr>
        <w:numPr>
          <w:ilvl w:val="1"/>
          <w:numId w:val="3"/>
        </w:numPr>
        <w:ind w:left="709" w:right="616"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Entregar, en su caso, a los particulares la información solicitada; y </w:t>
      </w:r>
    </w:p>
    <w:p w14:paraId="757B1E69" w14:textId="77777777" w:rsidR="00A010E9" w:rsidRPr="0011161D" w:rsidRDefault="00EA661E">
      <w:pPr>
        <w:numPr>
          <w:ilvl w:val="1"/>
          <w:numId w:val="3"/>
        </w:numPr>
        <w:spacing w:after="240"/>
        <w:ind w:left="709" w:right="616"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Efectuar las notificaciones a los solicitantes.</w:t>
      </w:r>
    </w:p>
    <w:p w14:paraId="0F4A93F7" w14:textId="77777777" w:rsidR="00A010E9" w:rsidRPr="0011161D" w:rsidRDefault="00A010E9">
      <w:pPr>
        <w:spacing w:after="240"/>
        <w:ind w:right="616"/>
        <w:jc w:val="both"/>
        <w:rPr>
          <w:rFonts w:ascii="Palatino Linotype" w:eastAsia="Palatino Linotype" w:hAnsi="Palatino Linotype" w:cs="Palatino Linotype"/>
          <w:color w:val="000000"/>
        </w:rPr>
      </w:pPr>
    </w:p>
    <w:p w14:paraId="3B1B1AE9"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11161D">
        <w:rPr>
          <w:rFonts w:ascii="Palatino Linotype" w:eastAsia="Palatino Linotype" w:hAnsi="Palatino Linotype" w:cs="Palatino Linotype"/>
          <w:b/>
          <w:bCs/>
          <w:color w:val="000000"/>
        </w:rPr>
        <w:t xml:space="preserve">SUJETO OBLIGADO </w:t>
      </w:r>
      <w:r w:rsidRPr="0011161D">
        <w:rPr>
          <w:rFonts w:ascii="Palatino Linotype" w:eastAsia="Palatino Linotype" w:hAnsi="Palatino Linotype" w:cs="Palatino Linotype"/>
          <w:color w:val="000000"/>
        </w:rPr>
        <w:t>a propuesta del responsable de la Unidad de Transparencia</w:t>
      </w:r>
      <w:r w:rsidRPr="0011161D">
        <w:rPr>
          <w:rFonts w:ascii="Palatino Linotype" w:eastAsia="Palatino Linotype" w:hAnsi="Palatino Linotype" w:cs="Palatino Linotype"/>
          <w:color w:val="000000"/>
          <w:vertAlign w:val="superscript"/>
        </w:rPr>
        <w:footnoteReference w:id="7"/>
      </w:r>
      <w:r w:rsidRPr="0011161D">
        <w:rPr>
          <w:rFonts w:ascii="Palatino Linotype" w:eastAsia="Palatino Linotype" w:hAnsi="Palatino Linotype" w:cs="Palatino Linotype"/>
          <w:color w:val="000000"/>
        </w:rPr>
        <w:t xml:space="preserve"> y tendrán, entre sus atribuciones, las siguientes</w:t>
      </w:r>
      <w:r w:rsidRPr="0011161D">
        <w:rPr>
          <w:rFonts w:ascii="Palatino Linotype" w:eastAsia="Palatino Linotype" w:hAnsi="Palatino Linotype" w:cs="Palatino Linotype"/>
          <w:color w:val="000000"/>
          <w:vertAlign w:val="superscript"/>
        </w:rPr>
        <w:footnoteReference w:id="8"/>
      </w:r>
      <w:r w:rsidRPr="0011161D">
        <w:rPr>
          <w:rFonts w:ascii="Palatino Linotype" w:eastAsia="Palatino Linotype" w:hAnsi="Palatino Linotype" w:cs="Palatino Linotype"/>
          <w:color w:val="000000"/>
        </w:rPr>
        <w:t>:</w:t>
      </w:r>
    </w:p>
    <w:p w14:paraId="19E42E9E" w14:textId="77777777" w:rsidR="00A010E9" w:rsidRPr="0011161D" w:rsidRDefault="00A010E9">
      <w:pPr>
        <w:ind w:right="1"/>
        <w:jc w:val="both"/>
        <w:rPr>
          <w:rFonts w:ascii="Palatino Linotype" w:eastAsia="Palatino Linotype" w:hAnsi="Palatino Linotype" w:cs="Palatino Linotype"/>
          <w:b/>
          <w:bCs/>
        </w:rPr>
      </w:pPr>
    </w:p>
    <w:p w14:paraId="61DD324C" w14:textId="77777777" w:rsidR="00A010E9" w:rsidRPr="0011161D" w:rsidRDefault="00EA661E">
      <w:pPr>
        <w:numPr>
          <w:ilvl w:val="1"/>
          <w:numId w:val="4"/>
        </w:numPr>
        <w:spacing w:before="240"/>
        <w:ind w:left="709" w:right="565"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Localizar la información que le solicite la Unidad de Transparencia; y</w:t>
      </w:r>
    </w:p>
    <w:p w14:paraId="7DDF71B6" w14:textId="77777777" w:rsidR="00A010E9" w:rsidRPr="0011161D" w:rsidRDefault="00EA661E">
      <w:pPr>
        <w:numPr>
          <w:ilvl w:val="1"/>
          <w:numId w:val="4"/>
        </w:numPr>
        <w:spacing w:after="240"/>
        <w:ind w:left="709" w:right="565" w:hanging="142"/>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Proporcionar la información que obre en los archivos y que le sea solicitada por la Unidad de Transparencia.</w:t>
      </w:r>
    </w:p>
    <w:p w14:paraId="001A46BC" w14:textId="77777777" w:rsidR="00A010E9" w:rsidRPr="0011161D" w:rsidRDefault="00A010E9">
      <w:pPr>
        <w:ind w:right="1"/>
        <w:jc w:val="both"/>
        <w:rPr>
          <w:rFonts w:ascii="Palatino Linotype" w:eastAsia="Palatino Linotype" w:hAnsi="Palatino Linotype" w:cs="Palatino Linotype"/>
          <w:b/>
          <w:bCs/>
        </w:rPr>
      </w:pPr>
    </w:p>
    <w:p w14:paraId="0B185844" w14:textId="77777777" w:rsidR="00A010E9" w:rsidRPr="0011161D" w:rsidRDefault="00EA661E">
      <w:pPr>
        <w:numPr>
          <w:ilvl w:val="0"/>
          <w:numId w:val="1"/>
        </w:numPr>
        <w:tabs>
          <w:tab w:val="left" w:pos="142"/>
        </w:tabs>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lastRenderedPageBreak/>
        <w:t xml:space="preserve">De tal manera que cada una de las áreas administrativas del </w:t>
      </w:r>
      <w:r w:rsidRPr="0011161D">
        <w:rPr>
          <w:rFonts w:ascii="Palatino Linotype" w:eastAsia="Palatino Linotype" w:hAnsi="Palatino Linotype" w:cs="Palatino Linotype"/>
          <w:b/>
          <w:bCs/>
          <w:color w:val="000000"/>
        </w:rPr>
        <w:t>SUJETO OBLIGADO</w:t>
      </w:r>
      <w:r w:rsidRPr="0011161D">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FFEE47F" w14:textId="77777777" w:rsidR="00A010E9" w:rsidRPr="0011161D" w:rsidRDefault="00A010E9">
      <w:pPr>
        <w:tabs>
          <w:tab w:val="left" w:pos="142"/>
        </w:tabs>
        <w:spacing w:line="360" w:lineRule="auto"/>
        <w:ind w:right="1"/>
        <w:jc w:val="both"/>
        <w:rPr>
          <w:rFonts w:ascii="Palatino Linotype" w:eastAsia="Palatino Linotype" w:hAnsi="Palatino Linotype" w:cs="Palatino Linotype"/>
          <w:b/>
          <w:bCs/>
        </w:rPr>
      </w:pPr>
    </w:p>
    <w:p w14:paraId="3090C268" w14:textId="77777777" w:rsidR="00A010E9" w:rsidRPr="0011161D" w:rsidRDefault="00EA661E">
      <w:pPr>
        <w:numPr>
          <w:ilvl w:val="0"/>
          <w:numId w:val="1"/>
        </w:numPr>
        <w:tabs>
          <w:tab w:val="left" w:pos="142"/>
        </w:tabs>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3C7ED803" w14:textId="77777777" w:rsidR="00A010E9" w:rsidRPr="0011161D" w:rsidRDefault="00A010E9">
      <w:pPr>
        <w:tabs>
          <w:tab w:val="left" w:pos="426"/>
        </w:tabs>
        <w:spacing w:before="240"/>
        <w:ind w:right="51"/>
        <w:jc w:val="both"/>
        <w:rPr>
          <w:rFonts w:ascii="Palatino Linotype" w:eastAsia="Palatino Linotype" w:hAnsi="Palatino Linotype" w:cs="Palatino Linotype"/>
          <w:color w:val="000000"/>
        </w:rPr>
      </w:pPr>
    </w:p>
    <w:p w14:paraId="6931C8D3"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b/>
          <w:bCs/>
          <w:i/>
          <w:iCs/>
          <w:color w:val="000000"/>
        </w:rPr>
        <w:t>“Artículo 53</w:t>
      </w:r>
      <w:r w:rsidRPr="0011161D">
        <w:rPr>
          <w:rFonts w:ascii="Palatino Linotype" w:eastAsia="Palatino Linotype" w:hAnsi="Palatino Linotype" w:cs="Palatino Linotype"/>
          <w:i/>
          <w:iCs/>
          <w:color w:val="000000"/>
        </w:rPr>
        <w:t xml:space="preserve">. Las Unidades de Transparencia tendrán las siguientes funciones: </w:t>
      </w:r>
    </w:p>
    <w:p w14:paraId="35F22969" w14:textId="77777777" w:rsidR="00A010E9" w:rsidRPr="0011161D" w:rsidRDefault="00A010E9">
      <w:pPr>
        <w:tabs>
          <w:tab w:val="left" w:pos="426"/>
        </w:tabs>
        <w:ind w:left="567" w:right="616"/>
        <w:jc w:val="both"/>
        <w:rPr>
          <w:rFonts w:ascii="Palatino Linotype" w:eastAsia="Palatino Linotype" w:hAnsi="Palatino Linotype" w:cs="Palatino Linotype"/>
          <w:i/>
          <w:iCs/>
          <w:color w:val="000000"/>
        </w:rPr>
      </w:pPr>
    </w:p>
    <w:p w14:paraId="262B640F"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69AA4ECA" w14:textId="77777777" w:rsidR="00A010E9" w:rsidRPr="0011161D" w:rsidRDefault="00EA661E">
      <w:pPr>
        <w:tabs>
          <w:tab w:val="left" w:pos="426"/>
        </w:tabs>
        <w:ind w:left="567" w:right="616"/>
        <w:jc w:val="both"/>
        <w:rPr>
          <w:rFonts w:ascii="Palatino Linotype" w:eastAsia="Palatino Linotype" w:hAnsi="Palatino Linotype" w:cs="Palatino Linotype"/>
          <w:b/>
          <w:bCs/>
          <w:i/>
          <w:iCs/>
          <w:color w:val="000000"/>
        </w:rPr>
      </w:pPr>
      <w:r w:rsidRPr="0011161D">
        <w:rPr>
          <w:rFonts w:ascii="Palatino Linotype" w:eastAsia="Palatino Linotype" w:hAnsi="Palatino Linotype" w:cs="Palatino Linotype"/>
          <w:b/>
          <w:bCs/>
          <w:i/>
          <w:iCs/>
          <w:color w:val="000000"/>
        </w:rPr>
        <w:t xml:space="preserve">II. Recibir, tramitar y dar respuesta a las solicitudes de acceso a la información; </w:t>
      </w:r>
    </w:p>
    <w:p w14:paraId="459D9631"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4997A47A" w14:textId="77777777" w:rsidR="00A010E9" w:rsidRPr="0011161D" w:rsidRDefault="00EA661E">
      <w:pPr>
        <w:tabs>
          <w:tab w:val="left" w:pos="426"/>
        </w:tabs>
        <w:ind w:left="567" w:right="616"/>
        <w:jc w:val="both"/>
        <w:rPr>
          <w:rFonts w:ascii="Palatino Linotype" w:eastAsia="Palatino Linotype" w:hAnsi="Palatino Linotype" w:cs="Palatino Linotype"/>
          <w:b/>
          <w:bCs/>
          <w:i/>
          <w:iCs/>
          <w:color w:val="000000"/>
        </w:rPr>
      </w:pPr>
      <w:r w:rsidRPr="0011161D">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598DAB85"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V. Entregar, en su caso, a los particulares la información solicitada; </w:t>
      </w:r>
    </w:p>
    <w:p w14:paraId="2AF9E6EF"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VI. Efectuar las notificaciones a los solicitantes; </w:t>
      </w:r>
    </w:p>
    <w:p w14:paraId="501D1B97"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07B8559D"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45B90EC6" w14:textId="77777777" w:rsidR="00A010E9" w:rsidRPr="0011161D" w:rsidRDefault="00EA661E">
      <w:pPr>
        <w:tabs>
          <w:tab w:val="left" w:pos="426"/>
        </w:tabs>
        <w:ind w:left="567" w:right="616"/>
        <w:jc w:val="both"/>
        <w:rPr>
          <w:rFonts w:ascii="Palatino Linotype" w:eastAsia="Palatino Linotype" w:hAnsi="Palatino Linotype" w:cs="Palatino Linotype"/>
          <w:b/>
          <w:bCs/>
          <w:i/>
          <w:iCs/>
          <w:color w:val="000000"/>
        </w:rPr>
      </w:pPr>
      <w:r w:rsidRPr="0011161D">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6778983F"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lastRenderedPageBreak/>
        <w:t xml:space="preserve">X. Presentar ante el Comité, el proyecto de clasificación de información; </w:t>
      </w:r>
    </w:p>
    <w:p w14:paraId="18758C52"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XI. Promover e implementar políticas de transparencia proactiva procurando su accesibilidad; </w:t>
      </w:r>
    </w:p>
    <w:p w14:paraId="7094DAB0"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XII. Fomentar la transparencia y accesibilidad al interior del sujeto obligado; </w:t>
      </w:r>
    </w:p>
    <w:p w14:paraId="199674EC"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3C103343" w14:textId="77777777" w:rsidR="00A010E9" w:rsidRPr="0011161D" w:rsidRDefault="00EA661E">
      <w:pPr>
        <w:tabs>
          <w:tab w:val="left" w:pos="426"/>
        </w:tabs>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548B6DA7" w14:textId="77777777" w:rsidR="00A010E9" w:rsidRPr="0011161D" w:rsidRDefault="00EA661E">
      <w:pPr>
        <w:tabs>
          <w:tab w:val="left" w:pos="426"/>
        </w:tabs>
        <w:spacing w:after="240"/>
        <w:ind w:left="567" w:right="616"/>
        <w:jc w:val="both"/>
        <w:rPr>
          <w:rFonts w:ascii="Palatino Linotype" w:eastAsia="Palatino Linotype" w:hAnsi="Palatino Linotype" w:cs="Palatino Linotype"/>
          <w:i/>
          <w:iCs/>
          <w:color w:val="000000"/>
        </w:rPr>
      </w:pPr>
      <w:r w:rsidRPr="0011161D">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03FA711E"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De lo expuesto y con relación a lo solicitado, se tiene que, en efecto, la Unidad de Transparencia es la encargada de </w:t>
      </w:r>
      <w:r w:rsidRPr="0011161D">
        <w:rPr>
          <w:rFonts w:ascii="Palatino Linotype" w:eastAsia="Palatino Linotype" w:hAnsi="Palatino Linotype" w:cs="Palatino Linotype"/>
        </w:rPr>
        <w:t>recibir, tramitar y dar respuesta a las solicitudes de acceso a la información.</w:t>
      </w:r>
      <w:r w:rsidRPr="0011161D">
        <w:rPr>
          <w:rFonts w:ascii="Palatino Linotype" w:eastAsia="Palatino Linotype" w:hAnsi="Palatino Linotype" w:cs="Palatino Linotype"/>
          <w:b/>
          <w:bCs/>
        </w:rPr>
        <w:t xml:space="preserve"> </w:t>
      </w:r>
    </w:p>
    <w:p w14:paraId="39D25062" w14:textId="77777777" w:rsidR="00A010E9" w:rsidRPr="0011161D" w:rsidRDefault="00A010E9">
      <w:pPr>
        <w:spacing w:line="360" w:lineRule="auto"/>
        <w:ind w:right="1"/>
        <w:jc w:val="both"/>
        <w:rPr>
          <w:rFonts w:ascii="Palatino Linotype" w:eastAsia="Palatino Linotype" w:hAnsi="Palatino Linotype" w:cs="Palatino Linotype"/>
          <w:b/>
          <w:bCs/>
        </w:rPr>
      </w:pPr>
    </w:p>
    <w:p w14:paraId="54629A30"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En atención a lo anterior, se advierte </w:t>
      </w:r>
      <w:r w:rsidRPr="0011161D">
        <w:rPr>
          <w:rFonts w:ascii="Palatino Linotype" w:eastAsia="Palatino Linotype" w:hAnsi="Palatino Linotype" w:cs="Palatino Linotype"/>
        </w:rPr>
        <w:t xml:space="preserve">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xml:space="preserve"> se pronunció por medio del Servidor Público Habilitado competente, en el presente caso, el</w:t>
      </w:r>
      <w:r w:rsidRPr="0011161D">
        <w:rPr>
          <w:rFonts w:ascii="Palatino Linotype" w:eastAsia="Palatino Linotype" w:hAnsi="Palatino Linotype" w:cs="Palatino Linotype"/>
          <w:b/>
          <w:bCs/>
        </w:rPr>
        <w:t xml:space="preserve"> Director de Obras Públicas.</w:t>
      </w:r>
    </w:p>
    <w:p w14:paraId="65C2146D" w14:textId="77777777" w:rsidR="00A010E9" w:rsidRPr="0011161D" w:rsidRDefault="00A010E9">
      <w:pPr>
        <w:rPr>
          <w:rFonts w:ascii="Palatino Linotype" w:eastAsia="Palatino Linotype" w:hAnsi="Palatino Linotype" w:cs="Palatino Linotype"/>
        </w:rPr>
      </w:pPr>
    </w:p>
    <w:p w14:paraId="61969680"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b/>
          <w:bCs/>
        </w:rPr>
        <w:t xml:space="preserve">Al respecto, cabe señalar que la Ley Orgánica Municipal del Estado de México en su artículo 87, establece que para el despacho </w:t>
      </w:r>
      <w:r w:rsidRPr="0011161D">
        <w:rPr>
          <w:rFonts w:ascii="Palatino Linotype" w:hAnsi="Palatino Linotype"/>
        </w:rPr>
        <w:t>estudio y planeación de los diversos asuntos de la administración municipal, el ayuntamiento contará por lo menos con las siguientes dependencias:</w:t>
      </w:r>
    </w:p>
    <w:p w14:paraId="6918A4D5" w14:textId="77777777" w:rsidR="00A010E9" w:rsidRPr="0011161D" w:rsidRDefault="00A010E9">
      <w:pPr>
        <w:pBdr>
          <w:top w:val="nil"/>
          <w:left w:val="nil"/>
          <w:bottom w:val="nil"/>
          <w:right w:val="nil"/>
          <w:between w:val="nil"/>
        </w:pBdr>
        <w:ind w:left="720"/>
        <w:rPr>
          <w:rFonts w:ascii="Palatino Linotype" w:eastAsia="Palatino Linotype" w:hAnsi="Palatino Linotype" w:cs="Palatino Linotype"/>
          <w:b/>
          <w:bCs/>
          <w:color w:val="000000"/>
        </w:rPr>
      </w:pPr>
    </w:p>
    <w:p w14:paraId="717874A4"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I. La secretaría del ayuntamiento; </w:t>
      </w:r>
    </w:p>
    <w:p w14:paraId="351F9BAF"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lastRenderedPageBreak/>
        <w:t xml:space="preserve">II. La tesorería municipal. </w:t>
      </w:r>
    </w:p>
    <w:p w14:paraId="18A455D4"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III. La Dirección de Obras Públicas o equivalente.</w:t>
      </w:r>
    </w:p>
    <w:p w14:paraId="737D63E7"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IV. La Dirección de Desarrollo Económico o equivalente. </w:t>
      </w:r>
    </w:p>
    <w:p w14:paraId="2C6E9678"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V. La Dirección de Desarrollo Urbano o equivalente; </w:t>
      </w:r>
    </w:p>
    <w:p w14:paraId="298F55AF"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VI. La Dirección de Ecología o equivalente. </w:t>
      </w:r>
    </w:p>
    <w:p w14:paraId="7AD6D71D"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VII. La Dirección de Desarrollo Social o equivalente. </w:t>
      </w:r>
    </w:p>
    <w:p w14:paraId="1F076AC0"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VIII. La Coordinación Municipal de Protección Civil o equivalente. </w:t>
      </w:r>
    </w:p>
    <w:p w14:paraId="7A96FAEC"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IX. La Dirección de las Mujeres o equivalente. </w:t>
      </w:r>
    </w:p>
    <w:p w14:paraId="0D253243"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i/>
          <w:iCs/>
        </w:rPr>
        <w:t>X. Dirección del Campo o equivalente, preferentemente en los municipios cuyas características geográficas, territoriales, sociales, culturales, políticas y económicas sean predominantemente inherentes al ámbito rural.</w:t>
      </w:r>
    </w:p>
    <w:p w14:paraId="6705F7FF" w14:textId="77777777" w:rsidR="00A010E9" w:rsidRPr="0011161D" w:rsidRDefault="00A010E9">
      <w:pPr>
        <w:pBdr>
          <w:top w:val="nil"/>
          <w:left w:val="nil"/>
          <w:bottom w:val="nil"/>
          <w:right w:val="nil"/>
          <w:between w:val="nil"/>
        </w:pBdr>
        <w:ind w:left="720"/>
        <w:rPr>
          <w:rFonts w:ascii="Palatino Linotype" w:eastAsia="Palatino Linotype" w:hAnsi="Palatino Linotype" w:cs="Palatino Linotype"/>
          <w:color w:val="000000"/>
        </w:rPr>
      </w:pPr>
    </w:p>
    <w:p w14:paraId="6B07F2A9"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rPr>
        <w:t>Por su parte, el artículo 96 Bis. Del mismo ordenamiento legal, establece que el Director de Obras Públicas, cuenta con las siguientes atribuciones:</w:t>
      </w:r>
    </w:p>
    <w:p w14:paraId="2AF5355B" w14:textId="77777777" w:rsidR="00A010E9" w:rsidRPr="0011161D" w:rsidRDefault="00A010E9">
      <w:pPr>
        <w:spacing w:line="360" w:lineRule="auto"/>
        <w:ind w:right="1"/>
        <w:jc w:val="both"/>
        <w:rPr>
          <w:rFonts w:ascii="Palatino Linotype" w:eastAsia="Palatino Linotype" w:hAnsi="Palatino Linotype" w:cs="Palatino Linotype"/>
        </w:rPr>
      </w:pPr>
    </w:p>
    <w:p w14:paraId="1C0CB68F"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I. Realizar la programación y ejecución de las obras públicas y servicios relacionados, que por orden expresa del Ayuntamiento requieran prioridad; </w:t>
      </w:r>
    </w:p>
    <w:p w14:paraId="2EC43EE7"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II. Planear y coordinar los proyectos de obras públicas y servicios relacionados con las mismas que autorice el Ayuntamiento, una vez que se cumplan los requisitos de licitación y otros que determine la ley de la materia; </w:t>
      </w:r>
    </w:p>
    <w:p w14:paraId="39ADEB2D"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III. Proyectar las obras públicas y servicios relacionados, que realice el Municipio, incluyendo la conservación y mantenimiento de edificios, monumentos, calles, parques y jardines; </w:t>
      </w:r>
    </w:p>
    <w:p w14:paraId="6023ED38"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IV. Construir y ejecutar todas aquellas obras públicas y servicios relacionados, que aumenten y mantengan la infraestructura municipal y que estén consideradas en el programa respectivo;</w:t>
      </w:r>
      <w:r w:rsidRPr="0011161D">
        <w:rPr>
          <w:rFonts w:ascii="Palatino Linotype" w:eastAsia="Palatino Linotype" w:hAnsi="Palatino Linotype" w:cs="Palatino Linotype"/>
          <w:i/>
          <w:iCs/>
        </w:rPr>
        <w:t xml:space="preserve"> </w:t>
      </w:r>
    </w:p>
    <w:p w14:paraId="5D506F4F"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V. Determinar y cuantificar los materiales y trabajos necesarios para programas de construcción y mantenimiento de obras públicas y servicios relacionados;</w:t>
      </w:r>
    </w:p>
    <w:p w14:paraId="71CB0E1A"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VI. Vigilar que se cumplan y lleven a cabo los programas de construcción y mantenimiento de obras públicas y servicios relacionados; </w:t>
      </w:r>
    </w:p>
    <w:p w14:paraId="15E8E493"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VII. Cuidar que las obras públicas y servicios relacionados cumplan con los requisitos de seguridad y observen las normas de construcción y términos establecidos; </w:t>
      </w:r>
    </w:p>
    <w:p w14:paraId="229588E3"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VIII. Vigilar la construcción en las obras por contrato y por administración que hayan sido adjudicadas a los contratistas; </w:t>
      </w:r>
    </w:p>
    <w:p w14:paraId="5DB129C1"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lastRenderedPageBreak/>
        <w:t xml:space="preserve">IX. Administrar y ejercer, en el ámbito de su competencia, de manera coordinada con el Tesorero municipal, los recursos públicos destinados a la planeación, programación, presupuestación, adjudicación, contratación, ejecución y control de la obra pública, conforme a las disposiciones legales aplicables y en congruencia con los planes, programas, especificaciones técnicas, controles y procedimientos administrativos aprobados; </w:t>
      </w:r>
    </w:p>
    <w:p w14:paraId="709BC147"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X. Verificar que las obras públicas y los servicios relacionados con la misma, hayan sido programadas, presupuestadas, ejecutadas, adquiridas y contratadas en estricto apego a las disposiciones legales aplicables; </w:t>
      </w:r>
    </w:p>
    <w:p w14:paraId="2252BDC7"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XI. Integrar y verificar que se elaboren de manera correcta y completa las bitácoras y/o expedientes abiertos con motivo de la obra pública y servicios relacionados con la misma, conforme a lo establecido en las disposiciones legales aplicables; </w:t>
      </w:r>
    </w:p>
    <w:p w14:paraId="5B472DDE"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XII. Promover la construcción de urbanización, infraestructura y equipamiento urbano; </w:t>
      </w:r>
    </w:p>
    <w:p w14:paraId="54B78ECA"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XIII. Formular y conducir la política municipal en materia de obras públicas e infraestructura para el desarrollo; </w:t>
      </w:r>
    </w:p>
    <w:p w14:paraId="20EDBFDD"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XIV. Cumplir y hacer cumplir la legislación y normatividad en materia de obra pública; </w:t>
      </w:r>
    </w:p>
    <w:p w14:paraId="5BE64B03"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XV. Proyectar, formular y proponer al Presidente Municipal, el Programa General de Obras Públicas, para la construcción y mejoramiento de las mismas, de acuerdo a la normatividad aplicable y en congruencia con el Plan de Desarrollo Municipal y con la política, objetivos y prioridades del Municipio y vigilar su ejecución; </w:t>
      </w:r>
    </w:p>
    <w:p w14:paraId="2CD8A81A"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XVI. Dictar las normas generales y ejecutar las obras de reparación, adaptación y demolición de inmuebles propiedad del municipio que le sean asignadas; </w:t>
      </w:r>
    </w:p>
    <w:p w14:paraId="0EB5CA82"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XVII. Ejecutar y mantener las obras públicas que acuerde el Ayuntamiento, de acuerdo a la legislación y normatividad aplicable, a los planes, presupuestos y programas previamente establecidos, coordinándose, en su caso, previo acuerdo con el Presidente Municipal, con las autoridades Federales, Estatales y municipales concurrentes; </w:t>
      </w:r>
    </w:p>
    <w:p w14:paraId="6F26A7A1"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XVIII. Vigilar que la ejecución de la obra pública adjudicada y los servicios relacionados con ésta, se sujeten a las condiciones contratadas; </w:t>
      </w:r>
    </w:p>
    <w:p w14:paraId="38F9B37D"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XIX. Establecer los lineamientos para la realización de estudios y proyectos de construcción de obras públicas; </w:t>
      </w:r>
    </w:p>
    <w:p w14:paraId="5E67A0BE"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XX. Autorizar para su pago, previa validación del avance y calidad de las obras, los presupuestos y estimaciones que presenten los contratistas de obras públicas municipales;</w:t>
      </w:r>
    </w:p>
    <w:p w14:paraId="488E8D29"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XXI. Formular el inventario de la maquinaria y equipo de construcción a su cuidado o de su propiedad, manteniéndolo en óptimas condiciones de uso; </w:t>
      </w:r>
    </w:p>
    <w:p w14:paraId="1FCA4C91"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 xml:space="preserve">XXII. Coordinar y supervisar que todo el proceso de las obras públicas que se realicen en el municipio se realice conforme a la legislación y normatividad en </w:t>
      </w:r>
      <w:r w:rsidRPr="0011161D">
        <w:rPr>
          <w:rFonts w:ascii="Palatino Linotype" w:eastAsia="Palatino Linotype" w:hAnsi="Palatino Linotype" w:cs="Palatino Linotype"/>
          <w:b/>
          <w:bCs/>
          <w:i/>
          <w:iCs/>
        </w:rPr>
        <w:lastRenderedPageBreak/>
        <w:t>materia de obra pública;</w:t>
      </w:r>
      <w:r w:rsidRPr="0011161D">
        <w:rPr>
          <w:rFonts w:ascii="Palatino Linotype" w:eastAsia="Palatino Linotype" w:hAnsi="Palatino Linotype" w:cs="Palatino Linotype"/>
          <w:i/>
          <w:iCs/>
        </w:rPr>
        <w:t xml:space="preserve"> XXIII. Controlar y vigilar el inventario de materiales para construcción; </w:t>
      </w:r>
    </w:p>
    <w:p w14:paraId="2EE81504"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XXIV. Integrar y autorizar con su firma, la documentación que en materia de obra pública, deba presentarse al Órgano Superior de Fiscalización del Estado de México; </w:t>
      </w:r>
    </w:p>
    <w:p w14:paraId="187B1917" w14:textId="77777777" w:rsidR="00A010E9" w:rsidRPr="0011161D" w:rsidRDefault="00EA661E">
      <w:pPr>
        <w:ind w:left="567" w:right="538"/>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 xml:space="preserve">XXV. Formular las bases y expedir la convocatoria a los concursos para la realización de las obras públicas municipales, de acuerdo con los requisitos que para dichos actos señale la legislación y normatividad respectiva, vigilando su correcta ejecución; y </w:t>
      </w:r>
    </w:p>
    <w:p w14:paraId="457E4AA4" w14:textId="77777777" w:rsidR="00A010E9" w:rsidRPr="0011161D" w:rsidRDefault="00EA661E">
      <w:pPr>
        <w:ind w:left="567" w:right="538"/>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XXVI. Las demás que les señalen las disposiciones aplicables.</w:t>
      </w:r>
    </w:p>
    <w:p w14:paraId="190253C4" w14:textId="77777777" w:rsidR="00A010E9" w:rsidRPr="0011161D" w:rsidRDefault="00A010E9">
      <w:pPr>
        <w:spacing w:line="360" w:lineRule="auto"/>
        <w:ind w:right="1"/>
        <w:jc w:val="both"/>
        <w:rPr>
          <w:rFonts w:ascii="Palatino Linotype" w:eastAsia="Palatino Linotype" w:hAnsi="Palatino Linotype" w:cs="Palatino Linotype"/>
          <w:b/>
          <w:bCs/>
        </w:rPr>
      </w:pPr>
    </w:p>
    <w:p w14:paraId="0954460C"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 xml:space="preserve">En atención a lo expuesto, </w:t>
      </w:r>
      <w:r w:rsidRPr="0011161D">
        <w:rPr>
          <w:rFonts w:ascii="Palatino Linotype" w:eastAsia="Palatino Linotype" w:hAnsi="Palatino Linotype" w:cs="Palatino Linotype"/>
          <w:color w:val="000000"/>
        </w:rPr>
        <w:t xml:space="preserve">se reitera que la respuesta fue emitida por el Servidor Público Habitado competente, así </w:t>
      </w:r>
      <w:r w:rsidRPr="0011161D">
        <w:rPr>
          <w:rFonts w:ascii="Palatino Linotype" w:eastAsia="Palatino Linotype" w:hAnsi="Palatino Linotype" w:cs="Palatino Linotype"/>
        </w:rPr>
        <w:t xml:space="preserve">es dable sostener que, al haber existido un pronunciamiento por parte del </w:t>
      </w:r>
      <w:r w:rsidRPr="0011161D">
        <w:rPr>
          <w:rFonts w:ascii="Palatino Linotype" w:eastAsia="Palatino Linotype" w:hAnsi="Palatino Linotype" w:cs="Palatino Linotype"/>
          <w:b/>
          <w:bCs/>
        </w:rPr>
        <w:t>SUJETO OBLIGADO</w:t>
      </w:r>
      <w:r w:rsidRPr="0011161D">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14:paraId="010FE48C" w14:textId="77777777" w:rsidR="00A010E9" w:rsidRPr="0011161D" w:rsidRDefault="00A010E9">
      <w:pPr>
        <w:spacing w:line="360" w:lineRule="auto"/>
        <w:ind w:right="1"/>
        <w:jc w:val="both"/>
        <w:rPr>
          <w:rFonts w:ascii="Palatino Linotype" w:eastAsia="Palatino Linotype" w:hAnsi="Palatino Linotype" w:cs="Palatino Linotype"/>
        </w:rPr>
      </w:pPr>
    </w:p>
    <w:p w14:paraId="59BF8C73"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Ahora bien, </w:t>
      </w:r>
      <w:r w:rsidRPr="0011161D">
        <w:rPr>
          <w:rFonts w:ascii="Palatino Linotype" w:eastAsia="Palatino Linotype" w:hAnsi="Palatino Linotype" w:cs="Palatino Linotype"/>
        </w:rPr>
        <w:t xml:space="preserve">es importante señalar que el artículo 4, párrafo segundo de la Ley de Transparencia y Acceso a la Información Pública del Estado de México y Municipios, dispone lo siguiente: </w:t>
      </w:r>
    </w:p>
    <w:p w14:paraId="247BFD75" w14:textId="77777777" w:rsidR="00A010E9" w:rsidRPr="0011161D" w:rsidRDefault="00A010E9">
      <w:pPr>
        <w:tabs>
          <w:tab w:val="left" w:pos="426"/>
          <w:tab w:val="left" w:pos="567"/>
        </w:tabs>
        <w:jc w:val="both"/>
        <w:rPr>
          <w:rFonts w:ascii="Palatino Linotype" w:eastAsia="Palatino Linotype" w:hAnsi="Palatino Linotype" w:cs="Palatino Linotype"/>
          <w:color w:val="000000"/>
        </w:rPr>
      </w:pPr>
    </w:p>
    <w:p w14:paraId="43B7431A"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r w:rsidRPr="0011161D">
        <w:rPr>
          <w:rFonts w:ascii="Palatino Linotype" w:eastAsia="Palatino Linotype" w:hAnsi="Palatino Linotype" w:cs="Palatino Linotype"/>
          <w:b/>
          <w:bCs/>
          <w:i/>
          <w:iCs/>
        </w:rPr>
        <w:t>Artículo 4. …</w:t>
      </w:r>
    </w:p>
    <w:p w14:paraId="68960EDD"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FC52CFE" w14:textId="77777777" w:rsidR="00A010E9" w:rsidRPr="0011161D" w:rsidRDefault="00A010E9">
      <w:pPr>
        <w:tabs>
          <w:tab w:val="left" w:pos="426"/>
          <w:tab w:val="left" w:pos="567"/>
        </w:tabs>
        <w:ind w:right="565"/>
        <w:jc w:val="both"/>
        <w:rPr>
          <w:rFonts w:ascii="Palatino Linotype" w:eastAsia="Palatino Linotype" w:hAnsi="Palatino Linotype" w:cs="Palatino Linotype"/>
          <w:i/>
          <w:iCs/>
        </w:rPr>
      </w:pPr>
    </w:p>
    <w:p w14:paraId="2A5BFE04"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lastRenderedPageBreak/>
        <w:t xml:space="preserve">De lo anterior, se desprende </w:t>
      </w:r>
      <w:r w:rsidRPr="0011161D">
        <w:rPr>
          <w:rFonts w:ascii="Palatino Linotype" w:eastAsia="Palatino Linotype" w:hAnsi="Palatino Linotype" w:cs="Palatino Linotype"/>
        </w:rPr>
        <w:t>que la información generada, obtenida, adquirida, transmitida, administrada o en posesión de los Sujetos Obligados, será accesible de manera permanente a cualquier persona, privilegiando el principio de máxima publicidad de la información.</w:t>
      </w:r>
    </w:p>
    <w:p w14:paraId="262CAEF4" w14:textId="77777777" w:rsidR="00A010E9" w:rsidRPr="0011161D" w:rsidRDefault="00A010E9">
      <w:pPr>
        <w:jc w:val="both"/>
        <w:rPr>
          <w:rFonts w:ascii="Palatino Linotype" w:eastAsia="Palatino Linotype" w:hAnsi="Palatino Linotype" w:cs="Palatino Linotype"/>
          <w:color w:val="000000"/>
        </w:rPr>
      </w:pPr>
    </w:p>
    <w:p w14:paraId="1B4095C4"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Así, </w:t>
      </w:r>
      <w:r w:rsidRPr="0011161D">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17BE52DA" w14:textId="77777777" w:rsidR="00A010E9" w:rsidRPr="0011161D" w:rsidRDefault="00A010E9">
      <w:pPr>
        <w:tabs>
          <w:tab w:val="left" w:pos="426"/>
          <w:tab w:val="left" w:pos="567"/>
        </w:tabs>
        <w:jc w:val="both"/>
        <w:rPr>
          <w:rFonts w:ascii="Palatino Linotype" w:eastAsia="Palatino Linotype" w:hAnsi="Palatino Linotype" w:cs="Palatino Linotype"/>
          <w:color w:val="000000"/>
        </w:rPr>
      </w:pPr>
    </w:p>
    <w:p w14:paraId="7B7D3614" w14:textId="77777777" w:rsidR="00A010E9" w:rsidRPr="0011161D" w:rsidRDefault="00EA661E">
      <w:pPr>
        <w:numPr>
          <w:ilvl w:val="0"/>
          <w:numId w:val="1"/>
        </w:numPr>
        <w:tabs>
          <w:tab w:val="left" w:pos="851"/>
          <w:tab w:val="left" w:pos="1701"/>
        </w:tabs>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0D90A903" w14:textId="77777777" w:rsidR="00A010E9" w:rsidRPr="0011161D" w:rsidRDefault="00A010E9">
      <w:pPr>
        <w:rPr>
          <w:rFonts w:ascii="Palatino Linotype" w:eastAsia="Palatino Linotype" w:hAnsi="Palatino Linotype" w:cs="Palatino Linotype"/>
          <w:b/>
          <w:bCs/>
        </w:rPr>
      </w:pPr>
    </w:p>
    <w:p w14:paraId="01B0826E"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“No existe obligación de elaborar documentos ad hoc para atender las solicitudes de acceso a la información.</w:t>
      </w:r>
      <w:r w:rsidRPr="0011161D">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6B885B1F" w14:textId="77777777" w:rsidR="00A010E9" w:rsidRPr="0011161D" w:rsidRDefault="00A010E9">
      <w:pPr>
        <w:tabs>
          <w:tab w:val="left" w:pos="426"/>
          <w:tab w:val="left" w:pos="567"/>
        </w:tabs>
        <w:ind w:left="567" w:right="565"/>
        <w:jc w:val="both"/>
        <w:rPr>
          <w:rFonts w:ascii="Palatino Linotype" w:eastAsia="Palatino Linotype" w:hAnsi="Palatino Linotype" w:cs="Palatino Linotype"/>
          <w:i/>
          <w:iCs/>
        </w:rPr>
      </w:pPr>
    </w:p>
    <w:p w14:paraId="691CB810"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Resoluciones: </w:t>
      </w:r>
    </w:p>
    <w:p w14:paraId="0DCE1BB3"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Symbol" w:hAnsi="Palatino Linotype" w:cs="Symbol"/>
          <w:i/>
          <w:iCs/>
        </w:rPr>
        <w:t>∙</w:t>
      </w:r>
      <w:r w:rsidRPr="0011161D">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14:paraId="37096C5B"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Symbol" w:hAnsi="Palatino Linotype" w:cs="Symbol"/>
          <w:i/>
          <w:iCs/>
        </w:rPr>
        <w:lastRenderedPageBreak/>
        <w:t>∙</w:t>
      </w:r>
      <w:r w:rsidRPr="0011161D">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14:paraId="7F8EC016"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Symbol" w:hAnsi="Palatino Linotype" w:cs="Symbol"/>
          <w:i/>
          <w:iCs/>
        </w:rPr>
        <w:t>∙</w:t>
      </w:r>
      <w:r w:rsidRPr="0011161D">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14:paraId="226C14D0" w14:textId="77777777" w:rsidR="00A010E9" w:rsidRPr="0011161D" w:rsidRDefault="00A010E9">
      <w:pPr>
        <w:tabs>
          <w:tab w:val="left" w:pos="426"/>
          <w:tab w:val="left" w:pos="567"/>
        </w:tabs>
        <w:ind w:right="565"/>
        <w:jc w:val="both"/>
        <w:rPr>
          <w:rFonts w:ascii="Palatino Linotype" w:eastAsia="Palatino Linotype" w:hAnsi="Palatino Linotype" w:cs="Palatino Linotype"/>
          <w:i/>
          <w:iCs/>
          <w:color w:val="000000"/>
        </w:rPr>
      </w:pPr>
    </w:p>
    <w:p w14:paraId="27673D1D"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Asimos, </w:t>
      </w:r>
      <w:r w:rsidRPr="0011161D">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3EA05B4D" w14:textId="77777777" w:rsidR="00A010E9" w:rsidRPr="0011161D" w:rsidRDefault="00A010E9">
      <w:pPr>
        <w:spacing w:line="360" w:lineRule="auto"/>
        <w:jc w:val="both"/>
        <w:rPr>
          <w:rFonts w:ascii="Palatino Linotype" w:eastAsia="Palatino Linotype" w:hAnsi="Palatino Linotype" w:cs="Palatino Linotype"/>
          <w:color w:val="000000"/>
        </w:rPr>
      </w:pPr>
    </w:p>
    <w:p w14:paraId="28DB63AE"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038BC15D" w14:textId="77777777" w:rsidR="00A010E9" w:rsidRPr="0011161D" w:rsidRDefault="00A010E9">
      <w:pPr>
        <w:ind w:right="1"/>
        <w:jc w:val="both"/>
        <w:rPr>
          <w:rFonts w:ascii="Palatino Linotype" w:eastAsia="Palatino Linotype" w:hAnsi="Palatino Linotype" w:cs="Palatino Linotype"/>
          <w:color w:val="000000"/>
        </w:rPr>
      </w:pPr>
    </w:p>
    <w:p w14:paraId="2385B446"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b/>
          <w:bCs/>
          <w:i/>
          <w:iCs/>
        </w:rPr>
        <w:t>“Artículo 3.</w:t>
      </w:r>
      <w:r w:rsidRPr="0011161D">
        <w:rPr>
          <w:rFonts w:ascii="Palatino Linotype" w:eastAsia="Palatino Linotype" w:hAnsi="Palatino Linotype" w:cs="Palatino Linotype"/>
          <w:i/>
          <w:iCs/>
        </w:rPr>
        <w:t xml:space="preserve"> Para los efectos de la presente Ley se entenderá por: </w:t>
      </w:r>
    </w:p>
    <w:p w14:paraId="5B61B0B4"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 xml:space="preserve">(…) </w:t>
      </w:r>
    </w:p>
    <w:p w14:paraId="4DC4C9F9"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b/>
          <w:bCs/>
          <w:i/>
          <w:iCs/>
        </w:rPr>
      </w:pPr>
      <w:r w:rsidRPr="0011161D">
        <w:rPr>
          <w:rFonts w:ascii="Palatino Linotype" w:eastAsia="Palatino Linotype" w:hAnsi="Palatino Linotype" w:cs="Palatino Linotype"/>
          <w:b/>
          <w:bCs/>
          <w:i/>
          <w:iCs/>
        </w:rPr>
        <w:t>XI. Documento:</w:t>
      </w:r>
      <w:r w:rsidRPr="0011161D">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11161D">
        <w:rPr>
          <w:rFonts w:ascii="Palatino Linotype" w:eastAsia="Palatino Linotype" w:hAnsi="Palatino Linotype" w:cs="Palatino Linotype"/>
          <w:b/>
          <w:bCs/>
          <w:i/>
          <w:iCs/>
        </w:rPr>
        <w:t xml:space="preserve">Los documentos </w:t>
      </w:r>
      <w:r w:rsidRPr="0011161D">
        <w:rPr>
          <w:rFonts w:ascii="Palatino Linotype" w:eastAsia="Palatino Linotype" w:hAnsi="Palatino Linotype" w:cs="Palatino Linotype"/>
          <w:b/>
          <w:bCs/>
          <w:i/>
          <w:iCs/>
        </w:rPr>
        <w:lastRenderedPageBreak/>
        <w:t xml:space="preserve">podrán estar en cualquier medio, sea escrito, impreso, sonoro, visual, electrónico, informático u holográfico; </w:t>
      </w:r>
    </w:p>
    <w:p w14:paraId="11853478" w14:textId="77777777" w:rsidR="00A010E9" w:rsidRPr="0011161D" w:rsidRDefault="00EA661E">
      <w:pPr>
        <w:tabs>
          <w:tab w:val="left" w:pos="426"/>
          <w:tab w:val="left" w:pos="567"/>
        </w:tabs>
        <w:ind w:left="567" w:right="565"/>
        <w:jc w:val="both"/>
        <w:rPr>
          <w:rFonts w:ascii="Palatino Linotype" w:eastAsia="Palatino Linotype" w:hAnsi="Palatino Linotype" w:cs="Palatino Linotype"/>
          <w:i/>
          <w:iCs/>
        </w:rPr>
      </w:pPr>
      <w:r w:rsidRPr="0011161D">
        <w:rPr>
          <w:rFonts w:ascii="Palatino Linotype" w:eastAsia="Palatino Linotype" w:hAnsi="Palatino Linotype" w:cs="Palatino Linotype"/>
          <w:i/>
          <w:iCs/>
        </w:rPr>
        <w:t>(…)”</w:t>
      </w:r>
    </w:p>
    <w:p w14:paraId="3E3A9F5C" w14:textId="77777777" w:rsidR="00A010E9" w:rsidRPr="0011161D" w:rsidRDefault="00A010E9">
      <w:pPr>
        <w:tabs>
          <w:tab w:val="left" w:pos="426"/>
          <w:tab w:val="left" w:pos="567"/>
        </w:tabs>
        <w:ind w:right="565"/>
        <w:jc w:val="both"/>
        <w:rPr>
          <w:rFonts w:ascii="Palatino Linotype" w:eastAsia="Palatino Linotype" w:hAnsi="Palatino Linotype" w:cs="Palatino Linotype"/>
          <w:i/>
          <w:iCs/>
          <w:color w:val="000000"/>
        </w:rPr>
      </w:pPr>
    </w:p>
    <w:p w14:paraId="6A005600" w14:textId="77777777" w:rsidR="00A010E9" w:rsidRPr="0011161D" w:rsidRDefault="00EA661E">
      <w:pPr>
        <w:numPr>
          <w:ilvl w:val="0"/>
          <w:numId w:val="1"/>
        </w:numPr>
        <w:spacing w:line="360" w:lineRule="auto"/>
        <w:ind w:left="0" w:right="1"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000000"/>
        </w:rPr>
        <w:t xml:space="preserve">Siendo </w:t>
      </w:r>
      <w:r w:rsidRPr="0011161D">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9F02614" w14:textId="77777777" w:rsidR="00A010E9" w:rsidRPr="0011161D" w:rsidRDefault="00A010E9">
      <w:pPr>
        <w:ind w:right="1"/>
        <w:jc w:val="both"/>
        <w:rPr>
          <w:rFonts w:ascii="Palatino Linotype" w:eastAsia="Palatino Linotype" w:hAnsi="Palatino Linotype" w:cs="Palatino Linotype"/>
          <w:color w:val="000000"/>
        </w:rPr>
      </w:pPr>
    </w:p>
    <w:p w14:paraId="7CF18C34" w14:textId="77777777" w:rsidR="00A010E9" w:rsidRPr="0011161D" w:rsidRDefault="00EA661E">
      <w:pPr>
        <w:ind w:left="567" w:right="539"/>
        <w:jc w:val="both"/>
        <w:rPr>
          <w:rFonts w:ascii="Palatino Linotype" w:eastAsia="Palatino Linotype" w:hAnsi="Palatino Linotype" w:cs="Palatino Linotype"/>
        </w:rPr>
      </w:pPr>
      <w:r w:rsidRPr="0011161D">
        <w:rPr>
          <w:rFonts w:ascii="Palatino Linotype" w:eastAsia="Palatino Linotype" w:hAnsi="Palatino Linotype" w:cs="Palatino Linotype"/>
          <w:i/>
          <w:iCs/>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599C96E8" w14:textId="77777777" w:rsidR="00A010E9" w:rsidRPr="0011161D" w:rsidRDefault="00A010E9">
      <w:pPr>
        <w:spacing w:line="360" w:lineRule="auto"/>
        <w:ind w:right="1"/>
        <w:jc w:val="both"/>
        <w:rPr>
          <w:rFonts w:ascii="Palatino Linotype" w:eastAsia="Palatino Linotype" w:hAnsi="Palatino Linotype" w:cs="Palatino Linotype"/>
        </w:rPr>
      </w:pPr>
    </w:p>
    <w:p w14:paraId="67563166" w14:textId="77777777" w:rsidR="00EA661E" w:rsidRPr="0011161D" w:rsidRDefault="00EA661E" w:rsidP="00EA661E">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color w:val="000000"/>
        </w:rPr>
      </w:pPr>
      <w:r w:rsidRPr="0011161D">
        <w:rPr>
          <w:rFonts w:ascii="Palatino Linotype" w:eastAsia="Palatino Linotype" w:hAnsi="Palatino Linotype" w:cs="Palatino Linotype"/>
          <w:b/>
          <w:bCs/>
        </w:rPr>
        <w:t xml:space="preserve">QUINTO. </w:t>
      </w:r>
      <w:r w:rsidRPr="0011161D">
        <w:rPr>
          <w:rFonts w:ascii="Palatino Linotype" w:eastAsia="Palatino Linotype" w:hAnsi="Palatino Linotype" w:cs="Palatino Linotype"/>
          <w:b/>
          <w:color w:val="000000"/>
        </w:rPr>
        <w:t>QUINTO. VERSIÓN PÚBLICA.</w:t>
      </w:r>
    </w:p>
    <w:p w14:paraId="70B1FE34" w14:textId="77777777" w:rsidR="00EA661E" w:rsidRPr="0011161D" w:rsidRDefault="00EA661E" w:rsidP="00EA661E">
      <w:pPr>
        <w:keepNext/>
        <w:keepLines/>
        <w:numPr>
          <w:ilvl w:val="0"/>
          <w:numId w:val="8"/>
        </w:numPr>
        <w:spacing w:line="360" w:lineRule="auto"/>
        <w:ind w:left="284" w:firstLine="0"/>
        <w:rPr>
          <w:rFonts w:ascii="Palatino Linotype" w:eastAsia="Palatino Linotype" w:hAnsi="Palatino Linotype" w:cs="Palatino Linotype"/>
          <w:b/>
          <w:color w:val="000000"/>
        </w:rPr>
      </w:pPr>
      <w:r w:rsidRPr="0011161D">
        <w:rPr>
          <w:rFonts w:ascii="Palatino Linotype" w:eastAsia="Palatino Linotype" w:hAnsi="Palatino Linotype" w:cs="Palatino Linotype"/>
          <w:b/>
          <w:color w:val="000000"/>
        </w:rPr>
        <w:t xml:space="preserve">Nociones generales. </w:t>
      </w:r>
    </w:p>
    <w:p w14:paraId="7771FD29" w14:textId="77777777" w:rsidR="00EA661E" w:rsidRPr="0011161D" w:rsidRDefault="00EA661E" w:rsidP="00EA661E">
      <w:pPr>
        <w:numPr>
          <w:ilvl w:val="0"/>
          <w:numId w:val="1"/>
        </w:numPr>
        <w:spacing w:line="360" w:lineRule="auto"/>
        <w:ind w:left="0" w:firstLine="0"/>
        <w:jc w:val="both"/>
        <w:rPr>
          <w:rFonts w:ascii="Palatino Linotype" w:eastAsia="Palatino Linotype" w:hAnsi="Palatino Linotype" w:cs="Palatino Linotype"/>
          <w:bCs/>
        </w:rPr>
      </w:pPr>
      <w:r w:rsidRPr="0011161D">
        <w:rPr>
          <w:rFonts w:ascii="Palatino Linotype" w:eastAsia="Palatino Linotype" w:hAnsi="Palatino Linotype" w:cs="Palatino Linotype"/>
          <w:bCs/>
        </w:rPr>
        <w:t xml:space="preserve">Debe </w:t>
      </w:r>
      <w:r w:rsidRPr="0011161D">
        <w:rPr>
          <w:rFonts w:ascii="Palatino Linotype" w:eastAsia="Palatino Linotype" w:hAnsi="Palatino Linotype" w:cs="Palatino Linotype"/>
          <w:color w:val="000000"/>
        </w:rPr>
        <w:t>destacarse que, debido a la naturaleza de la información solicitada</w:t>
      </w:r>
      <w:r w:rsidRPr="0011161D">
        <w:rPr>
          <w:rFonts w:ascii="Palatino Linotype" w:eastAsia="Palatino Linotype" w:hAnsi="Palatino Linotype" w:cs="Palatino Linotype"/>
          <w:b/>
          <w:color w:val="000000"/>
        </w:rPr>
        <w:t xml:space="preserve">, </w:t>
      </w:r>
      <w:r w:rsidRPr="0011161D">
        <w:rPr>
          <w:rFonts w:ascii="Palatino Linotype" w:eastAsia="Palatino Linotype" w:hAnsi="Palatino Linotype" w:cs="Palatino Linotype"/>
          <w:color w:val="000000"/>
        </w:rPr>
        <w:t xml:space="preserve">eventualmente pudiera obrar datos personales susceptibles de protegerse, el </w:t>
      </w:r>
      <w:r w:rsidRPr="0011161D">
        <w:rPr>
          <w:rFonts w:ascii="Palatino Linotype" w:eastAsia="Palatino Linotype" w:hAnsi="Palatino Linotype" w:cs="Palatino Linotype"/>
          <w:b/>
          <w:color w:val="000000"/>
        </w:rPr>
        <w:t xml:space="preserve">SUJETO OBLIGADO </w:t>
      </w:r>
      <w:r w:rsidRPr="0011161D">
        <w:rPr>
          <w:rFonts w:ascii="Palatino Linotype" w:eastAsia="Palatino Linotype" w:hAnsi="Palatino Linotype" w:cs="Palatino Linotype"/>
          <w:color w:val="000000"/>
        </w:rPr>
        <w:t xml:space="preserve">deberá de </w:t>
      </w:r>
      <w:r w:rsidRPr="0011161D">
        <w:rPr>
          <w:rFonts w:ascii="Palatino Linotype" w:eastAsia="Palatino Linotype" w:hAnsi="Palatino Linotype" w:cs="Palatino Linotype"/>
          <w:color w:val="000000"/>
        </w:rPr>
        <w:lastRenderedPageBreak/>
        <w:t xml:space="preserve">hacer la adecuada versión pública, protegiendo los datos que no son susceptibles de ser proporcionados. </w:t>
      </w:r>
    </w:p>
    <w:p w14:paraId="6B09F9DD" w14:textId="77777777" w:rsidR="00EA661E" w:rsidRPr="0011161D" w:rsidRDefault="00EA661E" w:rsidP="00EA661E">
      <w:pPr>
        <w:spacing w:line="360" w:lineRule="auto"/>
        <w:jc w:val="both"/>
        <w:rPr>
          <w:rFonts w:ascii="Palatino Linotype" w:eastAsia="Palatino Linotype" w:hAnsi="Palatino Linotype" w:cs="Palatino Linotype"/>
          <w:bCs/>
        </w:rPr>
      </w:pPr>
    </w:p>
    <w:p w14:paraId="78C389BE" w14:textId="77777777" w:rsidR="00EA661E" w:rsidRPr="0011161D" w:rsidRDefault="00EA661E" w:rsidP="00EA661E">
      <w:pPr>
        <w:numPr>
          <w:ilvl w:val="0"/>
          <w:numId w:val="1"/>
        </w:numPr>
        <w:spacing w:line="360" w:lineRule="auto"/>
        <w:ind w:left="0" w:firstLine="0"/>
        <w:jc w:val="both"/>
        <w:rPr>
          <w:rFonts w:ascii="Palatino Linotype" w:eastAsia="Palatino Linotype" w:hAnsi="Palatino Linotype" w:cs="Palatino Linotype"/>
          <w:bCs/>
        </w:rPr>
      </w:pPr>
      <w:r w:rsidRPr="0011161D">
        <w:rPr>
          <w:rFonts w:ascii="Palatino Linotype" w:eastAsia="Palatino Linotype" w:hAnsi="Palatino Linotype" w:cs="Palatino Linotype"/>
          <w:color w:val="000000"/>
        </w:rPr>
        <w:t>No pasa desapercibido para este Órgano Garante que los Sujetos Obligados</w:t>
      </w:r>
      <w:r w:rsidRPr="0011161D">
        <w:rPr>
          <w:rFonts w:ascii="Palatino Linotype" w:eastAsia="Palatino Linotype" w:hAnsi="Palatino Linotype" w:cs="Palatino Linotype"/>
          <w:b/>
          <w:color w:val="000000"/>
        </w:rPr>
        <w:t xml:space="preserve"> </w:t>
      </w:r>
      <w:r w:rsidRPr="0011161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08844F9" w14:textId="77777777" w:rsidR="00EA661E" w:rsidRPr="0011161D" w:rsidRDefault="00EA661E" w:rsidP="00EA661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EA661E" w:rsidRPr="0011161D" w14:paraId="3FC4B3E8" w14:textId="77777777" w:rsidTr="0011161D">
        <w:tc>
          <w:tcPr>
            <w:tcW w:w="2689" w:type="dxa"/>
          </w:tcPr>
          <w:p w14:paraId="06CABD2E" w14:textId="77777777" w:rsidR="00EA661E" w:rsidRPr="0011161D" w:rsidRDefault="00EA661E" w:rsidP="00EA661E">
            <w:pPr>
              <w:rPr>
                <w:rFonts w:ascii="Palatino Linotype" w:eastAsia="Palatino Linotype" w:hAnsi="Palatino Linotype" w:cs="Palatino Linotype"/>
              </w:rPr>
            </w:pPr>
            <w:r w:rsidRPr="0011161D">
              <w:rPr>
                <w:rFonts w:ascii="Palatino Linotype" w:eastAsia="Palatino Linotype" w:hAnsi="Palatino Linotype" w:cs="Palatino Linotype"/>
              </w:rPr>
              <w:t>a) Requisitos previos.</w:t>
            </w:r>
          </w:p>
        </w:tc>
        <w:tc>
          <w:tcPr>
            <w:tcW w:w="7229" w:type="dxa"/>
          </w:tcPr>
          <w:p w14:paraId="2AC85472"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25C6A5F"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0E69B59D"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086903D5" w14:textId="77777777" w:rsidR="00EA661E" w:rsidRPr="0011161D" w:rsidRDefault="00EA661E" w:rsidP="00EA661E">
            <w:pPr>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1161D">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1161D">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EA661E" w:rsidRPr="0011161D" w14:paraId="25C2C313" w14:textId="77777777" w:rsidTr="0011161D">
        <w:tc>
          <w:tcPr>
            <w:tcW w:w="2689" w:type="dxa"/>
          </w:tcPr>
          <w:p w14:paraId="7836A797" w14:textId="77777777" w:rsidR="00EA661E" w:rsidRPr="0011161D" w:rsidRDefault="00EA661E" w:rsidP="00EA661E">
            <w:pPr>
              <w:rPr>
                <w:rFonts w:ascii="Palatino Linotype" w:eastAsia="Palatino Linotype" w:hAnsi="Palatino Linotype" w:cs="Palatino Linotype"/>
              </w:rPr>
            </w:pPr>
            <w:r w:rsidRPr="0011161D">
              <w:rPr>
                <w:rFonts w:ascii="Palatino Linotype" w:eastAsia="Palatino Linotype" w:hAnsi="Palatino Linotype" w:cs="Palatino Linotype"/>
              </w:rPr>
              <w:t>b) Supuestos de clasificación.</w:t>
            </w:r>
          </w:p>
        </w:tc>
        <w:tc>
          <w:tcPr>
            <w:tcW w:w="7229" w:type="dxa"/>
          </w:tcPr>
          <w:p w14:paraId="63C843AA"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4D8BBAF"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Los artículos 116 y 143 de la Ley Estatal y de la Ley General, respectivamente, señalan los supuestos para que la información </w:t>
            </w:r>
            <w:r w:rsidRPr="0011161D">
              <w:rPr>
                <w:rFonts w:ascii="Palatino Linotype" w:eastAsia="Palatino Linotype" w:hAnsi="Palatino Linotype" w:cs="Palatino Linotype"/>
                <w:color w:val="000000"/>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59A4E3C4" w14:textId="77777777" w:rsidR="00EA661E" w:rsidRPr="0011161D" w:rsidRDefault="00EA661E" w:rsidP="00EA661E">
            <w:pPr>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El </w:t>
            </w:r>
            <w:r w:rsidRPr="0011161D">
              <w:rPr>
                <w:rFonts w:ascii="Palatino Linotype" w:eastAsia="Palatino Linotype" w:hAnsi="Palatino Linotype" w:cs="Palatino Linotype"/>
                <w:b/>
                <w:color w:val="000000"/>
              </w:rPr>
              <w:t>Sujeto Obligado</w:t>
            </w:r>
            <w:r w:rsidRPr="0011161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A661E" w:rsidRPr="0011161D" w14:paraId="13D1656D" w14:textId="77777777" w:rsidTr="0011161D">
        <w:tc>
          <w:tcPr>
            <w:tcW w:w="2689" w:type="dxa"/>
          </w:tcPr>
          <w:p w14:paraId="3BC286D2" w14:textId="77777777" w:rsidR="00EA661E" w:rsidRPr="0011161D" w:rsidRDefault="00EA661E" w:rsidP="00EA661E">
            <w:pPr>
              <w:rPr>
                <w:rFonts w:ascii="Palatino Linotype" w:eastAsia="Palatino Linotype" w:hAnsi="Palatino Linotype" w:cs="Palatino Linotype"/>
              </w:rPr>
            </w:pPr>
            <w:r w:rsidRPr="0011161D">
              <w:rPr>
                <w:rFonts w:ascii="Palatino Linotype" w:eastAsia="Palatino Linotype" w:hAnsi="Palatino Linotype" w:cs="Palatino Linotype"/>
              </w:rPr>
              <w:lastRenderedPageBreak/>
              <w:t>c) Formalidades para emitir el acuerdo de clasificación.</w:t>
            </w:r>
          </w:p>
        </w:tc>
        <w:tc>
          <w:tcPr>
            <w:tcW w:w="7229" w:type="dxa"/>
          </w:tcPr>
          <w:p w14:paraId="30BAF4BE"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F4BD752"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Es necesario que </w:t>
            </w:r>
            <w:r w:rsidRPr="0011161D">
              <w:rPr>
                <w:rFonts w:ascii="Palatino Linotype" w:eastAsia="Palatino Linotype" w:hAnsi="Palatino Linotype" w:cs="Palatino Linotype"/>
                <w:b/>
                <w:color w:val="000000"/>
                <w:u w:val="single"/>
              </w:rPr>
              <w:t>el acto reúna con los requisitos elementales</w:t>
            </w:r>
            <w:r w:rsidRPr="0011161D">
              <w:rPr>
                <w:rFonts w:ascii="Palatino Linotype" w:eastAsia="Palatino Linotype" w:hAnsi="Palatino Linotype" w:cs="Palatino Linotype"/>
                <w:color w:val="000000"/>
              </w:rPr>
              <w:t>, entre ellos, que la autoridad que va a emitir el acto de autoridad sea la legalmente facultada para ello.</w:t>
            </w:r>
          </w:p>
          <w:p w14:paraId="6B902467" w14:textId="77777777" w:rsidR="00EA661E" w:rsidRPr="0011161D" w:rsidRDefault="00EA661E" w:rsidP="00EA661E">
            <w:pPr>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A661E" w:rsidRPr="0011161D" w14:paraId="54EBB2A3" w14:textId="77777777" w:rsidTr="0011161D">
        <w:tc>
          <w:tcPr>
            <w:tcW w:w="2689" w:type="dxa"/>
          </w:tcPr>
          <w:p w14:paraId="632CD08D" w14:textId="77777777" w:rsidR="00EA661E" w:rsidRPr="0011161D" w:rsidRDefault="00EA661E" w:rsidP="00EA661E">
            <w:pPr>
              <w:rPr>
                <w:rFonts w:ascii="Palatino Linotype" w:eastAsia="Palatino Linotype" w:hAnsi="Palatino Linotype" w:cs="Palatino Linotype"/>
              </w:rPr>
            </w:pPr>
          </w:p>
          <w:p w14:paraId="494995C7" w14:textId="77777777" w:rsidR="00EA661E" w:rsidRPr="0011161D" w:rsidRDefault="00EA661E" w:rsidP="00EA661E">
            <w:pPr>
              <w:jc w:val="both"/>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d) Requisitos de fondo del acuerdo de clasificación. </w:t>
            </w:r>
          </w:p>
        </w:tc>
        <w:tc>
          <w:tcPr>
            <w:tcW w:w="7229" w:type="dxa"/>
          </w:tcPr>
          <w:p w14:paraId="2703C3FE"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1161D">
              <w:rPr>
                <w:rFonts w:ascii="Palatino Linotype" w:eastAsia="Palatino Linotype" w:hAnsi="Palatino Linotype" w:cs="Palatino Linotype"/>
                <w:b/>
                <w:color w:val="000000"/>
              </w:rPr>
              <w:t>Sujetos Obligados</w:t>
            </w:r>
            <w:r w:rsidRPr="0011161D">
              <w:rPr>
                <w:rFonts w:ascii="Palatino Linotype" w:eastAsia="Palatino Linotype" w:hAnsi="Palatino Linotype" w:cs="Palatino Linotype"/>
                <w:color w:val="000000"/>
              </w:rPr>
              <w:t xml:space="preserve">, por lo que deberán fundar y motivar debidamente la clasificación. </w:t>
            </w:r>
          </w:p>
          <w:p w14:paraId="5682B2CD"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De lo anterior, se desprende que para una correcta </w:t>
            </w:r>
            <w:r w:rsidRPr="0011161D">
              <w:rPr>
                <w:rFonts w:ascii="Palatino Linotype" w:eastAsia="Palatino Linotype" w:hAnsi="Palatino Linotype" w:cs="Palatino Linotype"/>
                <w:b/>
                <w:color w:val="000000"/>
              </w:rPr>
              <w:t>clasificación total o parcial</w:t>
            </w:r>
            <w:r w:rsidRPr="0011161D">
              <w:rPr>
                <w:rFonts w:ascii="Palatino Linotype" w:eastAsia="Palatino Linotype" w:hAnsi="Palatino Linotype" w:cs="Palatino Linotype"/>
                <w:color w:val="000000"/>
              </w:rPr>
              <w:t xml:space="preserve">, esto es determinar los datos que se suprimen en las </w:t>
            </w:r>
            <w:r w:rsidRPr="0011161D">
              <w:rPr>
                <w:rFonts w:ascii="Palatino Linotype" w:eastAsia="Palatino Linotype" w:hAnsi="Palatino Linotype" w:cs="Palatino Linotype"/>
                <w:color w:val="000000"/>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F123FE8"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2A2A9487"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3E90D297"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Ahora bien, </w:t>
            </w:r>
            <w:r w:rsidRPr="0011161D">
              <w:rPr>
                <w:rFonts w:ascii="Palatino Linotype" w:eastAsia="Palatino Linotype" w:hAnsi="Palatino Linotype" w:cs="Palatino Linotype"/>
                <w:b/>
                <w:color w:val="000000"/>
                <w:u w:val="single"/>
              </w:rPr>
              <w:t>para cada caso además de fundar y motivar</w:t>
            </w:r>
            <w:r w:rsidRPr="0011161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A661E" w:rsidRPr="0011161D" w14:paraId="5ACDA936" w14:textId="77777777" w:rsidTr="0011161D">
        <w:tc>
          <w:tcPr>
            <w:tcW w:w="2689" w:type="dxa"/>
          </w:tcPr>
          <w:p w14:paraId="7130F180" w14:textId="77777777" w:rsidR="00EA661E" w:rsidRPr="0011161D" w:rsidRDefault="00EA661E" w:rsidP="00EA661E">
            <w:pPr>
              <w:ind w:right="49"/>
              <w:jc w:val="both"/>
              <w:rPr>
                <w:rFonts w:ascii="Palatino Linotype" w:eastAsia="Palatino Linotype" w:hAnsi="Palatino Linotype" w:cs="Palatino Linotype"/>
              </w:rPr>
            </w:pPr>
            <w:r w:rsidRPr="0011161D">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14:paraId="7DADB6FA"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C51A237" w14:textId="77777777" w:rsidR="00EA661E" w:rsidRPr="0011161D" w:rsidRDefault="00EA661E" w:rsidP="00EA661E">
            <w:pPr>
              <w:ind w:right="49"/>
              <w:jc w:val="both"/>
              <w:rPr>
                <w:rFonts w:ascii="Palatino Linotype" w:eastAsia="Palatino Linotype" w:hAnsi="Palatino Linotype" w:cs="Palatino Linotype"/>
                <w:color w:val="000000"/>
              </w:rPr>
            </w:pPr>
            <w:r w:rsidRPr="0011161D">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2C8C22B" w14:textId="77777777" w:rsidR="00EA661E" w:rsidRPr="0011161D" w:rsidRDefault="00EA661E" w:rsidP="00EA661E">
            <w:pPr>
              <w:ind w:right="49"/>
              <w:rPr>
                <w:rFonts w:ascii="Palatino Linotype" w:eastAsia="Palatino Linotype" w:hAnsi="Palatino Linotype" w:cs="Palatino Linotype"/>
              </w:rPr>
            </w:pPr>
            <w:r w:rsidRPr="0011161D">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11161D">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14:paraId="1EE1624C" w14:textId="77777777" w:rsidR="00EA661E" w:rsidRPr="0011161D" w:rsidRDefault="00EA661E" w:rsidP="00EA661E">
      <w:pPr>
        <w:spacing w:line="360" w:lineRule="auto"/>
        <w:jc w:val="both"/>
        <w:rPr>
          <w:rFonts w:ascii="Palatino Linotype" w:eastAsia="Palatino Linotype" w:hAnsi="Palatino Linotype" w:cs="Palatino Linotype"/>
          <w:b/>
          <w:bCs/>
        </w:rPr>
      </w:pPr>
    </w:p>
    <w:p w14:paraId="4784C3BE" w14:textId="77777777" w:rsidR="00EA661E" w:rsidRPr="0011161D" w:rsidRDefault="00EA661E" w:rsidP="00EA661E">
      <w:pPr>
        <w:numPr>
          <w:ilvl w:val="0"/>
          <w:numId w:val="1"/>
        </w:numPr>
        <w:spacing w:line="360" w:lineRule="auto"/>
        <w:ind w:left="0"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4B562A76" w14:textId="77777777" w:rsidR="00BB5AE3" w:rsidRPr="0011161D" w:rsidRDefault="00BB5AE3" w:rsidP="00BB5AE3">
      <w:pPr>
        <w:spacing w:line="360" w:lineRule="auto"/>
        <w:jc w:val="both"/>
        <w:rPr>
          <w:rFonts w:ascii="Palatino Linotype" w:eastAsia="Palatino Linotype" w:hAnsi="Palatino Linotype" w:cs="Palatino Linotype"/>
          <w:b/>
          <w:bCs/>
        </w:rPr>
      </w:pPr>
    </w:p>
    <w:p w14:paraId="43A7D3EC" w14:textId="77777777" w:rsidR="00A010E9" w:rsidRPr="0011161D" w:rsidRDefault="00EA661E">
      <w:pPr>
        <w:numPr>
          <w:ilvl w:val="0"/>
          <w:numId w:val="1"/>
        </w:numPr>
        <w:spacing w:line="360" w:lineRule="auto"/>
        <w:ind w:left="0" w:firstLine="0"/>
        <w:jc w:val="both"/>
        <w:rPr>
          <w:rFonts w:ascii="Palatino Linotype" w:eastAsia="Palatino Linotype" w:hAnsi="Palatino Linotype" w:cs="Palatino Linotype"/>
          <w:b/>
          <w:bCs/>
        </w:rPr>
      </w:pPr>
      <w:r w:rsidRPr="0011161D">
        <w:rPr>
          <w:rFonts w:ascii="Palatino Linotype" w:eastAsia="Palatino Linotype" w:hAnsi="Palatino Linotype" w:cs="Palatino Linotype"/>
          <w:color w:val="222222"/>
        </w:rPr>
        <w:t xml:space="preserve">Por lo anteriormente expuesto y fundado, este </w:t>
      </w:r>
      <w:r w:rsidRPr="0011161D">
        <w:rPr>
          <w:rFonts w:ascii="Palatino Linotype" w:eastAsia="Palatino Linotype" w:hAnsi="Palatino Linotype" w:cs="Palatino Linotype"/>
          <w:b/>
          <w:bCs/>
          <w:color w:val="222222"/>
        </w:rPr>
        <w:t>ÓRGANO GARANTE</w:t>
      </w:r>
      <w:r w:rsidRPr="0011161D">
        <w:rPr>
          <w:rFonts w:ascii="Palatino Linotype" w:eastAsia="Palatino Linotype" w:hAnsi="Palatino Linotype" w:cs="Palatino Linotype"/>
          <w:color w:val="222222"/>
        </w:rPr>
        <w:t xml:space="preserve"> emite los siguientes:</w:t>
      </w:r>
    </w:p>
    <w:p w14:paraId="1879E385" w14:textId="77777777" w:rsidR="00A010E9" w:rsidRPr="0011161D" w:rsidRDefault="00A010E9">
      <w:pPr>
        <w:spacing w:line="360" w:lineRule="auto"/>
        <w:ind w:right="-592"/>
        <w:jc w:val="both"/>
        <w:rPr>
          <w:rFonts w:ascii="Palatino Linotype" w:eastAsia="Palatino Linotype" w:hAnsi="Palatino Linotype" w:cs="Palatino Linotype"/>
          <w:b/>
          <w:bCs/>
        </w:rPr>
      </w:pPr>
    </w:p>
    <w:p w14:paraId="171A368B" w14:textId="77777777" w:rsidR="00A010E9" w:rsidRPr="0011161D" w:rsidRDefault="00EA661E">
      <w:pPr>
        <w:keepNext/>
        <w:keepLines/>
        <w:spacing w:line="360" w:lineRule="auto"/>
        <w:ind w:right="-592"/>
        <w:jc w:val="center"/>
        <w:rPr>
          <w:rFonts w:ascii="Palatino Linotype" w:eastAsia="Palatino Linotype" w:hAnsi="Palatino Linotype" w:cs="Palatino Linotype"/>
          <w:b/>
          <w:bCs/>
          <w:color w:val="000000"/>
        </w:rPr>
      </w:pPr>
      <w:bookmarkStart w:id="6" w:name="_heading=h.ili7lk47j2e1" w:colFirst="0" w:colLast="0"/>
      <w:bookmarkEnd w:id="6"/>
      <w:r w:rsidRPr="0011161D">
        <w:rPr>
          <w:rFonts w:ascii="Palatino Linotype" w:eastAsia="Palatino Linotype" w:hAnsi="Palatino Linotype" w:cs="Palatino Linotype"/>
          <w:b/>
          <w:bCs/>
          <w:color w:val="000000"/>
        </w:rPr>
        <w:t>R E S O L U T I V O S</w:t>
      </w:r>
    </w:p>
    <w:p w14:paraId="63AB2213" w14:textId="77777777" w:rsidR="00A010E9" w:rsidRPr="0011161D" w:rsidRDefault="00A010E9">
      <w:pPr>
        <w:keepNext/>
        <w:keepLines/>
        <w:spacing w:line="360" w:lineRule="auto"/>
        <w:ind w:right="-592"/>
        <w:jc w:val="center"/>
        <w:rPr>
          <w:rFonts w:ascii="Palatino Linotype" w:eastAsia="Palatino Linotype" w:hAnsi="Palatino Linotype" w:cs="Palatino Linotype"/>
          <w:b/>
          <w:bCs/>
          <w:color w:val="000000"/>
        </w:rPr>
      </w:pPr>
    </w:p>
    <w:p w14:paraId="374719DB" w14:textId="77777777" w:rsidR="00EA661E" w:rsidRPr="0011161D" w:rsidRDefault="00EA661E" w:rsidP="00EA661E">
      <w:pPr>
        <w:spacing w:line="360" w:lineRule="auto"/>
        <w:ind w:right="-29"/>
        <w:jc w:val="both"/>
        <w:rPr>
          <w:rFonts w:ascii="Palatino Linotype" w:eastAsia="Palatino Linotype" w:hAnsi="Palatino Linotype" w:cs="Palatino Linotype"/>
        </w:rPr>
      </w:pPr>
      <w:r w:rsidRPr="0011161D">
        <w:rPr>
          <w:rFonts w:ascii="Palatino Linotype" w:eastAsia="Palatino Linotype" w:hAnsi="Palatino Linotype" w:cs="Palatino Linotype"/>
          <w:b/>
        </w:rPr>
        <w:t>PRIMERO</w:t>
      </w:r>
      <w:r w:rsidRPr="0011161D">
        <w:rPr>
          <w:rFonts w:ascii="Palatino Linotype" w:eastAsia="Palatino Linotype" w:hAnsi="Palatino Linotype" w:cs="Palatino Linotype"/>
        </w:rPr>
        <w:t xml:space="preserve">. Resultan fundadas las razones o motivos de inconformidad hechos valer en el Recursos de Revisión </w:t>
      </w:r>
      <w:r w:rsidRPr="0011161D">
        <w:rPr>
          <w:rFonts w:ascii="Palatino Linotype" w:eastAsia="Palatino Linotype" w:hAnsi="Palatino Linotype" w:cs="Palatino Linotype"/>
          <w:b/>
        </w:rPr>
        <w:t xml:space="preserve">10268/INFOEM/IP/RR/2025 </w:t>
      </w:r>
      <w:r w:rsidRPr="0011161D">
        <w:rPr>
          <w:rFonts w:ascii="Palatino Linotype" w:eastAsia="Palatino Linotype" w:hAnsi="Palatino Linotype" w:cs="Palatino Linotype"/>
        </w:rPr>
        <w:t xml:space="preserve">en términos del </w:t>
      </w:r>
      <w:r w:rsidRPr="0011161D">
        <w:rPr>
          <w:rFonts w:ascii="Palatino Linotype" w:eastAsia="Palatino Linotype" w:hAnsi="Palatino Linotype" w:cs="Palatino Linotype"/>
          <w:b/>
        </w:rPr>
        <w:t xml:space="preserve">Considerando CUARTO y QUINTO </w:t>
      </w:r>
      <w:r w:rsidRPr="0011161D">
        <w:rPr>
          <w:rFonts w:ascii="Palatino Linotype" w:eastAsia="Palatino Linotype" w:hAnsi="Palatino Linotype" w:cs="Palatino Linotype"/>
        </w:rPr>
        <w:t>de la presente resolución.</w:t>
      </w:r>
    </w:p>
    <w:p w14:paraId="3DB7B010" w14:textId="77777777" w:rsidR="00EA661E" w:rsidRPr="0011161D" w:rsidRDefault="00EA661E" w:rsidP="00EA661E">
      <w:pPr>
        <w:spacing w:line="360" w:lineRule="auto"/>
        <w:ind w:right="-29"/>
        <w:jc w:val="both"/>
        <w:rPr>
          <w:rFonts w:ascii="Palatino Linotype" w:eastAsia="Palatino Linotype" w:hAnsi="Palatino Linotype" w:cs="Palatino Linotype"/>
        </w:rPr>
      </w:pPr>
    </w:p>
    <w:p w14:paraId="4AEA36EB" w14:textId="77777777" w:rsidR="00EA661E" w:rsidRPr="0011161D" w:rsidRDefault="00EA661E" w:rsidP="00EA661E">
      <w:pPr>
        <w:spacing w:line="360" w:lineRule="auto"/>
        <w:ind w:right="-29"/>
        <w:jc w:val="both"/>
        <w:rPr>
          <w:rFonts w:ascii="Palatino Linotype" w:eastAsia="Palatino Linotype" w:hAnsi="Palatino Linotype" w:cs="Palatino Linotype"/>
          <w:bCs/>
          <w:color w:val="000000"/>
        </w:rPr>
      </w:pPr>
      <w:bookmarkStart w:id="7" w:name="_heading=h.26in1rg" w:colFirst="0" w:colLast="0"/>
      <w:bookmarkEnd w:id="7"/>
      <w:r w:rsidRPr="0011161D">
        <w:rPr>
          <w:rFonts w:ascii="Palatino Linotype" w:eastAsia="Palatino Linotype" w:hAnsi="Palatino Linotype" w:cs="Palatino Linotype"/>
          <w:b/>
        </w:rPr>
        <w:t xml:space="preserve">SEGUNDO. </w:t>
      </w:r>
      <w:r w:rsidRPr="0011161D">
        <w:rPr>
          <w:rFonts w:ascii="Palatino Linotype" w:eastAsia="Palatino Linotype" w:hAnsi="Palatino Linotype" w:cs="Palatino Linotype"/>
          <w:color w:val="000000"/>
        </w:rPr>
        <w:t xml:space="preserve">Se </w:t>
      </w:r>
      <w:r w:rsidRPr="0011161D">
        <w:rPr>
          <w:rFonts w:ascii="Palatino Linotype" w:eastAsia="Palatino Linotype" w:hAnsi="Palatino Linotype" w:cs="Palatino Linotype"/>
          <w:b/>
          <w:color w:val="000000"/>
        </w:rPr>
        <w:t xml:space="preserve">MODIFICA </w:t>
      </w:r>
      <w:r w:rsidRPr="0011161D">
        <w:rPr>
          <w:rFonts w:ascii="Palatino Linotype" w:eastAsia="Palatino Linotype" w:hAnsi="Palatino Linotype" w:cs="Palatino Linotype"/>
          <w:color w:val="000000"/>
        </w:rPr>
        <w:t xml:space="preserve">la respuesta emitida por el </w:t>
      </w:r>
      <w:r w:rsidRPr="0011161D">
        <w:rPr>
          <w:rFonts w:ascii="Palatino Linotype" w:eastAsia="Palatino Linotype" w:hAnsi="Palatino Linotype" w:cs="Palatino Linotype"/>
          <w:b/>
          <w:color w:val="000000"/>
        </w:rPr>
        <w:t>Ayuntamiento de Atlacomulco,</w:t>
      </w:r>
      <w:r w:rsidRPr="0011161D">
        <w:rPr>
          <w:rFonts w:ascii="Palatino Linotype" w:eastAsia="Palatino Linotype" w:hAnsi="Palatino Linotype" w:cs="Palatino Linotype"/>
          <w:color w:val="000000"/>
        </w:rPr>
        <w:t xml:space="preserve"> a la </w:t>
      </w:r>
      <w:r w:rsidRPr="0011161D">
        <w:rPr>
          <w:rFonts w:ascii="Palatino Linotype" w:eastAsia="Palatino Linotype" w:hAnsi="Palatino Linotype" w:cs="Palatino Linotype"/>
        </w:rPr>
        <w:t>solicitud de información pública registrada con el número</w:t>
      </w:r>
      <w:r w:rsidRPr="0011161D">
        <w:rPr>
          <w:rFonts w:ascii="Palatino Linotype" w:eastAsia="Palatino Linotype" w:hAnsi="Palatino Linotype" w:cs="Palatino Linotype"/>
          <w:b/>
        </w:rPr>
        <w:t xml:space="preserve"> </w:t>
      </w:r>
      <w:r w:rsidRPr="0011161D">
        <w:rPr>
          <w:rFonts w:ascii="Palatino Linotype" w:eastAsia="Palatino Linotype" w:hAnsi="Palatino Linotype" w:cs="Palatino Linotype"/>
          <w:b/>
          <w:bCs/>
        </w:rPr>
        <w:t xml:space="preserve">00432/ATLACOM/IP/2025 </w:t>
      </w:r>
      <w:r w:rsidRPr="0011161D">
        <w:rPr>
          <w:rFonts w:ascii="Palatino Linotype" w:eastAsia="Palatino Linotype" w:hAnsi="Palatino Linotype" w:cs="Palatino Linotype"/>
          <w:color w:val="000000"/>
        </w:rPr>
        <w:t xml:space="preserve">y se </w:t>
      </w:r>
      <w:r w:rsidRPr="0011161D">
        <w:rPr>
          <w:rFonts w:ascii="Palatino Linotype" w:eastAsia="Palatino Linotype" w:hAnsi="Palatino Linotype" w:cs="Palatino Linotype"/>
          <w:b/>
          <w:color w:val="000000"/>
        </w:rPr>
        <w:t>ORDENA</w:t>
      </w:r>
      <w:r w:rsidRPr="0011161D">
        <w:rPr>
          <w:rFonts w:ascii="Palatino Linotype" w:eastAsia="Palatino Linotype" w:hAnsi="Palatino Linotype" w:cs="Palatino Linotype"/>
          <w:color w:val="000000"/>
        </w:rPr>
        <w:t xml:space="preserve"> entregar vía Sistema de Acceso a la Información Mexiquense </w:t>
      </w:r>
      <w:r w:rsidRPr="0011161D">
        <w:rPr>
          <w:rFonts w:ascii="Palatino Linotype" w:eastAsia="Palatino Linotype" w:hAnsi="Palatino Linotype" w:cs="Palatino Linotype"/>
          <w:b/>
          <w:color w:val="000000"/>
        </w:rPr>
        <w:t>(SAIMEX)</w:t>
      </w:r>
      <w:r w:rsidRPr="0011161D">
        <w:rPr>
          <w:rFonts w:ascii="Palatino Linotype" w:eastAsia="Palatino Linotype" w:hAnsi="Palatino Linotype" w:cs="Palatino Linotype"/>
          <w:bCs/>
          <w:color w:val="000000"/>
        </w:rPr>
        <w:t>, de ser procedente en versión pública,</w:t>
      </w:r>
      <w:r w:rsidRPr="0011161D">
        <w:rPr>
          <w:rFonts w:ascii="Palatino Linotype" w:eastAsia="Palatino Linotype" w:hAnsi="Palatino Linotype" w:cs="Palatino Linotype"/>
          <w:b/>
          <w:bCs/>
          <w:color w:val="000000"/>
        </w:rPr>
        <w:t xml:space="preserve"> el </w:t>
      </w:r>
      <w:r w:rsidR="00C02B7C" w:rsidRPr="0011161D">
        <w:rPr>
          <w:rFonts w:ascii="Palatino Linotype" w:eastAsia="Palatino Linotype" w:hAnsi="Palatino Linotype" w:cs="Palatino Linotype"/>
          <w:b/>
          <w:bCs/>
          <w:color w:val="000000"/>
        </w:rPr>
        <w:t>expediente completo de la obra pública “</w:t>
      </w:r>
      <w:r w:rsidR="00C02B7C" w:rsidRPr="0011161D">
        <w:rPr>
          <w:rFonts w:ascii="Palatino Linotype" w:eastAsia="Palatino Linotype" w:hAnsi="Palatino Linotype" w:cs="Palatino Linotype"/>
          <w:b/>
        </w:rPr>
        <w:t>Construcción de techado en área de impartición de educación física en Escuela Secundaria Justo Sierra</w:t>
      </w:r>
      <w:r w:rsidR="00C02B7C" w:rsidRPr="0011161D">
        <w:rPr>
          <w:rFonts w:ascii="Palatino Linotype" w:eastAsia="Palatino Linotype" w:hAnsi="Palatino Linotype" w:cs="Palatino Linotype"/>
          <w:b/>
          <w:bCs/>
          <w:color w:val="000000"/>
        </w:rPr>
        <w:t>”, al 16 de julio de 2025.</w:t>
      </w:r>
    </w:p>
    <w:p w14:paraId="1649BECC" w14:textId="77777777" w:rsidR="00EA661E" w:rsidRPr="0011161D" w:rsidRDefault="00EA661E" w:rsidP="00EA661E">
      <w:pPr>
        <w:spacing w:line="360" w:lineRule="auto"/>
        <w:ind w:right="-29"/>
        <w:jc w:val="both"/>
        <w:rPr>
          <w:rFonts w:ascii="Palatino Linotype" w:eastAsia="Palatino Linotype" w:hAnsi="Palatino Linotype" w:cs="Palatino Linotype"/>
        </w:rPr>
      </w:pPr>
    </w:p>
    <w:p w14:paraId="26296164" w14:textId="77777777" w:rsidR="00EA661E" w:rsidRPr="0011161D" w:rsidRDefault="00EA661E" w:rsidP="00EA661E">
      <w:pPr>
        <w:spacing w:line="360" w:lineRule="auto"/>
        <w:ind w:right="-29"/>
        <w:jc w:val="both"/>
        <w:rPr>
          <w:rFonts w:ascii="Palatino Linotype" w:eastAsia="Palatino Linotype" w:hAnsi="Palatino Linotype" w:cs="Palatino Linotype"/>
          <w:b/>
        </w:rPr>
      </w:pPr>
      <w:r w:rsidRPr="0011161D">
        <w:rPr>
          <w:rFonts w:ascii="Palatino Linotype" w:eastAsia="Palatino Linotype" w:hAnsi="Palatino Linotype" w:cs="Palatino Linotype"/>
        </w:rPr>
        <w:lastRenderedPageBreak/>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sidRPr="0011161D">
        <w:rPr>
          <w:rFonts w:ascii="Palatino Linotype" w:eastAsia="Palatino Linotype" w:hAnsi="Palatino Linotype" w:cs="Palatino Linotype"/>
          <w:b/>
        </w:rPr>
        <w:t>RECURRENTE.</w:t>
      </w:r>
    </w:p>
    <w:p w14:paraId="1C8A0588" w14:textId="77777777" w:rsidR="00EA661E" w:rsidRPr="0011161D" w:rsidRDefault="00EA661E" w:rsidP="00EA661E">
      <w:pPr>
        <w:spacing w:line="360" w:lineRule="auto"/>
        <w:ind w:right="-29"/>
        <w:jc w:val="both"/>
        <w:rPr>
          <w:rFonts w:ascii="Palatino Linotype" w:eastAsia="Palatino Linotype" w:hAnsi="Palatino Linotype" w:cs="Palatino Linotype"/>
          <w:b/>
        </w:rPr>
      </w:pPr>
    </w:p>
    <w:p w14:paraId="760301D4" w14:textId="77777777" w:rsidR="00EA661E" w:rsidRPr="0011161D" w:rsidRDefault="00EA661E" w:rsidP="00EA661E">
      <w:pPr>
        <w:tabs>
          <w:tab w:val="left" w:pos="8080"/>
        </w:tabs>
        <w:spacing w:line="360" w:lineRule="auto"/>
        <w:ind w:right="-29"/>
        <w:jc w:val="both"/>
        <w:rPr>
          <w:rFonts w:ascii="Palatino Linotype" w:eastAsia="Palatino Linotype" w:hAnsi="Palatino Linotype" w:cs="Palatino Linotype"/>
          <w:b/>
        </w:rPr>
      </w:pPr>
      <w:bookmarkStart w:id="8" w:name="_heading=h.lnxbz9" w:colFirst="0" w:colLast="0"/>
      <w:bookmarkEnd w:id="8"/>
      <w:r w:rsidRPr="0011161D">
        <w:rPr>
          <w:rFonts w:ascii="Palatino Linotype" w:eastAsia="Palatino Linotype" w:hAnsi="Palatino Linotype" w:cs="Palatino Linotype"/>
          <w:b/>
        </w:rPr>
        <w:t xml:space="preserve">TERCERO. NOTIFÍQUESE </w:t>
      </w:r>
      <w:r w:rsidRPr="0011161D">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1161D">
        <w:rPr>
          <w:rFonts w:ascii="Palatino Linotype" w:eastAsia="Palatino Linotype" w:hAnsi="Palatino Linotype" w:cs="Palatino Linotype"/>
          <w:b/>
        </w:rPr>
        <w:t>dé cumplimiento a lo ordenado dentro del plazo de diez días hábiles,</w:t>
      </w:r>
      <w:r w:rsidRPr="0011161D">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6A1088" w14:textId="77777777" w:rsidR="00EA661E" w:rsidRPr="0011161D" w:rsidRDefault="00EA661E" w:rsidP="00EA661E">
      <w:pPr>
        <w:tabs>
          <w:tab w:val="left" w:pos="8080"/>
        </w:tabs>
        <w:spacing w:line="360" w:lineRule="auto"/>
        <w:ind w:right="-29"/>
        <w:jc w:val="both"/>
        <w:rPr>
          <w:rFonts w:ascii="Palatino Linotype" w:eastAsia="Palatino Linotype" w:hAnsi="Palatino Linotype" w:cs="Palatino Linotype"/>
        </w:rPr>
      </w:pPr>
    </w:p>
    <w:p w14:paraId="3C092E9D" w14:textId="77777777" w:rsidR="00EA661E" w:rsidRPr="0011161D" w:rsidRDefault="00EA661E" w:rsidP="00EA661E">
      <w:pPr>
        <w:spacing w:line="360" w:lineRule="auto"/>
        <w:ind w:right="-29"/>
        <w:jc w:val="both"/>
        <w:rPr>
          <w:rFonts w:ascii="Palatino Linotype" w:eastAsia="Palatino Linotype" w:hAnsi="Palatino Linotype" w:cs="Palatino Linotype"/>
        </w:rPr>
      </w:pPr>
      <w:r w:rsidRPr="0011161D">
        <w:rPr>
          <w:rFonts w:ascii="Palatino Linotype" w:eastAsia="Palatino Linotype" w:hAnsi="Palatino Linotype" w:cs="Palatino Linotype"/>
          <w:b/>
        </w:rPr>
        <w:t xml:space="preserve">CUARTO. </w:t>
      </w:r>
      <w:r w:rsidRPr="0011161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11161D">
        <w:rPr>
          <w:rFonts w:ascii="Palatino Linotype" w:eastAsia="Palatino Linotype" w:hAnsi="Palatino Linotype" w:cs="Palatino Linotype"/>
          <w:b/>
        </w:rPr>
        <w:t>SUJETO OBLIGADO</w:t>
      </w:r>
      <w:r w:rsidRPr="0011161D">
        <w:rPr>
          <w:rFonts w:ascii="Palatino Linotype" w:eastAsia="Palatino Linotype" w:hAnsi="Palatino Linotype" w:cs="Palatino Linotype"/>
        </w:rPr>
        <w:t xml:space="preserve"> de manera fundada y motivada, podrá solicitar una ampliación de plazo para el cumplimiento de la presente resolución.</w:t>
      </w:r>
    </w:p>
    <w:p w14:paraId="474E0497" w14:textId="77777777" w:rsidR="00EA661E" w:rsidRPr="0011161D" w:rsidRDefault="00EA661E" w:rsidP="00EA661E">
      <w:pPr>
        <w:spacing w:line="360" w:lineRule="auto"/>
        <w:ind w:right="-29"/>
        <w:jc w:val="both"/>
        <w:rPr>
          <w:rFonts w:ascii="Palatino Linotype" w:eastAsia="Palatino Linotype" w:hAnsi="Palatino Linotype" w:cs="Palatino Linotype"/>
        </w:rPr>
      </w:pPr>
    </w:p>
    <w:p w14:paraId="1713009B" w14:textId="77777777" w:rsidR="00EA661E" w:rsidRPr="0011161D" w:rsidRDefault="00EA661E" w:rsidP="00EA661E">
      <w:pPr>
        <w:tabs>
          <w:tab w:val="left" w:pos="8080"/>
        </w:tabs>
        <w:spacing w:line="360" w:lineRule="auto"/>
        <w:ind w:right="-29"/>
        <w:jc w:val="both"/>
        <w:rPr>
          <w:rFonts w:ascii="Palatino Linotype" w:eastAsia="Palatino Linotype" w:hAnsi="Palatino Linotype" w:cs="Palatino Linotype"/>
        </w:rPr>
      </w:pPr>
      <w:bookmarkStart w:id="9" w:name="_heading=h.35nkun2" w:colFirst="0" w:colLast="0"/>
      <w:bookmarkEnd w:id="9"/>
      <w:r w:rsidRPr="0011161D">
        <w:rPr>
          <w:rFonts w:ascii="Palatino Linotype" w:eastAsia="Palatino Linotype" w:hAnsi="Palatino Linotype" w:cs="Palatino Linotype"/>
          <w:b/>
        </w:rPr>
        <w:t xml:space="preserve">QUINTO. </w:t>
      </w:r>
      <w:r w:rsidRPr="0011161D">
        <w:rPr>
          <w:rFonts w:ascii="Palatino Linotype" w:eastAsia="Palatino Linotype" w:hAnsi="Palatino Linotype" w:cs="Palatino Linotype"/>
        </w:rPr>
        <w:t>Notifíquese a la parte</w:t>
      </w:r>
      <w:r w:rsidRPr="0011161D">
        <w:rPr>
          <w:rFonts w:ascii="Palatino Linotype" w:eastAsia="Palatino Linotype" w:hAnsi="Palatino Linotype" w:cs="Palatino Linotype"/>
          <w:b/>
        </w:rPr>
        <w:t xml:space="preserve"> RECURRENTE</w:t>
      </w:r>
      <w:r w:rsidRPr="0011161D">
        <w:rPr>
          <w:rFonts w:ascii="Palatino Linotype" w:eastAsia="Palatino Linotype" w:hAnsi="Palatino Linotype" w:cs="Palatino Linotype"/>
        </w:rPr>
        <w:t xml:space="preserve"> la presente resolución, vía </w:t>
      </w:r>
      <w:r w:rsidRPr="0011161D">
        <w:rPr>
          <w:rFonts w:ascii="Palatino Linotype" w:eastAsia="Palatino Linotype" w:hAnsi="Palatino Linotype" w:cs="Palatino Linotype"/>
          <w:b/>
        </w:rPr>
        <w:t>SAIMEX.</w:t>
      </w:r>
    </w:p>
    <w:p w14:paraId="4F0AF56D" w14:textId="77777777" w:rsidR="00EA661E" w:rsidRPr="0011161D" w:rsidRDefault="00EA661E" w:rsidP="00EA661E">
      <w:pPr>
        <w:tabs>
          <w:tab w:val="left" w:pos="8080"/>
        </w:tabs>
        <w:spacing w:line="360" w:lineRule="auto"/>
        <w:ind w:right="-29"/>
        <w:jc w:val="both"/>
        <w:rPr>
          <w:rFonts w:ascii="Palatino Linotype" w:eastAsia="Palatino Linotype" w:hAnsi="Palatino Linotype" w:cs="Palatino Linotype"/>
        </w:rPr>
      </w:pPr>
    </w:p>
    <w:p w14:paraId="3CFBD58A" w14:textId="527D77B9" w:rsidR="00EA661E" w:rsidRPr="0011161D" w:rsidRDefault="00EA661E" w:rsidP="006042AC">
      <w:pPr>
        <w:shd w:val="clear" w:color="auto" w:fill="FFFFFF"/>
        <w:spacing w:line="360" w:lineRule="auto"/>
        <w:ind w:right="-29"/>
        <w:jc w:val="both"/>
        <w:rPr>
          <w:rFonts w:ascii="Palatino Linotype" w:eastAsia="Palatino Linotype" w:hAnsi="Palatino Linotype" w:cs="Palatino Linotype"/>
        </w:rPr>
      </w:pPr>
      <w:r w:rsidRPr="0011161D">
        <w:rPr>
          <w:rFonts w:ascii="Palatino Linotype" w:eastAsia="Palatino Linotype" w:hAnsi="Palatino Linotype" w:cs="Palatino Linotype"/>
          <w:b/>
        </w:rPr>
        <w:lastRenderedPageBreak/>
        <w:t>SEXTO.</w:t>
      </w:r>
      <w:r w:rsidRPr="0011161D">
        <w:rPr>
          <w:rFonts w:ascii="Palatino Linotype" w:eastAsia="Palatino Linotype" w:hAnsi="Palatino Linotype" w:cs="Palatino Linotype"/>
        </w:rPr>
        <w:t xml:space="preserve"> Se hace del conocimiento de la parte</w:t>
      </w:r>
      <w:r w:rsidRPr="0011161D">
        <w:rPr>
          <w:rFonts w:ascii="Palatino Linotype" w:eastAsia="Palatino Linotype" w:hAnsi="Palatino Linotype" w:cs="Palatino Linotype"/>
          <w:b/>
        </w:rPr>
        <w:t xml:space="preserve"> RECURRENTE</w:t>
      </w:r>
      <w:r w:rsidRPr="0011161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3266E68C" w14:textId="77777777" w:rsidR="006042AC" w:rsidRPr="0011161D" w:rsidRDefault="006042AC" w:rsidP="006042AC">
      <w:pPr>
        <w:shd w:val="clear" w:color="auto" w:fill="FFFFFF"/>
        <w:spacing w:line="360" w:lineRule="auto"/>
        <w:ind w:right="-29"/>
        <w:jc w:val="both"/>
        <w:rPr>
          <w:rFonts w:ascii="Palatino Linotype" w:eastAsia="Palatino Linotype" w:hAnsi="Palatino Linotype" w:cs="Palatino Linotype"/>
        </w:rPr>
      </w:pPr>
    </w:p>
    <w:p w14:paraId="3D871424" w14:textId="77777777" w:rsidR="006042AC" w:rsidRPr="0011161D" w:rsidRDefault="006042AC" w:rsidP="006042AC">
      <w:pPr>
        <w:spacing w:before="240" w:after="240" w:line="360" w:lineRule="auto"/>
        <w:ind w:firstLine="1"/>
        <w:jc w:val="both"/>
        <w:rPr>
          <w:rFonts w:ascii="Palatino Linotype" w:hAnsi="Palatino Linotype"/>
        </w:rPr>
      </w:pPr>
      <w:bookmarkStart w:id="10" w:name="_Hlk99014733"/>
      <w:r w:rsidRPr="0011161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11161D">
        <w:rPr>
          <w:rFonts w:ascii="Palatino Linotype" w:hAnsi="Palatino Linotype" w:cs="Palatino Linotype"/>
          <w:color w:val="000000" w:themeColor="text1"/>
        </w:rPr>
        <w:t>ALEXIS TAPIA RAMÍREZ.</w:t>
      </w:r>
    </w:p>
    <w:bookmarkEnd w:id="10"/>
    <w:p w14:paraId="5BA081B2" w14:textId="77777777" w:rsidR="00A010E9" w:rsidRPr="0011161D" w:rsidRDefault="00A010E9">
      <w:pPr>
        <w:spacing w:line="360" w:lineRule="auto"/>
        <w:ind w:right="-592"/>
        <w:jc w:val="both"/>
        <w:rPr>
          <w:rFonts w:ascii="Palatino Linotype" w:eastAsia="Palatino Linotype" w:hAnsi="Palatino Linotype" w:cs="Palatino Linotype"/>
        </w:rPr>
      </w:pPr>
    </w:p>
    <w:p w14:paraId="379C7CFB" w14:textId="77777777" w:rsidR="00A010E9" w:rsidRDefault="00A010E9">
      <w:pPr>
        <w:spacing w:line="360" w:lineRule="auto"/>
        <w:ind w:right="-592"/>
        <w:jc w:val="both"/>
        <w:rPr>
          <w:rFonts w:ascii="Palatino Linotype" w:eastAsia="Palatino Linotype" w:hAnsi="Palatino Linotype" w:cs="Palatino Linotype"/>
        </w:rPr>
      </w:pPr>
    </w:p>
    <w:p w14:paraId="751CAF43" w14:textId="77777777" w:rsidR="0011161D" w:rsidRDefault="0011161D">
      <w:pPr>
        <w:spacing w:line="360" w:lineRule="auto"/>
        <w:ind w:right="-592"/>
        <w:jc w:val="both"/>
        <w:rPr>
          <w:rFonts w:ascii="Palatino Linotype" w:eastAsia="Palatino Linotype" w:hAnsi="Palatino Linotype" w:cs="Palatino Linotype"/>
        </w:rPr>
      </w:pPr>
    </w:p>
    <w:p w14:paraId="687C9440" w14:textId="77777777" w:rsidR="0011161D" w:rsidRDefault="0011161D">
      <w:pPr>
        <w:spacing w:line="360" w:lineRule="auto"/>
        <w:ind w:right="-592"/>
        <w:jc w:val="both"/>
        <w:rPr>
          <w:rFonts w:ascii="Palatino Linotype" w:eastAsia="Palatino Linotype" w:hAnsi="Palatino Linotype" w:cs="Palatino Linotype"/>
        </w:rPr>
      </w:pPr>
    </w:p>
    <w:p w14:paraId="0E503F48" w14:textId="77777777" w:rsidR="0011161D" w:rsidRDefault="0011161D">
      <w:pPr>
        <w:spacing w:line="360" w:lineRule="auto"/>
        <w:ind w:right="-592"/>
        <w:jc w:val="both"/>
        <w:rPr>
          <w:rFonts w:ascii="Palatino Linotype" w:eastAsia="Palatino Linotype" w:hAnsi="Palatino Linotype" w:cs="Palatino Linotype"/>
        </w:rPr>
      </w:pPr>
    </w:p>
    <w:p w14:paraId="37987371" w14:textId="77777777" w:rsidR="0011161D" w:rsidRDefault="0011161D">
      <w:pPr>
        <w:spacing w:line="360" w:lineRule="auto"/>
        <w:ind w:right="-592"/>
        <w:jc w:val="both"/>
        <w:rPr>
          <w:rFonts w:ascii="Palatino Linotype" w:eastAsia="Palatino Linotype" w:hAnsi="Palatino Linotype" w:cs="Palatino Linotype"/>
        </w:rPr>
      </w:pPr>
    </w:p>
    <w:p w14:paraId="6E91780F" w14:textId="77777777" w:rsidR="0011161D" w:rsidRDefault="0011161D">
      <w:pPr>
        <w:spacing w:line="360" w:lineRule="auto"/>
        <w:ind w:right="-592"/>
        <w:jc w:val="both"/>
        <w:rPr>
          <w:rFonts w:ascii="Palatino Linotype" w:eastAsia="Palatino Linotype" w:hAnsi="Palatino Linotype" w:cs="Palatino Linotype"/>
        </w:rPr>
      </w:pPr>
    </w:p>
    <w:p w14:paraId="5DB7D8A0" w14:textId="77777777" w:rsidR="0011161D" w:rsidRDefault="0011161D">
      <w:pPr>
        <w:spacing w:line="360" w:lineRule="auto"/>
        <w:ind w:right="-592"/>
        <w:jc w:val="both"/>
        <w:rPr>
          <w:rFonts w:ascii="Palatino Linotype" w:eastAsia="Palatino Linotype" w:hAnsi="Palatino Linotype" w:cs="Palatino Linotype"/>
        </w:rPr>
      </w:pPr>
    </w:p>
    <w:p w14:paraId="70FE51A8" w14:textId="77777777" w:rsidR="0011161D" w:rsidRDefault="0011161D">
      <w:pPr>
        <w:spacing w:line="360" w:lineRule="auto"/>
        <w:ind w:right="-592"/>
        <w:jc w:val="both"/>
        <w:rPr>
          <w:rFonts w:ascii="Palatino Linotype" w:eastAsia="Palatino Linotype" w:hAnsi="Palatino Linotype" w:cs="Palatino Linotype"/>
        </w:rPr>
      </w:pPr>
    </w:p>
    <w:p w14:paraId="678F8A92" w14:textId="77777777" w:rsidR="0011161D" w:rsidRDefault="0011161D">
      <w:pPr>
        <w:spacing w:line="360" w:lineRule="auto"/>
        <w:ind w:right="-592"/>
        <w:jc w:val="both"/>
        <w:rPr>
          <w:rFonts w:ascii="Palatino Linotype" w:eastAsia="Palatino Linotype" w:hAnsi="Palatino Linotype" w:cs="Palatino Linotype"/>
        </w:rPr>
      </w:pPr>
    </w:p>
    <w:p w14:paraId="08C3FCA7" w14:textId="77777777" w:rsidR="0011161D" w:rsidRDefault="0011161D">
      <w:pPr>
        <w:spacing w:line="360" w:lineRule="auto"/>
        <w:ind w:right="-592"/>
        <w:jc w:val="both"/>
        <w:rPr>
          <w:rFonts w:ascii="Palatino Linotype" w:eastAsia="Palatino Linotype" w:hAnsi="Palatino Linotype" w:cs="Palatino Linotype"/>
        </w:rPr>
      </w:pPr>
    </w:p>
    <w:p w14:paraId="61C03E93" w14:textId="77777777" w:rsidR="0011161D" w:rsidRDefault="0011161D">
      <w:pPr>
        <w:spacing w:line="360" w:lineRule="auto"/>
        <w:ind w:right="-592"/>
        <w:jc w:val="both"/>
        <w:rPr>
          <w:rFonts w:ascii="Palatino Linotype" w:eastAsia="Palatino Linotype" w:hAnsi="Palatino Linotype" w:cs="Palatino Linotype"/>
        </w:rPr>
      </w:pPr>
    </w:p>
    <w:p w14:paraId="272D782D" w14:textId="77777777" w:rsidR="0011161D" w:rsidRDefault="0011161D">
      <w:pPr>
        <w:spacing w:line="360" w:lineRule="auto"/>
        <w:ind w:right="-592"/>
        <w:jc w:val="both"/>
        <w:rPr>
          <w:rFonts w:ascii="Palatino Linotype" w:eastAsia="Palatino Linotype" w:hAnsi="Palatino Linotype" w:cs="Palatino Linotype"/>
        </w:rPr>
      </w:pPr>
    </w:p>
    <w:p w14:paraId="166829F8" w14:textId="77777777" w:rsidR="0011161D" w:rsidRPr="0011161D" w:rsidRDefault="0011161D">
      <w:pPr>
        <w:spacing w:line="360" w:lineRule="auto"/>
        <w:ind w:right="-592"/>
        <w:jc w:val="both"/>
        <w:rPr>
          <w:rFonts w:ascii="Palatino Linotype" w:eastAsia="Palatino Linotype" w:hAnsi="Palatino Linotype" w:cs="Palatino Linotype"/>
        </w:rPr>
      </w:pPr>
    </w:p>
    <w:p w14:paraId="09737191" w14:textId="77777777" w:rsidR="00A010E9" w:rsidRPr="0011161D" w:rsidRDefault="00A010E9">
      <w:pPr>
        <w:spacing w:line="360" w:lineRule="auto"/>
        <w:ind w:right="-592"/>
        <w:jc w:val="both"/>
        <w:rPr>
          <w:rFonts w:ascii="Palatino Linotype" w:eastAsia="Palatino Linotype" w:hAnsi="Palatino Linotype" w:cs="Palatino Linotype"/>
        </w:rPr>
      </w:pPr>
    </w:p>
    <w:p w14:paraId="2CD88CFC" w14:textId="77777777" w:rsidR="00A010E9" w:rsidRPr="0011161D" w:rsidRDefault="00A010E9">
      <w:pPr>
        <w:spacing w:line="360" w:lineRule="auto"/>
        <w:ind w:right="-592"/>
        <w:jc w:val="both"/>
        <w:rPr>
          <w:rFonts w:ascii="Palatino Linotype" w:eastAsia="Palatino Linotype" w:hAnsi="Palatino Linotype" w:cs="Palatino Linotype"/>
        </w:rPr>
      </w:pPr>
    </w:p>
    <w:p w14:paraId="0AA57A10" w14:textId="77777777" w:rsidR="00A010E9" w:rsidRPr="0011161D" w:rsidRDefault="00A010E9">
      <w:pPr>
        <w:spacing w:line="360" w:lineRule="auto"/>
        <w:ind w:right="-592"/>
        <w:rPr>
          <w:rFonts w:ascii="Palatino Linotype" w:eastAsia="Palatino Linotype" w:hAnsi="Palatino Linotype" w:cs="Palatino Linotype"/>
        </w:rPr>
      </w:pPr>
    </w:p>
    <w:p w14:paraId="09487B7A" w14:textId="77777777" w:rsidR="00A010E9" w:rsidRPr="0011161D" w:rsidRDefault="00A010E9">
      <w:pPr>
        <w:spacing w:line="360" w:lineRule="auto"/>
        <w:ind w:right="-592"/>
        <w:rPr>
          <w:rFonts w:ascii="Palatino Linotype" w:eastAsia="Palatino Linotype" w:hAnsi="Palatino Linotype" w:cs="Palatino Linotype"/>
        </w:rPr>
      </w:pPr>
    </w:p>
    <w:p w14:paraId="3CB5AB9F" w14:textId="77777777" w:rsidR="00A010E9" w:rsidRPr="0011161D" w:rsidRDefault="00A010E9">
      <w:pPr>
        <w:spacing w:line="360" w:lineRule="auto"/>
        <w:ind w:right="-592"/>
        <w:rPr>
          <w:rFonts w:ascii="Palatino Linotype" w:eastAsia="Palatino Linotype" w:hAnsi="Palatino Linotype" w:cs="Palatino Linotype"/>
        </w:rPr>
      </w:pPr>
    </w:p>
    <w:p w14:paraId="2085C45C" w14:textId="77777777" w:rsidR="00A010E9" w:rsidRPr="0011161D" w:rsidRDefault="00A010E9">
      <w:pPr>
        <w:spacing w:line="360" w:lineRule="auto"/>
        <w:ind w:right="-592"/>
        <w:rPr>
          <w:rFonts w:ascii="Palatino Linotype" w:eastAsia="Palatino Linotype" w:hAnsi="Palatino Linotype" w:cs="Palatino Linotype"/>
        </w:rPr>
      </w:pPr>
    </w:p>
    <w:p w14:paraId="46CACFD8" w14:textId="77777777" w:rsidR="00A010E9" w:rsidRPr="0011161D" w:rsidRDefault="00A010E9">
      <w:pPr>
        <w:spacing w:line="360" w:lineRule="auto"/>
        <w:ind w:right="-592"/>
        <w:rPr>
          <w:rFonts w:ascii="Palatino Linotype" w:eastAsia="Palatino Linotype" w:hAnsi="Palatino Linotype" w:cs="Palatino Linotype"/>
        </w:rPr>
      </w:pPr>
    </w:p>
    <w:p w14:paraId="6D9463D0" w14:textId="77777777" w:rsidR="00A010E9" w:rsidRPr="0011161D" w:rsidRDefault="00A010E9">
      <w:pPr>
        <w:spacing w:line="360" w:lineRule="auto"/>
        <w:ind w:right="-592"/>
        <w:rPr>
          <w:rFonts w:ascii="Palatino Linotype" w:eastAsia="Palatino Linotype" w:hAnsi="Palatino Linotype" w:cs="Palatino Linotype"/>
        </w:rPr>
      </w:pPr>
    </w:p>
    <w:p w14:paraId="70C6144D" w14:textId="77777777" w:rsidR="00A010E9" w:rsidRPr="0011161D" w:rsidRDefault="00A010E9">
      <w:pPr>
        <w:ind w:right="-592"/>
        <w:rPr>
          <w:rFonts w:ascii="Palatino Linotype" w:eastAsia="Palatino Linotype" w:hAnsi="Palatino Linotype" w:cs="Palatino Linotype"/>
        </w:rPr>
      </w:pPr>
    </w:p>
    <w:sectPr w:rsidR="00A010E9" w:rsidRPr="0011161D" w:rsidSect="0011161D">
      <w:headerReference w:type="even" r:id="rId13"/>
      <w:headerReference w:type="default" r:id="rId14"/>
      <w:footerReference w:type="default" r:id="rId15"/>
      <w:headerReference w:type="first" r:id="rId16"/>
      <w:footerReference w:type="first" r:id="rId17"/>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3E9E1" w14:textId="77777777" w:rsidR="00AE52A2" w:rsidRDefault="00AE52A2">
      <w:r>
        <w:separator/>
      </w:r>
    </w:p>
  </w:endnote>
  <w:endnote w:type="continuationSeparator" w:id="0">
    <w:p w14:paraId="47876CB3" w14:textId="77777777" w:rsidR="00AE52A2" w:rsidRDefault="00AE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F7730C7E-4367-41E4-8BA3-7C5F088D3615}"/>
    <w:embedBold r:id="rId2" w:fontKey="{A8876342-429E-45ED-93E6-8BC7DC9FDC8A}"/>
    <w:embedItalic r:id="rId3" w:fontKey="{5A4D2C70-5787-4B49-874A-903AE5CE3488}"/>
    <w:embedBoldItalic r:id="rId4" w:fontKey="{8FE0478D-48D7-4EDD-A4B4-A98E35D29A6A}"/>
  </w:font>
  <w:font w:name="Noto Sans Symbols">
    <w:altName w:val="Times New Roman"/>
    <w:charset w:val="00"/>
    <w:family w:val="auto"/>
    <w:pitch w:val="default"/>
    <w:embedRegular r:id="rId5" w:fontKey="{6ACBCDA5-9A0E-478A-B4B7-C31555CED1F5}"/>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A5B6DD66-6D29-4D1A-8A9A-60E420705C87}"/>
  </w:font>
  <w:font w:name="Georgia">
    <w:panose1 w:val="02040502050405020303"/>
    <w:charset w:val="00"/>
    <w:family w:val="roman"/>
    <w:pitch w:val="variable"/>
    <w:sig w:usb0="00000287" w:usb1="00000000" w:usb2="00000000" w:usb3="00000000" w:csb0="0000009F" w:csb1="00000000"/>
    <w:embedItalic r:id="rId7" w:fontKey="{93F51424-F2D1-48B6-8303-0B96504AF25E}"/>
  </w:font>
  <w:font w:name="Cambria">
    <w:panose1 w:val="02040503050406030204"/>
    <w:charset w:val="00"/>
    <w:family w:val="roman"/>
    <w:pitch w:val="variable"/>
    <w:sig w:usb0="E00006FF" w:usb1="420024FF" w:usb2="02000000" w:usb3="00000000" w:csb0="0000019F" w:csb1="00000000"/>
    <w:embedRegular r:id="rId8" w:fontKey="{1BE8229A-0AD2-43DE-BD8B-AF50907F04D1}"/>
  </w:font>
  <w:font w:name="Garamond">
    <w:panose1 w:val="02020404030301010803"/>
    <w:charset w:val="00"/>
    <w:family w:val="roman"/>
    <w:pitch w:val="variable"/>
    <w:sig w:usb0="00000287" w:usb1="00000000" w:usb2="00000000" w:usb3="00000000" w:csb0="0000009F" w:csb1="00000000"/>
    <w:embedRegular r:id="rId9" w:fontKey="{80C17942-3A59-40C5-9775-FA6FC474914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B80A" w14:textId="77777777" w:rsidR="00EA661E" w:rsidRPr="0011161D" w:rsidRDefault="00EA661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1161D">
      <w:rPr>
        <w:rFonts w:ascii="Palatino Linotype" w:hAnsi="Palatino Linotype"/>
        <w:color w:val="000000"/>
        <w:sz w:val="22"/>
      </w:rPr>
      <w:t xml:space="preserve">Página </w:t>
    </w:r>
    <w:r w:rsidRPr="0011161D">
      <w:rPr>
        <w:rFonts w:ascii="Palatino Linotype" w:hAnsi="Palatino Linotype"/>
        <w:b/>
        <w:bCs/>
        <w:color w:val="000000"/>
        <w:sz w:val="22"/>
      </w:rPr>
      <w:fldChar w:fldCharType="begin"/>
    </w:r>
    <w:r w:rsidRPr="0011161D">
      <w:rPr>
        <w:rFonts w:ascii="Palatino Linotype" w:hAnsi="Palatino Linotype"/>
        <w:b/>
        <w:bCs/>
        <w:color w:val="000000"/>
        <w:sz w:val="22"/>
      </w:rPr>
      <w:instrText>PAGE</w:instrText>
    </w:r>
    <w:r w:rsidRPr="0011161D">
      <w:rPr>
        <w:rFonts w:ascii="Palatino Linotype" w:hAnsi="Palatino Linotype"/>
        <w:b/>
        <w:bCs/>
        <w:color w:val="000000"/>
        <w:sz w:val="22"/>
      </w:rPr>
      <w:fldChar w:fldCharType="separate"/>
    </w:r>
    <w:r w:rsidR="0011161D">
      <w:rPr>
        <w:rFonts w:ascii="Palatino Linotype" w:hAnsi="Palatino Linotype"/>
        <w:b/>
        <w:bCs/>
        <w:noProof/>
        <w:color w:val="000000"/>
        <w:sz w:val="22"/>
      </w:rPr>
      <w:t>21</w:t>
    </w:r>
    <w:r w:rsidRPr="0011161D">
      <w:rPr>
        <w:rFonts w:ascii="Palatino Linotype" w:hAnsi="Palatino Linotype"/>
        <w:b/>
        <w:bCs/>
        <w:color w:val="000000"/>
        <w:sz w:val="22"/>
      </w:rPr>
      <w:fldChar w:fldCharType="end"/>
    </w:r>
    <w:r w:rsidRPr="0011161D">
      <w:rPr>
        <w:rFonts w:ascii="Palatino Linotype" w:hAnsi="Palatino Linotype"/>
        <w:color w:val="000000"/>
        <w:sz w:val="22"/>
      </w:rPr>
      <w:t xml:space="preserve"> de </w:t>
    </w:r>
    <w:r w:rsidRPr="0011161D">
      <w:rPr>
        <w:rFonts w:ascii="Palatino Linotype" w:hAnsi="Palatino Linotype"/>
        <w:b/>
        <w:bCs/>
        <w:color w:val="000000"/>
        <w:sz w:val="22"/>
      </w:rPr>
      <w:fldChar w:fldCharType="begin"/>
    </w:r>
    <w:r w:rsidRPr="0011161D">
      <w:rPr>
        <w:rFonts w:ascii="Palatino Linotype" w:hAnsi="Palatino Linotype"/>
        <w:b/>
        <w:bCs/>
        <w:color w:val="000000"/>
        <w:sz w:val="22"/>
      </w:rPr>
      <w:instrText>NUMPAGES</w:instrText>
    </w:r>
    <w:r w:rsidRPr="0011161D">
      <w:rPr>
        <w:rFonts w:ascii="Palatino Linotype" w:hAnsi="Palatino Linotype"/>
        <w:b/>
        <w:bCs/>
        <w:color w:val="000000"/>
        <w:sz w:val="22"/>
      </w:rPr>
      <w:fldChar w:fldCharType="separate"/>
    </w:r>
    <w:r w:rsidR="0011161D">
      <w:rPr>
        <w:rFonts w:ascii="Palatino Linotype" w:hAnsi="Palatino Linotype"/>
        <w:b/>
        <w:bCs/>
        <w:noProof/>
        <w:color w:val="000000"/>
        <w:sz w:val="22"/>
      </w:rPr>
      <w:t>37</w:t>
    </w:r>
    <w:r w:rsidRPr="0011161D">
      <w:rPr>
        <w:rFonts w:ascii="Palatino Linotype" w:hAnsi="Palatino Linotype"/>
        <w:b/>
        <w:bCs/>
        <w:color w:val="000000"/>
        <w:sz w:val="22"/>
      </w:rPr>
      <w:fldChar w:fldCharType="end"/>
    </w:r>
  </w:p>
  <w:p w14:paraId="579209AF" w14:textId="77777777" w:rsidR="00EA661E" w:rsidRDefault="00EA661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5D629" w14:textId="77777777" w:rsidR="00EA661E" w:rsidRPr="0011161D" w:rsidRDefault="00EA661E">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11161D">
      <w:rPr>
        <w:rFonts w:ascii="Palatino Linotype" w:hAnsi="Palatino Linotype"/>
        <w:color w:val="000000"/>
        <w:sz w:val="22"/>
      </w:rPr>
      <w:t xml:space="preserve">Página </w:t>
    </w:r>
    <w:r w:rsidRPr="0011161D">
      <w:rPr>
        <w:rFonts w:ascii="Palatino Linotype" w:hAnsi="Palatino Linotype"/>
        <w:b/>
        <w:bCs/>
        <w:color w:val="000000"/>
        <w:sz w:val="22"/>
      </w:rPr>
      <w:fldChar w:fldCharType="begin"/>
    </w:r>
    <w:r w:rsidRPr="0011161D">
      <w:rPr>
        <w:rFonts w:ascii="Palatino Linotype" w:hAnsi="Palatino Linotype"/>
        <w:b/>
        <w:bCs/>
        <w:color w:val="000000"/>
        <w:sz w:val="22"/>
      </w:rPr>
      <w:instrText>PAGE</w:instrText>
    </w:r>
    <w:r w:rsidRPr="0011161D">
      <w:rPr>
        <w:rFonts w:ascii="Palatino Linotype" w:hAnsi="Palatino Linotype"/>
        <w:b/>
        <w:bCs/>
        <w:color w:val="000000"/>
        <w:sz w:val="22"/>
      </w:rPr>
      <w:fldChar w:fldCharType="separate"/>
    </w:r>
    <w:r w:rsidR="0011161D">
      <w:rPr>
        <w:rFonts w:ascii="Palatino Linotype" w:hAnsi="Palatino Linotype"/>
        <w:b/>
        <w:bCs/>
        <w:noProof/>
        <w:color w:val="000000"/>
        <w:sz w:val="22"/>
      </w:rPr>
      <w:t>1</w:t>
    </w:r>
    <w:r w:rsidRPr="0011161D">
      <w:rPr>
        <w:rFonts w:ascii="Palatino Linotype" w:hAnsi="Palatino Linotype"/>
        <w:b/>
        <w:bCs/>
        <w:color w:val="000000"/>
        <w:sz w:val="22"/>
      </w:rPr>
      <w:fldChar w:fldCharType="end"/>
    </w:r>
    <w:r w:rsidRPr="0011161D">
      <w:rPr>
        <w:rFonts w:ascii="Palatino Linotype" w:hAnsi="Palatino Linotype"/>
        <w:color w:val="000000"/>
        <w:sz w:val="22"/>
      </w:rPr>
      <w:t xml:space="preserve"> de </w:t>
    </w:r>
    <w:r w:rsidRPr="0011161D">
      <w:rPr>
        <w:rFonts w:ascii="Palatino Linotype" w:hAnsi="Palatino Linotype"/>
        <w:b/>
        <w:bCs/>
        <w:color w:val="000000"/>
        <w:sz w:val="22"/>
      </w:rPr>
      <w:fldChar w:fldCharType="begin"/>
    </w:r>
    <w:r w:rsidRPr="0011161D">
      <w:rPr>
        <w:rFonts w:ascii="Palatino Linotype" w:hAnsi="Palatino Linotype"/>
        <w:b/>
        <w:bCs/>
        <w:color w:val="000000"/>
        <w:sz w:val="22"/>
      </w:rPr>
      <w:instrText>NUMPAGES</w:instrText>
    </w:r>
    <w:r w:rsidRPr="0011161D">
      <w:rPr>
        <w:rFonts w:ascii="Palatino Linotype" w:hAnsi="Palatino Linotype"/>
        <w:b/>
        <w:bCs/>
        <w:color w:val="000000"/>
        <w:sz w:val="22"/>
      </w:rPr>
      <w:fldChar w:fldCharType="separate"/>
    </w:r>
    <w:r w:rsidR="0011161D">
      <w:rPr>
        <w:rFonts w:ascii="Palatino Linotype" w:hAnsi="Palatino Linotype"/>
        <w:b/>
        <w:bCs/>
        <w:noProof/>
        <w:color w:val="000000"/>
        <w:sz w:val="22"/>
      </w:rPr>
      <w:t>37</w:t>
    </w:r>
    <w:r w:rsidRPr="0011161D">
      <w:rPr>
        <w:rFonts w:ascii="Palatino Linotype" w:hAnsi="Palatino Linotype"/>
        <w:b/>
        <w:bCs/>
        <w:color w:val="000000"/>
        <w:sz w:val="22"/>
      </w:rPr>
      <w:fldChar w:fldCharType="end"/>
    </w:r>
  </w:p>
  <w:p w14:paraId="0665982C" w14:textId="77777777" w:rsidR="00EA661E" w:rsidRDefault="00EA661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230EE" w14:textId="77777777" w:rsidR="00AE52A2" w:rsidRDefault="00AE52A2">
      <w:r>
        <w:separator/>
      </w:r>
    </w:p>
  </w:footnote>
  <w:footnote w:type="continuationSeparator" w:id="0">
    <w:p w14:paraId="09CD5390" w14:textId="77777777" w:rsidR="00AE52A2" w:rsidRDefault="00AE52A2">
      <w:r>
        <w:continuationSeparator/>
      </w:r>
    </w:p>
  </w:footnote>
  <w:footnote w:id="1">
    <w:p w14:paraId="71A9E7A9" w14:textId="77777777" w:rsidR="00EA661E" w:rsidRDefault="00EA66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1E29389B" w14:textId="77777777" w:rsidR="00EA661E" w:rsidRDefault="00EA66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E6D4FAD" w14:textId="77777777" w:rsidR="00EA661E" w:rsidRDefault="00EA66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3296709F" w14:textId="77777777" w:rsidR="00EA661E" w:rsidRDefault="00EA661E">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506B5642" w14:textId="77777777" w:rsidR="00EA661E" w:rsidRDefault="00EA661E">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40D8FB4B" w14:textId="77777777" w:rsidR="00EA661E" w:rsidRDefault="00EA661E">
      <w:r>
        <w:rPr>
          <w:vertAlign w:val="superscript"/>
        </w:rPr>
        <w:footnoteRef/>
      </w:r>
      <w:r>
        <w:rPr>
          <w:rFonts w:ascii="Calibri" w:eastAsia="Calibri" w:hAnsi="Calibri" w:cs="Calibri"/>
          <w:color w:val="000000"/>
          <w:sz w:val="20"/>
          <w:szCs w:val="20"/>
        </w:rPr>
        <w:t xml:space="preserve"> Artículo 51, Ídem.</w:t>
      </w:r>
    </w:p>
  </w:footnote>
  <w:footnote w:id="7">
    <w:p w14:paraId="5F2D3380" w14:textId="77777777" w:rsidR="00EA661E" w:rsidRDefault="00EA661E">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641DABBC" w14:textId="77777777" w:rsidR="00EA661E" w:rsidRDefault="00EA661E">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4D957" w14:textId="77777777" w:rsidR="00EA661E" w:rsidRDefault="00AE52A2">
    <w:pPr>
      <w:pBdr>
        <w:top w:val="nil"/>
        <w:left w:val="nil"/>
        <w:bottom w:val="nil"/>
        <w:right w:val="nil"/>
        <w:between w:val="nil"/>
      </w:pBdr>
      <w:tabs>
        <w:tab w:val="center" w:pos="4419"/>
        <w:tab w:val="right" w:pos="8838"/>
      </w:tabs>
      <w:rPr>
        <w:color w:val="000000"/>
      </w:rPr>
    </w:pPr>
    <w:r>
      <w:rPr>
        <w:color w:val="000000"/>
      </w:rPr>
      <w:pict w14:anchorId="0717E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2268"/>
      <w:gridCol w:w="8080"/>
    </w:tblGrid>
    <w:tr w:rsidR="00EA661E" w14:paraId="17235659" w14:textId="77777777" w:rsidTr="0011161D">
      <w:trPr>
        <w:trHeight w:val="1435"/>
      </w:trPr>
      <w:tc>
        <w:tcPr>
          <w:tcW w:w="2268" w:type="dxa"/>
          <w:shd w:val="clear" w:color="auto" w:fill="auto"/>
        </w:tcPr>
        <w:p w14:paraId="011B4DDF" w14:textId="77777777" w:rsidR="00EA661E" w:rsidRDefault="00EA661E">
          <w:pPr>
            <w:tabs>
              <w:tab w:val="right" w:pos="4273"/>
            </w:tabs>
            <w:rPr>
              <w:rFonts w:ascii="Garamond" w:eastAsia="Garamond" w:hAnsi="Garamond" w:cs="Garamond"/>
              <w:sz w:val="16"/>
              <w:szCs w:val="16"/>
            </w:rPr>
          </w:pPr>
        </w:p>
      </w:tc>
      <w:tc>
        <w:tcPr>
          <w:tcW w:w="8080" w:type="dxa"/>
          <w:shd w:val="clear" w:color="auto" w:fill="auto"/>
        </w:tcPr>
        <w:tbl>
          <w:tblPr>
            <w:tblStyle w:val="a1"/>
            <w:tblW w:w="8067" w:type="dxa"/>
            <w:tblInd w:w="40" w:type="dxa"/>
            <w:tblLayout w:type="fixed"/>
            <w:tblLook w:val="0400" w:firstRow="0" w:lastRow="0" w:firstColumn="0" w:lastColumn="0" w:noHBand="0" w:noVBand="1"/>
          </w:tblPr>
          <w:tblGrid>
            <w:gridCol w:w="3814"/>
            <w:gridCol w:w="4253"/>
          </w:tblGrid>
          <w:tr w:rsidR="00EA661E" w14:paraId="4D5CDAF1" w14:textId="77777777" w:rsidTr="0011161D">
            <w:trPr>
              <w:trHeight w:val="359"/>
            </w:trPr>
            <w:tc>
              <w:tcPr>
                <w:tcW w:w="3814" w:type="dxa"/>
                <w:shd w:val="clear" w:color="auto" w:fill="auto"/>
              </w:tcPr>
              <w:p w14:paraId="4EB39007" w14:textId="77777777" w:rsidR="00EA661E" w:rsidRPr="0011161D" w:rsidRDefault="00EA661E">
                <w:pPr>
                  <w:tabs>
                    <w:tab w:val="right" w:pos="8838"/>
                  </w:tabs>
                  <w:ind w:left="850" w:right="-105"/>
                  <w:jc w:val="both"/>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Recurso de Revisión:</w:t>
                </w:r>
              </w:p>
            </w:tc>
            <w:tc>
              <w:tcPr>
                <w:tcW w:w="4253" w:type="dxa"/>
                <w:shd w:val="clear" w:color="auto" w:fill="auto"/>
              </w:tcPr>
              <w:p w14:paraId="59A9422F" w14:textId="77777777" w:rsidR="00EA661E" w:rsidRPr="0011161D" w:rsidRDefault="00EA661E">
                <w:pPr>
                  <w:tabs>
                    <w:tab w:val="right" w:pos="8838"/>
                  </w:tabs>
                  <w:ind w:right="-781"/>
                  <w:jc w:val="both"/>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10268/INFOEM/IP/RR/2025</w:t>
                </w:r>
              </w:p>
            </w:tc>
          </w:tr>
          <w:tr w:rsidR="00EA661E" w14:paraId="6B35CB6C" w14:textId="77777777" w:rsidTr="0011161D">
            <w:trPr>
              <w:trHeight w:val="295"/>
            </w:trPr>
            <w:tc>
              <w:tcPr>
                <w:tcW w:w="3814" w:type="dxa"/>
                <w:shd w:val="clear" w:color="auto" w:fill="auto"/>
              </w:tcPr>
              <w:p w14:paraId="7E482F88" w14:textId="77777777" w:rsidR="00EA661E" w:rsidRPr="0011161D" w:rsidRDefault="00EA661E">
                <w:pPr>
                  <w:tabs>
                    <w:tab w:val="right" w:pos="8838"/>
                  </w:tabs>
                  <w:ind w:left="850" w:right="-105"/>
                  <w:jc w:val="both"/>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Sujeto Obligado:</w:t>
                </w:r>
              </w:p>
            </w:tc>
            <w:tc>
              <w:tcPr>
                <w:tcW w:w="4253" w:type="dxa"/>
                <w:shd w:val="clear" w:color="auto" w:fill="auto"/>
              </w:tcPr>
              <w:p w14:paraId="32546865" w14:textId="77777777" w:rsidR="00EA661E" w:rsidRPr="0011161D" w:rsidRDefault="00EA661E">
                <w:pPr>
                  <w:tabs>
                    <w:tab w:val="left" w:pos="2834"/>
                    <w:tab w:val="right" w:pos="8838"/>
                  </w:tabs>
                  <w:ind w:right="-1552"/>
                  <w:jc w:val="both"/>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Ayuntamiento de Atlacomulco</w:t>
                </w:r>
              </w:p>
            </w:tc>
          </w:tr>
          <w:tr w:rsidR="00EA661E" w14:paraId="1CA6B376" w14:textId="77777777" w:rsidTr="0011161D">
            <w:trPr>
              <w:trHeight w:val="295"/>
            </w:trPr>
            <w:tc>
              <w:tcPr>
                <w:tcW w:w="3814" w:type="dxa"/>
                <w:shd w:val="clear" w:color="auto" w:fill="auto"/>
              </w:tcPr>
              <w:p w14:paraId="09C9DB2F" w14:textId="77777777" w:rsidR="00EA661E" w:rsidRPr="0011161D" w:rsidRDefault="00EA661E">
                <w:pPr>
                  <w:tabs>
                    <w:tab w:val="right" w:pos="8838"/>
                  </w:tabs>
                  <w:ind w:left="850" w:right="-105"/>
                  <w:jc w:val="both"/>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Comisionada ponente:</w:t>
                </w:r>
              </w:p>
            </w:tc>
            <w:tc>
              <w:tcPr>
                <w:tcW w:w="4253" w:type="dxa"/>
                <w:shd w:val="clear" w:color="auto" w:fill="auto"/>
              </w:tcPr>
              <w:p w14:paraId="1FEA51C0" w14:textId="77777777" w:rsidR="00EA661E" w:rsidRPr="0011161D" w:rsidRDefault="00EA661E">
                <w:pPr>
                  <w:tabs>
                    <w:tab w:val="right" w:pos="8838"/>
                  </w:tabs>
                  <w:ind w:right="-781"/>
                  <w:jc w:val="both"/>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María del Rosario Mejía Ayala</w:t>
                </w:r>
              </w:p>
              <w:p w14:paraId="7B4EE4A6" w14:textId="77777777" w:rsidR="00EA661E" w:rsidRPr="0011161D" w:rsidRDefault="00EA661E">
                <w:pPr>
                  <w:tabs>
                    <w:tab w:val="right" w:pos="8838"/>
                  </w:tabs>
                  <w:ind w:left="141" w:right="-781"/>
                  <w:jc w:val="both"/>
                  <w:rPr>
                    <w:rFonts w:ascii="Palatino Linotype" w:eastAsia="Palatino Linotype" w:hAnsi="Palatino Linotype" w:cs="Palatino Linotype"/>
                    <w:szCs w:val="18"/>
                  </w:rPr>
                </w:pPr>
              </w:p>
            </w:tc>
          </w:tr>
        </w:tbl>
        <w:p w14:paraId="423F72C9" w14:textId="77777777" w:rsidR="00EA661E" w:rsidRDefault="00EA661E">
          <w:pPr>
            <w:tabs>
              <w:tab w:val="right" w:pos="8838"/>
            </w:tabs>
            <w:ind w:left="-28"/>
            <w:jc w:val="both"/>
            <w:rPr>
              <w:rFonts w:ascii="Arial" w:eastAsia="Arial" w:hAnsi="Arial" w:cs="Arial"/>
              <w:b/>
              <w:bCs/>
              <w:sz w:val="18"/>
              <w:szCs w:val="18"/>
            </w:rPr>
          </w:pPr>
        </w:p>
      </w:tc>
    </w:tr>
  </w:tbl>
  <w:p w14:paraId="41B45931" w14:textId="77777777" w:rsidR="00EA661E" w:rsidRDefault="00AE52A2">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3B3893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065" w:type="dxa"/>
      <w:tblInd w:w="0" w:type="dxa"/>
      <w:tblLayout w:type="fixed"/>
      <w:tblLook w:val="0400" w:firstRow="0" w:lastRow="0" w:firstColumn="0" w:lastColumn="0" w:noHBand="0" w:noVBand="1"/>
    </w:tblPr>
    <w:tblGrid>
      <w:gridCol w:w="2265"/>
      <w:gridCol w:w="7800"/>
    </w:tblGrid>
    <w:tr w:rsidR="00EA661E" w14:paraId="0879B734" w14:textId="77777777">
      <w:trPr>
        <w:trHeight w:val="1435"/>
      </w:trPr>
      <w:tc>
        <w:tcPr>
          <w:tcW w:w="2265" w:type="dxa"/>
          <w:shd w:val="clear" w:color="auto" w:fill="auto"/>
        </w:tcPr>
        <w:p w14:paraId="5E1F5F4B" w14:textId="77777777" w:rsidR="00EA661E" w:rsidRDefault="00EA661E">
          <w:pPr>
            <w:tabs>
              <w:tab w:val="right" w:pos="4273"/>
            </w:tabs>
            <w:rPr>
              <w:rFonts w:ascii="Garamond" w:eastAsia="Garamond" w:hAnsi="Garamond" w:cs="Garamond"/>
              <w:sz w:val="22"/>
              <w:szCs w:val="22"/>
            </w:rPr>
          </w:pPr>
        </w:p>
      </w:tc>
      <w:tc>
        <w:tcPr>
          <w:tcW w:w="7800" w:type="dxa"/>
          <w:shd w:val="clear" w:color="auto" w:fill="auto"/>
        </w:tcPr>
        <w:tbl>
          <w:tblPr>
            <w:tblStyle w:val="a3"/>
            <w:tblW w:w="7785" w:type="dxa"/>
            <w:tblInd w:w="1164" w:type="dxa"/>
            <w:tblLayout w:type="fixed"/>
            <w:tblLook w:val="0400" w:firstRow="0" w:lastRow="0" w:firstColumn="0" w:lastColumn="0" w:noHBand="0" w:noVBand="1"/>
          </w:tblPr>
          <w:tblGrid>
            <w:gridCol w:w="2865"/>
            <w:gridCol w:w="4920"/>
          </w:tblGrid>
          <w:tr w:rsidR="00EA661E" w14:paraId="1231C51D" w14:textId="77777777" w:rsidTr="0011161D">
            <w:trPr>
              <w:trHeight w:val="144"/>
            </w:trPr>
            <w:tc>
              <w:tcPr>
                <w:tcW w:w="2865" w:type="dxa"/>
                <w:shd w:val="clear" w:color="auto" w:fill="auto"/>
              </w:tcPr>
              <w:p w14:paraId="7929D6B3" w14:textId="77777777" w:rsidR="00EA661E" w:rsidRPr="0011161D" w:rsidRDefault="00EA661E">
                <w:pPr>
                  <w:tabs>
                    <w:tab w:val="right" w:pos="8838"/>
                  </w:tabs>
                  <w:ind w:left="-264" w:right="-105" w:firstLine="195"/>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Recurso de Revisión:</w:t>
                </w:r>
              </w:p>
            </w:tc>
            <w:tc>
              <w:tcPr>
                <w:tcW w:w="4920" w:type="dxa"/>
                <w:shd w:val="clear" w:color="auto" w:fill="auto"/>
              </w:tcPr>
              <w:p w14:paraId="551E9B1F" w14:textId="77777777" w:rsidR="00EA661E" w:rsidRPr="0011161D" w:rsidRDefault="00EA661E">
                <w:pPr>
                  <w:tabs>
                    <w:tab w:val="right" w:pos="8838"/>
                  </w:tabs>
                  <w:ind w:right="-1552"/>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10268/INFOEM/IP/RR/2025</w:t>
                </w:r>
              </w:p>
            </w:tc>
          </w:tr>
          <w:tr w:rsidR="00EA661E" w14:paraId="25D2F9C7" w14:textId="77777777" w:rsidTr="0011161D">
            <w:trPr>
              <w:trHeight w:val="144"/>
            </w:trPr>
            <w:tc>
              <w:tcPr>
                <w:tcW w:w="2865" w:type="dxa"/>
                <w:shd w:val="clear" w:color="auto" w:fill="auto"/>
              </w:tcPr>
              <w:p w14:paraId="1A639CA4" w14:textId="77777777" w:rsidR="00EA661E" w:rsidRPr="0011161D" w:rsidRDefault="00EA661E">
                <w:pPr>
                  <w:tabs>
                    <w:tab w:val="right" w:pos="8838"/>
                  </w:tabs>
                  <w:ind w:left="-74" w:right="-105"/>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Recurrente:</w:t>
                </w:r>
              </w:p>
            </w:tc>
            <w:tc>
              <w:tcPr>
                <w:tcW w:w="4920" w:type="dxa"/>
                <w:shd w:val="clear" w:color="auto" w:fill="auto"/>
              </w:tcPr>
              <w:p w14:paraId="7A7CEE68" w14:textId="77777777" w:rsidR="00EA661E" w:rsidRPr="0011161D" w:rsidRDefault="00EA661E">
                <w:pPr>
                  <w:tabs>
                    <w:tab w:val="left" w:pos="3122"/>
                    <w:tab w:val="right" w:pos="8838"/>
                  </w:tabs>
                  <w:ind w:right="-1552"/>
                  <w:rPr>
                    <w:rFonts w:ascii="Palatino Linotype" w:eastAsia="Palatino Linotype" w:hAnsi="Palatino Linotype" w:cs="Palatino Linotype"/>
                    <w:szCs w:val="18"/>
                  </w:rPr>
                </w:pPr>
              </w:p>
            </w:tc>
          </w:tr>
          <w:tr w:rsidR="00EA661E" w14:paraId="03ED3641" w14:textId="77777777" w:rsidTr="0011161D">
            <w:trPr>
              <w:trHeight w:val="80"/>
            </w:trPr>
            <w:tc>
              <w:tcPr>
                <w:tcW w:w="2865" w:type="dxa"/>
                <w:shd w:val="clear" w:color="auto" w:fill="auto"/>
              </w:tcPr>
              <w:p w14:paraId="29C513A6" w14:textId="77777777" w:rsidR="00EA661E" w:rsidRPr="0011161D" w:rsidRDefault="00EA661E">
                <w:pPr>
                  <w:tabs>
                    <w:tab w:val="right" w:pos="8838"/>
                  </w:tabs>
                  <w:ind w:left="-74" w:right="-105"/>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Sujeto Obligado:</w:t>
                </w:r>
              </w:p>
            </w:tc>
            <w:tc>
              <w:tcPr>
                <w:tcW w:w="4920" w:type="dxa"/>
                <w:shd w:val="clear" w:color="auto" w:fill="auto"/>
              </w:tcPr>
              <w:p w14:paraId="088F7E4E" w14:textId="77777777" w:rsidR="00EA661E" w:rsidRPr="0011161D" w:rsidRDefault="00EA661E">
                <w:pPr>
                  <w:tabs>
                    <w:tab w:val="left" w:pos="2834"/>
                    <w:tab w:val="right" w:pos="8838"/>
                  </w:tabs>
                  <w:ind w:right="-1552"/>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Ayuntamiento de Atlacomulco</w:t>
                </w:r>
              </w:p>
            </w:tc>
          </w:tr>
          <w:tr w:rsidR="00EA661E" w14:paraId="2F11C8C4" w14:textId="77777777" w:rsidTr="0011161D">
            <w:trPr>
              <w:trHeight w:val="283"/>
            </w:trPr>
            <w:tc>
              <w:tcPr>
                <w:tcW w:w="2865" w:type="dxa"/>
                <w:shd w:val="clear" w:color="auto" w:fill="auto"/>
              </w:tcPr>
              <w:p w14:paraId="3E470CC4" w14:textId="77777777" w:rsidR="00EA661E" w:rsidRPr="0011161D" w:rsidRDefault="00EA661E" w:rsidP="0011161D">
                <w:pPr>
                  <w:tabs>
                    <w:tab w:val="right" w:pos="8838"/>
                  </w:tabs>
                  <w:ind w:left="-85" w:right="-105"/>
                  <w:rPr>
                    <w:rFonts w:ascii="Palatino Linotype" w:eastAsia="Palatino Linotype" w:hAnsi="Palatino Linotype" w:cs="Palatino Linotype"/>
                    <w:b/>
                    <w:bCs/>
                    <w:szCs w:val="18"/>
                  </w:rPr>
                </w:pPr>
                <w:r w:rsidRPr="0011161D">
                  <w:rPr>
                    <w:rFonts w:ascii="Palatino Linotype" w:eastAsia="Palatino Linotype" w:hAnsi="Palatino Linotype" w:cs="Palatino Linotype"/>
                    <w:b/>
                    <w:bCs/>
                    <w:szCs w:val="18"/>
                  </w:rPr>
                  <w:t>Comisionada ponente:</w:t>
                </w:r>
              </w:p>
            </w:tc>
            <w:tc>
              <w:tcPr>
                <w:tcW w:w="4920" w:type="dxa"/>
                <w:shd w:val="clear" w:color="auto" w:fill="auto"/>
              </w:tcPr>
              <w:p w14:paraId="46C19B09" w14:textId="77777777" w:rsidR="00EA661E" w:rsidRPr="0011161D" w:rsidRDefault="00EA661E">
                <w:pPr>
                  <w:tabs>
                    <w:tab w:val="right" w:pos="8838"/>
                  </w:tabs>
                  <w:ind w:right="-1552"/>
                  <w:rPr>
                    <w:rFonts w:ascii="Palatino Linotype" w:eastAsia="Palatino Linotype" w:hAnsi="Palatino Linotype" w:cs="Palatino Linotype"/>
                    <w:szCs w:val="18"/>
                  </w:rPr>
                </w:pPr>
                <w:r w:rsidRPr="0011161D">
                  <w:rPr>
                    <w:rFonts w:ascii="Palatino Linotype" w:eastAsia="Palatino Linotype" w:hAnsi="Palatino Linotype" w:cs="Palatino Linotype"/>
                    <w:szCs w:val="18"/>
                  </w:rPr>
                  <w:t>María del Rosario Mejía Ayala</w:t>
                </w:r>
              </w:p>
              <w:p w14:paraId="0C658E53" w14:textId="77777777" w:rsidR="00EA661E" w:rsidRPr="0011161D" w:rsidRDefault="00EA661E">
                <w:pPr>
                  <w:tabs>
                    <w:tab w:val="right" w:pos="8838"/>
                  </w:tabs>
                  <w:ind w:right="-1552"/>
                  <w:rPr>
                    <w:rFonts w:ascii="Palatino Linotype" w:eastAsia="Palatino Linotype" w:hAnsi="Palatino Linotype" w:cs="Palatino Linotype"/>
                    <w:szCs w:val="18"/>
                  </w:rPr>
                </w:pPr>
              </w:p>
            </w:tc>
          </w:tr>
        </w:tbl>
        <w:p w14:paraId="584FCD09" w14:textId="77777777" w:rsidR="00EA661E" w:rsidRDefault="00EA661E">
          <w:pPr>
            <w:tabs>
              <w:tab w:val="right" w:pos="8838"/>
            </w:tabs>
            <w:ind w:left="-28"/>
            <w:jc w:val="both"/>
            <w:rPr>
              <w:rFonts w:ascii="Arial" w:eastAsia="Arial" w:hAnsi="Arial" w:cs="Arial"/>
              <w:b/>
              <w:bCs/>
              <w:sz w:val="22"/>
              <w:szCs w:val="22"/>
            </w:rPr>
          </w:pPr>
        </w:p>
      </w:tc>
    </w:tr>
  </w:tbl>
  <w:p w14:paraId="4075ECB4" w14:textId="77777777" w:rsidR="00EA661E" w:rsidRDefault="00AE52A2">
    <w:pPr>
      <w:pBdr>
        <w:top w:val="nil"/>
        <w:left w:val="nil"/>
        <w:bottom w:val="nil"/>
        <w:right w:val="nil"/>
        <w:between w:val="nil"/>
      </w:pBdr>
      <w:tabs>
        <w:tab w:val="center" w:pos="4419"/>
        <w:tab w:val="right" w:pos="8838"/>
      </w:tabs>
      <w:rPr>
        <w:color w:val="000000"/>
        <w:sz w:val="2"/>
        <w:szCs w:val="2"/>
      </w:rPr>
    </w:pPr>
    <w:r>
      <w:rPr>
        <w:color w:val="000000"/>
        <w:sz w:val="2"/>
        <w:szCs w:val="2"/>
      </w:rPr>
      <w:pict w14:anchorId="0470A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E406B"/>
    <w:multiLevelType w:val="multilevel"/>
    <w:tmpl w:val="F70E779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A20872"/>
    <w:multiLevelType w:val="multilevel"/>
    <w:tmpl w:val="61AA499E"/>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E47F19"/>
    <w:multiLevelType w:val="multilevel"/>
    <w:tmpl w:val="616E1CE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2238CB"/>
    <w:multiLevelType w:val="hybridMultilevel"/>
    <w:tmpl w:val="CD3E5CD2"/>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6" w15:restartNumberingAfterBreak="0">
    <w:nsid w:val="6531640B"/>
    <w:multiLevelType w:val="multilevel"/>
    <w:tmpl w:val="D26E77E4"/>
    <w:lvl w:ilvl="0">
      <w:start w:val="26"/>
      <w:numFmt w:val="decimal"/>
      <w:lvlText w:val="%1."/>
      <w:lvlJc w:val="left"/>
      <w:pPr>
        <w:ind w:left="360" w:hanging="360"/>
      </w:pPr>
      <w:rPr>
        <w:rFonts w:hint="default"/>
        <w:b/>
        <w:bCs/>
        <w:i w:val="0"/>
        <w:i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A4A6CEA"/>
    <w:multiLevelType w:val="multilevel"/>
    <w:tmpl w:val="1F20740C"/>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48553ED"/>
    <w:multiLevelType w:val="multilevel"/>
    <w:tmpl w:val="6A44154C"/>
    <w:lvl w:ilvl="0">
      <w:start w:val="34"/>
      <w:numFmt w:val="decimal"/>
      <w:lvlText w:val="%1."/>
      <w:lvlJc w:val="left"/>
      <w:pPr>
        <w:ind w:left="1211" w:hanging="360"/>
      </w:pPr>
      <w:rPr>
        <w:rFonts w:hint="default"/>
        <w:b/>
        <w:i w:val="0"/>
        <w:color w:val="000000"/>
        <w:sz w:val="24"/>
        <w:szCs w:val="24"/>
      </w:rPr>
    </w:lvl>
    <w:lvl w:ilvl="1">
      <w:start w:val="1"/>
      <w:numFmt w:val="lowerLetter"/>
      <w:lvlText w:val="%2."/>
      <w:lvlJc w:val="left"/>
      <w:pPr>
        <w:ind w:left="1440" w:hanging="360"/>
      </w:pPr>
      <w:rPr>
        <w:rFonts w:hint="default"/>
      </w:rPr>
    </w:lvl>
    <w:lvl w:ilvl="2">
      <w:numFmt w:val="bullet"/>
      <w:lvlText w:val="•"/>
      <w:lvlJc w:val="left"/>
      <w:pPr>
        <w:ind w:left="2340" w:hanging="360"/>
      </w:pPr>
      <w:rPr>
        <w:rFonts w:ascii="Palatino Linotype" w:eastAsia="Palatino Linotype" w:hAnsi="Palatino Linotype" w:cs="Palatino Linotype"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7"/>
  </w:num>
  <w:num w:numId="2">
    <w:abstractNumId w:val="2"/>
  </w:num>
  <w:num w:numId="3">
    <w:abstractNumId w:val="4"/>
  </w:num>
  <w:num w:numId="4">
    <w:abstractNumId w:val="0"/>
  </w:num>
  <w:num w:numId="5">
    <w:abstractNumId w:val="5"/>
  </w:num>
  <w:num w:numId="6">
    <w:abstractNumId w:val="6"/>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E9"/>
    <w:rsid w:val="0011161D"/>
    <w:rsid w:val="00262D7B"/>
    <w:rsid w:val="003C0636"/>
    <w:rsid w:val="006042AC"/>
    <w:rsid w:val="007E082D"/>
    <w:rsid w:val="00A010E9"/>
    <w:rsid w:val="00AE52A2"/>
    <w:rsid w:val="00B84253"/>
    <w:rsid w:val="00BB5AE3"/>
    <w:rsid w:val="00C02B7C"/>
    <w:rsid w:val="00EA661E"/>
    <w:rsid w:val="00F2618E"/>
    <w:rsid w:val="00FA65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6CBD25"/>
  <w15:docId w15:val="{49BE5540-9BDC-41F8-8B2C-20F2775A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A661E"/>
    <w:pPr>
      <w:ind w:left="720"/>
      <w:contextualSpacing/>
    </w:pPr>
    <w:rPr>
      <w:rFonts w:asciiTheme="minorHAnsi" w:eastAsiaTheme="minorEastAsia" w:hAnsiTheme="minorHAnsi" w:cstheme="minorBidi"/>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A661E"/>
    <w:rPr>
      <w:rFonts w:asciiTheme="minorHAnsi" w:eastAsiaTheme="minorEastAsia" w:hAnsiTheme="minorHAnsi" w:cstheme="minorBidi"/>
      <w:lang w:val="es-ES_tradnl" w:eastAsia="es-ES"/>
    </w:rPr>
  </w:style>
  <w:style w:type="paragraph" w:styleId="Piedepgina">
    <w:name w:val="footer"/>
    <w:basedOn w:val="Normal"/>
    <w:link w:val="PiedepginaCar"/>
    <w:uiPriority w:val="99"/>
    <w:unhideWhenUsed/>
    <w:rsid w:val="006042AC"/>
    <w:pPr>
      <w:tabs>
        <w:tab w:val="center" w:pos="4419"/>
        <w:tab w:val="right" w:pos="8838"/>
      </w:tabs>
    </w:pPr>
  </w:style>
  <w:style w:type="character" w:customStyle="1" w:styleId="PiedepginaCar">
    <w:name w:val="Pie de página Car"/>
    <w:basedOn w:val="Fuentedeprrafopredeter"/>
    <w:link w:val="Piedepgina"/>
    <w:uiPriority w:val="99"/>
    <w:rsid w:val="00604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29383.page"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37559.pa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aimex.org.mx/saimex/solicitud/downloadAttach/2529385.pag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imex.org.mx/saimex/solicitud/downloadAttach/2529384.page"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abAiKp4hlmSqnGufowyhRhlJNw==">CgMxLjAyDmguZXV2cTk1Z2JlM2MyMgloLjN6bnlzaDcyCWguM2R5NnZrbTIOaC5zZzY5cGpmdXNjejYyCWguMzBqMHpsbDIOaC5pbGk3bGs0N2oyZTEyDmguNWVuOGNha3g3bWl3Mg5oLmV3Yzh6dTV3eTAzejgAciExSWNVUm1Lam4xTDlPdHU5RzVIVmhRME5QSnJaMjk0VGo=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9540</Words>
  <Characters>52471</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INFOEM-434</dc:creator>
  <cp:lastModifiedBy>Cuenta Microsoft</cp:lastModifiedBy>
  <cp:revision>4</cp:revision>
  <dcterms:created xsi:type="dcterms:W3CDTF">2026-04-21T00:31:00Z</dcterms:created>
  <dcterms:modified xsi:type="dcterms:W3CDTF">2026-04-30T00:32:00Z</dcterms:modified>
</cp:coreProperties>
</file>