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375" w:rsidRDefault="00ED6F59">
      <w:pPr>
        <w:spacing w:line="360" w:lineRule="auto"/>
        <w:ind w:right="-876"/>
        <w:jc w:val="both"/>
        <w:rPr>
          <w:rFonts w:ascii="Palatino Linotype" w:eastAsia="Palatino Linotype" w:hAnsi="Palatino Linotype" w:cs="Palatino Linotype"/>
          <w:sz w:val="24"/>
          <w:szCs w:val="24"/>
        </w:rPr>
      </w:pPr>
      <w:bookmarkStart w:id="0" w:name="_heading=h.lszr0b2gghl5" w:colFirst="0" w:colLast="0"/>
      <w:bookmarkStart w:id="1" w:name="_GoBack"/>
      <w:bookmarkEnd w:id="0"/>
      <w:bookmarkEnd w:id="1"/>
      <w:r>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de fecha </w:t>
      </w:r>
      <w:r w:rsidR="009C1FF1">
        <w:rPr>
          <w:rFonts w:ascii="Palatino Linotype" w:eastAsia="Palatino Linotype" w:hAnsi="Palatino Linotype" w:cs="Palatino Linotype"/>
          <w:b/>
          <w:bCs/>
          <w:sz w:val="24"/>
          <w:szCs w:val="24"/>
        </w:rPr>
        <w:t>veintisiete</w:t>
      </w:r>
      <w:r w:rsidR="00B53F7A">
        <w:rPr>
          <w:rFonts w:ascii="Palatino Linotype" w:eastAsia="Palatino Linotype" w:hAnsi="Palatino Linotype" w:cs="Palatino Linotype"/>
          <w:b/>
          <w:bCs/>
          <w:sz w:val="24"/>
          <w:szCs w:val="24"/>
        </w:rPr>
        <w:t xml:space="preserve"> (27)</w:t>
      </w:r>
      <w:r w:rsidR="009C1FF1">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de mayo de dos mil veintiséis.</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spacing w:line="360" w:lineRule="auto"/>
        <w:ind w:right="-876"/>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VISTO</w:t>
      </w:r>
      <w:r>
        <w:rPr>
          <w:rFonts w:ascii="Palatino Linotype" w:eastAsia="Palatino Linotype" w:hAnsi="Palatino Linotype" w:cs="Palatino Linotype"/>
          <w:sz w:val="24"/>
          <w:szCs w:val="24"/>
        </w:rPr>
        <w:t xml:space="preserve"> el expediente electrónico formado con motivo del recurso de revisión</w:t>
      </w:r>
      <w:r>
        <w:rPr>
          <w:rFonts w:ascii="Palatino Linotype" w:eastAsia="Palatino Linotype" w:hAnsi="Palatino Linotype" w:cs="Palatino Linotype"/>
          <w:b/>
          <w:bCs/>
          <w:sz w:val="24"/>
          <w:szCs w:val="24"/>
        </w:rPr>
        <w:t xml:space="preserve">     03863/INFOEM/IP/RR/2026, </w:t>
      </w:r>
      <w:r>
        <w:rPr>
          <w:rFonts w:ascii="Palatino Linotype" w:eastAsia="Palatino Linotype" w:hAnsi="Palatino Linotype" w:cs="Palatino Linotype"/>
          <w:sz w:val="24"/>
          <w:szCs w:val="24"/>
        </w:rPr>
        <w:t>promovido por</w:t>
      </w:r>
      <w:r>
        <w:rPr>
          <w:rFonts w:ascii="Palatino Linotype" w:eastAsia="Palatino Linotype" w:hAnsi="Palatino Linotype" w:cs="Palatino Linotype"/>
          <w:b/>
          <w:bCs/>
          <w:color w:val="FF0000"/>
          <w:sz w:val="24"/>
          <w:szCs w:val="24"/>
        </w:rPr>
        <w:t xml:space="preserve"> </w:t>
      </w:r>
      <w:r>
        <w:rPr>
          <w:rFonts w:ascii="Palatino Linotype" w:eastAsia="Palatino Linotype" w:hAnsi="Palatino Linotype" w:cs="Palatino Linotype"/>
          <w:b/>
          <w:bCs/>
          <w:sz w:val="24"/>
          <w:szCs w:val="24"/>
        </w:rPr>
        <w:t xml:space="preserve">una persona que no proporcionó datos de identificación </w:t>
      </w:r>
      <w:r>
        <w:rPr>
          <w:rFonts w:ascii="Palatino Linotype" w:eastAsia="Palatino Linotype" w:hAnsi="Palatino Linotype" w:cs="Palatino Linotype"/>
          <w:sz w:val="24"/>
          <w:szCs w:val="24"/>
        </w:rPr>
        <w:t xml:space="preserve">y a quien en lo sucesivo se identificará como </w:t>
      </w:r>
      <w:r>
        <w:rPr>
          <w:rFonts w:ascii="Palatino Linotype" w:eastAsia="Palatino Linotype" w:hAnsi="Palatino Linotype" w:cs="Palatino Linotype"/>
          <w:b/>
          <w:bCs/>
          <w:sz w:val="24"/>
          <w:szCs w:val="24"/>
        </w:rPr>
        <w:t>EL RECURRENTE</w:t>
      </w:r>
      <w:r>
        <w:rPr>
          <w:rFonts w:ascii="Palatino Linotype" w:eastAsia="Palatino Linotype" w:hAnsi="Palatino Linotype" w:cs="Palatino Linotype"/>
          <w:sz w:val="24"/>
          <w:szCs w:val="24"/>
        </w:rPr>
        <w:t xml:space="preserve">, en contra de la respuesta del </w:t>
      </w:r>
      <w:r>
        <w:rPr>
          <w:rFonts w:ascii="Palatino Linotype" w:eastAsia="Palatino Linotype" w:hAnsi="Palatino Linotype" w:cs="Palatino Linotype"/>
          <w:b/>
          <w:bCs/>
          <w:sz w:val="24"/>
          <w:szCs w:val="24"/>
        </w:rPr>
        <w:t xml:space="preserve">Ayuntamiento de Cuautitlán Izcalli, </w:t>
      </w:r>
      <w:r>
        <w:rPr>
          <w:rFonts w:ascii="Palatino Linotype" w:eastAsia="Palatino Linotype" w:hAnsi="Palatino Linotype" w:cs="Palatino Linotype"/>
          <w:sz w:val="24"/>
          <w:szCs w:val="24"/>
        </w:rPr>
        <w:t>en adelante el</w:t>
      </w:r>
      <w:r>
        <w:rPr>
          <w:rFonts w:ascii="Palatino Linotype" w:eastAsia="Palatino Linotype" w:hAnsi="Palatino Linotype" w:cs="Palatino Linotype"/>
          <w:b/>
          <w:bCs/>
          <w:sz w:val="24"/>
          <w:szCs w:val="24"/>
        </w:rPr>
        <w:t xml:space="preserve"> SUJETO OBLIGADO</w:t>
      </w:r>
      <w:r>
        <w:rPr>
          <w:rFonts w:ascii="Palatino Linotype" w:eastAsia="Palatino Linotype" w:hAnsi="Palatino Linotype" w:cs="Palatino Linotype"/>
          <w:sz w:val="24"/>
          <w:szCs w:val="24"/>
        </w:rPr>
        <w:t>, por lo que se procede a dictar la presente resolución, con base en los siguientes:</w:t>
      </w:r>
    </w:p>
    <w:p w:rsidR="00B31375" w:rsidRDefault="00B31375">
      <w:pPr>
        <w:spacing w:line="360" w:lineRule="auto"/>
        <w:ind w:right="-876"/>
        <w:jc w:val="both"/>
        <w:rPr>
          <w:rFonts w:ascii="Palatino Linotype" w:eastAsia="Palatino Linotype" w:hAnsi="Palatino Linotype" w:cs="Palatino Linotype"/>
          <w:b/>
          <w:bCs/>
          <w:sz w:val="24"/>
          <w:szCs w:val="24"/>
        </w:rPr>
      </w:pPr>
    </w:p>
    <w:p w:rsidR="00B31375" w:rsidRDefault="00ED6F59">
      <w:pPr>
        <w:keepNext/>
        <w:keepLines/>
        <w:spacing w:line="360" w:lineRule="auto"/>
        <w:ind w:right="-876"/>
        <w:jc w:val="center"/>
        <w:rPr>
          <w:rFonts w:ascii="Palatino Linotype" w:eastAsia="Palatino Linotype" w:hAnsi="Palatino Linotype" w:cs="Palatino Linotype"/>
          <w:b/>
          <w:bCs/>
          <w:sz w:val="24"/>
          <w:szCs w:val="24"/>
        </w:rPr>
      </w:pPr>
      <w:bookmarkStart w:id="2" w:name="_heading=h.gjdgxs" w:colFirst="0" w:colLast="0"/>
      <w:bookmarkEnd w:id="2"/>
      <w:r>
        <w:rPr>
          <w:rFonts w:ascii="Palatino Linotype" w:eastAsia="Palatino Linotype" w:hAnsi="Palatino Linotype" w:cs="Palatino Linotype"/>
          <w:b/>
          <w:bCs/>
          <w:sz w:val="24"/>
          <w:szCs w:val="24"/>
        </w:rPr>
        <w:t>A</w:t>
      </w:r>
      <w:r w:rsidR="00B53F7A">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N</w:t>
      </w:r>
      <w:r w:rsidR="00B53F7A">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T</w:t>
      </w:r>
      <w:r w:rsidR="00B53F7A">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E</w:t>
      </w:r>
      <w:r w:rsidR="00B53F7A">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C</w:t>
      </w:r>
      <w:r w:rsidR="00B53F7A">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E</w:t>
      </w:r>
      <w:r w:rsidR="00B53F7A">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D</w:t>
      </w:r>
      <w:r w:rsidR="00B53F7A">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E</w:t>
      </w:r>
      <w:r w:rsidR="00B53F7A">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N</w:t>
      </w:r>
      <w:r w:rsidR="00B53F7A">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T</w:t>
      </w:r>
      <w:r w:rsidR="00B53F7A">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E</w:t>
      </w:r>
      <w:r w:rsidR="00B53F7A">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b/>
          <w:bCs/>
          <w:sz w:val="24"/>
          <w:szCs w:val="24"/>
        </w:rPr>
        <w:t>S</w:t>
      </w:r>
    </w:p>
    <w:p w:rsidR="00B31375" w:rsidRDefault="00B31375">
      <w:pPr>
        <w:keepNext/>
        <w:keepLines/>
        <w:spacing w:line="360" w:lineRule="auto"/>
        <w:ind w:right="-876"/>
        <w:jc w:val="center"/>
        <w:rPr>
          <w:rFonts w:ascii="Palatino Linotype" w:eastAsia="Palatino Linotype" w:hAnsi="Palatino Linotype" w:cs="Palatino Linotype"/>
          <w:b/>
          <w:bCs/>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seis de abril de dos mil veintiséis</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b/>
          <w:bCs/>
          <w:sz w:val="24"/>
          <w:szCs w:val="24"/>
        </w:rPr>
        <w:t>EL RECURRENTE,</w:t>
      </w:r>
      <w:r>
        <w:rPr>
          <w:rFonts w:ascii="Palatino Linotype" w:eastAsia="Palatino Linotype" w:hAnsi="Palatino Linotype" w:cs="Palatino Linotype"/>
          <w:sz w:val="24"/>
          <w:szCs w:val="24"/>
        </w:rPr>
        <w:t xml:space="preserve"> ante el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vía Sistema de Acceso a la Información Mexiquense (</w:t>
      </w:r>
      <w:r>
        <w:rPr>
          <w:rFonts w:ascii="Palatino Linotype" w:eastAsia="Palatino Linotype" w:hAnsi="Palatino Linotype" w:cs="Palatino Linotype"/>
          <w:b/>
          <w:bCs/>
          <w:sz w:val="24"/>
          <w:szCs w:val="24"/>
        </w:rPr>
        <w:t>SAIMEX)</w:t>
      </w:r>
      <w:r>
        <w:rPr>
          <w:rFonts w:ascii="Palatino Linotype" w:eastAsia="Palatino Linotype" w:hAnsi="Palatino Linotype" w:cs="Palatino Linotype"/>
          <w:sz w:val="24"/>
          <w:szCs w:val="24"/>
        </w:rPr>
        <w:t>,presentó la solicitud de información registrada con el número</w:t>
      </w:r>
      <w:r>
        <w:rPr>
          <w:rFonts w:ascii="Palatino Linotype" w:eastAsia="Palatino Linotype" w:hAnsi="Palatino Linotype" w:cs="Palatino Linotype"/>
          <w:b/>
          <w:bCs/>
          <w:sz w:val="24"/>
          <w:szCs w:val="24"/>
        </w:rPr>
        <w:t xml:space="preserve"> 00134/CUAUTIZC/IP/2026, </w:t>
      </w:r>
      <w:r>
        <w:rPr>
          <w:rFonts w:ascii="Palatino Linotype" w:eastAsia="Palatino Linotype" w:hAnsi="Palatino Linotype" w:cs="Palatino Linotype"/>
          <w:sz w:val="24"/>
          <w:szCs w:val="24"/>
        </w:rPr>
        <w:t>en la que solicitó lo siguiente:</w:t>
      </w:r>
    </w:p>
    <w:p w:rsidR="00B31375" w:rsidRDefault="00B31375">
      <w:pPr>
        <w:pBdr>
          <w:top w:val="nil"/>
          <w:left w:val="nil"/>
          <w:bottom w:val="nil"/>
          <w:right w:val="nil"/>
          <w:between w:val="nil"/>
        </w:pBdr>
        <w:spacing w:line="360" w:lineRule="auto"/>
        <w:ind w:left="1069" w:right="-876"/>
        <w:jc w:val="both"/>
        <w:rPr>
          <w:rFonts w:ascii="Palatino Linotype" w:eastAsia="Palatino Linotype" w:hAnsi="Palatino Linotype" w:cs="Palatino Linotype"/>
          <w:i/>
          <w:iCs/>
          <w:color w:val="000000"/>
          <w:sz w:val="24"/>
          <w:szCs w:val="24"/>
        </w:rPr>
      </w:pPr>
    </w:p>
    <w:p w:rsidR="00B31375" w:rsidRDefault="00ED6F59">
      <w:pPr>
        <w:pBdr>
          <w:top w:val="nil"/>
          <w:left w:val="nil"/>
          <w:bottom w:val="nil"/>
          <w:right w:val="nil"/>
          <w:between w:val="nil"/>
        </w:pBdr>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r>
        <w:rPr>
          <w:rFonts w:ascii="Palatino Linotype" w:eastAsia="Palatino Linotype" w:hAnsi="Palatino Linotype" w:cs="Palatino Linotype"/>
          <w:i/>
          <w:iCs/>
          <w:color w:val="000000"/>
          <w:sz w:val="24"/>
          <w:szCs w:val="24"/>
        </w:rPr>
        <w:tab/>
        <w:t xml:space="preserve">¿Cuánto cobro cada banda que se va a presentar en el festival arte, queso y vino 2026?” (Sic) </w:t>
      </w:r>
    </w:p>
    <w:p w:rsidR="00B31375" w:rsidRDefault="00B31375">
      <w:pPr>
        <w:pBdr>
          <w:top w:val="nil"/>
          <w:left w:val="nil"/>
          <w:bottom w:val="nil"/>
          <w:right w:val="nil"/>
          <w:between w:val="nil"/>
        </w:pBdr>
        <w:ind w:left="567" w:right="-876"/>
        <w:jc w:val="both"/>
        <w:rPr>
          <w:rFonts w:ascii="Palatino Linotype" w:eastAsia="Palatino Linotype" w:hAnsi="Palatino Linotype" w:cs="Palatino Linotype"/>
          <w:i/>
          <w:iCs/>
          <w:sz w:val="24"/>
          <w:szCs w:val="24"/>
        </w:rPr>
      </w:pPr>
    </w:p>
    <w:p w:rsidR="00B31375" w:rsidRDefault="00B31375">
      <w:pPr>
        <w:pBdr>
          <w:top w:val="nil"/>
          <w:left w:val="nil"/>
          <w:bottom w:val="nil"/>
          <w:right w:val="nil"/>
          <w:between w:val="nil"/>
        </w:pBdr>
        <w:ind w:left="567" w:right="-876"/>
        <w:jc w:val="both"/>
        <w:rPr>
          <w:rFonts w:ascii="Palatino Linotype" w:eastAsia="Palatino Linotype" w:hAnsi="Palatino Linotype" w:cs="Palatino Linotype"/>
          <w:i/>
          <w:iCs/>
          <w:sz w:val="24"/>
          <w:szCs w:val="24"/>
        </w:rPr>
      </w:pPr>
    </w:p>
    <w:p w:rsidR="00B31375" w:rsidRDefault="00ED6F59">
      <w:pPr>
        <w:numPr>
          <w:ilvl w:val="0"/>
          <w:numId w:val="7"/>
        </w:num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Modalidad de entrega: </w:t>
      </w:r>
      <w:r>
        <w:rPr>
          <w:rFonts w:ascii="Palatino Linotype" w:eastAsia="Palatino Linotype" w:hAnsi="Palatino Linotype" w:cs="Palatino Linotype"/>
          <w:b/>
          <w:bCs/>
          <w:sz w:val="24"/>
          <w:szCs w:val="24"/>
        </w:rPr>
        <w:t>Vía SAIMEX.</w:t>
      </w:r>
    </w:p>
    <w:p w:rsidR="00B31375" w:rsidRDefault="00B31375">
      <w:pPr>
        <w:spacing w:line="360" w:lineRule="auto"/>
        <w:ind w:left="1146" w:right="-876"/>
        <w:jc w:val="both"/>
        <w:rPr>
          <w:rFonts w:ascii="Palatino Linotype" w:eastAsia="Palatino Linotype" w:hAnsi="Palatino Linotype" w:cs="Palatino Linotype"/>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 xml:space="preserve">ocho de abril de dos mil veintiséis, </w:t>
      </w: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SUJETO O</w:t>
      </w:r>
      <w:r>
        <w:rPr>
          <w:rFonts w:ascii="Palatino Linotype" w:eastAsia="Palatino Linotype" w:hAnsi="Palatino Linotype" w:cs="Palatino Linotype"/>
          <w:sz w:val="24"/>
          <w:szCs w:val="24"/>
        </w:rPr>
        <w:t>B</w:t>
      </w:r>
      <w:r>
        <w:rPr>
          <w:rFonts w:ascii="Palatino Linotype" w:eastAsia="Palatino Linotype" w:hAnsi="Palatino Linotype" w:cs="Palatino Linotype"/>
          <w:b/>
          <w:bCs/>
          <w:sz w:val="24"/>
          <w:szCs w:val="24"/>
        </w:rPr>
        <w:t xml:space="preserve">LIGADO </w:t>
      </w:r>
      <w:r>
        <w:rPr>
          <w:rFonts w:ascii="Palatino Linotype" w:eastAsia="Palatino Linotype" w:hAnsi="Palatino Linotype" w:cs="Palatino Linotype"/>
          <w:sz w:val="24"/>
          <w:szCs w:val="24"/>
        </w:rPr>
        <w:t xml:space="preserve">dio </w:t>
      </w:r>
      <w:r>
        <w:rPr>
          <w:rFonts w:ascii="Palatino Linotype" w:eastAsia="Palatino Linotype" w:hAnsi="Palatino Linotype" w:cs="Palatino Linotype"/>
          <w:b/>
          <w:bCs/>
          <w:sz w:val="24"/>
          <w:szCs w:val="24"/>
        </w:rPr>
        <w:t>RESPUESTA</w:t>
      </w:r>
      <w:r>
        <w:rPr>
          <w:rFonts w:ascii="Palatino Linotype" w:eastAsia="Palatino Linotype" w:hAnsi="Palatino Linotype" w:cs="Palatino Linotype"/>
          <w:sz w:val="24"/>
          <w:szCs w:val="24"/>
        </w:rPr>
        <w:t xml:space="preserve"> a través de los archivos siguientes:</w:t>
      </w:r>
    </w:p>
    <w:p w:rsidR="00B31375" w:rsidRDefault="00ED6F59">
      <w:pPr>
        <w:numPr>
          <w:ilvl w:val="0"/>
          <w:numId w:val="6"/>
        </w:numPr>
        <w:pBdr>
          <w:top w:val="nil"/>
          <w:left w:val="nil"/>
          <w:bottom w:val="nil"/>
          <w:right w:val="nil"/>
          <w:between w:val="nil"/>
        </w:pBdr>
        <w:ind w:left="709" w:right="-876"/>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lastRenderedPageBreak/>
        <w:t xml:space="preserve">RESPUESTA 00134.pdf: </w:t>
      </w:r>
      <w:r>
        <w:rPr>
          <w:rFonts w:ascii="Palatino Linotype" w:eastAsia="Palatino Linotype" w:hAnsi="Palatino Linotype" w:cs="Palatino Linotype"/>
          <w:color w:val="000000"/>
          <w:sz w:val="24"/>
          <w:szCs w:val="24"/>
        </w:rPr>
        <w:t xml:space="preserve">Oficio firmado por el Servidor Público Habilitado, de la Dirección de Administración, por el que informó que, dentro del ámbito de competencia y derivado de una búsqueda exhaustiva y minuciosa en los archivos y bases de esa Dirección, a la fecha de la recepción de la solicitud no se ha generado información en relación a lo solicitado. </w:t>
      </w:r>
    </w:p>
    <w:p w:rsidR="00B31375" w:rsidRDefault="00B31375">
      <w:pPr>
        <w:pBdr>
          <w:top w:val="nil"/>
          <w:left w:val="nil"/>
          <w:bottom w:val="nil"/>
          <w:right w:val="nil"/>
          <w:between w:val="nil"/>
        </w:pBdr>
        <w:spacing w:after="160"/>
        <w:ind w:left="851" w:right="-876"/>
        <w:jc w:val="both"/>
        <w:rPr>
          <w:rFonts w:ascii="Palatino Linotype" w:eastAsia="Palatino Linotype" w:hAnsi="Palatino Linotype" w:cs="Palatino Linotype"/>
          <w:color w:val="000000"/>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Inconforme con lo anterior, el </w:t>
      </w:r>
      <w:r>
        <w:rPr>
          <w:rFonts w:ascii="Palatino Linotype" w:eastAsia="Palatino Linotype" w:hAnsi="Palatino Linotype" w:cs="Palatino Linotype"/>
          <w:b/>
          <w:bCs/>
          <w:sz w:val="24"/>
          <w:szCs w:val="24"/>
        </w:rPr>
        <w:t>trece de abril de dos mil veintiséis</w:t>
      </w:r>
      <w:r>
        <w:rPr>
          <w:rFonts w:ascii="Palatino Linotype" w:eastAsia="Palatino Linotype" w:hAnsi="Palatino Linotype" w:cs="Palatino Linotype"/>
          <w:sz w:val="24"/>
          <w:szCs w:val="24"/>
        </w:rPr>
        <w:t xml:space="preserve">,  el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 xml:space="preserve">interpuso recurso de revisión, arguyendo como </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numPr>
          <w:ilvl w:val="0"/>
          <w:numId w:val="1"/>
        </w:numPr>
        <w:pBdr>
          <w:top w:val="nil"/>
          <w:left w:val="nil"/>
          <w:bottom w:val="nil"/>
          <w:right w:val="nil"/>
          <w:between w:val="nil"/>
        </w:pBdr>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Acto impugnado</w:t>
      </w:r>
      <w:r>
        <w:rPr>
          <w:rFonts w:ascii="Palatino Linotype" w:eastAsia="Palatino Linotype" w:hAnsi="Palatino Linotype" w:cs="Palatino Linotype"/>
          <w:b/>
          <w:bCs/>
          <w:i/>
          <w:iCs/>
          <w:color w:val="000000"/>
          <w:sz w:val="24"/>
          <w:szCs w:val="24"/>
        </w:rPr>
        <w:t>:</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i/>
          <w:iCs/>
          <w:color w:val="000000"/>
          <w:sz w:val="24"/>
          <w:szCs w:val="24"/>
        </w:rPr>
        <w:t>“Niegan la información, no es posible que para un evento de esa magnitud, no se hayan generado contratos con Sabino o Ximena Sariñana o las demás bandas que se estuvieron presentando durante todo el Festival. Dudo que hayan participado de forma gratuita” (sic)</w:t>
      </w:r>
    </w:p>
    <w:p w:rsidR="00B31375" w:rsidRDefault="00B31375">
      <w:pPr>
        <w:pBdr>
          <w:top w:val="nil"/>
          <w:left w:val="nil"/>
          <w:bottom w:val="nil"/>
          <w:right w:val="nil"/>
          <w:between w:val="nil"/>
        </w:pBdr>
        <w:spacing w:line="360" w:lineRule="auto"/>
        <w:ind w:left="720" w:right="-876"/>
        <w:jc w:val="both"/>
        <w:rPr>
          <w:rFonts w:ascii="Palatino Linotype" w:eastAsia="Palatino Linotype" w:hAnsi="Palatino Linotype" w:cs="Palatino Linotype"/>
          <w:color w:val="000000"/>
          <w:sz w:val="24"/>
          <w:szCs w:val="24"/>
        </w:rPr>
      </w:pPr>
    </w:p>
    <w:p w:rsidR="00B31375" w:rsidRDefault="00ED6F59">
      <w:pPr>
        <w:numPr>
          <w:ilvl w:val="0"/>
          <w:numId w:val="2"/>
        </w:numPr>
        <w:pBdr>
          <w:top w:val="nil"/>
          <w:left w:val="nil"/>
          <w:bottom w:val="nil"/>
          <w:right w:val="nil"/>
          <w:between w:val="nil"/>
        </w:pBdr>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Razones o Motivos de inconformidad: “</w:t>
      </w:r>
      <w:r>
        <w:rPr>
          <w:rFonts w:ascii="Palatino Linotype" w:eastAsia="Palatino Linotype" w:hAnsi="Palatino Linotype" w:cs="Palatino Linotype"/>
          <w:i/>
          <w:iCs/>
          <w:color w:val="000000"/>
          <w:sz w:val="24"/>
          <w:szCs w:val="24"/>
        </w:rPr>
        <w:t>Niegan información argumentando que no se había generado la misma que, debe ser generado derivada del ejercicio de sus facultades, competencias o funciones. Además, en el 20 de la LTAIPEMYM se menciona que el sujeto obligado deberá demostrar que la información solicitada está prevista en alguna de las excepciones contenidas en esta Ley o, en su caso, demostrar que la información no se refiere a alguna de sus facultades, competencias o funciones. “(Sic)</w:t>
      </w:r>
    </w:p>
    <w:p w:rsidR="00B31375" w:rsidRDefault="00B31375">
      <w:pPr>
        <w:pBdr>
          <w:top w:val="nil"/>
          <w:left w:val="nil"/>
          <w:bottom w:val="nil"/>
          <w:right w:val="nil"/>
          <w:between w:val="nil"/>
        </w:pBdr>
        <w:ind w:left="720" w:right="-876"/>
        <w:rPr>
          <w:rFonts w:ascii="Palatino Linotype" w:eastAsia="Palatino Linotype" w:hAnsi="Palatino Linotype" w:cs="Palatino Linotype"/>
          <w:color w:val="000000"/>
          <w:sz w:val="24"/>
          <w:szCs w:val="24"/>
        </w:rPr>
      </w:pPr>
    </w:p>
    <w:p w:rsidR="00B31375" w:rsidRDefault="00B31375">
      <w:pPr>
        <w:pBdr>
          <w:top w:val="nil"/>
          <w:left w:val="nil"/>
          <w:bottom w:val="nil"/>
          <w:right w:val="nil"/>
          <w:between w:val="nil"/>
        </w:pBdr>
        <w:ind w:left="720" w:right="-876" w:hanging="360"/>
        <w:jc w:val="both"/>
        <w:rPr>
          <w:rFonts w:ascii="Palatino Linotype" w:eastAsia="Palatino Linotype" w:hAnsi="Palatino Linotype" w:cs="Palatino Linotype"/>
          <w:color w:val="000000"/>
          <w:sz w:val="24"/>
          <w:szCs w:val="24"/>
        </w:rPr>
      </w:pPr>
    </w:p>
    <w:p w:rsidR="00B31375" w:rsidRPr="00B53F7A"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Se registró el recurso de revisión bajo el número de expediente al rubro indicado, asimismo con fundamento en lo dispuesto por el artículo 185 fracción I de la </w:t>
      </w:r>
      <w:r>
        <w:rPr>
          <w:rFonts w:ascii="Palatino Linotype" w:eastAsia="Palatino Linotype" w:hAnsi="Palatino Linotype" w:cs="Palatino Linotype"/>
          <w:b/>
          <w:bCs/>
          <w:sz w:val="24"/>
          <w:szCs w:val="24"/>
        </w:rPr>
        <w:t xml:space="preserve">Ley de Transparencia y Acceso a la Información Pública del Estado de México y Municipios </w:t>
      </w:r>
      <w:r>
        <w:rPr>
          <w:rFonts w:ascii="Palatino Linotype" w:eastAsia="Palatino Linotype" w:hAnsi="Palatino Linotype" w:cs="Palatino Linotype"/>
          <w:sz w:val="24"/>
          <w:szCs w:val="24"/>
        </w:rPr>
        <w:t xml:space="preserve">se turna a la </w:t>
      </w:r>
      <w:r>
        <w:rPr>
          <w:rFonts w:ascii="Palatino Linotype" w:eastAsia="Palatino Linotype" w:hAnsi="Palatino Linotype" w:cs="Palatino Linotype"/>
          <w:b/>
          <w:bCs/>
          <w:sz w:val="24"/>
          <w:szCs w:val="24"/>
        </w:rPr>
        <w:t xml:space="preserve">Comisionada María del Rosario Mejía Ayala, </w:t>
      </w:r>
      <w:r>
        <w:rPr>
          <w:rFonts w:ascii="Palatino Linotype" w:eastAsia="Palatino Linotype" w:hAnsi="Palatino Linotype" w:cs="Palatino Linotype"/>
          <w:sz w:val="24"/>
          <w:szCs w:val="24"/>
        </w:rPr>
        <w:t xml:space="preserve">para su análisis. </w:t>
      </w:r>
    </w:p>
    <w:p w:rsidR="00B53F7A" w:rsidRDefault="00B53F7A" w:rsidP="00B53F7A">
      <w:pPr>
        <w:spacing w:line="360" w:lineRule="auto"/>
        <w:ind w:right="-876"/>
        <w:jc w:val="both"/>
        <w:rPr>
          <w:rFonts w:ascii="Palatino Linotype" w:eastAsia="Palatino Linotype" w:hAnsi="Palatino Linotype" w:cs="Palatino Linotype"/>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La Comisionada Ponente con fundamento en lo dispuesto por el artículo 18 fracción II de la ley de la materia, a través del acuerdo de admisión notificado el </w:t>
      </w:r>
      <w:r>
        <w:rPr>
          <w:rFonts w:ascii="Palatino Linotype" w:eastAsia="Palatino Linotype" w:hAnsi="Palatino Linotype" w:cs="Palatino Linotype"/>
          <w:b/>
          <w:bCs/>
          <w:sz w:val="24"/>
          <w:szCs w:val="24"/>
        </w:rPr>
        <w:t xml:space="preserve">trece de abril de dos mil </w:t>
      </w:r>
      <w:r>
        <w:rPr>
          <w:rFonts w:ascii="Palatino Linotype" w:eastAsia="Palatino Linotype" w:hAnsi="Palatino Linotype" w:cs="Palatino Linotype"/>
          <w:b/>
          <w:bCs/>
          <w:sz w:val="24"/>
          <w:szCs w:val="24"/>
        </w:rPr>
        <w:lastRenderedPageBreak/>
        <w:t>veintiséis,</w:t>
      </w:r>
      <w:r>
        <w:rPr>
          <w:rFonts w:ascii="Palatino Linotype" w:eastAsia="Palatino Linotype" w:hAnsi="Palatino Linotype" w:cs="Palatino Linotype"/>
          <w:sz w:val="24"/>
          <w:szCs w:val="24"/>
        </w:rPr>
        <w:t xml:space="preserve"> se puso a disposición de las partes el expediente electrónico vía </w:t>
      </w:r>
      <w:r>
        <w:rPr>
          <w:rFonts w:ascii="Palatino Linotype" w:eastAsia="Palatino Linotype" w:hAnsi="Palatino Linotype" w:cs="Palatino Linotype"/>
          <w:b/>
          <w:bCs/>
          <w:sz w:val="24"/>
          <w:szCs w:val="24"/>
        </w:rPr>
        <w:t xml:space="preserve">SAIMEX </w:t>
      </w:r>
      <w:r>
        <w:rPr>
          <w:rFonts w:ascii="Palatino Linotype" w:eastAsia="Palatino Linotype" w:hAnsi="Palatino Linotype" w:cs="Palatino Linotype"/>
          <w:sz w:val="24"/>
          <w:szCs w:val="24"/>
        </w:rPr>
        <w:t xml:space="preserve">a efecto de que en un plazo máximo de siete días manifestara lo que a derecho conviniera, ofreciera pruebas y alegatos según corresponda al caso concreto, de esta forma para que el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presentará el informe justificado procedente. </w:t>
      </w:r>
    </w:p>
    <w:p w:rsidR="00B31375" w:rsidRDefault="00B31375">
      <w:pPr>
        <w:pBdr>
          <w:top w:val="nil"/>
          <w:left w:val="nil"/>
          <w:bottom w:val="nil"/>
          <w:right w:val="nil"/>
          <w:between w:val="nil"/>
        </w:pBdr>
        <w:ind w:left="720" w:right="-876"/>
        <w:rPr>
          <w:rFonts w:ascii="Palatino Linotype" w:eastAsia="Palatino Linotype" w:hAnsi="Palatino Linotype" w:cs="Palatino Linotype"/>
          <w:i/>
          <w:iCs/>
          <w:color w:val="000000"/>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De las constancias que obran en el expediente electrónico SAIMEX, se advierte que el </w:t>
      </w:r>
      <w:r>
        <w:rPr>
          <w:rFonts w:ascii="Palatino Linotype" w:eastAsia="Palatino Linotype" w:hAnsi="Palatino Linotype" w:cs="Palatino Linotype"/>
          <w:b/>
          <w:bCs/>
          <w:sz w:val="24"/>
          <w:szCs w:val="24"/>
        </w:rPr>
        <w:t>PARTICULAR,</w:t>
      </w:r>
      <w:r>
        <w:rPr>
          <w:rFonts w:ascii="Palatino Linotype" w:eastAsia="Palatino Linotype" w:hAnsi="Palatino Linotype" w:cs="Palatino Linotype"/>
          <w:sz w:val="24"/>
          <w:szCs w:val="24"/>
        </w:rPr>
        <w:t xml:space="preserve"> no realizó manifestación alguna.</w:t>
      </w:r>
    </w:p>
    <w:p w:rsidR="00B31375" w:rsidRDefault="00B31375">
      <w:pPr>
        <w:spacing w:line="360" w:lineRule="auto"/>
        <w:ind w:right="-876"/>
        <w:jc w:val="both"/>
        <w:rPr>
          <w:rFonts w:ascii="Palatino Linotype" w:eastAsia="Palatino Linotype" w:hAnsi="Palatino Linotype" w:cs="Palatino Linotype"/>
          <w:i/>
          <w:iCs/>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veintidós de abril de dos mil veintiséis</w:t>
      </w:r>
      <w:r>
        <w:rPr>
          <w:rFonts w:ascii="Palatino Linotype" w:eastAsia="Palatino Linotype" w:hAnsi="Palatino Linotype" w:cs="Palatino Linotype"/>
          <w:sz w:val="24"/>
          <w:szCs w:val="24"/>
        </w:rPr>
        <w:t>, rindió el Informe Justificado a través de los archivos siguientes:</w:t>
      </w:r>
    </w:p>
    <w:p w:rsidR="00B31375" w:rsidRDefault="00ED6F59">
      <w:pPr>
        <w:numPr>
          <w:ilvl w:val="0"/>
          <w:numId w:val="5"/>
        </w:numPr>
        <w:pBdr>
          <w:top w:val="nil"/>
          <w:left w:val="nil"/>
          <w:bottom w:val="nil"/>
          <w:right w:val="nil"/>
          <w:between w:val="nil"/>
        </w:pBdr>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Informe Justificado RR 03863.pdf:</w:t>
      </w:r>
      <w:r>
        <w:rPr>
          <w:rFonts w:ascii="Palatino Linotype" w:eastAsia="Palatino Linotype" w:hAnsi="Palatino Linotype" w:cs="Palatino Linotype"/>
          <w:color w:val="000000"/>
          <w:sz w:val="24"/>
          <w:szCs w:val="24"/>
        </w:rPr>
        <w:t xml:space="preserve"> Oficio firmado por el Servidor Público Habilitado, de la Dirección de Administración, por el que confirmó su respuesta primigenia.</w:t>
      </w:r>
    </w:p>
    <w:p w:rsidR="00B31375" w:rsidRDefault="00B31375">
      <w:pPr>
        <w:ind w:right="-876"/>
        <w:jc w:val="both"/>
        <w:rPr>
          <w:rFonts w:ascii="Palatino Linotype" w:eastAsia="Palatino Linotype" w:hAnsi="Palatino Linotype" w:cs="Palatino Linotype"/>
          <w:b/>
          <w:bCs/>
          <w:sz w:val="24"/>
          <w:szCs w:val="24"/>
        </w:rPr>
      </w:pPr>
    </w:p>
    <w:p w:rsidR="00B31375" w:rsidRDefault="00B31375">
      <w:pPr>
        <w:ind w:right="-876"/>
        <w:jc w:val="both"/>
        <w:rPr>
          <w:rFonts w:ascii="Palatino Linotype" w:eastAsia="Palatino Linotype" w:hAnsi="Palatino Linotype" w:cs="Palatino Linotype"/>
          <w:sz w:val="24"/>
          <w:szCs w:val="24"/>
        </w:rPr>
      </w:pPr>
    </w:p>
    <w:p w:rsidR="00B31375" w:rsidRDefault="00ED6F59">
      <w:pPr>
        <w:numPr>
          <w:ilvl w:val="0"/>
          <w:numId w:val="3"/>
        </w:numPr>
        <w:tabs>
          <w:tab w:val="left" w:pos="426"/>
        </w:tabs>
        <w:spacing w:line="360" w:lineRule="auto"/>
        <w:ind w:left="0" w:right="-876" w:firstLine="0"/>
        <w:jc w:val="both"/>
        <w:rPr>
          <w:rFonts w:ascii="Palatino Linotype" w:eastAsia="Palatino Linotype" w:hAnsi="Palatino Linotype" w:cs="Palatino Linotype"/>
          <w:b/>
          <w:bCs/>
        </w:rPr>
      </w:pP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 xml:space="preserve">veinte de mayo de dos mil veintiséis, </w:t>
      </w:r>
      <w:r>
        <w:rPr>
          <w:rFonts w:ascii="Palatino Linotype" w:eastAsia="Palatino Linotype" w:hAnsi="Palatino Linotype" w:cs="Palatino Linotype"/>
          <w:sz w:val="24"/>
          <w:szCs w:val="24"/>
        </w:rPr>
        <w:t>se notificó el acuerdo por el que se amplió el plazo para resolver el recurso de revisión que nos ocupa.</w:t>
      </w:r>
    </w:p>
    <w:p w:rsidR="00B31375" w:rsidRDefault="00B31375">
      <w:pPr>
        <w:keepNext/>
        <w:keepLines/>
        <w:spacing w:line="360" w:lineRule="auto"/>
        <w:ind w:right="-876"/>
        <w:jc w:val="center"/>
        <w:rPr>
          <w:rFonts w:ascii="Palatino Linotype" w:eastAsia="Palatino Linotype" w:hAnsi="Palatino Linotype" w:cs="Palatino Linotype"/>
          <w:b/>
          <w:bCs/>
          <w:sz w:val="24"/>
          <w:szCs w:val="24"/>
        </w:rPr>
      </w:pPr>
    </w:p>
    <w:p w:rsidR="00B31375" w:rsidRDefault="00ED6F59">
      <w:pPr>
        <w:numPr>
          <w:ilvl w:val="0"/>
          <w:numId w:val="3"/>
        </w:numPr>
        <w:tabs>
          <w:tab w:val="left" w:pos="426"/>
        </w:tabs>
        <w:spacing w:line="360" w:lineRule="auto"/>
        <w:ind w:left="0" w:right="-876" w:firstLine="0"/>
        <w:jc w:val="both"/>
        <w:rPr>
          <w:rFonts w:ascii="Palatino Linotype" w:eastAsia="Palatino Linotype" w:hAnsi="Palatino Linotype" w:cs="Palatino Linotype"/>
          <w:b/>
          <w:bCs/>
        </w:rPr>
      </w:pPr>
      <w:r>
        <w:rPr>
          <w:rFonts w:ascii="Palatino Linotype" w:eastAsia="Palatino Linotype" w:hAnsi="Palatino Linotype" w:cs="Palatino Linotype"/>
          <w:sz w:val="24"/>
          <w:szCs w:val="24"/>
        </w:rPr>
        <w:t>El</w:t>
      </w:r>
      <w:r>
        <w:rPr>
          <w:rFonts w:ascii="Palatino Linotype" w:eastAsia="Palatino Linotype" w:hAnsi="Palatino Linotype" w:cs="Palatino Linotype"/>
          <w:b/>
          <w:bCs/>
          <w:sz w:val="24"/>
          <w:szCs w:val="24"/>
        </w:rPr>
        <w:t xml:space="preserve"> veintiséis de mayo de dos mil veintiséis</w:t>
      </w:r>
      <w:r>
        <w:rPr>
          <w:rFonts w:ascii="Palatino Linotype" w:eastAsia="Palatino Linotype" w:hAnsi="Palatino Linotype" w:cs="Palatino Linotype"/>
          <w:sz w:val="24"/>
          <w:szCs w:val="24"/>
        </w:rPr>
        <w:t>, la Comisionada Ponente decretó el cierre de instrucción y al no existir diligencias por realizar y se turna el expediente a resolución correspondiente, por lo que no habiendo más que hacer constar, y —--------------------------------</w:t>
      </w:r>
    </w:p>
    <w:p w:rsidR="00B31375" w:rsidRDefault="00B31375">
      <w:pPr>
        <w:tabs>
          <w:tab w:val="left" w:pos="426"/>
        </w:tabs>
        <w:spacing w:line="360" w:lineRule="auto"/>
        <w:ind w:right="-876"/>
        <w:jc w:val="both"/>
        <w:rPr>
          <w:rFonts w:ascii="Palatino Linotype" w:eastAsia="Palatino Linotype" w:hAnsi="Palatino Linotype" w:cs="Palatino Linotype"/>
          <w:b/>
          <w:bCs/>
          <w:sz w:val="24"/>
          <w:szCs w:val="24"/>
          <w:u w:val="single"/>
        </w:rPr>
      </w:pPr>
    </w:p>
    <w:p w:rsidR="00B31375" w:rsidRDefault="00ED6F59">
      <w:pPr>
        <w:keepNext/>
        <w:keepLines/>
        <w:spacing w:line="360" w:lineRule="auto"/>
        <w:ind w:right="-876"/>
        <w:jc w:val="center"/>
        <w:rPr>
          <w:rFonts w:ascii="Palatino Linotype" w:eastAsia="Palatino Linotype" w:hAnsi="Palatino Linotype" w:cs="Palatino Linotype"/>
          <w:b/>
          <w:bCs/>
          <w:sz w:val="24"/>
          <w:szCs w:val="24"/>
        </w:rPr>
      </w:pPr>
      <w:bookmarkStart w:id="3" w:name="_heading=h.30j0zll" w:colFirst="0" w:colLast="0"/>
      <w:bookmarkEnd w:id="3"/>
      <w:r>
        <w:rPr>
          <w:rFonts w:ascii="Palatino Linotype" w:eastAsia="Palatino Linotype" w:hAnsi="Palatino Linotype" w:cs="Palatino Linotype"/>
          <w:b/>
          <w:bCs/>
          <w:sz w:val="24"/>
          <w:szCs w:val="24"/>
        </w:rPr>
        <w:lastRenderedPageBreak/>
        <w:t xml:space="preserve">C O N S I D E R A N D O </w:t>
      </w:r>
    </w:p>
    <w:p w:rsidR="00B31375" w:rsidRDefault="00B31375">
      <w:pPr>
        <w:keepNext/>
        <w:keepLines/>
        <w:spacing w:line="360" w:lineRule="auto"/>
        <w:ind w:right="-876"/>
        <w:rPr>
          <w:rFonts w:ascii="Palatino Linotype" w:eastAsia="Palatino Linotype" w:hAnsi="Palatino Linotype" w:cs="Palatino Linotype"/>
          <w:sz w:val="24"/>
          <w:szCs w:val="24"/>
        </w:rPr>
      </w:pPr>
      <w:bookmarkStart w:id="4" w:name="_heading=h.ga7i50nbuj3f" w:colFirst="0" w:colLast="0"/>
      <w:bookmarkEnd w:id="4"/>
    </w:p>
    <w:p w:rsidR="00B31375" w:rsidRDefault="00ED6F59">
      <w:pPr>
        <w:keepNext/>
        <w:keepLines/>
        <w:spacing w:line="360" w:lineRule="auto"/>
        <w:ind w:right="-876"/>
        <w:rPr>
          <w:rFonts w:ascii="Palatino Linotype" w:eastAsia="Palatino Linotype" w:hAnsi="Palatino Linotype" w:cs="Palatino Linotype"/>
          <w:b/>
          <w:bCs/>
          <w:sz w:val="24"/>
          <w:szCs w:val="24"/>
        </w:rPr>
      </w:pPr>
      <w:bookmarkStart w:id="5" w:name="_heading=h.1fob9te" w:colFirst="0" w:colLast="0"/>
      <w:bookmarkEnd w:id="5"/>
      <w:r>
        <w:rPr>
          <w:rFonts w:ascii="Palatino Linotype" w:eastAsia="Palatino Linotype" w:hAnsi="Palatino Linotype" w:cs="Palatino Linotype"/>
          <w:b/>
          <w:bCs/>
          <w:sz w:val="24"/>
          <w:szCs w:val="24"/>
        </w:rPr>
        <w:t>PRIMERO. De la competencia</w:t>
      </w:r>
    </w:p>
    <w:p w:rsidR="00B31375" w:rsidRDefault="00ED6F59">
      <w:pPr>
        <w:numPr>
          <w:ilvl w:val="0"/>
          <w:numId w:val="3"/>
        </w:numPr>
        <w:tabs>
          <w:tab w:val="left" w:pos="426"/>
        </w:tabs>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trigésimo, trigésimo primero y trigésimo segundo,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B31375" w:rsidRDefault="00B31375">
      <w:pPr>
        <w:tabs>
          <w:tab w:val="left" w:pos="426"/>
        </w:tabs>
        <w:spacing w:line="360" w:lineRule="auto"/>
        <w:ind w:right="-876"/>
        <w:jc w:val="both"/>
        <w:rPr>
          <w:rFonts w:ascii="Palatino Linotype" w:eastAsia="Palatino Linotype" w:hAnsi="Palatino Linotype" w:cs="Palatino Linotype"/>
          <w:color w:val="000000"/>
          <w:sz w:val="24"/>
          <w:szCs w:val="24"/>
        </w:rPr>
      </w:pPr>
    </w:p>
    <w:p w:rsidR="00B31375" w:rsidRDefault="00ED6F59">
      <w:pPr>
        <w:keepNext/>
        <w:keepLines/>
        <w:spacing w:line="360" w:lineRule="auto"/>
        <w:ind w:right="-876"/>
        <w:rPr>
          <w:rFonts w:ascii="Palatino Linotype" w:eastAsia="Palatino Linotype" w:hAnsi="Palatino Linotype" w:cs="Palatino Linotype"/>
          <w:b/>
          <w:bCs/>
          <w:sz w:val="24"/>
          <w:szCs w:val="24"/>
        </w:rPr>
      </w:pPr>
      <w:bookmarkStart w:id="6" w:name="_heading=h.3znysh7" w:colFirst="0" w:colLast="0"/>
      <w:bookmarkEnd w:id="6"/>
      <w:r>
        <w:rPr>
          <w:rFonts w:ascii="Palatino Linotype" w:eastAsia="Palatino Linotype" w:hAnsi="Palatino Linotype" w:cs="Palatino Linotype"/>
          <w:b/>
          <w:bCs/>
          <w:sz w:val="24"/>
          <w:szCs w:val="24"/>
        </w:rPr>
        <w:t>SEGUNDO. De la oportunidad y procedencia.</w:t>
      </w: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El medio de impugnación fue presentado a través del </w:t>
      </w:r>
      <w:r>
        <w:rPr>
          <w:rFonts w:ascii="Palatino Linotype" w:eastAsia="Palatino Linotype" w:hAnsi="Palatino Linotype" w:cs="Palatino Linotype"/>
          <w:b/>
          <w:bCs/>
          <w:sz w:val="24"/>
          <w:szCs w:val="24"/>
        </w:rPr>
        <w:t>SAIMEX,</w:t>
      </w:r>
      <w:r>
        <w:rPr>
          <w:rFonts w:ascii="Palatino Linotype" w:eastAsia="Palatino Linotype" w:hAnsi="Palatino Linotype" w:cs="Palatino Linotype"/>
          <w:sz w:val="24"/>
          <w:szCs w:val="24"/>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entregó respuesta el </w:t>
      </w:r>
      <w:r>
        <w:rPr>
          <w:rFonts w:ascii="Palatino Linotype" w:eastAsia="Palatino Linotype" w:hAnsi="Palatino Linotype" w:cs="Palatino Linotype"/>
          <w:b/>
          <w:bCs/>
          <w:sz w:val="24"/>
          <w:szCs w:val="24"/>
        </w:rPr>
        <w:t>ocho de abril de dos mil veintiséis</w:t>
      </w:r>
      <w:r>
        <w:rPr>
          <w:rFonts w:ascii="Palatino Linotype" w:eastAsia="Palatino Linotype" w:hAnsi="Palatino Linotype" w:cs="Palatino Linotype"/>
          <w:sz w:val="24"/>
          <w:szCs w:val="24"/>
        </w:rPr>
        <w:t xml:space="preserve">, de tal forma que el plazo para interponer el recurso transcurrió del </w:t>
      </w:r>
      <w:r>
        <w:rPr>
          <w:rFonts w:ascii="Palatino Linotype" w:eastAsia="Palatino Linotype" w:hAnsi="Palatino Linotype" w:cs="Palatino Linotype"/>
          <w:b/>
          <w:bCs/>
          <w:sz w:val="24"/>
          <w:szCs w:val="24"/>
        </w:rPr>
        <w:t xml:space="preserve">nueve al veintinueve de abril de dos mil veintiséis , </w:t>
      </w:r>
      <w:r>
        <w:rPr>
          <w:rFonts w:ascii="Palatino Linotype" w:eastAsia="Palatino Linotype" w:hAnsi="Palatino Linotype" w:cs="Palatino Linotype"/>
          <w:sz w:val="24"/>
          <w:szCs w:val="24"/>
        </w:rPr>
        <w:t xml:space="preserve">en consecuencia, si el </w:t>
      </w:r>
      <w:r>
        <w:rPr>
          <w:rFonts w:ascii="Palatino Linotype" w:eastAsia="Palatino Linotype" w:hAnsi="Palatino Linotype" w:cs="Palatino Linotype"/>
          <w:b/>
          <w:bCs/>
          <w:sz w:val="24"/>
          <w:szCs w:val="24"/>
        </w:rPr>
        <w:t>PARTICULAR</w:t>
      </w:r>
      <w:r>
        <w:rPr>
          <w:rFonts w:ascii="Palatino Linotype" w:eastAsia="Palatino Linotype" w:hAnsi="Palatino Linotype" w:cs="Palatino Linotype"/>
          <w:sz w:val="24"/>
          <w:szCs w:val="24"/>
        </w:rPr>
        <w:t xml:space="preserve"> presentó su inconformidad el </w:t>
      </w:r>
      <w:r>
        <w:rPr>
          <w:rFonts w:ascii="Palatino Linotype" w:eastAsia="Palatino Linotype" w:hAnsi="Palatino Linotype" w:cs="Palatino Linotype"/>
          <w:b/>
          <w:bCs/>
          <w:sz w:val="24"/>
          <w:szCs w:val="24"/>
        </w:rPr>
        <w:t>trece de abril de dos mil veintiséis</w:t>
      </w:r>
      <w:r>
        <w:rPr>
          <w:rFonts w:ascii="Palatino Linotype" w:eastAsia="Palatino Linotype" w:hAnsi="Palatino Linotype" w:cs="Palatino Linotype"/>
          <w:sz w:val="24"/>
          <w:szCs w:val="24"/>
        </w:rPr>
        <w:t xml:space="preserve">, este  se encuentra dentro de los márgenes temporales previstos en el artículo 178 de la </w:t>
      </w:r>
      <w:r>
        <w:rPr>
          <w:rFonts w:ascii="Palatino Linotype" w:eastAsia="Palatino Linotype" w:hAnsi="Palatino Linotype" w:cs="Palatino Linotype"/>
          <w:b/>
          <w:bCs/>
          <w:sz w:val="24"/>
          <w:szCs w:val="24"/>
        </w:rPr>
        <w:t xml:space="preserve">Ley de Transparencia y Acceso a la Información Pública del Estado de México y Municipios </w:t>
      </w:r>
      <w:r>
        <w:rPr>
          <w:rFonts w:ascii="Palatino Linotype" w:eastAsia="Palatino Linotype" w:hAnsi="Palatino Linotype" w:cs="Palatino Linotype"/>
          <w:sz w:val="24"/>
          <w:szCs w:val="24"/>
        </w:rPr>
        <w:t xml:space="preserve">vigente. </w:t>
      </w:r>
    </w:p>
    <w:p w:rsidR="00B31375" w:rsidRDefault="00ED6F59">
      <w:pPr>
        <w:pStyle w:val="Ttulo2"/>
        <w:ind w:right="-876"/>
        <w:rPr>
          <w:rFonts w:ascii="Palatino Linotype" w:eastAsia="Palatino Linotype" w:hAnsi="Palatino Linotype" w:cs="Palatino Linotype"/>
          <w:b/>
          <w:bCs/>
          <w:i/>
          <w:iCs/>
          <w:color w:val="000000"/>
          <w:sz w:val="24"/>
          <w:szCs w:val="24"/>
        </w:rPr>
      </w:pPr>
      <w:bookmarkStart w:id="7" w:name="_heading=h.2et92p0" w:colFirst="0" w:colLast="0"/>
      <w:bookmarkEnd w:id="7"/>
      <w:r>
        <w:rPr>
          <w:rFonts w:ascii="Palatino Linotype" w:eastAsia="Palatino Linotype" w:hAnsi="Palatino Linotype" w:cs="Palatino Linotype"/>
          <w:b/>
          <w:bCs/>
          <w:color w:val="000000"/>
          <w:sz w:val="24"/>
          <w:szCs w:val="24"/>
        </w:rPr>
        <w:lastRenderedPageBreak/>
        <w:t xml:space="preserve">TERCERO. Del planteamiento de la </w:t>
      </w:r>
      <w:r>
        <w:rPr>
          <w:rFonts w:ascii="Palatino Linotype" w:eastAsia="Palatino Linotype" w:hAnsi="Palatino Linotype" w:cs="Palatino Linotype"/>
          <w:b/>
          <w:bCs/>
          <w:i/>
          <w:iCs/>
          <w:color w:val="000000"/>
          <w:sz w:val="24"/>
          <w:szCs w:val="24"/>
        </w:rPr>
        <w:t>Litis.</w:t>
      </w: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Se solicitó la información que a continuación se desagrega:</w:t>
      </w:r>
    </w:p>
    <w:p w:rsidR="00B31375" w:rsidRDefault="00ED6F59" w:rsidP="00B53F7A">
      <w:pPr>
        <w:pBdr>
          <w:top w:val="nil"/>
          <w:left w:val="nil"/>
          <w:bottom w:val="nil"/>
          <w:right w:val="nil"/>
          <w:between w:val="nil"/>
        </w:pBdr>
        <w:spacing w:line="276" w:lineRule="auto"/>
        <w:ind w:left="709"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¿Cuánto </w:t>
      </w:r>
      <w:r>
        <w:rPr>
          <w:rFonts w:ascii="Palatino Linotype" w:eastAsia="Palatino Linotype" w:hAnsi="Palatino Linotype" w:cs="Palatino Linotype"/>
          <w:sz w:val="24"/>
          <w:szCs w:val="24"/>
        </w:rPr>
        <w:t>cobró</w:t>
      </w:r>
      <w:r>
        <w:rPr>
          <w:rFonts w:ascii="Palatino Linotype" w:eastAsia="Palatino Linotype" w:hAnsi="Palatino Linotype" w:cs="Palatino Linotype"/>
          <w:color w:val="000000"/>
          <w:sz w:val="24"/>
          <w:szCs w:val="24"/>
        </w:rPr>
        <w:t xml:space="preserve"> cada banda que se va a presentar en el festival arte, queso y vino 2026?</w:t>
      </w:r>
    </w:p>
    <w:p w:rsidR="00B31375" w:rsidRDefault="00B31375">
      <w:pPr>
        <w:pBdr>
          <w:top w:val="nil"/>
          <w:left w:val="nil"/>
          <w:bottom w:val="nil"/>
          <w:right w:val="nil"/>
          <w:between w:val="nil"/>
        </w:pBdr>
        <w:spacing w:line="276" w:lineRule="auto"/>
        <w:ind w:left="1440" w:right="-876"/>
        <w:jc w:val="both"/>
        <w:rPr>
          <w:rFonts w:ascii="Palatino Linotype" w:eastAsia="Palatino Linotype" w:hAnsi="Palatino Linotype" w:cs="Palatino Linotype"/>
          <w:color w:val="000000"/>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El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 xml:space="preserve">dio respuesta como quedó referido en el numeral 2 de la presente resolución. </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Inconforme con lo anterior, el ahora </w:t>
      </w:r>
      <w:r>
        <w:rPr>
          <w:rFonts w:ascii="Palatino Linotype" w:eastAsia="Palatino Linotype" w:hAnsi="Palatino Linotype" w:cs="Palatino Linotype"/>
          <w:b/>
          <w:bCs/>
          <w:sz w:val="24"/>
          <w:szCs w:val="24"/>
        </w:rPr>
        <w:t xml:space="preserve">RECURRENTE </w:t>
      </w:r>
      <w:r>
        <w:rPr>
          <w:rFonts w:ascii="Palatino Linotype" w:eastAsia="Palatino Linotype" w:hAnsi="Palatino Linotype" w:cs="Palatino Linotype"/>
          <w:sz w:val="24"/>
          <w:szCs w:val="24"/>
        </w:rPr>
        <w:t>interpuso Recurso de Revisión arguyendo medularmente la negativa de la entrega de la información.</w:t>
      </w:r>
    </w:p>
    <w:p w:rsidR="00B31375" w:rsidRDefault="00B31375">
      <w:pPr>
        <w:spacing w:line="360" w:lineRule="auto"/>
        <w:ind w:right="-876"/>
        <w:jc w:val="both"/>
        <w:rPr>
          <w:rFonts w:ascii="Palatino Linotype" w:eastAsia="Palatino Linotype" w:hAnsi="Palatino Linotype" w:cs="Palatino Linotype"/>
          <w:i/>
          <w:iCs/>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En dichas condiciones, la </w:t>
      </w:r>
      <w:r>
        <w:rPr>
          <w:rFonts w:ascii="Palatino Linotype" w:eastAsia="Palatino Linotype" w:hAnsi="Palatino Linotype" w:cs="Palatino Linotype"/>
          <w:i/>
          <w:iCs/>
          <w:sz w:val="24"/>
          <w:szCs w:val="24"/>
        </w:rPr>
        <w:t>Litis</w:t>
      </w:r>
      <w:r>
        <w:rPr>
          <w:rFonts w:ascii="Palatino Linotype" w:eastAsia="Palatino Linotype" w:hAnsi="Palatino Linotype" w:cs="Palatino Linotype"/>
          <w:sz w:val="24"/>
          <w:szCs w:val="24"/>
        </w:rPr>
        <w:t xml:space="preserve"> a resolver en este recurso se circunscribe a determinar si se actualiza la causal de procedencia prevista en el artículo 179, fracción</w:t>
      </w:r>
      <w:r>
        <w:rPr>
          <w:rFonts w:ascii="Palatino Linotype" w:eastAsia="Palatino Linotype" w:hAnsi="Palatino Linotype" w:cs="Palatino Linotype"/>
          <w:b/>
          <w:bCs/>
          <w:sz w:val="24"/>
          <w:szCs w:val="24"/>
        </w:rPr>
        <w:t xml:space="preserve"> I </w:t>
      </w:r>
      <w:r>
        <w:rPr>
          <w:rFonts w:ascii="Palatino Linotype" w:eastAsia="Palatino Linotype" w:hAnsi="Palatino Linotype" w:cs="Palatino Linotype"/>
          <w:sz w:val="24"/>
          <w:szCs w:val="24"/>
        </w:rPr>
        <w:t xml:space="preserve">de la </w:t>
      </w:r>
      <w:r>
        <w:rPr>
          <w:rFonts w:ascii="Palatino Linotype" w:eastAsia="Palatino Linotype" w:hAnsi="Palatino Linotype" w:cs="Palatino Linotype"/>
          <w:b/>
          <w:bCs/>
          <w:sz w:val="24"/>
          <w:szCs w:val="24"/>
        </w:rPr>
        <w:t>Ley de Transparencia y Acceso a la Información Pública del Estado de México y Municipios</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 xml:space="preserve">fracción que determina las hipótesis jurídica relativa a la negativa a la información solicitada; </w:t>
      </w:r>
      <w:r>
        <w:rPr>
          <w:rFonts w:ascii="Palatino Linotype" w:eastAsia="Palatino Linotype" w:hAnsi="Palatino Linotype" w:cs="Palatino Linotype"/>
          <w:sz w:val="24"/>
          <w:szCs w:val="24"/>
        </w:rPr>
        <w:t xml:space="preserve">contexto del cual se dolió </w:t>
      </w:r>
      <w:r>
        <w:rPr>
          <w:rFonts w:ascii="Palatino Linotype" w:eastAsia="Palatino Linotype" w:hAnsi="Palatino Linotype" w:cs="Palatino Linotype"/>
          <w:b/>
          <w:bCs/>
          <w:sz w:val="24"/>
          <w:szCs w:val="24"/>
        </w:rPr>
        <w:t xml:space="preserve">EL RECURRENTE </w:t>
      </w:r>
      <w:r>
        <w:rPr>
          <w:rFonts w:ascii="Palatino Linotype" w:eastAsia="Palatino Linotype" w:hAnsi="Palatino Linotype" w:cs="Palatino Linotype"/>
          <w:sz w:val="24"/>
          <w:szCs w:val="24"/>
        </w:rPr>
        <w:t>al momento de interponer su inconformidad.</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Pr="00B53F7A"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 xml:space="preserve"> De modo tal que, el presente recurso de revisión se abocara en determinar si el </w:t>
      </w:r>
      <w:r>
        <w:rPr>
          <w:rFonts w:ascii="Palatino Linotype" w:eastAsia="Palatino Linotype" w:hAnsi="Palatino Linotype" w:cs="Palatino Linotype"/>
          <w:b/>
          <w:bCs/>
          <w:color w:val="000000"/>
          <w:sz w:val="24"/>
          <w:szCs w:val="24"/>
        </w:rPr>
        <w:t>SUJETO</w:t>
      </w:r>
      <w:r>
        <w:rPr>
          <w:rFonts w:ascii="Palatino Linotype" w:eastAsia="Palatino Linotype" w:hAnsi="Palatino Linotype" w:cs="Palatino Linotype"/>
          <w:color w:val="000000"/>
          <w:sz w:val="24"/>
          <w:szCs w:val="24"/>
        </w:rPr>
        <w:t xml:space="preserve"> </w:t>
      </w:r>
      <w:r>
        <w:rPr>
          <w:rFonts w:ascii="Palatino Linotype" w:eastAsia="Palatino Linotype" w:hAnsi="Palatino Linotype" w:cs="Palatino Linotype"/>
          <w:b/>
          <w:bCs/>
          <w:color w:val="000000"/>
          <w:sz w:val="24"/>
          <w:szCs w:val="24"/>
        </w:rPr>
        <w:t>OBLIGADO</w:t>
      </w:r>
      <w:r>
        <w:rPr>
          <w:rFonts w:ascii="Palatino Linotype" w:eastAsia="Palatino Linotype" w:hAnsi="Palatino Linotype" w:cs="Palatino Linotype"/>
          <w:color w:val="000000"/>
          <w:sz w:val="24"/>
          <w:szCs w:val="24"/>
        </w:rPr>
        <w:t xml:space="preserve"> con su respuesta ciertamente actualiza la causal de procedencia</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antes señalada, así como comprobar si la respuesta emitida resulta congruente e integral en términos del artículo 11 de la ley de la materia.</w:t>
      </w:r>
    </w:p>
    <w:p w:rsidR="00B53F7A" w:rsidRDefault="00B53F7A" w:rsidP="00B53F7A">
      <w:pPr>
        <w:pStyle w:val="Prrafodelista"/>
        <w:rPr>
          <w:rFonts w:ascii="Palatino Linotype" w:eastAsia="Palatino Linotype" w:hAnsi="Palatino Linotype" w:cs="Palatino Linotype"/>
        </w:rPr>
      </w:pPr>
    </w:p>
    <w:p w:rsidR="00B53F7A" w:rsidRDefault="00B53F7A" w:rsidP="00B53F7A">
      <w:pPr>
        <w:spacing w:line="360" w:lineRule="auto"/>
        <w:ind w:right="-876"/>
        <w:jc w:val="both"/>
        <w:rPr>
          <w:rFonts w:ascii="Palatino Linotype" w:eastAsia="Palatino Linotype" w:hAnsi="Palatino Linotype" w:cs="Palatino Linotype"/>
        </w:rPr>
      </w:pPr>
    </w:p>
    <w:p w:rsidR="00B31375" w:rsidRDefault="00ED6F59">
      <w:pPr>
        <w:pStyle w:val="Ttulo2"/>
        <w:ind w:right="-876"/>
        <w:rPr>
          <w:rFonts w:ascii="Palatino Linotype" w:eastAsia="Palatino Linotype" w:hAnsi="Palatino Linotype" w:cs="Palatino Linotype"/>
          <w:b/>
          <w:bCs/>
          <w:color w:val="000000"/>
          <w:sz w:val="24"/>
          <w:szCs w:val="24"/>
        </w:rPr>
      </w:pPr>
      <w:bookmarkStart w:id="8" w:name="_heading=h.3dy6vkm" w:colFirst="0" w:colLast="0"/>
      <w:bookmarkEnd w:id="8"/>
      <w:r>
        <w:rPr>
          <w:rFonts w:ascii="Palatino Linotype" w:eastAsia="Palatino Linotype" w:hAnsi="Palatino Linotype" w:cs="Palatino Linotype"/>
          <w:b/>
          <w:bCs/>
          <w:color w:val="000000"/>
          <w:sz w:val="24"/>
          <w:szCs w:val="24"/>
        </w:rPr>
        <w:lastRenderedPageBreak/>
        <w:t>CUARTO. Del estudio y resolución del asunto.</w:t>
      </w: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bookmarkStart w:id="9" w:name="_heading=h.kp6czspe9ppb" w:colFirst="0" w:colLast="0"/>
      <w:bookmarkEnd w:id="9"/>
      <w:r>
        <w:rPr>
          <w:rFonts w:ascii="Palatino Linotype" w:eastAsia="Palatino Linotype" w:hAnsi="Palatino Linotype" w:cs="Palatino Linotype"/>
          <w:sz w:val="24"/>
          <w:szCs w:val="24"/>
        </w:rPr>
        <w:t xml:space="preserve">Dicho lo anterior, este Órgano Resolutor se abocará a realizar el estudio en conjunto de todas las constancias que obran en el SAIMEX, con la finalidad de poder determinar si los motivos de inconformidad hechos valer por el ahora </w:t>
      </w:r>
      <w:r>
        <w:rPr>
          <w:rFonts w:ascii="Palatino Linotype" w:eastAsia="Palatino Linotype" w:hAnsi="Palatino Linotype" w:cs="Palatino Linotype"/>
          <w:b/>
          <w:bCs/>
          <w:sz w:val="24"/>
          <w:szCs w:val="24"/>
        </w:rPr>
        <w:t xml:space="preserve">RECURRENTE, </w:t>
      </w:r>
      <w:r>
        <w:rPr>
          <w:rFonts w:ascii="Palatino Linotype" w:eastAsia="Palatino Linotype" w:hAnsi="Palatino Linotype" w:cs="Palatino Linotype"/>
          <w:sz w:val="24"/>
          <w:szCs w:val="24"/>
        </w:rPr>
        <w:t>resultan fundados.</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numPr>
          <w:ilvl w:val="0"/>
          <w:numId w:val="3"/>
        </w:numPr>
        <w:spacing w:line="360" w:lineRule="auto"/>
        <w:ind w:left="0" w:right="-876" w:firstLine="0"/>
        <w:jc w:val="both"/>
      </w:pPr>
      <w:r>
        <w:rPr>
          <w:rFonts w:ascii="Palatino Linotype" w:eastAsia="Palatino Linotype" w:hAnsi="Palatino Linotype" w:cs="Palatino Linotype"/>
          <w:sz w:val="24"/>
          <w:szCs w:val="24"/>
        </w:rPr>
        <w:t>Ahora bien, se advierte que la solicitud de información versa respecto de las bandas que se van a presentar en el festival arte, queso y vino dos mil veintiséis, por lo que este Órgano Resolutor, localizó lo siguiente:</w:t>
      </w:r>
    </w:p>
    <w:p w:rsidR="00B31375" w:rsidRDefault="00ED6F59">
      <w:pPr>
        <w:spacing w:line="360" w:lineRule="auto"/>
        <w:ind w:right="-876"/>
        <w:rPr>
          <w:sz w:val="24"/>
          <w:szCs w:val="24"/>
        </w:rPr>
      </w:pPr>
      <w:r>
        <w:rPr>
          <w:noProof/>
          <w:sz w:val="24"/>
          <w:szCs w:val="24"/>
        </w:rPr>
        <w:lastRenderedPageBreak/>
        <w:drawing>
          <wp:inline distT="0" distB="0" distL="0" distR="0">
            <wp:extent cx="5742940" cy="5191125"/>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5742940" cy="5191125"/>
                    </a:xfrm>
                    <a:prstGeom prst="rect">
                      <a:avLst/>
                    </a:prstGeom>
                    <a:ln/>
                  </pic:spPr>
                </pic:pic>
              </a:graphicData>
            </a:graphic>
          </wp:inline>
        </w:drawing>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De lo anterior, se observa que existe el evento que refiere el </w:t>
      </w:r>
      <w:r>
        <w:rPr>
          <w:rFonts w:ascii="Palatino Linotype" w:eastAsia="Palatino Linotype" w:hAnsi="Palatino Linotype" w:cs="Palatino Linotype"/>
          <w:b/>
          <w:bCs/>
          <w:sz w:val="24"/>
          <w:szCs w:val="24"/>
        </w:rPr>
        <w:t>PARTICULAR,</w:t>
      </w:r>
      <w:r>
        <w:rPr>
          <w:rFonts w:ascii="Palatino Linotype" w:eastAsia="Palatino Linotype" w:hAnsi="Palatino Linotype" w:cs="Palatino Linotype"/>
          <w:sz w:val="24"/>
          <w:szCs w:val="24"/>
        </w:rPr>
        <w:t xml:space="preserve"> por lo que, se colige que hay hechos notorios de la información solicitada por el </w:t>
      </w:r>
      <w:r>
        <w:rPr>
          <w:rFonts w:ascii="Palatino Linotype" w:eastAsia="Palatino Linotype" w:hAnsi="Palatino Linotype" w:cs="Palatino Linotype"/>
          <w:b/>
          <w:bCs/>
          <w:sz w:val="24"/>
          <w:szCs w:val="24"/>
        </w:rPr>
        <w:t xml:space="preserve">RECURRENTE, </w:t>
      </w:r>
      <w:r>
        <w:rPr>
          <w:rFonts w:ascii="Palatino Linotype" w:eastAsia="Palatino Linotype" w:hAnsi="Palatino Linotype" w:cs="Palatino Linotype"/>
          <w:sz w:val="24"/>
          <w:szCs w:val="24"/>
        </w:rPr>
        <w:t>situación por la cual es aplicable lo siguiente.</w:t>
      </w:r>
    </w:p>
    <w:p w:rsidR="00B31375" w:rsidRDefault="00ED6F59">
      <w:pPr>
        <w:pBdr>
          <w:top w:val="nil"/>
          <w:left w:val="nil"/>
          <w:bottom w:val="nil"/>
          <w:right w:val="nil"/>
          <w:between w:val="nil"/>
        </w:pBdr>
        <w:ind w:left="1134" w:right="-876"/>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sz w:val="24"/>
          <w:szCs w:val="24"/>
        </w:rPr>
        <w:t>”</w:t>
      </w:r>
      <w:r>
        <w:rPr>
          <w:rFonts w:ascii="Palatino Linotype" w:eastAsia="Palatino Linotype" w:hAnsi="Palatino Linotype" w:cs="Palatino Linotype"/>
          <w:b/>
          <w:bCs/>
          <w:i/>
          <w:iCs/>
          <w:sz w:val="24"/>
          <w:szCs w:val="24"/>
        </w:rPr>
        <w:t>HECHOS NOTORIOS. CONCEPTOS GENERAL Y JURÍDICO</w:t>
      </w:r>
    </w:p>
    <w:p w:rsidR="00B31375" w:rsidRDefault="00ED6F59">
      <w:pPr>
        <w:ind w:left="1134"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Conforme al artículo </w:t>
      </w:r>
      <w:hyperlink r:id="rId9">
        <w:r>
          <w:rPr>
            <w:rFonts w:ascii="Palatino Linotype" w:eastAsia="Palatino Linotype" w:hAnsi="Palatino Linotype" w:cs="Palatino Linotype"/>
            <w:i/>
            <w:iCs/>
            <w:sz w:val="24"/>
            <w:szCs w:val="24"/>
          </w:rPr>
          <w:t>88 del Código Federal de Procedimientos Civiles</w:t>
        </w:r>
      </w:hyperlink>
      <w:r>
        <w:rPr>
          <w:rFonts w:ascii="Palatino Linotype" w:eastAsia="Palatino Linotype" w:hAnsi="Palatino Linotype" w:cs="Palatino Linotype"/>
          <w:i/>
          <w:iCs/>
          <w:sz w:val="24"/>
          <w:szCs w:val="24"/>
        </w:rPr>
        <w:t xml:space="preserve"> los tribunales pueden invocar hechos notorios aunque no hayan sido alegados ni probados por las partes. Por hechos </w:t>
      </w:r>
      <w:r>
        <w:rPr>
          <w:rFonts w:ascii="Palatino Linotype" w:eastAsia="Palatino Linotype" w:hAnsi="Palatino Linotype" w:cs="Palatino Linotype"/>
          <w:i/>
          <w:iCs/>
          <w:sz w:val="24"/>
          <w:szCs w:val="24"/>
        </w:rPr>
        <w:lastRenderedPageBreak/>
        <w:t>notorios deben entenderse, en general, aquellos que por el conocimiento humano se consideran ciertos e indiscutibles, ya sea que pertenezcan a la historia, a la ciencia, a la 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rsidR="00B31375" w:rsidRDefault="00ED6F59">
      <w:pPr>
        <w:ind w:left="1134"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Controversia constitucional 24/2005. Cámara de Diputados del Congreso de la Unión. 9 de marzo de 2006. Once votos. Ponente: José Ramón Cossío Díaz. Secretarios: Raúl Manuel Mejía Garza y Laura Patricia Rojas Zamudio.</w:t>
      </w:r>
    </w:p>
    <w:p w:rsidR="00B31375" w:rsidRDefault="00ED6F59">
      <w:pPr>
        <w:ind w:left="1134"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El Tribunal Pleno, el dieciséis de mayo en curso, aprobó, con el número 74/2006, la tesis jurisprudencial que antecede. México, Distrito Federal, a dieciséis de mayo de dos mil seis.</w:t>
      </w:r>
    </w:p>
    <w:p w:rsidR="00B31375" w:rsidRDefault="00ED6F59">
      <w:pPr>
        <w:ind w:left="1134"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Nota: Esta tesis fue objeto de la denuncia relativa a la contradicción de tesis 91/2014, desechada por notoriamente improcedente, mediante acuerdo de 24 de marzo de 2014.”</w:t>
      </w:r>
    </w:p>
    <w:p w:rsidR="00B31375" w:rsidRDefault="00B31375">
      <w:pPr>
        <w:ind w:left="1134" w:right="-876"/>
        <w:jc w:val="both"/>
        <w:rPr>
          <w:rFonts w:ascii="Palatino Linotype" w:eastAsia="Palatino Linotype" w:hAnsi="Palatino Linotype" w:cs="Palatino Linotype"/>
          <w:i/>
          <w:iCs/>
          <w:sz w:val="24"/>
          <w:szCs w:val="24"/>
        </w:rPr>
      </w:pPr>
    </w:p>
    <w:p w:rsidR="00B31375" w:rsidRDefault="00ED6F59">
      <w:pPr>
        <w:ind w:left="1134"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PÁGINAS WEB O ELECTRÓNICAS. SU CONTENIDO ES UN HECHO NOTORIO Y SUSCEPTIBLE DE SER VALORADO EN UNA DECISIÓN JUDICIAL.</w:t>
      </w:r>
      <w:r>
        <w:rPr>
          <w:rFonts w:ascii="Palatino Linotype" w:eastAsia="Palatino Linotype" w:hAnsi="Palatino Linotype" w:cs="Palatino Linotype"/>
          <w:i/>
          <w:iCs/>
          <w:sz w:val="24"/>
          <w:szCs w:val="24"/>
        </w:rPr>
        <w:t xml:space="preserve"> 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w:t>
      </w:r>
      <w:r>
        <w:rPr>
          <w:rFonts w:ascii="Palatino Linotype" w:eastAsia="Palatino Linotype" w:hAnsi="Palatino Linotype" w:cs="Palatino Linotype"/>
          <w:i/>
          <w:iCs/>
          <w:sz w:val="24"/>
          <w:szCs w:val="24"/>
        </w:rPr>
        <w:lastRenderedPageBreak/>
        <w:t xml:space="preserve">que no fue creada por orden del interesado, ya que se le reputará autor y podrá perjudicarle lo que ofrezca en sus términos. </w:t>
      </w:r>
    </w:p>
    <w:p w:rsidR="00B31375" w:rsidRDefault="00ED6F59">
      <w:pPr>
        <w:ind w:left="1134"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TERCER TRIBUNAL COLEGIADO EN MATERIA CIVIL DEL PRIMER CIRCUITO. Amparo en revisión 365/2012. Mardygras, S.A. de C.V. 7 de diciembre de 2012. Unanimidad de votos. Ponente: Neófito López Ramos. Secretaria: Ana Lilia Osorno Arroyo.</w:t>
      </w:r>
    </w:p>
    <w:p w:rsidR="00B31375" w:rsidRDefault="00B31375">
      <w:pPr>
        <w:ind w:right="-876"/>
        <w:rPr>
          <w:sz w:val="24"/>
          <w:szCs w:val="24"/>
        </w:rPr>
      </w:pP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Ahora bien, respecto a la fuente obligacional, el Bando Municipal refiere en su artículo 27 que, su Administración se integra por XII dependencias, entre ellas la Dirección de Administración y la Tesorería Municipal.</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A su vez, el Manual de Organización de la Dirección de Administración, refiere lo siguiente: </w:t>
      </w:r>
    </w:p>
    <w:p w:rsidR="00B31375" w:rsidRDefault="00ED6F59">
      <w:pPr>
        <w:ind w:left="851" w:right="-876"/>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Atribuciones</w:t>
      </w:r>
    </w:p>
    <w:p w:rsidR="00B31375" w:rsidRDefault="00ED6F59">
      <w:pPr>
        <w:ind w:left="851" w:right="-876"/>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 DE LA PERSONA TITULAR DE LA DIRECCIÓN DE ADMINISTRACIÓN </w:t>
      </w:r>
    </w:p>
    <w:p w:rsidR="00B31375" w:rsidRDefault="00ED6F59">
      <w:pPr>
        <w:ind w:left="851"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8</w:t>
      </w:r>
      <w:r>
        <w:rPr>
          <w:rFonts w:ascii="Palatino Linotype" w:eastAsia="Palatino Linotype" w:hAnsi="Palatino Linotype" w:cs="Palatino Linotype"/>
          <w:i/>
          <w:iCs/>
          <w:sz w:val="24"/>
          <w:szCs w:val="24"/>
        </w:rPr>
        <w:t>.1. A la Dirección de Administración a través de su titular le corresponden las siguientes facultades:</w:t>
      </w:r>
    </w:p>
    <w:p w:rsidR="00B31375" w:rsidRDefault="00B31375">
      <w:pPr>
        <w:ind w:left="851" w:right="-876"/>
        <w:jc w:val="both"/>
        <w:rPr>
          <w:rFonts w:ascii="Palatino Linotype" w:eastAsia="Palatino Linotype" w:hAnsi="Palatino Linotype" w:cs="Palatino Linotype"/>
          <w:i/>
          <w:iCs/>
          <w:sz w:val="24"/>
          <w:szCs w:val="24"/>
        </w:rPr>
      </w:pPr>
    </w:p>
    <w:p w:rsidR="00B31375" w:rsidRDefault="00ED6F59">
      <w:pPr>
        <w:ind w:left="851"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XI. Autorizar las convocatorias, bases y suscribir los contratos derivados de los procedimientos de adquisición de bienes y contratación de servicios, de conformidad con la legislación aplicable;</w:t>
      </w:r>
    </w:p>
    <w:p w:rsidR="00B31375" w:rsidRDefault="00B31375">
      <w:pPr>
        <w:ind w:left="851" w:right="-876"/>
        <w:jc w:val="both"/>
        <w:rPr>
          <w:rFonts w:ascii="Palatino Linotype" w:eastAsia="Palatino Linotype" w:hAnsi="Palatino Linotype" w:cs="Palatino Linotype"/>
          <w:i/>
          <w:iCs/>
          <w:sz w:val="24"/>
          <w:szCs w:val="24"/>
        </w:rPr>
      </w:pPr>
    </w:p>
    <w:p w:rsidR="00B31375" w:rsidRDefault="00ED6F59">
      <w:pPr>
        <w:ind w:left="851"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B31375" w:rsidRDefault="00B31375">
      <w:pPr>
        <w:spacing w:line="360" w:lineRule="auto"/>
        <w:ind w:left="851" w:right="-876"/>
        <w:jc w:val="both"/>
        <w:rPr>
          <w:rFonts w:ascii="Palatino Linotype" w:eastAsia="Palatino Linotype" w:hAnsi="Palatino Linotype" w:cs="Palatino Linotype"/>
          <w:i/>
          <w:iCs/>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Por lo que hace a la Tesorería Municipal, el Manual de Organización de dicha dependencia, refiere en su artículo 95, que son atribuciones del Tesorero, las siguientes:</w:t>
      </w:r>
    </w:p>
    <w:p w:rsidR="00B31375" w:rsidRDefault="00ED6F59">
      <w:pPr>
        <w:ind w:left="851"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w:t>
      </w:r>
    </w:p>
    <w:p w:rsidR="00B31375" w:rsidRDefault="00ED6F59">
      <w:pPr>
        <w:ind w:left="851"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IV. Llevar los registros contables, financieros y administrativos de los ingresos, egresos e inventarios. </w:t>
      </w:r>
    </w:p>
    <w:p w:rsidR="00B31375" w:rsidRDefault="00ED6F59">
      <w:pPr>
        <w:ind w:left="851"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w:t>
      </w: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bookmarkStart w:id="10" w:name="_heading=h.g7rrxkg2iagi" w:colFirst="0" w:colLast="0"/>
      <w:bookmarkEnd w:id="10"/>
      <w:r>
        <w:rPr>
          <w:rFonts w:ascii="Palatino Linotype" w:eastAsia="Palatino Linotype" w:hAnsi="Palatino Linotype" w:cs="Palatino Linotype"/>
          <w:sz w:val="24"/>
          <w:szCs w:val="24"/>
        </w:rPr>
        <w:lastRenderedPageBreak/>
        <w:t>De lo anterior, se observa que la Dirección de Administración y la Tesorería , dada la naturaleza de la información solicitada, son las encargadas de generar, poseer y/o administrar la información.</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En ese tenor, se advierte que si bien es cierto, se pronunció el Director de Administración, quien fue preciso en referir que a la fecha de la solicitud no se cuenta con lo solicitado, también cierto es que, como se evidenció en líneas anteriores, las bandas y artistas fueron publicadas en la cartelera que se publicó en la página oficial del Ayuntamiento, por lo que se infiere, que al ya haberse hecho pública esta información, se debió llegar a un acuerdo legal de la prestación de servicios mediante el cual el artista y/o banda, se compromete a brindar sus servicios musicales a cambio de un retribución económica, que se materializa en un contrato.</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Asimismo, no se advierte que se haya turnado la solicitud de información a la Tesorería Municipal, en virtud que de las constancias que obran en el expediente electrónico en que se actúa, no se realizaron requerimientos a otras áreas de la Secretaría como se observa:</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noProof/>
          <w:sz w:val="24"/>
          <w:szCs w:val="24"/>
        </w:rPr>
        <w:drawing>
          <wp:inline distT="0" distB="0" distL="0" distR="0">
            <wp:extent cx="5742940" cy="53276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742940" cy="532765"/>
                    </a:xfrm>
                    <a:prstGeom prst="rect">
                      <a:avLst/>
                    </a:prstGeom>
                    <a:ln/>
                  </pic:spPr>
                </pic:pic>
              </a:graphicData>
            </a:graphic>
          </wp:inline>
        </w:drawing>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Al respecto, el derecho de acceso a la información pública es un derecho humano constitucionalmente reconocido en consecuencia todas las autoridades en el ámbito de sus competencias, funciones y atribuciones tienen la obligación de respetarlo, protegerlo y </w:t>
      </w:r>
      <w:r>
        <w:rPr>
          <w:rFonts w:ascii="Palatino Linotype" w:eastAsia="Palatino Linotype" w:hAnsi="Palatino Linotype" w:cs="Palatino Linotype"/>
          <w:sz w:val="24"/>
          <w:szCs w:val="24"/>
        </w:rPr>
        <w:lastRenderedPageBreak/>
        <w:t xml:space="preserve">garantizar, así también </w:t>
      </w:r>
      <w:r>
        <w:rPr>
          <w:rFonts w:ascii="Palatino Linotype" w:eastAsia="Palatino Linotype" w:hAnsi="Palatino Linotype" w:cs="Palatino Linotype"/>
          <w:b/>
          <w:bCs/>
          <w:sz w:val="24"/>
          <w:szCs w:val="24"/>
        </w:rPr>
        <w:t>es su deber turnar la solicitud de información a todas las áreas dentro de su estructura orgánica que pudieran contar con lo solicitado</w:t>
      </w:r>
      <w:r>
        <w:rPr>
          <w:rFonts w:ascii="Palatino Linotype" w:eastAsia="Palatino Linotype" w:hAnsi="Palatino Linotype" w:cs="Palatino Linotype"/>
          <w:sz w:val="24"/>
          <w:szCs w:val="24"/>
        </w:rPr>
        <w:t>, a fin de dar cabal cumplimiento al derecho humano constitucionalmente reconocido.</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b/>
          <w:bCs/>
        </w:rPr>
      </w:pPr>
      <w:r>
        <w:rPr>
          <w:rFonts w:ascii="Palatino Linotype" w:eastAsia="Palatino Linotype" w:hAnsi="Palatino Linotype" w:cs="Palatino Linotype"/>
          <w:sz w:val="24"/>
          <w:szCs w:val="24"/>
        </w:rPr>
        <w:t>En esa tesitura, el procedimiento de acceso a la información pública, descrito en el Título Séptimo de la Ley de Transparencia describe los pasos que debe seguir la autoridad para atender las solicitudes que presenten las personas en ejercicio de su derecho, entre los cuales se encuentra el deber de las Unidades de Transparencia de turnar a todas las áreas competentes que cuenten con la información o deban tenerla de acuerdo a sus facultades, competencias y funciones, con el objeto de que realicen una búsqueda exhaustiva y razonable de la información solicitada, según se asienta en el artículo 162 de la ley citada.</w:t>
      </w:r>
    </w:p>
    <w:p w:rsidR="00B31375" w:rsidRDefault="00ED6F59">
      <w:pPr>
        <w:spacing w:line="360" w:lineRule="auto"/>
        <w:ind w:left="567" w:right="-876"/>
        <w:jc w:val="both"/>
        <w:rPr>
          <w:rFonts w:ascii="Palatino Linotype" w:eastAsia="Palatino Linotype" w:hAnsi="Palatino Linotype" w:cs="Palatino Linotype"/>
          <w:i/>
          <w:iCs/>
          <w:sz w:val="24"/>
          <w:szCs w:val="24"/>
          <w:u w:val="single"/>
        </w:rPr>
      </w:pPr>
      <w:r>
        <w:rPr>
          <w:rFonts w:ascii="Palatino Linotype" w:eastAsia="Palatino Linotype" w:hAnsi="Palatino Linotype" w:cs="Palatino Linotype"/>
          <w:b/>
          <w:bCs/>
          <w:i/>
          <w:iCs/>
          <w:sz w:val="24"/>
          <w:szCs w:val="24"/>
        </w:rPr>
        <w:t>“Artículo 162.</w:t>
      </w:r>
      <w:r>
        <w:rPr>
          <w:rFonts w:ascii="Palatino Linotype" w:eastAsia="Palatino Linotype" w:hAnsi="Palatino Linotype" w:cs="Palatino Linotype"/>
          <w:i/>
          <w:iCs/>
          <w:sz w:val="24"/>
          <w:szCs w:val="24"/>
        </w:rPr>
        <w:t xml:space="preserve"> </w:t>
      </w:r>
      <w:r>
        <w:rPr>
          <w:rFonts w:ascii="Palatino Linotype" w:eastAsia="Palatino Linotype" w:hAnsi="Palatino Linotype" w:cs="Palatino Linotype"/>
          <w:i/>
          <w:iCs/>
          <w:sz w:val="24"/>
          <w:szCs w:val="24"/>
          <w:u w:val="single"/>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B31375" w:rsidRDefault="00B31375">
      <w:pPr>
        <w:spacing w:line="360" w:lineRule="auto"/>
        <w:ind w:left="567" w:right="-876"/>
        <w:jc w:val="both"/>
        <w:rPr>
          <w:rFonts w:ascii="Palatino Linotype" w:eastAsia="Palatino Linotype" w:hAnsi="Palatino Linotype" w:cs="Palatino Linotype"/>
          <w:i/>
          <w:iCs/>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El buscar exhaustivamente en sus archivos, es identificar la unidad(s) administrativa(s) que resguarda el documento al que una persona pretende acceder, es practicar una adecuada gestión documental que nos permite localizar el documento, como bien señala el artículo 159 de la Ley de Transparencia local.</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lastRenderedPageBreak/>
        <w:t xml:space="preserve">De la normatividad en cita, se desprende que las Unidades de Transparencia, se erigen como el área responsable en cada Sujeto Obligado que tiene a su cargo la atención de las solicitudes de información que se realicen al amparo de la Ley. </w:t>
      </w:r>
    </w:p>
    <w:p w:rsidR="00B31375" w:rsidRDefault="00B31375">
      <w:pPr>
        <w:pBdr>
          <w:top w:val="nil"/>
          <w:left w:val="nil"/>
          <w:bottom w:val="nil"/>
          <w:right w:val="nil"/>
          <w:between w:val="nil"/>
        </w:pBdr>
        <w:spacing w:line="360" w:lineRule="auto"/>
        <w:ind w:left="360" w:right="-876"/>
        <w:jc w:val="both"/>
        <w:rPr>
          <w:rFonts w:ascii="Palatino Linotype" w:eastAsia="Palatino Linotype" w:hAnsi="Palatino Linotype" w:cs="Palatino Linotype"/>
          <w:color w:val="000000"/>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El responsable de dicha área funge como enlace entre </w:t>
      </w:r>
      <w:r>
        <w:rPr>
          <w:rFonts w:ascii="Palatino Linotype" w:eastAsia="Palatino Linotype" w:hAnsi="Palatino Linotype" w:cs="Palatino Linotype"/>
          <w:b/>
          <w:bCs/>
          <w:sz w:val="24"/>
          <w:szCs w:val="24"/>
        </w:rPr>
        <w:t>EL SUJETO OBLIGADO</w:t>
      </w:r>
      <w:r>
        <w:rPr>
          <w:rFonts w:ascii="Palatino Linotype" w:eastAsia="Palatino Linotype" w:hAnsi="Palatino Linotype" w:cs="Palatino Linotype"/>
          <w:sz w:val="24"/>
          <w:szCs w:val="24"/>
        </w:rPr>
        <w:t xml:space="preserve"> y los solicitantes, y tiene bajo su responsabilidad el tramitar internamente la solicitud de información.</w:t>
      </w:r>
    </w:p>
    <w:p w:rsidR="00B31375" w:rsidRDefault="00B31375">
      <w:pPr>
        <w:pBdr>
          <w:top w:val="nil"/>
          <w:left w:val="nil"/>
          <w:bottom w:val="nil"/>
          <w:right w:val="nil"/>
          <w:between w:val="nil"/>
        </w:pBdr>
        <w:spacing w:line="360" w:lineRule="auto"/>
        <w:ind w:left="360" w:right="-876"/>
        <w:jc w:val="both"/>
        <w:rPr>
          <w:rFonts w:ascii="Palatino Linotype" w:eastAsia="Palatino Linotype" w:hAnsi="Palatino Linotype" w:cs="Palatino Linotype"/>
          <w:color w:val="000000"/>
          <w:sz w:val="24"/>
          <w:szCs w:val="24"/>
        </w:rPr>
      </w:pPr>
    </w:p>
    <w:p w:rsidR="00B31375" w:rsidRPr="00B53F7A"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De tal manera que, si bien, el Titular de la Unidad de Transparencia no tiene bajo su resguardo el archivo que contiene la documentación en donde consta la información solicitada, sino que pudiera obrar en las distintas áreas que conforman la estructura del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es por ello que, debe turnar la solicitud a todas las áreas que conforme a sus atribuciones y funciones generen, administren o posean la información requerida por la particular; pues tienen como función, buscar, localizar y poseer la información, así como entregarla.</w:t>
      </w:r>
    </w:p>
    <w:p w:rsidR="00B53F7A" w:rsidRDefault="00B53F7A" w:rsidP="00B53F7A">
      <w:pPr>
        <w:spacing w:line="360" w:lineRule="auto"/>
        <w:ind w:right="-876"/>
        <w:jc w:val="both"/>
        <w:rPr>
          <w:rFonts w:ascii="Palatino Linotype" w:eastAsia="Palatino Linotype" w:hAnsi="Palatino Linotype" w:cs="Palatino Linotype"/>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Es así que, le corresponde al Titular de la Unidad de Transparencia el garantizar que las solicitudes se turnen a las áreas competentes que puedan contar con la información, con el objeto de que se realice una búsqueda exhaustiva y razonable de la misma, como en el caso que nos ocupa, es la Tesorería Municipal.</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 xml:space="preserve">Ahora bien, no se soslaya que si bien es cierto, la solicitud de información que nos ocupa fue ingresada el seis de abril de dos mil veintiséis y las bandas y/o artistas de acuerdo a la </w:t>
      </w:r>
      <w:r>
        <w:rPr>
          <w:rFonts w:ascii="Palatino Linotype" w:eastAsia="Palatino Linotype" w:hAnsi="Palatino Linotype" w:cs="Palatino Linotype"/>
          <w:sz w:val="24"/>
          <w:szCs w:val="24"/>
        </w:rPr>
        <w:lastRenderedPageBreak/>
        <w:t xml:space="preserve">cartelera tuvieron parte del viernes diez de abril al domingo doce de abril de dos mil veintiséis, se advierte que el </w:t>
      </w:r>
      <w:r>
        <w:rPr>
          <w:rFonts w:ascii="Palatino Linotype" w:eastAsia="Palatino Linotype" w:hAnsi="Palatino Linotype" w:cs="Palatino Linotype"/>
          <w:b/>
          <w:bCs/>
          <w:sz w:val="24"/>
          <w:szCs w:val="24"/>
        </w:rPr>
        <w:t xml:space="preserve">SUJETO OBLIGADO, </w:t>
      </w:r>
      <w:r>
        <w:rPr>
          <w:rFonts w:ascii="Palatino Linotype" w:eastAsia="Palatino Linotype" w:hAnsi="Palatino Linotype" w:cs="Palatino Linotype"/>
          <w:sz w:val="24"/>
          <w:szCs w:val="24"/>
        </w:rPr>
        <w:t>debió contar con el documento que dé cuenta de lo solicitado, que de manera enunciativa más no limitativa es el contrato y/o las factura,  pues -se insiste- debió existir previamente el acuerdo de voluntades y pactarse el cobro por las presentaciones a realizar.</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sz w:val="24"/>
          <w:szCs w:val="24"/>
        </w:rPr>
        <w:t>Es por lo anterior, que no se puede tener por colmada en su totalidad la solicitud de información</w:t>
      </w:r>
      <w:r>
        <w:rPr>
          <w:rFonts w:ascii="Palatino Linotype" w:eastAsia="Palatino Linotype" w:hAnsi="Palatino Linotype" w:cs="Palatino Linotype"/>
          <w:b/>
          <w:bCs/>
          <w:sz w:val="24"/>
          <w:szCs w:val="24"/>
        </w:rPr>
        <w:t xml:space="preserve"> 00134/CUAUTIZC/IP/2026, </w:t>
      </w:r>
      <w:r>
        <w:rPr>
          <w:rFonts w:ascii="Palatino Linotype" w:eastAsia="Palatino Linotype" w:hAnsi="Palatino Linotype" w:cs="Palatino Linotype"/>
          <w:sz w:val="24"/>
          <w:szCs w:val="24"/>
        </w:rPr>
        <w:t>resultando dable ordenar la búsqueda exhaustiva y razonable a efecto de que se entregue a través del SAIMEX, de ser procedente en versión pública, el documento en donde conste o se advierta el monto que cobraron las bandas y/o artistas en el festival arte, queso y vino al seis de abril de dos mil veintiséis.</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Al respecto de lo anterior, 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los Sujetos Obligados deberán documentar todo acto que se derive del ejercicio de sus facultades, competencias o funciones, considerando desde su origen la eventual publicidad y reutilización de la información que generen, posean o administren.</w:t>
      </w:r>
    </w:p>
    <w:p w:rsidR="00B31375" w:rsidRDefault="00B31375">
      <w:pPr>
        <w:spacing w:line="360" w:lineRule="auto"/>
        <w:ind w:right="-876"/>
        <w:jc w:val="both"/>
        <w:rPr>
          <w:rFonts w:ascii="Palatino Linotype" w:eastAsia="Palatino Linotype" w:hAnsi="Palatino Linotype" w:cs="Palatino Linotype"/>
          <w:color w:val="000000"/>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lastRenderedPageBreak/>
        <w:t>Además, debemos tomar en cuenta los artículos 4 y 12, de la Ley de Transparencia y Acceso a la Información Pública del Estado de México y Municipios, los cuales establecen lo siguiente:</w:t>
      </w: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Artículo 4.</w:t>
      </w:r>
      <w:r>
        <w:rPr>
          <w:rFonts w:ascii="Palatino Linotype" w:eastAsia="Palatino Linotype" w:hAnsi="Palatino Linotype" w:cs="Palatino Linotype"/>
          <w:i/>
          <w:iCs/>
          <w:color w:val="000000"/>
          <w:sz w:val="24"/>
          <w:szCs w:val="24"/>
        </w:rPr>
        <w:t xml:space="preserve"> El derecho humano de acceso a la información pública es la prerrogativa de las personas para buscar, difundir, investigar, recabar, recibir y solicitar información pública, sin necesidad de acreditar personalidad ni interés jurídico.</w:t>
      </w:r>
    </w:p>
    <w:p w:rsidR="00B31375" w:rsidRDefault="00B31375">
      <w:pPr>
        <w:spacing w:line="360" w:lineRule="auto"/>
        <w:ind w:left="567" w:right="-876"/>
        <w:jc w:val="both"/>
        <w:rPr>
          <w:rFonts w:ascii="Palatino Linotype" w:eastAsia="Palatino Linotype" w:hAnsi="Palatino Linotype" w:cs="Palatino Linotype"/>
          <w:i/>
          <w:iCs/>
          <w:color w:val="000000"/>
          <w:sz w:val="24"/>
          <w:szCs w:val="24"/>
        </w:rPr>
      </w:pP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B31375" w:rsidRDefault="00B31375">
      <w:pPr>
        <w:spacing w:line="360" w:lineRule="auto"/>
        <w:ind w:left="567" w:right="-876"/>
        <w:jc w:val="both"/>
        <w:rPr>
          <w:rFonts w:ascii="Palatino Linotype" w:eastAsia="Palatino Linotype" w:hAnsi="Palatino Linotype" w:cs="Palatino Linotype"/>
          <w:i/>
          <w:iCs/>
          <w:color w:val="000000"/>
          <w:sz w:val="24"/>
          <w:szCs w:val="24"/>
        </w:rPr>
      </w:pP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Los sujetos obligados deben poner en práctica, políticas y programas de acceso a la información que se apeguen a criterios de publicidad, veracidad, oportunidad, precisión y suficiencia en beneficio de los solicitantes.</w:t>
      </w: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Artículo 12.</w:t>
      </w:r>
      <w:r>
        <w:rPr>
          <w:rFonts w:ascii="Palatino Linotype" w:eastAsia="Palatino Linotype" w:hAnsi="Palatino Linotype" w:cs="Palatino Linotype"/>
          <w:i/>
          <w:iCs/>
          <w:color w:val="000000"/>
          <w:sz w:val="24"/>
          <w:szCs w:val="24"/>
        </w:rPr>
        <w:t xml:space="preserve"> Quienes generen, recopilen, administren, manejen, procesen, archiven o conserven información pública serán responsables de la misma en los términos de las disposiciones jurídicas aplicables. </w:t>
      </w:r>
    </w:p>
    <w:p w:rsidR="00B31375" w:rsidRDefault="00B31375">
      <w:pPr>
        <w:spacing w:line="360" w:lineRule="auto"/>
        <w:ind w:left="567" w:right="-876"/>
        <w:jc w:val="both"/>
        <w:rPr>
          <w:rFonts w:ascii="Palatino Linotype" w:eastAsia="Palatino Linotype" w:hAnsi="Palatino Linotype" w:cs="Palatino Linotype"/>
          <w:i/>
          <w:iCs/>
          <w:color w:val="000000"/>
          <w:sz w:val="24"/>
          <w:szCs w:val="24"/>
        </w:rPr>
      </w:pP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B31375" w:rsidRDefault="00B31375">
      <w:pPr>
        <w:spacing w:line="360" w:lineRule="auto"/>
        <w:ind w:right="-876"/>
        <w:jc w:val="both"/>
        <w:rPr>
          <w:rFonts w:ascii="Palatino Linotype" w:eastAsia="Palatino Linotype" w:hAnsi="Palatino Linotype" w:cs="Palatino Linotype"/>
          <w:color w:val="000000"/>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B31375" w:rsidRDefault="00B31375">
      <w:pPr>
        <w:spacing w:line="360" w:lineRule="auto"/>
        <w:ind w:right="-876"/>
        <w:jc w:val="both"/>
        <w:rPr>
          <w:rFonts w:ascii="Palatino Linotype" w:eastAsia="Palatino Linotype" w:hAnsi="Palatino Linotype" w:cs="Palatino Linotype"/>
          <w:color w:val="000000"/>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ACCESO A LA INFORMACIÓN. IMPLICACIÓN DEL PRINCIPIO DE MÁXIMA PUBLICIDAD EN EL DERECHO FUNDAMENTAL RELATIVO.</w:t>
      </w:r>
      <w:r>
        <w:rPr>
          <w:rFonts w:ascii="Palatino Linotype" w:eastAsia="Palatino Linotype" w:hAnsi="Palatino Linotype" w:cs="Palatino Linotype"/>
          <w:i/>
          <w:iCs/>
          <w:color w:val="000000"/>
          <w:sz w:val="24"/>
          <w:szCs w:val="24"/>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w:t>
      </w:r>
      <w:r>
        <w:rPr>
          <w:rFonts w:ascii="Palatino Linotype" w:eastAsia="Palatino Linotype" w:hAnsi="Palatino Linotype" w:cs="Palatino Linotype"/>
          <w:i/>
          <w:iCs/>
          <w:color w:val="000000"/>
          <w:sz w:val="24"/>
          <w:szCs w:val="24"/>
        </w:rPr>
        <w:lastRenderedPageBreak/>
        <w:t xml:space="preserve">"ACCESO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B31375" w:rsidRDefault="00B31375">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 xml:space="preserve">Como se ha señalado, los Sujetos Obligados deberán proporcionar toda la información que se encuentre en su posesión bajo los estándares más altos de transparencia y máxima publicidad. </w:t>
      </w:r>
    </w:p>
    <w:p w:rsidR="00B31375" w:rsidRDefault="00B31375">
      <w:pPr>
        <w:spacing w:line="360" w:lineRule="auto"/>
        <w:ind w:right="-876"/>
        <w:jc w:val="both"/>
        <w:rPr>
          <w:rFonts w:ascii="Palatino Linotype" w:eastAsia="Palatino Linotype" w:hAnsi="Palatino Linotype" w:cs="Palatino Linotype"/>
          <w:color w:val="000000"/>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Es pertinente enfatizar lo que respecto al derecho de acceso a la información pública, refiere el artículo 6° de la Constitución Política de los Estados Unidos Mexicanos, que en su parte conducente señala:</w:t>
      </w: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lastRenderedPageBreak/>
        <w:t>“Artículo 6o.</w:t>
      </w:r>
      <w:r>
        <w:rPr>
          <w:rFonts w:ascii="Palatino Linotype" w:eastAsia="Palatino Linotype" w:hAnsi="Palatino Linotype" w:cs="Palatino Linotype"/>
          <w:i/>
          <w:iCs/>
          <w:color w:val="000000"/>
          <w:sz w:val="24"/>
          <w:szCs w:val="24"/>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B31375" w:rsidRDefault="00B31375">
      <w:pPr>
        <w:spacing w:line="360" w:lineRule="auto"/>
        <w:ind w:left="567" w:right="-876"/>
        <w:jc w:val="both"/>
        <w:rPr>
          <w:rFonts w:ascii="Palatino Linotype" w:eastAsia="Palatino Linotype" w:hAnsi="Palatino Linotype" w:cs="Palatino Linotype"/>
          <w:i/>
          <w:iCs/>
          <w:color w:val="000000"/>
          <w:sz w:val="24"/>
          <w:szCs w:val="24"/>
        </w:rPr>
      </w:pP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Toda persona tiene derecho al libre acceso a información plural y oportuna, así como a buscar, recibir y difundir información e ideas de toda índole por cualquier medio de expresión.</w:t>
      </w:r>
    </w:p>
    <w:p w:rsidR="00B31375" w:rsidRDefault="00B31375">
      <w:pPr>
        <w:spacing w:line="360" w:lineRule="auto"/>
        <w:ind w:left="567" w:right="-876"/>
        <w:jc w:val="both"/>
        <w:rPr>
          <w:rFonts w:ascii="Palatino Linotype" w:eastAsia="Palatino Linotype" w:hAnsi="Palatino Linotype" w:cs="Palatino Linotype"/>
          <w:i/>
          <w:iCs/>
          <w:color w:val="000000"/>
          <w:sz w:val="24"/>
          <w:szCs w:val="24"/>
        </w:rPr>
      </w:pP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Para efectos de lo dispuesto en el presente artículo se observará lo siguiente:</w:t>
      </w:r>
    </w:p>
    <w:p w:rsidR="00B31375" w:rsidRDefault="00B31375">
      <w:pPr>
        <w:spacing w:line="360" w:lineRule="auto"/>
        <w:ind w:left="567" w:right="-876"/>
        <w:jc w:val="both"/>
        <w:rPr>
          <w:rFonts w:ascii="Palatino Linotype" w:eastAsia="Palatino Linotype" w:hAnsi="Palatino Linotype" w:cs="Palatino Linotype"/>
          <w:i/>
          <w:iCs/>
          <w:color w:val="000000"/>
          <w:sz w:val="24"/>
          <w:szCs w:val="24"/>
        </w:rPr>
      </w:pPr>
    </w:p>
    <w:p w:rsidR="00B31375" w:rsidRDefault="00ED6F59">
      <w:pPr>
        <w:numPr>
          <w:ilvl w:val="4"/>
          <w:numId w:val="10"/>
        </w:numPr>
        <w:pBdr>
          <w:top w:val="nil"/>
          <w:left w:val="nil"/>
          <w:bottom w:val="nil"/>
          <w:right w:val="nil"/>
          <w:between w:val="nil"/>
        </w:pBdr>
        <w:spacing w:line="360" w:lineRule="auto"/>
        <w:ind w:left="567" w:right="-876"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Para el ejercicio del derecho de acceso a la información, la Federación, los Estados y el Distrito Federal, en el ámbito de sus respectivas competencias, se regirán por los siguientes principios y bases:</w:t>
      </w:r>
    </w:p>
    <w:p w:rsidR="00B31375" w:rsidRDefault="00B31375">
      <w:pPr>
        <w:spacing w:line="360" w:lineRule="auto"/>
        <w:ind w:left="567" w:right="-876"/>
        <w:jc w:val="both"/>
        <w:rPr>
          <w:rFonts w:ascii="Palatino Linotype" w:eastAsia="Palatino Linotype" w:hAnsi="Palatino Linotype" w:cs="Palatino Linotype"/>
          <w:i/>
          <w:iCs/>
          <w:color w:val="000000"/>
          <w:sz w:val="24"/>
          <w:szCs w:val="24"/>
        </w:rPr>
      </w:pP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lastRenderedPageBreak/>
        <w:t>La información que se refiere a la vida privada y los datos personales será protegida en los términos y con las excepciones que fijen las leyes.</w:t>
      </w: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Toda persona, sin necesidad de acreditar interés alguno o justificar su utilización, tendrá acceso gratuito a la información pública, a sus datos personales o a la rectificación de éstos.</w:t>
      </w:r>
    </w:p>
    <w:p w:rsidR="00B31375" w:rsidRDefault="00B31375">
      <w:pPr>
        <w:spacing w:line="360" w:lineRule="auto"/>
        <w:ind w:left="567" w:right="-876"/>
        <w:jc w:val="both"/>
        <w:rPr>
          <w:rFonts w:ascii="Palatino Linotype" w:eastAsia="Palatino Linotype" w:hAnsi="Palatino Linotype" w:cs="Palatino Linotype"/>
          <w:i/>
          <w:iCs/>
          <w:color w:val="000000"/>
          <w:sz w:val="24"/>
          <w:szCs w:val="24"/>
        </w:rPr>
      </w:pP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Se establecerán mecanismos de acceso a la información y procedimientos de revisión expeditos que se sustanciarán ante los organismos autónomos especializados e imparciales que establece esta Constitución.</w:t>
      </w:r>
    </w:p>
    <w:p w:rsidR="00B31375" w:rsidRDefault="00B31375">
      <w:pPr>
        <w:spacing w:line="360" w:lineRule="auto"/>
        <w:ind w:left="567" w:right="-876"/>
        <w:jc w:val="both"/>
        <w:rPr>
          <w:rFonts w:ascii="Palatino Linotype" w:eastAsia="Palatino Linotype" w:hAnsi="Palatino Linotype" w:cs="Palatino Linotype"/>
          <w:i/>
          <w:iCs/>
          <w:color w:val="000000"/>
          <w:sz w:val="24"/>
          <w:szCs w:val="24"/>
        </w:rPr>
      </w:pP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rsidR="00B31375" w:rsidRDefault="00B31375">
      <w:pPr>
        <w:spacing w:line="360" w:lineRule="auto"/>
        <w:ind w:left="567" w:right="-876"/>
        <w:jc w:val="both"/>
        <w:rPr>
          <w:rFonts w:ascii="Palatino Linotype" w:eastAsia="Palatino Linotype" w:hAnsi="Palatino Linotype" w:cs="Palatino Linotype"/>
          <w:i/>
          <w:iCs/>
          <w:color w:val="000000"/>
          <w:sz w:val="24"/>
          <w:szCs w:val="24"/>
        </w:rPr>
      </w:pP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Las leyes determinarán la manera en que los sujetos obligados deberán hacer pública la información relativa a los recursos públicos que entreguen a personas físicas o morales.</w:t>
      </w:r>
    </w:p>
    <w:p w:rsidR="00B31375" w:rsidRDefault="00B31375">
      <w:pPr>
        <w:spacing w:line="360" w:lineRule="auto"/>
        <w:ind w:left="567" w:right="-876"/>
        <w:jc w:val="both"/>
        <w:rPr>
          <w:rFonts w:ascii="Palatino Linotype" w:eastAsia="Palatino Linotype" w:hAnsi="Palatino Linotype" w:cs="Palatino Linotype"/>
          <w:i/>
          <w:iCs/>
          <w:color w:val="000000"/>
          <w:sz w:val="24"/>
          <w:szCs w:val="24"/>
        </w:rPr>
      </w:pP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La inobservancia a las disposiciones en materia de acceso a la información pública será sancionada en los términos que dispongan las leyes.</w:t>
      </w: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w:t>
      </w:r>
      <w:r>
        <w:rPr>
          <w:rFonts w:ascii="Palatino Linotype" w:eastAsia="Palatino Linotype" w:hAnsi="Palatino Linotype" w:cs="Palatino Linotype"/>
          <w:i/>
          <w:iCs/>
          <w:color w:val="000000"/>
          <w:sz w:val="24"/>
          <w:szCs w:val="24"/>
        </w:rPr>
        <w:lastRenderedPageBreak/>
        <w:t>garantizar el cumplimiento del derecho de acceso a la información pública y a la protección de datos personales en posesión de los sujetos obligados en los términos que establezca la ley.</w:t>
      </w: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La ley establecerá aquella información que se considere reservada o confidencial.”</w:t>
      </w:r>
    </w:p>
    <w:p w:rsidR="00B31375" w:rsidRDefault="00B31375">
      <w:pPr>
        <w:spacing w:line="360" w:lineRule="auto"/>
        <w:ind w:right="-876"/>
        <w:jc w:val="both"/>
        <w:rPr>
          <w:rFonts w:ascii="Palatino Linotype" w:eastAsia="Palatino Linotype" w:hAnsi="Palatino Linotype" w:cs="Palatino Linotype"/>
          <w:color w:val="000000"/>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Por su parte, la Constitución Política del Estado Libre y Soberano de México, en su artículo 5°, dispone en su parte conducente, lo siguiente:</w:t>
      </w: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i/>
          <w:iCs/>
          <w:color w:val="000000"/>
          <w:sz w:val="24"/>
          <w:szCs w:val="24"/>
        </w:rPr>
        <w:t xml:space="preserve">“Artículo 5. … </w:t>
      </w: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El derecho a la información será garantizado por el Estado</w:t>
      </w:r>
      <w:r>
        <w:rPr>
          <w:rFonts w:ascii="Palatino Linotype" w:eastAsia="Palatino Linotype" w:hAnsi="Palatino Linotype" w:cs="Palatino Linotype"/>
          <w:i/>
          <w:iCs/>
          <w:color w:val="000000"/>
          <w:sz w:val="24"/>
          <w:szCs w:val="24"/>
        </w:rPr>
        <w:t xml:space="preserve">. La ley establecerá las previsiones que permitan asegurar la protección, el respeto y la difusión de este derecho. </w:t>
      </w: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rsidR="00B31375" w:rsidRDefault="00B31375">
      <w:pPr>
        <w:spacing w:line="360" w:lineRule="auto"/>
        <w:ind w:left="567" w:right="-876"/>
        <w:jc w:val="both"/>
        <w:rPr>
          <w:rFonts w:ascii="Palatino Linotype" w:eastAsia="Palatino Linotype" w:hAnsi="Palatino Linotype" w:cs="Palatino Linotype"/>
          <w:i/>
          <w:iCs/>
          <w:color w:val="000000"/>
          <w:sz w:val="24"/>
          <w:szCs w:val="24"/>
        </w:rPr>
      </w:pP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Este derecho se regirá por los principios y bases siguientes:</w:t>
      </w:r>
    </w:p>
    <w:p w:rsidR="00B31375" w:rsidRDefault="00B31375">
      <w:pPr>
        <w:spacing w:line="360" w:lineRule="auto"/>
        <w:ind w:left="567" w:right="-876"/>
        <w:jc w:val="both"/>
        <w:rPr>
          <w:rFonts w:ascii="Palatino Linotype" w:eastAsia="Palatino Linotype" w:hAnsi="Palatino Linotype" w:cs="Palatino Linotype"/>
          <w:i/>
          <w:iCs/>
          <w:color w:val="000000"/>
          <w:sz w:val="24"/>
          <w:szCs w:val="24"/>
        </w:rPr>
      </w:pPr>
    </w:p>
    <w:p w:rsidR="00B31375" w:rsidRDefault="00ED6F59">
      <w:pPr>
        <w:numPr>
          <w:ilvl w:val="3"/>
          <w:numId w:val="10"/>
        </w:numPr>
        <w:pBdr>
          <w:top w:val="nil"/>
          <w:left w:val="nil"/>
          <w:bottom w:val="nil"/>
          <w:right w:val="nil"/>
          <w:between w:val="nil"/>
        </w:pBdr>
        <w:spacing w:line="360" w:lineRule="auto"/>
        <w:ind w:left="567" w:right="-876"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Toda la información en posesión de cualquier autoridad</w:t>
      </w:r>
      <w:r>
        <w:rPr>
          <w:rFonts w:ascii="Palatino Linotype" w:eastAsia="Palatino Linotype" w:hAnsi="Palatino Linotype" w:cs="Palatino Linotype"/>
          <w:i/>
          <w:iCs/>
          <w:color w:val="000000"/>
          <w:sz w:val="24"/>
          <w:szCs w:val="24"/>
        </w:rPr>
        <w:t xml:space="preserve">, entidad, órgano y organismos de los Poderes Ejecutivo, Legislativo y Judicial, órganos autónomos, partidos políticos, fideicomisos y fondos públicos estatales y municipales, </w:t>
      </w:r>
      <w:r>
        <w:rPr>
          <w:rFonts w:ascii="Palatino Linotype" w:eastAsia="Palatino Linotype" w:hAnsi="Palatino Linotype" w:cs="Palatino Linotype"/>
          <w:b/>
          <w:bCs/>
          <w:i/>
          <w:iCs/>
          <w:color w:val="000000"/>
          <w:sz w:val="24"/>
          <w:szCs w:val="24"/>
        </w:rPr>
        <w:t>así como del gobierno y de la administración pública municipal y sus organismos descentralizados</w:t>
      </w:r>
      <w:r>
        <w:rPr>
          <w:rFonts w:ascii="Palatino Linotype" w:eastAsia="Palatino Linotype" w:hAnsi="Palatino Linotype" w:cs="Palatino Linotype"/>
          <w:i/>
          <w:iCs/>
          <w:color w:val="000000"/>
          <w:sz w:val="24"/>
          <w:szCs w:val="24"/>
        </w:rPr>
        <w:t xml:space="preserve">,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color w:val="000000"/>
          <w:sz w:val="24"/>
          <w:szCs w:val="24"/>
        </w:rPr>
        <w:t>es pública</w:t>
      </w:r>
      <w:r>
        <w:rPr>
          <w:rFonts w:ascii="Palatino Linotype" w:eastAsia="Palatino Linotype" w:hAnsi="Palatino Linotype" w:cs="Palatino Linotype"/>
          <w:i/>
          <w:iCs/>
          <w:color w:val="000000"/>
          <w:sz w:val="24"/>
          <w:szCs w:val="24"/>
        </w:rPr>
        <w:t xml:space="preserve"> y sólo podrá ser reservada </w:t>
      </w:r>
      <w:r>
        <w:rPr>
          <w:rFonts w:ascii="Palatino Linotype" w:eastAsia="Palatino Linotype" w:hAnsi="Palatino Linotype" w:cs="Palatino Linotype"/>
          <w:i/>
          <w:iCs/>
          <w:color w:val="000000"/>
          <w:sz w:val="24"/>
          <w:szCs w:val="24"/>
        </w:rPr>
        <w:lastRenderedPageBreak/>
        <w:t>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B31375" w:rsidRDefault="00ED6F59">
      <w:pPr>
        <w:numPr>
          <w:ilvl w:val="3"/>
          <w:numId w:val="10"/>
        </w:numPr>
        <w:pBdr>
          <w:top w:val="nil"/>
          <w:left w:val="nil"/>
          <w:bottom w:val="nil"/>
          <w:right w:val="nil"/>
          <w:between w:val="nil"/>
        </w:pBdr>
        <w:spacing w:line="360" w:lineRule="auto"/>
        <w:ind w:left="567" w:right="-876"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La información referente a la intimidad de la vida privada y la imagen de las personas será protegida a través de un marco jurídico rígido de tratamiento y manejo de datos personales, con las excepciones que establezca la ley reglamentaria.</w:t>
      </w:r>
    </w:p>
    <w:p w:rsidR="00B31375" w:rsidRDefault="00ED6F59">
      <w:pPr>
        <w:numPr>
          <w:ilvl w:val="3"/>
          <w:numId w:val="10"/>
        </w:numPr>
        <w:pBdr>
          <w:top w:val="nil"/>
          <w:left w:val="nil"/>
          <w:bottom w:val="nil"/>
          <w:right w:val="nil"/>
          <w:between w:val="nil"/>
        </w:pBdr>
        <w:spacing w:line="360" w:lineRule="auto"/>
        <w:ind w:left="567" w:right="-876"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Toda persona, sin necesidad de acreditar interés alguno o justificar su utilización, tendrá acceso gratuito a la información pública, a sus datos personales o a la rectificación de éstos.</w:t>
      </w:r>
    </w:p>
    <w:p w:rsidR="00B31375" w:rsidRDefault="00ED6F59">
      <w:pPr>
        <w:numPr>
          <w:ilvl w:val="3"/>
          <w:numId w:val="10"/>
        </w:numPr>
        <w:pBdr>
          <w:top w:val="nil"/>
          <w:left w:val="nil"/>
          <w:bottom w:val="nil"/>
          <w:right w:val="nil"/>
          <w:between w:val="nil"/>
        </w:pBdr>
        <w:spacing w:line="360" w:lineRule="auto"/>
        <w:ind w:left="567" w:right="-876"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Se establecerán mecanismos de acceso a la información y procedimientos de revisión expeditos que se sustanciarán ante el organismo autónomo especializado e imparcial que establece esta Constitución.</w:t>
      </w:r>
    </w:p>
    <w:p w:rsidR="00B31375" w:rsidRDefault="00ED6F59">
      <w:pPr>
        <w:numPr>
          <w:ilvl w:val="3"/>
          <w:numId w:val="10"/>
        </w:numPr>
        <w:pBdr>
          <w:top w:val="nil"/>
          <w:left w:val="nil"/>
          <w:bottom w:val="nil"/>
          <w:right w:val="nil"/>
          <w:between w:val="nil"/>
        </w:pBdr>
        <w:spacing w:line="360" w:lineRule="auto"/>
        <w:ind w:left="567" w:right="-876"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rsidR="00B31375" w:rsidRDefault="00ED6F59">
      <w:pPr>
        <w:numPr>
          <w:ilvl w:val="3"/>
          <w:numId w:val="10"/>
        </w:numPr>
        <w:pBdr>
          <w:top w:val="nil"/>
          <w:left w:val="nil"/>
          <w:bottom w:val="nil"/>
          <w:right w:val="nil"/>
          <w:between w:val="nil"/>
        </w:pBdr>
        <w:spacing w:line="360" w:lineRule="auto"/>
        <w:ind w:left="567" w:right="-876"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 xml:space="preserve">Los sujetos obligados deberán preservar sus documentos en archivos administrativos actualizados y publicarán, a través de los medios electrónicos disponibles, la información completa y actualizada sobre el ejercicio de los recursos </w:t>
      </w:r>
      <w:r>
        <w:rPr>
          <w:rFonts w:ascii="Palatino Linotype" w:eastAsia="Palatino Linotype" w:hAnsi="Palatino Linotype" w:cs="Palatino Linotype"/>
          <w:b/>
          <w:bCs/>
          <w:i/>
          <w:iCs/>
          <w:color w:val="000000"/>
          <w:sz w:val="24"/>
          <w:szCs w:val="24"/>
        </w:rPr>
        <w:lastRenderedPageBreak/>
        <w:t>públicos</w:t>
      </w:r>
      <w:r>
        <w:rPr>
          <w:rFonts w:ascii="Palatino Linotype" w:eastAsia="Palatino Linotype" w:hAnsi="Palatino Linotype" w:cs="Palatino Linotype"/>
          <w:i/>
          <w:iCs/>
          <w:color w:val="000000"/>
          <w:sz w:val="24"/>
          <w:szCs w:val="24"/>
        </w:rPr>
        <w:t xml:space="preserve"> y los indicadores que permitan rendir cuenta del cumplimiento de sus objetivos y los resultados obtenidos.</w:t>
      </w:r>
    </w:p>
    <w:p w:rsidR="00B31375" w:rsidRDefault="00ED6F59">
      <w:pPr>
        <w:numPr>
          <w:ilvl w:val="3"/>
          <w:numId w:val="10"/>
        </w:numPr>
        <w:pBdr>
          <w:top w:val="nil"/>
          <w:left w:val="nil"/>
          <w:bottom w:val="nil"/>
          <w:right w:val="nil"/>
          <w:between w:val="nil"/>
        </w:pBdr>
        <w:spacing w:line="360" w:lineRule="auto"/>
        <w:ind w:left="567" w:right="-876" w:firstLine="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La ley reglamentaria, determinará la manera en que los sujetos obligados deberán hacer pública la información relativa a los recursos públicos que entreguen a personas físicas o jurídicas colectivas.”</w:t>
      </w:r>
    </w:p>
    <w:p w:rsidR="00B31375" w:rsidRDefault="00B31375">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Adicional, tenemos que la Ley de Transparencia y Acceso a la Información Pública del Estado de México y Municipios, prevé en su artículo 23 fracción I, lo siguiente:</w:t>
      </w: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“Artículo 23.</w:t>
      </w:r>
      <w:r>
        <w:rPr>
          <w:rFonts w:ascii="Palatino Linotype" w:eastAsia="Palatino Linotype" w:hAnsi="Palatino Linotype" w:cs="Palatino Linotype"/>
          <w:i/>
          <w:iCs/>
          <w:color w:val="000000"/>
          <w:sz w:val="24"/>
          <w:szCs w:val="24"/>
        </w:rPr>
        <w:t xml:space="preserve"> Son sujetos obligados a transparentar y permitir el acceso a su información y proteger los datos personales que obren en su poder:</w:t>
      </w: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xml:space="preserve">I. El Poder Ejecutivo del Estado de México, las dependencias, organismos auxiliares, órganos, entidades, fideicomisos y fondos públicos, así como la Fiscalía General de Justicia del Estado de México; </w:t>
      </w: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w:t>
      </w: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B31375" w:rsidRDefault="00B31375">
      <w:pPr>
        <w:spacing w:line="360" w:lineRule="auto"/>
        <w:ind w:left="567" w:right="-876"/>
        <w:jc w:val="both"/>
        <w:rPr>
          <w:rFonts w:ascii="Palatino Linotype" w:eastAsia="Palatino Linotype" w:hAnsi="Palatino Linotype" w:cs="Palatino Linotype"/>
          <w:i/>
          <w:iCs/>
          <w:color w:val="000000"/>
          <w:sz w:val="24"/>
          <w:szCs w:val="24"/>
        </w:rPr>
      </w:pPr>
    </w:p>
    <w:p w:rsidR="00B31375" w:rsidRDefault="00ED6F59">
      <w:pPr>
        <w:pBdr>
          <w:top w:val="nil"/>
          <w:left w:val="nil"/>
          <w:bottom w:val="nil"/>
          <w:right w:val="nil"/>
          <w:between w:val="nil"/>
        </w:pBdr>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Los servidores públicos deberán transparentar sus acciones así como garantizar y respetar el derecho de acceso a la información pública.”</w:t>
      </w:r>
    </w:p>
    <w:p w:rsidR="00B31375" w:rsidRDefault="00B31375">
      <w:pPr>
        <w:spacing w:line="360" w:lineRule="auto"/>
        <w:ind w:right="-876"/>
        <w:jc w:val="both"/>
        <w:rPr>
          <w:rFonts w:ascii="Palatino Linotype" w:eastAsia="Palatino Linotype" w:hAnsi="Palatino Linotype" w:cs="Palatino Linotype"/>
          <w:color w:val="000000"/>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lastRenderedPageBreak/>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rsidR="00B31375" w:rsidRDefault="00B31375">
      <w:pPr>
        <w:spacing w:line="360" w:lineRule="auto"/>
        <w:ind w:right="-876"/>
        <w:jc w:val="both"/>
        <w:rPr>
          <w:rFonts w:ascii="Palatino Linotype" w:eastAsia="Palatino Linotype" w:hAnsi="Palatino Linotype" w:cs="Palatino Linotype"/>
          <w:color w:val="000000"/>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 xml:space="preserve">Por lo anterior, es de referir que, el </w:t>
      </w:r>
      <w:r>
        <w:rPr>
          <w:rFonts w:ascii="Palatino Linotype" w:eastAsia="Palatino Linotype" w:hAnsi="Palatino Linotype" w:cs="Palatino Linotype"/>
          <w:b/>
          <w:bCs/>
          <w:color w:val="000000"/>
          <w:sz w:val="24"/>
          <w:szCs w:val="24"/>
        </w:rPr>
        <w:t>Ayuntamiento de Cuautitlán Izcalli</w:t>
      </w:r>
      <w:r>
        <w:rPr>
          <w:rFonts w:ascii="Palatino Linotype" w:eastAsia="Palatino Linotype" w:hAnsi="Palatino Linotype" w:cs="Palatino Linotype"/>
          <w:color w:val="000000"/>
          <w:sz w:val="24"/>
          <w:szCs w:val="24"/>
        </w:rPr>
        <w:t>, al ser un Sujeto Obligado comprendido por la Legislación Local en materia de Transparencia, se encuentra obligado a hacer pública toda aquella información que genere, administre o posea.</w:t>
      </w:r>
    </w:p>
    <w:p w:rsidR="00B31375" w:rsidRDefault="00B31375">
      <w:pPr>
        <w:spacing w:line="360" w:lineRule="auto"/>
        <w:ind w:right="-876"/>
        <w:jc w:val="both"/>
        <w:rPr>
          <w:rFonts w:ascii="Palatino Linotype" w:eastAsia="Palatino Linotype" w:hAnsi="Palatino Linotype" w:cs="Palatino Linotype"/>
          <w:color w:val="000000"/>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 xml:space="preserve">Es por lo anterior, que resulta dable </w:t>
      </w:r>
      <w:r>
        <w:rPr>
          <w:rFonts w:ascii="Palatino Linotype" w:eastAsia="Palatino Linotype" w:hAnsi="Palatino Linotype" w:cs="Palatino Linotype"/>
          <w:b/>
          <w:bCs/>
          <w:color w:val="000000"/>
          <w:sz w:val="24"/>
          <w:szCs w:val="24"/>
        </w:rPr>
        <w:t xml:space="preserve">REVOCAR, </w:t>
      </w:r>
      <w:r>
        <w:rPr>
          <w:rFonts w:ascii="Palatino Linotype" w:eastAsia="Palatino Linotype" w:hAnsi="Palatino Linotype" w:cs="Palatino Linotype"/>
          <w:color w:val="000000"/>
          <w:sz w:val="24"/>
          <w:szCs w:val="24"/>
        </w:rPr>
        <w:t xml:space="preserve">la respuesta proporcionada por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y haga entrega del soporte documental en donde la información solicitada.</w:t>
      </w:r>
    </w:p>
    <w:p w:rsidR="00B31375" w:rsidRDefault="00B31375">
      <w:pPr>
        <w:spacing w:line="360" w:lineRule="auto"/>
        <w:ind w:right="-876"/>
        <w:jc w:val="both"/>
        <w:rPr>
          <w:rFonts w:ascii="Palatino Linotype" w:eastAsia="Palatino Linotype" w:hAnsi="Palatino Linotype" w:cs="Palatino Linotype"/>
          <w:color w:val="000000"/>
          <w:sz w:val="24"/>
          <w:szCs w:val="24"/>
        </w:rPr>
      </w:pPr>
    </w:p>
    <w:p w:rsidR="00B31375" w:rsidRDefault="00ED6F59">
      <w:pPr>
        <w:numPr>
          <w:ilvl w:val="0"/>
          <w:numId w:val="3"/>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color w:val="000000"/>
          <w:sz w:val="24"/>
          <w:szCs w:val="24"/>
        </w:rPr>
        <w:t>En ese tenor y en atención a la información de la cual se ordena su entrega, se refiere que d</w:t>
      </w:r>
      <w:r>
        <w:rPr>
          <w:rFonts w:ascii="Palatino Linotype" w:eastAsia="Palatino Linotype" w:hAnsi="Palatino Linotype" w:cs="Palatino Linotype"/>
          <w:sz w:val="24"/>
          <w:szCs w:val="24"/>
        </w:rPr>
        <w:t xml:space="preserve">e conformidad con lo que establecen los artículos 26 y 27 de la Ley de Contratación Pública del Estado de México y Municipios, las adquisiciones, arrendamientos y servicios se adjudicarán a través de licitaciones públicas mediante convocatoria pública o bien, a través de las excepciones a dicho procedimiento, como se observa a continuación: </w:t>
      </w:r>
    </w:p>
    <w:p w:rsidR="00B31375" w:rsidRDefault="00ED6F59">
      <w:pPr>
        <w:spacing w:line="276" w:lineRule="auto"/>
        <w:ind w:left="567" w:right="-876"/>
        <w:jc w:val="center"/>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LEY DE CONTRATACIÓN PÚBLICA DEL ESTADO DE MÉXICO Y MUNICIPIO</w:t>
      </w:r>
    </w:p>
    <w:p w:rsidR="00B31375" w:rsidRDefault="00B31375">
      <w:pPr>
        <w:spacing w:line="276" w:lineRule="auto"/>
        <w:ind w:left="567" w:right="-876"/>
        <w:jc w:val="both"/>
        <w:rPr>
          <w:rFonts w:ascii="Palatino Linotype" w:eastAsia="Palatino Linotype" w:hAnsi="Palatino Linotype" w:cs="Palatino Linotype"/>
          <w:i/>
          <w:iCs/>
          <w:sz w:val="24"/>
          <w:szCs w:val="24"/>
        </w:rPr>
      </w:pP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26.-</w:t>
      </w:r>
      <w:r>
        <w:rPr>
          <w:rFonts w:ascii="Palatino Linotype" w:eastAsia="Palatino Linotype" w:hAnsi="Palatino Linotype" w:cs="Palatino Linotype"/>
          <w:i/>
          <w:iCs/>
          <w:sz w:val="24"/>
          <w:szCs w:val="24"/>
        </w:rPr>
        <w:t xml:space="preserve"> Las adquisiciones, arrendamientos y servicios se adjudicarán a través de licitaciones públicas, mediante convocatoria pública. </w:t>
      </w:r>
    </w:p>
    <w:p w:rsidR="00B31375" w:rsidRDefault="00B31375">
      <w:pPr>
        <w:spacing w:line="276" w:lineRule="auto"/>
        <w:ind w:left="567" w:right="-876"/>
        <w:jc w:val="both"/>
        <w:rPr>
          <w:rFonts w:ascii="Palatino Linotype" w:eastAsia="Palatino Linotype" w:hAnsi="Palatino Linotype" w:cs="Palatino Linotype"/>
          <w:i/>
          <w:iCs/>
          <w:sz w:val="24"/>
          <w:szCs w:val="24"/>
        </w:rPr>
      </w:pP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lastRenderedPageBreak/>
        <w:t>Artículo 27.-</w:t>
      </w:r>
      <w:r>
        <w:rPr>
          <w:rFonts w:ascii="Palatino Linotype" w:eastAsia="Palatino Linotype" w:hAnsi="Palatino Linotype" w:cs="Palatino Linotype"/>
          <w:i/>
          <w:iCs/>
          <w:sz w:val="24"/>
          <w:szCs w:val="24"/>
        </w:rPr>
        <w:t xml:space="preserve"> La Secretaría, las entidades, los tribunales administrativos y los ayuntamientos podrán adjudicar adquisiciones, arrendamientos y servicios, mediante las excepciones al procedimiento de licitación que a continuación se señalan: I. Invitación restringida. II. Adjudicación directa.</w:t>
      </w:r>
    </w:p>
    <w:p w:rsidR="00B31375" w:rsidRDefault="00B31375">
      <w:pPr>
        <w:spacing w:line="276" w:lineRule="auto"/>
        <w:ind w:left="567" w:right="-876"/>
        <w:jc w:val="both"/>
        <w:rPr>
          <w:rFonts w:ascii="Palatino Linotype" w:eastAsia="Palatino Linotype" w:hAnsi="Palatino Linotype" w:cs="Palatino Linotype"/>
          <w:i/>
          <w:iCs/>
          <w:sz w:val="24"/>
          <w:szCs w:val="24"/>
        </w:rPr>
      </w:pP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47.</w:t>
      </w:r>
      <w:r>
        <w:rPr>
          <w:rFonts w:ascii="Palatino Linotype" w:eastAsia="Palatino Linotype" w:hAnsi="Palatino Linotype" w:cs="Palatino Linotype"/>
          <w:sz w:val="24"/>
          <w:szCs w:val="24"/>
        </w:rPr>
        <w:t xml:space="preserve"> Respecto al procedimiento de </w:t>
      </w:r>
      <w:r>
        <w:rPr>
          <w:rFonts w:ascii="Palatino Linotype" w:eastAsia="Palatino Linotype" w:hAnsi="Palatino Linotype" w:cs="Palatino Linotype"/>
          <w:b/>
          <w:bCs/>
          <w:sz w:val="24"/>
          <w:szCs w:val="24"/>
        </w:rPr>
        <w:t>licitación pública</w:t>
      </w:r>
      <w:r>
        <w:rPr>
          <w:rFonts w:ascii="Palatino Linotype" w:eastAsia="Palatino Linotype" w:hAnsi="Palatino Linotype" w:cs="Palatino Linotype"/>
          <w:sz w:val="24"/>
          <w:szCs w:val="24"/>
        </w:rPr>
        <w:t>, es de mencionar que de acuerdo con el Banco Interamericano de Desarrollo, la licitación es un procedimiento formal y competitivo de adquisiciones, mediante el cual se solicitan, reciben y evalúan ofertas para la adquisición de bienes, obras o servicios y se adjudica el contrato correspondiente al licitador que ofrezca la propuesta más ventajosa. (Desarrollo, 1995)</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48. </w:t>
      </w:r>
      <w:r>
        <w:rPr>
          <w:rFonts w:ascii="Palatino Linotype" w:eastAsia="Palatino Linotype" w:hAnsi="Palatino Linotype" w:cs="Palatino Linotype"/>
          <w:sz w:val="24"/>
          <w:szCs w:val="24"/>
        </w:rPr>
        <w:t xml:space="preserve">En cuando hace a la </w:t>
      </w:r>
      <w:r>
        <w:rPr>
          <w:rFonts w:ascii="Palatino Linotype" w:eastAsia="Palatino Linotype" w:hAnsi="Palatino Linotype" w:cs="Palatino Linotype"/>
          <w:b/>
          <w:bCs/>
          <w:sz w:val="24"/>
          <w:szCs w:val="24"/>
        </w:rPr>
        <w:t>adjudicación directa</w:t>
      </w:r>
      <w:r>
        <w:rPr>
          <w:rFonts w:ascii="Palatino Linotype" w:eastAsia="Palatino Linotype" w:hAnsi="Palatino Linotype" w:cs="Palatino Linotype"/>
          <w:sz w:val="24"/>
          <w:szCs w:val="24"/>
        </w:rPr>
        <w:t xml:space="preserve">, la Secretaría de la Función Pública, (consultable en </w:t>
      </w:r>
      <w:hyperlink r:id="rId11">
        <w:r>
          <w:rPr>
            <w:rFonts w:ascii="Palatino Linotype" w:eastAsia="Palatino Linotype" w:hAnsi="Palatino Linotype" w:cs="Palatino Linotype"/>
            <w:sz w:val="24"/>
            <w:szCs w:val="24"/>
            <w:u w:val="single"/>
          </w:rPr>
          <w:t>https://www.gob.mx/sfp/acciones-y-programas/1-3-3-adjudicacion-directa</w:t>
        </w:r>
      </w:hyperlink>
      <w:r>
        <w:rPr>
          <w:rFonts w:ascii="Palatino Linotype" w:eastAsia="Palatino Linotype" w:hAnsi="Palatino Linotype" w:cs="Palatino Linotype"/>
          <w:sz w:val="24"/>
          <w:szCs w:val="24"/>
        </w:rPr>
        <w:t xml:space="preserve">), establece que es un procedimiento que se realiza sin puesta en concurrencia y por ende, sin que exista competencia, adjudicándose el contrato a un proveedor que ha sido preseleccionado para tales efectos por la dependencia o entidad. </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49. </w:t>
      </w:r>
      <w:r>
        <w:rPr>
          <w:rFonts w:ascii="Palatino Linotype" w:eastAsia="Palatino Linotype" w:hAnsi="Palatino Linotype" w:cs="Palatino Linotype"/>
          <w:sz w:val="24"/>
          <w:szCs w:val="24"/>
        </w:rPr>
        <w:t xml:space="preserve">Por último, respecto a la </w:t>
      </w:r>
      <w:r>
        <w:rPr>
          <w:rFonts w:ascii="Palatino Linotype" w:eastAsia="Palatino Linotype" w:hAnsi="Palatino Linotype" w:cs="Palatino Linotype"/>
          <w:b/>
          <w:bCs/>
          <w:sz w:val="24"/>
          <w:szCs w:val="24"/>
        </w:rPr>
        <w:t>invitación restringida a cuando menos tres proveedores</w:t>
      </w:r>
      <w:r>
        <w:rPr>
          <w:rFonts w:ascii="Palatino Linotype" w:eastAsia="Palatino Linotype" w:hAnsi="Palatino Linotype" w:cs="Palatino Linotype"/>
          <w:sz w:val="24"/>
          <w:szCs w:val="24"/>
        </w:rPr>
        <w:t xml:space="preserve">, la Secretaría de la Contraloría (consultable en </w:t>
      </w:r>
      <w:hyperlink r:id="rId12" w:anchor=":~:text=Es%20un%20procedimiento%20administrativo%2C%20de,tres%20oferentes%20a%20presentar%20propuestas%2C">
        <w:r>
          <w:rPr>
            <w:rFonts w:ascii="Palatino Linotype" w:eastAsia="Palatino Linotype" w:hAnsi="Palatino Linotype" w:cs="Palatino Linotype"/>
            <w:sz w:val="24"/>
            <w:szCs w:val="24"/>
            <w:u w:val="single"/>
          </w:rPr>
          <w:t>http://www.contraloriadf.gob.mx/contraloria/cursos/ADQUISICIONES/paginas/32.php#:~:text=Es%20un%20procedimiento%20administrativo%2C%20de,tres%20oferentes%20a%20presentar%20propuestas%2C</w:t>
        </w:r>
      </w:hyperlink>
      <w:r>
        <w:rPr>
          <w:rFonts w:ascii="Palatino Linotype" w:eastAsia="Palatino Linotype" w:hAnsi="Palatino Linotype" w:cs="Palatino Linotype"/>
          <w:sz w:val="24"/>
          <w:szCs w:val="24"/>
        </w:rPr>
        <w:t xml:space="preserve">) precisa que es un procedimiento de excepción a la licitación pública que permite a las dependencias, unidades administrativas, órganos desconcentrados y </w:t>
      </w:r>
      <w:r>
        <w:rPr>
          <w:rFonts w:ascii="Palatino Linotype" w:eastAsia="Palatino Linotype" w:hAnsi="Palatino Linotype" w:cs="Palatino Linotype"/>
          <w:sz w:val="24"/>
          <w:szCs w:val="24"/>
        </w:rPr>
        <w:lastRenderedPageBreak/>
        <w:t>entidades, en forma discrecional, realizar un procedimiento para adquirir, arrendar o contratar, invitando a por lo menos tres oferentes a presentar propuestas.</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50.</w:t>
      </w:r>
      <w:r>
        <w:rPr>
          <w:rFonts w:ascii="Palatino Linotype" w:eastAsia="Palatino Linotype" w:hAnsi="Palatino Linotype" w:cs="Palatino Linotype"/>
          <w:sz w:val="24"/>
          <w:szCs w:val="24"/>
        </w:rPr>
        <w:t xml:space="preserve"> Ahora bien, es de precisar que la Ley Orgánica Municipal del Estado de México en su artículo 31 señala que son atribuciones de los ayuntamientos, las siguientes: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31.-</w:t>
      </w:r>
      <w:r>
        <w:rPr>
          <w:rFonts w:ascii="Palatino Linotype" w:eastAsia="Palatino Linotype" w:hAnsi="Palatino Linotype" w:cs="Palatino Linotype"/>
          <w:i/>
          <w:iCs/>
          <w:sz w:val="24"/>
          <w:szCs w:val="24"/>
        </w:rPr>
        <w:t xml:space="preserve"> Son atribuciones de los ayuntamientos:</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VII. Convenir, contratar o concesionar, en términos de ley, la ejecución de obras y la prestación de servicios públicos, con el Estado, con otros municipios de la entidad o con particulares, recabando, cuando proceda, la autorización de la Legislatura del Estado;</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51. </w:t>
      </w:r>
      <w:r>
        <w:rPr>
          <w:rFonts w:ascii="Palatino Linotype" w:eastAsia="Palatino Linotype" w:hAnsi="Palatino Linotype" w:cs="Palatino Linotype"/>
          <w:sz w:val="24"/>
          <w:szCs w:val="24"/>
        </w:rPr>
        <w:t xml:space="preserve">En ese sentido, de acuerdo con lo que establece el artículo 54 del Bando Municipal de Coacalco de Berriozábal, corresponde a la Dirección de Administración planear, establecer y difundir entre las Dependencias las políticas y procedimientos necesarios para el control eficiente de los recursos materiales, tecnológicos, de servicios generales y capital humano, como se observa a continuación: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54.</w:t>
      </w:r>
      <w:r>
        <w:rPr>
          <w:rFonts w:ascii="Palatino Linotype" w:eastAsia="Palatino Linotype" w:hAnsi="Palatino Linotype" w:cs="Palatino Linotype"/>
          <w:i/>
          <w:iCs/>
          <w:sz w:val="24"/>
          <w:szCs w:val="24"/>
        </w:rPr>
        <w:t xml:space="preserve"> Corresponde a la Dirección de Administración planear, establecer y difundir entre las Dependencias de la Administración Pública Municipal, las políticas y procedimientos necesarios para el control eficiente de los recursos materiales, tecnológicos, de servicios generales y capital humano que se proporcionan a las Dependencias y Unidades Administrativas en todas sus modalidades; asignará el personal que las áreas requieran, facilitará los programas y cursos correspondientes para la certificación, profesionalización y capacitación de los servidores públicos, para el debido cumplimiento de sus funciones y atribuciones y, satisfacer las sociedades generales que constituyen el objeto de los servicios y funciones públicas; todas aquellas que contienen superior jerárquico, las leyes y demás disposiciones jurídicas aplicables.</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lastRenderedPageBreak/>
        <w:t xml:space="preserve">52. </w:t>
      </w:r>
      <w:r>
        <w:rPr>
          <w:rFonts w:ascii="Palatino Linotype" w:eastAsia="Palatino Linotype" w:hAnsi="Palatino Linotype" w:cs="Palatino Linotype"/>
          <w:sz w:val="24"/>
          <w:szCs w:val="24"/>
        </w:rPr>
        <w:t xml:space="preserve">Por otra parte, el Reglamento Interno de la Administración Pública Municipal de Coacalco de Berriozábal, precisa que la Dirección de Administración, tendrá las siguientes atribuciones y se auxiliará de diversas unidades administrativas que son: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52.</w:t>
      </w:r>
      <w:r>
        <w:rPr>
          <w:rFonts w:ascii="Palatino Linotype" w:eastAsia="Palatino Linotype" w:hAnsi="Palatino Linotype" w:cs="Palatino Linotype"/>
          <w:i/>
          <w:iCs/>
          <w:sz w:val="24"/>
          <w:szCs w:val="24"/>
        </w:rPr>
        <w:t xml:space="preserve"> La Dirección de Administración tendrá las atribuciones siguientes: </w:t>
      </w:r>
    </w:p>
    <w:p w:rsidR="00B31375" w:rsidRDefault="00B31375">
      <w:pPr>
        <w:spacing w:line="276" w:lineRule="auto"/>
        <w:ind w:left="567" w:right="-876"/>
        <w:jc w:val="both"/>
        <w:rPr>
          <w:rFonts w:ascii="Palatino Linotype" w:eastAsia="Palatino Linotype" w:hAnsi="Palatino Linotype" w:cs="Palatino Linotype"/>
          <w:i/>
          <w:iCs/>
          <w:sz w:val="24"/>
          <w:szCs w:val="24"/>
        </w:rPr>
      </w:pP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XVII. Realizar la adquisición de bienes y la contratación de servicios, a través de los procedimientos de adjudicación establecidos en las disposiciones legales aplicables y vigentes.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XX. Mantener actualizado el catálogo de proveedores y prestadores de servicios;</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XXI. Informar a la Secretaría del Ayuntamiento la adquisición de bienes de activo fijo.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XXIV. Suscribir contratos de adquisiciones de bienes muebles y servicios;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XXVIII. Formar parte del comité de adquisiciones de bienes y servicios del Ayuntamiento;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53.</w:t>
      </w:r>
      <w:r>
        <w:rPr>
          <w:rFonts w:ascii="Palatino Linotype" w:eastAsia="Palatino Linotype" w:hAnsi="Palatino Linotype" w:cs="Palatino Linotype"/>
          <w:i/>
          <w:iCs/>
          <w:sz w:val="24"/>
          <w:szCs w:val="24"/>
        </w:rPr>
        <w:t xml:space="preserve"> Para el despacho de los asuntos de su competencia, la Dirección de Administración se auxiliará de las siguientes unidades administrativas: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I. Enlace Administrativo.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1. Subdirección de Capital Humano.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I. Coordinación de Capital Humano y Relaciones Laborales.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II. Coordinación de Capacitación, Profesionalización y Capital Humano. </w:t>
      </w:r>
    </w:p>
    <w:p w:rsidR="00B31375" w:rsidRDefault="00ED6F59">
      <w:pPr>
        <w:spacing w:line="276" w:lineRule="auto"/>
        <w:ind w:left="567" w:right="-876"/>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2. Subdirección de Adquisiciones y Recursos Materiales.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I. Coordinación de Control de Taller Vehicular y Combustible.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II. Coordinación de Servicios Generales y Almacén. </w:t>
      </w:r>
    </w:p>
    <w:p w:rsidR="00B31375" w:rsidRDefault="00ED6F59">
      <w:pPr>
        <w:spacing w:line="276" w:lineRule="auto"/>
        <w:ind w:left="567" w:right="-876"/>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III. Coordinación de Contratos y Licitaciones. </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53.</w:t>
      </w:r>
      <w:r>
        <w:rPr>
          <w:rFonts w:ascii="Palatino Linotype" w:eastAsia="Palatino Linotype" w:hAnsi="Palatino Linotype" w:cs="Palatino Linotype"/>
          <w:sz w:val="24"/>
          <w:szCs w:val="24"/>
        </w:rPr>
        <w:t xml:space="preserve"> Por otro lado, en lo que respecta a nuestra materia, la Ley de Transparencia y Acceso a la Información Pública del Estado de México y Municipios, precisa en su artículo 92, fracción </w:t>
      </w:r>
      <w:r>
        <w:rPr>
          <w:rFonts w:ascii="Palatino Linotype" w:eastAsia="Palatino Linotype" w:hAnsi="Palatino Linotype" w:cs="Palatino Linotype"/>
          <w:sz w:val="24"/>
          <w:szCs w:val="24"/>
        </w:rPr>
        <w:lastRenderedPageBreak/>
        <w:t xml:space="preserve">XXIX que la información relacionada con dichos procedimientos, incluyendo la versión pública del expediente respectivo y de los contratos celebrados, debe ser puesta a disposición de los particulares de manera actualizada y permanente, tal como se observa a continuación: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Artículo 92.</w:t>
      </w:r>
      <w:r>
        <w:rPr>
          <w:rFonts w:ascii="Palatino Linotype" w:eastAsia="Palatino Linotype" w:hAnsi="Palatino Linotype" w:cs="Palatino Linotype"/>
          <w:i/>
          <w:iCs/>
          <w:sz w:val="24"/>
          <w:szCs w:val="24"/>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XXIX.</w:t>
      </w:r>
      <w:r>
        <w:rPr>
          <w:rFonts w:ascii="Palatino Linotype" w:eastAsia="Palatino Linotype" w:hAnsi="Palatino Linotype" w:cs="Palatino Linotype"/>
          <w:i/>
          <w:iCs/>
          <w:sz w:val="24"/>
          <w:szCs w:val="24"/>
        </w:rPr>
        <w:t xml:space="preserve">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 </w:t>
      </w:r>
    </w:p>
    <w:p w:rsidR="00B31375" w:rsidRDefault="00B31375">
      <w:pPr>
        <w:spacing w:line="276" w:lineRule="auto"/>
        <w:ind w:left="567" w:right="-876"/>
        <w:jc w:val="both"/>
        <w:rPr>
          <w:rFonts w:ascii="Palatino Linotype" w:eastAsia="Palatino Linotype" w:hAnsi="Palatino Linotype" w:cs="Palatino Linotype"/>
          <w:i/>
          <w:iCs/>
          <w:sz w:val="24"/>
          <w:szCs w:val="24"/>
        </w:rPr>
      </w:pPr>
    </w:p>
    <w:p w:rsidR="00B31375" w:rsidRDefault="00ED6F59">
      <w:pPr>
        <w:spacing w:line="276" w:lineRule="auto"/>
        <w:ind w:left="567" w:right="-876"/>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a) De licitaciones públicas o procedimientos de invitación restringida: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1) La convocatoria o invitación emitida, así como los fundamentos legales aplicados para llevarla a cabo;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2) Los nombres de los participantes o invitados;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3) El nombre del ganador y las razones que lo justifican;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4) El área solicitante y la responsable de su ejecución;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5) Las convocatorias e invitaciones emitidas;</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6) Los dictámenes y fallo de adjudicación; </w:t>
      </w:r>
    </w:p>
    <w:p w:rsidR="00B31375" w:rsidRDefault="00ED6F59">
      <w:pPr>
        <w:spacing w:line="276" w:lineRule="auto"/>
        <w:ind w:left="567" w:right="-876"/>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7) El contrato y, en su caso, sus anexos;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8) Los mecanismos de vigilancia y supervisión, incluyendo en su caso, los estudios de impacto urbano y ambiental, según corresponda;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9) La partida presupuestal, de conformidad con el clasificador por objeto del gasto, en el caso de ser aplicable;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10) Origen de los recursos especificando si son federales, estatales o municipales, así como el tipo de fondo de participación o aportación respectiva;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lastRenderedPageBreak/>
        <w:t xml:space="preserve">11) Los convenios modificatorios que, en su caso, sean firmados, precisando el objeto y la fecha de celebración; </w:t>
      </w:r>
    </w:p>
    <w:p w:rsidR="00B31375" w:rsidRDefault="00ED6F59">
      <w:pPr>
        <w:spacing w:line="276" w:lineRule="auto"/>
        <w:ind w:left="567" w:right="-876"/>
        <w:jc w:val="both"/>
        <w:rPr>
          <w:rFonts w:ascii="Palatino Linotype" w:eastAsia="Palatino Linotype" w:hAnsi="Palatino Linotype" w:cs="Palatino Linotype"/>
          <w:b/>
          <w:bCs/>
          <w:i/>
          <w:iCs/>
          <w:sz w:val="24"/>
          <w:szCs w:val="24"/>
          <w:u w:val="single"/>
        </w:rPr>
      </w:pPr>
      <w:r>
        <w:rPr>
          <w:rFonts w:ascii="Palatino Linotype" w:eastAsia="Palatino Linotype" w:hAnsi="Palatino Linotype" w:cs="Palatino Linotype"/>
          <w:b/>
          <w:bCs/>
          <w:i/>
          <w:iCs/>
          <w:sz w:val="24"/>
          <w:szCs w:val="24"/>
          <w:u w:val="single"/>
        </w:rPr>
        <w:t xml:space="preserve">12) Los informes de avance físico y financiero sobre las obras o servicios contratados;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13) El convenio de terminación; y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14) El finiquito. </w:t>
      </w:r>
    </w:p>
    <w:p w:rsidR="00B31375" w:rsidRDefault="00B31375">
      <w:pPr>
        <w:spacing w:line="276" w:lineRule="auto"/>
        <w:ind w:left="567" w:right="-876"/>
        <w:jc w:val="both"/>
        <w:rPr>
          <w:rFonts w:ascii="Palatino Linotype" w:eastAsia="Palatino Linotype" w:hAnsi="Palatino Linotype" w:cs="Palatino Linotype"/>
          <w:b/>
          <w:bCs/>
          <w:i/>
          <w:iCs/>
          <w:sz w:val="24"/>
          <w:szCs w:val="24"/>
        </w:rPr>
      </w:pPr>
    </w:p>
    <w:p w:rsidR="00B31375" w:rsidRDefault="00ED6F59">
      <w:pPr>
        <w:spacing w:line="276" w:lineRule="auto"/>
        <w:ind w:left="567" w:right="-876"/>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b) De las adjudicaciones directas: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1) La propuesta enviada por el participante;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2) Los motivos y fundamentos legales aplicados para llevarla a cabo;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3) La autorización del ejercicio de la opción;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4) En su caso, las cotizaciones consideradas, especificando los nombres de los proveedores y sus montos;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5) El nombre de la persona física o jurídica colectiva adjudicada;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6) La unidad administrativa solicitante y la responsable de su ejecución; </w:t>
      </w:r>
    </w:p>
    <w:p w:rsidR="00B31375" w:rsidRDefault="00ED6F59">
      <w:pPr>
        <w:spacing w:line="276" w:lineRule="auto"/>
        <w:ind w:left="567" w:right="-876"/>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7) El número, fecha, el monto del contrato y el plazo de entrega o de ejecución de los servicios u obra;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8) Los mecanismos de vigilancia y supervisión, incluyendo, en su caso, los estudios de impacto urbano y ambiental, según corresponda; </w:t>
      </w:r>
    </w:p>
    <w:p w:rsidR="00B31375" w:rsidRDefault="00ED6F59">
      <w:pPr>
        <w:spacing w:line="276" w:lineRule="auto"/>
        <w:ind w:left="567" w:right="-876"/>
        <w:jc w:val="both"/>
        <w:rPr>
          <w:rFonts w:ascii="Palatino Linotype" w:eastAsia="Palatino Linotype" w:hAnsi="Palatino Linotype" w:cs="Palatino Linotype"/>
          <w:b/>
          <w:bCs/>
          <w:i/>
          <w:iCs/>
          <w:sz w:val="24"/>
          <w:szCs w:val="24"/>
        </w:rPr>
      </w:pPr>
      <w:r>
        <w:rPr>
          <w:rFonts w:ascii="Palatino Linotype" w:eastAsia="Palatino Linotype" w:hAnsi="Palatino Linotype" w:cs="Palatino Linotype"/>
          <w:b/>
          <w:bCs/>
          <w:i/>
          <w:iCs/>
          <w:sz w:val="24"/>
          <w:szCs w:val="24"/>
        </w:rPr>
        <w:t xml:space="preserve">9) Los informes de avance sobre las obras o servicios contratados;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 xml:space="preserve">10) El convenio de terminación; y </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11) El finiquito.</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i/>
          <w:iCs/>
          <w:sz w:val="24"/>
          <w:szCs w:val="24"/>
        </w:rPr>
        <w:t>…</w:t>
      </w:r>
    </w:p>
    <w:p w:rsidR="00B31375" w:rsidRDefault="00ED6F59">
      <w:pPr>
        <w:spacing w:line="276"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XXXVI. Padrón de proveedores y contratistas;</w:t>
      </w:r>
      <w:r>
        <w:rPr>
          <w:rFonts w:ascii="Palatino Linotype" w:eastAsia="Palatino Linotype" w:hAnsi="Palatino Linotype" w:cs="Palatino Linotype"/>
          <w:b/>
          <w:bCs/>
          <w:i/>
          <w:iCs/>
          <w:sz w:val="24"/>
          <w:szCs w:val="24"/>
        </w:rPr>
        <w:br/>
      </w:r>
      <w:r>
        <w:rPr>
          <w:rFonts w:ascii="Palatino Linotype" w:eastAsia="Palatino Linotype" w:hAnsi="Palatino Linotype" w:cs="Palatino Linotype"/>
          <w:i/>
          <w:iCs/>
          <w:sz w:val="24"/>
          <w:szCs w:val="24"/>
        </w:rPr>
        <w:t>…</w:t>
      </w:r>
    </w:p>
    <w:p w:rsidR="00B31375" w:rsidRDefault="00B31375">
      <w:pPr>
        <w:spacing w:line="276" w:lineRule="auto"/>
        <w:ind w:left="567" w:right="-876"/>
        <w:jc w:val="both"/>
        <w:rPr>
          <w:rFonts w:ascii="Palatino Linotype" w:eastAsia="Palatino Linotype" w:hAnsi="Palatino Linotype" w:cs="Palatino Linotype"/>
          <w:i/>
          <w:iCs/>
          <w:sz w:val="24"/>
          <w:szCs w:val="24"/>
        </w:rPr>
      </w:pP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54. </w:t>
      </w:r>
      <w:r>
        <w:rPr>
          <w:rFonts w:ascii="Palatino Linotype" w:eastAsia="Palatino Linotype" w:hAnsi="Palatino Linotype" w:cs="Palatino Linotype"/>
          <w:sz w:val="24"/>
          <w:szCs w:val="24"/>
        </w:rPr>
        <w:t xml:space="preserve">De lo anterior, se advierte que el Sujete Obligado es competente para conocer, generar y administrar la información solicitada, toda vez que esta forma parte de las atribuciones que tiene encomendadas, además de son obligaciones de transparencia, previstas en la Ley en la materia. </w:t>
      </w: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lastRenderedPageBreak/>
        <w:t>55.</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Asimismo, se infiere que dentro de la información que se ordena entregar pueden existir datos susceptibles de clasificarse, mismos que de manera enunciativa más no limitativa se refieren a continuación:</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numPr>
          <w:ilvl w:val="0"/>
          <w:numId w:val="11"/>
        </w:numPr>
        <w:spacing w:line="360" w:lineRule="auto"/>
        <w:ind w:left="720" w:right="-876"/>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Nombre de personas físicas contratistas.</w:t>
      </w: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56. </w:t>
      </w:r>
      <w:r>
        <w:rPr>
          <w:rFonts w:ascii="Palatino Linotype" w:eastAsia="Palatino Linotype" w:hAnsi="Palatino Linotype" w:cs="Palatino Linotype"/>
          <w:sz w:val="24"/>
          <w:szCs w:val="24"/>
        </w:rPr>
        <w:t xml:space="preserve">Al respecto, cabe precisar que el nombre se integra con el sustantivo propio y el primer apellido de los padres, en el orden que, de común acuerdo determinen; asimismo es la manifestación principal del derecho subjetivo a la personalidad y atributo de ésta en términos del artículo 2.3 del Código Civil del Estado de México, de tal suerte, el nombre </w:t>
      </w:r>
      <w:r>
        <w:rPr>
          <w:rFonts w:ascii="Palatino Linotype" w:eastAsia="Palatino Linotype" w:hAnsi="Palatino Linotype" w:cs="Palatino Linotype"/>
          <w:i/>
          <w:iCs/>
          <w:sz w:val="24"/>
          <w:szCs w:val="24"/>
        </w:rPr>
        <w:t>per se</w:t>
      </w:r>
      <w:r>
        <w:rPr>
          <w:rFonts w:ascii="Palatino Linotype" w:eastAsia="Palatino Linotype" w:hAnsi="Palatino Linotype" w:cs="Palatino Linotype"/>
          <w:sz w:val="24"/>
          <w:szCs w:val="24"/>
        </w:rPr>
        <w:t xml:space="preserve"> es un elemento que hace a una persona física identificada o identificable.</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57. </w:t>
      </w:r>
      <w:r>
        <w:rPr>
          <w:rFonts w:ascii="Palatino Linotype" w:eastAsia="Palatino Linotype" w:hAnsi="Palatino Linotype" w:cs="Palatino Linotype"/>
          <w:sz w:val="24"/>
          <w:szCs w:val="24"/>
        </w:rPr>
        <w:t xml:space="preserve">En ese contexto, es importante mencionar que si bien es cierto que el nombre de una persona es atributo de la personalidad, de conformidad con la legislación civil, al tratarse de un dato personal hace identificable a su titular, además la Ley de Transparencia y Acceso a la Información Pública del Estado de México y Municipios ha establecido un régimen de excepción tratándose de </w:t>
      </w:r>
      <w:r>
        <w:rPr>
          <w:rFonts w:ascii="Palatino Linotype" w:eastAsia="Palatino Linotype" w:hAnsi="Palatino Linotype" w:cs="Palatino Linotype"/>
          <w:b/>
          <w:bCs/>
          <w:sz w:val="24"/>
          <w:szCs w:val="24"/>
        </w:rPr>
        <w:t>los nombres de aquellos que reciben recursos públicos (contratistas),</w:t>
      </w:r>
      <w:r>
        <w:rPr>
          <w:rFonts w:ascii="Palatino Linotype" w:eastAsia="Palatino Linotype" w:hAnsi="Palatino Linotype" w:cs="Palatino Linotype"/>
          <w:sz w:val="24"/>
          <w:szCs w:val="24"/>
        </w:rPr>
        <w:t xml:space="preserve"> ya que la difusión de dicho dato constituye una obligación de transparencia por parte de los sujetos obligados.</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spacing w:line="360" w:lineRule="auto"/>
        <w:ind w:right="-876"/>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 xml:space="preserve">58. </w:t>
      </w:r>
      <w:r>
        <w:rPr>
          <w:rFonts w:ascii="Palatino Linotype" w:eastAsia="Palatino Linotype" w:hAnsi="Palatino Linotype" w:cs="Palatino Linotype"/>
          <w:sz w:val="24"/>
          <w:szCs w:val="24"/>
        </w:rPr>
        <w:t xml:space="preserve">Toma sustento con el artículo 92, fracciones XXXI, de la Ley de la materia, el cual establece que los sujetos obligados tienen la obligación de poner a disposición del público y mantener actualizada de acuerdo con sus facultades, atribuciones, funciones u objeto social, según corresponda el </w:t>
      </w:r>
      <w:r>
        <w:rPr>
          <w:rFonts w:ascii="Palatino Linotype" w:eastAsia="Palatino Linotype" w:hAnsi="Palatino Linotype" w:cs="Palatino Linotype"/>
          <w:b/>
          <w:bCs/>
          <w:sz w:val="24"/>
          <w:szCs w:val="24"/>
        </w:rPr>
        <w:t>Padrón de proveedores y contratistas.</w:t>
      </w: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lastRenderedPageBreak/>
        <w:t>59.</w:t>
      </w:r>
      <w:r>
        <w:rPr>
          <w:rFonts w:ascii="Palatino Linotype" w:eastAsia="Palatino Linotype" w:hAnsi="Palatino Linotype" w:cs="Palatino Linotype"/>
          <w:sz w:val="24"/>
          <w:szCs w:val="24"/>
        </w:rPr>
        <w:t xml:space="preserve"> Además, se robustece con los formatos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tal como se muestran a continuación:</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ind w:right="-876"/>
        <w:jc w:val="both"/>
        <w:rPr>
          <w:rFonts w:ascii="Palatino Linotype" w:eastAsia="Palatino Linotype" w:hAnsi="Palatino Linotype" w:cs="Palatino Linotype"/>
          <w:b/>
          <w:bCs/>
          <w:sz w:val="24"/>
          <w:szCs w:val="24"/>
        </w:rPr>
      </w:pPr>
      <w:r>
        <w:rPr>
          <w:rFonts w:ascii="Palatino Linotype" w:eastAsia="Palatino Linotype" w:hAnsi="Palatino Linotype" w:cs="Palatino Linotype"/>
          <w:noProof/>
          <w:sz w:val="24"/>
          <w:szCs w:val="24"/>
        </w:rPr>
        <w:drawing>
          <wp:inline distT="0" distB="0" distL="0" distR="0">
            <wp:extent cx="5743575" cy="75247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b="84505"/>
                    <a:stretch>
                      <a:fillRect/>
                    </a:stretch>
                  </pic:blipFill>
                  <pic:spPr>
                    <a:xfrm>
                      <a:off x="0" y="0"/>
                      <a:ext cx="5743575" cy="752475"/>
                    </a:xfrm>
                    <a:prstGeom prst="rect">
                      <a:avLst/>
                    </a:prstGeom>
                    <a:ln/>
                  </pic:spPr>
                </pic:pic>
              </a:graphicData>
            </a:graphic>
          </wp:inline>
        </w:drawing>
      </w:r>
    </w:p>
    <w:p w:rsidR="00B31375" w:rsidRDefault="00ED6F59">
      <w:pPr>
        <w:spacing w:line="360" w:lineRule="auto"/>
        <w:ind w:right="-876"/>
        <w:jc w:val="both"/>
        <w:rPr>
          <w:rFonts w:ascii="Palatino Linotype" w:eastAsia="Palatino Linotype" w:hAnsi="Palatino Linotype" w:cs="Palatino Linotype"/>
          <w:b/>
          <w:bCs/>
          <w:sz w:val="24"/>
          <w:szCs w:val="24"/>
        </w:rPr>
      </w:pPr>
      <w:r>
        <w:rPr>
          <w:rFonts w:ascii="Palatino Linotype" w:eastAsia="Palatino Linotype" w:hAnsi="Palatino Linotype" w:cs="Palatino Linotype"/>
          <w:noProof/>
          <w:sz w:val="24"/>
          <w:szCs w:val="24"/>
        </w:rPr>
        <w:drawing>
          <wp:inline distT="0" distB="0" distL="0" distR="0">
            <wp:extent cx="5743575" cy="4953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t="89838" b="-38"/>
                    <a:stretch>
                      <a:fillRect/>
                    </a:stretch>
                  </pic:blipFill>
                  <pic:spPr>
                    <a:xfrm>
                      <a:off x="0" y="0"/>
                      <a:ext cx="5743575" cy="495300"/>
                    </a:xfrm>
                    <a:prstGeom prst="rect">
                      <a:avLst/>
                    </a:prstGeom>
                    <a:ln/>
                  </pic:spPr>
                </pic:pic>
              </a:graphicData>
            </a:graphic>
          </wp:inline>
        </w:drawing>
      </w:r>
    </w:p>
    <w:p w:rsidR="00B31375" w:rsidRDefault="00B31375">
      <w:pPr>
        <w:spacing w:line="360" w:lineRule="auto"/>
        <w:ind w:right="-876"/>
        <w:jc w:val="both"/>
        <w:rPr>
          <w:rFonts w:ascii="Palatino Linotype" w:eastAsia="Palatino Linotype" w:hAnsi="Palatino Linotype" w:cs="Palatino Linotype"/>
          <w:b/>
          <w:bCs/>
          <w:sz w:val="24"/>
          <w:szCs w:val="24"/>
        </w:rPr>
      </w:pPr>
    </w:p>
    <w:p w:rsidR="00B31375" w:rsidRDefault="00ED6F59">
      <w:pPr>
        <w:spacing w:line="360" w:lineRule="auto"/>
        <w:ind w:right="-876"/>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 xml:space="preserve">60. </w:t>
      </w:r>
      <w:r>
        <w:rPr>
          <w:rFonts w:ascii="Palatino Linotype" w:eastAsia="Palatino Linotype" w:hAnsi="Palatino Linotype" w:cs="Palatino Linotype"/>
          <w:sz w:val="24"/>
          <w:szCs w:val="24"/>
        </w:rPr>
        <w:t xml:space="preserve">Por lo tanto, la Ley de Transparencia y Acceso a la Información Pública del Estado de México y Municipios, considera que </w:t>
      </w:r>
      <w:r>
        <w:rPr>
          <w:rFonts w:ascii="Palatino Linotype" w:eastAsia="Palatino Linotype" w:hAnsi="Palatino Linotype" w:cs="Palatino Linotype"/>
          <w:b/>
          <w:bCs/>
          <w:sz w:val="24"/>
          <w:szCs w:val="24"/>
        </w:rPr>
        <w:t xml:space="preserve">los datos de aquellas personas que recibieron recursos públicos, por regla general, </w:t>
      </w:r>
      <w:r>
        <w:rPr>
          <w:rFonts w:ascii="Palatino Linotype" w:eastAsia="Palatino Linotype" w:hAnsi="Palatino Linotype" w:cs="Palatino Linotype"/>
          <w:sz w:val="24"/>
          <w:szCs w:val="24"/>
        </w:rPr>
        <w:t xml:space="preserve">son de naturaleza pública, ya que su publicidad orienta a cumplir los objetivos que persigue la Ley; toda vez, </w:t>
      </w:r>
      <w:r>
        <w:rPr>
          <w:rFonts w:ascii="Palatino Linotype" w:eastAsia="Palatino Linotype" w:hAnsi="Palatino Linotype" w:cs="Palatino Linotype"/>
          <w:b/>
          <w:bCs/>
          <w:sz w:val="24"/>
          <w:szCs w:val="24"/>
        </w:rPr>
        <w:t>que ayuda a transparentar a quienes se les han otorgado recursos públicos, así como, porque razones se les otorgaron dichos montos.</w:t>
      </w:r>
    </w:p>
    <w:p w:rsidR="00B31375" w:rsidRDefault="00B31375">
      <w:pPr>
        <w:spacing w:line="360" w:lineRule="auto"/>
        <w:ind w:right="-876"/>
        <w:jc w:val="both"/>
        <w:rPr>
          <w:rFonts w:ascii="Palatino Linotype" w:eastAsia="Palatino Linotype" w:hAnsi="Palatino Linotype" w:cs="Palatino Linotype"/>
          <w:b/>
          <w:bCs/>
          <w:sz w:val="24"/>
          <w:szCs w:val="24"/>
        </w:rPr>
      </w:pP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61. </w:t>
      </w:r>
      <w:r>
        <w:rPr>
          <w:rFonts w:ascii="Palatino Linotype" w:eastAsia="Palatino Linotype" w:hAnsi="Palatino Linotype" w:cs="Palatino Linotype"/>
          <w:sz w:val="24"/>
          <w:szCs w:val="24"/>
        </w:rPr>
        <w:t>Por lo que, se considera que no procede la clasificación del nombre de los contratistas, en términos del artículo 143, fracción I de la Ley de Transparencia y Acceso a la Información Pública del Estado de México y Municipios.</w:t>
      </w:r>
    </w:p>
    <w:p w:rsidR="00B31375" w:rsidRDefault="00B31375">
      <w:pPr>
        <w:spacing w:line="360" w:lineRule="auto"/>
        <w:ind w:right="-876"/>
        <w:jc w:val="both"/>
        <w:rPr>
          <w:rFonts w:ascii="Palatino Linotype" w:eastAsia="Palatino Linotype" w:hAnsi="Palatino Linotype" w:cs="Palatino Linotype"/>
          <w:b/>
          <w:bCs/>
          <w:sz w:val="24"/>
          <w:szCs w:val="24"/>
        </w:rPr>
      </w:pPr>
    </w:p>
    <w:p w:rsidR="00B53F7A" w:rsidRDefault="00B53F7A">
      <w:pPr>
        <w:spacing w:line="360" w:lineRule="auto"/>
        <w:ind w:right="-876"/>
        <w:jc w:val="both"/>
        <w:rPr>
          <w:rFonts w:ascii="Palatino Linotype" w:eastAsia="Palatino Linotype" w:hAnsi="Palatino Linotype" w:cs="Palatino Linotype"/>
          <w:b/>
          <w:bCs/>
          <w:sz w:val="24"/>
          <w:szCs w:val="24"/>
        </w:rPr>
      </w:pPr>
    </w:p>
    <w:p w:rsidR="00B31375" w:rsidRDefault="00ED6F59">
      <w:pPr>
        <w:numPr>
          <w:ilvl w:val="0"/>
          <w:numId w:val="11"/>
        </w:numPr>
        <w:spacing w:line="360" w:lineRule="auto"/>
        <w:ind w:left="720" w:right="-876"/>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lastRenderedPageBreak/>
        <w:t>Denominación o razón social de contratistas personas morales.</w:t>
      </w: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62. </w:t>
      </w:r>
      <w:r>
        <w:rPr>
          <w:rFonts w:ascii="Palatino Linotype" w:eastAsia="Palatino Linotype" w:hAnsi="Palatino Linotype" w:cs="Palatino Linotype"/>
          <w:sz w:val="24"/>
          <w:szCs w:val="24"/>
        </w:rPr>
        <w:t>Al respecto, se considera que la denominación o razón social de una persona moral, es pública, pues dichos datos se encuentran inscritos en el Registro Público del Comercio; lo anterior, toma sustento en el Criterio de Interpretación, de la Segunda Época, con número de registro SO/008/2019, emitido por el Instituto Nacional de Transparencia, Acceso a la Información y Protección de Datos Personales, que precisa lo siguiente:</w:t>
      </w:r>
    </w:p>
    <w:p w:rsidR="00B31375" w:rsidRDefault="00ED6F59">
      <w:pPr>
        <w:spacing w:line="360" w:lineRule="auto"/>
        <w:ind w:left="567" w:right="-876"/>
        <w:jc w:val="both"/>
        <w:rPr>
          <w:rFonts w:ascii="Palatino Linotype" w:eastAsia="Palatino Linotype" w:hAnsi="Palatino Linotype" w:cs="Palatino Linotype"/>
          <w:i/>
          <w:iCs/>
          <w:sz w:val="24"/>
          <w:szCs w:val="24"/>
        </w:rPr>
      </w:pPr>
      <w:r>
        <w:rPr>
          <w:rFonts w:ascii="Palatino Linotype" w:eastAsia="Palatino Linotype" w:hAnsi="Palatino Linotype" w:cs="Palatino Linotype"/>
          <w:b/>
          <w:bCs/>
          <w:i/>
          <w:iCs/>
          <w:sz w:val="24"/>
          <w:szCs w:val="24"/>
        </w:rPr>
        <w:t xml:space="preserve">“Razón social y RFC de personas morales. </w:t>
      </w:r>
      <w:r>
        <w:rPr>
          <w:rFonts w:ascii="Palatino Linotype" w:eastAsia="Palatino Linotype" w:hAnsi="Palatino Linotype" w:cs="Palatino Linotype"/>
          <w:i/>
          <w:iCs/>
          <w:sz w:val="24"/>
          <w:szCs w:val="24"/>
        </w:rPr>
        <w:t>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rsidR="00B31375" w:rsidRDefault="00B31375">
      <w:pPr>
        <w:spacing w:line="360" w:lineRule="auto"/>
        <w:ind w:right="-876"/>
        <w:jc w:val="both"/>
        <w:rPr>
          <w:rFonts w:ascii="Palatino Linotype" w:eastAsia="Palatino Linotype" w:hAnsi="Palatino Linotype" w:cs="Palatino Linotype"/>
          <w:b/>
          <w:bCs/>
          <w:sz w:val="24"/>
          <w:szCs w:val="24"/>
        </w:rPr>
      </w:pP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63. </w:t>
      </w:r>
      <w:r>
        <w:rPr>
          <w:rFonts w:ascii="Palatino Linotype" w:eastAsia="Palatino Linotype" w:hAnsi="Palatino Linotype" w:cs="Palatino Linotype"/>
          <w:sz w:val="24"/>
          <w:szCs w:val="24"/>
        </w:rPr>
        <w:t>Lo anterior, se robustece con el hecho de que el Ente Recurrido tiene como obligación común de transparencia, poner a disposición del público el padrón de contratistas y contratistas, que como se advirtió en párrafos anteriores debe incluir la denominación o razón social del proveedor o contratista, de conformidad con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lastRenderedPageBreak/>
        <w:t xml:space="preserve">64. </w:t>
      </w:r>
      <w:r>
        <w:rPr>
          <w:rFonts w:ascii="Palatino Linotype" w:eastAsia="Palatino Linotype" w:hAnsi="Palatino Linotype" w:cs="Palatino Linotype"/>
          <w:sz w:val="24"/>
          <w:szCs w:val="24"/>
        </w:rPr>
        <w:t>Por lo tanto, no procede la clasificación de la denominación o razón social de los contratistas personas morales, en términos del artículo 143, fracción I de la Ley de Transparencia y Acceso a la Información Pública del Estado de México y Municipios.</w:t>
      </w:r>
    </w:p>
    <w:p w:rsidR="00B31375" w:rsidRDefault="00B31375">
      <w:pPr>
        <w:spacing w:line="360" w:lineRule="auto"/>
        <w:ind w:right="-876"/>
        <w:jc w:val="both"/>
        <w:rPr>
          <w:rFonts w:ascii="Palatino Linotype" w:eastAsia="Palatino Linotype" w:hAnsi="Palatino Linotype" w:cs="Palatino Linotype"/>
          <w:b/>
          <w:bCs/>
          <w:color w:val="000000"/>
          <w:sz w:val="24"/>
          <w:szCs w:val="24"/>
        </w:rPr>
      </w:pPr>
    </w:p>
    <w:p w:rsidR="00B31375" w:rsidRDefault="00ED6F59">
      <w:pPr>
        <w:numPr>
          <w:ilvl w:val="0"/>
          <w:numId w:val="13"/>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Registro Federal de Contribuyentes de contratista</w:t>
      </w:r>
    </w:p>
    <w:p w:rsidR="00B31375" w:rsidRDefault="00ED6F59">
      <w:pPr>
        <w:spacing w:line="360" w:lineRule="auto"/>
        <w:ind w:right="-876"/>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Persona física</w:t>
      </w:r>
    </w:p>
    <w:p w:rsidR="00B31375" w:rsidRDefault="00ED6F59">
      <w:pPr>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65. </w:t>
      </w:r>
      <w:r>
        <w:rPr>
          <w:rFonts w:ascii="Palatino Linotype" w:eastAsia="Palatino Linotype" w:hAnsi="Palatino Linotype" w:cs="Palatino Linotype"/>
          <w:color w:val="000000"/>
          <w:sz w:val="24"/>
          <w:szCs w:val="24"/>
        </w:rPr>
        <w:t>Al respecto, es necesario precisar que el proveedor de cualquier Sujeto Obligado de la Ley de la materia, que sea una persona física, debe cumplir con los requisitos establecidos en los artículos 29 y 32 del Reglamento de la Ley de Contratación Pública del Estado de México y Municipios; es decir, para que los individuos puedan participar en actos de adquisición o de contratación de servicios que requieran las dependencias, organismos auxiliares y tribunales administrativos, así como los Gobiernos Municipales, deberán presentar, entre otras cosas, la cédula de identificación fiscal (Registro Federal de Contribuyentes); por lo que la entrega de dicho dato permite verificar cumplimiento de esta disposición legal.</w:t>
      </w:r>
    </w:p>
    <w:p w:rsidR="00B31375" w:rsidRDefault="00B31375">
      <w:pPr>
        <w:spacing w:line="360" w:lineRule="auto"/>
        <w:ind w:right="-876"/>
        <w:jc w:val="both"/>
        <w:rPr>
          <w:rFonts w:ascii="Palatino Linotype" w:eastAsia="Palatino Linotype" w:hAnsi="Palatino Linotype" w:cs="Palatino Linotype"/>
          <w:color w:val="000000"/>
          <w:sz w:val="24"/>
          <w:szCs w:val="24"/>
        </w:rPr>
      </w:pPr>
    </w:p>
    <w:p w:rsidR="00B31375" w:rsidRDefault="00ED6F59">
      <w:pPr>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66.</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Por lo tanto, en el presente caso, si bien el Registro Federal de Contribuyentes de personas físicas es un dato personal, también lo es, que corresponde a un requisito indispensable para ser proveedor y poder llevar a cabo actividades comerciales con la Entidad, ya que, sin este, no se pueden realizar dichas acciones, por lo que su entrega es un elemento adicional que respalda la legalidad de los procesos adquisitivos.</w:t>
      </w:r>
    </w:p>
    <w:p w:rsidR="00B31375" w:rsidRDefault="00B31375">
      <w:pPr>
        <w:spacing w:line="360" w:lineRule="auto"/>
        <w:ind w:right="-876"/>
        <w:jc w:val="both"/>
        <w:rPr>
          <w:rFonts w:ascii="Palatino Linotype" w:eastAsia="Palatino Linotype" w:hAnsi="Palatino Linotype" w:cs="Palatino Linotype"/>
          <w:color w:val="000000"/>
          <w:sz w:val="24"/>
          <w:szCs w:val="24"/>
        </w:rPr>
      </w:pPr>
    </w:p>
    <w:p w:rsidR="00B31375" w:rsidRDefault="00ED6F59">
      <w:pPr>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67. </w:t>
      </w:r>
      <w:r>
        <w:rPr>
          <w:rFonts w:ascii="Palatino Linotype" w:eastAsia="Palatino Linotype" w:hAnsi="Palatino Linotype" w:cs="Palatino Linotype"/>
          <w:color w:val="000000"/>
          <w:sz w:val="24"/>
          <w:szCs w:val="24"/>
        </w:rPr>
        <w:t xml:space="preserve">En ese contexto, entregar el Registro Federal de Contribuyentes aún de personas físicas cuando son contratistas de instituciones públicas, propiciaría la rendición de cuentas, al </w:t>
      </w:r>
      <w:r>
        <w:rPr>
          <w:rFonts w:ascii="Palatino Linotype" w:eastAsia="Palatino Linotype" w:hAnsi="Palatino Linotype" w:cs="Palatino Linotype"/>
          <w:color w:val="000000"/>
          <w:sz w:val="24"/>
          <w:szCs w:val="24"/>
        </w:rPr>
        <w:lastRenderedPageBreak/>
        <w:t>permitir verificar que se cumplió con uno de los requisitos necesarios conforme a la normatividad aplicable en materia de contrataciones, lo cual, transparenta el correcto ejercicio de recursos públicos por parte de los sujetos obligados, lo que es acorde con el principio de máxima publicidad.</w:t>
      </w:r>
    </w:p>
    <w:p w:rsidR="00B31375" w:rsidRDefault="00B31375">
      <w:pPr>
        <w:spacing w:line="360" w:lineRule="auto"/>
        <w:ind w:right="-876"/>
        <w:jc w:val="both"/>
        <w:rPr>
          <w:rFonts w:ascii="Palatino Linotype" w:eastAsia="Palatino Linotype" w:hAnsi="Palatino Linotype" w:cs="Palatino Linotype"/>
          <w:color w:val="000000"/>
          <w:sz w:val="24"/>
          <w:szCs w:val="24"/>
        </w:rPr>
      </w:pP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68.</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Lo anterior, se robustece con el Criterio Orientador, de la Segunda Época, con número de registro SO/004/2021, emitido por el entonces Instituto Nacional de Transparencia, Acceso a la Información y Protección de Datos Personales, vigente a la fecha de la solicitud, en el cual se señala lo siguiente:</w:t>
      </w:r>
    </w:p>
    <w:p w:rsidR="00B31375" w:rsidRDefault="00ED6F59">
      <w:pPr>
        <w:tabs>
          <w:tab w:val="center" w:pos="4522"/>
        </w:tabs>
        <w:spacing w:line="360" w:lineRule="auto"/>
        <w:ind w:left="567"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 xml:space="preserve">“Registro Federal de Contribuyentes (RFC) de personas físicas contratistas o contratistas. </w:t>
      </w:r>
      <w:r>
        <w:rPr>
          <w:rFonts w:ascii="Palatino Linotype" w:eastAsia="Palatino Linotype" w:hAnsi="Palatino Linotype" w:cs="Palatino Linotype"/>
          <w:i/>
          <w:iCs/>
          <w:color w:val="000000"/>
          <w:sz w:val="24"/>
          <w:szCs w:val="24"/>
        </w:rPr>
        <w:t>El RFC de contratistas o contratistas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rsidR="00B31375" w:rsidRDefault="00B31375">
      <w:pPr>
        <w:tabs>
          <w:tab w:val="center" w:pos="4522"/>
        </w:tabs>
        <w:spacing w:line="360" w:lineRule="auto"/>
        <w:ind w:right="-876"/>
        <w:jc w:val="both"/>
        <w:rPr>
          <w:rFonts w:ascii="Palatino Linotype" w:eastAsia="Palatino Linotype" w:hAnsi="Palatino Linotype" w:cs="Palatino Linotype"/>
          <w:color w:val="000000"/>
          <w:sz w:val="24"/>
          <w:szCs w:val="24"/>
        </w:rPr>
      </w:pPr>
    </w:p>
    <w:p w:rsidR="00B31375" w:rsidRDefault="00ED6F59">
      <w:pPr>
        <w:tabs>
          <w:tab w:val="center" w:pos="4522"/>
        </w:tabs>
        <w:spacing w:line="360" w:lineRule="auto"/>
        <w:ind w:right="-876"/>
        <w:jc w:val="both"/>
        <w:rPr>
          <w:rFonts w:ascii="Palatino Linotype" w:eastAsia="Palatino Linotype" w:hAnsi="Palatino Linotype" w:cs="Palatino Linotype"/>
          <w:b/>
          <w:bCs/>
          <w:color w:val="000000"/>
          <w:sz w:val="24"/>
          <w:szCs w:val="24"/>
          <w:u w:val="single"/>
        </w:rPr>
      </w:pPr>
      <w:r>
        <w:rPr>
          <w:rFonts w:ascii="Palatino Linotype" w:eastAsia="Palatino Linotype" w:hAnsi="Palatino Linotype" w:cs="Palatino Linotype"/>
          <w:b/>
          <w:bCs/>
          <w:sz w:val="24"/>
          <w:szCs w:val="24"/>
        </w:rPr>
        <w:t xml:space="preserve">69. </w:t>
      </w:r>
      <w:r>
        <w:rPr>
          <w:rFonts w:ascii="Palatino Linotype" w:eastAsia="Palatino Linotype" w:hAnsi="Palatino Linotype" w:cs="Palatino Linotype"/>
          <w:color w:val="000000"/>
          <w:sz w:val="24"/>
          <w:szCs w:val="24"/>
        </w:rPr>
        <w:t>En conclusión, toda vez, que el Registro Federal de Contribuyentes de contratistas o contratistas, es un requisito indispensable, para poder participar en adquisiciones públicas y contracción de servicios y que abona a la transparencia con la que deben administrarse los recursos públicos, no actualiza la causal de clasificación prevista en el artículo 143, fracción I de la Ley de Transparencia y Acceso a la Información Pública del Estado de México y Municipios.</w:t>
      </w:r>
    </w:p>
    <w:p w:rsidR="00B31375" w:rsidRDefault="00B31375">
      <w:pPr>
        <w:tabs>
          <w:tab w:val="center" w:pos="4522"/>
        </w:tabs>
        <w:spacing w:line="360" w:lineRule="auto"/>
        <w:ind w:right="-876"/>
        <w:jc w:val="both"/>
        <w:rPr>
          <w:rFonts w:ascii="Palatino Linotype" w:eastAsia="Palatino Linotype" w:hAnsi="Palatino Linotype" w:cs="Palatino Linotype"/>
          <w:b/>
          <w:bCs/>
          <w:color w:val="000000"/>
          <w:sz w:val="24"/>
          <w:szCs w:val="24"/>
        </w:rPr>
      </w:pPr>
    </w:p>
    <w:p w:rsidR="00B53F7A" w:rsidRDefault="00B53F7A">
      <w:pPr>
        <w:tabs>
          <w:tab w:val="center" w:pos="4522"/>
        </w:tabs>
        <w:spacing w:line="360" w:lineRule="auto"/>
        <w:ind w:right="-876"/>
        <w:jc w:val="both"/>
        <w:rPr>
          <w:rFonts w:ascii="Palatino Linotype" w:eastAsia="Palatino Linotype" w:hAnsi="Palatino Linotype" w:cs="Palatino Linotype"/>
          <w:b/>
          <w:bCs/>
          <w:color w:val="000000"/>
          <w:sz w:val="24"/>
          <w:szCs w:val="24"/>
        </w:rPr>
      </w:pPr>
    </w:p>
    <w:p w:rsidR="00B31375" w:rsidRDefault="00ED6F59">
      <w:pPr>
        <w:tabs>
          <w:tab w:val="center" w:pos="4522"/>
        </w:tabs>
        <w:spacing w:line="360" w:lineRule="auto"/>
        <w:ind w:right="-876"/>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lastRenderedPageBreak/>
        <w:t>Persona Moral</w:t>
      </w: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70. </w:t>
      </w:r>
      <w:r>
        <w:rPr>
          <w:rFonts w:ascii="Palatino Linotype" w:eastAsia="Palatino Linotype" w:hAnsi="Palatino Linotype" w:cs="Palatino Linotype"/>
          <w:color w:val="000000"/>
          <w:sz w:val="24"/>
          <w:szCs w:val="24"/>
        </w:rPr>
        <w:t>Al respecto, el Registro Federal de Contribuyentes, inicia con un preinscripción por Internet y se concluye en cualquier Administración Desconcentrada de Servicios al Contribuyente, en donde aquellas personas que realicen el trámite tendrán que entregar ciertos documentos, que para las personas jurídico colectivas, serán, entre otros, la copia certificada del documento constitutivo debidamente protocolizado, comprobante de domicilio, 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autoridades fiscales o ante notario o fedatario público. Derivado del trámite se obtiene, entre otros, la cédula de identificación fiscal o constancia de registro.</w:t>
      </w:r>
    </w:p>
    <w:p w:rsidR="00B31375" w:rsidRDefault="00B31375">
      <w:pPr>
        <w:tabs>
          <w:tab w:val="center" w:pos="4522"/>
        </w:tabs>
        <w:spacing w:line="360" w:lineRule="auto"/>
        <w:ind w:right="-876"/>
        <w:jc w:val="both"/>
        <w:rPr>
          <w:rFonts w:ascii="Palatino Linotype" w:eastAsia="Palatino Linotype" w:hAnsi="Palatino Linotype" w:cs="Palatino Linotype"/>
          <w:color w:val="000000"/>
          <w:sz w:val="24"/>
          <w:szCs w:val="24"/>
        </w:rPr>
      </w:pP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71. </w:t>
      </w:r>
      <w:r>
        <w:rPr>
          <w:rFonts w:ascii="Palatino Linotype" w:eastAsia="Palatino Linotype" w:hAnsi="Palatino Linotype" w:cs="Palatino Linotype"/>
          <w:color w:val="000000"/>
          <w:sz w:val="24"/>
          <w:szCs w:val="24"/>
        </w:rPr>
        <w:t>Por ende, la información correspondiente al Registro Federal de Contribuyentes de una persona moral da cuenta del cumplimiento o no en sus obligaciones fiscales; por tanto, no se actualiza su clasificación como confidencial.</w:t>
      </w:r>
    </w:p>
    <w:p w:rsidR="00B31375" w:rsidRDefault="00B31375">
      <w:pPr>
        <w:tabs>
          <w:tab w:val="center" w:pos="4522"/>
        </w:tabs>
        <w:spacing w:line="360" w:lineRule="auto"/>
        <w:ind w:right="-876"/>
        <w:jc w:val="both"/>
        <w:rPr>
          <w:rFonts w:ascii="Palatino Linotype" w:eastAsia="Palatino Linotype" w:hAnsi="Palatino Linotype" w:cs="Palatino Linotype"/>
          <w:color w:val="000000"/>
          <w:sz w:val="24"/>
          <w:szCs w:val="24"/>
        </w:rPr>
      </w:pP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72. </w:t>
      </w:r>
      <w:r>
        <w:rPr>
          <w:rFonts w:ascii="Palatino Linotype" w:eastAsia="Palatino Linotype" w:hAnsi="Palatino Linotype" w:cs="Palatino Linotype"/>
          <w:color w:val="000000"/>
          <w:sz w:val="24"/>
          <w:szCs w:val="24"/>
        </w:rPr>
        <w:t>Además, resulta aplicable por analogía el Criterio Orientador, de la Segunda Época, con número de registro SO/008/2019, emitido por el entonces Instituto Nacional de Transparencia, Acceso a la Información y Protección de Datos Personales, vigente a la fecha de la solicitud, que precisa que el Registro Federal de Contribuyentes de personas morales, es público, al no referir a hechos o actos de carácter económico, contable, jurídico o administrativo que sean útiles o representen una ventaja a sus competidores.</w:t>
      </w:r>
    </w:p>
    <w:p w:rsidR="00B31375" w:rsidRDefault="00B31375">
      <w:pPr>
        <w:tabs>
          <w:tab w:val="center" w:pos="4522"/>
        </w:tabs>
        <w:spacing w:line="360" w:lineRule="auto"/>
        <w:ind w:right="-876"/>
        <w:jc w:val="both"/>
        <w:rPr>
          <w:rFonts w:ascii="Palatino Linotype" w:eastAsia="Palatino Linotype" w:hAnsi="Palatino Linotype" w:cs="Palatino Linotype"/>
          <w:color w:val="000000"/>
          <w:sz w:val="24"/>
          <w:szCs w:val="24"/>
        </w:rPr>
      </w:pP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lastRenderedPageBreak/>
        <w:t xml:space="preserve">73. </w:t>
      </w:r>
      <w:r>
        <w:rPr>
          <w:rFonts w:ascii="Palatino Linotype" w:eastAsia="Palatino Linotype" w:hAnsi="Palatino Linotype" w:cs="Palatino Linotype"/>
          <w:color w:val="000000"/>
          <w:sz w:val="24"/>
          <w:szCs w:val="24"/>
        </w:rPr>
        <w:t>De tales circunstancias, el Registro Federal de Contribuyentes de personas morales, no actualizan la causal de clasificación, prevista en el artículo 143, fracción I de la Ley de Transparencia y Acceso a la Información Pública del Estado de México y Municipios, al ser de naturaleza pública.</w:t>
      </w:r>
    </w:p>
    <w:p w:rsidR="00B31375" w:rsidRDefault="00B31375">
      <w:pPr>
        <w:spacing w:line="360" w:lineRule="auto"/>
        <w:ind w:right="-876"/>
        <w:jc w:val="both"/>
        <w:rPr>
          <w:rFonts w:ascii="Palatino Linotype" w:eastAsia="Palatino Linotype" w:hAnsi="Palatino Linotype" w:cs="Palatino Linotype"/>
          <w:b/>
          <w:bCs/>
          <w:sz w:val="24"/>
          <w:szCs w:val="24"/>
        </w:rPr>
      </w:pPr>
    </w:p>
    <w:p w:rsidR="00B31375" w:rsidRDefault="00ED6F59">
      <w:pPr>
        <w:numPr>
          <w:ilvl w:val="0"/>
          <w:numId w:val="13"/>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Domicilio Fiscal o legal para recibir y oír notificaciones (contratista persona física o moral).</w:t>
      </w: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74. </w:t>
      </w:r>
      <w:r>
        <w:rPr>
          <w:rFonts w:ascii="Palatino Linotype" w:eastAsia="Palatino Linotype" w:hAnsi="Palatino Linotype" w:cs="Palatino Linotype"/>
          <w:color w:val="000000"/>
          <w:sz w:val="24"/>
          <w:szCs w:val="24"/>
        </w:rPr>
        <w:t xml:space="preserve">De acuerdo a lo señalado en los artículos 2.17 y 2.21 del Código Civil del Estado de México, el domicilio de una persona física, es el lugar donde reside, en donde tiene el principal </w:t>
      </w:r>
      <w:r>
        <w:rPr>
          <w:rFonts w:ascii="Palatino Linotype" w:eastAsia="Palatino Linotype" w:hAnsi="Palatino Linotype" w:cs="Palatino Linotype"/>
          <w:sz w:val="24"/>
          <w:szCs w:val="24"/>
        </w:rPr>
        <w:t>asiento</w:t>
      </w:r>
      <w:r>
        <w:rPr>
          <w:rFonts w:ascii="Palatino Linotype" w:eastAsia="Palatino Linotype" w:hAnsi="Palatino Linotype" w:cs="Palatino Linotype"/>
          <w:color w:val="000000"/>
          <w:sz w:val="24"/>
          <w:szCs w:val="24"/>
        </w:rPr>
        <w:t xml:space="preserve"> de negocios, o en su caso, el dónde se halle; mientras, que el de personas jurídicas colectivas, es aquel donde se halle establecida su administración o ejerza sus actividades.</w:t>
      </w:r>
    </w:p>
    <w:p w:rsidR="00B31375" w:rsidRDefault="00B31375">
      <w:pPr>
        <w:tabs>
          <w:tab w:val="center" w:pos="4522"/>
        </w:tabs>
        <w:spacing w:line="360" w:lineRule="auto"/>
        <w:ind w:right="-876"/>
        <w:jc w:val="both"/>
        <w:rPr>
          <w:rFonts w:ascii="Palatino Linotype" w:eastAsia="Palatino Linotype" w:hAnsi="Palatino Linotype" w:cs="Palatino Linotype"/>
          <w:color w:val="000000"/>
          <w:sz w:val="24"/>
          <w:szCs w:val="24"/>
        </w:rPr>
      </w:pP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75. </w:t>
      </w:r>
      <w:r>
        <w:rPr>
          <w:rFonts w:ascii="Palatino Linotype" w:eastAsia="Palatino Linotype" w:hAnsi="Palatino Linotype" w:cs="Palatino Linotype"/>
          <w:color w:val="000000"/>
          <w:sz w:val="24"/>
          <w:szCs w:val="24"/>
        </w:rPr>
        <w:t>De la misma manera, lo establece los diversos 29 y 33 del Código Civil Federal, al precisar que el domicilio de personas físicas</w:t>
      </w:r>
      <w:r>
        <w:rPr>
          <w:rFonts w:ascii="Palatino Linotype" w:eastAsia="Palatino Linotype" w:hAnsi="Palatino Linotype" w:cs="Palatino Linotype"/>
          <w:b/>
          <w:bCs/>
          <w:color w:val="000000"/>
          <w:sz w:val="24"/>
          <w:szCs w:val="24"/>
        </w:rPr>
        <w:t xml:space="preserve">, es el lugar donde residen habitualmente, el lugar del centro principal de sus negocios, donde residan o el lugar donde se encuentren; </w:t>
      </w:r>
      <w:r>
        <w:rPr>
          <w:rFonts w:ascii="Palatino Linotype" w:eastAsia="Palatino Linotype" w:hAnsi="Palatino Linotype" w:cs="Palatino Linotype"/>
          <w:color w:val="000000"/>
          <w:sz w:val="24"/>
          <w:szCs w:val="24"/>
        </w:rPr>
        <w:t>mientras que, de las personas morales, aquel donde se halle su administración.</w:t>
      </w:r>
    </w:p>
    <w:p w:rsidR="00B31375" w:rsidRDefault="00B31375">
      <w:pPr>
        <w:tabs>
          <w:tab w:val="center" w:pos="4522"/>
        </w:tabs>
        <w:spacing w:line="360" w:lineRule="auto"/>
        <w:ind w:right="-876"/>
        <w:jc w:val="both"/>
        <w:rPr>
          <w:rFonts w:ascii="Palatino Linotype" w:eastAsia="Palatino Linotype" w:hAnsi="Palatino Linotype" w:cs="Palatino Linotype"/>
          <w:b/>
          <w:bCs/>
          <w:color w:val="000000"/>
          <w:sz w:val="24"/>
          <w:szCs w:val="24"/>
        </w:rPr>
      </w:pP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76. </w:t>
      </w:r>
      <w:r>
        <w:rPr>
          <w:rFonts w:ascii="Palatino Linotype" w:eastAsia="Palatino Linotype" w:hAnsi="Palatino Linotype" w:cs="Palatino Linotype"/>
          <w:color w:val="000000"/>
          <w:sz w:val="24"/>
          <w:szCs w:val="24"/>
        </w:rPr>
        <w:t>Además, respecto al domicilio fiscal, resulta necesario traer el artículo 10 del Código Fiscal de la Federación, que establece que, tratándose de personas físicas, corresponderá dicho dato:</w:t>
      </w:r>
    </w:p>
    <w:p w:rsidR="00B31375" w:rsidRDefault="00ED6F59">
      <w:pPr>
        <w:numPr>
          <w:ilvl w:val="0"/>
          <w:numId w:val="4"/>
        </w:numPr>
        <w:pBdr>
          <w:top w:val="nil"/>
          <w:left w:val="nil"/>
          <w:bottom w:val="nil"/>
          <w:right w:val="nil"/>
          <w:between w:val="nil"/>
        </w:pBd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El lugar donde realizan actividades empresariales, el local, en que se encuentre el principal </w:t>
      </w:r>
      <w:r>
        <w:rPr>
          <w:rFonts w:ascii="Palatino Linotype" w:eastAsia="Palatino Linotype" w:hAnsi="Palatino Linotype" w:cs="Palatino Linotype"/>
          <w:sz w:val="24"/>
          <w:szCs w:val="24"/>
        </w:rPr>
        <w:t>asiento</w:t>
      </w:r>
      <w:r>
        <w:rPr>
          <w:rFonts w:ascii="Palatino Linotype" w:eastAsia="Palatino Linotype" w:hAnsi="Palatino Linotype" w:cs="Palatino Linotype"/>
          <w:color w:val="000000"/>
          <w:sz w:val="24"/>
          <w:szCs w:val="24"/>
        </w:rPr>
        <w:t xml:space="preserve"> de sus negocios, y</w:t>
      </w:r>
    </w:p>
    <w:p w:rsidR="00B31375" w:rsidRDefault="00ED6F59">
      <w:pPr>
        <w:numPr>
          <w:ilvl w:val="0"/>
          <w:numId w:val="4"/>
        </w:numPr>
        <w:pBdr>
          <w:top w:val="nil"/>
          <w:left w:val="nil"/>
          <w:bottom w:val="nil"/>
          <w:right w:val="nil"/>
          <w:between w:val="nil"/>
        </w:pBd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La casa habitación, cuando no cuenta con un local o lugar donde realice las acciones previamente señaladas.</w:t>
      </w:r>
    </w:p>
    <w:p w:rsidR="00B31375" w:rsidRDefault="00B31375">
      <w:pPr>
        <w:tabs>
          <w:tab w:val="center" w:pos="4522"/>
        </w:tabs>
        <w:spacing w:line="360" w:lineRule="auto"/>
        <w:ind w:right="-876"/>
        <w:jc w:val="both"/>
        <w:rPr>
          <w:rFonts w:ascii="Palatino Linotype" w:eastAsia="Palatino Linotype" w:hAnsi="Palatino Linotype" w:cs="Palatino Linotype"/>
          <w:color w:val="000000"/>
          <w:sz w:val="24"/>
          <w:szCs w:val="24"/>
        </w:rPr>
      </w:pP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77.</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 xml:space="preserve">Mientras que, en el caso de personas morales, el domicilio </w:t>
      </w:r>
      <w:r>
        <w:rPr>
          <w:rFonts w:ascii="Palatino Linotype" w:eastAsia="Palatino Linotype" w:hAnsi="Palatino Linotype" w:cs="Palatino Linotype"/>
          <w:sz w:val="24"/>
          <w:szCs w:val="24"/>
        </w:rPr>
        <w:t>fiscal corresponderá</w:t>
      </w:r>
      <w:r>
        <w:rPr>
          <w:rFonts w:ascii="Palatino Linotype" w:eastAsia="Palatino Linotype" w:hAnsi="Palatino Linotype" w:cs="Palatino Linotype"/>
          <w:color w:val="000000"/>
          <w:sz w:val="24"/>
          <w:szCs w:val="24"/>
        </w:rPr>
        <w:t xml:space="preserve"> al local donde se encuentra la administración principal del negocio. </w:t>
      </w:r>
      <w:r>
        <w:rPr>
          <w:rFonts w:ascii="Palatino Linotype" w:eastAsia="Palatino Linotype" w:hAnsi="Palatino Linotype" w:cs="Palatino Linotype"/>
          <w:sz w:val="24"/>
          <w:szCs w:val="24"/>
        </w:rPr>
        <w:t>Cómo</w:t>
      </w:r>
      <w:r>
        <w:rPr>
          <w:rFonts w:ascii="Palatino Linotype" w:eastAsia="Palatino Linotype" w:hAnsi="Palatino Linotype" w:cs="Palatino Linotype"/>
          <w:color w:val="000000"/>
          <w:sz w:val="24"/>
          <w:szCs w:val="24"/>
        </w:rPr>
        <w:t xml:space="preserve"> se logra observar, el domicilio fiscal de los contratistas personas físicas, se encuentra en dos supuestos, por lo que, se procede a su análisis.</w:t>
      </w:r>
    </w:p>
    <w:p w:rsidR="00B31375" w:rsidRDefault="00B31375">
      <w:pPr>
        <w:tabs>
          <w:tab w:val="center" w:pos="4522"/>
        </w:tabs>
        <w:spacing w:line="360" w:lineRule="auto"/>
        <w:ind w:right="-876"/>
        <w:jc w:val="both"/>
        <w:rPr>
          <w:rFonts w:ascii="Palatino Linotype" w:eastAsia="Palatino Linotype" w:hAnsi="Palatino Linotype" w:cs="Palatino Linotype"/>
          <w:color w:val="000000"/>
          <w:sz w:val="24"/>
          <w:szCs w:val="24"/>
        </w:rPr>
      </w:pP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78. </w:t>
      </w:r>
      <w:r>
        <w:rPr>
          <w:rFonts w:ascii="Palatino Linotype" w:eastAsia="Palatino Linotype" w:hAnsi="Palatino Linotype" w:cs="Palatino Linotype"/>
          <w:color w:val="000000"/>
          <w:sz w:val="24"/>
          <w:szCs w:val="24"/>
        </w:rPr>
        <w:t>Si bien es cierto que el primero, corresponde al lugar en donde reside habitualmente una persona en comento y, permite hacerlo identificable y ubicable, propiciando que pueda ser molestado en su casa, de este modo, los datos que permiten a cualquier individuo con esfuerzos mínimos identificar el lugar de residencia constituye un dato personal y, por ende, susceptible de clasificarse como confidencial, ya que incide directamente en la vida privada del individuo identificado, no debe dejarse de lado que, aquellas personas que deciden tener relaciones comerciales con las instituciones públicas, tienen una expectativa de privacidad menor, respecto del resto de las personas, en razón de obtener el beneficio de vender sus productos o servicios y recibir por ellos dinero del erario, situación que debe ser transparentada.</w:t>
      </w:r>
    </w:p>
    <w:p w:rsidR="00B31375" w:rsidRDefault="00B31375">
      <w:pPr>
        <w:tabs>
          <w:tab w:val="center" w:pos="4522"/>
        </w:tabs>
        <w:spacing w:line="360" w:lineRule="auto"/>
        <w:ind w:right="-876"/>
        <w:jc w:val="both"/>
        <w:rPr>
          <w:rFonts w:ascii="Palatino Linotype" w:eastAsia="Palatino Linotype" w:hAnsi="Palatino Linotype" w:cs="Palatino Linotype"/>
          <w:color w:val="000000"/>
          <w:sz w:val="24"/>
          <w:szCs w:val="24"/>
        </w:rPr>
      </w:pP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79.</w:t>
      </w:r>
      <w:r>
        <w:rPr>
          <w:rFonts w:ascii="Palatino Linotype" w:eastAsia="Palatino Linotype" w:hAnsi="Palatino Linotype" w:cs="Palatino Linotype"/>
          <w:sz w:val="24"/>
          <w:szCs w:val="24"/>
        </w:rPr>
        <w:t xml:space="preserve"> Cómo</w:t>
      </w:r>
      <w:r>
        <w:rPr>
          <w:rFonts w:ascii="Palatino Linotype" w:eastAsia="Palatino Linotype" w:hAnsi="Palatino Linotype" w:cs="Palatino Linotype"/>
          <w:color w:val="000000"/>
          <w:sz w:val="24"/>
          <w:szCs w:val="24"/>
        </w:rPr>
        <w:t xml:space="preserve"> se logra observar, es obligación de transparencia proporcionar el domicilio fiscal de los contratistas, por lo que, se considera que, en el caso, de que dicho dato, </w:t>
      </w:r>
      <w:r>
        <w:rPr>
          <w:rFonts w:ascii="Palatino Linotype" w:eastAsia="Palatino Linotype" w:hAnsi="Palatino Linotype" w:cs="Palatino Linotype"/>
          <w:sz w:val="24"/>
          <w:szCs w:val="24"/>
        </w:rPr>
        <w:t>corresponde</w:t>
      </w:r>
      <w:r>
        <w:rPr>
          <w:rFonts w:ascii="Palatino Linotype" w:eastAsia="Palatino Linotype" w:hAnsi="Palatino Linotype" w:cs="Palatino Linotype"/>
          <w:color w:val="000000"/>
          <w:sz w:val="24"/>
          <w:szCs w:val="24"/>
        </w:rPr>
        <w:t xml:space="preserve"> a un local o lugar donde realice sus actividades empresariales, se debe entregar.</w:t>
      </w:r>
    </w:p>
    <w:p w:rsidR="00B31375" w:rsidRDefault="00B31375">
      <w:pPr>
        <w:tabs>
          <w:tab w:val="center" w:pos="4522"/>
        </w:tabs>
        <w:spacing w:line="360" w:lineRule="auto"/>
        <w:ind w:right="-876"/>
        <w:jc w:val="both"/>
        <w:rPr>
          <w:rFonts w:ascii="Palatino Linotype" w:eastAsia="Palatino Linotype" w:hAnsi="Palatino Linotype" w:cs="Palatino Linotype"/>
          <w:color w:val="000000"/>
          <w:sz w:val="24"/>
          <w:szCs w:val="24"/>
        </w:rPr>
      </w:pP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lastRenderedPageBreak/>
        <w:t xml:space="preserve">80. </w:t>
      </w:r>
      <w:r>
        <w:rPr>
          <w:rFonts w:ascii="Palatino Linotype" w:eastAsia="Palatino Linotype" w:hAnsi="Palatino Linotype" w:cs="Palatino Linotype"/>
          <w:color w:val="000000"/>
          <w:sz w:val="24"/>
          <w:szCs w:val="24"/>
        </w:rPr>
        <w:t>De tal suerte que, tratándose de contratistas (personas físicas o jurídico-colectivas), el domicilio fiscal, no actualiza la causal de clasificación, establecida en el artículo 143, fracción I de la Ley de Transparencia y Acceso a la Información Pública del Estado de México y Municipios.</w:t>
      </w:r>
    </w:p>
    <w:p w:rsidR="00B31375" w:rsidRDefault="00B31375">
      <w:pPr>
        <w:tabs>
          <w:tab w:val="center" w:pos="4522"/>
        </w:tabs>
        <w:spacing w:line="360" w:lineRule="auto"/>
        <w:ind w:right="-876"/>
        <w:jc w:val="both"/>
        <w:rPr>
          <w:rFonts w:ascii="Palatino Linotype" w:eastAsia="Palatino Linotype" w:hAnsi="Palatino Linotype" w:cs="Palatino Linotype"/>
          <w:color w:val="000000"/>
          <w:sz w:val="24"/>
          <w:szCs w:val="24"/>
        </w:rPr>
      </w:pPr>
    </w:p>
    <w:p w:rsidR="00B31375" w:rsidRDefault="00ED6F59">
      <w:pPr>
        <w:numPr>
          <w:ilvl w:val="0"/>
          <w:numId w:val="12"/>
        </w:numPr>
        <w:pBdr>
          <w:top w:val="nil"/>
          <w:left w:val="nil"/>
          <w:bottom w:val="nil"/>
          <w:right w:val="nil"/>
          <w:between w:val="nil"/>
        </w:pBdr>
        <w:tabs>
          <w:tab w:val="center" w:pos="4522"/>
        </w:tabs>
        <w:spacing w:line="360" w:lineRule="auto"/>
        <w:ind w:right="-876"/>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Cuenta bancaria y CLABE interbancaria de contratista</w:t>
      </w: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81. </w:t>
      </w:r>
      <w:r>
        <w:rPr>
          <w:rFonts w:ascii="Palatino Linotype" w:eastAsia="Palatino Linotype" w:hAnsi="Palatino Linotype" w:cs="Palatino Linotype"/>
          <w:color w:val="000000"/>
          <w:sz w:val="24"/>
          <w:szCs w:val="24"/>
        </w:rPr>
        <w:t>Al respecto, se estima que dichos datos se relacionan con hechos y actos de carácter económico, pues los mismos darían cuenta, de la relación que tiene una institución financiero con un particular, ya sea persona física o moral; además, que con dicha información se podría obtener los recursos enviados a las órdenes de cargo, pago o a las transferencias electrónicas de fondos interbancarios, entre otros movimientos que sean utilizados exclusivamente en la cuenta señalada por el cliente y, por lo tanto, los datos bancarios corresponden a información que se encuentra relacionada con el patrimonio de la persona titular de la cuenta.</w:t>
      </w: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w:t>
      </w: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82.</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A mayor abundamiento, resulta necesario traer a colación el Criterio Orientador, de la Segunda Época, con número de registro SO/010/2017, emitido por el entonces Instituto Nacional de Transparencia, Acceso a la Información y Protección de Datos Personales, mismo que establece lo siguiente:</w:t>
      </w:r>
    </w:p>
    <w:p w:rsidR="00B31375" w:rsidRDefault="00ED6F59">
      <w:pPr>
        <w:tabs>
          <w:tab w:val="center" w:pos="4522"/>
        </w:tabs>
        <w:spacing w:line="360" w:lineRule="auto"/>
        <w:ind w:left="566" w:right="-25" w:firstLine="420"/>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color w:val="000000"/>
          <w:sz w:val="24"/>
          <w:szCs w:val="24"/>
        </w:rPr>
        <w:t> </w:t>
      </w:r>
      <w:r>
        <w:rPr>
          <w:rFonts w:ascii="Palatino Linotype" w:eastAsia="Palatino Linotype" w:hAnsi="Palatino Linotype" w:cs="Palatino Linotype"/>
          <w:i/>
          <w:iCs/>
          <w:color w:val="000000"/>
          <w:sz w:val="24"/>
          <w:szCs w:val="24"/>
        </w:rPr>
        <w:t>“</w:t>
      </w:r>
      <w:r>
        <w:rPr>
          <w:rFonts w:ascii="Palatino Linotype" w:eastAsia="Palatino Linotype" w:hAnsi="Palatino Linotype" w:cs="Palatino Linotype"/>
          <w:b/>
          <w:bCs/>
          <w:i/>
          <w:iCs/>
          <w:color w:val="000000"/>
          <w:sz w:val="24"/>
          <w:szCs w:val="24"/>
        </w:rPr>
        <w:t>Cuentas bancarias y/o CLABE interbancaria de personas físicas y morales privadas.</w:t>
      </w:r>
      <w:r>
        <w:rPr>
          <w:rFonts w:ascii="Palatino Linotype" w:eastAsia="Palatino Linotype" w:hAnsi="Palatino Linotype" w:cs="Palatino Linotype"/>
          <w:i/>
          <w:iCs/>
          <w:color w:val="000000"/>
          <w:sz w:val="24"/>
          <w:szCs w:val="24"/>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w:t>
      </w:r>
      <w:r>
        <w:rPr>
          <w:rFonts w:ascii="Palatino Linotype" w:eastAsia="Palatino Linotype" w:hAnsi="Palatino Linotype" w:cs="Palatino Linotype"/>
          <w:i/>
          <w:iCs/>
          <w:color w:val="000000"/>
          <w:sz w:val="24"/>
          <w:szCs w:val="24"/>
        </w:rPr>
        <w:lastRenderedPageBreak/>
        <w:t>transacciones; por tanto, constituye información clasificada con fundamento en los artículos 116 de la Ley General de Transparencia y Acceso a la Información Pública y 113 de la Ley Federal de Transparencia y Acceso a la Información Pública.”</w:t>
      </w: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w:t>
      </w: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83.</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 xml:space="preserve">Por lo cual, se puede colegir que dichos datos no guardan relación con el servicio público ni con los recursos públicos, pues sólo corresponde a información, que le atañe a la institución financiera y al cliente; por lo que este número constituye información confidencial al pertenecer exclusivamente al ámbito de la vida privada del proveedor y procede su eliminación de conformidad con el artículo 143, fracción I, de la Ley de Transparencia y Acceso a la Información Pública del Estado de México y Municipios.  </w:t>
      </w:r>
    </w:p>
    <w:p w:rsidR="00B31375" w:rsidRDefault="00B31375">
      <w:pPr>
        <w:tabs>
          <w:tab w:val="center" w:pos="4522"/>
        </w:tabs>
        <w:spacing w:line="360" w:lineRule="auto"/>
        <w:ind w:right="-876"/>
        <w:jc w:val="both"/>
        <w:rPr>
          <w:rFonts w:ascii="Palatino Linotype" w:eastAsia="Palatino Linotype" w:hAnsi="Palatino Linotype" w:cs="Palatino Linotype"/>
          <w:color w:val="000000"/>
          <w:sz w:val="24"/>
          <w:szCs w:val="24"/>
        </w:rPr>
      </w:pPr>
    </w:p>
    <w:p w:rsidR="00B31375" w:rsidRDefault="00ED6F59">
      <w:pPr>
        <w:numPr>
          <w:ilvl w:val="0"/>
          <w:numId w:val="12"/>
        </w:numPr>
        <w:pBdr>
          <w:top w:val="nil"/>
          <w:left w:val="nil"/>
          <w:bottom w:val="nil"/>
          <w:right w:val="nil"/>
          <w:between w:val="nil"/>
        </w:pBdr>
        <w:tabs>
          <w:tab w:val="center" w:pos="4522"/>
        </w:tabs>
        <w:spacing w:line="360" w:lineRule="auto"/>
        <w:ind w:right="-876"/>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Nombre de institución bancaria</w:t>
      </w: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84.</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 xml:space="preserve">En principio, es necesario señalar que conforme al artículo 2°, fracción IV  de la Ley de Protección y Defensa al Usuario de Servicios Financieros, establece que una institución financiera, se le denomina a las sociedades controladoras, instituciones de crédito, sociedades financieras de objeto múltiple, sociedades de información crediticia, casas de bolsa, especialistas bursátiles,  fondos de inversión, almacenes generales de depósito, uniones de crédito, casas de cambio, instituciones de seguros, sociedades mutualistas de seguros, instituciones de fianzas, administradoras de fondos para el retiro, PENSIONISSSTE, empresas operadoras de la base de datos nacional del sistema de ahorro para el retiro, Instituto del Fondo Nacional para el Consumo de los Trabajadores, sociedades cooperativas de ahorro y préstamo, sociedades financieras populares, sociedades financieras comunitarias, y cualquiera otra sociedad que requiera de la autorización de la Secretaría de Hacienda y Crédito Público o de </w:t>
      </w:r>
      <w:r>
        <w:rPr>
          <w:rFonts w:ascii="Palatino Linotype" w:eastAsia="Palatino Linotype" w:hAnsi="Palatino Linotype" w:cs="Palatino Linotype"/>
          <w:color w:val="000000"/>
          <w:sz w:val="24"/>
          <w:szCs w:val="24"/>
        </w:rPr>
        <w:lastRenderedPageBreak/>
        <w:t>cualesquiera de las Comisiones Nacionales para constituirse y funcionar como tales y ofrecer un producto o servicio financiero a los usuarios. </w:t>
      </w:r>
    </w:p>
    <w:p w:rsidR="00B31375" w:rsidRDefault="00B31375">
      <w:pPr>
        <w:tabs>
          <w:tab w:val="center" w:pos="4522"/>
        </w:tabs>
        <w:spacing w:line="360" w:lineRule="auto"/>
        <w:ind w:right="-876"/>
        <w:jc w:val="both"/>
        <w:rPr>
          <w:rFonts w:ascii="Palatino Linotype" w:eastAsia="Palatino Linotype" w:hAnsi="Palatino Linotype" w:cs="Palatino Linotype"/>
          <w:color w:val="000000"/>
          <w:sz w:val="24"/>
          <w:szCs w:val="24"/>
        </w:rPr>
      </w:pP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85. </w:t>
      </w:r>
      <w:r>
        <w:rPr>
          <w:rFonts w:ascii="Palatino Linotype" w:eastAsia="Palatino Linotype" w:hAnsi="Palatino Linotype" w:cs="Palatino Linotype"/>
          <w:color w:val="000000"/>
          <w:sz w:val="24"/>
          <w:szCs w:val="24"/>
        </w:rPr>
        <w:t xml:space="preserve">En ese orden de ideas, en el portal de la Comisión Nacional para la Protección y Defensa de los Usuarios de Servicios Financieros (consultadas el dieciocho de enero de dos mil veintitrés), en </w:t>
      </w:r>
      <w:hyperlink r:id="rId14">
        <w:r>
          <w:rPr>
            <w:rFonts w:ascii="Palatino Linotype" w:eastAsia="Palatino Linotype" w:hAnsi="Palatino Linotype" w:cs="Palatino Linotype"/>
            <w:color w:val="0000FF"/>
            <w:sz w:val="24"/>
            <w:szCs w:val="24"/>
            <w:u w:val="single"/>
          </w:rPr>
          <w:t>https://www.condusef.gob.mx/Revista/index.php/usuario-inteligente/condusef-responde/777-la-condusef-te-puede-ayudar</w:t>
        </w:r>
      </w:hyperlink>
      <w:r>
        <w:rPr>
          <w:rFonts w:ascii="Palatino Linotype" w:eastAsia="Palatino Linotype" w:hAnsi="Palatino Linotype" w:cs="Palatino Linotype"/>
          <w:color w:val="000000"/>
          <w:sz w:val="24"/>
          <w:szCs w:val="24"/>
        </w:rPr>
        <w:t>), se establece que los bancos son instituciones financieras; conforme a lo anterior, se puede advertir que las instituciones bancarias, son personas morales.</w:t>
      </w:r>
    </w:p>
    <w:p w:rsidR="00B31375" w:rsidRDefault="00B31375">
      <w:pPr>
        <w:tabs>
          <w:tab w:val="center" w:pos="4522"/>
        </w:tabs>
        <w:spacing w:line="360" w:lineRule="auto"/>
        <w:ind w:right="-876"/>
        <w:jc w:val="both"/>
        <w:rPr>
          <w:rFonts w:ascii="Palatino Linotype" w:eastAsia="Palatino Linotype" w:hAnsi="Palatino Linotype" w:cs="Palatino Linotype"/>
          <w:color w:val="000000"/>
          <w:sz w:val="24"/>
          <w:szCs w:val="24"/>
        </w:rPr>
      </w:pP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86. </w:t>
      </w:r>
      <w:r>
        <w:rPr>
          <w:rFonts w:ascii="Palatino Linotype" w:eastAsia="Palatino Linotype" w:hAnsi="Palatino Linotype" w:cs="Palatino Linotype"/>
          <w:color w:val="000000"/>
          <w:sz w:val="24"/>
          <w:szCs w:val="24"/>
        </w:rPr>
        <w:t>En ese orden de ideas, se considera que la denominación o razón social de una persona moral, es pública, pues dichos datos se encuentran inscritos en el Registro Público del Comercio; lo anterior, toma sustento en el Criterio Orientador, de la Segunda Época, con número de registro SO/008/2019, emitido por el entonces Instituto Nacional de Transparencia, Acceso a la Información y Protección de Datos Personales, previamente referido.</w:t>
      </w:r>
    </w:p>
    <w:p w:rsidR="00B31375" w:rsidRDefault="00B31375">
      <w:pPr>
        <w:tabs>
          <w:tab w:val="center" w:pos="4522"/>
        </w:tabs>
        <w:spacing w:line="360" w:lineRule="auto"/>
        <w:ind w:right="-876"/>
        <w:jc w:val="both"/>
        <w:rPr>
          <w:rFonts w:ascii="Palatino Linotype" w:eastAsia="Palatino Linotype" w:hAnsi="Palatino Linotype" w:cs="Palatino Linotype"/>
          <w:color w:val="000000"/>
          <w:sz w:val="24"/>
          <w:szCs w:val="24"/>
        </w:rPr>
      </w:pP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87.</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 xml:space="preserve">Lo anterior, se robustece con el hecho de que existe el Sistema de Registro de Prestadores de Servicios Financieros (consultadas el dieciocho de enero de dos mil veintitrés), a las trece horas, en la liga </w:t>
      </w:r>
      <w:hyperlink r:id="rId15">
        <w:r>
          <w:rPr>
            <w:rFonts w:ascii="Palatino Linotype" w:eastAsia="Palatino Linotype" w:hAnsi="Palatino Linotype" w:cs="Palatino Linotype"/>
            <w:color w:val="0000FF"/>
            <w:sz w:val="24"/>
            <w:szCs w:val="24"/>
            <w:u w:val="single"/>
          </w:rPr>
          <w:t>https://webapps.condusef.gob.mx/SIPRES/jsp/pub/index.jsp</w:t>
        </w:r>
      </w:hyperlink>
      <w:r>
        <w:rPr>
          <w:rFonts w:ascii="Palatino Linotype" w:eastAsia="Palatino Linotype" w:hAnsi="Palatino Linotype" w:cs="Palatino Linotype"/>
          <w:color w:val="000000"/>
          <w:sz w:val="24"/>
          <w:szCs w:val="24"/>
        </w:rPr>
        <w:t xml:space="preserve">), que es un registro de </w:t>
      </w:r>
      <w:r>
        <w:rPr>
          <w:rFonts w:ascii="Palatino Linotype" w:eastAsia="Palatino Linotype" w:hAnsi="Palatino Linotype" w:cs="Palatino Linotype"/>
          <w:b/>
          <w:bCs/>
          <w:color w:val="000000"/>
          <w:sz w:val="24"/>
          <w:szCs w:val="24"/>
        </w:rPr>
        <w:t xml:space="preserve">carácter público, </w:t>
      </w:r>
      <w:r>
        <w:rPr>
          <w:rFonts w:ascii="Palatino Linotype" w:eastAsia="Palatino Linotype" w:hAnsi="Palatino Linotype" w:cs="Palatino Linotype"/>
          <w:color w:val="000000"/>
          <w:sz w:val="24"/>
          <w:szCs w:val="24"/>
        </w:rPr>
        <w:t>cuyo objetivo principal, consiste en proporcionar información corporativa y general de las instituciones financieras</w:t>
      </w:r>
      <w:r>
        <w:rPr>
          <w:rFonts w:ascii="Palatino Linotype" w:eastAsia="Palatino Linotype" w:hAnsi="Palatino Linotype" w:cs="Palatino Linotype"/>
          <w:b/>
          <w:bCs/>
          <w:color w:val="000000"/>
          <w:sz w:val="24"/>
          <w:szCs w:val="24"/>
        </w:rPr>
        <w:t xml:space="preserve">; además, que permite conocer al público general, información de dichos entes, </w:t>
      </w:r>
      <w:r>
        <w:rPr>
          <w:rFonts w:ascii="Palatino Linotype" w:eastAsia="Palatino Linotype" w:hAnsi="Palatino Linotype" w:cs="Palatino Linotype"/>
          <w:color w:val="000000"/>
          <w:sz w:val="24"/>
          <w:szCs w:val="24"/>
        </w:rPr>
        <w:t xml:space="preserve">se muestra un ejemplo a continuación: </w:t>
      </w:r>
    </w:p>
    <w:p w:rsidR="00B31375" w:rsidRDefault="00B31375">
      <w:pPr>
        <w:tabs>
          <w:tab w:val="center" w:pos="4522"/>
        </w:tabs>
        <w:spacing w:line="360" w:lineRule="auto"/>
        <w:ind w:right="-876"/>
        <w:jc w:val="both"/>
        <w:rPr>
          <w:rFonts w:ascii="Palatino Linotype" w:eastAsia="Palatino Linotype" w:hAnsi="Palatino Linotype" w:cs="Palatino Linotype"/>
          <w:color w:val="000000"/>
          <w:sz w:val="24"/>
          <w:szCs w:val="24"/>
        </w:rPr>
      </w:pPr>
    </w:p>
    <w:p w:rsidR="00B31375" w:rsidRDefault="00ED6F59">
      <w:pPr>
        <w:tabs>
          <w:tab w:val="center" w:pos="4522"/>
        </w:tabs>
        <w:spacing w:line="360" w:lineRule="auto"/>
        <w:ind w:right="-876"/>
        <w:jc w:val="center"/>
        <w:rPr>
          <w:rFonts w:ascii="Palatino Linotype" w:eastAsia="Palatino Linotype" w:hAnsi="Palatino Linotype" w:cs="Palatino Linotype"/>
          <w:color w:val="000000"/>
          <w:sz w:val="24"/>
          <w:szCs w:val="24"/>
        </w:rPr>
      </w:pPr>
      <w:r>
        <w:rPr>
          <w:rFonts w:ascii="Palatino Linotype" w:eastAsia="Palatino Linotype" w:hAnsi="Palatino Linotype" w:cs="Palatino Linotype"/>
          <w:noProof/>
          <w:color w:val="000000"/>
          <w:sz w:val="24"/>
          <w:szCs w:val="24"/>
        </w:rPr>
        <w:lastRenderedPageBreak/>
        <w:drawing>
          <wp:inline distT="0" distB="0" distL="0" distR="0">
            <wp:extent cx="4777740" cy="2476500"/>
            <wp:effectExtent l="0" t="0" r="0" b="0"/>
            <wp:docPr id="4" name="image3.png" descr="Imagen que contiene 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magen que contiene Escala de tiempo&#10;&#10;Descripción generada automáticamente"/>
                    <pic:cNvPicPr preferRelativeResize="0"/>
                  </pic:nvPicPr>
                  <pic:blipFill>
                    <a:blip r:embed="rId16"/>
                    <a:srcRect t="2" b="379"/>
                    <a:stretch>
                      <a:fillRect/>
                    </a:stretch>
                  </pic:blipFill>
                  <pic:spPr>
                    <a:xfrm>
                      <a:off x="0" y="0"/>
                      <a:ext cx="4777740" cy="2476500"/>
                    </a:xfrm>
                    <a:prstGeom prst="rect">
                      <a:avLst/>
                    </a:prstGeom>
                    <a:ln/>
                  </pic:spPr>
                </pic:pic>
              </a:graphicData>
            </a:graphic>
          </wp:inline>
        </w:drawing>
      </w:r>
    </w:p>
    <w:p w:rsidR="00B31375" w:rsidRDefault="00B31375">
      <w:pPr>
        <w:tabs>
          <w:tab w:val="center" w:pos="4522"/>
        </w:tabs>
        <w:spacing w:line="360" w:lineRule="auto"/>
        <w:ind w:right="-876"/>
        <w:jc w:val="both"/>
        <w:rPr>
          <w:rFonts w:ascii="Palatino Linotype" w:eastAsia="Palatino Linotype" w:hAnsi="Palatino Linotype" w:cs="Palatino Linotype"/>
          <w:color w:val="000000"/>
          <w:sz w:val="24"/>
          <w:szCs w:val="24"/>
        </w:rPr>
      </w:pP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88.</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 xml:space="preserve">Conforme a lo anterior, se logra vislumbrar que el nombre de las instituciones bancarias en primera instancia es de naturaleza pública; sin embargo, en el presente caso, se relacionada con el hecho de que corresponde al banco en el cual un proveedor o contratista decidió recibir el pago de sus servicios; es decir, daría cuenta de la decisión voluntaria de recibir el pago de sus servicios en una determinada institución; lo cual se relaciona con la cuenta y </w:t>
      </w:r>
      <w:r>
        <w:rPr>
          <w:rFonts w:ascii="Palatino Linotype" w:eastAsia="Palatino Linotype" w:hAnsi="Palatino Linotype" w:cs="Palatino Linotype"/>
          <w:sz w:val="24"/>
          <w:szCs w:val="24"/>
        </w:rPr>
        <w:t>clabe</w:t>
      </w:r>
      <w:r>
        <w:rPr>
          <w:rFonts w:ascii="Palatino Linotype" w:eastAsia="Palatino Linotype" w:hAnsi="Palatino Linotype" w:cs="Palatino Linotype"/>
          <w:color w:val="000000"/>
          <w:sz w:val="24"/>
          <w:szCs w:val="24"/>
        </w:rPr>
        <w:t xml:space="preserve"> interbancaria, mismos que son confidenciales.</w:t>
      </w:r>
    </w:p>
    <w:p w:rsidR="00B31375" w:rsidRDefault="00B31375">
      <w:pPr>
        <w:tabs>
          <w:tab w:val="center" w:pos="4522"/>
        </w:tabs>
        <w:spacing w:line="360" w:lineRule="auto"/>
        <w:ind w:right="-876"/>
        <w:jc w:val="both"/>
        <w:rPr>
          <w:rFonts w:ascii="Palatino Linotype" w:eastAsia="Palatino Linotype" w:hAnsi="Palatino Linotype" w:cs="Palatino Linotype"/>
          <w:color w:val="000000"/>
          <w:sz w:val="24"/>
          <w:szCs w:val="24"/>
        </w:rPr>
      </w:pPr>
    </w:p>
    <w:p w:rsidR="00B31375" w:rsidRDefault="00ED6F59">
      <w:pPr>
        <w:tabs>
          <w:tab w:val="center" w:pos="4522"/>
        </w:tabs>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89.</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Además, revelaría el lugar en donde el proveedor recibió los recursos por prestar sus servicios, lo cual únicamente está relacionado a su vida íntima o privada de la persona moral; por lo que, este Instituto considera que el nombre de la institución bancaria, actualiza la causal de clasificación prevista en el artículo 143, fracción I, de la Ley de Transparencia y Acceso a la Información Pública del Estado de México y Municipios.</w:t>
      </w:r>
    </w:p>
    <w:p w:rsidR="00B31375" w:rsidRDefault="00B31375">
      <w:pPr>
        <w:tabs>
          <w:tab w:val="center" w:pos="4522"/>
        </w:tabs>
        <w:spacing w:line="360" w:lineRule="auto"/>
        <w:ind w:right="-876"/>
        <w:jc w:val="both"/>
        <w:rPr>
          <w:rFonts w:ascii="Palatino Linotype" w:eastAsia="Palatino Linotype" w:hAnsi="Palatino Linotype" w:cs="Palatino Linotype"/>
          <w:color w:val="000000"/>
          <w:sz w:val="24"/>
          <w:szCs w:val="24"/>
        </w:rPr>
      </w:pPr>
    </w:p>
    <w:p w:rsidR="00B31375" w:rsidRDefault="00ED6F59">
      <w:pPr>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lastRenderedPageBreak/>
        <w:t>90.</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 xml:space="preserve">Finalmente, el Sujeto Obligado, deberá elaborar la versión pública respectiva, tomando en consideración los datos analizados; al respecto, conforme al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rsidR="00B31375" w:rsidRDefault="00B31375">
      <w:pPr>
        <w:spacing w:line="360" w:lineRule="auto"/>
        <w:ind w:right="-876"/>
        <w:jc w:val="both"/>
        <w:rPr>
          <w:rFonts w:ascii="Palatino Linotype" w:eastAsia="Palatino Linotype" w:hAnsi="Palatino Linotype" w:cs="Palatino Linotype"/>
          <w:color w:val="000000"/>
          <w:sz w:val="24"/>
          <w:szCs w:val="24"/>
        </w:rPr>
      </w:pPr>
    </w:p>
    <w:p w:rsidR="00B31375" w:rsidRDefault="00ED6F59">
      <w:pPr>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91. </w:t>
      </w:r>
      <w:r>
        <w:rPr>
          <w:rFonts w:ascii="Palatino Linotype" w:eastAsia="Palatino Linotype" w:hAnsi="Palatino Linotype" w:cs="Palatino Linotype"/>
          <w:color w:val="000000"/>
          <w:sz w:val="24"/>
          <w:szCs w:val="24"/>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pBdr>
          <w:top w:val="nil"/>
          <w:left w:val="nil"/>
          <w:bottom w:val="nil"/>
          <w:right w:val="nil"/>
          <w:between w:val="nil"/>
        </w:pBdr>
        <w:spacing w:line="360" w:lineRule="auto"/>
        <w:ind w:right="-876"/>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FACTURAS</w:t>
      </w:r>
    </w:p>
    <w:p w:rsidR="00B31375" w:rsidRDefault="00ED6F59">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92.</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color w:val="000000"/>
          <w:sz w:val="24"/>
          <w:szCs w:val="24"/>
        </w:rPr>
        <w:t xml:space="preserve">Respecto de las facturas resulta oportuno traer a contexto, la información publicada por la Secretaría de Hacienda y Crédito Público, referente al Servicio de Administración Tributaria (SAT), en donde se advierte los requisitos que deben reunir las facturas emitidas, consultable en la dirección electrónica </w:t>
      </w:r>
      <w:hyperlink r:id="rId17">
        <w:r>
          <w:rPr>
            <w:rFonts w:ascii="Palatino Linotype" w:eastAsia="Palatino Linotype" w:hAnsi="Palatino Linotype" w:cs="Palatino Linotype"/>
            <w:color w:val="0563C1"/>
            <w:sz w:val="24"/>
            <w:szCs w:val="24"/>
            <w:u w:val="single"/>
          </w:rPr>
          <w:t>http://omawww.sat.gob.mx/factura/Paginas/solicita_requisitos.htm</w:t>
        </w:r>
      </w:hyperlink>
      <w:r>
        <w:rPr>
          <w:rFonts w:ascii="Palatino Linotype" w:eastAsia="Palatino Linotype" w:hAnsi="Palatino Linotype" w:cs="Palatino Linotype"/>
          <w:color w:val="000000"/>
          <w:sz w:val="24"/>
          <w:szCs w:val="24"/>
        </w:rPr>
        <w:t>, de conformidad con lo siguiente:</w:t>
      </w:r>
    </w:p>
    <w:p w:rsidR="00B31375" w:rsidRDefault="00B31375">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sz w:val="24"/>
          <w:szCs w:val="24"/>
        </w:rPr>
      </w:pPr>
    </w:p>
    <w:p w:rsidR="00B31375" w:rsidRDefault="00ED6F59">
      <w:pPr>
        <w:pBdr>
          <w:top w:val="nil"/>
          <w:left w:val="nil"/>
          <w:bottom w:val="nil"/>
          <w:right w:val="nil"/>
          <w:between w:val="nil"/>
        </w:pBdr>
        <w:ind w:left="720"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b/>
          <w:bCs/>
          <w:i/>
          <w:iCs/>
          <w:color w:val="000000"/>
          <w:sz w:val="24"/>
          <w:szCs w:val="24"/>
        </w:rPr>
        <w:t>Requisitos que deben reunir las facturas que recibas</w:t>
      </w:r>
      <w:r>
        <w:rPr>
          <w:rFonts w:ascii="Palatino Linotype" w:eastAsia="Palatino Linotype" w:hAnsi="Palatino Linotype" w:cs="Palatino Linotype"/>
          <w:i/>
          <w:iCs/>
          <w:color w:val="000000"/>
          <w:sz w:val="24"/>
          <w:szCs w:val="24"/>
        </w:rPr>
        <w:t>:</w:t>
      </w:r>
    </w:p>
    <w:p w:rsidR="00B31375" w:rsidRDefault="00ED6F59">
      <w:pPr>
        <w:pBdr>
          <w:top w:val="nil"/>
          <w:left w:val="nil"/>
          <w:bottom w:val="nil"/>
          <w:right w:val="nil"/>
          <w:between w:val="nil"/>
        </w:pBdr>
        <w:ind w:left="720"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lastRenderedPageBreak/>
        <w:t>  Clave del Registro Federal de Contribuyentes de quien los expida.</w:t>
      </w:r>
    </w:p>
    <w:p w:rsidR="00B31375" w:rsidRDefault="00ED6F59">
      <w:pPr>
        <w:pBdr>
          <w:top w:val="nil"/>
          <w:left w:val="nil"/>
          <w:bottom w:val="nil"/>
          <w:right w:val="nil"/>
          <w:between w:val="nil"/>
        </w:pBdr>
        <w:ind w:left="720"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Régimen Fiscal en que tributen conforme a la Ley del ISR.</w:t>
      </w:r>
    </w:p>
    <w:p w:rsidR="00B31375" w:rsidRDefault="00ED6F59">
      <w:pPr>
        <w:pBdr>
          <w:top w:val="nil"/>
          <w:left w:val="nil"/>
          <w:bottom w:val="nil"/>
          <w:right w:val="nil"/>
          <w:between w:val="nil"/>
        </w:pBdr>
        <w:ind w:left="720"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Sí se tiene más de un local o establecimiento, se deberá señalar el domicilio del local o establecimiento en el que se expidan las Facturas.</w:t>
      </w:r>
    </w:p>
    <w:p w:rsidR="00B31375" w:rsidRDefault="00ED6F59">
      <w:pPr>
        <w:pBdr>
          <w:top w:val="nil"/>
          <w:left w:val="nil"/>
          <w:bottom w:val="nil"/>
          <w:right w:val="nil"/>
          <w:between w:val="nil"/>
        </w:pBdr>
        <w:ind w:left="720"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Contener el número de folio asignado por el SAT y el sello digital del SAT.</w:t>
      </w:r>
    </w:p>
    <w:p w:rsidR="00B31375" w:rsidRDefault="00ED6F59">
      <w:pPr>
        <w:pBdr>
          <w:top w:val="nil"/>
          <w:left w:val="nil"/>
          <w:bottom w:val="nil"/>
          <w:right w:val="nil"/>
          <w:between w:val="nil"/>
        </w:pBdr>
        <w:ind w:left="720"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Sello digital del contribuyente que lo expide.</w:t>
      </w:r>
    </w:p>
    <w:p w:rsidR="00B31375" w:rsidRDefault="00ED6F59">
      <w:pPr>
        <w:pBdr>
          <w:top w:val="nil"/>
          <w:left w:val="nil"/>
          <w:bottom w:val="nil"/>
          <w:right w:val="nil"/>
          <w:between w:val="nil"/>
        </w:pBdr>
        <w:ind w:left="720"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Lugar y fecha de expedición.</w:t>
      </w:r>
    </w:p>
    <w:p w:rsidR="00B31375" w:rsidRDefault="00ED6F59">
      <w:pPr>
        <w:pBdr>
          <w:top w:val="nil"/>
          <w:left w:val="nil"/>
          <w:bottom w:val="nil"/>
          <w:right w:val="nil"/>
          <w:between w:val="nil"/>
        </w:pBdr>
        <w:ind w:left="720"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Clave del Registro Federal de Contribuyentes de la persona a favor de quien se expida.</w:t>
      </w:r>
    </w:p>
    <w:p w:rsidR="00B31375" w:rsidRDefault="00ED6F59">
      <w:pPr>
        <w:pBdr>
          <w:top w:val="nil"/>
          <w:left w:val="nil"/>
          <w:bottom w:val="nil"/>
          <w:right w:val="nil"/>
          <w:between w:val="nil"/>
        </w:pBdr>
        <w:ind w:left="720" w:right="-876"/>
        <w:jc w:val="both"/>
        <w:rPr>
          <w:rFonts w:ascii="Palatino Linotype" w:eastAsia="Palatino Linotype" w:hAnsi="Palatino Linotype" w:cs="Palatino Linotype"/>
          <w:i/>
          <w:iCs/>
          <w:color w:val="000000"/>
          <w:sz w:val="24"/>
          <w:szCs w:val="24"/>
          <w:u w:val="single"/>
        </w:rPr>
      </w:pPr>
      <w:r>
        <w:rPr>
          <w:rFonts w:ascii="Palatino Linotype" w:eastAsia="Palatino Linotype" w:hAnsi="Palatino Linotype" w:cs="Palatino Linotype"/>
          <w:i/>
          <w:iCs/>
          <w:color w:val="000000"/>
          <w:sz w:val="24"/>
          <w:szCs w:val="24"/>
          <w:u w:val="single"/>
        </w:rPr>
        <w:t>  Cantidad, unidad de medida y clase de los bienes, mercancías o descripción del servicio o del uso o goce que amparen.</w:t>
      </w:r>
    </w:p>
    <w:p w:rsidR="00B31375" w:rsidRDefault="00ED6F59">
      <w:pPr>
        <w:pBdr>
          <w:top w:val="nil"/>
          <w:left w:val="nil"/>
          <w:bottom w:val="nil"/>
          <w:right w:val="nil"/>
          <w:between w:val="nil"/>
        </w:pBdr>
        <w:ind w:left="720" w:right="-876"/>
        <w:jc w:val="both"/>
        <w:rPr>
          <w:rFonts w:ascii="Palatino Linotype" w:eastAsia="Palatino Linotype" w:hAnsi="Palatino Linotype" w:cs="Palatino Linotype"/>
          <w:i/>
          <w:iCs/>
          <w:color w:val="000000"/>
          <w:sz w:val="24"/>
          <w:szCs w:val="24"/>
          <w:u w:val="single"/>
        </w:rPr>
      </w:pPr>
      <w:r>
        <w:rPr>
          <w:rFonts w:ascii="Palatino Linotype" w:eastAsia="Palatino Linotype" w:hAnsi="Palatino Linotype" w:cs="Palatino Linotype"/>
          <w:i/>
          <w:iCs/>
          <w:color w:val="000000"/>
          <w:sz w:val="24"/>
          <w:szCs w:val="24"/>
          <w:u w:val="single"/>
        </w:rPr>
        <w:t>  Valor unitario consignado en número.</w:t>
      </w:r>
    </w:p>
    <w:p w:rsidR="00B31375" w:rsidRDefault="00ED6F59">
      <w:pPr>
        <w:pBdr>
          <w:top w:val="nil"/>
          <w:left w:val="nil"/>
          <w:bottom w:val="nil"/>
          <w:right w:val="nil"/>
          <w:between w:val="nil"/>
        </w:pBdr>
        <w:ind w:left="720" w:right="-876"/>
        <w:jc w:val="both"/>
        <w:rPr>
          <w:rFonts w:ascii="Palatino Linotype" w:eastAsia="Palatino Linotype" w:hAnsi="Palatino Linotype" w:cs="Palatino Linotype"/>
          <w:i/>
          <w:iCs/>
          <w:color w:val="000000"/>
          <w:sz w:val="24"/>
          <w:szCs w:val="24"/>
          <w:u w:val="single"/>
        </w:rPr>
      </w:pPr>
      <w:r>
        <w:rPr>
          <w:rFonts w:ascii="Palatino Linotype" w:eastAsia="Palatino Linotype" w:hAnsi="Palatino Linotype" w:cs="Palatino Linotype"/>
          <w:i/>
          <w:iCs/>
          <w:color w:val="000000"/>
          <w:sz w:val="24"/>
          <w:szCs w:val="24"/>
          <w:u w:val="single"/>
        </w:rPr>
        <w:t>  Importe total señalado en número o en letra.</w:t>
      </w:r>
    </w:p>
    <w:p w:rsidR="00B31375" w:rsidRDefault="00ED6F59">
      <w:pPr>
        <w:pBdr>
          <w:top w:val="nil"/>
          <w:left w:val="nil"/>
          <w:bottom w:val="nil"/>
          <w:right w:val="nil"/>
          <w:between w:val="nil"/>
        </w:pBdr>
        <w:ind w:left="720"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Señalamiento expreso cuando la prestación se pague en una sola exhibición o en parcialidades.</w:t>
      </w:r>
    </w:p>
    <w:p w:rsidR="00B31375" w:rsidRDefault="00ED6F59">
      <w:pPr>
        <w:pBdr>
          <w:top w:val="nil"/>
          <w:left w:val="nil"/>
          <w:bottom w:val="nil"/>
          <w:right w:val="nil"/>
          <w:between w:val="nil"/>
        </w:pBdr>
        <w:ind w:left="720"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Cuando proceda, se indicará el monto de los impuestos trasladados, desglosados por tasa de impuesto y, en su caso, el monto de los impuestos retenidos.</w:t>
      </w:r>
    </w:p>
    <w:p w:rsidR="00B31375" w:rsidRDefault="00ED6F59">
      <w:pPr>
        <w:pBdr>
          <w:top w:val="nil"/>
          <w:left w:val="nil"/>
          <w:bottom w:val="nil"/>
          <w:right w:val="nil"/>
          <w:between w:val="nil"/>
        </w:pBdr>
        <w:ind w:left="720"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Forma en que se realizó el pago (efectivo, transferencia electrónica de fondos, cheque nominativos o tarjeta de débito, de crédito, de servicio o la denominada monedero electrónico que autorice el Servicio de Administración Tributaria).</w:t>
      </w:r>
    </w:p>
    <w:p w:rsidR="00B31375" w:rsidRDefault="00ED6F59">
      <w:pPr>
        <w:pBdr>
          <w:top w:val="nil"/>
          <w:left w:val="nil"/>
          <w:bottom w:val="nil"/>
          <w:right w:val="nil"/>
          <w:between w:val="nil"/>
        </w:pBdr>
        <w:ind w:left="720" w:right="-876"/>
        <w:jc w:val="both"/>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t>  Número y fecha del documento aduanero, tratándose de ventas de primera mano de mercancías de importación.</w:t>
      </w:r>
    </w:p>
    <w:p w:rsidR="00B31375" w:rsidRDefault="00ED6F59">
      <w:pPr>
        <w:pBdr>
          <w:top w:val="nil"/>
          <w:left w:val="nil"/>
          <w:bottom w:val="nil"/>
          <w:right w:val="nil"/>
          <w:between w:val="nil"/>
        </w:pBdr>
        <w:ind w:left="720" w:right="-876"/>
        <w:rPr>
          <w:rFonts w:ascii="Palatino Linotype" w:eastAsia="Palatino Linotype" w:hAnsi="Palatino Linotype" w:cs="Palatino Linotype"/>
          <w:i/>
          <w:iCs/>
          <w:color w:val="000000"/>
          <w:sz w:val="24"/>
          <w:szCs w:val="24"/>
        </w:rPr>
      </w:pPr>
      <w:r>
        <w:rPr>
          <w:rFonts w:ascii="Palatino Linotype" w:eastAsia="Palatino Linotype" w:hAnsi="Palatino Linotype" w:cs="Palatino Linotype"/>
          <w:i/>
          <w:iCs/>
          <w:color w:val="000000"/>
          <w:sz w:val="24"/>
          <w:szCs w:val="24"/>
        </w:rPr>
        <w:br/>
      </w:r>
      <w:r>
        <w:rPr>
          <w:rFonts w:ascii="Palatino Linotype" w:eastAsia="Palatino Linotype" w:hAnsi="Palatino Linotype" w:cs="Palatino Linotype"/>
          <w:b/>
          <w:bCs/>
          <w:i/>
          <w:iCs/>
          <w:color w:val="000000"/>
          <w:sz w:val="24"/>
          <w:szCs w:val="24"/>
        </w:rPr>
        <w:t>Además, debe contener los siguientes datos:</w:t>
      </w:r>
      <w:r>
        <w:rPr>
          <w:rFonts w:ascii="Palatino Linotype" w:eastAsia="Palatino Linotype" w:hAnsi="Palatino Linotype" w:cs="Palatino Linotype"/>
          <w:b/>
          <w:bCs/>
          <w:i/>
          <w:iCs/>
          <w:color w:val="000000"/>
          <w:sz w:val="24"/>
          <w:szCs w:val="24"/>
        </w:rPr>
        <w:br/>
      </w:r>
      <w:r>
        <w:rPr>
          <w:rFonts w:ascii="Palatino Linotype" w:eastAsia="Palatino Linotype" w:hAnsi="Palatino Linotype" w:cs="Palatino Linotype"/>
          <w:i/>
          <w:iCs/>
          <w:color w:val="000000"/>
          <w:sz w:val="24"/>
          <w:szCs w:val="24"/>
        </w:rPr>
        <w:t>a) Fecha y hora de certificación.</w:t>
      </w:r>
      <w:r>
        <w:rPr>
          <w:rFonts w:ascii="Palatino Linotype" w:eastAsia="Palatino Linotype" w:hAnsi="Palatino Linotype" w:cs="Palatino Linotype"/>
          <w:i/>
          <w:iCs/>
          <w:color w:val="000000"/>
          <w:sz w:val="24"/>
          <w:szCs w:val="24"/>
        </w:rPr>
        <w:br/>
        <w:t>b) Número de serie del certificado digital del SAT con el que se realizó el sellado.</w:t>
      </w:r>
    </w:p>
    <w:p w:rsidR="00B31375" w:rsidRDefault="00B31375">
      <w:pPr>
        <w:ind w:right="-876"/>
        <w:rPr>
          <w:rFonts w:ascii="Palatino Linotype" w:eastAsia="Palatino Linotype" w:hAnsi="Palatino Linotype" w:cs="Palatino Linotype"/>
          <w:i/>
          <w:iCs/>
          <w:sz w:val="24"/>
          <w:szCs w:val="24"/>
        </w:rPr>
      </w:pPr>
    </w:p>
    <w:p w:rsidR="00B31375" w:rsidRDefault="00B31375">
      <w:pPr>
        <w:spacing w:line="360" w:lineRule="auto"/>
        <w:ind w:right="-876"/>
        <w:jc w:val="both"/>
        <w:rPr>
          <w:rFonts w:ascii="Palatino Linotype" w:eastAsia="Palatino Linotype" w:hAnsi="Palatino Linotype" w:cs="Palatino Linotype"/>
          <w:color w:val="000000"/>
          <w:sz w:val="24"/>
          <w:szCs w:val="24"/>
        </w:rPr>
      </w:pPr>
    </w:p>
    <w:p w:rsidR="00B31375" w:rsidRDefault="00ED6F59">
      <w:pPr>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93. </w:t>
      </w:r>
      <w:r>
        <w:rPr>
          <w:rFonts w:ascii="Palatino Linotype" w:eastAsia="Palatino Linotype" w:hAnsi="Palatino Linotype" w:cs="Palatino Linotype"/>
          <w:color w:val="000000"/>
          <w:sz w:val="24"/>
          <w:szCs w:val="24"/>
        </w:rPr>
        <w:t xml:space="preserve">Es por lo anterior, se arriba a la conclusión de no tenerse por colmada en su totalidad la solicitud de información </w:t>
      </w:r>
      <w:r>
        <w:rPr>
          <w:rFonts w:ascii="Palatino Linotype" w:eastAsia="Palatino Linotype" w:hAnsi="Palatino Linotype" w:cs="Palatino Linotype"/>
          <w:b/>
          <w:bCs/>
          <w:color w:val="000000"/>
          <w:sz w:val="24"/>
          <w:szCs w:val="24"/>
        </w:rPr>
        <w:t xml:space="preserve">00134/CUAUTIZC/IP/2026, </w:t>
      </w:r>
      <w:r>
        <w:rPr>
          <w:rFonts w:ascii="Palatino Linotype" w:eastAsia="Palatino Linotype" w:hAnsi="Palatino Linotype" w:cs="Palatino Linotype"/>
          <w:color w:val="000000"/>
          <w:sz w:val="24"/>
          <w:szCs w:val="24"/>
        </w:rPr>
        <w:t xml:space="preserve">siendo procedentes los recursos de inconformidad hecho valer por el </w:t>
      </w:r>
      <w:r>
        <w:rPr>
          <w:rFonts w:ascii="Palatino Linotype" w:eastAsia="Palatino Linotype" w:hAnsi="Palatino Linotype" w:cs="Palatino Linotype"/>
          <w:b/>
          <w:bCs/>
          <w:sz w:val="24"/>
          <w:szCs w:val="24"/>
        </w:rPr>
        <w:t>RECURRENTE</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 xml:space="preserve">resultando dable ordenar al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 a efecto de que realice una búsqueda exhaustiva y razonable y haga entrega del soporte documental que dé cuenta del gasto,  contratos y facturas pagadas al trece de octubre </w:t>
      </w:r>
      <w:r>
        <w:rPr>
          <w:rFonts w:ascii="Palatino Linotype" w:eastAsia="Palatino Linotype" w:hAnsi="Palatino Linotype" w:cs="Palatino Linotype"/>
          <w:color w:val="000000"/>
          <w:sz w:val="24"/>
          <w:szCs w:val="24"/>
        </w:rPr>
        <w:lastRenderedPageBreak/>
        <w:t xml:space="preserve">de dos mil veinticinco, por concepto de la decoración, escenarios y todo lo ocupado en el panteón para los recorridos nocturnos por la feria del alfeñique dos mil veinticinco. </w:t>
      </w:r>
    </w:p>
    <w:p w:rsidR="00B31375" w:rsidRDefault="00B31375">
      <w:pPr>
        <w:spacing w:line="360" w:lineRule="auto"/>
        <w:ind w:right="-876"/>
        <w:jc w:val="both"/>
        <w:rPr>
          <w:rFonts w:ascii="Palatino Linotype" w:eastAsia="Palatino Linotype" w:hAnsi="Palatino Linotype" w:cs="Palatino Linotype"/>
          <w:color w:val="000000"/>
          <w:sz w:val="24"/>
          <w:szCs w:val="24"/>
        </w:rPr>
      </w:pPr>
    </w:p>
    <w:p w:rsidR="00B31375" w:rsidRDefault="00ED6F59">
      <w:pPr>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QUINTO. De la versión pública.</w:t>
      </w:r>
    </w:p>
    <w:p w:rsidR="00B31375" w:rsidRDefault="00ED6F59">
      <w:pPr>
        <w:numPr>
          <w:ilvl w:val="0"/>
          <w:numId w:val="8"/>
        </w:numPr>
        <w:pBdr>
          <w:top w:val="nil"/>
          <w:left w:val="nil"/>
          <w:bottom w:val="nil"/>
          <w:right w:val="nil"/>
          <w:between w:val="nil"/>
        </w:pBdr>
        <w:tabs>
          <w:tab w:val="left" w:pos="851"/>
        </w:tabs>
        <w:spacing w:after="160"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color w:val="000000"/>
          <w:sz w:val="24"/>
          <w:szCs w:val="24"/>
        </w:rPr>
        <w:t xml:space="preserve">Nociones generales. </w:t>
      </w:r>
    </w:p>
    <w:p w:rsidR="00B31375" w:rsidRDefault="00ED6F59">
      <w:pPr>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94. </w:t>
      </w:r>
      <w:r>
        <w:rPr>
          <w:rFonts w:ascii="Palatino Linotype" w:eastAsia="Palatino Linotype" w:hAnsi="Palatino Linotype" w:cs="Palatino Linotype"/>
          <w:color w:val="000000"/>
          <w:sz w:val="24"/>
          <w:szCs w:val="24"/>
        </w:rPr>
        <w:t>Debe destacarse que, debido a la naturaleza de la información solicitada</w:t>
      </w:r>
      <w:r>
        <w:rPr>
          <w:rFonts w:ascii="Palatino Linotype" w:eastAsia="Palatino Linotype" w:hAnsi="Palatino Linotype" w:cs="Palatino Linotype"/>
          <w:b/>
          <w:bCs/>
          <w:color w:val="000000"/>
          <w:sz w:val="24"/>
          <w:szCs w:val="24"/>
        </w:rPr>
        <w:t xml:space="preserve">, </w:t>
      </w:r>
      <w:r>
        <w:rPr>
          <w:rFonts w:ascii="Palatino Linotype" w:eastAsia="Palatino Linotype" w:hAnsi="Palatino Linotype" w:cs="Palatino Linotype"/>
          <w:color w:val="000000"/>
          <w:sz w:val="24"/>
          <w:szCs w:val="24"/>
        </w:rPr>
        <w:t xml:space="preserve">eventualmente pudiera obrar datos personales susceptibles de protegerse, el </w:t>
      </w:r>
      <w:r>
        <w:rPr>
          <w:rFonts w:ascii="Palatino Linotype" w:eastAsia="Palatino Linotype" w:hAnsi="Palatino Linotype" w:cs="Palatino Linotype"/>
          <w:b/>
          <w:bCs/>
          <w:color w:val="000000"/>
          <w:sz w:val="24"/>
          <w:szCs w:val="24"/>
        </w:rPr>
        <w:t xml:space="preserve">SUJETO OBLIGADO </w:t>
      </w:r>
      <w:r>
        <w:rPr>
          <w:rFonts w:ascii="Palatino Linotype" w:eastAsia="Palatino Linotype" w:hAnsi="Palatino Linotype" w:cs="Palatino Linotype"/>
          <w:color w:val="000000"/>
          <w:sz w:val="24"/>
          <w:szCs w:val="24"/>
        </w:rPr>
        <w:t xml:space="preserve">deberá de hacer la adecuada versión pública, protegiendo los datos que no son susceptibles de ser proporcionados. </w:t>
      </w:r>
    </w:p>
    <w:p w:rsidR="00B31375" w:rsidRDefault="00B31375">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sz w:val="24"/>
          <w:szCs w:val="24"/>
        </w:rPr>
      </w:pPr>
    </w:p>
    <w:p w:rsidR="00B31375" w:rsidRDefault="00ED6F59">
      <w:pPr>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95. </w:t>
      </w:r>
      <w:r>
        <w:rPr>
          <w:rFonts w:ascii="Palatino Linotype" w:eastAsia="Palatino Linotype" w:hAnsi="Palatino Linotype" w:cs="Palatino Linotype"/>
          <w:color w:val="000000"/>
          <w:sz w:val="24"/>
          <w:szCs w:val="24"/>
        </w:rPr>
        <w:t>No pasa desapercibido para este Órgano Garante que los Sujetos Obligados 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B31375" w:rsidRDefault="00B31375">
      <w:pPr>
        <w:pBdr>
          <w:top w:val="nil"/>
          <w:left w:val="nil"/>
          <w:bottom w:val="nil"/>
          <w:right w:val="nil"/>
          <w:between w:val="nil"/>
        </w:pBdr>
        <w:tabs>
          <w:tab w:val="left" w:pos="851"/>
        </w:tabs>
        <w:spacing w:line="360" w:lineRule="auto"/>
        <w:ind w:right="-876"/>
        <w:jc w:val="both"/>
        <w:rPr>
          <w:rFonts w:ascii="Palatino Linotype" w:eastAsia="Palatino Linotype" w:hAnsi="Palatino Linotype" w:cs="Palatino Linotype"/>
          <w:color w:val="000000"/>
          <w:sz w:val="24"/>
          <w:szCs w:val="24"/>
        </w:rPr>
      </w:pPr>
    </w:p>
    <w:tbl>
      <w:tblPr>
        <w:tblStyle w:val="a"/>
        <w:tblW w:w="1018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5"/>
        <w:gridCol w:w="7500"/>
      </w:tblGrid>
      <w:tr w:rsidR="00B31375">
        <w:tc>
          <w:tcPr>
            <w:tcW w:w="2685" w:type="dxa"/>
          </w:tcPr>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 Requisitos previos.</w:t>
            </w:r>
          </w:p>
        </w:tc>
        <w:tc>
          <w:tcPr>
            <w:tcW w:w="7500" w:type="dxa"/>
          </w:tcPr>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Los artículos 100 y 122 de la Ley Estatal y de la Ley General, vigente al momento de interponer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Al hacerlo tienen que precisar de qué información se trata, señalando el supuesto de clasificación (confidencialidad o reserva).</w:t>
            </w:r>
          </w:p>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Además, se debe señalar el procedimiento, de los tres que establecen los artículos 132 y 106 de la Ley Estatal y General vigente al momento de interponer la solicitud de información, respectivamente.</w:t>
            </w:r>
          </w:p>
          <w:p w:rsidR="00B31375" w:rsidRDefault="00B31375">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p>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sz w:val="24"/>
                <w:szCs w:val="24"/>
                <w:u w:val="single"/>
              </w:rPr>
              <w:t>no se puede hacer un acuerdo para clasificar de manera general todos los documentos de un expediente o área, sin</w:t>
            </w:r>
            <w:r>
              <w:rPr>
                <w:rFonts w:ascii="Palatino Linotype" w:eastAsia="Palatino Linotype" w:hAnsi="Palatino Linotype" w:cs="Palatino Linotype"/>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B31375">
        <w:tc>
          <w:tcPr>
            <w:tcW w:w="2685" w:type="dxa"/>
          </w:tcPr>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b) Supuestos de clasificación.</w:t>
            </w:r>
          </w:p>
        </w:tc>
        <w:tc>
          <w:tcPr>
            <w:tcW w:w="7500" w:type="dxa"/>
          </w:tcPr>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Las disposiciones constitucionales y legales en la materia establecen los dos supuestos generales para clasificar la información: por reserva y por confidencialidad.</w:t>
            </w:r>
          </w:p>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Los artículos 116 y 143 de la Ley Estatal y de la Ley General, vigente al momento de interponer la solicitud de información, respectivamente, señalan los supuestos para que la información pueda ser clasificada como confidencial. Mientras que los artículos 105 y 130 de la Ley Estatal y de la Ley General, vigente al momento de interponer la solicitud de información, respectivamente, señalan que la aplicación de estos supuestos debe realizarse de manera restrictiva y limitada, </w:t>
            </w:r>
            <w:r>
              <w:rPr>
                <w:rFonts w:ascii="Palatino Linotype" w:eastAsia="Palatino Linotype" w:hAnsi="Palatino Linotype" w:cs="Palatino Linotype"/>
                <w:color w:val="000000"/>
                <w:sz w:val="24"/>
                <w:szCs w:val="24"/>
              </w:rPr>
              <w:lastRenderedPageBreak/>
              <w:t>por lo que debe acreditarse que se cumple con esta condición y no se pueden ampliar las excepciones o supuestos de clasificación aduciendo analogía o mayoría de razón.</w:t>
            </w:r>
          </w:p>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El </w:t>
            </w:r>
            <w:r>
              <w:rPr>
                <w:rFonts w:ascii="Palatino Linotype" w:eastAsia="Palatino Linotype" w:hAnsi="Palatino Linotype" w:cs="Palatino Linotype"/>
                <w:b/>
                <w:bCs/>
                <w:color w:val="000000"/>
                <w:sz w:val="24"/>
                <w:szCs w:val="24"/>
              </w:rPr>
              <w:t>Sujeto Obligado</w:t>
            </w:r>
            <w:r>
              <w:rPr>
                <w:rFonts w:ascii="Palatino Linotype" w:eastAsia="Palatino Linotype" w:hAnsi="Palatino Linotype" w:cs="Palatino Linotype"/>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B31375">
        <w:tc>
          <w:tcPr>
            <w:tcW w:w="2685" w:type="dxa"/>
          </w:tcPr>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c) Formalidades para emitir el acuerdo de clasificación.</w:t>
            </w:r>
          </w:p>
        </w:tc>
        <w:tc>
          <w:tcPr>
            <w:tcW w:w="7500" w:type="dxa"/>
          </w:tcPr>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El Comité de Transparencia, según lo dispuesto en los artículos cuenta con las facultades para aprobar, modificar o revocar la clasificación de la información que haya propuesto. </w:t>
            </w:r>
          </w:p>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Es necesario que </w:t>
            </w:r>
            <w:r>
              <w:rPr>
                <w:rFonts w:ascii="Palatino Linotype" w:eastAsia="Palatino Linotype" w:hAnsi="Palatino Linotype" w:cs="Palatino Linotype"/>
                <w:b/>
                <w:bCs/>
                <w:color w:val="000000"/>
                <w:sz w:val="24"/>
                <w:szCs w:val="24"/>
                <w:u w:val="single"/>
              </w:rPr>
              <w:t>el acto reúna con los requisitos elementales</w:t>
            </w:r>
            <w:r>
              <w:rPr>
                <w:rFonts w:ascii="Palatino Linotype" w:eastAsia="Palatino Linotype" w:hAnsi="Palatino Linotype" w:cs="Palatino Linotype"/>
                <w:color w:val="000000"/>
                <w:sz w:val="24"/>
                <w:szCs w:val="24"/>
              </w:rPr>
              <w:t>, entre ellos, que la autoridad que va a emitir el acto de autoridad sea la legalmente facultada para ello.</w:t>
            </w:r>
          </w:p>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sz w:val="24"/>
                <w:szCs w:val="24"/>
              </w:rPr>
              <w:t>El área</w:t>
            </w:r>
            <w:r>
              <w:rPr>
                <w:rFonts w:ascii="Palatino Linotype" w:eastAsia="Palatino Linotype" w:hAnsi="Palatino Linotype" w:cs="Palatino Linotype"/>
                <w:color w:val="000000"/>
                <w:sz w:val="24"/>
                <w:szCs w:val="24"/>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B31375">
        <w:tc>
          <w:tcPr>
            <w:tcW w:w="2685" w:type="dxa"/>
          </w:tcPr>
          <w:p w:rsidR="00B31375" w:rsidRDefault="00B31375">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p>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d) Requisitos de fondo del acuerdo de clasificación. </w:t>
            </w:r>
          </w:p>
        </w:tc>
        <w:tc>
          <w:tcPr>
            <w:tcW w:w="7500" w:type="dxa"/>
          </w:tcPr>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sz w:val="24"/>
                <w:szCs w:val="24"/>
              </w:rPr>
              <w:t>Sujetos Obligados</w:t>
            </w:r>
            <w:r>
              <w:rPr>
                <w:rFonts w:ascii="Palatino Linotype" w:eastAsia="Palatino Linotype" w:hAnsi="Palatino Linotype" w:cs="Palatino Linotype"/>
                <w:color w:val="000000"/>
                <w:sz w:val="24"/>
                <w:szCs w:val="24"/>
              </w:rPr>
              <w:t xml:space="preserve">, por lo que deberán fundar y motivar debidamente la clasificación. </w:t>
            </w:r>
          </w:p>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De lo anterior, se desprende que para una correcta </w:t>
            </w:r>
            <w:r>
              <w:rPr>
                <w:rFonts w:ascii="Palatino Linotype" w:eastAsia="Palatino Linotype" w:hAnsi="Palatino Linotype" w:cs="Palatino Linotype"/>
                <w:b/>
                <w:bCs/>
                <w:color w:val="000000"/>
                <w:sz w:val="24"/>
                <w:szCs w:val="24"/>
              </w:rPr>
              <w:t>clasificación total o parcial</w:t>
            </w:r>
            <w:r>
              <w:rPr>
                <w:rFonts w:ascii="Palatino Linotype" w:eastAsia="Palatino Linotype" w:hAnsi="Palatino Linotype" w:cs="Palatino Linotype"/>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En ese mismo sentido, el numeral trigésimo tercero fracción V de los Lineamientos Generales, precisa que para motivar la clasificación se deben acreditar las circunstancias de tiempo, modo y lugar.</w:t>
            </w:r>
          </w:p>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Ahora bien, </w:t>
            </w:r>
            <w:r>
              <w:rPr>
                <w:rFonts w:ascii="Palatino Linotype" w:eastAsia="Palatino Linotype" w:hAnsi="Palatino Linotype" w:cs="Palatino Linotype"/>
                <w:b/>
                <w:bCs/>
                <w:color w:val="000000"/>
                <w:sz w:val="24"/>
                <w:szCs w:val="24"/>
                <w:u w:val="single"/>
              </w:rPr>
              <w:t>para cada caso además de fundar y motivar</w:t>
            </w:r>
            <w:r>
              <w:rPr>
                <w:rFonts w:ascii="Palatino Linotype" w:eastAsia="Palatino Linotype" w:hAnsi="Palatino Linotype" w:cs="Palatino Linotype"/>
                <w:color w:val="000000"/>
                <w:sz w:val="24"/>
                <w:szCs w:val="24"/>
              </w:rPr>
              <w:t xml:space="preserve">, se debe identificar con claridad </w:t>
            </w:r>
            <w:r>
              <w:rPr>
                <w:rFonts w:ascii="Palatino Linotype" w:eastAsia="Palatino Linotype" w:hAnsi="Palatino Linotype" w:cs="Palatino Linotype"/>
                <w:sz w:val="24"/>
                <w:szCs w:val="24"/>
              </w:rPr>
              <w:t>qué</w:t>
            </w:r>
            <w:r>
              <w:rPr>
                <w:rFonts w:ascii="Palatino Linotype" w:eastAsia="Palatino Linotype" w:hAnsi="Palatino Linotype" w:cs="Palatino Linotype"/>
                <w:color w:val="000000"/>
                <w:sz w:val="24"/>
                <w:szCs w:val="24"/>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B31375">
        <w:tc>
          <w:tcPr>
            <w:tcW w:w="2685" w:type="dxa"/>
          </w:tcPr>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 xml:space="preserve">e) Condiciones especiales de la clasificación de la información como confidencial. </w:t>
            </w:r>
          </w:p>
        </w:tc>
        <w:tc>
          <w:tcPr>
            <w:tcW w:w="7500" w:type="dxa"/>
          </w:tcPr>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Los artículos 148 y 120 de la Ley Estatal y de la Ley General vigente al momento de interponer la solicitud de información, respectivamente, establecen que aun tratándose de datos personales, se podrán proporcionar, incluso sin solicitar el consentimiento de su titular. </w:t>
            </w:r>
          </w:p>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B31375" w:rsidRDefault="00ED6F59">
            <w:pPr>
              <w:pBdr>
                <w:top w:val="nil"/>
                <w:left w:val="nil"/>
                <w:bottom w:val="nil"/>
                <w:right w:val="nil"/>
                <w:between w:val="nil"/>
              </w:pBdr>
              <w:tabs>
                <w:tab w:val="left" w:pos="851"/>
              </w:tabs>
              <w:spacing w:line="360" w:lineRule="auto"/>
              <w:ind w:right="-122"/>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 xml:space="preserve">Pero si la información que se pretende clasificar como confidencial no se encuentra en los supuestos de los artículos señalados y es posible, se deberá consultar al titular de los datos si permite o no el acceso. De </w:t>
            </w:r>
            <w:r>
              <w:rPr>
                <w:rFonts w:ascii="Palatino Linotype" w:eastAsia="Palatino Linotype" w:hAnsi="Palatino Linotype" w:cs="Palatino Linotype"/>
                <w:color w:val="000000"/>
                <w:sz w:val="24"/>
                <w:szCs w:val="24"/>
              </w:rPr>
              <w:lastRenderedPageBreak/>
              <w:t>no ser posible, la realización de la consulta, procede, fundando y motivando, la clasificación.</w:t>
            </w:r>
          </w:p>
        </w:tc>
      </w:tr>
    </w:tbl>
    <w:p w:rsidR="00B31375" w:rsidRDefault="00B31375">
      <w:pPr>
        <w:spacing w:line="360" w:lineRule="auto"/>
        <w:ind w:right="-876"/>
        <w:jc w:val="both"/>
        <w:rPr>
          <w:rFonts w:ascii="Palatino Linotype" w:eastAsia="Palatino Linotype" w:hAnsi="Palatino Linotype" w:cs="Palatino Linotype"/>
          <w:color w:val="000000"/>
          <w:sz w:val="24"/>
          <w:szCs w:val="24"/>
        </w:rPr>
      </w:pPr>
      <w:bookmarkStart w:id="11" w:name="_heading=h.4d34og8" w:colFirst="0" w:colLast="0"/>
      <w:bookmarkEnd w:id="11"/>
    </w:p>
    <w:p w:rsidR="00B53F7A" w:rsidRDefault="00B53F7A">
      <w:pPr>
        <w:spacing w:line="360" w:lineRule="auto"/>
        <w:ind w:right="-876"/>
        <w:jc w:val="both"/>
        <w:rPr>
          <w:rFonts w:ascii="Palatino Linotype" w:eastAsia="Palatino Linotype" w:hAnsi="Palatino Linotype" w:cs="Palatino Linotype"/>
          <w:color w:val="000000"/>
          <w:sz w:val="24"/>
          <w:szCs w:val="24"/>
        </w:rPr>
      </w:pPr>
    </w:p>
    <w:p w:rsidR="00B31375" w:rsidRDefault="00ED6F59">
      <w:pPr>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 xml:space="preserve">96. </w:t>
      </w:r>
      <w:r>
        <w:rPr>
          <w:rFonts w:ascii="Palatino Linotype" w:eastAsia="Palatino Linotype" w:hAnsi="Palatino Linotype" w:cs="Palatino Linotype"/>
          <w:sz w:val="24"/>
          <w:szCs w:val="24"/>
        </w:rPr>
        <w:t>Por lo anteriormente expuesto, este Órgano Garante considera parcialmente fundadas las razones o motivos de inconformidad que plantea el</w:t>
      </w:r>
      <w:r>
        <w:rPr>
          <w:rFonts w:ascii="Palatino Linotype" w:eastAsia="Palatino Linotype" w:hAnsi="Palatino Linotype" w:cs="Palatino Linotype"/>
          <w:b/>
          <w:bCs/>
          <w:sz w:val="24"/>
          <w:szCs w:val="24"/>
        </w:rPr>
        <w:t xml:space="preserve"> RECURRENTE</w:t>
      </w:r>
      <w:r>
        <w:rPr>
          <w:rFonts w:ascii="Palatino Linotype" w:eastAsia="Palatino Linotype" w:hAnsi="Palatino Linotype" w:cs="Palatino Linotype"/>
          <w:sz w:val="24"/>
          <w:szCs w:val="24"/>
        </w:rPr>
        <w:t xml:space="preserve">, determinando </w:t>
      </w:r>
      <w:r>
        <w:rPr>
          <w:rFonts w:ascii="Palatino Linotype" w:eastAsia="Palatino Linotype" w:hAnsi="Palatino Linotype" w:cs="Palatino Linotype"/>
          <w:b/>
          <w:bCs/>
          <w:smallCaps/>
          <w:sz w:val="24"/>
          <w:szCs w:val="24"/>
        </w:rPr>
        <w:t xml:space="preserve">REVOCAR  </w:t>
      </w:r>
      <w:r>
        <w:rPr>
          <w:rFonts w:ascii="Palatino Linotype" w:eastAsia="Palatino Linotype" w:hAnsi="Palatino Linotype" w:cs="Palatino Linotype"/>
          <w:sz w:val="24"/>
          <w:szCs w:val="24"/>
        </w:rPr>
        <w:t xml:space="preserve">la respuesta del </w:t>
      </w:r>
      <w:r>
        <w:rPr>
          <w:rFonts w:ascii="Palatino Linotype" w:eastAsia="Palatino Linotype" w:hAnsi="Palatino Linotype" w:cs="Palatino Linotype"/>
          <w:b/>
          <w:bCs/>
          <w:sz w:val="24"/>
          <w:szCs w:val="24"/>
        </w:rPr>
        <w:t>SUJETO OBLIGADO</w:t>
      </w:r>
      <w:r>
        <w:rPr>
          <w:rFonts w:ascii="Palatino Linotype" w:eastAsia="Palatino Linotype" w:hAnsi="Palatino Linotype" w:cs="Palatino Linotype"/>
          <w:sz w:val="24"/>
          <w:szCs w:val="24"/>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Pr>
          <w:rFonts w:ascii="Palatino Linotype" w:eastAsia="Palatino Linotype" w:hAnsi="Palatino Linotype" w:cs="Palatino Linotype"/>
          <w:color w:val="000000"/>
          <w:sz w:val="24"/>
          <w:szCs w:val="24"/>
        </w:rPr>
        <w:t xml:space="preserve">este </w:t>
      </w:r>
      <w:r>
        <w:rPr>
          <w:rFonts w:ascii="Palatino Linotype" w:eastAsia="Palatino Linotype" w:hAnsi="Palatino Linotype" w:cs="Palatino Linotype"/>
          <w:b/>
          <w:bCs/>
          <w:color w:val="000000"/>
          <w:sz w:val="24"/>
          <w:szCs w:val="24"/>
        </w:rPr>
        <w:t>ÓRGANO GARANTE</w:t>
      </w:r>
      <w:r>
        <w:rPr>
          <w:rFonts w:ascii="Palatino Linotype" w:eastAsia="Palatino Linotype" w:hAnsi="Palatino Linotype" w:cs="Palatino Linotype"/>
          <w:color w:val="000000"/>
          <w:sz w:val="24"/>
          <w:szCs w:val="24"/>
        </w:rPr>
        <w:t xml:space="preserve"> emite los siguientes.</w:t>
      </w:r>
    </w:p>
    <w:p w:rsidR="00B31375" w:rsidRDefault="00B31375">
      <w:pPr>
        <w:pBdr>
          <w:top w:val="nil"/>
          <w:left w:val="nil"/>
          <w:bottom w:val="nil"/>
          <w:right w:val="nil"/>
          <w:between w:val="nil"/>
        </w:pBdr>
        <w:ind w:left="720" w:right="-876"/>
        <w:rPr>
          <w:rFonts w:ascii="Palatino Linotype" w:eastAsia="Palatino Linotype" w:hAnsi="Palatino Linotype" w:cs="Palatino Linotype"/>
          <w:color w:val="000000"/>
          <w:sz w:val="24"/>
          <w:szCs w:val="24"/>
        </w:rPr>
      </w:pPr>
    </w:p>
    <w:p w:rsidR="00B31375" w:rsidRDefault="00ED6F59">
      <w:pPr>
        <w:pStyle w:val="Ttulo1"/>
        <w:spacing w:before="0" w:line="360" w:lineRule="auto"/>
        <w:ind w:right="-876"/>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R E S O L U T I V O S</w:t>
      </w:r>
    </w:p>
    <w:p w:rsidR="00B31375" w:rsidRDefault="00B31375">
      <w:pPr>
        <w:spacing w:line="360" w:lineRule="auto"/>
        <w:ind w:right="-876"/>
        <w:rPr>
          <w:rFonts w:ascii="Palatino Linotype" w:eastAsia="Palatino Linotype" w:hAnsi="Palatino Linotype" w:cs="Palatino Linotype"/>
          <w:sz w:val="24"/>
          <w:szCs w:val="24"/>
        </w:rPr>
      </w:pP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PRIMERO</w:t>
      </w:r>
      <w:r>
        <w:rPr>
          <w:rFonts w:ascii="Palatino Linotype" w:eastAsia="Palatino Linotype" w:hAnsi="Palatino Linotype" w:cs="Palatino Linotype"/>
          <w:sz w:val="24"/>
          <w:szCs w:val="24"/>
        </w:rPr>
        <w:t>. Resultan fundadas las</w:t>
      </w:r>
      <w:r>
        <w:rPr>
          <w:rFonts w:ascii="Palatino Linotype" w:eastAsia="Palatino Linotype" w:hAnsi="Palatino Linotype" w:cs="Palatino Linotype"/>
          <w:b/>
          <w:bCs/>
          <w:sz w:val="24"/>
          <w:szCs w:val="24"/>
        </w:rPr>
        <w:t xml:space="preserve"> </w:t>
      </w:r>
      <w:r>
        <w:rPr>
          <w:rFonts w:ascii="Palatino Linotype" w:eastAsia="Palatino Linotype" w:hAnsi="Palatino Linotype" w:cs="Palatino Linotype"/>
          <w:sz w:val="24"/>
          <w:szCs w:val="24"/>
        </w:rPr>
        <w:t>razones o motivos de inconformidad hechos valer en el Recurso de Revisión</w:t>
      </w:r>
      <w:r>
        <w:rPr>
          <w:rFonts w:ascii="Palatino Linotype" w:eastAsia="Palatino Linotype" w:hAnsi="Palatino Linotype" w:cs="Palatino Linotype"/>
          <w:b/>
          <w:bCs/>
          <w:sz w:val="24"/>
          <w:szCs w:val="24"/>
        </w:rPr>
        <w:t xml:space="preserve"> 03863/INFOEM/IP/RR/2026, </w:t>
      </w:r>
      <w:r>
        <w:rPr>
          <w:rFonts w:ascii="Palatino Linotype" w:eastAsia="Palatino Linotype" w:hAnsi="Palatino Linotype" w:cs="Palatino Linotype"/>
          <w:sz w:val="24"/>
          <w:szCs w:val="24"/>
        </w:rPr>
        <w:t xml:space="preserve">en términos del </w:t>
      </w:r>
      <w:r>
        <w:rPr>
          <w:rFonts w:ascii="Palatino Linotype" w:eastAsia="Palatino Linotype" w:hAnsi="Palatino Linotype" w:cs="Palatino Linotype"/>
          <w:b/>
          <w:bCs/>
          <w:sz w:val="24"/>
          <w:szCs w:val="24"/>
        </w:rPr>
        <w:t xml:space="preserve">Considerando Cuarto y Quinto </w:t>
      </w:r>
      <w:r>
        <w:rPr>
          <w:rFonts w:ascii="Palatino Linotype" w:eastAsia="Palatino Linotype" w:hAnsi="Palatino Linotype" w:cs="Palatino Linotype"/>
          <w:sz w:val="24"/>
          <w:szCs w:val="24"/>
        </w:rPr>
        <w:t>de la presente resolución.</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spacing w:line="360" w:lineRule="auto"/>
        <w:ind w:right="-876"/>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bCs/>
          <w:sz w:val="24"/>
          <w:szCs w:val="24"/>
        </w:rPr>
        <w:t>SEGUNDO.</w:t>
      </w:r>
      <w:r>
        <w:rPr>
          <w:rFonts w:ascii="Palatino Linotype" w:eastAsia="Palatino Linotype" w:hAnsi="Palatino Linotype" w:cs="Palatino Linotype"/>
          <w:color w:val="2E75B5"/>
          <w:sz w:val="24"/>
          <w:szCs w:val="24"/>
        </w:rPr>
        <w:t xml:space="preserve"> </w:t>
      </w:r>
      <w:r>
        <w:rPr>
          <w:rFonts w:ascii="Palatino Linotype" w:eastAsia="Palatino Linotype" w:hAnsi="Palatino Linotype" w:cs="Palatino Linotype"/>
          <w:color w:val="000000"/>
          <w:sz w:val="24"/>
          <w:szCs w:val="24"/>
        </w:rPr>
        <w:t xml:space="preserve">Se </w:t>
      </w:r>
      <w:r>
        <w:rPr>
          <w:rFonts w:ascii="Palatino Linotype" w:eastAsia="Palatino Linotype" w:hAnsi="Palatino Linotype" w:cs="Palatino Linotype"/>
          <w:b/>
          <w:bCs/>
          <w:color w:val="000000"/>
          <w:sz w:val="24"/>
          <w:szCs w:val="24"/>
        </w:rPr>
        <w:t xml:space="preserve">REVOCA </w:t>
      </w:r>
      <w:r>
        <w:rPr>
          <w:rFonts w:ascii="Palatino Linotype" w:eastAsia="Palatino Linotype" w:hAnsi="Palatino Linotype" w:cs="Palatino Linotype"/>
          <w:color w:val="000000"/>
          <w:sz w:val="24"/>
          <w:szCs w:val="24"/>
        </w:rPr>
        <w:t xml:space="preserve">la respuesta emitida por el </w:t>
      </w:r>
      <w:r>
        <w:rPr>
          <w:rFonts w:ascii="Palatino Linotype" w:eastAsia="Palatino Linotype" w:hAnsi="Palatino Linotype" w:cs="Palatino Linotype"/>
          <w:b/>
          <w:bCs/>
          <w:color w:val="000000"/>
          <w:sz w:val="24"/>
          <w:szCs w:val="24"/>
        </w:rPr>
        <w:t xml:space="preserve">Ayuntamiento de Cuautitlán Izcalli </w:t>
      </w:r>
      <w:r>
        <w:rPr>
          <w:rFonts w:ascii="Palatino Linotype" w:eastAsia="Palatino Linotype" w:hAnsi="Palatino Linotype" w:cs="Palatino Linotype"/>
          <w:color w:val="000000"/>
          <w:sz w:val="24"/>
          <w:szCs w:val="24"/>
        </w:rPr>
        <w:t xml:space="preserve">y se </w:t>
      </w:r>
      <w:r>
        <w:rPr>
          <w:rFonts w:ascii="Palatino Linotype" w:eastAsia="Palatino Linotype" w:hAnsi="Palatino Linotype" w:cs="Palatino Linotype"/>
          <w:b/>
          <w:bCs/>
          <w:color w:val="000000"/>
          <w:sz w:val="24"/>
          <w:szCs w:val="24"/>
        </w:rPr>
        <w:t>ORDENA</w:t>
      </w:r>
      <w:r>
        <w:rPr>
          <w:rFonts w:ascii="Palatino Linotype" w:eastAsia="Palatino Linotype" w:hAnsi="Palatino Linotype" w:cs="Palatino Linotype"/>
          <w:color w:val="000000"/>
          <w:sz w:val="24"/>
          <w:szCs w:val="24"/>
        </w:rPr>
        <w:t xml:space="preserve"> entregar vía Sistema de Acceso a la Información Mexiquense </w:t>
      </w:r>
      <w:r>
        <w:rPr>
          <w:rFonts w:ascii="Palatino Linotype" w:eastAsia="Palatino Linotype" w:hAnsi="Palatino Linotype" w:cs="Palatino Linotype"/>
          <w:b/>
          <w:bCs/>
          <w:color w:val="000000"/>
          <w:sz w:val="24"/>
          <w:szCs w:val="24"/>
        </w:rPr>
        <w:t xml:space="preserve">(SAIMEX), </w:t>
      </w:r>
      <w:r>
        <w:rPr>
          <w:rFonts w:ascii="Palatino Linotype" w:eastAsia="Palatino Linotype" w:hAnsi="Palatino Linotype" w:cs="Palatino Linotype"/>
          <w:color w:val="000000"/>
          <w:sz w:val="24"/>
          <w:szCs w:val="24"/>
        </w:rPr>
        <w:t>previa búsqueda exhaustiva y razonable, de ser procedente en versión pública, lo siguiente:</w:t>
      </w:r>
    </w:p>
    <w:p w:rsidR="00B31375" w:rsidRDefault="00B31375">
      <w:pPr>
        <w:spacing w:line="360" w:lineRule="auto"/>
        <w:ind w:right="-876"/>
        <w:jc w:val="both"/>
        <w:rPr>
          <w:rFonts w:ascii="Palatino Linotype" w:eastAsia="Palatino Linotype" w:hAnsi="Palatino Linotype" w:cs="Palatino Linotype"/>
          <w:color w:val="000000"/>
          <w:sz w:val="24"/>
          <w:szCs w:val="24"/>
        </w:rPr>
      </w:pPr>
    </w:p>
    <w:p w:rsidR="00B31375" w:rsidRDefault="00ED6F59">
      <w:pPr>
        <w:numPr>
          <w:ilvl w:val="0"/>
          <w:numId w:val="9"/>
        </w:numPr>
        <w:pBdr>
          <w:top w:val="nil"/>
          <w:left w:val="nil"/>
          <w:bottom w:val="nil"/>
          <w:right w:val="nil"/>
          <w:between w:val="nil"/>
        </w:pBdr>
        <w:ind w:left="1276" w:right="-876"/>
        <w:jc w:val="both"/>
        <w:rPr>
          <w:rFonts w:ascii="Palatino Linotype" w:eastAsia="Palatino Linotype" w:hAnsi="Palatino Linotype" w:cs="Palatino Linotype"/>
          <w:b/>
          <w:bCs/>
          <w:color w:val="000000"/>
          <w:sz w:val="24"/>
          <w:szCs w:val="24"/>
        </w:rPr>
      </w:pPr>
      <w:bookmarkStart w:id="12" w:name="_heading=h.crdv98bd31c8" w:colFirst="0" w:colLast="0"/>
      <w:bookmarkEnd w:id="12"/>
      <w:r>
        <w:rPr>
          <w:rFonts w:ascii="Palatino Linotype" w:eastAsia="Palatino Linotype" w:hAnsi="Palatino Linotype" w:cs="Palatino Linotype"/>
          <w:b/>
          <w:bCs/>
          <w:color w:val="000000"/>
          <w:sz w:val="24"/>
          <w:szCs w:val="24"/>
        </w:rPr>
        <w:lastRenderedPageBreak/>
        <w:t xml:space="preserve">El soporte documental que dé cuenta del costo por concepto de presentación de las bandas y/o artistas en el festival arte, queso y vino, al seis de abril de dos mil veintiséis. </w:t>
      </w:r>
    </w:p>
    <w:p w:rsidR="00B31375" w:rsidRDefault="00B31375">
      <w:pPr>
        <w:pBdr>
          <w:top w:val="nil"/>
          <w:left w:val="nil"/>
          <w:bottom w:val="nil"/>
          <w:right w:val="nil"/>
          <w:between w:val="nil"/>
        </w:pBdr>
        <w:spacing w:line="360" w:lineRule="auto"/>
        <w:ind w:left="720" w:right="-876"/>
        <w:jc w:val="both"/>
        <w:rPr>
          <w:rFonts w:ascii="Palatino Linotype" w:eastAsia="Palatino Linotype" w:hAnsi="Palatino Linotype" w:cs="Palatino Linotype"/>
          <w:b/>
          <w:bCs/>
          <w:color w:val="000000"/>
          <w:sz w:val="24"/>
          <w:szCs w:val="24"/>
        </w:rPr>
      </w:pPr>
    </w:p>
    <w:p w:rsidR="00B31375" w:rsidRDefault="00ED6F59">
      <w:pPr>
        <w:spacing w:line="360" w:lineRule="auto"/>
        <w:ind w:right="-876"/>
        <w:jc w:val="both"/>
        <w:rPr>
          <w:rFonts w:ascii="Palatino Linotype" w:eastAsia="Palatino Linotype" w:hAnsi="Palatino Linotype" w:cs="Palatino Linotype"/>
          <w:b/>
          <w:bCs/>
          <w:sz w:val="24"/>
          <w:szCs w:val="24"/>
        </w:rPr>
      </w:pPr>
      <w:r>
        <w:rPr>
          <w:rFonts w:ascii="Palatino Linotype" w:eastAsia="Palatino Linotype" w:hAnsi="Palatino Linotype" w:cs="Palatino Linotype"/>
          <w:sz w:val="24"/>
          <w:szCs w:val="24"/>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sz w:val="24"/>
          <w:szCs w:val="24"/>
        </w:rPr>
        <w:t>RECURRENTE.</w:t>
      </w:r>
    </w:p>
    <w:p w:rsidR="00B31375" w:rsidRDefault="00B31375">
      <w:pPr>
        <w:ind w:right="-876"/>
        <w:rPr>
          <w:rFonts w:ascii="Palatino Linotype" w:eastAsia="Palatino Linotype" w:hAnsi="Palatino Linotype" w:cs="Palatino Linotype"/>
          <w:i/>
          <w:iCs/>
          <w:color w:val="000000"/>
          <w:sz w:val="24"/>
          <w:szCs w:val="24"/>
        </w:rPr>
      </w:pPr>
    </w:p>
    <w:p w:rsidR="00B31375" w:rsidRDefault="00ED6F59">
      <w:pPr>
        <w:tabs>
          <w:tab w:val="left" w:pos="2947"/>
        </w:tabs>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ab/>
      </w:r>
    </w:p>
    <w:p w:rsidR="00B31375" w:rsidRDefault="00ED6F59">
      <w:pPr>
        <w:tabs>
          <w:tab w:val="left" w:pos="8080"/>
        </w:tabs>
        <w:spacing w:line="360" w:lineRule="auto"/>
        <w:ind w:right="-876"/>
        <w:jc w:val="both"/>
        <w:rPr>
          <w:rFonts w:ascii="Palatino Linotype" w:eastAsia="Palatino Linotype" w:hAnsi="Palatino Linotype" w:cs="Palatino Linotype"/>
          <w:color w:val="222222"/>
          <w:sz w:val="24"/>
          <w:szCs w:val="24"/>
        </w:rPr>
      </w:pPr>
      <w:r>
        <w:rPr>
          <w:rFonts w:ascii="Palatino Linotype" w:eastAsia="Palatino Linotype" w:hAnsi="Palatino Linotype" w:cs="Palatino Linotype"/>
          <w:b/>
          <w:bCs/>
          <w:sz w:val="24"/>
          <w:szCs w:val="24"/>
        </w:rPr>
        <w:t xml:space="preserve">TERCERO. </w:t>
      </w:r>
      <w:r>
        <w:rPr>
          <w:rFonts w:ascii="Palatino Linotype" w:eastAsia="Palatino Linotype" w:hAnsi="Palatino Linotype" w:cs="Palatino Linotype"/>
          <w:b/>
          <w:bCs/>
          <w:color w:val="222222"/>
          <w:sz w:val="24"/>
          <w:szCs w:val="24"/>
        </w:rPr>
        <w:t xml:space="preserve">NOTIFÍQUESE </w:t>
      </w:r>
      <w:r>
        <w:rPr>
          <w:rFonts w:ascii="Palatino Linotype" w:eastAsia="Palatino Linotype" w:hAnsi="Palatino Linotype" w:cs="Palatino Linotype"/>
          <w:color w:val="222222"/>
          <w:sz w:val="24"/>
          <w:szCs w:val="24"/>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sz w:val="24"/>
          <w:szCs w:val="24"/>
        </w:rPr>
        <w:t xml:space="preserve">dé cumplimiento a lo ordenado dentro del plazo de diez días hábiles, </w:t>
      </w:r>
      <w:r>
        <w:rPr>
          <w:rFonts w:ascii="Palatino Linotype" w:eastAsia="Palatino Linotype" w:hAnsi="Palatino Linotype" w:cs="Palatino Linotype"/>
          <w:color w:val="222222"/>
          <w:sz w:val="24"/>
          <w:szCs w:val="24"/>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CUARTO. </w:t>
      </w:r>
      <w:r>
        <w:rPr>
          <w:rFonts w:ascii="Palatino Linotype" w:eastAsia="Palatino Linotype" w:hAnsi="Palatino Linotype" w:cs="Palatino Linotype"/>
          <w:sz w:val="24"/>
          <w:szCs w:val="24"/>
        </w:rPr>
        <w:t xml:space="preserve">De conformidad con el artículo 198 de la Ley de Transparencia y Acceso a la Información Pública del Estado de México y Municipios, de considerarlo procedente, el Sujeto </w:t>
      </w:r>
      <w:r>
        <w:rPr>
          <w:rFonts w:ascii="Palatino Linotype" w:eastAsia="Palatino Linotype" w:hAnsi="Palatino Linotype" w:cs="Palatino Linotype"/>
          <w:sz w:val="24"/>
          <w:szCs w:val="24"/>
        </w:rPr>
        <w:lastRenderedPageBreak/>
        <w:t>Obligado de manera fundada y motivada, podrá solicitar una ampliación de plazo para el cumplimiento de la presente resolución.</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QUINTO. </w:t>
      </w:r>
      <w:r>
        <w:rPr>
          <w:rFonts w:ascii="Palatino Linotype" w:eastAsia="Palatino Linotype" w:hAnsi="Palatino Linotype" w:cs="Palatino Linotype"/>
          <w:b/>
          <w:bCs/>
          <w:color w:val="222222"/>
          <w:sz w:val="24"/>
          <w:szCs w:val="24"/>
        </w:rPr>
        <w:t xml:space="preserve">Notifíquese </w:t>
      </w:r>
      <w:r>
        <w:rPr>
          <w:rFonts w:ascii="Palatino Linotype" w:eastAsia="Palatino Linotype" w:hAnsi="Palatino Linotype" w:cs="Palatino Linotype"/>
          <w:color w:val="222222"/>
          <w:sz w:val="24"/>
          <w:szCs w:val="24"/>
        </w:rPr>
        <w:t>a</w:t>
      </w:r>
      <w:r w:rsidR="009C1FF1">
        <w:rPr>
          <w:rFonts w:ascii="Palatino Linotype" w:eastAsia="Palatino Linotype" w:hAnsi="Palatino Linotype" w:cs="Palatino Linotype"/>
          <w:color w:val="222222"/>
          <w:sz w:val="24"/>
          <w:szCs w:val="24"/>
        </w:rPr>
        <w:t>l</w:t>
      </w:r>
      <w:r>
        <w:rPr>
          <w:rFonts w:ascii="Palatino Linotype" w:eastAsia="Palatino Linotype" w:hAnsi="Palatino Linotype" w:cs="Palatino Linotype"/>
          <w:b/>
          <w:bCs/>
          <w:sz w:val="24"/>
          <w:szCs w:val="24"/>
        </w:rPr>
        <w:t xml:space="preserve"> RECURRENTE</w:t>
      </w:r>
      <w:r>
        <w:rPr>
          <w:rFonts w:ascii="Palatino Linotype" w:eastAsia="Palatino Linotype" w:hAnsi="Palatino Linotype" w:cs="Palatino Linotype"/>
          <w:sz w:val="24"/>
          <w:szCs w:val="24"/>
        </w:rPr>
        <w:t xml:space="preserve"> la presente resolución, vía SAIMEX.</w:t>
      </w:r>
    </w:p>
    <w:p w:rsidR="00B31375" w:rsidRDefault="00B31375">
      <w:pPr>
        <w:spacing w:line="360" w:lineRule="auto"/>
        <w:ind w:right="-876"/>
        <w:jc w:val="both"/>
        <w:rPr>
          <w:rFonts w:ascii="Palatino Linotype" w:eastAsia="Palatino Linotype" w:hAnsi="Palatino Linotype" w:cs="Palatino Linotype"/>
          <w:sz w:val="24"/>
          <w:szCs w:val="24"/>
        </w:rPr>
      </w:pPr>
    </w:p>
    <w:p w:rsidR="00B31375" w:rsidRDefault="00ED6F59">
      <w:pPr>
        <w:spacing w:line="360" w:lineRule="auto"/>
        <w:ind w:right="-876"/>
        <w:jc w:val="both"/>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SEXTO.</w:t>
      </w:r>
      <w:r>
        <w:rPr>
          <w:rFonts w:ascii="Palatino Linotype" w:eastAsia="Palatino Linotype" w:hAnsi="Palatino Linotype" w:cs="Palatino Linotype"/>
          <w:sz w:val="24"/>
          <w:szCs w:val="24"/>
        </w:rPr>
        <w:t xml:space="preserve"> Se hace del conocimiento de</w:t>
      </w:r>
      <w:r w:rsidR="009C1FF1">
        <w:rPr>
          <w:rFonts w:ascii="Palatino Linotype" w:eastAsia="Palatino Linotype" w:hAnsi="Palatino Linotype" w:cs="Palatino Linotype"/>
          <w:sz w:val="24"/>
          <w:szCs w:val="24"/>
        </w:rPr>
        <w:t>l</w:t>
      </w:r>
      <w:r>
        <w:rPr>
          <w:rFonts w:ascii="Palatino Linotype" w:eastAsia="Palatino Linotype" w:hAnsi="Palatino Linotype" w:cs="Palatino Linotype"/>
          <w:sz w:val="24"/>
          <w:szCs w:val="24"/>
        </w:rPr>
        <w:t xml:space="preserve"> </w:t>
      </w:r>
      <w:r>
        <w:rPr>
          <w:rFonts w:ascii="Palatino Linotype" w:eastAsia="Palatino Linotype" w:hAnsi="Palatino Linotype" w:cs="Palatino Linotype"/>
          <w:b/>
          <w:bCs/>
          <w:sz w:val="24"/>
          <w:szCs w:val="24"/>
        </w:rPr>
        <w:t>RECURRENTE</w:t>
      </w:r>
      <w:r>
        <w:rPr>
          <w:rFonts w:ascii="Palatino Linotype" w:eastAsia="Palatino Linotype" w:hAnsi="Palatino Linotype" w:cs="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B31375" w:rsidRDefault="00B31375">
      <w:pPr>
        <w:spacing w:line="360" w:lineRule="auto"/>
        <w:ind w:right="-876"/>
        <w:jc w:val="both"/>
        <w:rPr>
          <w:rFonts w:ascii="Palatino Linotype" w:eastAsia="Palatino Linotype" w:hAnsi="Palatino Linotype" w:cs="Palatino Linotype"/>
          <w:sz w:val="24"/>
          <w:szCs w:val="24"/>
        </w:rPr>
      </w:pPr>
    </w:p>
    <w:p w:rsidR="009C1FF1" w:rsidRPr="009C1FF1" w:rsidRDefault="009C1FF1" w:rsidP="009C1FF1">
      <w:pPr>
        <w:spacing w:before="240" w:after="240" w:line="360" w:lineRule="auto"/>
        <w:ind w:right="-879" w:firstLine="1"/>
        <w:jc w:val="both"/>
        <w:rPr>
          <w:rFonts w:ascii="Palatino Linotype" w:hAnsi="Palatino Linotype"/>
          <w:sz w:val="24"/>
        </w:rPr>
      </w:pPr>
      <w:bookmarkStart w:id="13" w:name="_Hlk99014733"/>
      <w:r w:rsidRPr="009C1FF1">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NOVENA SESIÓN ORDINARIA, CELEBRADA EL VEINTISIETE (27) DE MAYO DE DOS MIL VEINTISÉIS, ANTE EL SECRETARIO TÉCNICO DEL PLENO </w:t>
      </w:r>
      <w:r w:rsidRPr="009C1FF1">
        <w:rPr>
          <w:rFonts w:ascii="Palatino Linotype" w:hAnsi="Palatino Linotype" w:cs="Palatino Linotype"/>
          <w:color w:val="000000" w:themeColor="text1"/>
          <w:sz w:val="24"/>
        </w:rPr>
        <w:t>ALEXIS TAPIA RAMÍREZ.</w:t>
      </w:r>
    </w:p>
    <w:bookmarkEnd w:id="13"/>
    <w:p w:rsidR="00B31375" w:rsidRPr="009C1FF1" w:rsidRDefault="00B31375" w:rsidP="009C1FF1">
      <w:pPr>
        <w:ind w:right="-879"/>
        <w:rPr>
          <w:rFonts w:ascii="Palatino Linotype" w:eastAsia="Palatino Linotype" w:hAnsi="Palatino Linotype" w:cs="Palatino Linotype"/>
          <w:sz w:val="32"/>
          <w:szCs w:val="24"/>
        </w:rPr>
      </w:pPr>
    </w:p>
    <w:p w:rsidR="00B31375" w:rsidRDefault="00B31375">
      <w:pPr>
        <w:ind w:right="-876"/>
        <w:rPr>
          <w:rFonts w:ascii="Palatino Linotype" w:eastAsia="Palatino Linotype" w:hAnsi="Palatino Linotype" w:cs="Palatino Linotype"/>
          <w:sz w:val="24"/>
          <w:szCs w:val="24"/>
        </w:rPr>
      </w:pPr>
    </w:p>
    <w:p w:rsidR="00B31375" w:rsidRDefault="00B31375">
      <w:pPr>
        <w:ind w:right="-876"/>
        <w:rPr>
          <w:sz w:val="24"/>
          <w:szCs w:val="24"/>
        </w:rPr>
      </w:pPr>
    </w:p>
    <w:p w:rsidR="00B31375" w:rsidRDefault="00B31375">
      <w:pPr>
        <w:ind w:right="-876"/>
        <w:rPr>
          <w:sz w:val="24"/>
          <w:szCs w:val="24"/>
        </w:rPr>
      </w:pPr>
    </w:p>
    <w:p w:rsidR="00B31375" w:rsidRDefault="00B31375">
      <w:pPr>
        <w:ind w:right="-876"/>
        <w:rPr>
          <w:sz w:val="24"/>
          <w:szCs w:val="24"/>
        </w:rPr>
      </w:pPr>
    </w:p>
    <w:p w:rsidR="00B31375" w:rsidRDefault="00B31375">
      <w:pPr>
        <w:ind w:right="-876"/>
        <w:rPr>
          <w:sz w:val="24"/>
          <w:szCs w:val="24"/>
        </w:rPr>
      </w:pPr>
    </w:p>
    <w:p w:rsidR="00B31375" w:rsidRDefault="00B31375">
      <w:pPr>
        <w:ind w:right="-876"/>
        <w:rPr>
          <w:sz w:val="24"/>
          <w:szCs w:val="24"/>
        </w:rPr>
      </w:pPr>
    </w:p>
    <w:p w:rsidR="00B31375" w:rsidRDefault="00B31375">
      <w:pPr>
        <w:ind w:right="-876"/>
        <w:rPr>
          <w:sz w:val="24"/>
          <w:szCs w:val="24"/>
        </w:rPr>
      </w:pPr>
    </w:p>
    <w:p w:rsidR="00B31375" w:rsidRDefault="00B31375">
      <w:pPr>
        <w:ind w:right="-876"/>
        <w:rPr>
          <w:sz w:val="24"/>
          <w:szCs w:val="24"/>
        </w:rPr>
      </w:pPr>
    </w:p>
    <w:p w:rsidR="00B31375" w:rsidRDefault="00B31375">
      <w:pPr>
        <w:ind w:right="-876"/>
        <w:rPr>
          <w:sz w:val="24"/>
          <w:szCs w:val="24"/>
        </w:rPr>
      </w:pPr>
    </w:p>
    <w:sectPr w:rsidR="00B31375">
      <w:headerReference w:type="even" r:id="rId18"/>
      <w:headerReference w:type="default" r:id="rId19"/>
      <w:footerReference w:type="default" r:id="rId20"/>
      <w:headerReference w:type="first" r:id="rId21"/>
      <w:footerReference w:type="first" r:id="rId22"/>
      <w:pgSz w:w="12240" w:h="15840"/>
      <w:pgMar w:top="80" w:right="1608" w:bottom="141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C1C" w:rsidRDefault="00D05C1C">
      <w:r>
        <w:separator/>
      </w:r>
    </w:p>
  </w:endnote>
  <w:endnote w:type="continuationSeparator" w:id="0">
    <w:p w:rsidR="00D05C1C" w:rsidRDefault="00D05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3477D40F-7C55-4347-916B-0555E8A5CE08}"/>
  </w:font>
  <w:font w:name="Courier New">
    <w:panose1 w:val="02070309020205020404"/>
    <w:charset w:val="00"/>
    <w:family w:val="modern"/>
    <w:pitch w:val="fixed"/>
    <w:sig w:usb0="E0002EFF" w:usb1="C0007843"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2" w:fontKey="{DCB96E07-3683-4420-8C25-A8A28A22790C}"/>
    <w:embedBold r:id="rId3" w:fontKey="{2B19AE9F-CEA8-41EC-B4C8-8A05F0A10F66}"/>
    <w:embedItalic r:id="rId4" w:fontKey="{4DCA7AFD-E8A3-4C2C-8F93-8D6F0B713842}"/>
    <w:embedBoldItalic r:id="rId5" w:fontKey="{0740107C-29BA-4EF9-9412-5DA8B2491976}"/>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F4D0CEBA-1F35-4D22-91A5-7F49208E6C16}"/>
  </w:font>
  <w:font w:name="Georgia">
    <w:panose1 w:val="02040502050405020303"/>
    <w:charset w:val="00"/>
    <w:family w:val="roman"/>
    <w:pitch w:val="variable"/>
    <w:sig w:usb0="00000287" w:usb1="00000000" w:usb2="00000000" w:usb3="00000000" w:csb0="0000009F" w:csb1="00000000"/>
    <w:embedItalic r:id="rId7" w:fontKey="{4D1605FE-83FC-4D13-B47F-6BB969F99AF7}"/>
  </w:font>
  <w:font w:name="Garamond">
    <w:panose1 w:val="02020404030301010803"/>
    <w:charset w:val="00"/>
    <w:family w:val="roman"/>
    <w:pitch w:val="variable"/>
    <w:sig w:usb0="00000287" w:usb1="00000000" w:usb2="00000000" w:usb3="00000000" w:csb0="0000009F" w:csb1="00000000"/>
    <w:embedRegular r:id="rId8" w:fontKey="{6F6126C7-A569-4689-BCDE-9028F67B5E6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0ABB3B95-6BA9-43C2-9406-03C504C5FF5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375" w:rsidRDefault="00B31375">
    <w:pPr>
      <w:pBdr>
        <w:top w:val="nil"/>
        <w:left w:val="nil"/>
        <w:bottom w:val="nil"/>
        <w:right w:val="nil"/>
        <w:between w:val="nil"/>
      </w:pBdr>
      <w:tabs>
        <w:tab w:val="center" w:pos="4419"/>
        <w:tab w:val="right" w:pos="8838"/>
      </w:tabs>
      <w:jc w:val="right"/>
      <w:rPr>
        <w:color w:val="000000"/>
      </w:rPr>
    </w:pPr>
  </w:p>
  <w:p w:rsidR="00B31375" w:rsidRDefault="00ED6F5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B53F7A">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B53F7A">
      <w:rPr>
        <w:rFonts w:ascii="Palatino Linotype" w:eastAsia="Palatino Linotype" w:hAnsi="Palatino Linotype" w:cs="Palatino Linotype"/>
        <w:b/>
        <w:bCs/>
        <w:noProof/>
        <w:color w:val="000000"/>
        <w:sz w:val="22"/>
        <w:szCs w:val="22"/>
      </w:rPr>
      <w:t>50</w:t>
    </w:r>
    <w:r>
      <w:rPr>
        <w:rFonts w:ascii="Palatino Linotype" w:eastAsia="Palatino Linotype" w:hAnsi="Palatino Linotype" w:cs="Palatino Linotype"/>
        <w:b/>
        <w:bCs/>
        <w:color w:val="000000"/>
        <w:sz w:val="22"/>
        <w:szCs w:val="22"/>
      </w:rPr>
      <w:fldChar w:fldCharType="end"/>
    </w:r>
  </w:p>
  <w:p w:rsidR="00B31375" w:rsidRDefault="00B31375">
    <w:pPr>
      <w:pBdr>
        <w:top w:val="nil"/>
        <w:left w:val="nil"/>
        <w:bottom w:val="nil"/>
        <w:right w:val="nil"/>
        <w:between w:val="nil"/>
      </w:pBdr>
      <w:tabs>
        <w:tab w:val="center" w:pos="4419"/>
        <w:tab w:val="right" w:pos="8838"/>
      </w:tabs>
      <w:rPr>
        <w:color w:val="000000"/>
      </w:rPr>
    </w:pPr>
  </w:p>
  <w:p w:rsidR="00B31375" w:rsidRDefault="00B31375"/>
  <w:p w:rsidR="00B31375" w:rsidRDefault="00B31375"/>
  <w:p w:rsidR="00B31375" w:rsidRDefault="00B3137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375" w:rsidRDefault="00ED6F5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B53F7A">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B53F7A">
      <w:rPr>
        <w:rFonts w:ascii="Palatino Linotype" w:eastAsia="Palatino Linotype" w:hAnsi="Palatino Linotype" w:cs="Palatino Linotype"/>
        <w:b/>
        <w:bCs/>
        <w:noProof/>
        <w:color w:val="000000"/>
        <w:sz w:val="22"/>
        <w:szCs w:val="22"/>
      </w:rPr>
      <w:t>50</w:t>
    </w:r>
    <w:r>
      <w:rPr>
        <w:rFonts w:ascii="Palatino Linotype" w:eastAsia="Palatino Linotype" w:hAnsi="Palatino Linotype" w:cs="Palatino Linotype"/>
        <w:b/>
        <w:bCs/>
        <w:color w:val="000000"/>
        <w:sz w:val="22"/>
        <w:szCs w:val="22"/>
      </w:rPr>
      <w:fldChar w:fldCharType="end"/>
    </w:r>
  </w:p>
  <w:p w:rsidR="00B31375" w:rsidRDefault="00B31375">
    <w:pPr>
      <w:pBdr>
        <w:top w:val="nil"/>
        <w:left w:val="nil"/>
        <w:bottom w:val="nil"/>
        <w:right w:val="nil"/>
        <w:between w:val="nil"/>
      </w:pBdr>
      <w:tabs>
        <w:tab w:val="center" w:pos="4419"/>
        <w:tab w:val="right" w:pos="8838"/>
      </w:tabs>
      <w:rPr>
        <w:color w:val="000000"/>
      </w:rPr>
    </w:pPr>
  </w:p>
  <w:p w:rsidR="00B31375" w:rsidRDefault="00B31375"/>
  <w:p w:rsidR="00B31375" w:rsidRDefault="00B31375"/>
  <w:p w:rsidR="00B31375" w:rsidRDefault="00B313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C1C" w:rsidRDefault="00D05C1C">
      <w:r>
        <w:separator/>
      </w:r>
    </w:p>
  </w:footnote>
  <w:footnote w:type="continuationSeparator" w:id="0">
    <w:p w:rsidR="00D05C1C" w:rsidRDefault="00D05C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375" w:rsidRDefault="00D05C1C">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63.5pt;height:12in;z-index:-251657728;mso-position-horizontal:center;mso-position-horizontal-relative:margin;mso-position-vertical:center;mso-position-vertical-relative:margin">
          <v:imagedata r:id="rId1" o:title="image4"/>
          <w10:wrap anchorx="margin" anchory="margin"/>
        </v:shape>
      </w:pict>
    </w:r>
  </w:p>
  <w:p w:rsidR="00B31375" w:rsidRDefault="00B31375"/>
  <w:p w:rsidR="00B31375" w:rsidRDefault="00B31375"/>
  <w:p w:rsidR="00B31375" w:rsidRDefault="00B3137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743" w:type="dxa"/>
      <w:tblInd w:w="-115" w:type="dxa"/>
      <w:tblLayout w:type="fixed"/>
      <w:tblLook w:val="0400" w:firstRow="0" w:lastRow="0" w:firstColumn="0" w:lastColumn="0" w:noHBand="0" w:noVBand="1"/>
    </w:tblPr>
    <w:tblGrid>
      <w:gridCol w:w="1845"/>
      <w:gridCol w:w="8898"/>
    </w:tblGrid>
    <w:tr w:rsidR="00B31375">
      <w:trPr>
        <w:trHeight w:val="1435"/>
      </w:trPr>
      <w:tc>
        <w:tcPr>
          <w:tcW w:w="1845" w:type="dxa"/>
          <w:shd w:val="clear" w:color="auto" w:fill="auto"/>
        </w:tcPr>
        <w:p w:rsidR="00B31375" w:rsidRDefault="00ED6F59">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898" w:type="dxa"/>
          <w:shd w:val="clear" w:color="auto" w:fill="auto"/>
        </w:tcPr>
        <w:tbl>
          <w:tblPr>
            <w:tblStyle w:val="a1"/>
            <w:tblW w:w="6885" w:type="dxa"/>
            <w:tblInd w:w="1274" w:type="dxa"/>
            <w:tblBorders>
              <w:top w:val="nil"/>
              <w:left w:val="nil"/>
              <w:bottom w:val="nil"/>
              <w:right w:val="nil"/>
              <w:insideH w:val="nil"/>
              <w:insideV w:val="nil"/>
            </w:tblBorders>
            <w:tblLayout w:type="fixed"/>
            <w:tblLook w:val="0400" w:firstRow="0" w:lastRow="0" w:firstColumn="0" w:lastColumn="0" w:noHBand="0" w:noVBand="1"/>
          </w:tblPr>
          <w:tblGrid>
            <w:gridCol w:w="2807"/>
            <w:gridCol w:w="4078"/>
          </w:tblGrid>
          <w:tr w:rsidR="00B31375" w:rsidTr="00B53F7A">
            <w:trPr>
              <w:trHeight w:val="338"/>
            </w:trPr>
            <w:tc>
              <w:tcPr>
                <w:tcW w:w="2807" w:type="dxa"/>
              </w:tcPr>
              <w:p w:rsidR="00B31375" w:rsidRDefault="00ED6F59">
                <w:pPr>
                  <w:tabs>
                    <w:tab w:val="right" w:pos="8838"/>
                  </w:tabs>
                  <w:ind w:right="-10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Recurso de Revisión:</w:t>
                </w:r>
              </w:p>
            </w:tc>
            <w:tc>
              <w:tcPr>
                <w:tcW w:w="4078" w:type="dxa"/>
              </w:tcPr>
              <w:p w:rsidR="00B31375" w:rsidRDefault="00ED6F59">
                <w:pPr>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03863/INFOEM/IP/RR/2026</w:t>
                </w:r>
              </w:p>
            </w:tc>
          </w:tr>
          <w:tr w:rsidR="00B31375" w:rsidTr="00B53F7A">
            <w:trPr>
              <w:trHeight w:val="283"/>
            </w:trPr>
            <w:tc>
              <w:tcPr>
                <w:tcW w:w="2807" w:type="dxa"/>
              </w:tcPr>
              <w:p w:rsidR="00B31375" w:rsidRDefault="00ED6F59">
                <w:pPr>
                  <w:tabs>
                    <w:tab w:val="right" w:pos="8838"/>
                  </w:tabs>
                  <w:ind w:right="-105"/>
                  <w:rPr>
                    <w:rFonts w:ascii="Palatino Linotype" w:eastAsia="Palatino Linotype" w:hAnsi="Palatino Linotype" w:cs="Palatino Linotype"/>
                    <w:b/>
                    <w:bCs/>
                    <w:sz w:val="24"/>
                    <w:szCs w:val="24"/>
                  </w:rPr>
                </w:pPr>
                <w:bookmarkStart w:id="14" w:name="_heading=h.nzcod1wm1eoo" w:colFirst="0" w:colLast="0"/>
                <w:bookmarkEnd w:id="14"/>
                <w:r>
                  <w:rPr>
                    <w:rFonts w:ascii="Palatino Linotype" w:eastAsia="Palatino Linotype" w:hAnsi="Palatino Linotype" w:cs="Palatino Linotype"/>
                    <w:b/>
                    <w:bCs/>
                    <w:sz w:val="24"/>
                    <w:szCs w:val="24"/>
                  </w:rPr>
                  <w:t>Sujeto Obligado:</w:t>
                </w:r>
              </w:p>
            </w:tc>
            <w:tc>
              <w:tcPr>
                <w:tcW w:w="4078" w:type="dxa"/>
              </w:tcPr>
              <w:p w:rsidR="00B31375" w:rsidRDefault="00ED6F59">
                <w:pPr>
                  <w:tabs>
                    <w:tab w:val="left" w:pos="2834"/>
                    <w:tab w:val="right" w:pos="8838"/>
                  </w:tabs>
                  <w:ind w:right="-107"/>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Ayuntamiento de Cuautitlán Izcalli</w:t>
                </w:r>
              </w:p>
            </w:tc>
          </w:tr>
          <w:tr w:rsidR="00B31375" w:rsidTr="00B53F7A">
            <w:trPr>
              <w:trHeight w:val="283"/>
            </w:trPr>
            <w:tc>
              <w:tcPr>
                <w:tcW w:w="2807" w:type="dxa"/>
              </w:tcPr>
              <w:p w:rsidR="00B31375" w:rsidRDefault="00ED6F59">
                <w:pPr>
                  <w:tabs>
                    <w:tab w:val="right" w:pos="8838"/>
                  </w:tabs>
                  <w:ind w:right="-10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4078" w:type="dxa"/>
              </w:tcPr>
              <w:p w:rsidR="00B31375" w:rsidRDefault="00ED6F59">
                <w:pPr>
                  <w:tabs>
                    <w:tab w:val="right" w:pos="8838"/>
                  </w:tabs>
                  <w:ind w:right="-105"/>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María del Rosario Mejía Ayala</w:t>
                </w:r>
              </w:p>
            </w:tc>
          </w:tr>
        </w:tbl>
        <w:p w:rsidR="00B31375" w:rsidRDefault="00B31375">
          <w:pPr>
            <w:tabs>
              <w:tab w:val="right" w:pos="8838"/>
            </w:tabs>
            <w:ind w:left="-28"/>
            <w:jc w:val="both"/>
            <w:rPr>
              <w:rFonts w:ascii="Arial" w:eastAsia="Arial" w:hAnsi="Arial" w:cs="Arial"/>
              <w:b/>
              <w:bCs/>
              <w:sz w:val="22"/>
              <w:szCs w:val="22"/>
            </w:rPr>
          </w:pPr>
        </w:p>
      </w:tc>
    </w:tr>
  </w:tbl>
  <w:p w:rsidR="00B31375" w:rsidRDefault="00D05C1C">
    <w:pPr>
      <w:pBdr>
        <w:top w:val="nil"/>
        <w:left w:val="nil"/>
        <w:bottom w:val="nil"/>
        <w:right w:val="nil"/>
        <w:between w:val="nil"/>
      </w:pBdr>
      <w:tabs>
        <w:tab w:val="center" w:pos="4419"/>
        <w:tab w:val="right" w:pos="8838"/>
      </w:tabs>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104.3pt;margin-top:-133.1pt;width:663.5pt;height:12in;z-index:-251659776;mso-position-horizontal:absolute;mso-position-horizontal-relative:margin;mso-position-vertical:absolute;mso-position-vertical-relative:margin">
          <v:imagedata r:id="rId1" o:title="image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710" w:type="dxa"/>
      <w:tblInd w:w="-115" w:type="dxa"/>
      <w:tblLayout w:type="fixed"/>
      <w:tblLook w:val="0400" w:firstRow="0" w:lastRow="0" w:firstColumn="0" w:lastColumn="0" w:noHBand="0" w:noVBand="1"/>
    </w:tblPr>
    <w:tblGrid>
      <w:gridCol w:w="1560"/>
      <w:gridCol w:w="9150"/>
    </w:tblGrid>
    <w:tr w:rsidR="00B31375">
      <w:trPr>
        <w:trHeight w:val="1435"/>
      </w:trPr>
      <w:tc>
        <w:tcPr>
          <w:tcW w:w="1560" w:type="dxa"/>
          <w:shd w:val="clear" w:color="auto" w:fill="auto"/>
        </w:tcPr>
        <w:p w:rsidR="00B31375" w:rsidRDefault="00B31375">
          <w:pPr>
            <w:tabs>
              <w:tab w:val="right" w:pos="4273"/>
            </w:tabs>
            <w:rPr>
              <w:rFonts w:ascii="Garamond" w:eastAsia="Garamond" w:hAnsi="Garamond" w:cs="Garamond"/>
              <w:sz w:val="22"/>
              <w:szCs w:val="22"/>
            </w:rPr>
          </w:pPr>
        </w:p>
      </w:tc>
      <w:tc>
        <w:tcPr>
          <w:tcW w:w="9150" w:type="dxa"/>
          <w:shd w:val="clear" w:color="auto" w:fill="auto"/>
        </w:tcPr>
        <w:tbl>
          <w:tblPr>
            <w:tblStyle w:val="a3"/>
            <w:tblW w:w="7476" w:type="dxa"/>
            <w:tblInd w:w="1417" w:type="dxa"/>
            <w:tblBorders>
              <w:top w:val="nil"/>
              <w:left w:val="nil"/>
              <w:bottom w:val="nil"/>
              <w:right w:val="nil"/>
              <w:insideH w:val="nil"/>
              <w:insideV w:val="nil"/>
            </w:tblBorders>
            <w:tblLayout w:type="fixed"/>
            <w:tblLook w:val="0400" w:firstRow="0" w:lastRow="0" w:firstColumn="0" w:lastColumn="0" w:noHBand="0" w:noVBand="1"/>
          </w:tblPr>
          <w:tblGrid>
            <w:gridCol w:w="2985"/>
            <w:gridCol w:w="4200"/>
            <w:gridCol w:w="291"/>
          </w:tblGrid>
          <w:tr w:rsidR="00B31375" w:rsidTr="00B53F7A">
            <w:trPr>
              <w:trHeight w:val="144"/>
            </w:trPr>
            <w:tc>
              <w:tcPr>
                <w:tcW w:w="2985" w:type="dxa"/>
              </w:tcPr>
              <w:p w:rsidR="00B31375" w:rsidRDefault="00ED6F59" w:rsidP="00B53F7A">
                <w:pPr>
                  <w:tabs>
                    <w:tab w:val="right" w:pos="8838"/>
                  </w:tabs>
                  <w:ind w:left="-74" w:right="-105"/>
                  <w:rPr>
                    <w:rFonts w:ascii="Palatino Linotype" w:eastAsia="Palatino Linotype" w:hAnsi="Palatino Linotype" w:cs="Palatino Linotype"/>
                    <w:b/>
                    <w:bCs/>
                    <w:sz w:val="24"/>
                    <w:szCs w:val="24"/>
                  </w:rPr>
                </w:pPr>
                <w:bookmarkStart w:id="15" w:name="_heading=h.h3nmzhfljjp1" w:colFirst="0" w:colLast="0"/>
                <w:bookmarkEnd w:id="15"/>
                <w:r>
                  <w:rPr>
                    <w:rFonts w:ascii="Palatino Linotype" w:eastAsia="Palatino Linotype" w:hAnsi="Palatino Linotype" w:cs="Palatino Linotype"/>
                    <w:b/>
                    <w:bCs/>
                    <w:sz w:val="24"/>
                    <w:szCs w:val="24"/>
                  </w:rPr>
                  <w:t>Recurso de Revisión:</w:t>
                </w:r>
              </w:p>
            </w:tc>
            <w:tc>
              <w:tcPr>
                <w:tcW w:w="4200" w:type="dxa"/>
              </w:tcPr>
              <w:p w:rsidR="00B31375" w:rsidRDefault="00ED6F59" w:rsidP="00B53F7A">
                <w:pPr>
                  <w:ind w:left="-7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03863/INFOEM/IP/RR/2026</w:t>
                </w:r>
              </w:p>
            </w:tc>
            <w:tc>
              <w:tcPr>
                <w:tcW w:w="291" w:type="dxa"/>
              </w:tcPr>
              <w:p w:rsidR="00B31375" w:rsidRDefault="00B31375">
                <w:pPr>
                  <w:tabs>
                    <w:tab w:val="right" w:pos="8838"/>
                  </w:tabs>
                  <w:ind w:left="-74" w:right="-105"/>
                  <w:jc w:val="both"/>
                  <w:rPr>
                    <w:rFonts w:ascii="Palatino Linotype" w:eastAsia="Palatino Linotype" w:hAnsi="Palatino Linotype" w:cs="Palatino Linotype"/>
                    <w:sz w:val="24"/>
                    <w:szCs w:val="24"/>
                  </w:rPr>
                </w:pPr>
              </w:p>
            </w:tc>
          </w:tr>
          <w:tr w:rsidR="00B31375" w:rsidTr="00B53F7A">
            <w:trPr>
              <w:trHeight w:val="144"/>
            </w:trPr>
            <w:tc>
              <w:tcPr>
                <w:tcW w:w="2985" w:type="dxa"/>
              </w:tcPr>
              <w:p w:rsidR="00B31375" w:rsidRDefault="00ED6F59" w:rsidP="00B53F7A">
                <w:pPr>
                  <w:tabs>
                    <w:tab w:val="right" w:pos="8838"/>
                  </w:tabs>
                  <w:ind w:left="-74" w:right="-105"/>
                  <w:rPr>
                    <w:rFonts w:ascii="Palatino Linotype" w:eastAsia="Palatino Linotype" w:hAnsi="Palatino Linotype" w:cs="Palatino Linotype"/>
                    <w:b/>
                    <w:bCs/>
                    <w:sz w:val="24"/>
                    <w:szCs w:val="24"/>
                  </w:rPr>
                </w:pPr>
                <w:bookmarkStart w:id="16" w:name="_heading=h.bx8lvnhtg02d" w:colFirst="0" w:colLast="0"/>
                <w:bookmarkEnd w:id="16"/>
                <w:r>
                  <w:rPr>
                    <w:rFonts w:ascii="Palatino Linotype" w:eastAsia="Palatino Linotype" w:hAnsi="Palatino Linotype" w:cs="Palatino Linotype"/>
                    <w:b/>
                    <w:bCs/>
                    <w:sz w:val="24"/>
                    <w:szCs w:val="24"/>
                  </w:rPr>
                  <w:t>Recurrente:</w:t>
                </w:r>
              </w:p>
            </w:tc>
            <w:tc>
              <w:tcPr>
                <w:tcW w:w="4200" w:type="dxa"/>
              </w:tcPr>
              <w:p w:rsidR="00B31375" w:rsidRDefault="00B31375" w:rsidP="00B53F7A">
                <w:pPr>
                  <w:tabs>
                    <w:tab w:val="left" w:pos="3122"/>
                    <w:tab w:val="right" w:pos="8838"/>
                  </w:tabs>
                  <w:ind w:left="-74" w:right="1457"/>
                  <w:rPr>
                    <w:rFonts w:ascii="Palatino Linotype" w:eastAsia="Palatino Linotype" w:hAnsi="Palatino Linotype" w:cs="Palatino Linotype"/>
                    <w:sz w:val="24"/>
                    <w:szCs w:val="24"/>
                  </w:rPr>
                </w:pPr>
              </w:p>
            </w:tc>
            <w:tc>
              <w:tcPr>
                <w:tcW w:w="291" w:type="dxa"/>
              </w:tcPr>
              <w:p w:rsidR="00B31375" w:rsidRDefault="00B31375">
                <w:pPr>
                  <w:tabs>
                    <w:tab w:val="left" w:pos="3122"/>
                    <w:tab w:val="right" w:pos="8838"/>
                  </w:tabs>
                  <w:ind w:right="-105"/>
                  <w:jc w:val="both"/>
                  <w:rPr>
                    <w:rFonts w:ascii="Palatino Linotype" w:eastAsia="Palatino Linotype" w:hAnsi="Palatino Linotype" w:cs="Palatino Linotype"/>
                    <w:sz w:val="24"/>
                    <w:szCs w:val="24"/>
                  </w:rPr>
                </w:pPr>
              </w:p>
            </w:tc>
          </w:tr>
          <w:tr w:rsidR="00B31375" w:rsidTr="00B53F7A">
            <w:trPr>
              <w:trHeight w:val="283"/>
            </w:trPr>
            <w:tc>
              <w:tcPr>
                <w:tcW w:w="2985" w:type="dxa"/>
              </w:tcPr>
              <w:p w:rsidR="00B31375" w:rsidRDefault="00ED6F59" w:rsidP="00B53F7A">
                <w:pPr>
                  <w:tabs>
                    <w:tab w:val="right" w:pos="8838"/>
                  </w:tabs>
                  <w:ind w:left="-74" w:right="-10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Sujeto Obligado:</w:t>
                </w:r>
              </w:p>
            </w:tc>
            <w:tc>
              <w:tcPr>
                <w:tcW w:w="4200" w:type="dxa"/>
              </w:tcPr>
              <w:p w:rsidR="00B31375" w:rsidRDefault="00ED6F59" w:rsidP="00B53F7A">
                <w:pPr>
                  <w:tabs>
                    <w:tab w:val="right" w:pos="8838"/>
                  </w:tabs>
                  <w:ind w:left="-74" w:right="-105"/>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t>Ayuntamiento de Cuautitlán Izcalli</w:t>
                </w:r>
              </w:p>
            </w:tc>
            <w:tc>
              <w:tcPr>
                <w:tcW w:w="291" w:type="dxa"/>
              </w:tcPr>
              <w:p w:rsidR="00B31375" w:rsidRDefault="00B31375">
                <w:pPr>
                  <w:tabs>
                    <w:tab w:val="left" w:pos="2834"/>
                    <w:tab w:val="right" w:pos="8838"/>
                  </w:tabs>
                  <w:ind w:left="-74" w:right="-105"/>
                  <w:jc w:val="both"/>
                  <w:rPr>
                    <w:rFonts w:ascii="Palatino Linotype" w:eastAsia="Palatino Linotype" w:hAnsi="Palatino Linotype" w:cs="Palatino Linotype"/>
                    <w:b/>
                    <w:bCs/>
                    <w:sz w:val="24"/>
                    <w:szCs w:val="24"/>
                  </w:rPr>
                </w:pPr>
              </w:p>
            </w:tc>
          </w:tr>
          <w:tr w:rsidR="00B31375" w:rsidTr="00B53F7A">
            <w:trPr>
              <w:trHeight w:val="283"/>
            </w:trPr>
            <w:tc>
              <w:tcPr>
                <w:tcW w:w="2985" w:type="dxa"/>
              </w:tcPr>
              <w:p w:rsidR="00B31375" w:rsidRDefault="00ED6F59" w:rsidP="00B53F7A">
                <w:pPr>
                  <w:tabs>
                    <w:tab w:val="right" w:pos="8838"/>
                  </w:tabs>
                  <w:ind w:left="-74" w:right="-105"/>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Comisionada Ponente:</w:t>
                </w:r>
              </w:p>
            </w:tc>
            <w:tc>
              <w:tcPr>
                <w:tcW w:w="4200" w:type="dxa"/>
              </w:tcPr>
              <w:p w:rsidR="00B31375" w:rsidRDefault="00ED6F59" w:rsidP="00B53F7A">
                <w:pPr>
                  <w:tabs>
                    <w:tab w:val="right" w:pos="8838"/>
                  </w:tabs>
                  <w:ind w:left="-74" w:right="-10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María del Rosario Mejía Ayala</w:t>
                </w:r>
              </w:p>
            </w:tc>
            <w:tc>
              <w:tcPr>
                <w:tcW w:w="291" w:type="dxa"/>
              </w:tcPr>
              <w:p w:rsidR="00B31375" w:rsidRDefault="00B31375">
                <w:pPr>
                  <w:tabs>
                    <w:tab w:val="right" w:pos="8838"/>
                  </w:tabs>
                  <w:ind w:left="-74" w:right="-105"/>
                  <w:jc w:val="both"/>
                  <w:rPr>
                    <w:rFonts w:ascii="Palatino Linotype" w:eastAsia="Palatino Linotype" w:hAnsi="Palatino Linotype" w:cs="Palatino Linotype"/>
                    <w:b/>
                    <w:bCs/>
                    <w:sz w:val="24"/>
                    <w:szCs w:val="24"/>
                  </w:rPr>
                </w:pPr>
              </w:p>
            </w:tc>
          </w:tr>
        </w:tbl>
        <w:p w:rsidR="00B31375" w:rsidRDefault="00B31375">
          <w:pPr>
            <w:tabs>
              <w:tab w:val="right" w:pos="8838"/>
            </w:tabs>
            <w:ind w:left="-28"/>
            <w:jc w:val="both"/>
            <w:rPr>
              <w:rFonts w:ascii="Arial" w:eastAsia="Arial" w:hAnsi="Arial" w:cs="Arial"/>
              <w:b/>
              <w:bCs/>
              <w:sz w:val="22"/>
              <w:szCs w:val="22"/>
            </w:rPr>
          </w:pPr>
        </w:p>
      </w:tc>
    </w:tr>
  </w:tbl>
  <w:p w:rsidR="00B31375" w:rsidRDefault="00D05C1C">
    <w:pPr>
      <w:pBdr>
        <w:top w:val="nil"/>
        <w:left w:val="nil"/>
        <w:bottom w:val="nil"/>
        <w:right w:val="nil"/>
        <w:between w:val="nil"/>
      </w:pBdr>
      <w:tabs>
        <w:tab w:val="center" w:pos="4419"/>
        <w:tab w:val="right" w:pos="8838"/>
        <w:tab w:val="center" w:pos="4522"/>
      </w:tabs>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75.8pt;margin-top:-134.3pt;width:663.5pt;height:12in;z-index:-251658752;mso-position-horizontal:absolute;mso-position-horizontal-relative:margin;mso-position-vertical:absolute;mso-position-vertical-relative:margin">
          <v:imagedata r:id="rId1" o:title="image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5B45"/>
    <w:multiLevelType w:val="multilevel"/>
    <w:tmpl w:val="4C8CF3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F703DC"/>
    <w:multiLevelType w:val="multilevel"/>
    <w:tmpl w:val="824C3CC6"/>
    <w:lvl w:ilvl="0">
      <w:numFmt w:val="bullet"/>
      <w:lvlText w:val="-"/>
      <w:lvlJc w:val="left"/>
      <w:pPr>
        <w:ind w:left="928" w:hanging="360"/>
      </w:pPr>
      <w:rPr>
        <w:rFonts w:ascii="Palatino Linotype" w:eastAsia="Palatino Linotype" w:hAnsi="Palatino Linotype" w:cs="Palatino Linotype"/>
        <w:color w:val="000000"/>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2" w15:restartNumberingAfterBreak="0">
    <w:nsid w:val="1DC13C57"/>
    <w:multiLevelType w:val="multilevel"/>
    <w:tmpl w:val="07CEE07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1FE53D1D"/>
    <w:multiLevelType w:val="multilevel"/>
    <w:tmpl w:val="9AD41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8F56AC"/>
    <w:multiLevelType w:val="multilevel"/>
    <w:tmpl w:val="97AE5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573447B"/>
    <w:multiLevelType w:val="multilevel"/>
    <w:tmpl w:val="E84AEA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D494EBB"/>
    <w:multiLevelType w:val="multilevel"/>
    <w:tmpl w:val="23827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258373C"/>
    <w:multiLevelType w:val="multilevel"/>
    <w:tmpl w:val="787E009A"/>
    <w:lvl w:ilvl="0">
      <w:start w:val="1"/>
      <w:numFmt w:val="decimal"/>
      <w:lvlText w:val="%1."/>
      <w:lvlJc w:val="left"/>
      <w:pPr>
        <w:ind w:left="359" w:hanging="359"/>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7D972C1"/>
    <w:multiLevelType w:val="multilevel"/>
    <w:tmpl w:val="6944B5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FF258F2"/>
    <w:multiLevelType w:val="multilevel"/>
    <w:tmpl w:val="FD74107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0" w15:restartNumberingAfterBreak="0">
    <w:nsid w:val="76AA23AB"/>
    <w:multiLevelType w:val="multilevel"/>
    <w:tmpl w:val="3788C1E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835534D"/>
    <w:multiLevelType w:val="multilevel"/>
    <w:tmpl w:val="CCB84332"/>
    <w:lvl w:ilvl="0">
      <w:start w:val="1"/>
      <w:numFmt w:val="decimal"/>
      <w:lvlText w:val="%1."/>
      <w:lvlJc w:val="left"/>
      <w:pPr>
        <w:ind w:left="720" w:hanging="360"/>
      </w:pPr>
      <w:rPr>
        <w:b/>
        <w:bCs/>
        <w:i w:val="0"/>
        <w:iCs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EC06532"/>
    <w:multiLevelType w:val="multilevel"/>
    <w:tmpl w:val="12C0CE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6"/>
  </w:num>
  <w:num w:numId="3">
    <w:abstractNumId w:val="7"/>
  </w:num>
  <w:num w:numId="4">
    <w:abstractNumId w:val="5"/>
  </w:num>
  <w:num w:numId="5">
    <w:abstractNumId w:val="12"/>
  </w:num>
  <w:num w:numId="6">
    <w:abstractNumId w:val="2"/>
  </w:num>
  <w:num w:numId="7">
    <w:abstractNumId w:val="9"/>
  </w:num>
  <w:num w:numId="8">
    <w:abstractNumId w:val="10"/>
  </w:num>
  <w:num w:numId="9">
    <w:abstractNumId w:val="8"/>
  </w:num>
  <w:num w:numId="10">
    <w:abstractNumId w:val="11"/>
  </w:num>
  <w:num w:numId="11">
    <w:abstractNumId w:val="1"/>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375"/>
    <w:rsid w:val="006D6F80"/>
    <w:rsid w:val="00936346"/>
    <w:rsid w:val="009C1FF1"/>
    <w:rsid w:val="00B31375"/>
    <w:rsid w:val="00B53F7A"/>
    <w:rsid w:val="00D05C1C"/>
    <w:rsid w:val="00ED6F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E599E052-7007-464F-9072-84943E4AF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9C1FF1"/>
    <w:pPr>
      <w:tabs>
        <w:tab w:val="center" w:pos="4419"/>
        <w:tab w:val="right" w:pos="8838"/>
      </w:tabs>
    </w:pPr>
  </w:style>
  <w:style w:type="character" w:customStyle="1" w:styleId="PiedepginaCar">
    <w:name w:val="Pie de página Car"/>
    <w:basedOn w:val="Fuentedeprrafopredeter"/>
    <w:link w:val="Piedepgina"/>
    <w:uiPriority w:val="99"/>
    <w:rsid w:val="009C1FF1"/>
  </w:style>
  <w:style w:type="paragraph" w:styleId="Prrafodelista">
    <w:name w:val="List Paragraph"/>
    <w:basedOn w:val="Normal"/>
    <w:uiPriority w:val="34"/>
    <w:qFormat/>
    <w:rsid w:val="00B53F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contraloriadf.gob.mx/contraloria/cursos/ADQUISICIONES/paginas/32.php" TargetMode="External"/><Relationship Id="rId17" Type="http://schemas.openxmlformats.org/officeDocument/2006/relationships/hyperlink" Target="http://omawww.sat.gob.mx/factura/Paginas/solicita_requisitos.htm"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b.mx/sfp/acciones-y-programas/1-3-3-adjudicacion-direct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ebapps.condusef.gob.mx/SIPRES/jsp/pub/index.jsp"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https://www.condusef.gob.mx/Revista/index.php/usuario-inteligente/condusef-responde/777-la-condusef-te-puede-ayudar"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n71Jo8mIdodFawrvMY8eNuaQRg==">CgMxLjAyDmgubHN6cjBiMmdnaGw1MghoLmdqZGd4czIJaC4zMGowemxsMg5oLmdhN2k1MG5idWozZjIJaC4xZm9iOXRlMgloLjN6bnlzaDcyCWguMmV0OTJwMDIJaC4zZHk2dmttMg5oLmtwNmN6c3BlOXBwYjIOaC5nN3JyeGtnMmlhZ2kyCWguNGQzNG9nODIOaC5jcmR2OThiZDMxYzgyCGgudHlqY3d0Mg5oLm56Y29kMXdtMWVvbzIOaC5oM25temhmbGpqcDEyDmguYng4bHZuaHRnMDJkOAByITFNWTdYSEpPMnZvbk5RcFBaUkxPVnlXYWc2LVpRVWEy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50</Pages>
  <Words>11377</Words>
  <Characters>62578</Characters>
  <Application>Microsoft Office Word</Application>
  <DocSecurity>0</DocSecurity>
  <Lines>521</Lines>
  <Paragraphs>147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73808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5</cp:revision>
  <cp:lastPrinted>2026-05-29T00:09:00Z</cp:lastPrinted>
  <dcterms:created xsi:type="dcterms:W3CDTF">2026-05-27T20:12:00Z</dcterms:created>
  <dcterms:modified xsi:type="dcterms:W3CDTF">2026-06-01T19:33:00Z</dcterms:modified>
</cp:coreProperties>
</file>