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3247F567" w:rsidR="00562A90" w:rsidRPr="003E53A6"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3E53A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3E53A6">
        <w:rPr>
          <w:rFonts w:ascii="Palatino Linotype" w:eastAsia="Palatino Linotype" w:hAnsi="Palatino Linotype" w:cs="Palatino Linotype"/>
          <w:sz w:val="22"/>
          <w:szCs w:val="22"/>
        </w:rPr>
        <w:t>en Metepec, Estado de México, a</w:t>
      </w:r>
      <w:r w:rsidR="00016E26" w:rsidRPr="003E53A6">
        <w:rPr>
          <w:rFonts w:ascii="Palatino Linotype" w:eastAsia="Palatino Linotype" w:hAnsi="Palatino Linotype" w:cs="Palatino Linotype"/>
          <w:sz w:val="22"/>
          <w:szCs w:val="22"/>
        </w:rPr>
        <w:t xml:space="preserve"> </w:t>
      </w:r>
      <w:r w:rsidR="00603BA1" w:rsidRPr="003E53A6">
        <w:rPr>
          <w:rFonts w:ascii="Palatino Linotype" w:eastAsia="Palatino Linotype" w:hAnsi="Palatino Linotype" w:cs="Palatino Linotype"/>
          <w:sz w:val="22"/>
          <w:szCs w:val="22"/>
        </w:rPr>
        <w:t>veintiuno</w:t>
      </w:r>
      <w:r w:rsidR="00016E26" w:rsidRPr="003E53A6">
        <w:rPr>
          <w:rFonts w:ascii="Palatino Linotype" w:eastAsia="Palatino Linotype" w:hAnsi="Palatino Linotype" w:cs="Palatino Linotype"/>
          <w:sz w:val="22"/>
          <w:szCs w:val="22"/>
        </w:rPr>
        <w:t xml:space="preserve"> de </w:t>
      </w:r>
      <w:r w:rsidR="00E046E0" w:rsidRPr="003E53A6">
        <w:rPr>
          <w:rFonts w:ascii="Palatino Linotype" w:eastAsia="Palatino Linotype" w:hAnsi="Palatino Linotype" w:cs="Palatino Linotype"/>
          <w:sz w:val="22"/>
          <w:szCs w:val="22"/>
        </w:rPr>
        <w:t xml:space="preserve">enero </w:t>
      </w:r>
      <w:r w:rsidRPr="003E53A6">
        <w:rPr>
          <w:rFonts w:ascii="Palatino Linotype" w:eastAsia="Palatino Linotype" w:hAnsi="Palatino Linotype" w:cs="Palatino Linotype"/>
          <w:sz w:val="22"/>
          <w:szCs w:val="22"/>
        </w:rPr>
        <w:t xml:space="preserve">de dos mil veinticinco. </w:t>
      </w:r>
    </w:p>
    <w:p w14:paraId="4795114A" w14:textId="16BF41ED" w:rsidR="00562A90" w:rsidRPr="003E53A6"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3E53A6">
        <w:rPr>
          <w:rFonts w:ascii="Palatino Linotype" w:eastAsia="Palatino Linotype" w:hAnsi="Palatino Linotype" w:cs="Palatino Linotype"/>
          <w:b/>
          <w:sz w:val="22"/>
          <w:szCs w:val="22"/>
        </w:rPr>
        <w:t>VISTO</w:t>
      </w:r>
      <w:r w:rsidRPr="003E53A6">
        <w:rPr>
          <w:rFonts w:ascii="Palatino Linotype" w:eastAsia="Palatino Linotype" w:hAnsi="Palatino Linotype" w:cs="Palatino Linotype"/>
          <w:sz w:val="22"/>
          <w:szCs w:val="22"/>
        </w:rPr>
        <w:t xml:space="preserve"> el expediente formado con motivo del recurso de revisión </w:t>
      </w:r>
      <w:r w:rsidR="005833F1" w:rsidRPr="003E53A6">
        <w:rPr>
          <w:rFonts w:ascii="Palatino Linotype" w:eastAsia="Palatino Linotype" w:hAnsi="Palatino Linotype" w:cs="Palatino Linotype"/>
          <w:b/>
          <w:sz w:val="22"/>
          <w:szCs w:val="22"/>
        </w:rPr>
        <w:t>1</w:t>
      </w:r>
      <w:r w:rsidR="00152629" w:rsidRPr="003E53A6">
        <w:rPr>
          <w:rFonts w:ascii="Palatino Linotype" w:eastAsia="Palatino Linotype" w:hAnsi="Palatino Linotype" w:cs="Palatino Linotype"/>
          <w:b/>
          <w:sz w:val="22"/>
          <w:szCs w:val="22"/>
        </w:rPr>
        <w:t>3279</w:t>
      </w:r>
      <w:r w:rsidR="00337D82" w:rsidRPr="003E53A6">
        <w:rPr>
          <w:rFonts w:ascii="Palatino Linotype" w:eastAsia="Palatino Linotype" w:hAnsi="Palatino Linotype" w:cs="Palatino Linotype"/>
          <w:b/>
          <w:sz w:val="22"/>
          <w:szCs w:val="22"/>
        </w:rPr>
        <w:t>/INFOEM/IP/RR/2025</w:t>
      </w:r>
      <w:r w:rsidRPr="003E53A6">
        <w:rPr>
          <w:rFonts w:ascii="Palatino Linotype" w:eastAsia="Palatino Linotype" w:hAnsi="Palatino Linotype" w:cs="Palatino Linotype"/>
          <w:sz w:val="22"/>
          <w:szCs w:val="22"/>
        </w:rPr>
        <w:t>, interpuesto por</w:t>
      </w:r>
      <w:r w:rsidR="00E046E0" w:rsidRPr="003E53A6">
        <w:rPr>
          <w:rFonts w:ascii="Palatino Linotype" w:eastAsia="Palatino Linotype" w:hAnsi="Palatino Linotype" w:cs="Palatino Linotype"/>
          <w:b/>
          <w:sz w:val="22"/>
          <w:szCs w:val="22"/>
        </w:rPr>
        <w:t xml:space="preserve"> una persona que no proporcionó nombre o seudónimo</w:t>
      </w:r>
      <w:r w:rsidRPr="003E53A6">
        <w:rPr>
          <w:rFonts w:ascii="Palatino Linotype" w:eastAsia="Palatino Linotype" w:hAnsi="Palatino Linotype" w:cs="Palatino Linotype"/>
          <w:b/>
          <w:sz w:val="22"/>
          <w:szCs w:val="22"/>
        </w:rPr>
        <w:t>,</w:t>
      </w:r>
      <w:r w:rsidRPr="003E53A6">
        <w:rPr>
          <w:rFonts w:ascii="Palatino Linotype" w:eastAsia="Palatino Linotype" w:hAnsi="Palatino Linotype" w:cs="Palatino Linotype"/>
          <w:sz w:val="22"/>
          <w:szCs w:val="22"/>
        </w:rPr>
        <w:t xml:space="preserve"> en lo sucesivo</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 xml:space="preserve">la parte </w:t>
      </w:r>
      <w:r w:rsidRPr="003E53A6">
        <w:rPr>
          <w:rFonts w:ascii="Palatino Linotype" w:eastAsia="Palatino Linotype" w:hAnsi="Palatino Linotype" w:cs="Palatino Linotype"/>
          <w:b/>
          <w:sz w:val="22"/>
          <w:szCs w:val="22"/>
        </w:rPr>
        <w:t>Recurrente,</w:t>
      </w:r>
      <w:r w:rsidRPr="003E53A6">
        <w:rPr>
          <w:rFonts w:ascii="Palatino Linotype" w:eastAsia="Palatino Linotype" w:hAnsi="Palatino Linotype" w:cs="Palatino Linotype"/>
          <w:sz w:val="22"/>
          <w:szCs w:val="22"/>
        </w:rPr>
        <w:t xml:space="preserve"> en contra de la respuesta a la solicitud de información con número de folio</w:t>
      </w:r>
      <w:r w:rsidRPr="003E53A6">
        <w:rPr>
          <w:rFonts w:ascii="Palatino Linotype" w:eastAsia="Palatino Linotype" w:hAnsi="Palatino Linotype" w:cs="Palatino Linotype"/>
          <w:b/>
          <w:sz w:val="22"/>
          <w:szCs w:val="22"/>
        </w:rPr>
        <w:t xml:space="preserve"> </w:t>
      </w:r>
      <w:r w:rsidR="00152629" w:rsidRPr="003E53A6">
        <w:rPr>
          <w:rFonts w:ascii="Palatino Linotype" w:eastAsia="Palatino Linotype" w:hAnsi="Palatino Linotype" w:cs="Palatino Linotype"/>
          <w:b/>
          <w:sz w:val="22"/>
          <w:szCs w:val="22"/>
        </w:rPr>
        <w:t>00287/OPDTEOLOYUCAN/IP/2025</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 xml:space="preserve">por parte del </w:t>
      </w:r>
      <w:r w:rsidR="00152629" w:rsidRPr="003E53A6">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r w:rsidR="00EF0D72" w:rsidRPr="003E53A6">
        <w:rPr>
          <w:rFonts w:ascii="Palatino Linotype" w:eastAsia="Palatino Linotype" w:hAnsi="Palatino Linotype" w:cs="Palatino Linotype"/>
          <w:b/>
          <w:sz w:val="22"/>
          <w:szCs w:val="22"/>
        </w:rPr>
        <w:t>,</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 xml:space="preserve">en lo sucesivo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3E53A6" w:rsidRDefault="0062255D">
      <w:pPr>
        <w:spacing w:before="240" w:after="240" w:line="360" w:lineRule="auto"/>
        <w:jc w:val="center"/>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t>I. A N T E C E D E N T E S</w:t>
      </w:r>
    </w:p>
    <w:p w14:paraId="72C70038" w14:textId="30C68363" w:rsidR="00562A90" w:rsidRPr="003E53A6"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3E53A6">
        <w:rPr>
          <w:rFonts w:ascii="Palatino Linotype" w:eastAsia="Palatino Linotype" w:hAnsi="Palatino Linotype" w:cs="Palatino Linotype"/>
          <w:b/>
          <w:sz w:val="22"/>
          <w:szCs w:val="22"/>
        </w:rPr>
        <w:t>1. Solicitud de acceso a la información.</w:t>
      </w:r>
      <w:r w:rsidRPr="003E53A6">
        <w:rPr>
          <w:rFonts w:ascii="Palatino Linotype" w:eastAsia="Palatino Linotype" w:hAnsi="Palatino Linotype" w:cs="Palatino Linotype"/>
          <w:sz w:val="22"/>
          <w:szCs w:val="22"/>
        </w:rPr>
        <w:t xml:space="preserve"> El </w:t>
      </w:r>
      <w:bookmarkStart w:id="4" w:name="_Hlk212125406"/>
      <w:r w:rsidR="00152629" w:rsidRPr="003E53A6">
        <w:rPr>
          <w:rFonts w:ascii="Palatino Linotype" w:eastAsia="Palatino Linotype" w:hAnsi="Palatino Linotype" w:cs="Palatino Linotype"/>
          <w:b/>
          <w:sz w:val="22"/>
          <w:szCs w:val="22"/>
        </w:rPr>
        <w:t>cinco de noviembre</w:t>
      </w:r>
      <w:r w:rsidR="00E046E0"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b/>
          <w:sz w:val="22"/>
          <w:szCs w:val="22"/>
        </w:rPr>
        <w:t>de dos mil veinticinco</w:t>
      </w:r>
      <w:bookmarkEnd w:id="4"/>
      <w:r w:rsidRPr="003E53A6">
        <w:rPr>
          <w:rFonts w:ascii="Palatino Linotype" w:eastAsia="Palatino Linotype" w:hAnsi="Palatino Linotype" w:cs="Palatino Linotype"/>
          <w:b/>
          <w:sz w:val="22"/>
          <w:szCs w:val="22"/>
        </w:rPr>
        <w:t>,</w:t>
      </w:r>
      <w:r w:rsidRPr="003E53A6">
        <w:rPr>
          <w:rFonts w:ascii="Palatino Linotype" w:eastAsia="Palatino Linotype" w:hAnsi="Palatino Linotype" w:cs="Palatino Linotype"/>
          <w:sz w:val="22"/>
          <w:szCs w:val="22"/>
        </w:rPr>
        <w:t xml:space="preserve"> la parte </w:t>
      </w:r>
      <w:r w:rsidRPr="003E53A6">
        <w:rPr>
          <w:rFonts w:ascii="Palatino Linotype" w:eastAsia="Palatino Linotype" w:hAnsi="Palatino Linotype" w:cs="Palatino Linotype"/>
          <w:b/>
          <w:sz w:val="22"/>
          <w:szCs w:val="22"/>
        </w:rPr>
        <w:t xml:space="preserve">Recurrente </w:t>
      </w:r>
      <w:r w:rsidRPr="003E53A6">
        <w:rPr>
          <w:rFonts w:ascii="Palatino Linotype" w:eastAsia="Palatino Linotype" w:hAnsi="Palatino Linotype" w:cs="Palatino Linotype"/>
          <w:sz w:val="22"/>
          <w:szCs w:val="22"/>
        </w:rPr>
        <w:t xml:space="preserve">presentó la solicitud de acceso a la información pública ante 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xml:space="preserve">, a través del Sistema de Acceso a la Información Mexiquense, en lo subsecuente el </w:t>
      </w:r>
      <w:r w:rsidRPr="003E53A6">
        <w:rPr>
          <w:rFonts w:ascii="Palatino Linotype" w:eastAsia="Palatino Linotype" w:hAnsi="Palatino Linotype" w:cs="Palatino Linotype"/>
          <w:b/>
          <w:sz w:val="22"/>
          <w:szCs w:val="22"/>
        </w:rPr>
        <w:t>SAIMEX,</w:t>
      </w:r>
      <w:r w:rsidRPr="003E53A6">
        <w:rPr>
          <w:rFonts w:ascii="Palatino Linotype" w:eastAsia="Palatino Linotype" w:hAnsi="Palatino Linotype" w:cs="Palatino Linotype"/>
          <w:sz w:val="22"/>
          <w:szCs w:val="22"/>
        </w:rPr>
        <w:t xml:space="preserve"> mediante la cual requirió lo siguiente:</w:t>
      </w:r>
    </w:p>
    <w:p w14:paraId="57605782" w14:textId="2992950E" w:rsidR="00562A90" w:rsidRPr="003E53A6" w:rsidRDefault="0062255D">
      <w:pPr>
        <w:spacing w:before="120" w:after="120"/>
        <w:ind w:left="851" w:right="90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i/>
          <w:sz w:val="22"/>
          <w:szCs w:val="22"/>
        </w:rPr>
        <w:t xml:space="preserve"> “</w:t>
      </w:r>
      <w:r w:rsidR="00152629" w:rsidRPr="003E53A6">
        <w:rPr>
          <w:rFonts w:ascii="Palatino Linotype" w:eastAsia="Palatino Linotype" w:hAnsi="Palatino Linotype" w:cs="Palatino Linotype"/>
          <w:i/>
          <w:sz w:val="22"/>
          <w:szCs w:val="22"/>
        </w:rPr>
        <w:t>solisito las polizas del 2019 de todo el año</w:t>
      </w:r>
      <w:r w:rsidRPr="003E53A6">
        <w:rPr>
          <w:rFonts w:ascii="Palatino Linotype" w:eastAsia="Palatino Linotype" w:hAnsi="Palatino Linotype" w:cs="Palatino Linotype"/>
          <w:b/>
          <w:i/>
          <w:sz w:val="22"/>
          <w:szCs w:val="22"/>
        </w:rPr>
        <w:t>”</w:t>
      </w:r>
      <w:r w:rsidRPr="003E53A6">
        <w:rPr>
          <w:rFonts w:ascii="Palatino Linotype" w:eastAsia="Palatino Linotype" w:hAnsi="Palatino Linotype" w:cs="Palatino Linotype"/>
          <w:i/>
          <w:sz w:val="22"/>
          <w:szCs w:val="22"/>
        </w:rPr>
        <w:t xml:space="preserve"> (sic) </w:t>
      </w:r>
    </w:p>
    <w:p w14:paraId="6759C1B0" w14:textId="17732828" w:rsidR="00562A90" w:rsidRPr="003E53A6" w:rsidRDefault="0062255D">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3E53A6">
        <w:rPr>
          <w:rFonts w:ascii="Palatino Linotype" w:eastAsia="Palatino Linotype" w:hAnsi="Palatino Linotype" w:cs="Palatino Linotype"/>
          <w:b/>
          <w:sz w:val="22"/>
          <w:szCs w:val="22"/>
        </w:rPr>
        <w:t>2.</w:t>
      </w:r>
      <w:r w:rsidR="00F6238C"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b/>
          <w:sz w:val="22"/>
          <w:szCs w:val="22"/>
        </w:rPr>
        <w:t xml:space="preserve">Respuesta. </w:t>
      </w:r>
      <w:r w:rsidRPr="003E53A6">
        <w:rPr>
          <w:rFonts w:ascii="Palatino Linotype" w:eastAsia="Palatino Linotype" w:hAnsi="Palatino Linotype" w:cs="Palatino Linotype"/>
          <w:sz w:val="22"/>
          <w:szCs w:val="22"/>
        </w:rPr>
        <w:t xml:space="preserve">El </w:t>
      </w:r>
      <w:r w:rsidR="00152629" w:rsidRPr="003E53A6">
        <w:rPr>
          <w:rFonts w:ascii="Palatino Linotype" w:eastAsia="Palatino Linotype" w:hAnsi="Palatino Linotype" w:cs="Palatino Linotype"/>
          <w:b/>
          <w:sz w:val="22"/>
          <w:szCs w:val="22"/>
        </w:rPr>
        <w:t>veinte de noviembre</w:t>
      </w:r>
      <w:r w:rsidR="00C65EA4" w:rsidRPr="003E53A6">
        <w:rPr>
          <w:rFonts w:ascii="Palatino Linotype" w:eastAsia="Palatino Linotype" w:hAnsi="Palatino Linotype" w:cs="Palatino Linotype"/>
          <w:b/>
          <w:sz w:val="22"/>
          <w:szCs w:val="22"/>
        </w:rPr>
        <w:t xml:space="preserve"> de </w:t>
      </w:r>
      <w:r w:rsidRPr="003E53A6">
        <w:rPr>
          <w:rFonts w:ascii="Palatino Linotype" w:eastAsia="Palatino Linotype" w:hAnsi="Palatino Linotype" w:cs="Palatino Linotype"/>
          <w:b/>
          <w:sz w:val="22"/>
          <w:szCs w:val="22"/>
        </w:rPr>
        <w:t>dos mil veinticinco,</w:t>
      </w:r>
      <w:r w:rsidRPr="003E53A6">
        <w:rPr>
          <w:rFonts w:ascii="Palatino Linotype" w:eastAsia="Palatino Linotype" w:hAnsi="Palatino Linotype" w:cs="Palatino Linotype"/>
          <w:sz w:val="22"/>
          <w:szCs w:val="22"/>
        </w:rPr>
        <w:t xml:space="preserve">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44A23B6D" w:rsidR="00562A90" w:rsidRPr="003E53A6" w:rsidRDefault="0062255D">
      <w:pPr>
        <w:spacing w:before="240" w:after="24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lastRenderedPageBreak/>
        <w:t>“…</w:t>
      </w:r>
      <w:r w:rsidR="00152629" w:rsidRPr="003E53A6">
        <w:rPr>
          <w:rFonts w:ascii="Palatino Linotype" w:eastAsia="Palatino Linotype" w:hAnsi="Palatino Linotype" w:cs="Palatino Linotype"/>
          <w:i/>
          <w:sz w:val="22"/>
          <w:szCs w:val="22"/>
        </w:rPr>
        <w:t>Se procede a notificar la respuesta a la solicitud de información pública remitida del área generadora de la información.</w:t>
      </w:r>
      <w:r w:rsidRPr="003E53A6">
        <w:rPr>
          <w:rFonts w:ascii="Palatino Linotype" w:eastAsia="Palatino Linotype" w:hAnsi="Palatino Linotype" w:cs="Palatino Linotype"/>
          <w:i/>
          <w:sz w:val="22"/>
          <w:szCs w:val="22"/>
        </w:rPr>
        <w:t>..” (sic)</w:t>
      </w:r>
    </w:p>
    <w:p w14:paraId="3D790860" w14:textId="141B46B8" w:rsidR="009C6A3A" w:rsidRPr="003E53A6" w:rsidRDefault="0062255D">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adjuntó</w:t>
      </w:r>
      <w:r w:rsidR="004315B9" w:rsidRPr="003E53A6">
        <w:rPr>
          <w:rFonts w:ascii="Palatino Linotype" w:eastAsia="Palatino Linotype" w:hAnsi="Palatino Linotype" w:cs="Palatino Linotype"/>
          <w:sz w:val="22"/>
          <w:szCs w:val="22"/>
        </w:rPr>
        <w:t xml:space="preserve"> </w:t>
      </w:r>
      <w:r w:rsidR="00152629" w:rsidRPr="003E53A6">
        <w:rPr>
          <w:rFonts w:ascii="Palatino Linotype" w:eastAsia="Palatino Linotype" w:hAnsi="Palatino Linotype" w:cs="Palatino Linotype"/>
          <w:sz w:val="22"/>
          <w:szCs w:val="22"/>
        </w:rPr>
        <w:t>el</w:t>
      </w:r>
      <w:r w:rsidR="00C65EA4" w:rsidRPr="003E53A6">
        <w:rPr>
          <w:rFonts w:ascii="Palatino Linotype" w:eastAsia="Palatino Linotype" w:hAnsi="Palatino Linotype" w:cs="Palatino Linotype"/>
          <w:sz w:val="22"/>
          <w:szCs w:val="22"/>
        </w:rPr>
        <w:t xml:space="preserve"> </w:t>
      </w:r>
      <w:r w:rsidR="004315B9" w:rsidRPr="003E53A6">
        <w:rPr>
          <w:rFonts w:ascii="Palatino Linotype" w:eastAsia="Palatino Linotype" w:hAnsi="Palatino Linotype" w:cs="Palatino Linotype"/>
          <w:sz w:val="22"/>
          <w:szCs w:val="22"/>
        </w:rPr>
        <w:t>ofi</w:t>
      </w:r>
      <w:r w:rsidR="00152629" w:rsidRPr="003E53A6">
        <w:rPr>
          <w:rFonts w:ascii="Palatino Linotype" w:eastAsia="Palatino Linotype" w:hAnsi="Palatino Linotype" w:cs="Palatino Linotype"/>
          <w:sz w:val="22"/>
          <w:szCs w:val="22"/>
        </w:rPr>
        <w:t>cio</w:t>
      </w:r>
      <w:r w:rsidR="004315B9" w:rsidRPr="003E53A6">
        <w:rPr>
          <w:rFonts w:ascii="Palatino Linotype" w:eastAsia="Palatino Linotype" w:hAnsi="Palatino Linotype" w:cs="Palatino Linotype"/>
          <w:sz w:val="22"/>
          <w:szCs w:val="22"/>
        </w:rPr>
        <w:t xml:space="preserve"> </w:t>
      </w:r>
      <w:r w:rsidR="00C65EA4" w:rsidRPr="003E53A6">
        <w:rPr>
          <w:rFonts w:ascii="Palatino Linotype" w:eastAsia="Palatino Linotype" w:hAnsi="Palatino Linotype" w:cs="Palatino Linotype"/>
          <w:sz w:val="22"/>
          <w:szCs w:val="22"/>
        </w:rPr>
        <w:t xml:space="preserve">con número de folio </w:t>
      </w:r>
      <w:r w:rsidR="00152629" w:rsidRPr="003E53A6">
        <w:rPr>
          <w:rFonts w:ascii="Palatino Linotype" w:eastAsia="Palatino Linotype" w:hAnsi="Palatino Linotype" w:cs="Palatino Linotype"/>
          <w:sz w:val="22"/>
          <w:szCs w:val="22"/>
        </w:rPr>
        <w:t>ADMONFNZAS/OPD/AVC/217/2025</w:t>
      </w:r>
      <w:r w:rsidR="00C65EA4" w:rsidRPr="003E53A6">
        <w:rPr>
          <w:rFonts w:ascii="Palatino Linotype" w:eastAsia="Palatino Linotype" w:hAnsi="Palatino Linotype" w:cs="Palatino Linotype"/>
          <w:sz w:val="22"/>
          <w:szCs w:val="22"/>
        </w:rPr>
        <w:t xml:space="preserve">, mediante </w:t>
      </w:r>
      <w:r w:rsidR="00152629" w:rsidRPr="003E53A6">
        <w:rPr>
          <w:rFonts w:ascii="Palatino Linotype" w:eastAsia="Palatino Linotype" w:hAnsi="Palatino Linotype" w:cs="Palatino Linotype"/>
          <w:sz w:val="22"/>
          <w:szCs w:val="22"/>
        </w:rPr>
        <w:t xml:space="preserve">el cual el Subdirector de Administración y Finanzas </w:t>
      </w:r>
      <w:r w:rsidR="009C6A3A" w:rsidRPr="003E53A6">
        <w:rPr>
          <w:rFonts w:ascii="Palatino Linotype" w:eastAsia="Palatino Linotype" w:hAnsi="Palatino Linotype" w:cs="Palatino Linotype"/>
          <w:sz w:val="22"/>
          <w:szCs w:val="22"/>
        </w:rPr>
        <w:t>dio contestación a la solicitud mediante el artículo 30, párrafos primero y tercero del Código Fiscal de la Federación.</w:t>
      </w:r>
    </w:p>
    <w:p w14:paraId="15D280BF" w14:textId="2073FA94" w:rsidR="00562A90" w:rsidRPr="003E53A6" w:rsidRDefault="0062255D">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 xml:space="preserve">3. Interposición del recurso de revisión. </w:t>
      </w:r>
      <w:r w:rsidRPr="003E53A6">
        <w:rPr>
          <w:rFonts w:ascii="Palatino Linotype" w:eastAsia="Palatino Linotype" w:hAnsi="Palatino Linotype" w:cs="Palatino Linotype"/>
          <w:sz w:val="22"/>
          <w:szCs w:val="22"/>
        </w:rPr>
        <w:t xml:space="preserve">Inconforme con los términos de la respuesta emitida por parte del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xml:space="preserve">, el </w:t>
      </w:r>
      <w:r w:rsidR="009C6A3A" w:rsidRPr="003E53A6">
        <w:rPr>
          <w:rFonts w:ascii="Palatino Linotype" w:eastAsia="Palatino Linotype" w:hAnsi="Palatino Linotype" w:cs="Palatino Linotype"/>
          <w:b/>
          <w:sz w:val="22"/>
          <w:szCs w:val="22"/>
        </w:rPr>
        <w:t xml:space="preserve">veintiséis de noviembre </w:t>
      </w:r>
      <w:r w:rsidR="00C65EA4" w:rsidRPr="003E53A6">
        <w:rPr>
          <w:rFonts w:ascii="Palatino Linotype" w:eastAsia="Palatino Linotype" w:hAnsi="Palatino Linotype" w:cs="Palatino Linotype"/>
          <w:b/>
          <w:sz w:val="22"/>
          <w:szCs w:val="22"/>
        </w:rPr>
        <w:t>de</w:t>
      </w:r>
      <w:r w:rsidRPr="003E53A6">
        <w:rPr>
          <w:rFonts w:ascii="Palatino Linotype" w:eastAsia="Palatino Linotype" w:hAnsi="Palatino Linotype" w:cs="Palatino Linotype"/>
          <w:b/>
          <w:sz w:val="22"/>
          <w:szCs w:val="22"/>
        </w:rPr>
        <w:t xml:space="preserve"> dos mil veinticinco,</w:t>
      </w:r>
      <w:r w:rsidRPr="003E53A6">
        <w:rPr>
          <w:rFonts w:ascii="Palatino Linotype" w:eastAsia="Palatino Linotype" w:hAnsi="Palatino Linotype" w:cs="Palatino Linotype"/>
          <w:sz w:val="22"/>
          <w:szCs w:val="22"/>
        </w:rPr>
        <w:t xml:space="preserve"> la parte </w:t>
      </w:r>
      <w:r w:rsidRPr="003E53A6">
        <w:rPr>
          <w:rFonts w:ascii="Palatino Linotype" w:eastAsia="Palatino Linotype" w:hAnsi="Palatino Linotype" w:cs="Palatino Linotype"/>
          <w:b/>
          <w:sz w:val="22"/>
          <w:szCs w:val="22"/>
        </w:rPr>
        <w:t>Recurrente</w:t>
      </w:r>
      <w:r w:rsidRPr="003E53A6">
        <w:rPr>
          <w:rFonts w:ascii="Palatino Linotype" w:eastAsia="Palatino Linotype" w:hAnsi="Palatino Linotype" w:cs="Palatino Linotype"/>
          <w:sz w:val="22"/>
          <w:szCs w:val="22"/>
        </w:rPr>
        <w:t xml:space="preserve"> interpuso el recurso de revisión a través de </w:t>
      </w:r>
      <w:r w:rsidRPr="003E53A6">
        <w:rPr>
          <w:rFonts w:ascii="Palatino Linotype" w:eastAsia="Palatino Linotype" w:hAnsi="Palatino Linotype" w:cs="Palatino Linotype"/>
          <w:b/>
          <w:sz w:val="22"/>
          <w:szCs w:val="22"/>
        </w:rPr>
        <w:t xml:space="preserve">SAIMEX, </w:t>
      </w:r>
      <w:r w:rsidRPr="003E53A6">
        <w:rPr>
          <w:rFonts w:ascii="Palatino Linotype" w:eastAsia="Palatino Linotype" w:hAnsi="Palatino Linotype" w:cs="Palatino Linotype"/>
          <w:sz w:val="22"/>
          <w:szCs w:val="22"/>
        </w:rPr>
        <w:t>en donde se manifestó de la siguiente manera:</w:t>
      </w:r>
    </w:p>
    <w:p w14:paraId="47A1D1F7" w14:textId="77777777" w:rsidR="00562A90" w:rsidRPr="003E53A6" w:rsidRDefault="0062255D">
      <w:pPr>
        <w:spacing w:before="240" w:after="240" w:line="360" w:lineRule="auto"/>
        <w:ind w:right="49"/>
        <w:jc w:val="both"/>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t xml:space="preserve">Acto impugnado: </w:t>
      </w:r>
    </w:p>
    <w:p w14:paraId="2600BB83" w14:textId="5E236F71" w:rsidR="00562A90" w:rsidRPr="003E53A6" w:rsidRDefault="0062255D" w:rsidP="002D01B9">
      <w:pPr>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009C6A3A" w:rsidRPr="003E53A6">
        <w:rPr>
          <w:rFonts w:ascii="Palatino Linotype" w:eastAsia="Palatino Linotype" w:hAnsi="Palatino Linotype" w:cs="Palatino Linotype"/>
          <w:i/>
          <w:sz w:val="22"/>
          <w:szCs w:val="22"/>
        </w:rPr>
        <w:t>NIEGAN INFORMASION FUNDAMENTAN MAL NO TIENEN IDEA DE LO QUE ES UN SERVIDOR PUVLICO NO TIENEN IDEA DE LAS OBLIGASIONES</w:t>
      </w:r>
      <w:r w:rsidRPr="003E53A6">
        <w:rPr>
          <w:rFonts w:ascii="Palatino Linotype" w:eastAsia="Palatino Linotype" w:hAnsi="Palatino Linotype" w:cs="Palatino Linotype"/>
          <w:i/>
          <w:sz w:val="22"/>
          <w:szCs w:val="22"/>
        </w:rPr>
        <w:t>” (sic)</w:t>
      </w:r>
    </w:p>
    <w:p w14:paraId="05264EB6" w14:textId="77777777" w:rsidR="00562A90" w:rsidRPr="003E53A6"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3E53A6">
        <w:rPr>
          <w:rFonts w:ascii="Palatino Linotype" w:eastAsia="Palatino Linotype" w:hAnsi="Palatino Linotype" w:cs="Palatino Linotype"/>
          <w:b/>
          <w:sz w:val="22"/>
          <w:szCs w:val="22"/>
        </w:rPr>
        <w:t>Y, Razones o motivos de inconformidad</w:t>
      </w:r>
      <w:r w:rsidRPr="003E53A6">
        <w:rPr>
          <w:rFonts w:ascii="Palatino Linotype" w:eastAsia="Palatino Linotype" w:hAnsi="Palatino Linotype" w:cs="Palatino Linotype"/>
          <w:sz w:val="22"/>
          <w:szCs w:val="22"/>
        </w:rPr>
        <w:t>:</w:t>
      </w:r>
    </w:p>
    <w:p w14:paraId="29A63F7C" w14:textId="04A7A7CB" w:rsidR="00562A90" w:rsidRPr="003E53A6"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009C6A3A" w:rsidRPr="003E53A6">
        <w:rPr>
          <w:rFonts w:ascii="Palatino Linotype" w:eastAsia="Palatino Linotype" w:hAnsi="Palatino Linotype" w:cs="Palatino Linotype"/>
          <w:i/>
          <w:sz w:val="22"/>
          <w:szCs w:val="22"/>
        </w:rPr>
        <w:t>NIEGAN LA INFORMASION SOLISITADA</w:t>
      </w:r>
      <w:r w:rsidR="00C65EA4"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i/>
          <w:sz w:val="22"/>
          <w:szCs w:val="22"/>
        </w:rPr>
        <w:t xml:space="preserve"> (sic)</w:t>
      </w:r>
    </w:p>
    <w:p w14:paraId="69DE47B2" w14:textId="77777777" w:rsidR="00562A90" w:rsidRPr="003E53A6" w:rsidRDefault="0062255D">
      <w:pPr>
        <w:spacing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 xml:space="preserve">4. Turno. </w:t>
      </w:r>
      <w:r w:rsidRPr="003E53A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E53A6">
        <w:rPr>
          <w:rFonts w:ascii="Palatino Linotype" w:eastAsia="Palatino Linotype" w:hAnsi="Palatino Linotype" w:cs="Palatino Linotype"/>
          <w:b/>
          <w:sz w:val="22"/>
          <w:szCs w:val="22"/>
        </w:rPr>
        <w:t xml:space="preserve">Guadalupe Ramírez Peña, </w:t>
      </w:r>
      <w:r w:rsidRPr="003E53A6">
        <w:rPr>
          <w:rFonts w:ascii="Palatino Linotype" w:eastAsia="Palatino Linotype" w:hAnsi="Palatino Linotype" w:cs="Palatino Linotype"/>
          <w:sz w:val="22"/>
          <w:szCs w:val="22"/>
        </w:rPr>
        <w:t>a efecto de que analizara sobre su admisión o su desechamiento.</w:t>
      </w:r>
    </w:p>
    <w:p w14:paraId="0F7154BA" w14:textId="715D79CE" w:rsidR="00562A90" w:rsidRPr="003E53A6" w:rsidRDefault="0062255D">
      <w:pPr>
        <w:spacing w:before="240" w:after="240" w:line="360" w:lineRule="auto"/>
        <w:jc w:val="both"/>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lastRenderedPageBreak/>
        <w:t>5. Admisión del Recurso de revisión.</w:t>
      </w:r>
      <w:r w:rsidRPr="003E53A6">
        <w:rPr>
          <w:rFonts w:ascii="Palatino Linotype" w:eastAsia="Palatino Linotype" w:hAnsi="Palatino Linotype" w:cs="Palatino Linotype"/>
          <w:sz w:val="22"/>
          <w:szCs w:val="22"/>
        </w:rPr>
        <w:t xml:space="preserve"> El</w:t>
      </w:r>
      <w:r w:rsidRPr="003E53A6">
        <w:rPr>
          <w:rFonts w:ascii="Palatino Linotype" w:eastAsia="Palatino Linotype" w:hAnsi="Palatino Linotype" w:cs="Palatino Linotype"/>
          <w:b/>
          <w:sz w:val="22"/>
          <w:szCs w:val="22"/>
        </w:rPr>
        <w:t xml:space="preserve"> </w:t>
      </w:r>
      <w:r w:rsidR="009C6A3A" w:rsidRPr="003E53A6">
        <w:rPr>
          <w:rFonts w:ascii="Palatino Linotype" w:eastAsia="Palatino Linotype" w:hAnsi="Palatino Linotype" w:cs="Palatino Linotype"/>
          <w:b/>
          <w:sz w:val="22"/>
          <w:szCs w:val="22"/>
        </w:rPr>
        <w:t>uno de diciembre</w:t>
      </w:r>
      <w:r w:rsidR="009702EC"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b/>
          <w:sz w:val="22"/>
          <w:szCs w:val="22"/>
        </w:rPr>
        <w:t xml:space="preserve">de dos mil veinticinco, </w:t>
      </w:r>
      <w:r w:rsidRPr="003E53A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presentara su informe justificado.</w:t>
      </w:r>
    </w:p>
    <w:p w14:paraId="467E4CA0" w14:textId="77777777" w:rsidR="00D00363" w:rsidRPr="003E53A6"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3E53A6">
        <w:rPr>
          <w:rFonts w:ascii="Palatino Linotype" w:eastAsia="Palatino Linotype" w:hAnsi="Palatino Linotype" w:cs="Palatino Linotype"/>
          <w:b/>
          <w:sz w:val="22"/>
          <w:szCs w:val="22"/>
        </w:rPr>
        <w:t>6. Manifestaciones</w:t>
      </w:r>
      <w:r w:rsidRPr="003E53A6">
        <w:rPr>
          <w:rFonts w:ascii="Palatino Linotype" w:eastAsia="Palatino Linotype" w:hAnsi="Palatino Linotype" w:cs="Palatino Linotype"/>
          <w:sz w:val="22"/>
          <w:szCs w:val="22"/>
        </w:rPr>
        <w:t xml:space="preserve">. </w:t>
      </w:r>
      <w:r w:rsidR="00D00363" w:rsidRPr="003E53A6">
        <w:rPr>
          <w:rFonts w:ascii="Palatino Linotype" w:eastAsia="Palatino Linotype" w:hAnsi="Palatino Linotype" w:cs="Palatino Linotype"/>
          <w:sz w:val="22"/>
          <w:szCs w:val="22"/>
        </w:rPr>
        <w:t xml:space="preserve">De constancias del expediente electrónico del SAIMEX, se observa que el </w:t>
      </w:r>
      <w:r w:rsidR="00D00363" w:rsidRPr="003E53A6">
        <w:rPr>
          <w:rFonts w:ascii="Palatino Linotype" w:eastAsia="Palatino Linotype" w:hAnsi="Palatino Linotype" w:cs="Palatino Linotype"/>
          <w:b/>
          <w:sz w:val="22"/>
          <w:szCs w:val="22"/>
        </w:rPr>
        <w:t>Sujeto Obligado</w:t>
      </w:r>
      <w:r w:rsidR="00D00363" w:rsidRPr="003E53A6">
        <w:rPr>
          <w:rFonts w:ascii="Palatino Linotype" w:eastAsia="Palatino Linotype" w:hAnsi="Palatino Linotype" w:cs="Palatino Linotype"/>
          <w:sz w:val="22"/>
          <w:szCs w:val="22"/>
        </w:rPr>
        <w:t xml:space="preserve"> fue omiso en rendir su informe justificado; así como, la parte </w:t>
      </w:r>
      <w:r w:rsidR="00D00363" w:rsidRPr="003E53A6">
        <w:rPr>
          <w:rFonts w:ascii="Palatino Linotype" w:eastAsia="Palatino Linotype" w:hAnsi="Palatino Linotype" w:cs="Palatino Linotype"/>
          <w:b/>
          <w:sz w:val="22"/>
          <w:szCs w:val="22"/>
        </w:rPr>
        <w:t xml:space="preserve">Recurrente </w:t>
      </w:r>
      <w:r w:rsidR="00D00363" w:rsidRPr="003E53A6">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5FE1D8C0" w14:textId="15CF1461" w:rsidR="009923CC" w:rsidRPr="003E53A6" w:rsidRDefault="009D530A" w:rsidP="009923CC">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noProof/>
          <w:sz w:val="22"/>
          <w:szCs w:val="22"/>
        </w:rPr>
        <w:drawing>
          <wp:inline distT="0" distB="0" distL="0" distR="0" wp14:anchorId="444D99BD" wp14:editId="529FE237">
            <wp:extent cx="5612130" cy="15868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6865"/>
                    </a:xfrm>
                    <a:prstGeom prst="rect">
                      <a:avLst/>
                    </a:prstGeom>
                  </pic:spPr>
                </pic:pic>
              </a:graphicData>
            </a:graphic>
          </wp:inline>
        </w:drawing>
      </w:r>
    </w:p>
    <w:p w14:paraId="09D27D8F" w14:textId="7973D4E5" w:rsidR="005D5DC9" w:rsidRPr="003E53A6" w:rsidRDefault="005D5DC9" w:rsidP="005D5DC9">
      <w:pPr>
        <w:widowControl w:val="0"/>
        <w:spacing w:before="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7</w:t>
      </w:r>
      <w:r w:rsidR="00286DF8"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b/>
          <w:sz w:val="22"/>
          <w:szCs w:val="22"/>
        </w:rPr>
        <w:t xml:space="preserve">Cierre de instrucción. </w:t>
      </w:r>
      <w:r w:rsidRPr="003E53A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9D530A" w:rsidRPr="003E53A6">
        <w:rPr>
          <w:rFonts w:ascii="Palatino Linotype" w:eastAsia="Palatino Linotype" w:hAnsi="Palatino Linotype" w:cs="Palatino Linotype"/>
          <w:b/>
          <w:bCs/>
          <w:sz w:val="22"/>
          <w:szCs w:val="22"/>
        </w:rPr>
        <w:t>doce de diciembre</w:t>
      </w:r>
      <w:r w:rsidRPr="003E53A6">
        <w:rPr>
          <w:rFonts w:ascii="Palatino Linotype" w:eastAsia="Palatino Linotype" w:hAnsi="Palatino Linotype" w:cs="Palatino Linotype"/>
          <w:b/>
          <w:bCs/>
          <w:sz w:val="22"/>
          <w:szCs w:val="22"/>
        </w:rPr>
        <w:t xml:space="preserve"> de dos mil veinticinco</w:t>
      </w:r>
      <w:r w:rsidRPr="003E53A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3E53A6" w:rsidRDefault="0062255D">
      <w:pPr>
        <w:widowControl w:val="0"/>
        <w:spacing w:before="240" w:after="240" w:line="360" w:lineRule="auto"/>
        <w:jc w:val="center"/>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t>II. C O N S I D E R A N D O S</w:t>
      </w:r>
    </w:p>
    <w:p w14:paraId="60D021DD" w14:textId="6369A956"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Primero. Competencia.</w:t>
      </w:r>
      <w:r w:rsidRPr="003E53A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3E53A6">
        <w:rPr>
          <w:rFonts w:ascii="Palatino Linotype" w:eastAsia="Palatino Linotype" w:hAnsi="Palatino Linotype" w:cs="Palatino Linotype"/>
          <w:sz w:val="22"/>
          <w:szCs w:val="22"/>
        </w:rPr>
        <w:t>5</w:t>
      </w:r>
      <w:r w:rsidR="000E700F" w:rsidRPr="003E53A6">
        <w:rPr>
          <w:rFonts w:ascii="Palatino Linotype" w:eastAsia="Palatino Linotype" w:hAnsi="Palatino Linotype" w:cs="Palatino Linotype"/>
          <w:sz w:val="22"/>
          <w:szCs w:val="22"/>
        </w:rPr>
        <w:t>,</w:t>
      </w:r>
      <w:r w:rsidR="005D5DC9" w:rsidRPr="003E53A6">
        <w:rPr>
          <w:rFonts w:ascii="Palatino Linotype" w:eastAsia="Palatino Linotype" w:hAnsi="Palatino Linotype" w:cs="Palatino Linotype"/>
          <w:sz w:val="22"/>
          <w:szCs w:val="22"/>
        </w:rPr>
        <w:t xml:space="preserve"> párrafos </w:t>
      </w:r>
      <w:r w:rsidR="000E700F" w:rsidRPr="003E53A6">
        <w:rPr>
          <w:rFonts w:ascii="Palatino Linotype" w:eastAsia="Palatino Linotype" w:hAnsi="Palatino Linotype" w:cs="Palatino Linotype"/>
          <w:sz w:val="22"/>
          <w:szCs w:val="22"/>
        </w:rPr>
        <w:t>cuadragésimo cuarto, cuadragésimo quinto cuadragésimo sexto,</w:t>
      </w:r>
      <w:r w:rsidR="005D5DC9" w:rsidRPr="003E53A6">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3E53A6">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3E53A6"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3E53A6">
        <w:rPr>
          <w:rFonts w:ascii="Palatino Linotype" w:eastAsia="Palatino Linotype" w:hAnsi="Palatino Linotype" w:cs="Palatino Linotype"/>
          <w:b/>
          <w:sz w:val="22"/>
          <w:szCs w:val="22"/>
        </w:rPr>
        <w:t>Segundo. Oportunidad y Procedibilidad del Recurso de Revisión</w:t>
      </w:r>
      <w:r w:rsidRPr="003E53A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6BBDBD14"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 xml:space="preserve">remitió la respuesta a la solicitud de información el día </w:t>
      </w:r>
      <w:r w:rsidR="0042740D" w:rsidRPr="003E53A6">
        <w:rPr>
          <w:rFonts w:ascii="Palatino Linotype" w:eastAsia="Palatino Linotype" w:hAnsi="Palatino Linotype" w:cs="Palatino Linotype"/>
          <w:b/>
          <w:sz w:val="22"/>
          <w:szCs w:val="22"/>
        </w:rPr>
        <w:t>veinte de noviembre</w:t>
      </w:r>
      <w:r w:rsidR="00AF72B6" w:rsidRPr="003E53A6">
        <w:rPr>
          <w:rFonts w:ascii="Palatino Linotype" w:eastAsia="Palatino Linotype" w:hAnsi="Palatino Linotype" w:cs="Palatino Linotype"/>
          <w:b/>
          <w:sz w:val="22"/>
          <w:szCs w:val="22"/>
        </w:rPr>
        <w:t xml:space="preserve"> de dos mil veinticinco</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 xml:space="preserve">mientras que el recurso de revisión interpuesto por la parte </w:t>
      </w:r>
      <w:r w:rsidRPr="003E53A6">
        <w:rPr>
          <w:rFonts w:ascii="Palatino Linotype" w:eastAsia="Palatino Linotype" w:hAnsi="Palatino Linotype" w:cs="Palatino Linotype"/>
          <w:b/>
          <w:sz w:val="22"/>
          <w:szCs w:val="22"/>
        </w:rPr>
        <w:t xml:space="preserve">Recurrente, </w:t>
      </w:r>
      <w:r w:rsidRPr="003E53A6">
        <w:rPr>
          <w:rFonts w:ascii="Palatino Linotype" w:eastAsia="Palatino Linotype" w:hAnsi="Palatino Linotype" w:cs="Palatino Linotype"/>
          <w:sz w:val="22"/>
          <w:szCs w:val="22"/>
        </w:rPr>
        <w:t>se tuvo por presentado el día</w:t>
      </w:r>
      <w:r w:rsidR="009E66E4" w:rsidRPr="003E53A6">
        <w:rPr>
          <w:rFonts w:ascii="Palatino Linotype" w:eastAsia="Palatino Linotype" w:hAnsi="Palatino Linotype" w:cs="Palatino Linotype"/>
          <w:b/>
          <w:sz w:val="22"/>
          <w:szCs w:val="22"/>
        </w:rPr>
        <w:t xml:space="preserve"> </w:t>
      </w:r>
      <w:r w:rsidR="004B4E67" w:rsidRPr="003E53A6">
        <w:rPr>
          <w:rFonts w:ascii="Palatino Linotype" w:eastAsia="Palatino Linotype" w:hAnsi="Palatino Linotype" w:cs="Palatino Linotype"/>
          <w:b/>
          <w:sz w:val="22"/>
          <w:szCs w:val="22"/>
        </w:rPr>
        <w:t>veintiséis de noviembre de dos mil veinticinco</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esto es</w:t>
      </w:r>
      <w:r w:rsidR="00AF72B6" w:rsidRPr="003E53A6">
        <w:rPr>
          <w:rFonts w:ascii="Palatino Linotype" w:eastAsia="Palatino Linotype" w:hAnsi="Palatino Linotype" w:cs="Palatino Linotype"/>
          <w:sz w:val="22"/>
          <w:szCs w:val="22"/>
        </w:rPr>
        <w:t xml:space="preserve">, </w:t>
      </w:r>
      <w:r w:rsidR="00D57BFA" w:rsidRPr="003E53A6">
        <w:rPr>
          <w:rFonts w:ascii="Palatino Linotype" w:eastAsia="Palatino Linotype" w:hAnsi="Palatino Linotype" w:cs="Palatino Linotype"/>
          <w:sz w:val="22"/>
          <w:szCs w:val="22"/>
        </w:rPr>
        <w:t xml:space="preserve">al </w:t>
      </w:r>
      <w:r w:rsidR="004B4E67" w:rsidRPr="003E53A6">
        <w:rPr>
          <w:rFonts w:ascii="Palatino Linotype" w:eastAsia="Palatino Linotype" w:hAnsi="Palatino Linotype" w:cs="Palatino Linotype"/>
          <w:sz w:val="22"/>
          <w:szCs w:val="22"/>
        </w:rPr>
        <w:t>cuarto</w:t>
      </w:r>
      <w:r w:rsidR="00D57BFA" w:rsidRPr="003E53A6">
        <w:rPr>
          <w:rFonts w:ascii="Palatino Linotype" w:eastAsia="Palatino Linotype" w:hAnsi="Palatino Linotype" w:cs="Palatino Linotype"/>
          <w:sz w:val="22"/>
          <w:szCs w:val="22"/>
        </w:rPr>
        <w:t xml:space="preserve"> día hábil posterior</w:t>
      </w:r>
      <w:r w:rsidRPr="003E53A6">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7D3E9518" w14:textId="77777777" w:rsidR="00077C62" w:rsidRPr="003E53A6" w:rsidRDefault="00077C62" w:rsidP="00077C62">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Además, por cuanto hace a la procedibilidad del recurso de revisión, es de suma importancia señalar que la parte</w:t>
      </w:r>
      <w:r w:rsidRPr="003E53A6">
        <w:rPr>
          <w:rFonts w:ascii="Palatino Linotype" w:eastAsia="Palatino Linotype" w:hAnsi="Palatino Linotype" w:cs="Palatino Linotype"/>
          <w:b/>
          <w:sz w:val="22"/>
          <w:szCs w:val="22"/>
        </w:rPr>
        <w:t xml:space="preserve"> Recurrente</w:t>
      </w:r>
      <w:r w:rsidRPr="003E53A6">
        <w:rPr>
          <w:rFonts w:ascii="Palatino Linotype" w:eastAsia="Palatino Linotype" w:hAnsi="Palatino Linotype" w:cs="Palatino Linotype"/>
          <w:sz w:val="22"/>
          <w:szCs w:val="22"/>
        </w:rPr>
        <w:t xml:space="preserve">, no señaló </w:t>
      </w:r>
      <w:r w:rsidRPr="003E53A6">
        <w:rPr>
          <w:rFonts w:ascii="Palatino Linotype" w:eastAsia="Palatino Linotype" w:hAnsi="Palatino Linotype" w:cs="Palatino Linotype"/>
          <w:b/>
          <w:sz w:val="22"/>
          <w:szCs w:val="22"/>
        </w:rPr>
        <w:t>nombre o seudónimo,</w:t>
      </w:r>
      <w:r w:rsidRPr="003E53A6">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EAB1E7" w14:textId="77777777" w:rsidR="00077C62" w:rsidRPr="003E53A6" w:rsidRDefault="00077C62" w:rsidP="00077C62">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Las solicitudes anónimas</w:t>
      </w:r>
      <w:r w:rsidRPr="003E53A6">
        <w:rPr>
          <w:rFonts w:ascii="Palatino Linotype" w:eastAsia="Palatino Linotype" w:hAnsi="Palatino Linotype" w:cs="Palatino Linotype"/>
          <w:i/>
          <w:sz w:val="22"/>
          <w:szCs w:val="22"/>
        </w:rPr>
        <w:t xml:space="preserve">, con nombre incompleto o </w:t>
      </w:r>
      <w:r w:rsidRPr="003E53A6">
        <w:rPr>
          <w:rFonts w:ascii="Palatino Linotype" w:eastAsia="Palatino Linotype" w:hAnsi="Palatino Linotype" w:cs="Palatino Linotype"/>
          <w:b/>
          <w:i/>
          <w:sz w:val="22"/>
          <w:szCs w:val="22"/>
        </w:rPr>
        <w:t>seudónimo</w:t>
      </w:r>
      <w:r w:rsidRPr="003E53A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AB7D23F" w14:textId="77777777" w:rsidR="00077C62" w:rsidRPr="003E53A6" w:rsidRDefault="00077C62" w:rsidP="00077C62">
      <w:pPr>
        <w:spacing w:before="240" w:after="240" w:line="360" w:lineRule="auto"/>
        <w:jc w:val="both"/>
        <w:rPr>
          <w:rFonts w:ascii="Palatino Linotype" w:eastAsia="Palatino Linotype" w:hAnsi="Palatino Linotype" w:cs="Palatino Linotype"/>
          <w:b/>
          <w:sz w:val="22"/>
          <w:szCs w:val="22"/>
        </w:rPr>
      </w:pPr>
      <w:r w:rsidRPr="003E53A6">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3E53A6">
        <w:rPr>
          <w:rFonts w:ascii="Palatino Linotype" w:eastAsia="Palatino Linotype" w:hAnsi="Palatino Linotype" w:cs="Palatino Linotype"/>
          <w:b/>
          <w:sz w:val="22"/>
          <w:szCs w:val="22"/>
        </w:rPr>
        <w:t xml:space="preserve"> SAIMEX.</w:t>
      </w:r>
    </w:p>
    <w:p w14:paraId="190980DF" w14:textId="10A2A9B2" w:rsidR="00077C62" w:rsidRPr="003E53A6" w:rsidRDefault="00077C62" w:rsidP="00077C62">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3E53A6">
        <w:rPr>
          <w:rFonts w:ascii="Palatino Linotype" w:eastAsia="Palatino Linotype" w:hAnsi="Palatino Linotype" w:cs="Palatino Linotype"/>
          <w:b/>
          <w:bCs/>
          <w:sz w:val="22"/>
          <w:szCs w:val="22"/>
        </w:rPr>
        <w:t>Recurrente</w:t>
      </w:r>
      <w:r w:rsidRPr="003E53A6">
        <w:rPr>
          <w:rFonts w:ascii="Palatino Linotype" w:eastAsia="Palatino Linotype" w:hAnsi="Palatino Linotype" w:cs="Palatino Linotype"/>
          <w:sz w:val="22"/>
          <w:szCs w:val="22"/>
        </w:rPr>
        <w:t xml:space="preserve"> en sus motivos de inconformidad, de acuerdo al artículo 179, fracción </w:t>
      </w:r>
      <w:r w:rsidR="004B4E67" w:rsidRPr="003E53A6">
        <w:rPr>
          <w:rFonts w:ascii="Palatino Linotype" w:eastAsia="Palatino Linotype" w:hAnsi="Palatino Linotype" w:cs="Palatino Linotype"/>
          <w:sz w:val="22"/>
          <w:szCs w:val="22"/>
        </w:rPr>
        <w:t xml:space="preserve">I </w:t>
      </w:r>
      <w:r w:rsidRPr="003E53A6">
        <w:rPr>
          <w:rFonts w:ascii="Palatino Linotype" w:eastAsia="Palatino Linotype" w:hAnsi="Palatino Linotype" w:cs="Palatino Linotype"/>
          <w:sz w:val="22"/>
          <w:szCs w:val="22"/>
        </w:rPr>
        <w:t>del ordenamiento legal citado, que a la letra dice: </w:t>
      </w:r>
    </w:p>
    <w:p w14:paraId="39AB3B04" w14:textId="77777777" w:rsidR="00562A90" w:rsidRPr="003E53A6"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179.</w:t>
      </w:r>
      <w:r w:rsidRPr="003E53A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3E53A6"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La negativa a la información solicitada;</w:t>
      </w:r>
      <w:r w:rsidR="0062255D" w:rsidRPr="003E53A6">
        <w:rPr>
          <w:rFonts w:ascii="Palatino Linotype" w:eastAsia="Palatino Linotype" w:hAnsi="Palatino Linotype" w:cs="Palatino Linotype"/>
          <w:i/>
          <w:sz w:val="22"/>
          <w:szCs w:val="22"/>
        </w:rPr>
        <w:t>”</w:t>
      </w:r>
    </w:p>
    <w:p w14:paraId="09700F89" w14:textId="77777777" w:rsidR="00562A90" w:rsidRPr="003E53A6" w:rsidRDefault="0062255D">
      <w:pPr>
        <w:spacing w:before="240" w:after="240" w:line="360" w:lineRule="auto"/>
        <w:jc w:val="both"/>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t xml:space="preserve">Tercero. Materia de la revisión. </w:t>
      </w:r>
      <w:r w:rsidRPr="003E53A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E53A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3E53A6">
        <w:rPr>
          <w:rFonts w:ascii="Palatino Linotype" w:eastAsia="Palatino Linotype" w:hAnsi="Palatino Linotype" w:cs="Palatino Linotype"/>
          <w:sz w:val="22"/>
          <w:szCs w:val="22"/>
        </w:rPr>
        <w:t xml:space="preserve">de la parte </w:t>
      </w:r>
      <w:r w:rsidRPr="003E53A6">
        <w:rPr>
          <w:rFonts w:ascii="Palatino Linotype" w:eastAsia="Palatino Linotype" w:hAnsi="Palatino Linotype" w:cs="Palatino Linotype"/>
          <w:b/>
          <w:sz w:val="22"/>
          <w:szCs w:val="22"/>
        </w:rPr>
        <w:t>Recurrente</w:t>
      </w:r>
      <w:r w:rsidRPr="003E53A6">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3E53A6"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3E53A6">
        <w:rPr>
          <w:rFonts w:ascii="Palatino Linotype" w:eastAsia="Palatino Linotype" w:hAnsi="Palatino Linotype" w:cs="Palatino Linotype"/>
          <w:b/>
          <w:sz w:val="22"/>
          <w:szCs w:val="22"/>
        </w:rPr>
        <w:t xml:space="preserve">Cuarto. Estudio del asunto. </w:t>
      </w:r>
      <w:r w:rsidRPr="003E53A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3E53A6" w:rsidRDefault="0062255D">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4</w:t>
      </w:r>
      <w:r w:rsidRPr="003E53A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3E53A6" w:rsidRDefault="0062255D">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E53A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3E53A6" w:rsidRDefault="0062255D">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E53A6">
        <w:rPr>
          <w:rFonts w:ascii="Palatino Linotype" w:eastAsia="Palatino Linotype" w:hAnsi="Palatino Linotype" w:cs="Palatino Linotype"/>
          <w:i/>
          <w:sz w:val="22"/>
          <w:szCs w:val="22"/>
        </w:rPr>
        <w:t>.”</w:t>
      </w:r>
    </w:p>
    <w:p w14:paraId="651E1502" w14:textId="77777777"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3E53A6" w:rsidRDefault="0062255D">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12.-</w:t>
      </w:r>
      <w:r w:rsidRPr="003E53A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3E53A6" w:rsidRDefault="0062255D">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3E53A6" w:rsidRDefault="0062255D">
      <w:pPr>
        <w:spacing w:before="240" w:after="240" w:line="360" w:lineRule="auto"/>
        <w:ind w:right="-93"/>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3E53A6" w:rsidRDefault="0062255D">
      <w:pPr>
        <w:spacing w:before="240" w:after="240" w:line="360" w:lineRule="auto"/>
        <w:jc w:val="both"/>
        <w:rPr>
          <w:rFonts w:ascii="Palatino Linotype" w:eastAsia="Palatino Linotype" w:hAnsi="Palatino Linotype" w:cs="Palatino Linotype"/>
          <w:b/>
          <w:sz w:val="22"/>
          <w:szCs w:val="22"/>
        </w:rPr>
      </w:pPr>
      <w:r w:rsidRPr="003E53A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3E53A6">
        <w:rPr>
          <w:rFonts w:ascii="Palatino Linotype" w:eastAsia="Palatino Linotype" w:hAnsi="Palatino Linotype" w:cs="Palatino Linotype"/>
          <w:b/>
          <w:sz w:val="22"/>
          <w:szCs w:val="22"/>
        </w:rPr>
        <w:t xml:space="preserve"> </w:t>
      </w:r>
    </w:p>
    <w:p w14:paraId="093BE23B" w14:textId="77777777" w:rsidR="00562A90" w:rsidRPr="003E53A6" w:rsidRDefault="0062255D">
      <w:pPr>
        <w:spacing w:before="120" w:after="120"/>
        <w:ind w:left="1134"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rPr>
        <w:t>No existe obligación de elaborar documentos ad hoc para atender las solicitudes de acceso a la información.</w:t>
      </w:r>
      <w:r w:rsidRPr="003E53A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3E53A6" w:rsidRDefault="0062255D">
      <w:pPr>
        <w:spacing w:before="120" w:after="12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3E53A6" w:rsidRDefault="0062255D">
      <w:pPr>
        <w:spacing w:before="120" w:after="12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3E53A6"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 xml:space="preserve">Artículo 3. </w:t>
      </w:r>
      <w:r w:rsidRPr="003E53A6">
        <w:rPr>
          <w:rFonts w:ascii="Palatino Linotype" w:eastAsia="Palatino Linotype" w:hAnsi="Palatino Linotype" w:cs="Palatino Linotype"/>
          <w:i/>
          <w:sz w:val="22"/>
          <w:szCs w:val="22"/>
        </w:rPr>
        <w:t>Para los efectos de la presente Ley se entenderá por:</w:t>
      </w:r>
    </w:p>
    <w:p w14:paraId="07E06CC3" w14:textId="77777777" w:rsidR="00562A90" w:rsidRPr="003E53A6"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47B93607" w14:textId="77777777" w:rsidR="00562A90" w:rsidRPr="003E53A6"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XI. Documento:</w:t>
      </w:r>
      <w:r w:rsidRPr="003E53A6">
        <w:rPr>
          <w:rFonts w:ascii="Palatino Linotype" w:eastAsia="Palatino Linotype" w:hAnsi="Palatino Linotype" w:cs="Palatino Linotype"/>
          <w:i/>
          <w:sz w:val="22"/>
          <w:szCs w:val="22"/>
        </w:rPr>
        <w:t xml:space="preserve"> Los expedientes, reportes, estudios, actas</w:t>
      </w:r>
      <w:r w:rsidRPr="003E53A6">
        <w:rPr>
          <w:rFonts w:ascii="Palatino Linotype" w:eastAsia="Palatino Linotype" w:hAnsi="Palatino Linotype" w:cs="Palatino Linotype"/>
          <w:b/>
          <w:i/>
          <w:sz w:val="22"/>
          <w:szCs w:val="22"/>
        </w:rPr>
        <w:t>,</w:t>
      </w:r>
      <w:r w:rsidRPr="003E53A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3E53A6" w:rsidRDefault="0062255D" w:rsidP="00AF72B6">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sz w:val="22"/>
          <w:szCs w:val="22"/>
        </w:rPr>
        <w:t>“</w:t>
      </w:r>
      <w:r w:rsidRPr="003E53A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E53A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3E53A6" w:rsidRDefault="0062255D" w:rsidP="00AF72B6">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3E53A6" w:rsidRDefault="0062255D" w:rsidP="00AF72B6">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3E53A6" w:rsidRDefault="0062255D" w:rsidP="00AF72B6">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3E53A6" w:rsidRDefault="0062255D" w:rsidP="00AF72B6">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3E53A6" w:rsidRDefault="0062255D">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3E53A6" w:rsidRDefault="0062255D">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3E53A6">
        <w:rPr>
          <w:rFonts w:ascii="Palatino Linotype" w:eastAsia="Palatino Linotype" w:hAnsi="Palatino Linotype" w:cs="Palatino Linotype"/>
          <w:sz w:val="22"/>
          <w:szCs w:val="22"/>
        </w:rPr>
        <w:t xml:space="preserve"> párrafo cuadragésimo sexto,</w:t>
      </w:r>
      <w:r w:rsidRPr="003E53A6">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3E53A6" w:rsidRDefault="0062255D">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3E53A6">
        <w:rPr>
          <w:rFonts w:ascii="Palatino Linotype" w:eastAsia="Palatino Linotype" w:hAnsi="Palatino Linotype" w:cs="Palatino Linotype"/>
          <w:b/>
          <w:sz w:val="22"/>
          <w:szCs w:val="22"/>
        </w:rPr>
        <w:t>Recurrente</w:t>
      </w:r>
      <w:r w:rsidRPr="003E53A6">
        <w:rPr>
          <w:rFonts w:ascii="Palatino Linotype" w:eastAsia="Palatino Linotype" w:hAnsi="Palatino Linotype" w:cs="Palatino Linotype"/>
          <w:sz w:val="22"/>
          <w:szCs w:val="22"/>
        </w:rPr>
        <w:t xml:space="preserve"> requirió al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le proporcione, información consistente en lo siguiente:</w:t>
      </w:r>
    </w:p>
    <w:p w14:paraId="2F08F80E" w14:textId="26735ABB" w:rsidR="00CE3378" w:rsidRPr="003E53A6" w:rsidRDefault="00CE3378" w:rsidP="00E03ECC">
      <w:pPr>
        <w:spacing w:before="240" w:after="240" w:line="360" w:lineRule="auto"/>
        <w:ind w:left="284"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1. Pólizas de todo el año 2019.</w:t>
      </w:r>
    </w:p>
    <w:p w14:paraId="168F52F5" w14:textId="0AE7558D" w:rsidR="00291724" w:rsidRPr="003E53A6" w:rsidRDefault="00E407AA" w:rsidP="00E03ECC">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Como </w:t>
      </w:r>
      <w:r w:rsidR="00044464" w:rsidRPr="003E53A6">
        <w:rPr>
          <w:rFonts w:ascii="Palatino Linotype" w:eastAsia="Palatino Linotype" w:hAnsi="Palatino Linotype" w:cs="Palatino Linotype"/>
          <w:sz w:val="22"/>
          <w:szCs w:val="22"/>
        </w:rPr>
        <w:t>respuesta a l</w:t>
      </w:r>
      <w:r w:rsidR="00594299" w:rsidRPr="003E53A6">
        <w:rPr>
          <w:rFonts w:ascii="Palatino Linotype" w:eastAsia="Palatino Linotype" w:hAnsi="Palatino Linotype" w:cs="Palatino Linotype"/>
          <w:sz w:val="22"/>
          <w:szCs w:val="22"/>
        </w:rPr>
        <w:t xml:space="preserve">a solicitud, </w:t>
      </w:r>
      <w:r w:rsidR="00E03ECC" w:rsidRPr="003E53A6">
        <w:rPr>
          <w:rFonts w:ascii="Palatino Linotype" w:eastAsia="Palatino Linotype" w:hAnsi="Palatino Linotype" w:cs="Palatino Linotype"/>
          <w:sz w:val="22"/>
          <w:szCs w:val="22"/>
        </w:rPr>
        <w:t>el Subdirector de Administración y Finanzas citó el artículo 30, párrafos primero y tercero del Código Fiscal de la Federación</w:t>
      </w:r>
      <w:r w:rsidR="00291724" w:rsidRPr="003E53A6">
        <w:rPr>
          <w:rFonts w:ascii="Palatino Linotype" w:eastAsia="Palatino Linotype" w:hAnsi="Palatino Linotype" w:cs="Palatino Linotype"/>
          <w:sz w:val="22"/>
          <w:szCs w:val="22"/>
        </w:rPr>
        <w:t>.</w:t>
      </w:r>
    </w:p>
    <w:p w14:paraId="4E553512" w14:textId="562B23D2" w:rsidR="00594299" w:rsidRPr="003E53A6" w:rsidRDefault="00163A18" w:rsidP="003D2176">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Sin embargo, al no estar conforme con los términos de la respuesta proporcionada la parte </w:t>
      </w:r>
      <w:r w:rsidRPr="003E53A6">
        <w:rPr>
          <w:rFonts w:ascii="Palatino Linotype" w:eastAsia="Palatino Linotype" w:hAnsi="Palatino Linotype" w:cs="Palatino Linotype"/>
          <w:b/>
          <w:bCs/>
          <w:sz w:val="22"/>
          <w:szCs w:val="22"/>
        </w:rPr>
        <w:t xml:space="preserve">Recurrente </w:t>
      </w:r>
      <w:r w:rsidRPr="003E53A6">
        <w:rPr>
          <w:rFonts w:ascii="Palatino Linotype" w:eastAsia="Palatino Linotype" w:hAnsi="Palatino Linotype" w:cs="Palatino Linotype"/>
          <w:sz w:val="22"/>
          <w:szCs w:val="22"/>
        </w:rPr>
        <w:t>interpuso el recurso de revisión que nos ocupa, en e</w:t>
      </w:r>
      <w:r w:rsidR="005D5DC9" w:rsidRPr="003E53A6">
        <w:rPr>
          <w:rFonts w:ascii="Palatino Linotype" w:eastAsia="Palatino Linotype" w:hAnsi="Palatino Linotype" w:cs="Palatino Linotype"/>
          <w:sz w:val="22"/>
          <w:szCs w:val="22"/>
        </w:rPr>
        <w:t>l</w:t>
      </w:r>
      <w:r w:rsidRPr="003E53A6">
        <w:rPr>
          <w:rFonts w:ascii="Palatino Linotype" w:eastAsia="Palatino Linotype" w:hAnsi="Palatino Linotype" w:cs="Palatino Linotype"/>
          <w:sz w:val="22"/>
          <w:szCs w:val="22"/>
        </w:rPr>
        <w:t xml:space="preserve"> que</w:t>
      </w:r>
      <w:r w:rsidR="002D01B9" w:rsidRPr="003E53A6">
        <w:rPr>
          <w:rFonts w:ascii="Palatino Linotype" w:eastAsia="Palatino Linotype" w:hAnsi="Palatino Linotype" w:cs="Palatino Linotype"/>
          <w:sz w:val="22"/>
          <w:szCs w:val="22"/>
        </w:rPr>
        <w:t xml:space="preserve"> alegó que el </w:t>
      </w:r>
      <w:r w:rsidR="002D01B9" w:rsidRPr="003E53A6">
        <w:rPr>
          <w:rFonts w:ascii="Palatino Linotype" w:eastAsia="Palatino Linotype" w:hAnsi="Palatino Linotype" w:cs="Palatino Linotype"/>
          <w:b/>
          <w:bCs/>
          <w:sz w:val="22"/>
          <w:szCs w:val="22"/>
        </w:rPr>
        <w:t>Sujeto Obligado</w:t>
      </w:r>
      <w:r w:rsidR="002D01B9" w:rsidRPr="003E53A6">
        <w:rPr>
          <w:rFonts w:ascii="Palatino Linotype" w:eastAsia="Palatino Linotype" w:hAnsi="Palatino Linotype" w:cs="Palatino Linotype"/>
          <w:sz w:val="22"/>
          <w:szCs w:val="22"/>
        </w:rPr>
        <w:t xml:space="preserve"> se negó a dar la información</w:t>
      </w:r>
      <w:r w:rsidR="0031337A" w:rsidRPr="003E53A6">
        <w:rPr>
          <w:rFonts w:ascii="Palatino Linotype" w:eastAsia="Palatino Linotype" w:hAnsi="Palatino Linotype" w:cs="Palatino Linotype"/>
          <w:sz w:val="22"/>
          <w:szCs w:val="22"/>
        </w:rPr>
        <w:t xml:space="preserve"> solicitada</w:t>
      </w:r>
      <w:r w:rsidR="002D01B9" w:rsidRPr="003E53A6">
        <w:rPr>
          <w:rFonts w:ascii="Palatino Linotype" w:eastAsia="Palatino Linotype" w:hAnsi="Palatino Linotype" w:cs="Palatino Linotype"/>
          <w:sz w:val="22"/>
          <w:szCs w:val="22"/>
        </w:rPr>
        <w:t>.</w:t>
      </w:r>
      <w:r w:rsidRPr="003E53A6">
        <w:rPr>
          <w:rFonts w:ascii="Palatino Linotype" w:eastAsia="Palatino Linotype" w:hAnsi="Palatino Linotype" w:cs="Palatino Linotype"/>
          <w:sz w:val="22"/>
          <w:szCs w:val="22"/>
        </w:rPr>
        <w:t xml:space="preserve"> </w:t>
      </w:r>
    </w:p>
    <w:p w14:paraId="6BA4E167" w14:textId="77777777" w:rsidR="007561CE" w:rsidRPr="003E53A6" w:rsidRDefault="007561CE" w:rsidP="007561CE">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En la etapa de manifestaciones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 xml:space="preserve">fue omiso en rendir su informe justificado, y la parte </w:t>
      </w:r>
      <w:r w:rsidRPr="003E53A6">
        <w:rPr>
          <w:rFonts w:ascii="Palatino Linotype" w:eastAsia="Palatino Linotype" w:hAnsi="Palatino Linotype" w:cs="Palatino Linotype"/>
          <w:b/>
          <w:sz w:val="22"/>
          <w:szCs w:val="22"/>
        </w:rPr>
        <w:t xml:space="preserve">Recurrente </w:t>
      </w:r>
      <w:r w:rsidRPr="003E53A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F0AB30E" w14:textId="77777777" w:rsidR="002D01B9" w:rsidRPr="003E53A6" w:rsidRDefault="002D01B9" w:rsidP="002D01B9">
      <w:pPr>
        <w:spacing w:before="280" w:after="28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 xml:space="preserve">en contraposición con el motivo de inconformidad alegado por la parte </w:t>
      </w:r>
      <w:r w:rsidRPr="003E53A6">
        <w:rPr>
          <w:rFonts w:ascii="Palatino Linotype" w:eastAsia="Palatino Linotype" w:hAnsi="Palatino Linotype" w:cs="Palatino Linotype"/>
          <w:b/>
          <w:sz w:val="22"/>
          <w:szCs w:val="22"/>
        </w:rPr>
        <w:t xml:space="preserve">Recurrente, </w:t>
      </w:r>
      <w:r w:rsidRPr="003E53A6">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2660DDC" w14:textId="77777777" w:rsidR="00B00A28" w:rsidRPr="003E53A6" w:rsidRDefault="00B00A28" w:rsidP="00B00A28">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02EA032" w14:textId="77777777" w:rsidR="00B00A28" w:rsidRPr="003E53A6" w:rsidRDefault="00B00A28" w:rsidP="00B00A28">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C44787" w14:textId="77777777" w:rsidR="00B00A28" w:rsidRPr="003E53A6" w:rsidRDefault="00B00A28" w:rsidP="00B00A28">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FF8C3B5" w14:textId="77777777" w:rsidR="00B00A28" w:rsidRPr="003E53A6" w:rsidRDefault="00B00A28" w:rsidP="00B00A28">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578F1C4" w14:textId="72BACC37" w:rsidR="00B00A28" w:rsidRPr="003E53A6" w:rsidRDefault="00B00A28" w:rsidP="00B00A28">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para su atención a la Subdirección de </w:t>
      </w:r>
      <w:r w:rsidR="00291724" w:rsidRPr="003E53A6">
        <w:rPr>
          <w:rFonts w:ascii="Palatino Linotype" w:eastAsia="Palatino Linotype" w:hAnsi="Palatino Linotype" w:cs="Palatino Linotype"/>
          <w:sz w:val="22"/>
          <w:szCs w:val="22"/>
        </w:rPr>
        <w:t>Administración y Finanzas</w:t>
      </w:r>
      <w:r w:rsidRPr="003E53A6">
        <w:rPr>
          <w:rFonts w:ascii="Palatino Linotype" w:eastAsia="Palatino Linotype" w:hAnsi="Palatino Linotype" w:cs="Palatino Linotype"/>
          <w:sz w:val="22"/>
          <w:szCs w:val="22"/>
        </w:rPr>
        <w:t>, como la dependencia competente para conocer de la información que es del interés de la persona solicitante.</w:t>
      </w:r>
    </w:p>
    <w:p w14:paraId="3E69AC32" w14:textId="29E38D18" w:rsidR="00F54E36" w:rsidRPr="003E53A6" w:rsidRDefault="00EF18BF" w:rsidP="00291724">
      <w:pPr>
        <w:spacing w:before="240" w:after="240" w:line="360" w:lineRule="auto"/>
        <w:ind w:right="49"/>
        <w:jc w:val="both"/>
        <w:rPr>
          <w:rFonts w:ascii="Palatino Linotype" w:hAnsi="Palatino Linotype"/>
          <w:sz w:val="22"/>
          <w:szCs w:val="22"/>
        </w:rPr>
      </w:pPr>
      <w:r w:rsidRPr="003E53A6">
        <w:rPr>
          <w:rFonts w:ascii="Palatino Linotype" w:eastAsia="Palatino Linotype" w:hAnsi="Palatino Linotype" w:cs="Palatino Linotype"/>
          <w:sz w:val="22"/>
          <w:szCs w:val="22"/>
        </w:rPr>
        <w:t xml:space="preserve">Como sustento a lo anterior, es oportuno mencionar que de conformidad con el artículo 46 del Reglamento Interior del Organismo Público Descentralizado para la Prestación de los Servicios de Agua Potable, Alcantarillado y Saneamiento del Municipio de Teoloyucan, Estado de México, vigente, la </w:t>
      </w:r>
      <w:r w:rsidR="007C5355" w:rsidRPr="003E53A6">
        <w:rPr>
          <w:rFonts w:ascii="Palatino Linotype" w:eastAsia="Palatino Linotype" w:hAnsi="Palatino Linotype" w:cs="Palatino Linotype"/>
          <w:sz w:val="22"/>
          <w:szCs w:val="22"/>
        </w:rPr>
        <w:t>Subd</w:t>
      </w:r>
      <w:r w:rsidRPr="003E53A6">
        <w:rPr>
          <w:rFonts w:ascii="Palatino Linotype" w:eastAsia="Palatino Linotype" w:hAnsi="Palatino Linotype" w:cs="Palatino Linotype"/>
          <w:sz w:val="22"/>
          <w:szCs w:val="22"/>
        </w:rPr>
        <w:t xml:space="preserve">irección de </w:t>
      </w:r>
      <w:r w:rsidR="00291724" w:rsidRPr="003E53A6">
        <w:rPr>
          <w:rFonts w:ascii="Palatino Linotype" w:eastAsia="Palatino Linotype" w:hAnsi="Palatino Linotype" w:cs="Palatino Linotype"/>
          <w:sz w:val="22"/>
          <w:szCs w:val="22"/>
        </w:rPr>
        <w:t xml:space="preserve">Administración y Finanzas </w:t>
      </w:r>
      <w:r w:rsidRPr="003E53A6">
        <w:rPr>
          <w:rFonts w:ascii="Palatino Linotype" w:eastAsia="Palatino Linotype" w:hAnsi="Palatino Linotype" w:cs="Palatino Linotype"/>
          <w:sz w:val="22"/>
          <w:szCs w:val="22"/>
        </w:rPr>
        <w:t xml:space="preserve">es la encargada y responsable de </w:t>
      </w:r>
      <w:r w:rsidR="00D3468F" w:rsidRPr="003E53A6">
        <w:rPr>
          <w:rFonts w:ascii="Palatino Linotype" w:eastAsia="Palatino Linotype" w:hAnsi="Palatino Linotype" w:cs="Palatino Linotype"/>
          <w:sz w:val="22"/>
          <w:szCs w:val="22"/>
        </w:rPr>
        <w:t>conducir de manera eficiente las actividades relacionadas con la administración de los recursos materiales, servicios generales, financieros, humanos del Organismo</w:t>
      </w:r>
      <w:r w:rsidR="00291724" w:rsidRPr="003E53A6">
        <w:rPr>
          <w:rFonts w:ascii="Palatino Linotype" w:eastAsia="Palatino Linotype" w:hAnsi="Palatino Linotype" w:cs="Palatino Linotype"/>
          <w:sz w:val="22"/>
          <w:szCs w:val="22"/>
        </w:rPr>
        <w:t xml:space="preserve">; dirigir la programación, presupuestación, registro, seguimiento y control contable y presupuestal de los recursos financieros del Organismo para la elaboración y autorización de la documentación contable presupuestal; presidir el Comité de Adquisiciones y Arrendamientos del Organismo; </w:t>
      </w:r>
      <w:r w:rsidR="00291724" w:rsidRPr="003E53A6">
        <w:rPr>
          <w:rFonts w:ascii="Palatino Linotype" w:hAnsi="Palatino Linotype"/>
          <w:sz w:val="22"/>
          <w:szCs w:val="22"/>
        </w:rPr>
        <w:t>dirigir los procedimientos para la contratación de bienes, servicios y arrendamientos que soliciten de manera justificada las diferentes unidades administrativas del Organismo, así como los procedimientos de contratación de obra pública en coordinación con la subdirección de operación y mantenimiento, entre otras atribuciones.</w:t>
      </w:r>
    </w:p>
    <w:p w14:paraId="6B2B84AE" w14:textId="525D736C" w:rsidR="00291724" w:rsidRPr="003E53A6" w:rsidRDefault="00291724" w:rsidP="00291724">
      <w:pPr>
        <w:tabs>
          <w:tab w:val="left" w:pos="3544"/>
        </w:tabs>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Atento a lo anterior, se colige que la Subdirección de Administración y Finanzas cuenta con atribuciones para conocer de la información solicitada por la parte </w:t>
      </w:r>
      <w:r w:rsidRPr="003E53A6">
        <w:rPr>
          <w:rFonts w:ascii="Palatino Linotype" w:eastAsia="Palatino Linotype" w:hAnsi="Palatino Linotype" w:cs="Palatino Linotype"/>
          <w:b/>
          <w:sz w:val="22"/>
          <w:szCs w:val="22"/>
        </w:rPr>
        <w:t>Recurrente</w:t>
      </w:r>
      <w:r w:rsidRPr="003E53A6">
        <w:rPr>
          <w:rFonts w:ascii="Palatino Linotype" w:eastAsia="Palatino Linotype" w:hAnsi="Palatino Linotype" w:cs="Palatino Linotype"/>
          <w:sz w:val="22"/>
          <w:szCs w:val="22"/>
        </w:rPr>
        <w:t>, por lo tanto, la Unidad de Transparencia cumplió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45B4F06A" w14:textId="5FB7C069" w:rsidR="00291724" w:rsidRPr="003E53A6" w:rsidRDefault="00291724" w:rsidP="0029172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No obstante, el servidor público habilitado competente negó el acceso a la información, derivado de la interpretación equivoca del artículo</w:t>
      </w:r>
      <w:r w:rsidR="00E407AA"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sz w:val="22"/>
          <w:szCs w:val="22"/>
        </w:rPr>
        <w:t>30</w:t>
      </w:r>
      <w:r w:rsidR="00E407AA" w:rsidRPr="003E53A6">
        <w:rPr>
          <w:rFonts w:ascii="Palatino Linotype" w:eastAsia="Palatino Linotype" w:hAnsi="Palatino Linotype" w:cs="Palatino Linotype"/>
          <w:sz w:val="22"/>
          <w:szCs w:val="22"/>
        </w:rPr>
        <w:t>, párrafos primero y tercero</w:t>
      </w:r>
      <w:r w:rsidRPr="003E53A6">
        <w:rPr>
          <w:rFonts w:ascii="Palatino Linotype" w:eastAsia="Palatino Linotype" w:hAnsi="Palatino Linotype" w:cs="Palatino Linotype"/>
          <w:sz w:val="22"/>
          <w:szCs w:val="22"/>
        </w:rPr>
        <w:t xml:space="preserve"> del </w:t>
      </w:r>
      <w:r w:rsidR="00E407AA" w:rsidRPr="003E53A6">
        <w:rPr>
          <w:rFonts w:ascii="Palatino Linotype" w:eastAsia="Palatino Linotype" w:hAnsi="Palatino Linotype" w:cs="Palatino Linotype"/>
          <w:sz w:val="22"/>
          <w:szCs w:val="22"/>
        </w:rPr>
        <w:t>Código Fiscal de la Federación, del tenor literal siguiente:</w:t>
      </w:r>
    </w:p>
    <w:p w14:paraId="2A6FCE75" w14:textId="77777777" w:rsidR="00E407AA" w:rsidRPr="003E53A6" w:rsidRDefault="00E407AA" w:rsidP="00E407AA">
      <w:pPr>
        <w:spacing w:before="120" w:after="120"/>
        <w:ind w:left="851" w:right="902"/>
        <w:jc w:val="both"/>
        <w:rPr>
          <w:rFonts w:ascii="Palatino Linotype" w:hAnsi="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hAnsi="Palatino Linotype"/>
          <w:b/>
          <w:i/>
          <w:sz w:val="22"/>
          <w:szCs w:val="22"/>
        </w:rPr>
        <w:t>Artículo 30.</w:t>
      </w:r>
      <w:r w:rsidRPr="003E53A6">
        <w:rPr>
          <w:rFonts w:ascii="Palatino Linotype" w:hAnsi="Palatino Linotype"/>
          <w:i/>
          <w:sz w:val="22"/>
          <w:szCs w:val="22"/>
        </w:rPr>
        <w:t xml:space="preserve"> </w:t>
      </w:r>
      <w:r w:rsidRPr="003E53A6">
        <w:rPr>
          <w:rFonts w:ascii="Palatino Linotype" w:hAnsi="Palatino Linotype"/>
          <w:b/>
          <w:i/>
          <w:sz w:val="22"/>
          <w:szCs w:val="22"/>
        </w:rPr>
        <w:t>Las personas obligadas a llevar contabilidad deberán conservarla</w:t>
      </w:r>
      <w:r w:rsidRPr="003E53A6">
        <w:rPr>
          <w:rFonts w:ascii="Palatino Linotype" w:hAnsi="Palatino Linotype"/>
          <w:i/>
          <w:sz w:val="22"/>
          <w:szCs w:val="22"/>
        </w:rPr>
        <w:t xml:space="preserve"> a disposición de las autoridades fiscales de conformidad con la fracción III del artículo 28 de este Código.</w:t>
      </w:r>
    </w:p>
    <w:p w14:paraId="1E502BC2" w14:textId="77777777" w:rsidR="00E407AA" w:rsidRPr="003E53A6" w:rsidRDefault="00E407AA" w:rsidP="00E407AA">
      <w:pPr>
        <w:spacing w:before="120" w:after="120"/>
        <w:ind w:left="851" w:right="902"/>
        <w:jc w:val="both"/>
        <w:rPr>
          <w:rFonts w:ascii="Palatino Linotype" w:hAnsi="Palatino Linotype"/>
          <w:i/>
          <w:sz w:val="22"/>
          <w:szCs w:val="22"/>
        </w:rPr>
      </w:pPr>
      <w:r w:rsidRPr="003E53A6">
        <w:rPr>
          <w:rFonts w:ascii="Palatino Linotype" w:hAnsi="Palatino Linotype"/>
          <w:i/>
          <w:sz w:val="22"/>
          <w:szCs w:val="22"/>
        </w:rPr>
        <w:t>...</w:t>
      </w:r>
    </w:p>
    <w:p w14:paraId="04AB6F5F" w14:textId="77777777" w:rsidR="00E407AA" w:rsidRPr="003E53A6" w:rsidRDefault="00E407AA" w:rsidP="00E407AA">
      <w:pPr>
        <w:spacing w:before="120" w:after="120"/>
        <w:ind w:left="851" w:right="902"/>
        <w:jc w:val="both"/>
        <w:rPr>
          <w:rFonts w:ascii="Palatino Linotype" w:eastAsia="Palatino Linotype" w:hAnsi="Palatino Linotype" w:cs="Palatino Linotype"/>
          <w:i/>
          <w:sz w:val="22"/>
          <w:szCs w:val="22"/>
        </w:rPr>
      </w:pPr>
      <w:r w:rsidRPr="003E53A6">
        <w:rPr>
          <w:rFonts w:ascii="Palatino Linotype" w:hAnsi="Palatino Linotype"/>
          <w:b/>
          <w:i/>
          <w:sz w:val="22"/>
          <w:szCs w:val="22"/>
          <w:u w:val="single"/>
        </w:rPr>
        <w:t>La documentación a que se refiere el párrafo anterior de este artículo</w:t>
      </w:r>
      <w:r w:rsidRPr="003E53A6">
        <w:rPr>
          <w:rFonts w:ascii="Palatino Linotype" w:hAnsi="Palatino Linotype"/>
          <w:b/>
          <w:i/>
          <w:sz w:val="22"/>
          <w:szCs w:val="22"/>
        </w:rPr>
        <w:t xml:space="preserve"> y la contabilidad, </w:t>
      </w:r>
      <w:r w:rsidRPr="003E53A6">
        <w:rPr>
          <w:rFonts w:ascii="Palatino Linotype" w:hAnsi="Palatino Linotype"/>
          <w:b/>
          <w:i/>
          <w:sz w:val="22"/>
          <w:szCs w:val="22"/>
          <w:u w:val="single"/>
        </w:rPr>
        <w:t>deberán conservarse durante un plazo de cinco años</w:t>
      </w:r>
      <w:r w:rsidRPr="003E53A6">
        <w:rPr>
          <w:rFonts w:ascii="Palatino Linotype" w:hAnsi="Palatino Linotype"/>
          <w:b/>
          <w:i/>
          <w:sz w:val="22"/>
          <w:szCs w:val="22"/>
        </w:rPr>
        <w:t>, contado a partir de la fecha en la que se presentaron o debieron haberse presentado las declaraciones con ellas relacionadas.</w:t>
      </w:r>
      <w:r w:rsidRPr="003E53A6">
        <w:rPr>
          <w:rFonts w:ascii="Palatino Linotype" w:hAnsi="Palatino Linotype"/>
          <w:i/>
          <w:sz w:val="22"/>
          <w:szCs w:val="22"/>
        </w:rPr>
        <w:t xml:space="preserve"> Tratándose de la contabilidad y de la documentación correspondiente a actos cuyos efectos fiscales se prolonguen en el tiempo, el plazo de referencia comenzará a computarse a partir del día en el que se presente la declaración fiscal del último ejercicio en que se hayan producido dichos efectos...”</w:t>
      </w:r>
    </w:p>
    <w:p w14:paraId="3528B907" w14:textId="764F129D" w:rsidR="00AB3E7B" w:rsidRPr="003E53A6" w:rsidRDefault="00E407AA" w:rsidP="0029172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Como se advierte, el precepto citado por el servidor público habilitado impone la obligación de conservar </w:t>
      </w:r>
      <w:r w:rsidR="00AB3E7B" w:rsidRPr="003E53A6">
        <w:rPr>
          <w:rFonts w:ascii="Palatino Linotype" w:eastAsia="Palatino Linotype" w:hAnsi="Palatino Linotype" w:cs="Palatino Linotype"/>
          <w:sz w:val="22"/>
          <w:szCs w:val="22"/>
        </w:rPr>
        <w:t>la documentación relacionada con disposiciones fiscales durante un plazo de cinco años contado a partir de la fecha en la que se presentaron o debieron haberse presentado las declaraciones correspondientes.</w:t>
      </w:r>
    </w:p>
    <w:p w14:paraId="668A516F" w14:textId="6079946E" w:rsidR="00AB3E7B" w:rsidRPr="003E53A6" w:rsidRDefault="00AB3E7B" w:rsidP="0029172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No obstante, dicha disposición </w:t>
      </w:r>
      <w:r w:rsidRPr="003E53A6">
        <w:rPr>
          <w:rFonts w:ascii="Palatino Linotype" w:eastAsia="Palatino Linotype" w:hAnsi="Palatino Linotype" w:cs="Palatino Linotype"/>
          <w:b/>
          <w:sz w:val="22"/>
          <w:szCs w:val="22"/>
        </w:rPr>
        <w:t xml:space="preserve">se refiere a las personas que </w:t>
      </w:r>
      <w:r w:rsidRPr="003E53A6">
        <w:rPr>
          <w:rFonts w:ascii="Palatino Linotype" w:eastAsia="Palatino Linotype" w:hAnsi="Palatino Linotype" w:cs="Palatino Linotype"/>
          <w:b/>
          <w:sz w:val="22"/>
          <w:szCs w:val="22"/>
          <w:u w:val="single"/>
        </w:rPr>
        <w:t>no están obligadas a llevar contabilidad,</w:t>
      </w:r>
      <w:r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b/>
          <w:sz w:val="22"/>
          <w:szCs w:val="22"/>
        </w:rPr>
        <w:t xml:space="preserve">señaladas en el </w:t>
      </w:r>
      <w:r w:rsidRPr="003E53A6">
        <w:rPr>
          <w:rFonts w:ascii="Palatino Linotype" w:eastAsia="Palatino Linotype" w:hAnsi="Palatino Linotype" w:cs="Palatino Linotype"/>
          <w:b/>
          <w:sz w:val="22"/>
          <w:szCs w:val="22"/>
          <w:u w:val="single"/>
        </w:rPr>
        <w:t>párrafo segundo del precepto legal citado</w:t>
      </w:r>
      <w:r w:rsidRPr="003E53A6">
        <w:rPr>
          <w:rFonts w:ascii="Palatino Linotype" w:eastAsia="Palatino Linotype" w:hAnsi="Palatino Linotype" w:cs="Palatino Linotype"/>
          <w:sz w:val="22"/>
          <w:szCs w:val="22"/>
        </w:rPr>
        <w:t>, el cual no fue invocado por el servidor público habilitado, sin embargo, aquellas personas obligadas a llevar contabilidad deben conservarla a disposición de las autoridades fiscales en términos de lo dispuesto en los artículos 28, fracción III, del Código Fiscal y 34 del Reglamento del Código Fiscal, a saber:</w:t>
      </w:r>
    </w:p>
    <w:p w14:paraId="55AD54EE" w14:textId="595AD4C7" w:rsidR="00AB3E7B" w:rsidRPr="003E53A6" w:rsidRDefault="002A4C4F" w:rsidP="002A4C4F">
      <w:pPr>
        <w:spacing w:before="240" w:after="240"/>
        <w:ind w:left="851" w:right="900"/>
        <w:jc w:val="both"/>
        <w:rPr>
          <w:rFonts w:ascii="Palatino Linotype" w:hAnsi="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hAnsi="Palatino Linotype"/>
          <w:b/>
          <w:i/>
          <w:sz w:val="22"/>
          <w:szCs w:val="22"/>
        </w:rPr>
        <w:t>Artículo 28</w:t>
      </w:r>
      <w:r w:rsidRPr="003E53A6">
        <w:rPr>
          <w:rFonts w:ascii="Palatino Linotype" w:hAnsi="Palatino Linotype"/>
          <w:i/>
          <w:sz w:val="22"/>
          <w:szCs w:val="22"/>
        </w:rPr>
        <w:t>. Las personas que de acuerdo con las disposiciones fiscales estén obligadas a llevar contabilidad, estarán a lo siguiente:</w:t>
      </w:r>
    </w:p>
    <w:p w14:paraId="0CA1AD10" w14:textId="23BD63F4" w:rsidR="002A4C4F" w:rsidRPr="003E53A6" w:rsidRDefault="002A4C4F" w:rsidP="002A4C4F">
      <w:pPr>
        <w:spacing w:before="240" w:after="240"/>
        <w:ind w:left="851" w:right="900"/>
        <w:jc w:val="both"/>
        <w:rPr>
          <w:rFonts w:ascii="Palatino Linotype" w:eastAsia="Palatino Linotype" w:hAnsi="Palatino Linotype" w:cs="Palatino Linotype"/>
          <w:i/>
          <w:sz w:val="22"/>
          <w:szCs w:val="22"/>
        </w:rPr>
      </w:pPr>
      <w:r w:rsidRPr="003E53A6">
        <w:rPr>
          <w:rFonts w:ascii="Palatino Linotype" w:hAnsi="Palatino Linotype"/>
          <w:i/>
          <w:sz w:val="22"/>
          <w:szCs w:val="22"/>
        </w:rPr>
        <w:t>...</w:t>
      </w:r>
    </w:p>
    <w:p w14:paraId="3C90AD74" w14:textId="46E2CCA1" w:rsidR="002A4C4F" w:rsidRPr="003E53A6" w:rsidRDefault="002A4C4F" w:rsidP="002A4C4F">
      <w:pPr>
        <w:spacing w:before="240" w:after="240"/>
        <w:ind w:left="851" w:right="900"/>
        <w:jc w:val="both"/>
        <w:rPr>
          <w:rFonts w:ascii="Palatino Linotype" w:eastAsia="Palatino Linotype" w:hAnsi="Palatino Linotype" w:cs="Palatino Linotype"/>
          <w:i/>
          <w:sz w:val="22"/>
          <w:szCs w:val="22"/>
        </w:rPr>
      </w:pPr>
      <w:r w:rsidRPr="003E53A6">
        <w:rPr>
          <w:rFonts w:ascii="Palatino Linotype" w:hAnsi="Palatino Linotype"/>
          <w:b/>
          <w:i/>
          <w:sz w:val="22"/>
          <w:szCs w:val="22"/>
        </w:rPr>
        <w:t>III.</w:t>
      </w:r>
      <w:r w:rsidRPr="003E53A6">
        <w:rPr>
          <w:rFonts w:ascii="Palatino Linotype" w:hAnsi="Palatino Linotype"/>
          <w:i/>
          <w:sz w:val="22"/>
          <w:szCs w:val="22"/>
        </w:rPr>
        <w:t xml:space="preserve"> Los registros o asientos que integran la contabilidad se llevarán en medios electrónicos conforme lo establezcan el Reglamento de este Código y las disposiciones de carácter general que emita el Servicio de Administración Tributaria. La documentación comprobatoria de dichos registros o asientos deberá estar disponible en el domicilio fiscal del contribuyente.</w:t>
      </w:r>
    </w:p>
    <w:p w14:paraId="5539EF2B" w14:textId="11925ED2" w:rsidR="00AB3E7B" w:rsidRPr="003E53A6" w:rsidRDefault="00AB3E7B" w:rsidP="002A4C4F">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34.-</w:t>
      </w:r>
      <w:r w:rsidRPr="003E53A6">
        <w:rPr>
          <w:rFonts w:ascii="Palatino Linotype" w:eastAsia="Palatino Linotype" w:hAnsi="Palatino Linotype" w:cs="Palatino Linotype"/>
          <w:i/>
          <w:sz w:val="22"/>
          <w:szCs w:val="22"/>
        </w:rPr>
        <w:t xml:space="preserve"> Para los efectos del artículo 28, fracción III del Código, el contribuyente deberá conservar y almacenar como parte integrante de su contabilidad toda la documentación relativa al diseño del sistema electrónico donde almacena y procesa sus datos contables y los diagramas del mismo, poniendo a disposición de las Autoridades Fiscales el equipo y sus operadores para que las auxilien cuando éstas ejerzan sus facultades de comprobación y, en su caso, deberá cumplir con las normas oficiales mexicanas correspondientes vinculadas con la generación y conservación de documentos electrónicos.</w:t>
      </w:r>
    </w:p>
    <w:p w14:paraId="33E969B8" w14:textId="19E256DA" w:rsidR="00AB3E7B" w:rsidRPr="003E53A6" w:rsidRDefault="00AB3E7B" w:rsidP="002A4C4F">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El contribuyente que se encuentre en suspensión de actividades deberá conservar su contabilidad en el último domicilio que tenga manifestado en el registro federal de contribuyentes y, si con posterioridad desocupa el domicilio consignado ante el referido registro, deberá presentar el aviso de cambio de domicilio fiscal, en el cual deberá conservar su contabilidad durante el plazo que establece el artículo 30 del Código.</w:t>
      </w:r>
    </w:p>
    <w:p w14:paraId="75A00D8B" w14:textId="16FE562C" w:rsidR="00AB3E7B" w:rsidRPr="003E53A6" w:rsidRDefault="00AB3E7B" w:rsidP="002A4C4F">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Los contribuyentes podrán optar por respaldar y conservar su información contable en discos ópticos</w:t>
      </w:r>
      <w:r w:rsidR="002A4C4F"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i/>
          <w:sz w:val="22"/>
          <w:szCs w:val="22"/>
        </w:rPr>
        <w:t>o en cualquier otro medio electrónico que mediante reglas de carácter general autorice el Servicio de</w:t>
      </w:r>
      <w:r w:rsidR="002A4C4F"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i/>
          <w:sz w:val="22"/>
          <w:szCs w:val="22"/>
        </w:rPr>
        <w:t>Administración Tributaria.”</w:t>
      </w:r>
    </w:p>
    <w:p w14:paraId="06575E28" w14:textId="77777777" w:rsidR="00082F4B" w:rsidRPr="003E53A6" w:rsidRDefault="00082F4B" w:rsidP="00082F4B">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Con base en lo previo, se colige que la respuesta proporcionada por el servidor público habilitado </w:t>
      </w:r>
      <w:bookmarkStart w:id="10" w:name="_Hlk206576918"/>
      <w:r w:rsidRPr="003E53A6">
        <w:rPr>
          <w:rFonts w:ascii="Palatino Linotype" w:eastAsia="Palatino Linotype" w:hAnsi="Palatino Linotype" w:cs="Palatino Linotype"/>
          <w:sz w:val="22"/>
          <w:szCs w:val="22"/>
        </w:rPr>
        <w:t>no agotó los principios de congruencia y exhaustividad.</w:t>
      </w:r>
    </w:p>
    <w:p w14:paraId="60C3E6FE" w14:textId="77777777" w:rsidR="00082F4B" w:rsidRPr="003E53A6" w:rsidRDefault="00082F4B" w:rsidP="00082F4B">
      <w:pPr>
        <w:spacing w:before="240" w:after="240" w:line="360" w:lineRule="auto"/>
        <w:jc w:val="both"/>
        <w:rPr>
          <w:rFonts w:ascii="Palatino Linotype" w:eastAsia="Calibri" w:hAnsi="Palatino Linotype"/>
          <w:sz w:val="22"/>
          <w:szCs w:val="22"/>
          <w:lang w:eastAsia="en-US"/>
        </w:rPr>
      </w:pPr>
      <w:r w:rsidRPr="003E53A6">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56817C88" w14:textId="77777777" w:rsidR="00082F4B" w:rsidRPr="003E53A6" w:rsidRDefault="00082F4B" w:rsidP="00082F4B">
      <w:pPr>
        <w:spacing w:before="240" w:after="240" w:line="360" w:lineRule="auto"/>
        <w:jc w:val="both"/>
        <w:rPr>
          <w:rFonts w:ascii="Palatino Linotype" w:eastAsia="Calibri" w:hAnsi="Palatino Linotype"/>
          <w:sz w:val="22"/>
          <w:szCs w:val="22"/>
          <w:lang w:eastAsia="en-US"/>
        </w:rPr>
      </w:pPr>
      <w:r w:rsidRPr="003E53A6">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3E53A6">
        <w:rPr>
          <w:rFonts w:ascii="Palatino Linotype" w:eastAsia="Calibri" w:hAnsi="Palatino Linotype"/>
          <w:b/>
          <w:bCs/>
          <w:sz w:val="22"/>
          <w:szCs w:val="22"/>
          <w:lang w:eastAsia="en-US"/>
        </w:rPr>
        <w:t>principios de congruencia y exhaustividad,</w:t>
      </w:r>
      <w:r w:rsidRPr="003E53A6">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0935A94" w14:textId="77777777" w:rsidR="00082F4B" w:rsidRPr="003E53A6" w:rsidRDefault="00082F4B" w:rsidP="00082F4B">
      <w:pPr>
        <w:pStyle w:val="Prrafodelista"/>
        <w:ind w:left="851" w:right="851"/>
        <w:jc w:val="both"/>
        <w:rPr>
          <w:rFonts w:ascii="Palatino Linotype" w:hAnsi="Palatino Linotype" w:cs="Arial"/>
          <w:i/>
          <w:sz w:val="22"/>
          <w:szCs w:val="22"/>
        </w:rPr>
      </w:pPr>
      <w:r w:rsidRPr="003E53A6">
        <w:rPr>
          <w:rFonts w:ascii="Palatino Linotype" w:hAnsi="Palatino Linotype" w:cs="Arial"/>
          <w:b/>
          <w:i/>
          <w:sz w:val="22"/>
          <w:szCs w:val="22"/>
        </w:rPr>
        <w:t xml:space="preserve"> “Congruencia y exhaustividad. Sus alcances para garantizar el derecho de acceso a la información. </w:t>
      </w:r>
      <w:r w:rsidRPr="003E53A6">
        <w:rPr>
          <w:rFonts w:ascii="Palatino Linotype" w:hAnsi="Palatino Linotype" w:cs="Arial"/>
          <w:i/>
          <w:sz w:val="22"/>
          <w:szCs w:val="22"/>
        </w:rPr>
        <w:t xml:space="preserve">De conformidad con el artículo </w:t>
      </w:r>
      <w:r w:rsidRPr="003E53A6">
        <w:rPr>
          <w:rFonts w:ascii="Palatino Linotype" w:hAnsi="Palatino Linotype"/>
          <w:i/>
          <w:sz w:val="22"/>
          <w:szCs w:val="22"/>
          <w:lang w:val="es-ES_tradnl"/>
        </w:rPr>
        <w:t>3 de la Ley Federal de Procedimiento Administrativo</w:t>
      </w:r>
      <w:r w:rsidRPr="003E53A6">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E53A6">
        <w:rPr>
          <w:rFonts w:ascii="Palatino Linotype" w:hAnsi="Palatino Linotype" w:cs="Arial"/>
          <w:b/>
          <w:i/>
          <w:sz w:val="22"/>
          <w:szCs w:val="22"/>
        </w:rPr>
        <w:t>la congruencia implica que exista concordancia entre el requerimiento formulado por el particular y la respuesta proporcionada por el sujeto obligado</w:t>
      </w:r>
      <w:r w:rsidRPr="003E53A6">
        <w:rPr>
          <w:rFonts w:ascii="Palatino Linotype" w:hAnsi="Palatino Linotype" w:cs="Arial"/>
          <w:i/>
          <w:sz w:val="22"/>
          <w:szCs w:val="22"/>
        </w:rPr>
        <w:t xml:space="preserve">; mientras que </w:t>
      </w:r>
      <w:r w:rsidRPr="003E53A6">
        <w:rPr>
          <w:rFonts w:ascii="Palatino Linotype" w:hAnsi="Palatino Linotype" w:cs="Arial"/>
          <w:b/>
          <w:i/>
          <w:sz w:val="22"/>
          <w:szCs w:val="22"/>
        </w:rPr>
        <w:t>la exhaustividad significa que dicha respuesta se refiera expresamente a cada uno de los puntos solicitados</w:t>
      </w:r>
      <w:r w:rsidRPr="003E53A6">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0718504" w14:textId="77777777" w:rsidR="00DB2090" w:rsidRPr="003E53A6" w:rsidRDefault="00082F4B" w:rsidP="00DB2090">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Ahora bien</w:t>
      </w:r>
      <w:r w:rsidR="00DB2090" w:rsidRPr="003E53A6">
        <w:rPr>
          <w:rFonts w:ascii="Palatino Linotype" w:eastAsia="Palatino Linotype" w:hAnsi="Palatino Linotype" w:cs="Palatino Linotype"/>
          <w:sz w:val="22"/>
          <w:szCs w:val="22"/>
        </w:rPr>
        <w:t>, por lo que se refiere a la materia de la solicitud,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6E08B0CF"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342.-</w:t>
      </w:r>
      <w:r w:rsidRPr="003E53A6">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E73E48B"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En el caso de los municipios,</w:t>
      </w:r>
      <w:r w:rsidRPr="003E53A6">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3E53A6">
        <w:rPr>
          <w:rFonts w:ascii="Palatino Linotype" w:eastAsia="Palatino Linotype" w:hAnsi="Palatino Linotype" w:cs="Palatino Linotype"/>
          <w:b/>
          <w:i/>
          <w:sz w:val="22"/>
          <w:szCs w:val="22"/>
        </w:rPr>
        <w:t>planeación, programación, presupuestación, evaluación y contabilidad gubernamental</w:t>
      </w:r>
      <w:r w:rsidRPr="003E53A6">
        <w:rPr>
          <w:rFonts w:ascii="Palatino Linotype" w:eastAsia="Palatino Linotype" w:hAnsi="Palatino Linotype" w:cs="Palatino Linotype"/>
          <w:i/>
          <w:sz w:val="22"/>
          <w:szCs w:val="22"/>
        </w:rPr>
        <w:t>, que se aprueben en el marco del Sistema de Coordinación Hacendaria del Estado de México.</w:t>
      </w:r>
    </w:p>
    <w:p w14:paraId="1F137F57"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343.-</w:t>
      </w:r>
      <w:r w:rsidRPr="003E53A6">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4A08F416"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5488D4C5" w14:textId="77777777" w:rsidR="00DB2090" w:rsidRPr="003E53A6" w:rsidRDefault="00DB2090" w:rsidP="00DB2090">
      <w:pPr>
        <w:spacing w:before="120" w:after="120"/>
        <w:ind w:left="862" w:right="86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3E53A6">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3E53A6">
        <w:rPr>
          <w:rFonts w:ascii="Palatino Linotype" w:eastAsia="Palatino Linotype" w:hAnsi="Palatino Linotype" w:cs="Palatino Linotype"/>
          <w:b/>
          <w:i/>
          <w:sz w:val="22"/>
          <w:szCs w:val="22"/>
        </w:rPr>
        <w:t>.</w:t>
      </w:r>
    </w:p>
    <w:p w14:paraId="20576F2C"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xml:space="preserve">Todo registro contable y presupuestal </w:t>
      </w:r>
      <w:r w:rsidRPr="003E53A6">
        <w:rPr>
          <w:rFonts w:ascii="Palatino Linotype" w:eastAsia="Palatino Linotype" w:hAnsi="Palatino Linotype" w:cs="Palatino Linotype"/>
          <w:b/>
          <w:i/>
          <w:sz w:val="22"/>
          <w:szCs w:val="22"/>
          <w:u w:val="single"/>
        </w:rPr>
        <w:t>deberá estar soportado con los documentos de registro, justificativos y comprobatorios originales, en copias certificadas o en medios electrónicos, según corresponda</w:t>
      </w:r>
      <w:r w:rsidRPr="003E53A6">
        <w:rPr>
          <w:rFonts w:ascii="Palatino Linotype" w:eastAsia="Palatino Linotype" w:hAnsi="Palatino Linotype" w:cs="Palatino Linotype"/>
          <w:b/>
          <w:i/>
          <w:sz w:val="22"/>
          <w:szCs w:val="22"/>
        </w:rPr>
        <w:t xml:space="preserve">, los que deberán </w:t>
      </w:r>
      <w:r w:rsidRPr="003E53A6">
        <w:rPr>
          <w:rFonts w:ascii="Palatino Linotype" w:eastAsia="Palatino Linotype" w:hAnsi="Palatino Linotype" w:cs="Palatino Linotype"/>
          <w:b/>
          <w:i/>
          <w:sz w:val="22"/>
          <w:szCs w:val="22"/>
          <w:u w:val="single"/>
        </w:rPr>
        <w:t>permanecer en custodia y conservación</w:t>
      </w:r>
      <w:r w:rsidRPr="003E53A6">
        <w:rPr>
          <w:rFonts w:ascii="Palatino Linotype" w:eastAsia="Palatino Linotype" w:hAnsi="Palatino Linotype" w:cs="Palatino Linotype"/>
          <w:b/>
          <w:i/>
          <w:sz w:val="22"/>
          <w:szCs w:val="22"/>
        </w:rPr>
        <w:t xml:space="preserve"> de los Entes Públicos ejecutores del gasto a </w:t>
      </w:r>
      <w:r w:rsidRPr="003E53A6">
        <w:rPr>
          <w:rFonts w:ascii="Palatino Linotype" w:eastAsia="Palatino Linotype" w:hAnsi="Palatino Linotype" w:cs="Palatino Linotype"/>
          <w:b/>
          <w:i/>
          <w:sz w:val="22"/>
          <w:szCs w:val="22"/>
          <w:u w:val="single"/>
        </w:rPr>
        <w:t>través de las unidades administrativas correspondientes de conformidad con las disposiciones aplicables y a disposición de los Órganos de Fiscalización locales y federales</w:t>
      </w:r>
      <w:r w:rsidRPr="003E53A6">
        <w:rPr>
          <w:rFonts w:ascii="Palatino Linotype" w:eastAsia="Palatino Linotype" w:hAnsi="Palatino Linotype" w:cs="Palatino Linotype"/>
          <w:b/>
          <w:i/>
          <w:sz w:val="22"/>
          <w:szCs w:val="22"/>
        </w:rPr>
        <w:t xml:space="preserve">, de acuerdo a su naturaleza, </w:t>
      </w:r>
      <w:r w:rsidRPr="003E53A6">
        <w:rPr>
          <w:rFonts w:ascii="Palatino Linotype" w:eastAsia="Palatino Linotype" w:hAnsi="Palatino Linotype" w:cs="Palatino Linotype"/>
          <w:b/>
          <w:i/>
          <w:sz w:val="22"/>
          <w:szCs w:val="22"/>
          <w:u w:val="single"/>
        </w:rPr>
        <w:t>así como de los órganos internos de control</w:t>
      </w:r>
      <w:r w:rsidRPr="003E53A6">
        <w:rPr>
          <w:rFonts w:ascii="Palatino Linotype" w:eastAsia="Palatino Linotype" w:hAnsi="Palatino Linotype" w:cs="Palatino Linotype"/>
          <w:b/>
          <w:i/>
          <w:sz w:val="22"/>
          <w:szCs w:val="22"/>
        </w:rPr>
        <w:t>;</w:t>
      </w: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u w:val="single"/>
        </w:rPr>
        <w:t>por un término de 6 años</w:t>
      </w:r>
      <w:r w:rsidRPr="003E53A6">
        <w:rPr>
          <w:rFonts w:ascii="Palatino Linotype" w:eastAsia="Palatino Linotype" w:hAnsi="Palatino Linotype" w:cs="Palatino Linotype"/>
          <w:b/>
          <w:i/>
          <w:sz w:val="22"/>
          <w:szCs w:val="22"/>
        </w:rPr>
        <w:t>,</w:t>
      </w: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u w:val="single"/>
        </w:rPr>
        <w:t>contados a partir del ejercicio presupuestal siguiente al que corresponda</w:t>
      </w: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 xml:space="preserve"> </w:t>
      </w:r>
      <w:r w:rsidRPr="003E53A6">
        <w:rPr>
          <w:rFonts w:ascii="Palatino Linotype" w:eastAsia="Palatino Linotype" w:hAnsi="Palatino Linotype" w:cs="Palatino Linotype"/>
          <w:i/>
          <w:sz w:val="22"/>
          <w:szCs w:val="22"/>
        </w:rPr>
        <w:t>en el caso de los Municipios, dicha obligación corresponderá a la Tesorería.</w:t>
      </w:r>
    </w:p>
    <w:p w14:paraId="5550AA26"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Tratándose de documentos de carácter histórico, se estará a lo dispuesto por la legislación de la materia.</w:t>
      </w:r>
    </w:p>
    <w:p w14:paraId="129C525E"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12109C78" w14:textId="77777777" w:rsidR="00DB2090" w:rsidRPr="003E53A6" w:rsidRDefault="00DB2090" w:rsidP="00DB2090">
      <w:pPr>
        <w:spacing w:before="120" w:after="120"/>
        <w:ind w:left="862" w:right="86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Artículo 345.-</w:t>
      </w: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224F638A" w14:textId="77777777" w:rsidR="00DB2090" w:rsidRPr="003E53A6" w:rsidRDefault="00DB2090" w:rsidP="00DB2090">
      <w:pPr>
        <w:spacing w:before="120" w:after="120"/>
        <w:ind w:left="862" w:right="86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3E53A6">
        <w:rPr>
          <w:rFonts w:ascii="Palatino Linotype" w:eastAsia="Palatino Linotype" w:hAnsi="Palatino Linotype" w:cs="Palatino Linotype"/>
          <w:b/>
          <w:i/>
          <w:sz w:val="22"/>
          <w:szCs w:val="22"/>
        </w:rPr>
        <w:t>deberán estar agregados en forma electrónica a cada póliza de registro contable</w:t>
      </w:r>
      <w:r w:rsidRPr="003E53A6">
        <w:rPr>
          <w:rFonts w:ascii="Palatino Linotype" w:eastAsia="Palatino Linotype" w:hAnsi="Palatino Linotype" w:cs="Palatino Linotype"/>
          <w:i/>
          <w:sz w:val="22"/>
          <w:szCs w:val="22"/>
        </w:rPr>
        <w:t>.</w:t>
      </w:r>
    </w:p>
    <w:p w14:paraId="5AAA6499" w14:textId="77777777" w:rsidR="00DB2090" w:rsidRPr="003E53A6" w:rsidRDefault="00DB2090" w:rsidP="00DB2090">
      <w:pPr>
        <w:spacing w:before="120" w:after="120"/>
        <w:ind w:left="862" w:right="86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3E53A6">
        <w:rPr>
          <w:rFonts w:ascii="Palatino Linotype" w:eastAsia="Palatino Linotype" w:hAnsi="Palatino Linotype" w:cs="Palatino Linotype"/>
          <w:b/>
          <w:i/>
          <w:sz w:val="22"/>
          <w:szCs w:val="22"/>
        </w:rPr>
        <w:t>”</w:t>
      </w:r>
    </w:p>
    <w:p w14:paraId="55E215A7"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D6579DD"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Asimismo, que los entes públicos tiene la obligación de registrarán contablemente el efecto patrimonial y presupuestal de las operaciones financieras que realicen, en el momento en que ocurran, por lo que </w:t>
      </w:r>
      <w:r w:rsidRPr="003E53A6">
        <w:rPr>
          <w:rFonts w:ascii="Palatino Linotype" w:eastAsia="Palatino Linotype" w:hAnsi="Palatino Linotype" w:cs="Palatino Linotype"/>
          <w:b/>
          <w:sz w:val="22"/>
          <w:szCs w:val="22"/>
        </w:rPr>
        <w:t>todo registro contable y presupuestal deberá estar soportado con los documentos comprobatorios originales o en medios electrónicos</w:t>
      </w:r>
      <w:r w:rsidRPr="003E53A6">
        <w:rPr>
          <w:rFonts w:ascii="Palatino Linotype" w:eastAsia="Palatino Linotype" w:hAnsi="Palatino Linotype" w:cs="Palatino Linotype"/>
          <w:sz w:val="22"/>
          <w:szCs w:val="22"/>
        </w:rPr>
        <w:t xml:space="preserve">, los que </w:t>
      </w:r>
      <w:r w:rsidRPr="003E53A6">
        <w:rPr>
          <w:rFonts w:ascii="Palatino Linotype" w:eastAsia="Palatino Linotype" w:hAnsi="Palatino Linotype" w:cs="Palatino Linotype"/>
          <w:b/>
          <w:sz w:val="22"/>
          <w:szCs w:val="22"/>
          <w:u w:val="single"/>
        </w:rPr>
        <w:t>deberán permanecer en custodia y conservación</w:t>
      </w:r>
      <w:r w:rsidRPr="003E53A6">
        <w:rPr>
          <w:rFonts w:ascii="Palatino Linotype" w:eastAsia="Palatino Linotype" w:hAnsi="Palatino Linotype" w:cs="Palatino Linotype"/>
          <w:sz w:val="22"/>
          <w:szCs w:val="22"/>
        </w:rPr>
        <w:t xml:space="preserve"> de los Entes Públicos a través de las unidades administrativas que ejercieron el gasto y a disposición de los Órganos de Fiscalización y de los órganos internos de control </w:t>
      </w:r>
      <w:r w:rsidRPr="003E53A6">
        <w:rPr>
          <w:rFonts w:ascii="Palatino Linotype" w:eastAsia="Palatino Linotype" w:hAnsi="Palatino Linotype" w:cs="Palatino Linotype"/>
          <w:b/>
          <w:sz w:val="22"/>
          <w:szCs w:val="22"/>
          <w:u w:val="single"/>
        </w:rPr>
        <w:t>por un término de seis años</w:t>
      </w:r>
      <w:r w:rsidRPr="003E53A6">
        <w:rPr>
          <w:rFonts w:ascii="Palatino Linotype" w:eastAsia="Palatino Linotype" w:hAnsi="Palatino Linotype" w:cs="Palatino Linotype"/>
          <w:sz w:val="22"/>
          <w:szCs w:val="22"/>
        </w:rPr>
        <w:t>, los cuales se cuentan a partir del ejercicio presupuestal siguiente al que corresponda. Dicha obligación corresponde a las tesorerías o a las áreas equivalentes.</w:t>
      </w:r>
    </w:p>
    <w:p w14:paraId="7850B954" w14:textId="77777777" w:rsidR="00DB2090" w:rsidRPr="003E53A6" w:rsidRDefault="00DB2090" w:rsidP="00DB2090">
      <w:pPr>
        <w:spacing w:before="240" w:after="240" w:line="360" w:lineRule="auto"/>
        <w:ind w:right="-232"/>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Debe decirse que las facturas emitidas en favor de los proveedores, contratistas o prestadores de servicios, la cual se encuentra definida en el Glosario de Términos Hacendarios que emite el Instituto Hacendario del Estado de México, como:</w:t>
      </w:r>
    </w:p>
    <w:p w14:paraId="4BE2BC95" w14:textId="77777777" w:rsidR="00DB2090" w:rsidRPr="003E53A6" w:rsidRDefault="00DB2090" w:rsidP="00DB2090">
      <w:pPr>
        <w:spacing w:before="120" w:after="120"/>
        <w:ind w:left="851" w:right="90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FACTURA</w:t>
      </w:r>
    </w:p>
    <w:p w14:paraId="54697DB7" w14:textId="77777777" w:rsidR="00DB2090" w:rsidRPr="003E53A6" w:rsidRDefault="00DB2090" w:rsidP="00DB2090">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6E08AA4C"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D7A1720"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3E53A6">
        <w:rPr>
          <w:rFonts w:ascii="Palatino Linotype" w:eastAsia="Palatino Linotype" w:hAnsi="Palatino Linotype" w:cs="Palatino Linotype"/>
          <w:sz w:val="22"/>
          <w:szCs w:val="22"/>
          <w:vertAlign w:val="superscript"/>
        </w:rPr>
        <w:footnoteReference w:id="1"/>
      </w:r>
      <w:r w:rsidRPr="003E53A6">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FD607A9" w14:textId="77777777" w:rsidR="00DB2090" w:rsidRPr="003E53A6" w:rsidRDefault="00DB2090" w:rsidP="00DB2090">
      <w:pPr>
        <w:spacing w:before="120" w:after="120"/>
        <w:ind w:left="850" w:right="902" w:hanging="10"/>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“REGISTRO CONTABLE</w:t>
      </w:r>
    </w:p>
    <w:p w14:paraId="40F09A7D" w14:textId="77777777" w:rsidR="00DB2090" w:rsidRPr="003E53A6" w:rsidRDefault="00DB2090" w:rsidP="00DB2090">
      <w:pPr>
        <w:spacing w:before="120" w:after="120"/>
        <w:ind w:left="850" w:right="902" w:hanging="1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69637ACF" w14:textId="77777777" w:rsidR="00DB2090" w:rsidRPr="003E53A6" w:rsidRDefault="00DB2090" w:rsidP="00DB2090">
      <w:pPr>
        <w:spacing w:before="120" w:after="120"/>
        <w:ind w:left="850" w:right="902" w:hanging="10"/>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“REGISTRO PRESUPUESTARIO</w:t>
      </w:r>
    </w:p>
    <w:p w14:paraId="286B4964" w14:textId="77777777" w:rsidR="00DB2090" w:rsidRPr="003E53A6" w:rsidRDefault="00DB2090" w:rsidP="00DB2090">
      <w:pPr>
        <w:spacing w:before="120" w:after="120"/>
        <w:ind w:left="850" w:right="902" w:hanging="1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36EB5446" w14:textId="77777777" w:rsidR="00DB2090" w:rsidRPr="003E53A6" w:rsidRDefault="00DB2090" w:rsidP="00DB2090">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7D0CDE30"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71B4D2B1"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103C8DC" w14:textId="77777777"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Correlativo a lo anterior, es preciso referir una definición de </w:t>
      </w:r>
      <w:r w:rsidRPr="003E53A6">
        <w:rPr>
          <w:rFonts w:ascii="Palatino Linotype" w:eastAsia="Palatino Linotype" w:hAnsi="Palatino Linotype" w:cs="Palatino Linotype"/>
          <w:i/>
          <w:sz w:val="22"/>
          <w:szCs w:val="22"/>
        </w:rPr>
        <w:t>póliza contable</w:t>
      </w:r>
      <w:r w:rsidRPr="003E53A6">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493D83CD" w14:textId="77777777" w:rsidR="00DB2090" w:rsidRPr="003E53A6" w:rsidRDefault="00DB2090" w:rsidP="00DB2090">
      <w:pPr>
        <w:spacing w:before="120" w:after="120"/>
        <w:ind w:left="862" w:right="90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PÓLIZA CONTABLE</w:t>
      </w:r>
    </w:p>
    <w:p w14:paraId="57F62E2E" w14:textId="77777777" w:rsidR="00DB2090" w:rsidRPr="003E53A6" w:rsidRDefault="00DB2090" w:rsidP="00DB2090">
      <w:pPr>
        <w:spacing w:before="120" w:after="120"/>
        <w:ind w:left="862"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1A568B55" w14:textId="77777777" w:rsidR="00DB2090" w:rsidRPr="003E53A6" w:rsidRDefault="00DB2090" w:rsidP="00DB2090">
      <w:pPr>
        <w:spacing w:before="240" w:after="240" w:line="360" w:lineRule="auto"/>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sz w:val="22"/>
          <w:szCs w:val="22"/>
        </w:rPr>
        <w:t xml:space="preserve">Así, se advierte que la </w:t>
      </w:r>
      <w:r w:rsidRPr="003E53A6">
        <w:rPr>
          <w:rFonts w:ascii="Palatino Linotype" w:eastAsia="Palatino Linotype" w:hAnsi="Palatino Linotype" w:cs="Palatino Linotype"/>
          <w:i/>
          <w:sz w:val="22"/>
          <w:szCs w:val="22"/>
        </w:rPr>
        <w:t>póliza contable</w:t>
      </w:r>
      <w:r w:rsidRPr="003E53A6">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w:t>
      </w:r>
      <w:r w:rsidRPr="003E53A6">
        <w:rPr>
          <w:rFonts w:ascii="Palatino Linotype" w:eastAsia="Palatino Linotype" w:hAnsi="Palatino Linotype" w:cs="Palatino Linotype"/>
          <w:sz w:val="22"/>
          <w:szCs w:val="22"/>
          <w:u w:val="single"/>
        </w:rPr>
        <w:t>ingresos y egresos</w:t>
      </w:r>
      <w:r w:rsidRPr="003E53A6">
        <w:rPr>
          <w:rFonts w:ascii="Palatino Linotype" w:eastAsia="Palatino Linotype" w:hAnsi="Palatino Linotype" w:cs="Palatino Linotype"/>
          <w:sz w:val="22"/>
          <w:szCs w:val="22"/>
        </w:rPr>
        <w:t xml:space="preserve"> y se anexan los documentos o comprobantes que justifiquen las anotaciones y cantidades en ellas registradas, lo que permite la identificación plena de dichas operaciones.</w:t>
      </w:r>
    </w:p>
    <w:p w14:paraId="301A342F" w14:textId="052BEF95" w:rsidR="00DB2090" w:rsidRPr="003E53A6" w:rsidRDefault="00DB2090" w:rsidP="00DB2090">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3E53A6">
        <w:rPr>
          <w:rFonts w:ascii="Palatino Linotype" w:eastAsia="Palatino Linotype" w:hAnsi="Palatino Linotype" w:cs="Palatino Linotype"/>
          <w:i/>
          <w:sz w:val="22"/>
          <w:szCs w:val="22"/>
        </w:rPr>
        <w:t xml:space="preserve">pólizas de ingresos y egresos. </w:t>
      </w:r>
      <w:r w:rsidRPr="003E53A6">
        <w:rPr>
          <w:rFonts w:ascii="Palatino Linotype" w:eastAsia="Palatino Linotype" w:hAnsi="Palatino Linotype" w:cs="Palatino Linotype"/>
          <w:b/>
          <w:sz w:val="22"/>
          <w:szCs w:val="22"/>
          <w:u w:val="single"/>
        </w:rPr>
        <w:t>Las primeras</w:t>
      </w:r>
      <w:r w:rsidRPr="003E53A6">
        <w:rPr>
          <w:rFonts w:ascii="Palatino Linotype" w:eastAsia="Palatino Linotype" w:hAnsi="Palatino Linotype" w:cs="Palatino Linotype"/>
          <w:b/>
          <w:sz w:val="22"/>
          <w:szCs w:val="22"/>
        </w:rPr>
        <w:t xml:space="preserve"> registran todas la entradas de dinero, </w:t>
      </w:r>
      <w:r w:rsidRPr="003E53A6">
        <w:rPr>
          <w:rFonts w:ascii="Palatino Linotype" w:eastAsia="Palatino Linotype" w:hAnsi="Palatino Linotype" w:cs="Palatino Linotype"/>
          <w:sz w:val="22"/>
          <w:szCs w:val="22"/>
        </w:rPr>
        <w:t xml:space="preserve">mientras que </w:t>
      </w:r>
      <w:r w:rsidRPr="003E53A6">
        <w:rPr>
          <w:rFonts w:ascii="Palatino Linotype" w:eastAsia="Palatino Linotype" w:hAnsi="Palatino Linotype" w:cs="Palatino Linotype"/>
          <w:b/>
          <w:sz w:val="22"/>
          <w:szCs w:val="22"/>
          <w:u w:val="single"/>
        </w:rPr>
        <w:t>las segundas</w:t>
      </w:r>
      <w:r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b/>
          <w:sz w:val="22"/>
          <w:szCs w:val="22"/>
        </w:rPr>
        <w:t>son aquellas en las cuales se anotan diariamente las operaciones que representan gastos, es decir, salidas de dinero</w:t>
      </w:r>
      <w:r w:rsidRPr="003E53A6">
        <w:rPr>
          <w:rFonts w:ascii="Palatino Linotype" w:eastAsia="Palatino Linotype" w:hAnsi="Palatino Linotype" w:cs="Palatino Linotype"/>
          <w:sz w:val="22"/>
          <w:szCs w:val="22"/>
        </w:rPr>
        <w:t xml:space="preserve"> las que además, </w:t>
      </w:r>
      <w:r w:rsidRPr="003E53A6">
        <w:rPr>
          <w:rFonts w:ascii="Palatino Linotype" w:eastAsia="Palatino Linotype" w:hAnsi="Palatino Linotype" w:cs="Palatino Linotype"/>
          <w:b/>
          <w:sz w:val="22"/>
          <w:szCs w:val="22"/>
        </w:rPr>
        <w:t xml:space="preserve">deben encontrarse acompañadas de las documentales que sirven de soporte de dicho movimiento;  </w:t>
      </w:r>
      <w:r w:rsidRPr="003E53A6">
        <w:rPr>
          <w:rFonts w:ascii="Palatino Linotype" w:eastAsia="Palatino Linotype" w:hAnsi="Palatino Linotype" w:cs="Palatino Linotype"/>
          <w:sz w:val="22"/>
          <w:szCs w:val="22"/>
        </w:rPr>
        <w:t xml:space="preserve">lo anterior </w:t>
      </w:r>
      <w:r w:rsidRPr="003E53A6">
        <w:rPr>
          <w:rFonts w:ascii="Palatino Linotype" w:eastAsia="Palatino Linotype" w:hAnsi="Palatino Linotype" w:cs="Palatino Linotype"/>
          <w:b/>
          <w:sz w:val="22"/>
          <w:szCs w:val="22"/>
        </w:rPr>
        <w:t>independientemente de la modalidad</w:t>
      </w:r>
      <w:r w:rsidRPr="003E53A6">
        <w:rPr>
          <w:rFonts w:ascii="Palatino Linotype" w:eastAsia="Palatino Linotype" w:hAnsi="Palatino Linotype" w:cs="Palatino Linotype"/>
          <w:sz w:val="22"/>
          <w:szCs w:val="22"/>
        </w:rPr>
        <w:t xml:space="preserve"> ya sea en efectivo, transferencia, cheque o pagaré, mediante la expedición de facturas.</w:t>
      </w:r>
    </w:p>
    <w:p w14:paraId="5B3F56AA" w14:textId="7C607A34" w:rsidR="00DB2090" w:rsidRPr="003E53A6" w:rsidRDefault="00DB2090" w:rsidP="00DB2090">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Atento a lo anterior, todo registro contable y presupuestal deberá estar soportado con los documentos comprobatorios originales, como lo son las facturas o pagos fiscales digitales por internet, mismos que deberán permanecer en custodia y conservación de la Unidad Administrativa correspondiente y a disposición del Órgano Superior de Fiscalización del Estado de México; </w:t>
      </w:r>
      <w:r w:rsidRPr="003E53A6">
        <w:rPr>
          <w:rFonts w:ascii="Palatino Linotype" w:eastAsia="Palatino Linotype" w:hAnsi="Palatino Linotype" w:cs="Palatino Linotype"/>
          <w:b/>
          <w:sz w:val="22"/>
          <w:szCs w:val="22"/>
          <w:u w:val="single"/>
        </w:rPr>
        <w:t>por un término de seis años</w:t>
      </w:r>
      <w:r w:rsidRPr="003E53A6">
        <w:rPr>
          <w:rFonts w:ascii="Palatino Linotype" w:eastAsia="Palatino Linotype" w:hAnsi="Palatino Linotype" w:cs="Palatino Linotype"/>
          <w:b/>
          <w:sz w:val="22"/>
          <w:szCs w:val="22"/>
        </w:rPr>
        <w:t xml:space="preserve"> contados a partir del ejercicio presupuestal siguiente al que corresponda</w:t>
      </w:r>
      <w:r w:rsidRPr="003E53A6">
        <w:rPr>
          <w:rFonts w:ascii="Palatino Linotype" w:eastAsia="Palatino Linotype" w:hAnsi="Palatino Linotype" w:cs="Palatino Linotype"/>
          <w:sz w:val="22"/>
          <w:szCs w:val="22"/>
        </w:rPr>
        <w:t>, tal y como se establece en el Código F</w:t>
      </w:r>
      <w:r w:rsidR="005F4254" w:rsidRPr="003E53A6">
        <w:rPr>
          <w:rFonts w:ascii="Palatino Linotype" w:eastAsia="Palatino Linotype" w:hAnsi="Palatino Linotype" w:cs="Palatino Linotype"/>
          <w:sz w:val="22"/>
          <w:szCs w:val="22"/>
        </w:rPr>
        <w:t>inanciero del Estado de México, por lo que en el presente caso, al momento de la presentación de la solicitud</w:t>
      </w:r>
      <w:r w:rsidR="002D5889" w:rsidRPr="003E53A6">
        <w:rPr>
          <w:rFonts w:ascii="Palatino Linotype" w:eastAsia="Palatino Linotype" w:hAnsi="Palatino Linotype" w:cs="Palatino Linotype"/>
          <w:sz w:val="22"/>
          <w:szCs w:val="22"/>
        </w:rPr>
        <w:t xml:space="preserve"> que dio origen al recurso de revisión que se resuelve</w:t>
      </w:r>
      <w:r w:rsidR="005F4254" w:rsidRPr="003E53A6">
        <w:rPr>
          <w:rFonts w:ascii="Palatino Linotype" w:eastAsia="Palatino Linotype" w:hAnsi="Palatino Linotype" w:cs="Palatino Linotype"/>
          <w:sz w:val="22"/>
          <w:szCs w:val="22"/>
        </w:rPr>
        <w:t xml:space="preserve">, </w:t>
      </w:r>
      <w:r w:rsidR="005F4254" w:rsidRPr="003E53A6">
        <w:rPr>
          <w:rFonts w:ascii="Palatino Linotype" w:eastAsia="Palatino Linotype" w:hAnsi="Palatino Linotype" w:cs="Palatino Linotype"/>
          <w:b/>
          <w:sz w:val="22"/>
          <w:szCs w:val="22"/>
        </w:rPr>
        <w:t>el plazo de conservación</w:t>
      </w:r>
      <w:r w:rsidR="002D5889" w:rsidRPr="003E53A6">
        <w:rPr>
          <w:rFonts w:ascii="Palatino Linotype" w:eastAsia="Palatino Linotype" w:hAnsi="Palatino Linotype" w:cs="Palatino Linotype"/>
          <w:b/>
          <w:sz w:val="22"/>
          <w:szCs w:val="22"/>
        </w:rPr>
        <w:t xml:space="preserve"> de seis años</w:t>
      </w:r>
      <w:r w:rsidR="005F4254" w:rsidRPr="003E53A6">
        <w:rPr>
          <w:rFonts w:ascii="Palatino Linotype" w:eastAsia="Palatino Linotype" w:hAnsi="Palatino Linotype" w:cs="Palatino Linotype"/>
          <w:b/>
          <w:sz w:val="22"/>
          <w:szCs w:val="22"/>
        </w:rPr>
        <w:t xml:space="preserve"> de la información contable generada </w:t>
      </w:r>
      <w:r w:rsidR="002D5889" w:rsidRPr="003E53A6">
        <w:rPr>
          <w:rFonts w:ascii="Palatino Linotype" w:eastAsia="Palatino Linotype" w:hAnsi="Palatino Linotype" w:cs="Palatino Linotype"/>
          <w:b/>
          <w:sz w:val="22"/>
          <w:szCs w:val="22"/>
        </w:rPr>
        <w:t>en el ejercicio</w:t>
      </w:r>
      <w:r w:rsidR="0095725B" w:rsidRPr="003E53A6">
        <w:rPr>
          <w:rFonts w:ascii="Palatino Linotype" w:eastAsia="Palatino Linotype" w:hAnsi="Palatino Linotype" w:cs="Palatino Linotype"/>
          <w:b/>
          <w:sz w:val="22"/>
          <w:szCs w:val="22"/>
        </w:rPr>
        <w:t xml:space="preserve"> fiscal</w:t>
      </w:r>
      <w:r w:rsidR="002D5889" w:rsidRPr="003E53A6">
        <w:rPr>
          <w:rFonts w:ascii="Palatino Linotype" w:eastAsia="Palatino Linotype" w:hAnsi="Palatino Linotype" w:cs="Palatino Linotype"/>
          <w:b/>
          <w:sz w:val="22"/>
          <w:szCs w:val="22"/>
        </w:rPr>
        <w:t xml:space="preserve"> 2019</w:t>
      </w:r>
      <w:r w:rsidR="002D5889" w:rsidRPr="003E53A6">
        <w:rPr>
          <w:rFonts w:ascii="Palatino Linotype" w:eastAsia="Palatino Linotype" w:hAnsi="Palatino Linotype" w:cs="Palatino Linotype"/>
          <w:sz w:val="22"/>
          <w:szCs w:val="22"/>
        </w:rPr>
        <w:t xml:space="preserve"> por el</w:t>
      </w:r>
      <w:r w:rsidR="005F4254" w:rsidRPr="003E53A6">
        <w:rPr>
          <w:rFonts w:ascii="Palatino Linotype" w:eastAsia="Palatino Linotype" w:hAnsi="Palatino Linotype" w:cs="Palatino Linotype"/>
          <w:sz w:val="22"/>
          <w:szCs w:val="22"/>
        </w:rPr>
        <w:t xml:space="preserve"> </w:t>
      </w:r>
      <w:r w:rsidR="005F4254" w:rsidRPr="003E53A6">
        <w:rPr>
          <w:rFonts w:ascii="Palatino Linotype" w:eastAsia="Palatino Linotype" w:hAnsi="Palatino Linotype" w:cs="Palatino Linotype"/>
          <w:b/>
          <w:sz w:val="22"/>
          <w:szCs w:val="22"/>
        </w:rPr>
        <w:t>Sujeto Obligado</w:t>
      </w:r>
      <w:r w:rsidR="002D5889" w:rsidRPr="003E53A6">
        <w:rPr>
          <w:rFonts w:ascii="Palatino Linotype" w:eastAsia="Palatino Linotype" w:hAnsi="Palatino Linotype" w:cs="Palatino Linotype"/>
          <w:b/>
          <w:sz w:val="22"/>
          <w:szCs w:val="22"/>
        </w:rPr>
        <w:t xml:space="preserve">, </w:t>
      </w:r>
      <w:r w:rsidR="002D5889" w:rsidRPr="003E53A6">
        <w:rPr>
          <w:rFonts w:ascii="Palatino Linotype" w:eastAsia="Palatino Linotype" w:hAnsi="Palatino Linotype" w:cs="Palatino Linotype"/>
          <w:sz w:val="22"/>
          <w:szCs w:val="22"/>
        </w:rPr>
        <w:t xml:space="preserve">mismo que comenzó a computarse a partir del año 2020 al ser el ejercicio presupuestal siguiente, </w:t>
      </w:r>
      <w:r w:rsidR="002D5889" w:rsidRPr="003E53A6">
        <w:rPr>
          <w:rFonts w:ascii="Palatino Linotype" w:eastAsia="Palatino Linotype" w:hAnsi="Palatino Linotype" w:cs="Palatino Linotype"/>
          <w:b/>
          <w:sz w:val="22"/>
          <w:szCs w:val="22"/>
        </w:rPr>
        <w:t>se encontraba en curso</w:t>
      </w:r>
      <w:r w:rsidR="002D5889" w:rsidRPr="003E53A6">
        <w:rPr>
          <w:rFonts w:ascii="Palatino Linotype" w:eastAsia="Palatino Linotype" w:hAnsi="Palatino Linotype" w:cs="Palatino Linotype"/>
          <w:sz w:val="22"/>
          <w:szCs w:val="22"/>
        </w:rPr>
        <w:t>, por tanto, la información aún debía obrar en sus archivos.</w:t>
      </w:r>
    </w:p>
    <w:p w14:paraId="3B1C1E20" w14:textId="77777777" w:rsidR="00890D4E" w:rsidRPr="003E53A6" w:rsidRDefault="00890D4E" w:rsidP="00890D4E">
      <w:pPr>
        <w:spacing w:before="240" w:after="240" w:line="360" w:lineRule="auto"/>
        <w:jc w:val="both"/>
        <w:rPr>
          <w:rFonts w:ascii="Palatino Linotype" w:hAnsi="Palatino Linotype" w:cs="Arial"/>
          <w:bCs/>
          <w:sz w:val="22"/>
          <w:szCs w:val="22"/>
        </w:rPr>
      </w:pPr>
      <w:r w:rsidRPr="003E53A6">
        <w:rPr>
          <w:rFonts w:ascii="Palatino Linotype" w:hAnsi="Palatino Linotype"/>
          <w:sz w:val="22"/>
          <w:szCs w:val="22"/>
        </w:rPr>
        <w:t xml:space="preserve">Aunado a lo anterior, en los Lineamientos para la Integración del Informe Mensual 2019, emitidos por el Órgano Superior de Fiscalización del Estado de México (OSFEM), se destaca que dentro de los informes mensuales, los entes públicos municipales contaban con la obligación de remitir la información referente a las </w:t>
      </w:r>
      <w:r w:rsidRPr="003E53A6">
        <w:rPr>
          <w:rFonts w:ascii="Palatino Linotype" w:hAnsi="Palatino Linotype"/>
          <w:i/>
          <w:sz w:val="22"/>
          <w:szCs w:val="22"/>
        </w:rPr>
        <w:t xml:space="preserve">pólizas de ingresos, póliza de diario, póliza de egresos, póliza cheque </w:t>
      </w:r>
      <w:r w:rsidRPr="003E53A6">
        <w:rPr>
          <w:rFonts w:ascii="Palatino Linotype" w:hAnsi="Palatino Linotype"/>
          <w:sz w:val="22"/>
          <w:szCs w:val="22"/>
        </w:rPr>
        <w:t xml:space="preserve">y </w:t>
      </w:r>
      <w:r w:rsidRPr="003E53A6">
        <w:rPr>
          <w:rFonts w:ascii="Palatino Linotype" w:hAnsi="Palatino Linotype"/>
          <w:i/>
          <w:sz w:val="22"/>
          <w:szCs w:val="22"/>
        </w:rPr>
        <w:t>póliza de cuentas por pagar</w:t>
      </w:r>
      <w:r w:rsidRPr="003E53A6">
        <w:rPr>
          <w:rFonts w:ascii="Palatino Linotype" w:hAnsi="Palatino Linotype"/>
          <w:sz w:val="22"/>
          <w:szCs w:val="22"/>
        </w:rPr>
        <w:t xml:space="preserve">, las cuales se encontraban contenidas dentro del Disco 5 “Imágenes Digitalizadas”, </w:t>
      </w:r>
      <w:r w:rsidRPr="003E53A6">
        <w:rPr>
          <w:rFonts w:ascii="Palatino Linotype" w:hAnsi="Palatino Linotype" w:cs="Arial"/>
          <w:sz w:val="22"/>
          <w:szCs w:val="22"/>
        </w:rPr>
        <w:t>d</w:t>
      </w:r>
      <w:r w:rsidRPr="003E53A6">
        <w:rPr>
          <w:rFonts w:ascii="Palatino Linotype" w:hAnsi="Palatino Linotype" w:cs="Arial"/>
          <w:bCs/>
          <w:sz w:val="22"/>
          <w:szCs w:val="22"/>
        </w:rPr>
        <w:t xml:space="preserve">e tal manera que, dichos formatos constituyen un soporte documental de que la información solicitada por la parte hoy recurrente obra en los archivos del sujeto obligado, insertando de manera ilustrativa, el formato correspondiente de 2019: </w:t>
      </w:r>
    </w:p>
    <w:p w14:paraId="40BC962E" w14:textId="77777777" w:rsidR="00890D4E" w:rsidRPr="003E53A6" w:rsidRDefault="00890D4E" w:rsidP="00890D4E">
      <w:pPr>
        <w:widowControl w:val="0"/>
        <w:autoSpaceDE w:val="0"/>
        <w:autoSpaceDN w:val="0"/>
        <w:adjustRightInd w:val="0"/>
        <w:spacing w:before="240" w:after="120" w:line="360" w:lineRule="auto"/>
        <w:jc w:val="both"/>
        <w:rPr>
          <w:rFonts w:ascii="Palatino Linotype" w:eastAsia="Calibri" w:hAnsi="Palatino Linotype" w:cs="Arial"/>
          <w:sz w:val="22"/>
          <w:szCs w:val="22"/>
        </w:rPr>
      </w:pPr>
      <w:r w:rsidRPr="003E53A6">
        <w:rPr>
          <w:rFonts w:ascii="Palatino Linotype" w:hAnsi="Palatino Linotype" w:cs="Arial"/>
          <w:bCs/>
          <w:noProof/>
          <w:sz w:val="22"/>
          <w:szCs w:val="22"/>
        </w:rPr>
        <w:drawing>
          <wp:inline distT="0" distB="0" distL="0" distR="0" wp14:anchorId="1DDA3369" wp14:editId="56F30EAC">
            <wp:extent cx="5662608" cy="1138687"/>
            <wp:effectExtent l="38100" t="38100" r="33655" b="425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b="74569"/>
                    <a:stretch/>
                  </pic:blipFill>
                  <pic:spPr bwMode="auto">
                    <a:xfrm>
                      <a:off x="0" y="0"/>
                      <a:ext cx="5678444" cy="1141872"/>
                    </a:xfrm>
                    <a:prstGeom prst="rect">
                      <a:avLst/>
                    </a:prstGeom>
                    <a:noFill/>
                    <a:ln w="28575">
                      <a:solidFill>
                        <a:srgbClr val="FF0000"/>
                      </a:solidFill>
                    </a:ln>
                    <a:extLst>
                      <a:ext uri="{53640926-AAD7-44D8-BBD7-CCE9431645EC}">
                        <a14:shadowObscured xmlns:a14="http://schemas.microsoft.com/office/drawing/2010/main"/>
                      </a:ext>
                    </a:extLst>
                  </pic:spPr>
                </pic:pic>
              </a:graphicData>
            </a:graphic>
          </wp:inline>
        </w:drawing>
      </w:r>
    </w:p>
    <w:p w14:paraId="74738DE1" w14:textId="7E46303D" w:rsidR="00890D4E" w:rsidRPr="003E53A6" w:rsidRDefault="00890D4E" w:rsidP="00890D4E">
      <w:pPr>
        <w:spacing w:before="240" w:after="240" w:line="360" w:lineRule="auto"/>
        <w:jc w:val="both"/>
        <w:rPr>
          <w:rFonts w:ascii="Palatino Linotype" w:hAnsi="Palatino Linotype" w:cs="Arial"/>
          <w:bCs/>
          <w:sz w:val="22"/>
          <w:szCs w:val="22"/>
        </w:rPr>
      </w:pPr>
      <w:r w:rsidRPr="003E53A6">
        <w:rPr>
          <w:rFonts w:ascii="Palatino Linotype" w:hAnsi="Palatino Linotype"/>
          <w:sz w:val="22"/>
          <w:szCs w:val="22"/>
        </w:rPr>
        <w:t xml:space="preserve">Además, </w:t>
      </w:r>
      <w:r w:rsidRPr="003E53A6">
        <w:rPr>
          <w:rFonts w:ascii="Palatino Linotype" w:hAnsi="Palatino Linotype" w:cs="Arial"/>
          <w:bCs/>
          <w:sz w:val="22"/>
          <w:szCs w:val="22"/>
        </w:rPr>
        <w:t xml:space="preserve">los citados Lineamientos especificaban que las imágenes contenidas en el Disco 5 debían ser indexadas de manera que se permitiera su vinculación con la información financiera contenida en el disco 1 del Informe Mensual, de tal forma que al consultar la citada información financiera se pudiera visualizar el soporte documental que justifique los registros contables. </w:t>
      </w:r>
    </w:p>
    <w:p w14:paraId="1FC3B52C" w14:textId="77777777" w:rsidR="005F4254" w:rsidRPr="003E53A6" w:rsidRDefault="005F4254" w:rsidP="005F4254">
      <w:pPr>
        <w:tabs>
          <w:tab w:val="left" w:pos="567"/>
        </w:tabs>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Bajo esta línea de pensamiento, es evidente que para tener por satisfecho el Derecho de acceso de la persona solicitante,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deberá hacer entrega del o los documentos que atiendan la solitud de información en versión pública de ser procedente.</w:t>
      </w:r>
    </w:p>
    <w:bookmarkEnd w:id="10"/>
    <w:p w14:paraId="77A28E1A" w14:textId="77777777" w:rsidR="002D01B9" w:rsidRPr="003E53A6" w:rsidRDefault="002D01B9" w:rsidP="002D01B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De lo hasta aquí expuesto, se concluye que los motivos de inconformidad de la parte </w:t>
      </w:r>
      <w:r w:rsidRPr="003E53A6">
        <w:rPr>
          <w:rFonts w:ascii="Palatino Linotype" w:eastAsia="Palatino Linotype" w:hAnsi="Palatino Linotype" w:cs="Palatino Linotype"/>
          <w:b/>
          <w:sz w:val="22"/>
          <w:szCs w:val="22"/>
        </w:rPr>
        <w:t xml:space="preserve">Recurrente </w:t>
      </w:r>
      <w:r w:rsidRPr="003E53A6">
        <w:rPr>
          <w:rFonts w:ascii="Palatino Linotype" w:eastAsia="Palatino Linotype" w:hAnsi="Palatino Linotype" w:cs="Palatino Linotype"/>
          <w:sz w:val="22"/>
          <w:szCs w:val="22"/>
        </w:rPr>
        <w:t xml:space="preserve">devienen fundados, siendo procedente </w:t>
      </w:r>
      <w:r w:rsidRPr="003E53A6">
        <w:rPr>
          <w:rFonts w:ascii="Palatino Linotype" w:eastAsia="Palatino Linotype" w:hAnsi="Palatino Linotype" w:cs="Palatino Linotype"/>
          <w:i/>
          <w:sz w:val="22"/>
          <w:szCs w:val="22"/>
        </w:rPr>
        <w:t xml:space="preserve">Revocar </w:t>
      </w:r>
      <w:r w:rsidRPr="003E53A6">
        <w:rPr>
          <w:rFonts w:ascii="Palatino Linotype" w:eastAsia="Palatino Linotype" w:hAnsi="Palatino Linotype" w:cs="Palatino Linotype"/>
          <w:sz w:val="22"/>
          <w:szCs w:val="22"/>
        </w:rPr>
        <w:t xml:space="preserve">la respuesta proporcionada por el </w:t>
      </w:r>
      <w:r w:rsidRPr="003E53A6">
        <w:rPr>
          <w:rFonts w:ascii="Palatino Linotype" w:eastAsia="Palatino Linotype" w:hAnsi="Palatino Linotype" w:cs="Palatino Linotype"/>
          <w:b/>
          <w:sz w:val="22"/>
          <w:szCs w:val="22"/>
        </w:rPr>
        <w:t xml:space="preserve">Sujeto Obligado </w:t>
      </w:r>
      <w:r w:rsidRPr="003E53A6">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6F0F7A07" w14:textId="77777777" w:rsidR="005F4254" w:rsidRPr="003E53A6" w:rsidRDefault="005F4254" w:rsidP="005F4254">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 xml:space="preserve">Quinto. Versión Pública. </w:t>
      </w:r>
      <w:r w:rsidRPr="003E53A6">
        <w:rPr>
          <w:rFonts w:ascii="Palatino Linotype" w:eastAsia="Palatino Linotype" w:hAnsi="Palatino Linotype" w:cs="Palatino Linotype"/>
          <w:sz w:val="22"/>
          <w:szCs w:val="22"/>
        </w:rPr>
        <w:t>Como fue debidamente apuntado, 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FC95827" w14:textId="77777777" w:rsidR="005F4254" w:rsidRPr="003E53A6" w:rsidRDefault="005F4254" w:rsidP="005F425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47A284" w14:textId="77777777" w:rsidR="005F4254" w:rsidRPr="003E53A6" w:rsidRDefault="005F4254" w:rsidP="005F425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9326D55" w14:textId="77777777" w:rsidR="005F4254" w:rsidRPr="003E53A6" w:rsidRDefault="005F4254" w:rsidP="005F4254">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3E992561"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sz w:val="22"/>
          <w:szCs w:val="22"/>
        </w:rPr>
        <w:t> </w:t>
      </w: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3.</w:t>
      </w:r>
      <w:r w:rsidRPr="003E53A6">
        <w:rPr>
          <w:rFonts w:ascii="Palatino Linotype" w:eastAsia="Palatino Linotype" w:hAnsi="Palatino Linotype" w:cs="Palatino Linotype"/>
          <w:i/>
          <w:sz w:val="22"/>
          <w:szCs w:val="22"/>
        </w:rPr>
        <w:t xml:space="preserve"> Para los efectos de la presente Ley se entenderá por:</w:t>
      </w:r>
    </w:p>
    <w:p w14:paraId="143BC95E"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54A8C76E"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IX. Datos personales</w:t>
      </w:r>
      <w:r w:rsidRPr="003E53A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9F7AE36"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5DE332FE"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XX. Información clasificada</w:t>
      </w:r>
      <w:r w:rsidRPr="003E53A6">
        <w:rPr>
          <w:rFonts w:ascii="Palatino Linotype" w:eastAsia="Palatino Linotype" w:hAnsi="Palatino Linotype" w:cs="Palatino Linotype"/>
          <w:i/>
          <w:sz w:val="22"/>
          <w:szCs w:val="22"/>
        </w:rPr>
        <w:t>: Aquella considerada por la presente Ley como reservada o confidencial;</w:t>
      </w:r>
    </w:p>
    <w:p w14:paraId="70283142"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XXI. Información confidencial</w:t>
      </w:r>
      <w:r w:rsidRPr="003E53A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F69BE6"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1FC7A830"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XXXII. Protección de Datos Personales</w:t>
      </w:r>
      <w:r w:rsidRPr="003E53A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98C06EA"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1BF211CE" w14:textId="77777777" w:rsidR="005F4254" w:rsidRPr="003E53A6" w:rsidRDefault="005F4254" w:rsidP="005F4254">
      <w:pPr>
        <w:tabs>
          <w:tab w:val="left" w:pos="1276"/>
        </w:tabs>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XLV. Versión pública</w:t>
      </w:r>
      <w:r w:rsidRPr="003E53A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0A1DAA9"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Artículo 6</w:t>
      </w:r>
      <w:r w:rsidRPr="003E53A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4E6288"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7626CCC7"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91.</w:t>
      </w:r>
      <w:r w:rsidRPr="003E53A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3E53A6">
        <w:rPr>
          <w:rFonts w:ascii="Palatino Linotype" w:eastAsia="Palatino Linotype" w:hAnsi="Palatino Linotype" w:cs="Palatino Linotype"/>
          <w:i/>
          <w:sz w:val="22"/>
          <w:szCs w:val="22"/>
        </w:rPr>
        <w:br/>
        <w:t>…</w:t>
      </w:r>
    </w:p>
    <w:p w14:paraId="498AD22C"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132.</w:t>
      </w:r>
      <w:r w:rsidRPr="003E53A6">
        <w:rPr>
          <w:rFonts w:ascii="Palatino Linotype" w:eastAsia="Palatino Linotype" w:hAnsi="Palatino Linotype" w:cs="Palatino Linotype"/>
          <w:i/>
          <w:sz w:val="22"/>
          <w:szCs w:val="22"/>
        </w:rPr>
        <w:t xml:space="preserve"> La clasificación de la información se llevará a cabo en el momento en que:</w:t>
      </w:r>
    </w:p>
    <w:p w14:paraId="6DADC0C4"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Se reciba una solicitud de acceso a la información;</w:t>
      </w:r>
    </w:p>
    <w:p w14:paraId="3DC916CA"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w:t>
      </w:r>
      <w:r w:rsidRPr="003E53A6">
        <w:rPr>
          <w:rFonts w:ascii="Palatino Linotype" w:eastAsia="Palatino Linotype" w:hAnsi="Palatino Linotype" w:cs="Palatino Linotype"/>
          <w:i/>
          <w:sz w:val="22"/>
          <w:szCs w:val="22"/>
        </w:rPr>
        <w:t xml:space="preserve"> Se determine mediante resolución de autoridad competente; o</w:t>
      </w:r>
    </w:p>
    <w:p w14:paraId="667C1953"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III.</w:t>
      </w:r>
      <w:r w:rsidRPr="003E53A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1E46C1B"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w:t>
      </w:r>
    </w:p>
    <w:p w14:paraId="7314114F"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137.</w:t>
      </w:r>
      <w:r w:rsidRPr="003E53A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3E90B2B"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Artículo 143.</w:t>
      </w:r>
      <w:r w:rsidRPr="003E53A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E5E5A0B"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4B147A5" w14:textId="77777777" w:rsidR="005F4254" w:rsidRPr="003E53A6" w:rsidRDefault="005F4254" w:rsidP="005F4254">
      <w:pPr>
        <w:spacing w:before="240" w:after="240" w:line="360" w:lineRule="auto"/>
        <w:ind w:right="50"/>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0162AEF" w14:textId="77777777" w:rsidR="005F4254" w:rsidRPr="003E53A6" w:rsidRDefault="005F4254" w:rsidP="005F4254">
      <w:pPr>
        <w:spacing w:before="240" w:after="240" w:line="360" w:lineRule="auto"/>
        <w:ind w:right="50"/>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D79C9D3"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 esta manera, la información que se ordena pudiera contener, entre otros datos, información de los predios colindantes, es decir, de los predios contiguos o que limitan con determinado bien inmueble; como lo es de manera enunciativa, más no limitativa, el nombre de los propietarios.</w:t>
      </w:r>
    </w:p>
    <w:p w14:paraId="14406392"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En tal sentido, para el caso de que los documentos mediante los cuales se dará cumplimiento a la presente resolución contengan el nombre de personas físicas identificadas o identificables, en su carácter de propietarias de predios colindantes con bienes inmuebles de las instituciones públicas, así como de los bienes de dominio público, dicho dato deberá ser clasificado como confidencial.</w:t>
      </w:r>
    </w:p>
    <w:p w14:paraId="05388932"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Al respecto, es conveniente señalar que el nombre de una persona física, al ser uno de los atributos de la personalidad y la manifestación principal del derecho subjetivo a la identidad, es un dato personal que, por regla general, debe considerarse como un dato confidencial en términos del artículo 143, fracción I de la Ley de Transparencia y Acceso a la Información Pública del Estado de México y Municipios, cuando esta no se desempeña en la función pública, o bien, no celebra actos en el ámbito del derecho público, ya que por sí solo es un dato que identifica a su titular o lo hace identificable, por lo que con su publicidad se vulneraría su ámbito de privacidad.</w:t>
      </w:r>
    </w:p>
    <w:p w14:paraId="64F3FCA2"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Asimismo, cabe señalar que las medidas y colindancias de los bienes inmuebles, en sí, no corren la misma suerte que el nombre de sus propietarios, toda vez que la finalidad de dichos datos, basados generalmente en los puntos cardinales, consiste únicamente en delimitar el área de determinado predio, esto es, su extensión y límites o linderos, respecto de los predios contiguos o adyacentes al mismo, por lo que no son propiamente datos personales susceptibles de ser clasificados de conformidad con las leyes de la materia.</w:t>
      </w:r>
    </w:p>
    <w:p w14:paraId="7F2FB8E6" w14:textId="77777777" w:rsidR="005F4254" w:rsidRPr="003E53A6" w:rsidRDefault="005F4254" w:rsidP="005F4254">
      <w:pPr>
        <w:spacing w:before="240" w:after="240" w:line="360" w:lineRule="auto"/>
        <w:ind w:right="50"/>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4D55EE4"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49.</w:t>
      </w:r>
      <w:r w:rsidRPr="003E53A6">
        <w:rPr>
          <w:rFonts w:ascii="Palatino Linotype" w:eastAsia="Palatino Linotype" w:hAnsi="Palatino Linotype" w:cs="Palatino Linotype"/>
          <w:i/>
          <w:sz w:val="22"/>
          <w:szCs w:val="22"/>
        </w:rPr>
        <w:t xml:space="preserve"> </w:t>
      </w:r>
      <w:r w:rsidRPr="003E53A6">
        <w:rPr>
          <w:rFonts w:ascii="Palatino Linotype" w:eastAsia="Palatino Linotype" w:hAnsi="Palatino Linotype" w:cs="Palatino Linotype"/>
          <w:b/>
          <w:i/>
          <w:sz w:val="22"/>
          <w:szCs w:val="22"/>
        </w:rPr>
        <w:t>Los Comités de Transparencia</w:t>
      </w:r>
      <w:r w:rsidRPr="003E53A6">
        <w:rPr>
          <w:rFonts w:ascii="Palatino Linotype" w:eastAsia="Palatino Linotype" w:hAnsi="Palatino Linotype" w:cs="Palatino Linotype"/>
          <w:i/>
          <w:sz w:val="22"/>
          <w:szCs w:val="22"/>
        </w:rPr>
        <w:t xml:space="preserve"> tendrán las siguientes atribuciones:</w:t>
      </w:r>
    </w:p>
    <w:p w14:paraId="68A63D19"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VIII. Aprobar, modificar o revocar la clasificación de la información</w:t>
      </w:r>
      <w:r w:rsidRPr="003E53A6">
        <w:rPr>
          <w:rFonts w:ascii="Palatino Linotype" w:eastAsia="Palatino Linotype" w:hAnsi="Palatino Linotype" w:cs="Palatino Linotype"/>
          <w:i/>
          <w:sz w:val="22"/>
          <w:szCs w:val="22"/>
        </w:rPr>
        <w:t>…”</w:t>
      </w:r>
    </w:p>
    <w:p w14:paraId="4C82D3FA"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53.</w:t>
      </w:r>
      <w:r w:rsidRPr="003E53A6">
        <w:rPr>
          <w:rFonts w:ascii="Palatino Linotype" w:eastAsia="Palatino Linotype" w:hAnsi="Palatino Linotype" w:cs="Palatino Linotype"/>
          <w:i/>
          <w:sz w:val="22"/>
          <w:szCs w:val="22"/>
        </w:rPr>
        <w:t xml:space="preserve"> Las </w:t>
      </w:r>
      <w:r w:rsidRPr="003E53A6">
        <w:rPr>
          <w:rFonts w:ascii="Palatino Linotype" w:eastAsia="Palatino Linotype" w:hAnsi="Palatino Linotype" w:cs="Palatino Linotype"/>
          <w:b/>
          <w:i/>
          <w:sz w:val="22"/>
          <w:szCs w:val="22"/>
        </w:rPr>
        <w:t>Unidades de Transparencia</w:t>
      </w:r>
      <w:r w:rsidRPr="003E53A6">
        <w:rPr>
          <w:rFonts w:ascii="Palatino Linotype" w:eastAsia="Palatino Linotype" w:hAnsi="Palatino Linotype" w:cs="Palatino Linotype"/>
          <w:i/>
          <w:sz w:val="22"/>
          <w:szCs w:val="22"/>
        </w:rPr>
        <w:t xml:space="preserve"> tendrán las siguientes </w:t>
      </w:r>
      <w:r w:rsidRPr="003E53A6">
        <w:rPr>
          <w:rFonts w:ascii="Palatino Linotype" w:eastAsia="Palatino Linotype" w:hAnsi="Palatino Linotype" w:cs="Palatino Linotype"/>
          <w:b/>
          <w:i/>
          <w:sz w:val="22"/>
          <w:szCs w:val="22"/>
        </w:rPr>
        <w:t>funciones</w:t>
      </w:r>
      <w:r w:rsidRPr="003E53A6">
        <w:rPr>
          <w:rFonts w:ascii="Palatino Linotype" w:eastAsia="Palatino Linotype" w:hAnsi="Palatino Linotype" w:cs="Palatino Linotype"/>
          <w:i/>
          <w:sz w:val="22"/>
          <w:szCs w:val="22"/>
        </w:rPr>
        <w:t>:</w:t>
      </w:r>
    </w:p>
    <w:p w14:paraId="520B0D3D"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X. Presentar ante el Comité, el proyecto de clasificación de información</w:t>
      </w:r>
      <w:r w:rsidRPr="003E53A6">
        <w:rPr>
          <w:rFonts w:ascii="Palatino Linotype" w:eastAsia="Palatino Linotype" w:hAnsi="Palatino Linotype" w:cs="Palatino Linotype"/>
          <w:i/>
          <w:sz w:val="22"/>
          <w:szCs w:val="22"/>
        </w:rPr>
        <w:t xml:space="preserve">…” </w:t>
      </w:r>
    </w:p>
    <w:p w14:paraId="0D07BAD3"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“Artículo 59.</w:t>
      </w:r>
      <w:r w:rsidRPr="003E53A6">
        <w:rPr>
          <w:rFonts w:ascii="Palatino Linotype" w:eastAsia="Palatino Linotype" w:hAnsi="Palatino Linotype" w:cs="Palatino Linotype"/>
          <w:i/>
          <w:sz w:val="22"/>
          <w:szCs w:val="22"/>
        </w:rPr>
        <w:t xml:space="preserve"> Los </w:t>
      </w:r>
      <w:r w:rsidRPr="003E53A6">
        <w:rPr>
          <w:rFonts w:ascii="Palatino Linotype" w:eastAsia="Palatino Linotype" w:hAnsi="Palatino Linotype" w:cs="Palatino Linotype"/>
          <w:b/>
          <w:i/>
          <w:sz w:val="22"/>
          <w:szCs w:val="22"/>
        </w:rPr>
        <w:t>servidores públicos habilitados</w:t>
      </w:r>
      <w:r w:rsidRPr="003E53A6">
        <w:rPr>
          <w:rFonts w:ascii="Palatino Linotype" w:eastAsia="Palatino Linotype" w:hAnsi="Palatino Linotype" w:cs="Palatino Linotype"/>
          <w:i/>
          <w:sz w:val="22"/>
          <w:szCs w:val="22"/>
        </w:rPr>
        <w:t xml:space="preserve"> tendrán las </w:t>
      </w:r>
      <w:r w:rsidRPr="003E53A6">
        <w:rPr>
          <w:rFonts w:ascii="Palatino Linotype" w:eastAsia="Palatino Linotype" w:hAnsi="Palatino Linotype" w:cs="Palatino Linotype"/>
          <w:b/>
          <w:i/>
          <w:sz w:val="22"/>
          <w:szCs w:val="22"/>
        </w:rPr>
        <w:t>funciones</w:t>
      </w:r>
      <w:r w:rsidRPr="003E53A6">
        <w:rPr>
          <w:rFonts w:ascii="Palatino Linotype" w:eastAsia="Palatino Linotype" w:hAnsi="Palatino Linotype" w:cs="Palatino Linotype"/>
          <w:i/>
          <w:sz w:val="22"/>
          <w:szCs w:val="22"/>
        </w:rPr>
        <w:t xml:space="preserve"> siguientes:</w:t>
      </w:r>
    </w:p>
    <w:p w14:paraId="7C96E613"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E53A6">
        <w:rPr>
          <w:rFonts w:ascii="Palatino Linotype" w:eastAsia="Palatino Linotype" w:hAnsi="Palatino Linotype" w:cs="Palatino Linotype"/>
          <w:i/>
          <w:sz w:val="22"/>
          <w:szCs w:val="22"/>
        </w:rPr>
        <w:t>, la cual tendrá los fundamentos y argumentos en que se basa dicha propuesta…”</w:t>
      </w:r>
    </w:p>
    <w:p w14:paraId="4405544C"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B7FC8F2"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04C9D85"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Artículo 149.</w:t>
      </w:r>
      <w:r w:rsidRPr="003E53A6">
        <w:rPr>
          <w:rFonts w:ascii="Palatino Linotype" w:eastAsia="Palatino Linotype" w:hAnsi="Palatino Linotype" w:cs="Palatino Linotype"/>
          <w:i/>
          <w:sz w:val="22"/>
          <w:szCs w:val="22"/>
        </w:rPr>
        <w:t xml:space="preserve"> El </w:t>
      </w:r>
      <w:r w:rsidRPr="003E53A6">
        <w:rPr>
          <w:rFonts w:ascii="Palatino Linotype" w:eastAsia="Palatino Linotype" w:hAnsi="Palatino Linotype" w:cs="Palatino Linotype"/>
          <w:b/>
          <w:i/>
          <w:sz w:val="22"/>
          <w:szCs w:val="22"/>
        </w:rPr>
        <w:t>acuerdo que clasifique la información como confidencial</w:t>
      </w:r>
      <w:r w:rsidRPr="003E53A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643B43B" w14:textId="77777777" w:rsidR="005F4254" w:rsidRPr="003E53A6" w:rsidRDefault="005F4254" w:rsidP="005F4254">
      <w:pP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Es decir, 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E662F1F" w14:textId="77777777" w:rsidR="005F4254" w:rsidRPr="003E53A6" w:rsidRDefault="005F4254" w:rsidP="005F425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12AA37C"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xml:space="preserve"> “Quincuagésimo. </w:t>
      </w:r>
      <w:r w:rsidRPr="003E53A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BCEA31E"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xml:space="preserve">Quincuagésimo primero. </w:t>
      </w:r>
      <w:r w:rsidRPr="003E53A6">
        <w:rPr>
          <w:rFonts w:ascii="Palatino Linotype" w:eastAsia="Palatino Linotype" w:hAnsi="Palatino Linotype" w:cs="Palatino Linotype"/>
          <w:i/>
          <w:sz w:val="22"/>
          <w:szCs w:val="22"/>
        </w:rPr>
        <w:t xml:space="preserve">Toda acta del Comité de Transparencia deberá contener: </w:t>
      </w:r>
    </w:p>
    <w:p w14:paraId="61546BEC"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xml:space="preserve"> El número de sesión y fecha; </w:t>
      </w:r>
    </w:p>
    <w:p w14:paraId="7EBD1525"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w:t>
      </w:r>
      <w:r w:rsidRPr="003E53A6">
        <w:rPr>
          <w:rFonts w:ascii="Palatino Linotype" w:eastAsia="Palatino Linotype" w:hAnsi="Palatino Linotype" w:cs="Palatino Linotype"/>
          <w:i/>
          <w:sz w:val="22"/>
          <w:szCs w:val="22"/>
        </w:rPr>
        <w:t xml:space="preserve">. El nombre del área que solicitó la clasificación de información; </w:t>
      </w:r>
    </w:p>
    <w:p w14:paraId="36E13988"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III</w:t>
      </w:r>
      <w:r w:rsidRPr="003E53A6">
        <w:rPr>
          <w:rFonts w:ascii="Palatino Linotype" w:eastAsia="Palatino Linotype" w:hAnsi="Palatino Linotype" w:cs="Palatino Linotype"/>
          <w:i/>
          <w:sz w:val="22"/>
          <w:szCs w:val="22"/>
        </w:rPr>
        <w:t xml:space="preserve">. La fundamentación legal y motivación correspondiente; </w:t>
      </w:r>
    </w:p>
    <w:p w14:paraId="7968F171"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IV</w:t>
      </w:r>
      <w:r w:rsidRPr="003E53A6">
        <w:rPr>
          <w:rFonts w:ascii="Palatino Linotype" w:eastAsia="Palatino Linotype" w:hAnsi="Palatino Linotype" w:cs="Palatino Linotype"/>
          <w:i/>
          <w:sz w:val="22"/>
          <w:szCs w:val="22"/>
        </w:rPr>
        <w:t xml:space="preserve">. La resolución o resoluciones aprobadas; y </w:t>
      </w:r>
    </w:p>
    <w:p w14:paraId="4A03707D"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V</w:t>
      </w:r>
      <w:r w:rsidRPr="003E53A6">
        <w:rPr>
          <w:rFonts w:ascii="Palatino Linotype" w:eastAsia="Palatino Linotype" w:hAnsi="Palatino Linotype" w:cs="Palatino Linotype"/>
          <w:i/>
          <w:sz w:val="22"/>
          <w:szCs w:val="22"/>
        </w:rPr>
        <w:t xml:space="preserve">. La rúbrica o firma digital de cada integrante del Comité de Transparencia. </w:t>
      </w:r>
    </w:p>
    <w:p w14:paraId="00FF4FBE"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DA2E7D1"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DA414D1"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II</w:t>
      </w:r>
      <w:r w:rsidRPr="003E53A6">
        <w:rPr>
          <w:rFonts w:ascii="Palatino Linotype" w:eastAsia="Palatino Linotype" w:hAnsi="Palatino Linotype" w:cs="Palatino Linotype"/>
          <w:i/>
          <w:sz w:val="22"/>
          <w:szCs w:val="22"/>
        </w:rPr>
        <w:t>. Descripción de las partes o secciones reservadas, en caso de clasificación parcial</w:t>
      </w:r>
      <w:r w:rsidRPr="003E53A6">
        <w:rPr>
          <w:rFonts w:ascii="Palatino Linotype" w:eastAsia="Palatino Linotype" w:hAnsi="Palatino Linotype" w:cs="Palatino Linotype"/>
          <w:b/>
          <w:i/>
          <w:sz w:val="22"/>
          <w:szCs w:val="22"/>
        </w:rPr>
        <w:t xml:space="preserve">; </w:t>
      </w:r>
    </w:p>
    <w:p w14:paraId="2ABF7DB4"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III.</w:t>
      </w:r>
      <w:r w:rsidRPr="003E53A6">
        <w:rPr>
          <w:rFonts w:ascii="Palatino Linotype" w:eastAsia="Palatino Linotype" w:hAnsi="Palatino Linotype" w:cs="Palatino Linotype"/>
          <w:i/>
          <w:sz w:val="22"/>
          <w:szCs w:val="22"/>
        </w:rPr>
        <w:t xml:space="preserve"> El periodo por el que mantendrá su clasificación y fecha de expiración; y </w:t>
      </w:r>
    </w:p>
    <w:p w14:paraId="0F462BD3"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IV.</w:t>
      </w:r>
      <w:r w:rsidRPr="003E53A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20BF16E"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F39D024" w14:textId="77777777" w:rsidR="005F4254" w:rsidRPr="003E53A6" w:rsidRDefault="005F4254" w:rsidP="005F425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7F2E459" w14:textId="77777777" w:rsidR="005F4254" w:rsidRPr="003E53A6" w:rsidRDefault="005F4254" w:rsidP="005F4254">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Asimismo, 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C2EFA21"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r w:rsidRPr="003E53A6">
        <w:rPr>
          <w:rFonts w:ascii="Palatino Linotype" w:eastAsia="Palatino Linotype" w:hAnsi="Palatino Linotype" w:cs="Palatino Linotype"/>
          <w:b/>
          <w:i/>
          <w:sz w:val="22"/>
          <w:szCs w:val="22"/>
        </w:rPr>
        <w:t>Quincuagésimo segundo</w:t>
      </w:r>
      <w:r w:rsidRPr="003E53A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13EAEFD"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CCBE213"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4ACB54A"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w:t>
      </w:r>
      <w:r w:rsidRPr="003E53A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0B3AF2D"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III.</w:t>
      </w:r>
      <w:r w:rsidRPr="003E53A6">
        <w:rPr>
          <w:rFonts w:ascii="Palatino Linotype" w:eastAsia="Palatino Linotype" w:hAnsi="Palatino Linotype" w:cs="Palatino Linotype"/>
          <w:i/>
          <w:sz w:val="22"/>
          <w:szCs w:val="22"/>
        </w:rPr>
        <w:t xml:space="preserve"> Señalar las personas o instancias autorizadas a acceder a la información clasificada.</w:t>
      </w:r>
    </w:p>
    <w:p w14:paraId="58541C46" w14:textId="77777777" w:rsidR="005F4254" w:rsidRPr="003E53A6" w:rsidRDefault="005F4254" w:rsidP="005F4254">
      <w:pP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DCD9BD9" w14:textId="77777777" w:rsidR="005F4254" w:rsidRPr="003E53A6" w:rsidRDefault="005F4254" w:rsidP="005F4254">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w:t>
      </w:r>
    </w:p>
    <w:p w14:paraId="43E09552" w14:textId="77777777" w:rsidR="005F4254" w:rsidRPr="003E53A6" w:rsidRDefault="005F4254" w:rsidP="005F4254">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 xml:space="preserve">Quincuagésimo cuarto. </w:t>
      </w:r>
      <w:r w:rsidRPr="003E53A6">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E53A6">
        <w:rPr>
          <w:rFonts w:ascii="Palatino Linotype" w:eastAsia="Palatino Linotype" w:hAnsi="Palatino Linotype" w:cs="Palatino Linotype"/>
          <w:b/>
          <w:i/>
          <w:sz w:val="22"/>
          <w:szCs w:val="22"/>
        </w:rPr>
        <w:t xml:space="preserve"> </w:t>
      </w:r>
    </w:p>
    <w:p w14:paraId="19CD3B31"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 xml:space="preserve">Quincuagésimo quinto. </w:t>
      </w:r>
      <w:r w:rsidRPr="003E53A6">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1647674" w14:textId="77777777" w:rsidR="005F4254" w:rsidRPr="003E53A6" w:rsidRDefault="005F4254" w:rsidP="005F4254">
      <w:pPr>
        <w:spacing w:before="120" w:after="120"/>
        <w:ind w:left="851" w:right="902"/>
        <w:jc w:val="both"/>
        <w:rPr>
          <w:rFonts w:ascii="Palatino Linotype" w:eastAsia="Palatino Linotype" w:hAnsi="Palatino Linotype" w:cs="Palatino Linotype"/>
          <w:b/>
          <w:i/>
          <w:sz w:val="22"/>
          <w:szCs w:val="22"/>
        </w:rPr>
      </w:pPr>
      <w:r w:rsidRPr="003E53A6">
        <w:rPr>
          <w:rFonts w:ascii="Palatino Linotype" w:eastAsia="Palatino Linotype" w:hAnsi="Palatino Linotype" w:cs="Palatino Linotype"/>
          <w:b/>
          <w:i/>
          <w:sz w:val="22"/>
          <w:szCs w:val="22"/>
        </w:rPr>
        <w:t>...</w:t>
      </w:r>
    </w:p>
    <w:p w14:paraId="36212E10"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Quincuagésimo séptimo</w:t>
      </w:r>
      <w:r w:rsidRPr="003E53A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1F0E146"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w:t>
      </w:r>
      <w:r w:rsidRPr="003E53A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0FEFC85"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w:t>
      </w:r>
      <w:r w:rsidRPr="003E53A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12A35BC"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III</w:t>
      </w:r>
      <w:r w:rsidRPr="003E53A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B5C48B6"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E5E4422" w14:textId="77777777" w:rsidR="005F4254" w:rsidRPr="003E53A6" w:rsidRDefault="005F4254" w:rsidP="005F4254">
      <w:pPr>
        <w:spacing w:before="120" w:after="120"/>
        <w:ind w:left="851" w:right="902"/>
        <w:jc w:val="both"/>
        <w:rPr>
          <w:rFonts w:ascii="Palatino Linotype" w:eastAsia="Palatino Linotype" w:hAnsi="Palatino Linotype" w:cs="Palatino Linotype"/>
          <w:i/>
          <w:sz w:val="22"/>
          <w:szCs w:val="22"/>
        </w:rPr>
      </w:pPr>
      <w:r w:rsidRPr="003E53A6">
        <w:rPr>
          <w:rFonts w:ascii="Palatino Linotype" w:eastAsia="Palatino Linotype" w:hAnsi="Palatino Linotype" w:cs="Palatino Linotype"/>
          <w:b/>
          <w:i/>
          <w:sz w:val="22"/>
          <w:szCs w:val="22"/>
        </w:rPr>
        <w:t>Quincuagésimo octavo</w:t>
      </w:r>
      <w:r w:rsidRPr="003E53A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3E53A6" w:rsidRDefault="00193AE1" w:rsidP="00193AE1">
      <w:pPr>
        <w:spacing w:before="240" w:after="240" w:line="360" w:lineRule="auto"/>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 xml:space="preserve">Así, con fundamento en lo prescrito en los artículos </w:t>
      </w:r>
      <w:r w:rsidR="005D5DC9" w:rsidRPr="003E53A6">
        <w:rPr>
          <w:rFonts w:ascii="Palatino Linotype" w:eastAsia="Palatino Linotype" w:hAnsi="Palatino Linotype" w:cs="Palatino Linotype"/>
          <w:sz w:val="22"/>
          <w:szCs w:val="22"/>
        </w:rPr>
        <w:t xml:space="preserve">5 párrafos </w:t>
      </w:r>
      <w:r w:rsidR="000E700F" w:rsidRPr="003E53A6">
        <w:rPr>
          <w:rFonts w:ascii="Palatino Linotype" w:eastAsia="Palatino Linotype" w:hAnsi="Palatino Linotype" w:cs="Palatino Linotype"/>
          <w:sz w:val="22"/>
          <w:szCs w:val="22"/>
        </w:rPr>
        <w:t xml:space="preserve">cuadragésimo cuarto, cuadragésimo quinto cuadragésimo sexto, de la </w:t>
      </w:r>
      <w:r w:rsidR="005D5DC9" w:rsidRPr="003E53A6">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3E53A6">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3E53A6"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E53A6">
        <w:rPr>
          <w:rFonts w:ascii="Palatino Linotype" w:eastAsia="Palatino Linotype" w:hAnsi="Palatino Linotype" w:cs="Palatino Linotype"/>
          <w:b/>
          <w:sz w:val="22"/>
          <w:szCs w:val="22"/>
        </w:rPr>
        <w:t>III. R E S U E L V E</w:t>
      </w:r>
    </w:p>
    <w:p w14:paraId="5C7FA26B" w14:textId="6FFF2A5C" w:rsidR="00193AE1" w:rsidRPr="003E53A6"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26in1rg" w:colFirst="0" w:colLast="0"/>
      <w:bookmarkEnd w:id="11"/>
      <w:r w:rsidRPr="003E53A6">
        <w:rPr>
          <w:rFonts w:ascii="Palatino Linotype" w:eastAsia="Palatino Linotype" w:hAnsi="Palatino Linotype" w:cs="Palatino Linotype"/>
          <w:b/>
          <w:sz w:val="22"/>
          <w:szCs w:val="22"/>
        </w:rPr>
        <w:t xml:space="preserve">Primero. </w:t>
      </w:r>
      <w:r w:rsidRPr="003E53A6">
        <w:rPr>
          <w:rFonts w:ascii="Palatino Linotype" w:eastAsia="Palatino Linotype" w:hAnsi="Palatino Linotype" w:cs="Palatino Linotype"/>
          <w:sz w:val="22"/>
          <w:szCs w:val="22"/>
        </w:rPr>
        <w:t>Resultan</w:t>
      </w:r>
      <w:r w:rsidRPr="003E53A6">
        <w:rPr>
          <w:rFonts w:ascii="Palatino Linotype" w:eastAsia="Palatino Linotype" w:hAnsi="Palatino Linotype" w:cs="Palatino Linotype"/>
          <w:b/>
          <w:sz w:val="22"/>
          <w:szCs w:val="22"/>
        </w:rPr>
        <w:t xml:space="preserve"> fundadas</w:t>
      </w:r>
      <w:r w:rsidRPr="003E53A6">
        <w:rPr>
          <w:rFonts w:ascii="Palatino Linotype" w:eastAsia="Palatino Linotype" w:hAnsi="Palatino Linotype" w:cs="Palatino Linotype"/>
          <w:sz w:val="22"/>
          <w:szCs w:val="22"/>
        </w:rPr>
        <w:t xml:space="preserve"> las razones o motivos de inconformidad hechos valer por la parte</w:t>
      </w:r>
      <w:r w:rsidRPr="003E53A6">
        <w:rPr>
          <w:rFonts w:ascii="Palatino Linotype" w:eastAsia="Palatino Linotype" w:hAnsi="Palatino Linotype" w:cs="Palatino Linotype"/>
          <w:b/>
          <w:sz w:val="22"/>
          <w:szCs w:val="22"/>
        </w:rPr>
        <w:t xml:space="preserve"> Recurrente</w:t>
      </w:r>
      <w:r w:rsidRPr="003E53A6">
        <w:rPr>
          <w:rFonts w:ascii="Palatino Linotype" w:eastAsia="Palatino Linotype" w:hAnsi="Palatino Linotype" w:cs="Palatino Linotype"/>
          <w:sz w:val="22"/>
          <w:szCs w:val="22"/>
        </w:rPr>
        <w:t xml:space="preserve"> en el recurso de revisión </w:t>
      </w:r>
      <w:r w:rsidR="005F4254" w:rsidRPr="003E53A6">
        <w:rPr>
          <w:rFonts w:ascii="Palatino Linotype" w:eastAsia="Palatino Linotype" w:hAnsi="Palatino Linotype" w:cs="Palatino Linotype"/>
          <w:b/>
          <w:sz w:val="22"/>
          <w:szCs w:val="22"/>
        </w:rPr>
        <w:t>13279</w:t>
      </w:r>
      <w:r w:rsidRPr="003E53A6">
        <w:rPr>
          <w:rFonts w:ascii="Palatino Linotype" w:eastAsia="Palatino Linotype" w:hAnsi="Palatino Linotype" w:cs="Palatino Linotype"/>
          <w:b/>
          <w:sz w:val="22"/>
          <w:szCs w:val="22"/>
        </w:rPr>
        <w:t>/INFOEM/IP/RR/202</w:t>
      </w:r>
      <w:r w:rsidR="00625B99" w:rsidRPr="003E53A6">
        <w:rPr>
          <w:rFonts w:ascii="Palatino Linotype" w:eastAsia="Palatino Linotype" w:hAnsi="Palatino Linotype" w:cs="Palatino Linotype"/>
          <w:b/>
          <w:sz w:val="22"/>
          <w:szCs w:val="22"/>
        </w:rPr>
        <w:t>5</w:t>
      </w:r>
      <w:r w:rsidRPr="003E53A6">
        <w:rPr>
          <w:rFonts w:ascii="Palatino Linotype" w:eastAsia="Palatino Linotype" w:hAnsi="Palatino Linotype" w:cs="Palatino Linotype"/>
          <w:sz w:val="22"/>
          <w:szCs w:val="22"/>
        </w:rPr>
        <w:t xml:space="preserve">; por lo que, en términos del </w:t>
      </w:r>
      <w:r w:rsidRPr="003E53A6">
        <w:rPr>
          <w:rFonts w:ascii="Palatino Linotype" w:eastAsia="Palatino Linotype" w:hAnsi="Palatino Linotype" w:cs="Palatino Linotype"/>
          <w:b/>
          <w:sz w:val="22"/>
          <w:szCs w:val="22"/>
        </w:rPr>
        <w:t>Considerando</w:t>
      </w:r>
      <w:r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b/>
          <w:sz w:val="22"/>
          <w:szCs w:val="22"/>
        </w:rPr>
        <w:t xml:space="preserve">Cuarto </w:t>
      </w:r>
      <w:r w:rsidRPr="003E53A6">
        <w:rPr>
          <w:rFonts w:ascii="Palatino Linotype" w:eastAsia="Palatino Linotype" w:hAnsi="Palatino Linotype" w:cs="Palatino Linotype"/>
          <w:sz w:val="22"/>
          <w:szCs w:val="22"/>
        </w:rPr>
        <w:t xml:space="preserve">de esta resolución, se </w:t>
      </w:r>
      <w:r w:rsidR="00DF4FB7" w:rsidRPr="003E53A6">
        <w:rPr>
          <w:rFonts w:ascii="Palatino Linotype" w:eastAsia="Palatino Linotype" w:hAnsi="Palatino Linotype" w:cs="Palatino Linotype"/>
          <w:b/>
          <w:sz w:val="22"/>
          <w:szCs w:val="22"/>
        </w:rPr>
        <w:t>Revoca</w:t>
      </w:r>
      <w:r w:rsidRPr="003E53A6">
        <w:rPr>
          <w:rFonts w:ascii="Palatino Linotype" w:eastAsia="Palatino Linotype" w:hAnsi="Palatino Linotype" w:cs="Palatino Linotype"/>
          <w:b/>
          <w:sz w:val="22"/>
          <w:szCs w:val="22"/>
        </w:rPr>
        <w:t xml:space="preserve"> </w:t>
      </w:r>
      <w:r w:rsidRPr="003E53A6">
        <w:rPr>
          <w:rFonts w:ascii="Palatino Linotype" w:eastAsia="Palatino Linotype" w:hAnsi="Palatino Linotype" w:cs="Palatino Linotype"/>
          <w:sz w:val="22"/>
          <w:szCs w:val="22"/>
        </w:rPr>
        <w:t xml:space="preserve">la respuesta emitida por el </w:t>
      </w:r>
      <w:r w:rsidRPr="003E53A6">
        <w:rPr>
          <w:rFonts w:ascii="Palatino Linotype" w:eastAsia="Palatino Linotype" w:hAnsi="Palatino Linotype" w:cs="Palatino Linotype"/>
          <w:b/>
          <w:sz w:val="22"/>
          <w:szCs w:val="22"/>
        </w:rPr>
        <w:t xml:space="preserve">Sujeto Obligado. </w:t>
      </w:r>
    </w:p>
    <w:p w14:paraId="3F306F48" w14:textId="78A3D1B1" w:rsidR="001A60C5" w:rsidRPr="003E53A6" w:rsidRDefault="00193AE1" w:rsidP="001A60C5">
      <w:pPr>
        <w:spacing w:before="240" w:after="240" w:line="360" w:lineRule="auto"/>
        <w:ind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b/>
          <w:sz w:val="22"/>
          <w:szCs w:val="22"/>
        </w:rPr>
        <w:t xml:space="preserve">Segundo. </w:t>
      </w:r>
      <w:r w:rsidRPr="003E53A6">
        <w:rPr>
          <w:rFonts w:ascii="Palatino Linotype" w:eastAsia="Palatino Linotype" w:hAnsi="Palatino Linotype" w:cs="Palatino Linotype"/>
          <w:sz w:val="22"/>
          <w:szCs w:val="22"/>
        </w:rPr>
        <w:t xml:space="preserve">Se </w:t>
      </w:r>
      <w:r w:rsidRPr="003E53A6">
        <w:rPr>
          <w:rFonts w:ascii="Palatino Linotype" w:eastAsia="Palatino Linotype" w:hAnsi="Palatino Linotype" w:cs="Palatino Linotype"/>
          <w:b/>
          <w:sz w:val="22"/>
          <w:szCs w:val="22"/>
        </w:rPr>
        <w:t>Ordena</w:t>
      </w:r>
      <w:r w:rsidRPr="003E53A6">
        <w:rPr>
          <w:rFonts w:ascii="Palatino Linotype" w:eastAsia="Palatino Linotype" w:hAnsi="Palatino Linotype" w:cs="Palatino Linotype"/>
          <w:sz w:val="22"/>
          <w:szCs w:val="22"/>
        </w:rPr>
        <w:t xml:space="preserve"> al </w:t>
      </w:r>
      <w:r w:rsidRPr="003E53A6">
        <w:rPr>
          <w:rFonts w:ascii="Palatino Linotype" w:eastAsia="Palatino Linotype" w:hAnsi="Palatino Linotype" w:cs="Palatino Linotype"/>
          <w:b/>
          <w:sz w:val="22"/>
          <w:szCs w:val="22"/>
        </w:rPr>
        <w:t>Sujeto Obligado</w:t>
      </w:r>
      <w:r w:rsidRPr="003E53A6">
        <w:rPr>
          <w:rFonts w:ascii="Palatino Linotype" w:eastAsia="Palatino Linotype" w:hAnsi="Palatino Linotype" w:cs="Palatino Linotype"/>
          <w:sz w:val="22"/>
          <w:szCs w:val="22"/>
        </w:rPr>
        <w:t>, en términos de</w:t>
      </w:r>
      <w:r w:rsidR="00DF4FB7" w:rsidRPr="003E53A6">
        <w:rPr>
          <w:rFonts w:ascii="Palatino Linotype" w:eastAsia="Palatino Linotype" w:hAnsi="Palatino Linotype" w:cs="Palatino Linotype"/>
          <w:sz w:val="22"/>
          <w:szCs w:val="22"/>
        </w:rPr>
        <w:t xml:space="preserve"> </w:t>
      </w:r>
      <w:r w:rsidR="00252EAE" w:rsidRPr="003E53A6">
        <w:rPr>
          <w:rFonts w:ascii="Palatino Linotype" w:eastAsia="Palatino Linotype" w:hAnsi="Palatino Linotype" w:cs="Palatino Linotype"/>
          <w:sz w:val="22"/>
          <w:szCs w:val="22"/>
        </w:rPr>
        <w:t>l</w:t>
      </w:r>
      <w:r w:rsidR="00DF4FB7" w:rsidRPr="003E53A6">
        <w:rPr>
          <w:rFonts w:ascii="Palatino Linotype" w:eastAsia="Palatino Linotype" w:hAnsi="Palatino Linotype" w:cs="Palatino Linotype"/>
          <w:sz w:val="22"/>
          <w:szCs w:val="22"/>
        </w:rPr>
        <w:t>os</w:t>
      </w:r>
      <w:r w:rsidR="00252EAE"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sz w:val="22"/>
          <w:szCs w:val="22"/>
        </w:rPr>
        <w:t>Considerando</w:t>
      </w:r>
      <w:r w:rsidR="00DF4FB7" w:rsidRPr="003E53A6">
        <w:rPr>
          <w:rFonts w:ascii="Palatino Linotype" w:eastAsia="Palatino Linotype" w:hAnsi="Palatino Linotype" w:cs="Palatino Linotype"/>
          <w:sz w:val="22"/>
          <w:szCs w:val="22"/>
        </w:rPr>
        <w:t>s</w:t>
      </w:r>
      <w:r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b/>
          <w:sz w:val="22"/>
          <w:szCs w:val="22"/>
        </w:rPr>
        <w:t xml:space="preserve">Cuarto </w:t>
      </w:r>
      <w:r w:rsidR="00DF4FB7" w:rsidRPr="003E53A6">
        <w:rPr>
          <w:rFonts w:ascii="Palatino Linotype" w:eastAsia="Palatino Linotype" w:hAnsi="Palatino Linotype" w:cs="Palatino Linotype"/>
          <w:bCs/>
          <w:sz w:val="22"/>
          <w:szCs w:val="22"/>
        </w:rPr>
        <w:t xml:space="preserve">y </w:t>
      </w:r>
      <w:r w:rsidR="00DF4FB7" w:rsidRPr="003E53A6">
        <w:rPr>
          <w:rFonts w:ascii="Palatino Linotype" w:eastAsia="Palatino Linotype" w:hAnsi="Palatino Linotype" w:cs="Palatino Linotype"/>
          <w:b/>
          <w:sz w:val="22"/>
          <w:szCs w:val="22"/>
        </w:rPr>
        <w:t xml:space="preserve">Quinto </w:t>
      </w:r>
      <w:r w:rsidRPr="003E53A6">
        <w:rPr>
          <w:rFonts w:ascii="Palatino Linotype" w:eastAsia="Palatino Linotype" w:hAnsi="Palatino Linotype" w:cs="Palatino Linotype"/>
          <w:sz w:val="22"/>
          <w:szCs w:val="22"/>
        </w:rPr>
        <w:t xml:space="preserve">de esta resolución, haga entrega, </w:t>
      </w:r>
      <w:r w:rsidR="001A60C5" w:rsidRPr="003E53A6">
        <w:rPr>
          <w:rFonts w:ascii="Palatino Linotype" w:eastAsia="Palatino Linotype" w:hAnsi="Palatino Linotype" w:cs="Palatino Linotype"/>
          <w:sz w:val="22"/>
          <w:szCs w:val="22"/>
        </w:rPr>
        <w:t xml:space="preserve">vía </w:t>
      </w:r>
      <w:r w:rsidR="001A60C5" w:rsidRPr="003E53A6">
        <w:rPr>
          <w:rFonts w:ascii="Palatino Linotype" w:eastAsia="Palatino Linotype" w:hAnsi="Palatino Linotype" w:cs="Palatino Linotype"/>
          <w:b/>
          <w:sz w:val="22"/>
          <w:szCs w:val="22"/>
        </w:rPr>
        <w:t>SAIMEX</w:t>
      </w:r>
      <w:r w:rsidR="001A60C5" w:rsidRPr="003E53A6">
        <w:rPr>
          <w:rFonts w:ascii="Palatino Linotype" w:eastAsia="Palatino Linotype" w:hAnsi="Palatino Linotype" w:cs="Palatino Linotype"/>
          <w:sz w:val="22"/>
          <w:szCs w:val="22"/>
        </w:rPr>
        <w:t>,</w:t>
      </w:r>
      <w:r w:rsidR="00DF4FB7" w:rsidRPr="003E53A6">
        <w:rPr>
          <w:rFonts w:ascii="Palatino Linotype" w:eastAsia="Palatino Linotype" w:hAnsi="Palatino Linotype" w:cs="Palatino Linotype"/>
          <w:sz w:val="22"/>
          <w:szCs w:val="22"/>
        </w:rPr>
        <w:t xml:space="preserve"> en versión pública de ser procedente,</w:t>
      </w:r>
      <w:r w:rsidR="001A60C5" w:rsidRPr="003E53A6">
        <w:rPr>
          <w:rFonts w:ascii="Palatino Linotype" w:eastAsia="Palatino Linotype" w:hAnsi="Palatino Linotype" w:cs="Palatino Linotype"/>
          <w:sz w:val="22"/>
          <w:szCs w:val="22"/>
        </w:rPr>
        <w:t xml:space="preserve"> de lo siguiente:</w:t>
      </w:r>
    </w:p>
    <w:p w14:paraId="06435354" w14:textId="322C2E8F" w:rsidR="005F4254" w:rsidRPr="003E53A6" w:rsidRDefault="005F4254" w:rsidP="0095725B">
      <w:pPr>
        <w:spacing w:before="240" w:after="240" w:line="360" w:lineRule="auto"/>
        <w:ind w:left="284" w:right="49"/>
        <w:jc w:val="both"/>
        <w:rPr>
          <w:rFonts w:ascii="Palatino Linotype" w:eastAsia="Palatino Linotype" w:hAnsi="Palatino Linotype" w:cs="Palatino Linotype"/>
          <w:sz w:val="22"/>
          <w:szCs w:val="22"/>
        </w:rPr>
      </w:pPr>
      <w:r w:rsidRPr="003E53A6">
        <w:rPr>
          <w:rFonts w:ascii="Palatino Linotype" w:eastAsia="Palatino Linotype" w:hAnsi="Palatino Linotype" w:cs="Palatino Linotype"/>
          <w:sz w:val="22"/>
          <w:szCs w:val="22"/>
        </w:rPr>
        <w:t>1. Pólizas</w:t>
      </w:r>
      <w:r w:rsidR="0095725B" w:rsidRPr="003E53A6">
        <w:rPr>
          <w:rFonts w:ascii="Palatino Linotype" w:eastAsia="Palatino Linotype" w:hAnsi="Palatino Linotype" w:cs="Palatino Linotype"/>
          <w:sz w:val="22"/>
          <w:szCs w:val="22"/>
        </w:rPr>
        <w:t xml:space="preserve"> contables generadas en el ejercicio presupuestal 2019.</w:t>
      </w:r>
    </w:p>
    <w:p w14:paraId="14AB2F54" w14:textId="77777777" w:rsidR="005F4254" w:rsidRPr="003E53A6" w:rsidRDefault="005F4254" w:rsidP="005F4254">
      <w:pPr>
        <w:tabs>
          <w:tab w:val="left" w:pos="567"/>
        </w:tabs>
        <w:spacing w:before="120" w:after="120"/>
        <w:ind w:left="284" w:right="49"/>
        <w:jc w:val="both"/>
        <w:rPr>
          <w:rFonts w:ascii="Palatino Linotype" w:eastAsia="Palatino Linotype" w:hAnsi="Palatino Linotype" w:cs="Palatino Linotype"/>
          <w:i/>
          <w:sz w:val="20"/>
          <w:szCs w:val="22"/>
        </w:rPr>
      </w:pPr>
      <w:r w:rsidRPr="003E53A6">
        <w:rPr>
          <w:rFonts w:ascii="Palatino Linotype" w:eastAsia="Palatino Linotype" w:hAnsi="Palatino Linotype" w:cs="Palatino Linotype"/>
          <w:i/>
          <w:sz w:val="20"/>
          <w:szCs w:val="22"/>
        </w:rPr>
        <w:t>De ser necesaria la versión pública, se deberán proporcionar junto con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6B12F0AC" w14:textId="77777777" w:rsidR="00193AE1" w:rsidRPr="003E53A6" w:rsidRDefault="00193AE1" w:rsidP="00193AE1">
      <w:pPr>
        <w:spacing w:before="240" w:after="240" w:line="360" w:lineRule="auto"/>
        <w:jc w:val="both"/>
        <w:rPr>
          <w:rFonts w:ascii="Palatino Linotype" w:eastAsia="Palatino Linotype" w:hAnsi="Palatino Linotype" w:cs="Palatino Linotype"/>
          <w:sz w:val="21"/>
          <w:szCs w:val="21"/>
        </w:rPr>
      </w:pPr>
      <w:r w:rsidRPr="003E53A6">
        <w:rPr>
          <w:rFonts w:ascii="Palatino Linotype" w:eastAsia="Palatino Linotype" w:hAnsi="Palatino Linotype" w:cs="Palatino Linotype"/>
          <w:b/>
          <w:sz w:val="21"/>
          <w:szCs w:val="21"/>
        </w:rPr>
        <w:t xml:space="preserve">Tercero. Notifíquese, </w:t>
      </w:r>
      <w:r w:rsidRPr="003E53A6">
        <w:rPr>
          <w:rFonts w:ascii="Palatino Linotype" w:eastAsia="Palatino Linotype" w:hAnsi="Palatino Linotype" w:cs="Palatino Linotype"/>
          <w:sz w:val="21"/>
          <w:szCs w:val="21"/>
        </w:rPr>
        <w:t xml:space="preserve">vía </w:t>
      </w:r>
      <w:r w:rsidRPr="003E53A6">
        <w:rPr>
          <w:rFonts w:ascii="Palatino Linotype" w:eastAsia="Palatino Linotype" w:hAnsi="Palatino Linotype" w:cs="Palatino Linotype"/>
          <w:b/>
          <w:sz w:val="21"/>
          <w:szCs w:val="21"/>
        </w:rPr>
        <w:t>SAIMEX</w:t>
      </w:r>
      <w:r w:rsidRPr="003E53A6">
        <w:rPr>
          <w:rFonts w:ascii="Palatino Linotype" w:eastAsia="Palatino Linotype" w:hAnsi="Palatino Linotype" w:cs="Palatino Linotype"/>
          <w:sz w:val="21"/>
          <w:szCs w:val="21"/>
        </w:rPr>
        <w:t xml:space="preserve">, al Titular de la Unidad de Transparencia del </w:t>
      </w:r>
      <w:r w:rsidRPr="003E53A6">
        <w:rPr>
          <w:rFonts w:ascii="Palatino Linotype" w:eastAsia="Palatino Linotype" w:hAnsi="Palatino Linotype" w:cs="Palatino Linotype"/>
          <w:b/>
          <w:sz w:val="21"/>
          <w:szCs w:val="21"/>
        </w:rPr>
        <w:t>Sujeto Obligado,</w:t>
      </w:r>
      <w:r w:rsidRPr="003E53A6">
        <w:rPr>
          <w:rFonts w:ascii="Palatino Linotype" w:eastAsia="Palatino Linotype" w:hAnsi="Palatino Linotype" w:cs="Palatino Linotype"/>
          <w:sz w:val="21"/>
          <w:szCs w:val="21"/>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3E53A6" w:rsidRDefault="00193AE1" w:rsidP="00193AE1">
      <w:pPr>
        <w:spacing w:before="240" w:after="240" w:line="360" w:lineRule="auto"/>
        <w:jc w:val="both"/>
        <w:rPr>
          <w:rFonts w:ascii="Palatino Linotype" w:eastAsia="Palatino Linotype" w:hAnsi="Palatino Linotype" w:cs="Palatino Linotype"/>
          <w:sz w:val="21"/>
          <w:szCs w:val="21"/>
        </w:rPr>
      </w:pPr>
      <w:r w:rsidRPr="003E53A6">
        <w:rPr>
          <w:rFonts w:ascii="Palatino Linotype" w:eastAsia="Palatino Linotype" w:hAnsi="Palatino Linotype" w:cs="Palatino Linotype"/>
          <w:sz w:val="21"/>
          <w:szCs w:val="21"/>
        </w:rPr>
        <w:t xml:space="preserve">De conformidad con el artículo 198 de la Ley de Transparencia y Acceso a la Información Pública del Estado de México y Municipios, de considerarlo procedente, el </w:t>
      </w:r>
      <w:r w:rsidRPr="003E53A6">
        <w:rPr>
          <w:rFonts w:ascii="Palatino Linotype" w:eastAsia="Palatino Linotype" w:hAnsi="Palatino Linotype" w:cs="Palatino Linotype"/>
          <w:b/>
          <w:sz w:val="21"/>
          <w:szCs w:val="21"/>
        </w:rPr>
        <w:t>Sujeto Obligado</w:t>
      </w:r>
      <w:r w:rsidRPr="003E53A6">
        <w:rPr>
          <w:rFonts w:ascii="Palatino Linotype" w:eastAsia="Palatino Linotype" w:hAnsi="Palatino Linotype" w:cs="Palatino Linotype"/>
          <w:sz w:val="21"/>
          <w:szCs w:val="21"/>
        </w:rPr>
        <w:t xml:space="preserve"> de manera fundada y motivada, podrá solicitar una ampliación de plazo para el cumplimiento de la presente resolución.</w:t>
      </w:r>
    </w:p>
    <w:p w14:paraId="52AA7DFB" w14:textId="77777777" w:rsidR="00193AE1" w:rsidRPr="003E53A6" w:rsidRDefault="00193AE1" w:rsidP="00193AE1">
      <w:pPr>
        <w:spacing w:before="240" w:after="240" w:line="360" w:lineRule="auto"/>
        <w:jc w:val="both"/>
        <w:rPr>
          <w:rFonts w:ascii="Palatino Linotype" w:eastAsia="Palatino Linotype" w:hAnsi="Palatino Linotype" w:cs="Palatino Linotype"/>
          <w:sz w:val="21"/>
          <w:szCs w:val="21"/>
        </w:rPr>
      </w:pPr>
      <w:bookmarkStart w:id="12" w:name="_heading=h.17dp8vu" w:colFirst="0" w:colLast="0"/>
      <w:bookmarkEnd w:id="12"/>
      <w:r w:rsidRPr="003E53A6">
        <w:rPr>
          <w:rFonts w:ascii="Palatino Linotype" w:eastAsia="Palatino Linotype" w:hAnsi="Palatino Linotype" w:cs="Palatino Linotype"/>
          <w:b/>
          <w:sz w:val="21"/>
          <w:szCs w:val="21"/>
        </w:rPr>
        <w:t xml:space="preserve">Cuarto.  Notifíquese, </w:t>
      </w:r>
      <w:r w:rsidRPr="003E53A6">
        <w:rPr>
          <w:rFonts w:ascii="Palatino Linotype" w:eastAsia="Palatino Linotype" w:hAnsi="Palatino Linotype" w:cs="Palatino Linotype"/>
          <w:sz w:val="21"/>
          <w:szCs w:val="21"/>
        </w:rPr>
        <w:t xml:space="preserve">vía </w:t>
      </w:r>
      <w:r w:rsidRPr="003E53A6">
        <w:rPr>
          <w:rFonts w:ascii="Palatino Linotype" w:eastAsia="Palatino Linotype" w:hAnsi="Palatino Linotype" w:cs="Palatino Linotype"/>
          <w:b/>
          <w:sz w:val="21"/>
          <w:szCs w:val="21"/>
        </w:rPr>
        <w:t>SAIMEX</w:t>
      </w:r>
      <w:r w:rsidRPr="003E53A6">
        <w:rPr>
          <w:rFonts w:ascii="Palatino Linotype" w:eastAsia="Palatino Linotype" w:hAnsi="Palatino Linotype" w:cs="Palatino Linotype"/>
          <w:sz w:val="21"/>
          <w:szCs w:val="21"/>
        </w:rPr>
        <w:t xml:space="preserve">, a la parte </w:t>
      </w:r>
      <w:r w:rsidRPr="003E53A6">
        <w:rPr>
          <w:rFonts w:ascii="Palatino Linotype" w:eastAsia="Palatino Linotype" w:hAnsi="Palatino Linotype" w:cs="Palatino Linotype"/>
          <w:b/>
          <w:sz w:val="21"/>
          <w:szCs w:val="21"/>
        </w:rPr>
        <w:t>Recurrente</w:t>
      </w:r>
      <w:r w:rsidRPr="003E53A6">
        <w:rPr>
          <w:rFonts w:ascii="Palatino Linotype" w:eastAsia="Palatino Linotype" w:hAnsi="Palatino Linotype" w:cs="Palatino Linotype"/>
          <w:sz w:val="21"/>
          <w:szCs w:val="21"/>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07BE1BAE" w:rsidR="00562A90" w:rsidRPr="003A41FE"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nxbz9" w:colFirst="0" w:colLast="0"/>
      <w:bookmarkEnd w:id="13"/>
      <w:r w:rsidRPr="003E53A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3BA1" w:rsidRPr="003E53A6">
        <w:rPr>
          <w:rFonts w:ascii="Palatino Linotype" w:eastAsia="Palatino Linotype" w:hAnsi="Palatino Linotype" w:cs="Palatino Linotype"/>
          <w:sz w:val="22"/>
          <w:szCs w:val="22"/>
        </w:rPr>
        <w:t>SEGUNDA</w:t>
      </w:r>
      <w:r w:rsidR="00425F35" w:rsidRPr="003E53A6">
        <w:rPr>
          <w:rFonts w:ascii="Palatino Linotype" w:eastAsia="Palatino Linotype" w:hAnsi="Palatino Linotype" w:cs="Palatino Linotype"/>
          <w:sz w:val="22"/>
          <w:szCs w:val="22"/>
        </w:rPr>
        <w:t xml:space="preserve"> </w:t>
      </w:r>
      <w:r w:rsidRPr="003E53A6">
        <w:rPr>
          <w:rFonts w:ascii="Palatino Linotype" w:eastAsia="Palatino Linotype" w:hAnsi="Palatino Linotype" w:cs="Palatino Linotype"/>
          <w:sz w:val="22"/>
          <w:szCs w:val="22"/>
        </w:rPr>
        <w:t xml:space="preserve">SESIÓN ORDINARIA CELEBRADA EL </w:t>
      </w:r>
      <w:r w:rsidR="00603BA1" w:rsidRPr="003E53A6">
        <w:rPr>
          <w:rFonts w:ascii="Palatino Linotype" w:eastAsia="Palatino Linotype" w:hAnsi="Palatino Linotype" w:cs="Palatino Linotype"/>
          <w:sz w:val="22"/>
          <w:szCs w:val="22"/>
        </w:rPr>
        <w:t>VEINTIUNO</w:t>
      </w:r>
      <w:r w:rsidR="00DF4FB7" w:rsidRPr="003E53A6">
        <w:rPr>
          <w:rFonts w:ascii="Palatino Linotype" w:eastAsia="Palatino Linotype" w:hAnsi="Palatino Linotype" w:cs="Palatino Linotype"/>
          <w:sz w:val="22"/>
          <w:szCs w:val="22"/>
        </w:rPr>
        <w:t xml:space="preserve"> DE ENERO </w:t>
      </w:r>
      <w:r w:rsidRPr="003E53A6">
        <w:rPr>
          <w:rFonts w:ascii="Palatino Linotype" w:eastAsia="Palatino Linotype" w:hAnsi="Palatino Linotype" w:cs="Palatino Linotype"/>
          <w:sz w:val="22"/>
          <w:szCs w:val="22"/>
        </w:rPr>
        <w:t>DE DOS MIL VEINTI</w:t>
      </w:r>
      <w:r w:rsidR="00DF4FB7" w:rsidRPr="003E53A6">
        <w:rPr>
          <w:rFonts w:ascii="Palatino Linotype" w:eastAsia="Palatino Linotype" w:hAnsi="Palatino Linotype" w:cs="Palatino Linotype"/>
          <w:sz w:val="22"/>
          <w:szCs w:val="22"/>
        </w:rPr>
        <w:t>SÉIS</w:t>
      </w:r>
      <w:r w:rsidRPr="003E53A6">
        <w:rPr>
          <w:rFonts w:ascii="Palatino Linotype" w:eastAsia="Palatino Linotype" w:hAnsi="Palatino Linotype" w:cs="Palatino Linotype"/>
          <w:sz w:val="22"/>
          <w:szCs w:val="22"/>
        </w:rPr>
        <w:t>, ANTE EL SECRETARIO TÉCNICO DEL PLENO ALEXIS TAPIA RAMÍREZ.</w:t>
      </w:r>
    </w:p>
    <w:p w14:paraId="7E80776D"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3A41FE"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3A41FE"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3A41FE"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3A41FE"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3A41FE" w:rsidRDefault="00CD09AE">
      <w:pPr>
        <w:spacing w:line="360" w:lineRule="auto"/>
        <w:jc w:val="both"/>
        <w:rPr>
          <w:rFonts w:ascii="Palatino Linotype" w:eastAsia="Palatino Linotype" w:hAnsi="Palatino Linotype" w:cs="Palatino Linotype"/>
          <w:sz w:val="22"/>
          <w:szCs w:val="22"/>
        </w:rPr>
      </w:pPr>
    </w:p>
    <w:sectPr w:rsidR="00CD09AE" w:rsidRPr="003A41F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76C24" w14:textId="77777777" w:rsidR="00516A97" w:rsidRDefault="00516A97">
      <w:r>
        <w:separator/>
      </w:r>
    </w:p>
  </w:endnote>
  <w:endnote w:type="continuationSeparator" w:id="0">
    <w:p w14:paraId="5D032C5F" w14:textId="77777777" w:rsidR="00516A97" w:rsidRDefault="0051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2AE7B3C9" w:rsidR="00AB3E7B" w:rsidRDefault="00AB3E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0017">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0017">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49CB52A8" w14:textId="77777777" w:rsidR="00AB3E7B" w:rsidRDefault="00AB3E7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30800BA3" w:rsidR="00AB3E7B" w:rsidRDefault="00AB3E7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001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0017">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21ECF124" w14:textId="77777777" w:rsidR="00AB3E7B" w:rsidRDefault="00AB3E7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5B68E" w14:textId="77777777" w:rsidR="00516A97" w:rsidRDefault="00516A97">
      <w:r>
        <w:separator/>
      </w:r>
    </w:p>
  </w:footnote>
  <w:footnote w:type="continuationSeparator" w:id="0">
    <w:p w14:paraId="197D4461" w14:textId="77777777" w:rsidR="00516A97" w:rsidRDefault="00516A97">
      <w:r>
        <w:continuationSeparator/>
      </w:r>
    </w:p>
  </w:footnote>
  <w:footnote w:id="1">
    <w:p w14:paraId="0192E759" w14:textId="77777777" w:rsidR="00DB2090" w:rsidRDefault="00DB2090" w:rsidP="00DB2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7BC1E7FE" w14:textId="77777777" w:rsidR="00DB2090" w:rsidRDefault="00850017" w:rsidP="00DB209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DB2090">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DB2090">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AB3E7B" w:rsidRDefault="00AB3E7B">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AB3E7B" w14:paraId="4679E995" w14:textId="77777777">
      <w:tc>
        <w:tcPr>
          <w:tcW w:w="2489" w:type="dxa"/>
        </w:tcPr>
        <w:p w14:paraId="1CBA62BA" w14:textId="77777777" w:rsidR="00AB3E7B" w:rsidRDefault="00AB3E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7E1755D6" w:rsidR="00AB3E7B" w:rsidRDefault="00AB3E7B" w:rsidP="00613E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13279/INFOEM/IP/RR/2025</w:t>
          </w:r>
        </w:p>
      </w:tc>
    </w:tr>
    <w:tr w:rsidR="00AB3E7B" w14:paraId="6CFA67DE" w14:textId="77777777">
      <w:trPr>
        <w:trHeight w:val="228"/>
      </w:trPr>
      <w:tc>
        <w:tcPr>
          <w:tcW w:w="2489" w:type="dxa"/>
          <w:vAlign w:val="center"/>
        </w:tcPr>
        <w:p w14:paraId="4E02CBED" w14:textId="77777777" w:rsidR="00AB3E7B" w:rsidRDefault="00AB3E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0FEDA04D" w:rsidR="00AB3E7B" w:rsidRDefault="00AB3E7B">
          <w:pPr>
            <w:ind w:left="-45" w:right="176"/>
            <w:jc w:val="both"/>
            <w:rPr>
              <w:rFonts w:ascii="Palatino Linotype" w:eastAsia="Palatino Linotype" w:hAnsi="Palatino Linotype" w:cs="Palatino Linotype"/>
              <w:b/>
              <w:sz w:val="22"/>
              <w:szCs w:val="22"/>
            </w:rPr>
          </w:pPr>
          <w:r w:rsidRPr="00613EAD">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AB3E7B" w14:paraId="6FF09322" w14:textId="77777777">
      <w:tc>
        <w:tcPr>
          <w:tcW w:w="2489" w:type="dxa"/>
          <w:vAlign w:val="center"/>
        </w:tcPr>
        <w:p w14:paraId="5D6FA762" w14:textId="77777777" w:rsidR="00AB3E7B" w:rsidRDefault="00AB3E7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AB3E7B" w:rsidRDefault="00AB3E7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AB3E7B" w:rsidRDefault="00AB3E7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AB3E7B" w:rsidRDefault="00AB3E7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AFB5B80">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AB3E7B" w14:paraId="0800C61A" w14:textId="77777777">
      <w:tc>
        <w:tcPr>
          <w:tcW w:w="2489" w:type="dxa"/>
        </w:tcPr>
        <w:p w14:paraId="45AA4645" w14:textId="77777777" w:rsidR="00AB3E7B" w:rsidRDefault="00AB3E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6123DEA6" w:rsidR="00AB3E7B" w:rsidRDefault="00AB3E7B" w:rsidP="00613E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13279/INFOEM/IP/RR/2025</w:t>
          </w:r>
        </w:p>
      </w:tc>
    </w:tr>
    <w:tr w:rsidR="00AB3E7B" w14:paraId="62298F76" w14:textId="77777777">
      <w:tc>
        <w:tcPr>
          <w:tcW w:w="2489" w:type="dxa"/>
        </w:tcPr>
        <w:p w14:paraId="20BC808E" w14:textId="77777777" w:rsidR="00AB3E7B" w:rsidRDefault="00AB3E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2FA8D52" w:rsidR="00AB3E7B" w:rsidRPr="00606C35" w:rsidRDefault="00AB3E7B">
          <w:pPr>
            <w:ind w:right="175"/>
            <w:jc w:val="both"/>
            <w:rPr>
              <w:rFonts w:ascii="Palatino Linotype" w:eastAsia="Palatino Linotype" w:hAnsi="Palatino Linotype" w:cs="Palatino Linotype"/>
              <w:b/>
              <w:sz w:val="22"/>
              <w:szCs w:val="22"/>
              <w:highlight w:val="yellow"/>
            </w:rPr>
          </w:pPr>
        </w:p>
      </w:tc>
    </w:tr>
    <w:tr w:rsidR="00AB3E7B" w14:paraId="356DF698" w14:textId="77777777">
      <w:trPr>
        <w:trHeight w:val="228"/>
      </w:trPr>
      <w:tc>
        <w:tcPr>
          <w:tcW w:w="2489" w:type="dxa"/>
          <w:vAlign w:val="center"/>
        </w:tcPr>
        <w:p w14:paraId="6F719CF9" w14:textId="77777777" w:rsidR="00AB3E7B" w:rsidRDefault="00AB3E7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0AD8A807" w:rsidR="00AB3E7B" w:rsidRDefault="00AB3E7B">
          <w:pPr>
            <w:ind w:left="-45" w:right="176"/>
            <w:jc w:val="both"/>
            <w:rPr>
              <w:rFonts w:ascii="Palatino Linotype" w:eastAsia="Palatino Linotype" w:hAnsi="Palatino Linotype" w:cs="Palatino Linotype"/>
              <w:b/>
              <w:sz w:val="22"/>
              <w:szCs w:val="22"/>
            </w:rPr>
          </w:pPr>
          <w:r w:rsidRPr="00613EAD">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AB3E7B" w14:paraId="70857C53" w14:textId="77777777">
      <w:tc>
        <w:tcPr>
          <w:tcW w:w="2489" w:type="dxa"/>
          <w:vAlign w:val="center"/>
        </w:tcPr>
        <w:p w14:paraId="5699E7FB" w14:textId="77777777" w:rsidR="00AB3E7B" w:rsidRDefault="00AB3E7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AB3E7B" w:rsidRDefault="00AB3E7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AB3E7B" w:rsidRDefault="00AB3E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5CA9"/>
    <w:rsid w:val="00016E26"/>
    <w:rsid w:val="0002069B"/>
    <w:rsid w:val="00024E98"/>
    <w:rsid w:val="000301F3"/>
    <w:rsid w:val="00035057"/>
    <w:rsid w:val="000427D6"/>
    <w:rsid w:val="00042B5C"/>
    <w:rsid w:val="00044464"/>
    <w:rsid w:val="000477B0"/>
    <w:rsid w:val="00052C54"/>
    <w:rsid w:val="00056BCC"/>
    <w:rsid w:val="00057964"/>
    <w:rsid w:val="0007137F"/>
    <w:rsid w:val="00077C62"/>
    <w:rsid w:val="00080D86"/>
    <w:rsid w:val="00080F70"/>
    <w:rsid w:val="00082489"/>
    <w:rsid w:val="00082F4B"/>
    <w:rsid w:val="00097563"/>
    <w:rsid w:val="000A48FE"/>
    <w:rsid w:val="000B3672"/>
    <w:rsid w:val="000B73B6"/>
    <w:rsid w:val="000C2629"/>
    <w:rsid w:val="000D6DE3"/>
    <w:rsid w:val="000E598C"/>
    <w:rsid w:val="000E700F"/>
    <w:rsid w:val="000F6357"/>
    <w:rsid w:val="000F7088"/>
    <w:rsid w:val="0010490E"/>
    <w:rsid w:val="001050DE"/>
    <w:rsid w:val="001062CC"/>
    <w:rsid w:val="001128C8"/>
    <w:rsid w:val="00116DA6"/>
    <w:rsid w:val="00117A90"/>
    <w:rsid w:val="0012179F"/>
    <w:rsid w:val="00123D9A"/>
    <w:rsid w:val="00142B50"/>
    <w:rsid w:val="00145E45"/>
    <w:rsid w:val="00152629"/>
    <w:rsid w:val="0015439E"/>
    <w:rsid w:val="00154635"/>
    <w:rsid w:val="00163A18"/>
    <w:rsid w:val="00172883"/>
    <w:rsid w:val="0017486E"/>
    <w:rsid w:val="001772A1"/>
    <w:rsid w:val="00177FD6"/>
    <w:rsid w:val="00185230"/>
    <w:rsid w:val="00187EDF"/>
    <w:rsid w:val="00193AE1"/>
    <w:rsid w:val="00195067"/>
    <w:rsid w:val="00196087"/>
    <w:rsid w:val="0019691D"/>
    <w:rsid w:val="00197136"/>
    <w:rsid w:val="00197AEA"/>
    <w:rsid w:val="001A41F7"/>
    <w:rsid w:val="001A60C5"/>
    <w:rsid w:val="001B0D75"/>
    <w:rsid w:val="001E2948"/>
    <w:rsid w:val="001E76A9"/>
    <w:rsid w:val="001F0BCC"/>
    <w:rsid w:val="001F1281"/>
    <w:rsid w:val="001F3478"/>
    <w:rsid w:val="002217B7"/>
    <w:rsid w:val="00227EDF"/>
    <w:rsid w:val="002305F2"/>
    <w:rsid w:val="00252EAE"/>
    <w:rsid w:val="00257D93"/>
    <w:rsid w:val="002733D6"/>
    <w:rsid w:val="00273FF8"/>
    <w:rsid w:val="00277C5E"/>
    <w:rsid w:val="00285C22"/>
    <w:rsid w:val="00286DF8"/>
    <w:rsid w:val="002905AC"/>
    <w:rsid w:val="00290744"/>
    <w:rsid w:val="00290CED"/>
    <w:rsid w:val="00291724"/>
    <w:rsid w:val="00291E03"/>
    <w:rsid w:val="002929C0"/>
    <w:rsid w:val="0029329E"/>
    <w:rsid w:val="00295BF6"/>
    <w:rsid w:val="002A4C4F"/>
    <w:rsid w:val="002B3CD9"/>
    <w:rsid w:val="002B4E65"/>
    <w:rsid w:val="002C4768"/>
    <w:rsid w:val="002C71C1"/>
    <w:rsid w:val="002C7F26"/>
    <w:rsid w:val="002D01B9"/>
    <w:rsid w:val="002D1845"/>
    <w:rsid w:val="002D2C56"/>
    <w:rsid w:val="002D5889"/>
    <w:rsid w:val="002E233E"/>
    <w:rsid w:val="002F0D5B"/>
    <w:rsid w:val="002F1DF9"/>
    <w:rsid w:val="0031337A"/>
    <w:rsid w:val="00316C2A"/>
    <w:rsid w:val="0032051B"/>
    <w:rsid w:val="00323E61"/>
    <w:rsid w:val="00331EE8"/>
    <w:rsid w:val="00332040"/>
    <w:rsid w:val="00335BF1"/>
    <w:rsid w:val="003366B5"/>
    <w:rsid w:val="00336B49"/>
    <w:rsid w:val="00337D82"/>
    <w:rsid w:val="00343411"/>
    <w:rsid w:val="003441C4"/>
    <w:rsid w:val="0034706E"/>
    <w:rsid w:val="003637C7"/>
    <w:rsid w:val="00365716"/>
    <w:rsid w:val="003659A8"/>
    <w:rsid w:val="003705B7"/>
    <w:rsid w:val="00370D9C"/>
    <w:rsid w:val="0037155B"/>
    <w:rsid w:val="00381A61"/>
    <w:rsid w:val="00381B66"/>
    <w:rsid w:val="00383558"/>
    <w:rsid w:val="003846F2"/>
    <w:rsid w:val="0038512D"/>
    <w:rsid w:val="00397A1B"/>
    <w:rsid w:val="003A0AEB"/>
    <w:rsid w:val="003A3BA9"/>
    <w:rsid w:val="003A41FE"/>
    <w:rsid w:val="003A5391"/>
    <w:rsid w:val="003B3D17"/>
    <w:rsid w:val="003B453E"/>
    <w:rsid w:val="003C2C96"/>
    <w:rsid w:val="003C71C4"/>
    <w:rsid w:val="003D2176"/>
    <w:rsid w:val="003D5BB6"/>
    <w:rsid w:val="003D68F4"/>
    <w:rsid w:val="003E1AAB"/>
    <w:rsid w:val="003E43DE"/>
    <w:rsid w:val="003E53A6"/>
    <w:rsid w:val="003E764C"/>
    <w:rsid w:val="0040335D"/>
    <w:rsid w:val="0040394B"/>
    <w:rsid w:val="00410A4F"/>
    <w:rsid w:val="00425597"/>
    <w:rsid w:val="00425F35"/>
    <w:rsid w:val="0042740D"/>
    <w:rsid w:val="004315B9"/>
    <w:rsid w:val="00442099"/>
    <w:rsid w:val="00445C80"/>
    <w:rsid w:val="00446A9F"/>
    <w:rsid w:val="00447DB1"/>
    <w:rsid w:val="00447FC0"/>
    <w:rsid w:val="0045092C"/>
    <w:rsid w:val="00453D2A"/>
    <w:rsid w:val="00464621"/>
    <w:rsid w:val="00481FE9"/>
    <w:rsid w:val="00482F68"/>
    <w:rsid w:val="0048548C"/>
    <w:rsid w:val="004864B2"/>
    <w:rsid w:val="004918B1"/>
    <w:rsid w:val="004A01CE"/>
    <w:rsid w:val="004A3940"/>
    <w:rsid w:val="004A5F1A"/>
    <w:rsid w:val="004B105A"/>
    <w:rsid w:val="004B31C3"/>
    <w:rsid w:val="004B4E67"/>
    <w:rsid w:val="004B50C3"/>
    <w:rsid w:val="004D5240"/>
    <w:rsid w:val="004E07A1"/>
    <w:rsid w:val="004E3DD0"/>
    <w:rsid w:val="004E3F9B"/>
    <w:rsid w:val="004E4C62"/>
    <w:rsid w:val="004E4E0D"/>
    <w:rsid w:val="004F017B"/>
    <w:rsid w:val="004F3270"/>
    <w:rsid w:val="004F3F24"/>
    <w:rsid w:val="004F7818"/>
    <w:rsid w:val="0050281B"/>
    <w:rsid w:val="00503188"/>
    <w:rsid w:val="00503745"/>
    <w:rsid w:val="005039C8"/>
    <w:rsid w:val="0051150E"/>
    <w:rsid w:val="00512DC5"/>
    <w:rsid w:val="00516A97"/>
    <w:rsid w:val="00520D54"/>
    <w:rsid w:val="00527F51"/>
    <w:rsid w:val="00530097"/>
    <w:rsid w:val="00531B5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3F06"/>
    <w:rsid w:val="00594299"/>
    <w:rsid w:val="005A5876"/>
    <w:rsid w:val="005C0585"/>
    <w:rsid w:val="005C40B8"/>
    <w:rsid w:val="005C7AE4"/>
    <w:rsid w:val="005D0945"/>
    <w:rsid w:val="005D261D"/>
    <w:rsid w:val="005D2646"/>
    <w:rsid w:val="005D5307"/>
    <w:rsid w:val="005D5DC9"/>
    <w:rsid w:val="005D7519"/>
    <w:rsid w:val="005F0996"/>
    <w:rsid w:val="005F4254"/>
    <w:rsid w:val="005F5898"/>
    <w:rsid w:val="005F5F2E"/>
    <w:rsid w:val="006014E6"/>
    <w:rsid w:val="00602A56"/>
    <w:rsid w:val="006035E6"/>
    <w:rsid w:val="00603BA1"/>
    <w:rsid w:val="00606953"/>
    <w:rsid w:val="00606C35"/>
    <w:rsid w:val="00611C4A"/>
    <w:rsid w:val="00613EAD"/>
    <w:rsid w:val="00621F2F"/>
    <w:rsid w:val="0062255D"/>
    <w:rsid w:val="00625B99"/>
    <w:rsid w:val="00630B2A"/>
    <w:rsid w:val="006339DE"/>
    <w:rsid w:val="006341A1"/>
    <w:rsid w:val="00634D1C"/>
    <w:rsid w:val="006422BD"/>
    <w:rsid w:val="006525F8"/>
    <w:rsid w:val="00652E8E"/>
    <w:rsid w:val="00656465"/>
    <w:rsid w:val="00660BE7"/>
    <w:rsid w:val="006653FA"/>
    <w:rsid w:val="0067401E"/>
    <w:rsid w:val="00680BBB"/>
    <w:rsid w:val="00685FA0"/>
    <w:rsid w:val="0068770D"/>
    <w:rsid w:val="00690386"/>
    <w:rsid w:val="00691286"/>
    <w:rsid w:val="006A6DAE"/>
    <w:rsid w:val="006B3E15"/>
    <w:rsid w:val="006B7FBA"/>
    <w:rsid w:val="006C1457"/>
    <w:rsid w:val="006D08E6"/>
    <w:rsid w:val="006D7A13"/>
    <w:rsid w:val="006E1160"/>
    <w:rsid w:val="006E1F52"/>
    <w:rsid w:val="006E4FFF"/>
    <w:rsid w:val="0070132B"/>
    <w:rsid w:val="007014FE"/>
    <w:rsid w:val="00701A9C"/>
    <w:rsid w:val="0071417D"/>
    <w:rsid w:val="007146B1"/>
    <w:rsid w:val="007169CC"/>
    <w:rsid w:val="00725A92"/>
    <w:rsid w:val="007271E9"/>
    <w:rsid w:val="00736B85"/>
    <w:rsid w:val="00736F00"/>
    <w:rsid w:val="00745EE8"/>
    <w:rsid w:val="0075193B"/>
    <w:rsid w:val="00751EDF"/>
    <w:rsid w:val="00754910"/>
    <w:rsid w:val="007561CE"/>
    <w:rsid w:val="007610BD"/>
    <w:rsid w:val="0076666E"/>
    <w:rsid w:val="0076674E"/>
    <w:rsid w:val="00776DCE"/>
    <w:rsid w:val="00780601"/>
    <w:rsid w:val="00792513"/>
    <w:rsid w:val="007A1919"/>
    <w:rsid w:val="007A1E0D"/>
    <w:rsid w:val="007A57B6"/>
    <w:rsid w:val="007B46BD"/>
    <w:rsid w:val="007B7E38"/>
    <w:rsid w:val="007C51FC"/>
    <w:rsid w:val="007C5355"/>
    <w:rsid w:val="007C556D"/>
    <w:rsid w:val="007C7BBE"/>
    <w:rsid w:val="007D1B31"/>
    <w:rsid w:val="007E0A49"/>
    <w:rsid w:val="007F1E1C"/>
    <w:rsid w:val="00801532"/>
    <w:rsid w:val="00802B29"/>
    <w:rsid w:val="00804C97"/>
    <w:rsid w:val="0081008D"/>
    <w:rsid w:val="00817D68"/>
    <w:rsid w:val="008203F2"/>
    <w:rsid w:val="00835BDB"/>
    <w:rsid w:val="00835E7D"/>
    <w:rsid w:val="00836233"/>
    <w:rsid w:val="00850017"/>
    <w:rsid w:val="008525DE"/>
    <w:rsid w:val="00856962"/>
    <w:rsid w:val="00866013"/>
    <w:rsid w:val="008715C7"/>
    <w:rsid w:val="00871F31"/>
    <w:rsid w:val="00873066"/>
    <w:rsid w:val="0087690A"/>
    <w:rsid w:val="00877B8B"/>
    <w:rsid w:val="0088183C"/>
    <w:rsid w:val="00885D6D"/>
    <w:rsid w:val="00890D4E"/>
    <w:rsid w:val="008A065E"/>
    <w:rsid w:val="008A13FF"/>
    <w:rsid w:val="008A7390"/>
    <w:rsid w:val="008A7B4A"/>
    <w:rsid w:val="008B0B99"/>
    <w:rsid w:val="008B3908"/>
    <w:rsid w:val="008B686C"/>
    <w:rsid w:val="008C0285"/>
    <w:rsid w:val="008C3AAF"/>
    <w:rsid w:val="008C5299"/>
    <w:rsid w:val="008D3666"/>
    <w:rsid w:val="008D52CE"/>
    <w:rsid w:val="008D5E7B"/>
    <w:rsid w:val="00904214"/>
    <w:rsid w:val="00904E27"/>
    <w:rsid w:val="00906AC0"/>
    <w:rsid w:val="009124A3"/>
    <w:rsid w:val="00920130"/>
    <w:rsid w:val="00921BA8"/>
    <w:rsid w:val="00923B69"/>
    <w:rsid w:val="009300FE"/>
    <w:rsid w:val="00934D15"/>
    <w:rsid w:val="009374BB"/>
    <w:rsid w:val="00940C41"/>
    <w:rsid w:val="00950C06"/>
    <w:rsid w:val="009544B1"/>
    <w:rsid w:val="00955078"/>
    <w:rsid w:val="0095725B"/>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557D"/>
    <w:rsid w:val="009C6A3A"/>
    <w:rsid w:val="009D3876"/>
    <w:rsid w:val="009D40BF"/>
    <w:rsid w:val="009D530A"/>
    <w:rsid w:val="009E66E4"/>
    <w:rsid w:val="009E7EAF"/>
    <w:rsid w:val="009F387F"/>
    <w:rsid w:val="009F66A2"/>
    <w:rsid w:val="009F704A"/>
    <w:rsid w:val="00A003FF"/>
    <w:rsid w:val="00A00FA7"/>
    <w:rsid w:val="00A0520F"/>
    <w:rsid w:val="00A127F7"/>
    <w:rsid w:val="00A211BA"/>
    <w:rsid w:val="00A21B6E"/>
    <w:rsid w:val="00A32CD1"/>
    <w:rsid w:val="00A332E5"/>
    <w:rsid w:val="00A4255E"/>
    <w:rsid w:val="00A43F2F"/>
    <w:rsid w:val="00A4550B"/>
    <w:rsid w:val="00A51AA4"/>
    <w:rsid w:val="00A56BC6"/>
    <w:rsid w:val="00A63029"/>
    <w:rsid w:val="00A76C70"/>
    <w:rsid w:val="00A8219B"/>
    <w:rsid w:val="00A84BFD"/>
    <w:rsid w:val="00A86924"/>
    <w:rsid w:val="00A878CB"/>
    <w:rsid w:val="00AA5ECB"/>
    <w:rsid w:val="00AB07A5"/>
    <w:rsid w:val="00AB2069"/>
    <w:rsid w:val="00AB3E7B"/>
    <w:rsid w:val="00AC1667"/>
    <w:rsid w:val="00AC6FF0"/>
    <w:rsid w:val="00AE2F40"/>
    <w:rsid w:val="00AE4EEE"/>
    <w:rsid w:val="00AF03E6"/>
    <w:rsid w:val="00AF0A6C"/>
    <w:rsid w:val="00AF3F55"/>
    <w:rsid w:val="00AF51BA"/>
    <w:rsid w:val="00AF72B6"/>
    <w:rsid w:val="00B00A28"/>
    <w:rsid w:val="00B163DC"/>
    <w:rsid w:val="00B20319"/>
    <w:rsid w:val="00B246E3"/>
    <w:rsid w:val="00B3138D"/>
    <w:rsid w:val="00B331A7"/>
    <w:rsid w:val="00B35DED"/>
    <w:rsid w:val="00B42DC6"/>
    <w:rsid w:val="00B506C5"/>
    <w:rsid w:val="00B51D4D"/>
    <w:rsid w:val="00B63CDB"/>
    <w:rsid w:val="00B750F3"/>
    <w:rsid w:val="00B767CD"/>
    <w:rsid w:val="00B84F30"/>
    <w:rsid w:val="00B90458"/>
    <w:rsid w:val="00B906D5"/>
    <w:rsid w:val="00BA35E4"/>
    <w:rsid w:val="00BA39B7"/>
    <w:rsid w:val="00BA61EA"/>
    <w:rsid w:val="00BB55AD"/>
    <w:rsid w:val="00BB6C52"/>
    <w:rsid w:val="00BC4A18"/>
    <w:rsid w:val="00BD4189"/>
    <w:rsid w:val="00BD56A8"/>
    <w:rsid w:val="00BD5CEC"/>
    <w:rsid w:val="00BD775F"/>
    <w:rsid w:val="00BE3ACA"/>
    <w:rsid w:val="00BF1DE2"/>
    <w:rsid w:val="00BF57BE"/>
    <w:rsid w:val="00C018C9"/>
    <w:rsid w:val="00C03654"/>
    <w:rsid w:val="00C07426"/>
    <w:rsid w:val="00C11552"/>
    <w:rsid w:val="00C13F03"/>
    <w:rsid w:val="00C1737F"/>
    <w:rsid w:val="00C3322F"/>
    <w:rsid w:val="00C41418"/>
    <w:rsid w:val="00C42014"/>
    <w:rsid w:val="00C42D18"/>
    <w:rsid w:val="00C43492"/>
    <w:rsid w:val="00C43D28"/>
    <w:rsid w:val="00C4409A"/>
    <w:rsid w:val="00C52BF5"/>
    <w:rsid w:val="00C602CE"/>
    <w:rsid w:val="00C65EA4"/>
    <w:rsid w:val="00C715CA"/>
    <w:rsid w:val="00C754EE"/>
    <w:rsid w:val="00C8383A"/>
    <w:rsid w:val="00C90DA2"/>
    <w:rsid w:val="00C91D47"/>
    <w:rsid w:val="00C93C73"/>
    <w:rsid w:val="00C97E1B"/>
    <w:rsid w:val="00CA1F90"/>
    <w:rsid w:val="00CA4193"/>
    <w:rsid w:val="00CA763A"/>
    <w:rsid w:val="00CB0F0E"/>
    <w:rsid w:val="00CB0FBB"/>
    <w:rsid w:val="00CB25F3"/>
    <w:rsid w:val="00CB575B"/>
    <w:rsid w:val="00CB6CDB"/>
    <w:rsid w:val="00CD09AE"/>
    <w:rsid w:val="00CD41CF"/>
    <w:rsid w:val="00CE3378"/>
    <w:rsid w:val="00CF49DF"/>
    <w:rsid w:val="00CF5084"/>
    <w:rsid w:val="00D00363"/>
    <w:rsid w:val="00D00489"/>
    <w:rsid w:val="00D03477"/>
    <w:rsid w:val="00D05004"/>
    <w:rsid w:val="00D11705"/>
    <w:rsid w:val="00D20443"/>
    <w:rsid w:val="00D276A6"/>
    <w:rsid w:val="00D3468F"/>
    <w:rsid w:val="00D35F60"/>
    <w:rsid w:val="00D4252D"/>
    <w:rsid w:val="00D45893"/>
    <w:rsid w:val="00D5007D"/>
    <w:rsid w:val="00D509FA"/>
    <w:rsid w:val="00D54429"/>
    <w:rsid w:val="00D57BFA"/>
    <w:rsid w:val="00D70645"/>
    <w:rsid w:val="00D73336"/>
    <w:rsid w:val="00D741C6"/>
    <w:rsid w:val="00D800D2"/>
    <w:rsid w:val="00DA16F6"/>
    <w:rsid w:val="00DA2EBC"/>
    <w:rsid w:val="00DB2090"/>
    <w:rsid w:val="00DB3A94"/>
    <w:rsid w:val="00DB5B9D"/>
    <w:rsid w:val="00DB7EEE"/>
    <w:rsid w:val="00DC246F"/>
    <w:rsid w:val="00DC662E"/>
    <w:rsid w:val="00DC69BC"/>
    <w:rsid w:val="00DD1979"/>
    <w:rsid w:val="00DD2A99"/>
    <w:rsid w:val="00DD773C"/>
    <w:rsid w:val="00DE191D"/>
    <w:rsid w:val="00DE1FB1"/>
    <w:rsid w:val="00DE3527"/>
    <w:rsid w:val="00DE5790"/>
    <w:rsid w:val="00DF0C0B"/>
    <w:rsid w:val="00DF4FB7"/>
    <w:rsid w:val="00DF5DA7"/>
    <w:rsid w:val="00DF5E2A"/>
    <w:rsid w:val="00E02AE5"/>
    <w:rsid w:val="00E02B47"/>
    <w:rsid w:val="00E03ECC"/>
    <w:rsid w:val="00E046E0"/>
    <w:rsid w:val="00E15A1A"/>
    <w:rsid w:val="00E15DF2"/>
    <w:rsid w:val="00E2174F"/>
    <w:rsid w:val="00E30613"/>
    <w:rsid w:val="00E3205B"/>
    <w:rsid w:val="00E34062"/>
    <w:rsid w:val="00E35449"/>
    <w:rsid w:val="00E407AA"/>
    <w:rsid w:val="00E5266D"/>
    <w:rsid w:val="00E55C63"/>
    <w:rsid w:val="00E55F9B"/>
    <w:rsid w:val="00E669EA"/>
    <w:rsid w:val="00E6787E"/>
    <w:rsid w:val="00E70382"/>
    <w:rsid w:val="00E715FC"/>
    <w:rsid w:val="00E748EC"/>
    <w:rsid w:val="00E80390"/>
    <w:rsid w:val="00E85496"/>
    <w:rsid w:val="00E904FD"/>
    <w:rsid w:val="00E9255D"/>
    <w:rsid w:val="00EA3726"/>
    <w:rsid w:val="00EA7C22"/>
    <w:rsid w:val="00EB0315"/>
    <w:rsid w:val="00EB0F34"/>
    <w:rsid w:val="00EC2F59"/>
    <w:rsid w:val="00EC3036"/>
    <w:rsid w:val="00EC4146"/>
    <w:rsid w:val="00ED0825"/>
    <w:rsid w:val="00ED47F2"/>
    <w:rsid w:val="00EF0D72"/>
    <w:rsid w:val="00EF18BF"/>
    <w:rsid w:val="00EF5073"/>
    <w:rsid w:val="00EF6EA6"/>
    <w:rsid w:val="00F013DA"/>
    <w:rsid w:val="00F05851"/>
    <w:rsid w:val="00F0658B"/>
    <w:rsid w:val="00F07312"/>
    <w:rsid w:val="00F14BC9"/>
    <w:rsid w:val="00F16F95"/>
    <w:rsid w:val="00F2456A"/>
    <w:rsid w:val="00F31CEB"/>
    <w:rsid w:val="00F34997"/>
    <w:rsid w:val="00F4372C"/>
    <w:rsid w:val="00F456A7"/>
    <w:rsid w:val="00F54E36"/>
    <w:rsid w:val="00F550B5"/>
    <w:rsid w:val="00F5663D"/>
    <w:rsid w:val="00F6238C"/>
    <w:rsid w:val="00F64878"/>
    <w:rsid w:val="00F65DCF"/>
    <w:rsid w:val="00F6604C"/>
    <w:rsid w:val="00F83945"/>
    <w:rsid w:val="00F8454B"/>
    <w:rsid w:val="00F84D2C"/>
    <w:rsid w:val="00F84EDF"/>
    <w:rsid w:val="00F866FE"/>
    <w:rsid w:val="00F86742"/>
    <w:rsid w:val="00F8691F"/>
    <w:rsid w:val="00F869F7"/>
    <w:rsid w:val="00F87495"/>
    <w:rsid w:val="00F952FA"/>
    <w:rsid w:val="00FA1BC1"/>
    <w:rsid w:val="00FB3D2C"/>
    <w:rsid w:val="00FD0ED3"/>
    <w:rsid w:val="00FD60CA"/>
    <w:rsid w:val="00FF0C43"/>
    <w:rsid w:val="00FF2516"/>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CCD84D-A839-434A-B51D-4A9F1B8B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9293</Words>
  <Characters>51112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2026-01-23T18:56:00Z</cp:lastPrinted>
  <dcterms:created xsi:type="dcterms:W3CDTF">2026-03-23T17:00:00Z</dcterms:created>
  <dcterms:modified xsi:type="dcterms:W3CDTF">2026-03-23T17:00:00Z</dcterms:modified>
</cp:coreProperties>
</file>