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D4CCA" w14:textId="77777777" w:rsidR="00D1222A" w:rsidRDefault="00D1222A" w:rsidP="000F3AB5">
      <w:pPr>
        <w:tabs>
          <w:tab w:val="left" w:pos="8931"/>
        </w:tabs>
        <w:spacing w:line="360" w:lineRule="auto"/>
        <w:ind w:left="8931" w:hanging="8931"/>
        <w:contextualSpacing/>
      </w:pPr>
      <w:bookmarkStart w:id="0" w:name="_Hlk215665293"/>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rFonts w:ascii="Times New Roman" w:eastAsia="Times New Roman" w:hAnsi="Times New Roman" w:cs="Times New Roman"/>
          <w:b/>
          <w:bCs/>
          <w:color w:val="auto"/>
          <w:sz w:val="20"/>
          <w:szCs w:val="20"/>
        </w:rPr>
      </w:sdtEndPr>
      <w:sdtContent>
        <w:p w14:paraId="4C57AC50" w14:textId="77777777" w:rsidR="00D1222A" w:rsidRDefault="00D1222A" w:rsidP="000F3AB5">
          <w:pPr>
            <w:pStyle w:val="TtuloTDC"/>
            <w:spacing w:before="0" w:line="360" w:lineRule="auto"/>
            <w:contextualSpacing/>
            <w:jc w:val="center"/>
            <w:rPr>
              <w:rFonts w:ascii="Palatino Linotype" w:eastAsia="Palatino Linotype" w:hAnsi="Palatino Linotype" w:cs="Palatino Linotype"/>
              <w:color w:val="000000" w:themeColor="text1"/>
              <w:sz w:val="22"/>
              <w:szCs w:val="22"/>
              <w:lang w:val="es-ES"/>
            </w:rPr>
          </w:pPr>
        </w:p>
        <w:p w14:paraId="5A7A451D" w14:textId="7CE42B88" w:rsidR="00D1222A" w:rsidRPr="005A6874" w:rsidRDefault="00D1222A" w:rsidP="000F3AB5">
          <w:pPr>
            <w:pStyle w:val="TtuloTDC"/>
            <w:spacing w:before="0" w:line="360" w:lineRule="auto"/>
            <w:contextualSpacing/>
            <w:jc w:val="center"/>
            <w:rPr>
              <w:rFonts w:ascii="Palatino Linotype" w:hAnsi="Palatino Linotype"/>
              <w:color w:val="auto"/>
              <w:sz w:val="22"/>
              <w:szCs w:val="22"/>
            </w:rPr>
          </w:pPr>
          <w:r w:rsidRPr="005A6874">
            <w:rPr>
              <w:rFonts w:ascii="Palatino Linotype" w:hAnsi="Palatino Linotype"/>
              <w:color w:val="auto"/>
              <w:sz w:val="22"/>
              <w:szCs w:val="22"/>
              <w:lang w:val="es-ES"/>
            </w:rPr>
            <w:t xml:space="preserve">RESOLUCIÓN DEL RECURSO DE REVISIÓN </w:t>
          </w:r>
          <w:r w:rsidRPr="005A6874">
            <w:rPr>
              <w:rFonts w:ascii="Palatino Linotype" w:hAnsi="Palatino Linotype"/>
              <w:color w:val="auto"/>
              <w:sz w:val="22"/>
              <w:szCs w:val="22"/>
            </w:rPr>
            <w:t>0</w:t>
          </w:r>
          <w:r w:rsidR="002E01B9">
            <w:rPr>
              <w:rFonts w:ascii="Palatino Linotype" w:hAnsi="Palatino Linotype"/>
              <w:color w:val="auto"/>
              <w:sz w:val="22"/>
              <w:szCs w:val="22"/>
            </w:rPr>
            <w:t>4426</w:t>
          </w:r>
          <w:r w:rsidRPr="005A6874">
            <w:rPr>
              <w:rFonts w:ascii="Palatino Linotype" w:hAnsi="Palatino Linotype"/>
              <w:color w:val="auto"/>
              <w:sz w:val="22"/>
              <w:szCs w:val="22"/>
            </w:rPr>
            <w:t>/INFOEM/IP/RR/2025</w:t>
          </w:r>
        </w:p>
        <w:p w14:paraId="1FBA5163" w14:textId="77777777" w:rsidR="00D1222A" w:rsidRPr="005A6874" w:rsidRDefault="00D1222A" w:rsidP="000F3AB5">
          <w:pPr>
            <w:spacing w:line="360" w:lineRule="auto"/>
            <w:contextualSpacing/>
          </w:pPr>
        </w:p>
        <w:p w14:paraId="015217C9" w14:textId="77777777" w:rsidR="008D4ABB" w:rsidRPr="008D4ABB" w:rsidRDefault="00D1222A">
          <w:pPr>
            <w:pStyle w:val="TDC1"/>
            <w:tabs>
              <w:tab w:val="right" w:leader="dot" w:pos="8828"/>
            </w:tabs>
            <w:rPr>
              <w:rFonts w:asciiTheme="minorHAnsi" w:eastAsiaTheme="minorEastAsia" w:hAnsiTheme="minorHAnsi" w:cstheme="minorBidi"/>
              <w:noProof/>
              <w:color w:val="auto"/>
            </w:rPr>
          </w:pPr>
          <w:r w:rsidRPr="005A6874">
            <w:fldChar w:fldCharType="begin"/>
          </w:r>
          <w:r w:rsidRPr="005A6874">
            <w:instrText xml:space="preserve"> TOC \o "1-3" \h \z \u </w:instrText>
          </w:r>
          <w:r w:rsidRPr="005A6874">
            <w:fldChar w:fldCharType="separate"/>
          </w:r>
          <w:hyperlink w:anchor="_Toc221203745" w:history="1">
            <w:r w:rsidR="008D4ABB" w:rsidRPr="008D4ABB">
              <w:rPr>
                <w:rStyle w:val="Hipervnculo"/>
                <w:bCs/>
                <w:noProof/>
              </w:rPr>
              <w:t>A N T E C E D E N T E S</w:t>
            </w:r>
            <w:r w:rsidR="008D4ABB" w:rsidRPr="008D4ABB">
              <w:rPr>
                <w:noProof/>
                <w:webHidden/>
              </w:rPr>
              <w:tab/>
            </w:r>
            <w:r w:rsidR="008D4ABB" w:rsidRPr="008D4ABB">
              <w:rPr>
                <w:noProof/>
                <w:webHidden/>
              </w:rPr>
              <w:fldChar w:fldCharType="begin"/>
            </w:r>
            <w:r w:rsidR="008D4ABB" w:rsidRPr="008D4ABB">
              <w:rPr>
                <w:noProof/>
                <w:webHidden/>
              </w:rPr>
              <w:instrText xml:space="preserve"> PAGEREF _Toc221203745 \h </w:instrText>
            </w:r>
            <w:r w:rsidR="008D4ABB" w:rsidRPr="008D4ABB">
              <w:rPr>
                <w:noProof/>
                <w:webHidden/>
              </w:rPr>
            </w:r>
            <w:r w:rsidR="008D4ABB" w:rsidRPr="008D4ABB">
              <w:rPr>
                <w:noProof/>
                <w:webHidden/>
              </w:rPr>
              <w:fldChar w:fldCharType="separate"/>
            </w:r>
            <w:r w:rsidR="00020B3A">
              <w:rPr>
                <w:noProof/>
                <w:webHidden/>
              </w:rPr>
              <w:t>2</w:t>
            </w:r>
            <w:r w:rsidR="008D4ABB" w:rsidRPr="008D4ABB">
              <w:rPr>
                <w:noProof/>
                <w:webHidden/>
              </w:rPr>
              <w:fldChar w:fldCharType="end"/>
            </w:r>
          </w:hyperlink>
        </w:p>
        <w:p w14:paraId="45673284" w14:textId="77777777" w:rsidR="008D4ABB" w:rsidRPr="008D4ABB" w:rsidRDefault="008D4ABB">
          <w:pPr>
            <w:pStyle w:val="TDC2"/>
            <w:tabs>
              <w:tab w:val="right" w:leader="dot" w:pos="8828"/>
            </w:tabs>
            <w:rPr>
              <w:rFonts w:asciiTheme="minorHAnsi" w:eastAsiaTheme="minorEastAsia" w:hAnsiTheme="minorHAnsi" w:cstheme="minorBidi"/>
              <w:noProof/>
              <w:color w:val="auto"/>
            </w:rPr>
          </w:pPr>
          <w:hyperlink w:anchor="_Toc221203746" w:history="1">
            <w:r w:rsidRPr="008D4ABB">
              <w:rPr>
                <w:rStyle w:val="Hipervnculo"/>
                <w:bCs/>
                <w:noProof/>
              </w:rPr>
              <w:t>I. Presentación de la solicitud de información</w:t>
            </w:r>
            <w:r w:rsidRPr="008D4ABB">
              <w:rPr>
                <w:noProof/>
                <w:webHidden/>
              </w:rPr>
              <w:tab/>
            </w:r>
            <w:r w:rsidRPr="008D4ABB">
              <w:rPr>
                <w:noProof/>
                <w:webHidden/>
              </w:rPr>
              <w:fldChar w:fldCharType="begin"/>
            </w:r>
            <w:r w:rsidRPr="008D4ABB">
              <w:rPr>
                <w:noProof/>
                <w:webHidden/>
              </w:rPr>
              <w:instrText xml:space="preserve"> PAGEREF _Toc221203746 \h </w:instrText>
            </w:r>
            <w:r w:rsidRPr="008D4ABB">
              <w:rPr>
                <w:noProof/>
                <w:webHidden/>
              </w:rPr>
            </w:r>
            <w:r w:rsidRPr="008D4ABB">
              <w:rPr>
                <w:noProof/>
                <w:webHidden/>
              </w:rPr>
              <w:fldChar w:fldCharType="separate"/>
            </w:r>
            <w:r w:rsidR="00020B3A">
              <w:rPr>
                <w:noProof/>
                <w:webHidden/>
              </w:rPr>
              <w:t>2</w:t>
            </w:r>
            <w:r w:rsidRPr="008D4ABB">
              <w:rPr>
                <w:noProof/>
                <w:webHidden/>
              </w:rPr>
              <w:fldChar w:fldCharType="end"/>
            </w:r>
          </w:hyperlink>
        </w:p>
        <w:p w14:paraId="2309CA26" w14:textId="77777777" w:rsidR="008D4ABB" w:rsidRPr="008D4ABB" w:rsidRDefault="008D4ABB">
          <w:pPr>
            <w:pStyle w:val="TDC2"/>
            <w:tabs>
              <w:tab w:val="right" w:leader="dot" w:pos="8828"/>
            </w:tabs>
            <w:rPr>
              <w:rFonts w:asciiTheme="minorHAnsi" w:eastAsiaTheme="minorEastAsia" w:hAnsiTheme="minorHAnsi" w:cstheme="minorBidi"/>
              <w:noProof/>
              <w:color w:val="auto"/>
            </w:rPr>
          </w:pPr>
          <w:hyperlink w:anchor="_Toc221203747" w:history="1">
            <w:r w:rsidRPr="008D4ABB">
              <w:rPr>
                <w:rStyle w:val="Hipervnculo"/>
                <w:bCs/>
                <w:noProof/>
              </w:rPr>
              <w:t>II. Respuesta del Sujeto Obligado</w:t>
            </w:r>
            <w:r w:rsidRPr="008D4ABB">
              <w:rPr>
                <w:noProof/>
                <w:webHidden/>
              </w:rPr>
              <w:tab/>
            </w:r>
            <w:r w:rsidRPr="008D4ABB">
              <w:rPr>
                <w:noProof/>
                <w:webHidden/>
              </w:rPr>
              <w:fldChar w:fldCharType="begin"/>
            </w:r>
            <w:r w:rsidRPr="008D4ABB">
              <w:rPr>
                <w:noProof/>
                <w:webHidden/>
              </w:rPr>
              <w:instrText xml:space="preserve"> PAGEREF _Toc221203747 \h </w:instrText>
            </w:r>
            <w:r w:rsidRPr="008D4ABB">
              <w:rPr>
                <w:noProof/>
                <w:webHidden/>
              </w:rPr>
            </w:r>
            <w:r w:rsidRPr="008D4ABB">
              <w:rPr>
                <w:noProof/>
                <w:webHidden/>
              </w:rPr>
              <w:fldChar w:fldCharType="separate"/>
            </w:r>
            <w:r w:rsidR="00020B3A">
              <w:rPr>
                <w:noProof/>
                <w:webHidden/>
              </w:rPr>
              <w:t>5</w:t>
            </w:r>
            <w:r w:rsidRPr="008D4ABB">
              <w:rPr>
                <w:noProof/>
                <w:webHidden/>
              </w:rPr>
              <w:fldChar w:fldCharType="end"/>
            </w:r>
          </w:hyperlink>
        </w:p>
        <w:p w14:paraId="499CCABA" w14:textId="77777777" w:rsidR="008D4ABB" w:rsidRPr="008D4ABB" w:rsidRDefault="008D4ABB">
          <w:pPr>
            <w:pStyle w:val="TDC2"/>
            <w:tabs>
              <w:tab w:val="right" w:leader="dot" w:pos="8828"/>
            </w:tabs>
            <w:rPr>
              <w:rFonts w:asciiTheme="minorHAnsi" w:eastAsiaTheme="minorEastAsia" w:hAnsiTheme="minorHAnsi" w:cstheme="minorBidi"/>
              <w:noProof/>
              <w:color w:val="auto"/>
            </w:rPr>
          </w:pPr>
          <w:hyperlink w:anchor="_Toc221203748" w:history="1">
            <w:r w:rsidRPr="008D4ABB">
              <w:rPr>
                <w:rStyle w:val="Hipervnculo"/>
                <w:bCs/>
                <w:noProof/>
              </w:rPr>
              <w:t>III. Interposición del Recurso de Revisión</w:t>
            </w:r>
            <w:r w:rsidRPr="008D4ABB">
              <w:rPr>
                <w:noProof/>
                <w:webHidden/>
              </w:rPr>
              <w:tab/>
            </w:r>
            <w:r w:rsidRPr="008D4ABB">
              <w:rPr>
                <w:noProof/>
                <w:webHidden/>
              </w:rPr>
              <w:fldChar w:fldCharType="begin"/>
            </w:r>
            <w:r w:rsidRPr="008D4ABB">
              <w:rPr>
                <w:noProof/>
                <w:webHidden/>
              </w:rPr>
              <w:instrText xml:space="preserve"> PAGEREF _Toc221203748 \h </w:instrText>
            </w:r>
            <w:r w:rsidRPr="008D4ABB">
              <w:rPr>
                <w:noProof/>
                <w:webHidden/>
              </w:rPr>
            </w:r>
            <w:r w:rsidRPr="008D4ABB">
              <w:rPr>
                <w:noProof/>
                <w:webHidden/>
              </w:rPr>
              <w:fldChar w:fldCharType="separate"/>
            </w:r>
            <w:r w:rsidR="00020B3A">
              <w:rPr>
                <w:noProof/>
                <w:webHidden/>
              </w:rPr>
              <w:t>6</w:t>
            </w:r>
            <w:r w:rsidRPr="008D4ABB">
              <w:rPr>
                <w:noProof/>
                <w:webHidden/>
              </w:rPr>
              <w:fldChar w:fldCharType="end"/>
            </w:r>
          </w:hyperlink>
        </w:p>
        <w:p w14:paraId="1F1A20E2" w14:textId="77777777" w:rsidR="008D4ABB" w:rsidRPr="008D4ABB" w:rsidRDefault="008D4ABB">
          <w:pPr>
            <w:pStyle w:val="TDC2"/>
            <w:tabs>
              <w:tab w:val="right" w:leader="dot" w:pos="8828"/>
            </w:tabs>
            <w:rPr>
              <w:rFonts w:asciiTheme="minorHAnsi" w:eastAsiaTheme="minorEastAsia" w:hAnsiTheme="minorHAnsi" w:cstheme="minorBidi"/>
              <w:noProof/>
              <w:color w:val="auto"/>
            </w:rPr>
          </w:pPr>
          <w:hyperlink w:anchor="_Toc221203749" w:history="1">
            <w:r w:rsidRPr="008D4ABB">
              <w:rPr>
                <w:rStyle w:val="Hipervnculo"/>
                <w:bCs/>
                <w:noProof/>
              </w:rPr>
              <w:t>IV. Trámite del Recurso de Revisión ante este Instituto</w:t>
            </w:r>
            <w:r w:rsidRPr="008D4ABB">
              <w:rPr>
                <w:noProof/>
                <w:webHidden/>
              </w:rPr>
              <w:tab/>
            </w:r>
            <w:r w:rsidRPr="008D4ABB">
              <w:rPr>
                <w:noProof/>
                <w:webHidden/>
              </w:rPr>
              <w:fldChar w:fldCharType="begin"/>
            </w:r>
            <w:r w:rsidRPr="008D4ABB">
              <w:rPr>
                <w:noProof/>
                <w:webHidden/>
              </w:rPr>
              <w:instrText xml:space="preserve"> PAGEREF _Toc221203749 \h </w:instrText>
            </w:r>
            <w:r w:rsidRPr="008D4ABB">
              <w:rPr>
                <w:noProof/>
                <w:webHidden/>
              </w:rPr>
            </w:r>
            <w:r w:rsidRPr="008D4ABB">
              <w:rPr>
                <w:noProof/>
                <w:webHidden/>
              </w:rPr>
              <w:fldChar w:fldCharType="separate"/>
            </w:r>
            <w:r w:rsidR="00020B3A">
              <w:rPr>
                <w:noProof/>
                <w:webHidden/>
              </w:rPr>
              <w:t>7</w:t>
            </w:r>
            <w:r w:rsidRPr="008D4ABB">
              <w:rPr>
                <w:noProof/>
                <w:webHidden/>
              </w:rPr>
              <w:fldChar w:fldCharType="end"/>
            </w:r>
          </w:hyperlink>
        </w:p>
        <w:p w14:paraId="486C3360" w14:textId="77777777" w:rsidR="008D4ABB" w:rsidRPr="008D4ABB" w:rsidRDefault="008D4ABB">
          <w:pPr>
            <w:pStyle w:val="TDC1"/>
            <w:tabs>
              <w:tab w:val="right" w:leader="dot" w:pos="8828"/>
            </w:tabs>
            <w:rPr>
              <w:rFonts w:asciiTheme="minorHAnsi" w:eastAsiaTheme="minorEastAsia" w:hAnsiTheme="minorHAnsi" w:cstheme="minorBidi"/>
              <w:noProof/>
              <w:color w:val="auto"/>
            </w:rPr>
          </w:pPr>
          <w:hyperlink w:anchor="_Toc221203750" w:history="1">
            <w:r w:rsidRPr="008D4ABB">
              <w:rPr>
                <w:rStyle w:val="Hipervnculo"/>
                <w:noProof/>
              </w:rPr>
              <w:t>C O N S I D E R A N D O S</w:t>
            </w:r>
            <w:r w:rsidRPr="008D4ABB">
              <w:rPr>
                <w:noProof/>
                <w:webHidden/>
              </w:rPr>
              <w:tab/>
            </w:r>
            <w:r w:rsidRPr="008D4ABB">
              <w:rPr>
                <w:noProof/>
                <w:webHidden/>
              </w:rPr>
              <w:fldChar w:fldCharType="begin"/>
            </w:r>
            <w:r w:rsidRPr="008D4ABB">
              <w:rPr>
                <w:noProof/>
                <w:webHidden/>
              </w:rPr>
              <w:instrText xml:space="preserve"> PAGEREF _Toc221203750 \h </w:instrText>
            </w:r>
            <w:r w:rsidRPr="008D4ABB">
              <w:rPr>
                <w:noProof/>
                <w:webHidden/>
              </w:rPr>
            </w:r>
            <w:r w:rsidRPr="008D4ABB">
              <w:rPr>
                <w:noProof/>
                <w:webHidden/>
              </w:rPr>
              <w:fldChar w:fldCharType="separate"/>
            </w:r>
            <w:r w:rsidR="00020B3A">
              <w:rPr>
                <w:noProof/>
                <w:webHidden/>
              </w:rPr>
              <w:t>8</w:t>
            </w:r>
            <w:r w:rsidRPr="008D4ABB">
              <w:rPr>
                <w:noProof/>
                <w:webHidden/>
              </w:rPr>
              <w:fldChar w:fldCharType="end"/>
            </w:r>
          </w:hyperlink>
        </w:p>
        <w:p w14:paraId="79FBC955" w14:textId="77777777" w:rsidR="008D4ABB" w:rsidRPr="008D4ABB" w:rsidRDefault="008D4ABB">
          <w:pPr>
            <w:pStyle w:val="TDC2"/>
            <w:tabs>
              <w:tab w:val="right" w:leader="dot" w:pos="8828"/>
            </w:tabs>
            <w:rPr>
              <w:rFonts w:asciiTheme="minorHAnsi" w:eastAsiaTheme="minorEastAsia" w:hAnsiTheme="minorHAnsi" w:cstheme="minorBidi"/>
              <w:noProof/>
              <w:color w:val="auto"/>
            </w:rPr>
          </w:pPr>
          <w:hyperlink w:anchor="_Toc221203751" w:history="1">
            <w:r w:rsidRPr="008D4ABB">
              <w:rPr>
                <w:rStyle w:val="Hipervnculo"/>
                <w:noProof/>
              </w:rPr>
              <w:t>PRIMERO. Competencia</w:t>
            </w:r>
            <w:r w:rsidRPr="008D4ABB">
              <w:rPr>
                <w:noProof/>
                <w:webHidden/>
              </w:rPr>
              <w:tab/>
            </w:r>
            <w:r w:rsidRPr="008D4ABB">
              <w:rPr>
                <w:noProof/>
                <w:webHidden/>
              </w:rPr>
              <w:fldChar w:fldCharType="begin"/>
            </w:r>
            <w:r w:rsidRPr="008D4ABB">
              <w:rPr>
                <w:noProof/>
                <w:webHidden/>
              </w:rPr>
              <w:instrText xml:space="preserve"> PAGEREF _Toc221203751 \h </w:instrText>
            </w:r>
            <w:r w:rsidRPr="008D4ABB">
              <w:rPr>
                <w:noProof/>
                <w:webHidden/>
              </w:rPr>
            </w:r>
            <w:r w:rsidRPr="008D4ABB">
              <w:rPr>
                <w:noProof/>
                <w:webHidden/>
              </w:rPr>
              <w:fldChar w:fldCharType="separate"/>
            </w:r>
            <w:r w:rsidR="00020B3A">
              <w:rPr>
                <w:noProof/>
                <w:webHidden/>
              </w:rPr>
              <w:t>8</w:t>
            </w:r>
            <w:r w:rsidRPr="008D4ABB">
              <w:rPr>
                <w:noProof/>
                <w:webHidden/>
              </w:rPr>
              <w:fldChar w:fldCharType="end"/>
            </w:r>
          </w:hyperlink>
        </w:p>
        <w:p w14:paraId="4B67AB74" w14:textId="77777777" w:rsidR="008D4ABB" w:rsidRPr="008D4ABB" w:rsidRDefault="008D4ABB">
          <w:pPr>
            <w:pStyle w:val="TDC2"/>
            <w:tabs>
              <w:tab w:val="right" w:leader="dot" w:pos="8828"/>
            </w:tabs>
            <w:rPr>
              <w:rFonts w:asciiTheme="minorHAnsi" w:eastAsiaTheme="minorEastAsia" w:hAnsiTheme="minorHAnsi" w:cstheme="minorBidi"/>
              <w:noProof/>
              <w:color w:val="auto"/>
            </w:rPr>
          </w:pPr>
          <w:hyperlink w:anchor="_Toc221203752" w:history="1">
            <w:r w:rsidRPr="008D4ABB">
              <w:rPr>
                <w:rStyle w:val="Hipervnculo"/>
                <w:noProof/>
              </w:rPr>
              <w:t>SEGUNDO. Causales de improcedencia y sobreseimiento</w:t>
            </w:r>
            <w:r w:rsidRPr="008D4ABB">
              <w:rPr>
                <w:noProof/>
                <w:webHidden/>
              </w:rPr>
              <w:tab/>
            </w:r>
            <w:r w:rsidRPr="008D4ABB">
              <w:rPr>
                <w:noProof/>
                <w:webHidden/>
              </w:rPr>
              <w:fldChar w:fldCharType="begin"/>
            </w:r>
            <w:r w:rsidRPr="008D4ABB">
              <w:rPr>
                <w:noProof/>
                <w:webHidden/>
              </w:rPr>
              <w:instrText xml:space="preserve"> PAGEREF _Toc221203752 \h </w:instrText>
            </w:r>
            <w:r w:rsidRPr="008D4ABB">
              <w:rPr>
                <w:noProof/>
                <w:webHidden/>
              </w:rPr>
            </w:r>
            <w:r w:rsidRPr="008D4ABB">
              <w:rPr>
                <w:noProof/>
                <w:webHidden/>
              </w:rPr>
              <w:fldChar w:fldCharType="separate"/>
            </w:r>
            <w:r w:rsidR="00020B3A">
              <w:rPr>
                <w:noProof/>
                <w:webHidden/>
              </w:rPr>
              <w:t>9</w:t>
            </w:r>
            <w:r w:rsidRPr="008D4ABB">
              <w:rPr>
                <w:noProof/>
                <w:webHidden/>
              </w:rPr>
              <w:fldChar w:fldCharType="end"/>
            </w:r>
          </w:hyperlink>
        </w:p>
        <w:p w14:paraId="6329586E" w14:textId="77777777" w:rsidR="008D4ABB" w:rsidRPr="008D4ABB" w:rsidRDefault="008D4ABB">
          <w:pPr>
            <w:pStyle w:val="TDC2"/>
            <w:tabs>
              <w:tab w:val="right" w:leader="dot" w:pos="8828"/>
            </w:tabs>
            <w:rPr>
              <w:rFonts w:asciiTheme="minorHAnsi" w:eastAsiaTheme="minorEastAsia" w:hAnsiTheme="minorHAnsi" w:cstheme="minorBidi"/>
              <w:noProof/>
              <w:color w:val="auto"/>
            </w:rPr>
          </w:pPr>
          <w:hyperlink w:anchor="_Toc221203753" w:history="1">
            <w:r w:rsidRPr="008D4ABB">
              <w:rPr>
                <w:rStyle w:val="Hipervnculo"/>
                <w:noProof/>
              </w:rPr>
              <w:t>TERCERO. Determinación de la Controversia</w:t>
            </w:r>
            <w:r w:rsidRPr="008D4ABB">
              <w:rPr>
                <w:noProof/>
                <w:webHidden/>
              </w:rPr>
              <w:tab/>
            </w:r>
            <w:r w:rsidRPr="008D4ABB">
              <w:rPr>
                <w:noProof/>
                <w:webHidden/>
              </w:rPr>
              <w:fldChar w:fldCharType="begin"/>
            </w:r>
            <w:r w:rsidRPr="008D4ABB">
              <w:rPr>
                <w:noProof/>
                <w:webHidden/>
              </w:rPr>
              <w:instrText xml:space="preserve"> PAGEREF _Toc221203753 \h </w:instrText>
            </w:r>
            <w:r w:rsidRPr="008D4ABB">
              <w:rPr>
                <w:noProof/>
                <w:webHidden/>
              </w:rPr>
            </w:r>
            <w:r w:rsidRPr="008D4ABB">
              <w:rPr>
                <w:noProof/>
                <w:webHidden/>
              </w:rPr>
              <w:fldChar w:fldCharType="separate"/>
            </w:r>
            <w:r w:rsidR="00020B3A">
              <w:rPr>
                <w:noProof/>
                <w:webHidden/>
              </w:rPr>
              <w:t>10</w:t>
            </w:r>
            <w:r w:rsidRPr="008D4ABB">
              <w:rPr>
                <w:noProof/>
                <w:webHidden/>
              </w:rPr>
              <w:fldChar w:fldCharType="end"/>
            </w:r>
          </w:hyperlink>
        </w:p>
        <w:p w14:paraId="44326541" w14:textId="77777777" w:rsidR="008D4ABB" w:rsidRPr="008D4ABB" w:rsidRDefault="008D4ABB">
          <w:pPr>
            <w:pStyle w:val="TDC2"/>
            <w:tabs>
              <w:tab w:val="right" w:leader="dot" w:pos="8828"/>
            </w:tabs>
            <w:rPr>
              <w:rFonts w:asciiTheme="minorHAnsi" w:eastAsiaTheme="minorEastAsia" w:hAnsiTheme="minorHAnsi" w:cstheme="minorBidi"/>
              <w:noProof/>
              <w:color w:val="auto"/>
            </w:rPr>
          </w:pPr>
          <w:hyperlink w:anchor="_Toc221203754" w:history="1">
            <w:r w:rsidRPr="008D4ABB">
              <w:rPr>
                <w:rStyle w:val="Hipervnculo"/>
                <w:noProof/>
              </w:rPr>
              <w:t>CUARTO. Marco normativo aplicable en materia de transparencia y acceso a la información pública</w:t>
            </w:r>
            <w:r w:rsidRPr="008D4ABB">
              <w:rPr>
                <w:noProof/>
                <w:webHidden/>
              </w:rPr>
              <w:tab/>
            </w:r>
            <w:r w:rsidRPr="008D4ABB">
              <w:rPr>
                <w:noProof/>
                <w:webHidden/>
              </w:rPr>
              <w:fldChar w:fldCharType="begin"/>
            </w:r>
            <w:r w:rsidRPr="008D4ABB">
              <w:rPr>
                <w:noProof/>
                <w:webHidden/>
              </w:rPr>
              <w:instrText xml:space="preserve"> PAGEREF _Toc221203754 \h </w:instrText>
            </w:r>
            <w:r w:rsidRPr="008D4ABB">
              <w:rPr>
                <w:noProof/>
                <w:webHidden/>
              </w:rPr>
            </w:r>
            <w:r w:rsidRPr="008D4ABB">
              <w:rPr>
                <w:noProof/>
                <w:webHidden/>
              </w:rPr>
              <w:fldChar w:fldCharType="separate"/>
            </w:r>
            <w:r w:rsidR="00020B3A">
              <w:rPr>
                <w:noProof/>
                <w:webHidden/>
              </w:rPr>
              <w:t>12</w:t>
            </w:r>
            <w:r w:rsidRPr="008D4ABB">
              <w:rPr>
                <w:noProof/>
                <w:webHidden/>
              </w:rPr>
              <w:fldChar w:fldCharType="end"/>
            </w:r>
          </w:hyperlink>
        </w:p>
        <w:p w14:paraId="5C633AAA" w14:textId="77777777" w:rsidR="008D4ABB" w:rsidRPr="008D4ABB" w:rsidRDefault="008D4ABB">
          <w:pPr>
            <w:pStyle w:val="TDC2"/>
            <w:tabs>
              <w:tab w:val="right" w:leader="dot" w:pos="8828"/>
            </w:tabs>
            <w:rPr>
              <w:rFonts w:asciiTheme="minorHAnsi" w:eastAsiaTheme="minorEastAsia" w:hAnsiTheme="minorHAnsi" w:cstheme="minorBidi"/>
              <w:noProof/>
              <w:color w:val="auto"/>
            </w:rPr>
          </w:pPr>
          <w:hyperlink w:anchor="_Toc221203755" w:history="1">
            <w:r w:rsidRPr="008D4ABB">
              <w:rPr>
                <w:rStyle w:val="Hipervnculo"/>
                <w:noProof/>
              </w:rPr>
              <w:t>QUINTO. Estudio de Fondo</w:t>
            </w:r>
            <w:r w:rsidRPr="008D4ABB">
              <w:rPr>
                <w:noProof/>
                <w:webHidden/>
              </w:rPr>
              <w:tab/>
            </w:r>
            <w:r w:rsidRPr="008D4ABB">
              <w:rPr>
                <w:noProof/>
                <w:webHidden/>
              </w:rPr>
              <w:fldChar w:fldCharType="begin"/>
            </w:r>
            <w:r w:rsidRPr="008D4ABB">
              <w:rPr>
                <w:noProof/>
                <w:webHidden/>
              </w:rPr>
              <w:instrText xml:space="preserve"> PAGEREF _Toc221203755 \h </w:instrText>
            </w:r>
            <w:r w:rsidRPr="008D4ABB">
              <w:rPr>
                <w:noProof/>
                <w:webHidden/>
              </w:rPr>
            </w:r>
            <w:r w:rsidRPr="008D4ABB">
              <w:rPr>
                <w:noProof/>
                <w:webHidden/>
              </w:rPr>
              <w:fldChar w:fldCharType="separate"/>
            </w:r>
            <w:r w:rsidR="00020B3A">
              <w:rPr>
                <w:noProof/>
                <w:webHidden/>
              </w:rPr>
              <w:t>13</w:t>
            </w:r>
            <w:r w:rsidRPr="008D4ABB">
              <w:rPr>
                <w:noProof/>
                <w:webHidden/>
              </w:rPr>
              <w:fldChar w:fldCharType="end"/>
            </w:r>
          </w:hyperlink>
        </w:p>
        <w:p w14:paraId="65CE739B" w14:textId="77777777" w:rsidR="008D4ABB" w:rsidRPr="008D4ABB" w:rsidRDefault="008D4ABB">
          <w:pPr>
            <w:pStyle w:val="TDC2"/>
            <w:tabs>
              <w:tab w:val="right" w:leader="dot" w:pos="8828"/>
            </w:tabs>
            <w:rPr>
              <w:rFonts w:asciiTheme="minorHAnsi" w:eastAsiaTheme="minorEastAsia" w:hAnsiTheme="minorHAnsi" w:cstheme="minorBidi"/>
              <w:noProof/>
              <w:color w:val="auto"/>
            </w:rPr>
          </w:pPr>
          <w:hyperlink w:anchor="_Toc221203756" w:history="1">
            <w:r w:rsidRPr="008D4ABB">
              <w:rPr>
                <w:rStyle w:val="Hipervnculo"/>
                <w:noProof/>
              </w:rPr>
              <w:t>SEXTO. Decisión</w:t>
            </w:r>
            <w:r w:rsidRPr="008D4ABB">
              <w:rPr>
                <w:noProof/>
                <w:webHidden/>
              </w:rPr>
              <w:tab/>
            </w:r>
            <w:r w:rsidRPr="008D4ABB">
              <w:rPr>
                <w:noProof/>
                <w:webHidden/>
              </w:rPr>
              <w:fldChar w:fldCharType="begin"/>
            </w:r>
            <w:r w:rsidRPr="008D4ABB">
              <w:rPr>
                <w:noProof/>
                <w:webHidden/>
              </w:rPr>
              <w:instrText xml:space="preserve"> PAGEREF _Toc221203756 \h </w:instrText>
            </w:r>
            <w:r w:rsidRPr="008D4ABB">
              <w:rPr>
                <w:noProof/>
                <w:webHidden/>
              </w:rPr>
            </w:r>
            <w:r w:rsidRPr="008D4ABB">
              <w:rPr>
                <w:noProof/>
                <w:webHidden/>
              </w:rPr>
              <w:fldChar w:fldCharType="separate"/>
            </w:r>
            <w:r w:rsidR="00020B3A">
              <w:rPr>
                <w:noProof/>
                <w:webHidden/>
              </w:rPr>
              <w:t>49</w:t>
            </w:r>
            <w:r w:rsidRPr="008D4ABB">
              <w:rPr>
                <w:noProof/>
                <w:webHidden/>
              </w:rPr>
              <w:fldChar w:fldCharType="end"/>
            </w:r>
          </w:hyperlink>
        </w:p>
        <w:p w14:paraId="3C35F812" w14:textId="77777777" w:rsidR="008D4ABB" w:rsidRPr="008D4ABB" w:rsidRDefault="008D4ABB">
          <w:pPr>
            <w:pStyle w:val="TDC1"/>
            <w:tabs>
              <w:tab w:val="right" w:leader="dot" w:pos="8828"/>
            </w:tabs>
            <w:rPr>
              <w:rFonts w:asciiTheme="minorHAnsi" w:eastAsiaTheme="minorEastAsia" w:hAnsiTheme="minorHAnsi" w:cstheme="minorBidi"/>
              <w:noProof/>
              <w:color w:val="auto"/>
            </w:rPr>
          </w:pPr>
          <w:hyperlink w:anchor="_Toc221203757" w:history="1">
            <w:r w:rsidRPr="008D4ABB">
              <w:rPr>
                <w:rStyle w:val="Hipervnculo"/>
                <w:noProof/>
              </w:rPr>
              <w:t>R E S U E L V E</w:t>
            </w:r>
            <w:r w:rsidRPr="008D4ABB">
              <w:rPr>
                <w:noProof/>
                <w:webHidden/>
              </w:rPr>
              <w:tab/>
            </w:r>
            <w:r w:rsidRPr="008D4ABB">
              <w:rPr>
                <w:noProof/>
                <w:webHidden/>
              </w:rPr>
              <w:fldChar w:fldCharType="begin"/>
            </w:r>
            <w:r w:rsidRPr="008D4ABB">
              <w:rPr>
                <w:noProof/>
                <w:webHidden/>
              </w:rPr>
              <w:instrText xml:space="preserve"> PAGEREF _Toc221203757 \h </w:instrText>
            </w:r>
            <w:r w:rsidRPr="008D4ABB">
              <w:rPr>
                <w:noProof/>
                <w:webHidden/>
              </w:rPr>
            </w:r>
            <w:r w:rsidRPr="008D4ABB">
              <w:rPr>
                <w:noProof/>
                <w:webHidden/>
              </w:rPr>
              <w:fldChar w:fldCharType="separate"/>
            </w:r>
            <w:r w:rsidR="00020B3A">
              <w:rPr>
                <w:noProof/>
                <w:webHidden/>
              </w:rPr>
              <w:t>50</w:t>
            </w:r>
            <w:r w:rsidRPr="008D4ABB">
              <w:rPr>
                <w:noProof/>
                <w:webHidden/>
              </w:rPr>
              <w:fldChar w:fldCharType="end"/>
            </w:r>
          </w:hyperlink>
        </w:p>
        <w:p w14:paraId="2D2C9ADA" w14:textId="1CB739DD" w:rsidR="00D1222A" w:rsidRDefault="00D1222A" w:rsidP="000F3AB5">
          <w:pPr>
            <w:widowControl w:val="0"/>
            <w:pBdr>
              <w:top w:val="nil"/>
              <w:left w:val="nil"/>
              <w:bottom w:val="nil"/>
              <w:right w:val="nil"/>
              <w:between w:val="nil"/>
            </w:pBdr>
            <w:spacing w:line="360" w:lineRule="auto"/>
            <w:ind w:left="720" w:hanging="720"/>
            <w:contextualSpacing/>
          </w:pPr>
          <w:r w:rsidRPr="005A6874">
            <w:rPr>
              <w:rFonts w:ascii="Palatino Linotype" w:hAnsi="Palatino Linotype"/>
              <w:sz w:val="22"/>
              <w:szCs w:val="22"/>
              <w:lang w:val="es-ES"/>
            </w:rPr>
            <w:fldChar w:fldCharType="end"/>
          </w:r>
        </w:p>
      </w:sdtContent>
    </w:sdt>
    <w:p w14:paraId="233D7982" w14:textId="77777777" w:rsidR="00D1222A" w:rsidRDefault="00D1222A" w:rsidP="000F3AB5">
      <w:pPr>
        <w:keepNext/>
        <w:keepLines/>
        <w:pBdr>
          <w:top w:val="nil"/>
          <w:left w:val="nil"/>
          <w:bottom w:val="nil"/>
          <w:right w:val="nil"/>
          <w:between w:val="nil"/>
        </w:pBdr>
        <w:spacing w:line="360" w:lineRule="auto"/>
        <w:contextualSpacing/>
        <w:rPr>
          <w:rFonts w:ascii="Palatino Linotype" w:eastAsia="Palatino Linotype" w:hAnsi="Palatino Linotype" w:cs="Palatino Linotype"/>
          <w:color w:val="000000"/>
          <w:sz w:val="22"/>
          <w:szCs w:val="22"/>
        </w:rPr>
      </w:pPr>
      <w:bookmarkStart w:id="1" w:name="_heading=h.t77kwk8e2ch7" w:colFirst="0" w:colLast="0"/>
      <w:bookmarkEnd w:id="1"/>
    </w:p>
    <w:p w14:paraId="086B41AD" w14:textId="77777777" w:rsidR="00D1222A" w:rsidRDefault="00D1222A" w:rsidP="000F3AB5">
      <w:pPr>
        <w:spacing w:line="360" w:lineRule="auto"/>
        <w:ind w:right="-28"/>
        <w:contextualSpacing/>
        <w:jc w:val="both"/>
        <w:rPr>
          <w:rFonts w:ascii="Palatino Linotype" w:eastAsia="Palatino Linotype" w:hAnsi="Palatino Linotype" w:cs="Palatino Linotype"/>
          <w:color w:val="000000"/>
          <w:sz w:val="22"/>
          <w:szCs w:val="22"/>
        </w:rPr>
      </w:pPr>
    </w:p>
    <w:p w14:paraId="15C34E56" w14:textId="77777777" w:rsidR="00D1222A" w:rsidRDefault="00D1222A" w:rsidP="000F3AB5">
      <w:pPr>
        <w:spacing w:line="360" w:lineRule="auto"/>
        <w:ind w:right="-28"/>
        <w:contextualSpacing/>
        <w:jc w:val="both"/>
        <w:rPr>
          <w:rFonts w:ascii="Palatino Linotype" w:eastAsia="Palatino Linotype" w:hAnsi="Palatino Linotype" w:cs="Palatino Linotype"/>
          <w:color w:val="000000"/>
          <w:sz w:val="22"/>
          <w:szCs w:val="22"/>
        </w:rPr>
      </w:pPr>
    </w:p>
    <w:p w14:paraId="00A0ED79" w14:textId="77777777" w:rsidR="00D1222A" w:rsidRDefault="00D1222A" w:rsidP="000F3AB5">
      <w:pPr>
        <w:spacing w:line="360" w:lineRule="auto"/>
        <w:ind w:right="-28"/>
        <w:contextualSpacing/>
        <w:jc w:val="both"/>
        <w:rPr>
          <w:rFonts w:ascii="Palatino Linotype" w:eastAsia="Palatino Linotype" w:hAnsi="Palatino Linotype" w:cs="Palatino Linotype"/>
          <w:color w:val="000000"/>
          <w:sz w:val="22"/>
          <w:szCs w:val="22"/>
        </w:rPr>
      </w:pPr>
    </w:p>
    <w:p w14:paraId="38C2DF39" w14:textId="77777777" w:rsidR="00D1222A" w:rsidRDefault="00D1222A" w:rsidP="000F3AB5">
      <w:pPr>
        <w:spacing w:line="360" w:lineRule="auto"/>
        <w:ind w:right="-28"/>
        <w:contextualSpacing/>
        <w:jc w:val="both"/>
        <w:rPr>
          <w:rFonts w:ascii="Palatino Linotype" w:eastAsia="Palatino Linotype" w:hAnsi="Palatino Linotype" w:cs="Palatino Linotype"/>
          <w:color w:val="000000"/>
          <w:sz w:val="22"/>
          <w:szCs w:val="22"/>
        </w:rPr>
      </w:pPr>
    </w:p>
    <w:p w14:paraId="26FA6441" w14:textId="77777777" w:rsidR="00D1222A" w:rsidRDefault="00D1222A" w:rsidP="000F3AB5">
      <w:pPr>
        <w:spacing w:line="360" w:lineRule="auto"/>
        <w:ind w:right="-28"/>
        <w:contextualSpacing/>
        <w:jc w:val="both"/>
        <w:rPr>
          <w:rFonts w:ascii="Palatino Linotype" w:eastAsia="Palatino Linotype" w:hAnsi="Palatino Linotype" w:cs="Palatino Linotype"/>
          <w:color w:val="000000"/>
          <w:sz w:val="22"/>
          <w:szCs w:val="22"/>
        </w:rPr>
      </w:pPr>
    </w:p>
    <w:p w14:paraId="6EE4C8AF" w14:textId="77777777" w:rsidR="00D1222A" w:rsidRDefault="00D1222A" w:rsidP="000F3AB5">
      <w:pPr>
        <w:spacing w:line="360" w:lineRule="auto"/>
        <w:ind w:right="-28"/>
        <w:contextualSpacing/>
        <w:jc w:val="both"/>
        <w:rPr>
          <w:rFonts w:ascii="Palatino Linotype" w:hAnsi="Palatino Linotype" w:cs="Tahoma"/>
          <w:sz w:val="22"/>
          <w:szCs w:val="22"/>
        </w:rPr>
      </w:pPr>
    </w:p>
    <w:p w14:paraId="59F3CED2" w14:textId="32E8E9F9" w:rsidR="00D1222A" w:rsidRDefault="00D1222A" w:rsidP="000F3AB5">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Resolución del Pleno del Instituto de Transparencia, Acceso a la Información Pública y Protección de Datos Personales del Estado de México y Municipios, con domicilio en Metepec, Estado de México, del cinco d</w:t>
      </w:r>
      <w:r w:rsidR="008D4ABB">
        <w:rPr>
          <w:rFonts w:ascii="Palatino Linotype" w:eastAsia="Palatino Linotype" w:hAnsi="Palatino Linotype" w:cs="Palatino Linotype"/>
          <w:sz w:val="22"/>
          <w:szCs w:val="22"/>
        </w:rPr>
        <w:t>e febrero de dos mil veintiséis</w:t>
      </w:r>
      <w:r>
        <w:rPr>
          <w:rFonts w:ascii="Palatino Linotype" w:eastAsia="Palatino Linotype" w:hAnsi="Palatino Linotype" w:cs="Palatino Linotype"/>
          <w:sz w:val="22"/>
          <w:szCs w:val="22"/>
        </w:rPr>
        <w:t>.</w:t>
      </w:r>
    </w:p>
    <w:p w14:paraId="795221D5" w14:textId="77777777" w:rsidR="00D1222A" w:rsidRDefault="00D1222A" w:rsidP="000F3AB5">
      <w:pPr>
        <w:spacing w:line="360" w:lineRule="auto"/>
        <w:contextualSpacing/>
        <w:rPr>
          <w:rFonts w:ascii="Palatino Linotype" w:eastAsia="Palatino Linotype" w:hAnsi="Palatino Linotype" w:cs="Palatino Linotype"/>
          <w:sz w:val="22"/>
          <w:szCs w:val="22"/>
        </w:rPr>
      </w:pPr>
    </w:p>
    <w:p w14:paraId="5EE8D686" w14:textId="7E07BE6D" w:rsidR="00D1222A" w:rsidRDefault="00D1222A" w:rsidP="000F3AB5">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color w:val="0D0D0D"/>
          <w:sz w:val="22"/>
          <w:szCs w:val="22"/>
        </w:rPr>
        <w:t xml:space="preserve">VISTO </w:t>
      </w:r>
      <w:r>
        <w:rPr>
          <w:rFonts w:ascii="Palatino Linotype" w:eastAsia="Palatino Linotype" w:hAnsi="Palatino Linotype" w:cs="Palatino Linotype"/>
          <w:color w:val="0D0D0D"/>
          <w:sz w:val="22"/>
          <w:szCs w:val="22"/>
        </w:rPr>
        <w:t xml:space="preserve">el expediente conformado con motivo del Recurso de Revisión </w:t>
      </w:r>
      <w:r w:rsidRPr="00B2173B">
        <w:rPr>
          <w:rFonts w:ascii="Palatino Linotype" w:eastAsia="Palatino Linotype" w:hAnsi="Palatino Linotype" w:cs="Palatino Linotype"/>
          <w:b/>
          <w:bCs/>
          <w:sz w:val="22"/>
          <w:szCs w:val="22"/>
        </w:rPr>
        <w:t>0</w:t>
      </w:r>
      <w:r w:rsidR="002E01B9" w:rsidRPr="00B2173B">
        <w:rPr>
          <w:rFonts w:ascii="Palatino Linotype" w:eastAsia="Palatino Linotype" w:hAnsi="Palatino Linotype" w:cs="Palatino Linotype"/>
          <w:b/>
          <w:bCs/>
          <w:sz w:val="22"/>
          <w:szCs w:val="22"/>
        </w:rPr>
        <w:t>4426</w:t>
      </w:r>
      <w:r w:rsidRPr="00B2173B">
        <w:rPr>
          <w:rFonts w:ascii="Palatino Linotype" w:eastAsia="Palatino Linotype" w:hAnsi="Palatino Linotype" w:cs="Palatino Linotype"/>
          <w:b/>
          <w:bCs/>
          <w:sz w:val="22"/>
          <w:szCs w:val="22"/>
        </w:rPr>
        <w:t>/INFOEM/IP/RR/2025</w:t>
      </w:r>
      <w:r w:rsidRPr="003B6775">
        <w:rPr>
          <w:rFonts w:ascii="Palatino Linotype" w:eastAsia="Palatino Linotype" w:hAnsi="Palatino Linotype" w:cs="Palatino Linotype"/>
          <w:bCs/>
          <w:sz w:val="22"/>
          <w:szCs w:val="22"/>
        </w:rPr>
        <w:t xml:space="preserve">, </w:t>
      </w:r>
      <w:r w:rsidRPr="003B6775">
        <w:rPr>
          <w:rFonts w:ascii="Palatino Linotype" w:eastAsia="Palatino Linotype" w:hAnsi="Palatino Linotype" w:cs="Palatino Linotype"/>
          <w:bCs/>
          <w:color w:val="0D0D0D"/>
          <w:sz w:val="22"/>
          <w:szCs w:val="22"/>
        </w:rPr>
        <w:t xml:space="preserve">interpuesto por </w:t>
      </w:r>
      <w:r w:rsidR="009529ED" w:rsidRPr="009529ED">
        <w:rPr>
          <w:rFonts w:ascii="Palatino Linotype" w:eastAsia="Palatino Linotype" w:hAnsi="Palatino Linotype" w:cs="Palatino Linotype"/>
          <w:bCs/>
          <w:sz w:val="22"/>
          <w:szCs w:val="22"/>
          <w:highlight w:val="black"/>
        </w:rPr>
        <w:t>XXXXXXXXXXXXXXXX</w:t>
      </w:r>
      <w:r w:rsidR="009529ED">
        <w:rPr>
          <w:rFonts w:ascii="Palatino Linotype" w:eastAsia="Palatino Linotype" w:hAnsi="Palatino Linotype" w:cs="Palatino Linotype"/>
          <w:bCs/>
          <w:sz w:val="22"/>
          <w:szCs w:val="22"/>
        </w:rPr>
        <w:t xml:space="preserve"> </w:t>
      </w:r>
      <w:r w:rsidRPr="003B6775">
        <w:rPr>
          <w:rFonts w:ascii="Palatino Linotype" w:eastAsia="Palatino Linotype" w:hAnsi="Palatino Linotype" w:cs="Palatino Linotype"/>
          <w:bCs/>
          <w:color w:val="0D0D0D"/>
          <w:sz w:val="22"/>
          <w:szCs w:val="22"/>
        </w:rPr>
        <w:t xml:space="preserve">en lo sucesivo </w:t>
      </w:r>
      <w:r w:rsidRPr="003B6775">
        <w:rPr>
          <w:rFonts w:ascii="Palatino Linotype" w:eastAsia="Palatino Linotype" w:hAnsi="Palatino Linotype" w:cs="Palatino Linotype"/>
          <w:bCs/>
          <w:sz w:val="22"/>
          <w:szCs w:val="22"/>
        </w:rPr>
        <w:t xml:space="preserve">el </w:t>
      </w:r>
      <w:r w:rsidRPr="003B6775">
        <w:rPr>
          <w:rFonts w:ascii="Palatino Linotype" w:eastAsia="Palatino Linotype" w:hAnsi="Palatino Linotype" w:cs="Palatino Linotype"/>
          <w:bCs/>
          <w:color w:val="0D0D0D"/>
          <w:sz w:val="22"/>
          <w:szCs w:val="22"/>
        </w:rPr>
        <w:t xml:space="preserve">Recurrente o Particular, en contra de la respuesta del Sujeto Obligado </w:t>
      </w:r>
      <w:r w:rsidR="00B2173B" w:rsidRPr="00B2173B">
        <w:rPr>
          <w:rFonts w:ascii="Palatino Linotype" w:eastAsia="Palatino Linotype" w:hAnsi="Palatino Linotype" w:cs="Palatino Linotype"/>
          <w:b/>
          <w:bCs/>
          <w:color w:val="0D0D0D"/>
          <w:sz w:val="22"/>
          <w:szCs w:val="22"/>
        </w:rPr>
        <w:t>Ayuntamiento de San Martín de las Pirámides</w:t>
      </w:r>
      <w:r w:rsidR="00B2173B">
        <w:rPr>
          <w:rFonts w:ascii="Palatino Linotype" w:eastAsia="Palatino Linotype" w:hAnsi="Palatino Linotype" w:cs="Palatino Linotype"/>
          <w:bCs/>
          <w:color w:val="0D0D0D"/>
          <w:sz w:val="22"/>
          <w:szCs w:val="22"/>
        </w:rPr>
        <w:t xml:space="preserve"> </w:t>
      </w:r>
      <w:r w:rsidRPr="003B6775">
        <w:rPr>
          <w:rFonts w:ascii="Palatino Linotype" w:eastAsia="Palatino Linotype" w:hAnsi="Palatino Linotype" w:cs="Palatino Linotype"/>
          <w:bCs/>
          <w:color w:val="0D0D0D"/>
          <w:sz w:val="22"/>
          <w:szCs w:val="22"/>
        </w:rPr>
        <w:t>a la solicitud de acceso a la información pública</w:t>
      </w:r>
      <w:r w:rsidRPr="003B6775">
        <w:rPr>
          <w:rFonts w:ascii="Palatino Linotype" w:eastAsia="Palatino Linotype" w:hAnsi="Palatino Linotype" w:cs="Palatino Linotype"/>
          <w:bCs/>
          <w:sz w:val="22"/>
          <w:szCs w:val="22"/>
        </w:rPr>
        <w:t> </w:t>
      </w:r>
      <w:r w:rsidR="002E01B9" w:rsidRPr="002E01B9">
        <w:rPr>
          <w:rFonts w:ascii="Palatino Linotype" w:eastAsia="Palatino Linotype" w:hAnsi="Palatino Linotype" w:cs="Palatino Linotype"/>
          <w:sz w:val="22"/>
          <w:szCs w:val="22"/>
        </w:rPr>
        <w:t>00044/MARTIPIR/IP/2025</w:t>
      </w:r>
      <w:r w:rsidRPr="003B6775">
        <w:rPr>
          <w:rFonts w:ascii="Palatino Linotype" w:eastAsia="Palatino Linotype" w:hAnsi="Palatino Linotype" w:cs="Palatino Linotype"/>
          <w:bCs/>
          <w:color w:val="0D0D0D"/>
          <w:sz w:val="22"/>
          <w:szCs w:val="22"/>
        </w:rPr>
        <w:t>,</w:t>
      </w:r>
      <w:r>
        <w:rPr>
          <w:rFonts w:ascii="Palatino Linotype" w:eastAsia="Palatino Linotype" w:hAnsi="Palatino Linotype" w:cs="Palatino Linotype"/>
          <w:color w:val="0D0D0D"/>
          <w:sz w:val="22"/>
          <w:szCs w:val="22"/>
        </w:rPr>
        <w:t xml:space="preserve"> se emite la presente Resolución, con base en los Antecedentes y C</w:t>
      </w:r>
      <w:r>
        <w:rPr>
          <w:rFonts w:ascii="Palatino Linotype" w:eastAsia="Palatino Linotype" w:hAnsi="Palatino Linotype" w:cs="Palatino Linotype"/>
          <w:sz w:val="22"/>
          <w:szCs w:val="22"/>
        </w:rPr>
        <w:t>onsiderandos que a continuación se exponen:</w:t>
      </w:r>
    </w:p>
    <w:p w14:paraId="257AAD1F" w14:textId="77777777" w:rsidR="00D1222A" w:rsidRDefault="00D1222A" w:rsidP="000F3AB5">
      <w:pPr>
        <w:spacing w:line="360" w:lineRule="auto"/>
        <w:contextualSpacing/>
        <w:jc w:val="both"/>
        <w:rPr>
          <w:rFonts w:ascii="Palatino Linotype" w:eastAsia="Palatino Linotype" w:hAnsi="Palatino Linotype" w:cs="Palatino Linotype"/>
          <w:sz w:val="22"/>
          <w:szCs w:val="22"/>
        </w:rPr>
      </w:pPr>
    </w:p>
    <w:p w14:paraId="6E503AF3" w14:textId="77777777" w:rsidR="00D1222A" w:rsidRPr="00633419" w:rsidRDefault="00D1222A" w:rsidP="000F3AB5">
      <w:pPr>
        <w:pStyle w:val="Ttulo1"/>
        <w:spacing w:before="0" w:after="0" w:line="360" w:lineRule="auto"/>
        <w:contextualSpacing/>
        <w:jc w:val="center"/>
        <w:rPr>
          <w:rFonts w:ascii="Palatino Linotype" w:hAnsi="Palatino Linotype"/>
          <w:b/>
          <w:bCs/>
          <w:color w:val="auto"/>
          <w:sz w:val="22"/>
          <w:szCs w:val="22"/>
        </w:rPr>
      </w:pPr>
      <w:bookmarkStart w:id="2" w:name="_Toc221203745"/>
      <w:r w:rsidRPr="00633419">
        <w:rPr>
          <w:rFonts w:ascii="Palatino Linotype" w:hAnsi="Palatino Linotype"/>
          <w:b/>
          <w:bCs/>
          <w:color w:val="auto"/>
          <w:sz w:val="22"/>
          <w:szCs w:val="22"/>
        </w:rPr>
        <w:t>A N T E C E D E N T E S</w:t>
      </w:r>
      <w:bookmarkEnd w:id="2"/>
    </w:p>
    <w:p w14:paraId="16F2816E" w14:textId="77777777" w:rsidR="00D1222A" w:rsidRDefault="00D1222A" w:rsidP="000F3AB5">
      <w:pPr>
        <w:spacing w:line="360" w:lineRule="auto"/>
        <w:contextualSpacing/>
      </w:pPr>
    </w:p>
    <w:p w14:paraId="705C03E4" w14:textId="77777777" w:rsidR="00D1222A" w:rsidRPr="00633419" w:rsidRDefault="00D1222A" w:rsidP="000F3AB5">
      <w:pPr>
        <w:pStyle w:val="Ttulo2"/>
        <w:spacing w:before="0" w:after="0" w:line="360" w:lineRule="auto"/>
        <w:contextualSpacing/>
        <w:rPr>
          <w:rFonts w:ascii="Palatino Linotype" w:hAnsi="Palatino Linotype"/>
          <w:b/>
          <w:bCs/>
          <w:color w:val="auto"/>
          <w:sz w:val="22"/>
          <w:szCs w:val="22"/>
        </w:rPr>
      </w:pPr>
      <w:bookmarkStart w:id="3" w:name="_Toc221203746"/>
      <w:r w:rsidRPr="00633419">
        <w:rPr>
          <w:rFonts w:ascii="Palatino Linotype" w:hAnsi="Palatino Linotype"/>
          <w:b/>
          <w:bCs/>
          <w:color w:val="auto"/>
          <w:sz w:val="22"/>
          <w:szCs w:val="22"/>
        </w:rPr>
        <w:t>I. Presentación de la solicitud de información</w:t>
      </w:r>
      <w:bookmarkEnd w:id="3"/>
    </w:p>
    <w:p w14:paraId="150E451B" w14:textId="77777777" w:rsidR="00D1222A" w:rsidRDefault="00D1222A" w:rsidP="000F3AB5">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rPr>
      </w:pPr>
    </w:p>
    <w:p w14:paraId="5F7DD946" w14:textId="79582DE4" w:rsidR="00D1222A" w:rsidRDefault="00D1222A" w:rsidP="000F3AB5">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Con fecha </w:t>
      </w:r>
      <w:r w:rsidR="002E01B9">
        <w:rPr>
          <w:rFonts w:ascii="Palatino Linotype" w:eastAsia="Palatino Linotype" w:hAnsi="Palatino Linotype" w:cs="Palatino Linotype"/>
          <w:color w:val="000000"/>
          <w:sz w:val="22"/>
          <w:szCs w:val="22"/>
        </w:rPr>
        <w:t xml:space="preserve">uno de abril </w:t>
      </w:r>
      <w:r>
        <w:rPr>
          <w:rFonts w:ascii="Palatino Linotype" w:eastAsia="Palatino Linotype" w:hAnsi="Palatino Linotype" w:cs="Palatino Linotype"/>
          <w:color w:val="000000"/>
          <w:sz w:val="22"/>
          <w:szCs w:val="22"/>
        </w:rPr>
        <w:t xml:space="preserve">de dos mil veinticinco, el Particular presentó una solicitud de acceso a la información pública, a través del Sistema de Acceso a la Información Mexiquense, en lo sucesivo el SAIMEX, ante el </w:t>
      </w:r>
      <w:r w:rsidRPr="00217A0E">
        <w:rPr>
          <w:rFonts w:ascii="Palatino Linotype" w:eastAsia="Palatino Linotype" w:hAnsi="Palatino Linotype" w:cs="Palatino Linotype"/>
          <w:color w:val="000000"/>
          <w:sz w:val="22"/>
          <w:szCs w:val="22"/>
        </w:rPr>
        <w:t xml:space="preserve">Ayuntamiento de </w:t>
      </w:r>
      <w:r w:rsidR="002E01B9">
        <w:rPr>
          <w:rFonts w:ascii="Palatino Linotype" w:eastAsia="Palatino Linotype" w:hAnsi="Palatino Linotype" w:cs="Palatino Linotype"/>
          <w:color w:val="000000"/>
          <w:sz w:val="22"/>
          <w:szCs w:val="22"/>
        </w:rPr>
        <w:t>San Martín de las Pirámides</w:t>
      </w:r>
      <w:r>
        <w:rPr>
          <w:rFonts w:ascii="Palatino Linotype" w:eastAsia="Palatino Linotype" w:hAnsi="Palatino Linotype" w:cs="Palatino Linotype"/>
          <w:color w:val="000000"/>
          <w:sz w:val="22"/>
          <w:szCs w:val="22"/>
        </w:rPr>
        <w:t>, mediante la cual requirió lo siguiente:</w:t>
      </w:r>
    </w:p>
    <w:p w14:paraId="7A0542AB" w14:textId="77777777" w:rsidR="00D1222A" w:rsidRDefault="00D1222A" w:rsidP="000F3AB5">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b/>
          <w:color w:val="000000"/>
        </w:rPr>
      </w:pPr>
    </w:p>
    <w:p w14:paraId="36DB9E12" w14:textId="77777777" w:rsidR="00D1222A" w:rsidRDefault="00D1222A" w:rsidP="000F3AB5">
      <w:pPr>
        <w:tabs>
          <w:tab w:val="left" w:pos="4667"/>
        </w:tabs>
        <w:spacing w:line="360" w:lineRule="auto"/>
        <w:ind w:left="567" w:right="567"/>
        <w:contextualSpacing/>
        <w:jc w:val="both"/>
        <w:rPr>
          <w:rFonts w:ascii="Palatino Linotype" w:eastAsia="Palatino Linotype" w:hAnsi="Palatino Linotype" w:cs="Palatino Linotype"/>
          <w:b/>
          <w:i/>
        </w:rPr>
      </w:pPr>
      <w:r>
        <w:rPr>
          <w:rFonts w:ascii="Palatino Linotype" w:eastAsia="Palatino Linotype" w:hAnsi="Palatino Linotype" w:cs="Palatino Linotype"/>
          <w:b/>
          <w:i/>
        </w:rPr>
        <w:t>“DESCRIPCIÓN CLARA Y PRECISA DE LA INFORMACIÓN SOLICITADA</w:t>
      </w:r>
    </w:p>
    <w:p w14:paraId="224BED6F" w14:textId="47E8BA91" w:rsidR="00D1222A" w:rsidRPr="005C08BB" w:rsidRDefault="002E01B9" w:rsidP="000F3AB5">
      <w:pPr>
        <w:spacing w:line="360" w:lineRule="auto"/>
        <w:ind w:left="567" w:right="567"/>
        <w:contextualSpacing/>
        <w:jc w:val="both"/>
        <w:rPr>
          <w:rFonts w:ascii="Palatino Linotype" w:eastAsia="Palatino Linotype" w:hAnsi="Palatino Linotype" w:cs="Palatino Linotype"/>
          <w:i/>
        </w:rPr>
      </w:pPr>
      <w:r w:rsidRPr="002E01B9">
        <w:rPr>
          <w:rFonts w:ascii="Palatino Linotype" w:eastAsia="Palatino Linotype" w:hAnsi="Palatino Linotype" w:cs="Palatino Linotype"/>
          <w:i/>
        </w:rPr>
        <w:t xml:space="preserve">Se solicita la siguiente información: I.- Cuál fue el resultado de la visita de verificación al establecimiento ubicado en: Casimiro L. Martínez, casi esquina con Boulevard Torrente Piedras Negras, San Martín de las Pirámides, México, en el cual se venden en apariencia “jugos” (ya que se venden cualquier tipo de bebidas alcohólicas), toda vez que, mediante oficio de fecha 28 de febrero de 2025, se hizo patente la respuesta por parte de la Dirección de Desarrollo Económico del Municipio de referencia, en la cual se estableció de manera clara que :… “1. En el archivo que </w:t>
      </w:r>
      <w:r w:rsidRPr="002E01B9">
        <w:rPr>
          <w:rFonts w:ascii="Palatino Linotype" w:eastAsia="Palatino Linotype" w:hAnsi="Palatino Linotype" w:cs="Palatino Linotype"/>
          <w:i/>
        </w:rPr>
        <w:lastRenderedPageBreak/>
        <w:t xml:space="preserve">guarda en esta Dirección de Desarrollo Económico no existe registro de licencia para </w:t>
      </w:r>
      <w:proofErr w:type="spellStart"/>
      <w:r w:rsidRPr="002E01B9">
        <w:rPr>
          <w:rFonts w:ascii="Palatino Linotype" w:eastAsia="Palatino Linotype" w:hAnsi="Palatino Linotype" w:cs="Palatino Linotype"/>
          <w:i/>
        </w:rPr>
        <w:t>elestablecimiento</w:t>
      </w:r>
      <w:proofErr w:type="spellEnd"/>
      <w:r w:rsidRPr="002E01B9">
        <w:rPr>
          <w:rFonts w:ascii="Palatino Linotype" w:eastAsia="Palatino Linotype" w:hAnsi="Palatino Linotype" w:cs="Palatino Linotype"/>
          <w:i/>
        </w:rPr>
        <w:t xml:space="preserve"> citado.2. Se han iniciado las labores de verificación, el citado establecimiento </w:t>
      </w:r>
      <w:proofErr w:type="spellStart"/>
      <w:r w:rsidRPr="002E01B9">
        <w:rPr>
          <w:rFonts w:ascii="Palatino Linotype" w:eastAsia="Palatino Linotype" w:hAnsi="Palatino Linotype" w:cs="Palatino Linotype"/>
          <w:i/>
        </w:rPr>
        <w:t>aun</w:t>
      </w:r>
      <w:proofErr w:type="spellEnd"/>
      <w:r w:rsidRPr="002E01B9">
        <w:rPr>
          <w:rFonts w:ascii="Palatino Linotype" w:eastAsia="Palatino Linotype" w:hAnsi="Palatino Linotype" w:cs="Palatino Linotype"/>
          <w:i/>
        </w:rPr>
        <w:t xml:space="preserve"> no ha sido visitado sin embargo ya se tiene fecha para su </w:t>
      </w:r>
      <w:proofErr w:type="gramStart"/>
      <w:r w:rsidRPr="002E01B9">
        <w:rPr>
          <w:rFonts w:ascii="Palatino Linotype" w:eastAsia="Palatino Linotype" w:hAnsi="Palatino Linotype" w:cs="Palatino Linotype"/>
          <w:i/>
        </w:rPr>
        <w:t>verificación”…</w:t>
      </w:r>
      <w:proofErr w:type="gramEnd"/>
      <w:r w:rsidRPr="002E01B9">
        <w:rPr>
          <w:rFonts w:ascii="Palatino Linotype" w:eastAsia="Palatino Linotype" w:hAnsi="Palatino Linotype" w:cs="Palatino Linotype"/>
          <w:i/>
        </w:rPr>
        <w:t xml:space="preserve">(SIC). Se anexa oficio de respuesta para pronta referencia. II.- Cuántas unidades económicas en el municipio de San Martín de las Pirámides, Estado de México, cuentan con licencia de funcionamiento, permiso o autorización para ejercer la actividad industrial, comercial o de servicios. III.- Versión pública de la licencia de funcionamiento, permiso o autorización, de las unidades económicas con venta de bebidas alcohólicas para consumo inmediato (de cualquier graduación de alcohol) en el Municipio de San Martín de las Pirámides, así como la versión pública del acta de cabildo a través de la cual se aprobó su emisión. IV.-Versión pública de la licencia de funcionamiento, permiso o autorización, de las unidades económicas con venta de bebidas alcohólicas en envase cerrado -para llevar-(de cualquier graduación de alcohol) en el Municipio de San Martín de las Pirámides, así como la versión publica del acta de cabildo a través de la cual se aprobó su emisión. V.- Cuántas visitas de verificación se han efectuado de enero de 2025 a la fecha, a unidades económicas con venta de bebidas alcohólicas para consumo inmediato (de cualquier graduación de alcohol) en el Municipio de San Martín de las Pirámides. VI.- Cuántas visitas de verificación se han efectuado de enero de 2025 a la fecha, a unidades económicas con venta de bebidas alcohólicas en envase cerrado -para llevar-(de cualquier graduación de alcohol) en el Municipio de San Martín de las Pirámides VII.- cuantas unidades económicas (puestos) ejercen la actividad comercial en espacios o vías públicas en el municipio de San Martín de las Pirámides. VIII.- cuántas unidades económicas (puestos) que ejercen la actividad comercial en espacios o vías públicas en el municipio de San Martín de las Pirámides (cabecera municipal), cuentan con el permiso o autorización correspondiente, su giro comercial y ubicación. IX.- cuántas unidades económicas de comercio establecido (locales), ubicadas a lo largo de la avenida 16 de septiembre norte y sur, en el municipio de San Martín de las pirámides (cabecera municipal) cuentan con licencia de funcionamiento, permiso o autorización, que les permita ejercer su actividad comercial, industrial o de servicios. X.- cuántas unidades económicas de comercio establecido (locales), ubicadas a lo largo de la avenida 16 de septiembre norte y sur, en el municipio de San Martín de las pirámides (cabecera municipal) invaden las banquetas o aceras al ejercer su actividad comercial, industrial </w:t>
      </w:r>
      <w:r w:rsidRPr="002E01B9">
        <w:rPr>
          <w:rFonts w:ascii="Palatino Linotype" w:eastAsia="Palatino Linotype" w:hAnsi="Palatino Linotype" w:cs="Palatino Linotype"/>
          <w:i/>
        </w:rPr>
        <w:lastRenderedPageBreak/>
        <w:t xml:space="preserve">o de servicios. XI.- cuántas unidades económicas de comercio establecido (locales), ubicadas a lo largo de la avenida Tuxpan, en el municipio de San Martín de las pirámides (cabecera municipal) cuentan con licencia de funcionamiento, permiso o autorización, que les permita ejercer su actividad comercial, industrial o de servicios. XII.- cuántas unidades económicas de comercio establecido (locales), ubicadas a lo largo de la avenida Tuxpan, en el municipio de San Martín de las pirámides (cabecera municipal) invaden las banquetas o aceras al ejercer su actividad comercial, industrial o de servicios. XIII.- Qué acciones de gobierno se están realizando a efecto de combatir al comercio informal (vía y/o espacios públicos), en el municipio de San Martín de las Pirámides. XIV.- versión pública de la licencia de funcionamiento, permiso o autorización de los puestos semifijos que ejercen su actividad comercial en los denominados portales (P.I. Principal Centro) de la cabecera del Municipio de San Martín de las Pirámides; en caso de no contar con el documento expedido por la autoridad competente, ¿por qué se les permite el ejercicio de su actividad? XV.- Nombre completo y grado académico de la o el Director de Comercio </w:t>
      </w:r>
      <w:proofErr w:type="spellStart"/>
      <w:r w:rsidRPr="002E01B9">
        <w:rPr>
          <w:rFonts w:ascii="Palatino Linotype" w:eastAsia="Palatino Linotype" w:hAnsi="Palatino Linotype" w:cs="Palatino Linotype"/>
          <w:i/>
        </w:rPr>
        <w:t>u</w:t>
      </w:r>
      <w:proofErr w:type="spellEnd"/>
      <w:r w:rsidRPr="002E01B9">
        <w:rPr>
          <w:rFonts w:ascii="Palatino Linotype" w:eastAsia="Palatino Linotype" w:hAnsi="Palatino Linotype" w:cs="Palatino Linotype"/>
          <w:i/>
        </w:rPr>
        <w:t xml:space="preserve"> homólogo en el municipio de San Martín de las Pirámides</w:t>
      </w:r>
      <w:r w:rsidR="00D1222A">
        <w:rPr>
          <w:rFonts w:ascii="Palatino Linotype" w:eastAsia="Palatino Linotype" w:hAnsi="Palatino Linotype" w:cs="Palatino Linotype"/>
          <w:i/>
        </w:rPr>
        <w:t>.” (Sic).</w:t>
      </w:r>
    </w:p>
    <w:p w14:paraId="55E08D72" w14:textId="77777777" w:rsidR="00D1222A" w:rsidRDefault="00D1222A" w:rsidP="000F3AB5">
      <w:pPr>
        <w:pBdr>
          <w:top w:val="nil"/>
          <w:left w:val="nil"/>
          <w:bottom w:val="nil"/>
          <w:right w:val="nil"/>
          <w:between w:val="nil"/>
        </w:pBdr>
        <w:tabs>
          <w:tab w:val="left" w:pos="567"/>
        </w:tabs>
        <w:spacing w:line="360" w:lineRule="auto"/>
        <w:ind w:left="567" w:right="567"/>
        <w:contextualSpacing/>
        <w:jc w:val="both"/>
        <w:rPr>
          <w:rFonts w:ascii="Palatino Linotype" w:eastAsia="Palatino Linotype" w:hAnsi="Palatino Linotype" w:cs="Palatino Linotype"/>
          <w:b/>
          <w:i/>
          <w:color w:val="000000"/>
        </w:rPr>
      </w:pPr>
    </w:p>
    <w:p w14:paraId="229F2B41" w14:textId="77777777" w:rsidR="00D1222A" w:rsidRDefault="00D1222A" w:rsidP="000F3AB5">
      <w:pPr>
        <w:tabs>
          <w:tab w:val="left" w:pos="4667"/>
        </w:tabs>
        <w:spacing w:line="360" w:lineRule="auto"/>
        <w:ind w:left="567" w:right="567"/>
        <w:contextualSpacing/>
        <w:jc w:val="both"/>
        <w:rPr>
          <w:rFonts w:ascii="Palatino Linotype" w:eastAsia="Palatino Linotype" w:hAnsi="Palatino Linotype" w:cs="Palatino Linotype"/>
          <w:b/>
          <w:i/>
        </w:rPr>
      </w:pPr>
      <w:r>
        <w:rPr>
          <w:rFonts w:ascii="Palatino Linotype" w:eastAsia="Palatino Linotype" w:hAnsi="Palatino Linotype" w:cs="Palatino Linotype"/>
          <w:b/>
          <w:i/>
        </w:rPr>
        <w:t>“Modalidad de Entrega</w:t>
      </w:r>
    </w:p>
    <w:p w14:paraId="4F4B121D" w14:textId="77777777" w:rsidR="00D1222A" w:rsidRDefault="00D1222A" w:rsidP="000F3AB5">
      <w:pPr>
        <w:tabs>
          <w:tab w:val="left" w:pos="4667"/>
        </w:tabs>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A través de SAIMEX”</w:t>
      </w:r>
    </w:p>
    <w:p w14:paraId="0E02B08A" w14:textId="77777777" w:rsidR="00D1222A" w:rsidRDefault="00D1222A" w:rsidP="000F3AB5">
      <w:pPr>
        <w:spacing w:line="360" w:lineRule="auto"/>
        <w:contextualSpacing/>
      </w:pPr>
    </w:p>
    <w:p w14:paraId="2610637D" w14:textId="0145A634" w:rsidR="002E01B9" w:rsidRDefault="002E01B9" w:rsidP="000F3AB5">
      <w:pPr>
        <w:spacing w:line="360" w:lineRule="auto"/>
        <w:contextualSpacing/>
        <w:jc w:val="both"/>
        <w:rPr>
          <w:rFonts w:ascii="Palatino Linotype" w:hAnsi="Palatino Linotype"/>
          <w:sz w:val="22"/>
          <w:szCs w:val="22"/>
        </w:rPr>
      </w:pPr>
      <w:r w:rsidRPr="002E01B9">
        <w:rPr>
          <w:rFonts w:ascii="Palatino Linotype" w:hAnsi="Palatino Linotype"/>
          <w:sz w:val="22"/>
          <w:szCs w:val="22"/>
        </w:rPr>
        <w:t>El Solicitante proporcionó el acuse de respuesta por parte del Sujeto Obligado a la solicitud de información 00024/MARTIPIR/IP/2025 por medio de la cual señaló esencialmente lo siguiente:</w:t>
      </w:r>
    </w:p>
    <w:p w14:paraId="40E88A8C" w14:textId="77777777" w:rsidR="002E01B9" w:rsidRDefault="002E01B9" w:rsidP="000F3AB5">
      <w:pPr>
        <w:spacing w:line="360" w:lineRule="auto"/>
        <w:contextualSpacing/>
        <w:jc w:val="both"/>
        <w:rPr>
          <w:rFonts w:ascii="Palatino Linotype" w:hAnsi="Palatino Linotype"/>
          <w:sz w:val="22"/>
          <w:szCs w:val="22"/>
        </w:rPr>
      </w:pPr>
    </w:p>
    <w:p w14:paraId="15A52B1C" w14:textId="64021562" w:rsidR="002E01B9" w:rsidRPr="007D7705" w:rsidRDefault="002E01B9" w:rsidP="000F3AB5">
      <w:pPr>
        <w:spacing w:line="360" w:lineRule="auto"/>
        <w:ind w:left="567" w:right="567"/>
        <w:contextualSpacing/>
        <w:jc w:val="both"/>
        <w:rPr>
          <w:rFonts w:ascii="Palatino Linotype" w:hAnsi="Palatino Linotype"/>
          <w:i/>
          <w:iCs/>
        </w:rPr>
      </w:pPr>
      <w:r w:rsidRPr="007D7705">
        <w:rPr>
          <w:rFonts w:ascii="Palatino Linotype" w:hAnsi="Palatino Linotype"/>
          <w:i/>
          <w:iCs/>
        </w:rPr>
        <w:t>“…</w:t>
      </w:r>
    </w:p>
    <w:p w14:paraId="66027ABE" w14:textId="16FE7085" w:rsidR="002E01B9" w:rsidRDefault="002E01B9" w:rsidP="000F3AB5">
      <w:pPr>
        <w:spacing w:line="360" w:lineRule="auto"/>
        <w:ind w:left="567" w:right="567"/>
        <w:contextualSpacing/>
        <w:jc w:val="both"/>
        <w:rPr>
          <w:rFonts w:ascii="Palatino Linotype" w:hAnsi="Palatino Linotype"/>
          <w:i/>
          <w:iCs/>
        </w:rPr>
      </w:pPr>
      <w:r w:rsidRPr="002E01B9">
        <w:rPr>
          <w:rFonts w:ascii="Palatino Linotype" w:hAnsi="Palatino Linotype"/>
          <w:i/>
          <w:iCs/>
        </w:rPr>
        <w:t xml:space="preserve">En respuesta a la solicitud recibida, nos permitimos hacer de su conocimiento que con fundamento en el artículo 53, Fracciones: II, V y VI de la Ley de Transparencia y Acceso a la Información Pública del Estado de México y Municipios, le contestamos que: </w:t>
      </w:r>
    </w:p>
    <w:p w14:paraId="3570C275" w14:textId="77777777" w:rsidR="007D7705" w:rsidRPr="002E01B9" w:rsidRDefault="007D7705" w:rsidP="000F3AB5">
      <w:pPr>
        <w:spacing w:line="360" w:lineRule="auto"/>
        <w:ind w:left="567" w:right="567"/>
        <w:contextualSpacing/>
        <w:jc w:val="both"/>
        <w:rPr>
          <w:rFonts w:ascii="Palatino Linotype" w:hAnsi="Palatino Linotype"/>
          <w:i/>
          <w:iCs/>
        </w:rPr>
      </w:pPr>
    </w:p>
    <w:p w14:paraId="0E1E3B6D" w14:textId="3A2F5551" w:rsidR="002E01B9" w:rsidRPr="002E01B9" w:rsidRDefault="002E01B9" w:rsidP="000F3AB5">
      <w:pPr>
        <w:spacing w:line="360" w:lineRule="auto"/>
        <w:ind w:left="567" w:right="567"/>
        <w:contextualSpacing/>
        <w:jc w:val="both"/>
        <w:rPr>
          <w:rFonts w:ascii="Palatino Linotype" w:hAnsi="Palatino Linotype"/>
          <w:i/>
          <w:iCs/>
        </w:rPr>
      </w:pPr>
      <w:r w:rsidRPr="002E01B9">
        <w:rPr>
          <w:rFonts w:ascii="Palatino Linotype" w:hAnsi="Palatino Linotype"/>
          <w:i/>
          <w:iCs/>
        </w:rPr>
        <w:lastRenderedPageBreak/>
        <w:t xml:space="preserve">1. En el archivo que guarda en esta Dirección de Desarrollo Económico no existe registro de licencia para el establecimiento citado </w:t>
      </w:r>
    </w:p>
    <w:p w14:paraId="2FA7C94D" w14:textId="44E8C457" w:rsidR="002E01B9" w:rsidRDefault="002E01B9" w:rsidP="000F3AB5">
      <w:pPr>
        <w:spacing w:line="360" w:lineRule="auto"/>
        <w:ind w:left="567" w:right="567"/>
        <w:contextualSpacing/>
        <w:jc w:val="both"/>
        <w:rPr>
          <w:rFonts w:ascii="Palatino Linotype" w:hAnsi="Palatino Linotype"/>
          <w:i/>
          <w:iCs/>
        </w:rPr>
      </w:pPr>
      <w:r w:rsidRPr="002E01B9">
        <w:rPr>
          <w:rFonts w:ascii="Palatino Linotype" w:hAnsi="Palatino Linotype"/>
          <w:i/>
          <w:iCs/>
        </w:rPr>
        <w:t xml:space="preserve">2. Se han iniciado las labores de verificación, el citado establecimiento </w:t>
      </w:r>
      <w:proofErr w:type="spellStart"/>
      <w:r w:rsidRPr="002E01B9">
        <w:rPr>
          <w:rFonts w:ascii="Palatino Linotype" w:hAnsi="Palatino Linotype"/>
          <w:i/>
          <w:iCs/>
        </w:rPr>
        <w:t>aun</w:t>
      </w:r>
      <w:proofErr w:type="spellEnd"/>
      <w:r w:rsidRPr="002E01B9">
        <w:rPr>
          <w:rFonts w:ascii="Palatino Linotype" w:hAnsi="Palatino Linotype"/>
          <w:i/>
          <w:iCs/>
        </w:rPr>
        <w:t xml:space="preserve"> no ha sido visitado sin embargo ya se tiene fecha para su verificación </w:t>
      </w:r>
    </w:p>
    <w:p w14:paraId="7966562E" w14:textId="77777777" w:rsidR="001C5D9E" w:rsidRPr="002E01B9" w:rsidRDefault="001C5D9E" w:rsidP="000F3AB5">
      <w:pPr>
        <w:spacing w:line="360" w:lineRule="auto"/>
        <w:ind w:left="567" w:right="567"/>
        <w:contextualSpacing/>
        <w:jc w:val="both"/>
        <w:rPr>
          <w:rFonts w:ascii="Palatino Linotype" w:hAnsi="Palatino Linotype"/>
          <w:i/>
          <w:iCs/>
        </w:rPr>
      </w:pPr>
    </w:p>
    <w:p w14:paraId="44FC9E32" w14:textId="52E2587A" w:rsidR="002E01B9" w:rsidRPr="007D7705" w:rsidRDefault="002E01B9" w:rsidP="000F3AB5">
      <w:pPr>
        <w:spacing w:line="360" w:lineRule="auto"/>
        <w:ind w:left="567" w:right="567"/>
        <w:contextualSpacing/>
        <w:jc w:val="both"/>
        <w:rPr>
          <w:rFonts w:ascii="Palatino Linotype" w:hAnsi="Palatino Linotype"/>
          <w:i/>
          <w:iCs/>
        </w:rPr>
      </w:pPr>
      <w:r w:rsidRPr="007D7705">
        <w:rPr>
          <w:rFonts w:ascii="Palatino Linotype" w:hAnsi="Palatino Linotype"/>
          <w:i/>
          <w:iCs/>
        </w:rPr>
        <w:t>3. No se han recibido en esta dirección quejas o denuncias de dicho establecimiento</w:t>
      </w:r>
    </w:p>
    <w:p w14:paraId="152A7C40" w14:textId="4C9D6BB3" w:rsidR="002E01B9" w:rsidRPr="007D7705" w:rsidRDefault="007D7705" w:rsidP="000F3AB5">
      <w:pPr>
        <w:spacing w:line="360" w:lineRule="auto"/>
        <w:ind w:left="567" w:right="567"/>
        <w:contextualSpacing/>
        <w:rPr>
          <w:rFonts w:ascii="Palatino Linotype" w:hAnsi="Palatino Linotype"/>
          <w:i/>
          <w:iCs/>
        </w:rPr>
      </w:pPr>
      <w:r w:rsidRPr="007D7705">
        <w:rPr>
          <w:rFonts w:ascii="Palatino Linotype" w:hAnsi="Palatino Linotype"/>
          <w:i/>
          <w:iCs/>
        </w:rPr>
        <w:t>…”</w:t>
      </w:r>
    </w:p>
    <w:p w14:paraId="0F954263" w14:textId="77777777" w:rsidR="007D7705" w:rsidRDefault="007D7705" w:rsidP="000F3AB5">
      <w:pPr>
        <w:spacing w:line="360" w:lineRule="auto"/>
        <w:contextualSpacing/>
      </w:pPr>
    </w:p>
    <w:p w14:paraId="183B54FC" w14:textId="77777777" w:rsidR="00D1222A" w:rsidRPr="00633419" w:rsidRDefault="00D1222A" w:rsidP="000F3AB5">
      <w:pPr>
        <w:pStyle w:val="Ttulo2"/>
        <w:spacing w:before="0" w:after="0" w:line="360" w:lineRule="auto"/>
        <w:contextualSpacing/>
        <w:rPr>
          <w:rFonts w:ascii="Palatino Linotype" w:eastAsia="Palatino Linotype" w:hAnsi="Palatino Linotype"/>
          <w:b/>
          <w:bCs/>
          <w:color w:val="auto"/>
          <w:sz w:val="22"/>
          <w:szCs w:val="22"/>
        </w:rPr>
      </w:pPr>
      <w:bookmarkStart w:id="4" w:name="_heading=h.270ugglvhyo" w:colFirst="0" w:colLast="0"/>
      <w:bookmarkStart w:id="5" w:name="_Toc221203747"/>
      <w:bookmarkEnd w:id="4"/>
      <w:r w:rsidRPr="00633419">
        <w:rPr>
          <w:rFonts w:ascii="Palatino Linotype" w:eastAsia="Palatino Linotype" w:hAnsi="Palatino Linotype"/>
          <w:b/>
          <w:bCs/>
          <w:color w:val="auto"/>
          <w:sz w:val="22"/>
          <w:szCs w:val="22"/>
        </w:rPr>
        <w:t>II. Respuesta del Sujeto Obligado</w:t>
      </w:r>
      <w:bookmarkEnd w:id="5"/>
    </w:p>
    <w:p w14:paraId="3737F986" w14:textId="77777777" w:rsidR="00D1222A" w:rsidRDefault="00D1222A" w:rsidP="000F3AB5">
      <w:pPr>
        <w:tabs>
          <w:tab w:val="left" w:pos="4667"/>
        </w:tabs>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w:t>
      </w:r>
    </w:p>
    <w:p w14:paraId="7FFE247B" w14:textId="77777777" w:rsidR="007D7705" w:rsidRDefault="00D1222A" w:rsidP="000F3AB5">
      <w:pPr>
        <w:tabs>
          <w:tab w:val="left" w:pos="4667"/>
        </w:tabs>
        <w:spacing w:line="360" w:lineRule="auto"/>
        <w:contextualSpacing/>
        <w:jc w:val="both"/>
        <w:rPr>
          <w:rFonts w:ascii="Palatino Linotype" w:eastAsia="Palatino Linotype" w:hAnsi="Palatino Linotype" w:cs="Palatino Linotype"/>
          <w:sz w:val="22"/>
          <w:szCs w:val="22"/>
        </w:rPr>
      </w:pPr>
      <w:r w:rsidRPr="00CA747C">
        <w:rPr>
          <w:rFonts w:ascii="Palatino Linotype" w:eastAsia="Palatino Linotype" w:hAnsi="Palatino Linotype" w:cs="Palatino Linotype"/>
          <w:sz w:val="22"/>
          <w:szCs w:val="22"/>
        </w:rPr>
        <w:t xml:space="preserve">Con fecha </w:t>
      </w:r>
      <w:r w:rsidR="007D7705">
        <w:rPr>
          <w:rFonts w:ascii="Palatino Linotype" w:eastAsia="Palatino Linotype" w:hAnsi="Palatino Linotype" w:cs="Palatino Linotype"/>
          <w:sz w:val="22"/>
          <w:szCs w:val="22"/>
        </w:rPr>
        <w:t xml:space="preserve">siete de abril </w:t>
      </w:r>
      <w:r w:rsidRPr="00CA747C">
        <w:rPr>
          <w:rFonts w:ascii="Palatino Linotype" w:eastAsia="Palatino Linotype" w:hAnsi="Palatino Linotype" w:cs="Palatino Linotype"/>
          <w:sz w:val="22"/>
          <w:szCs w:val="22"/>
        </w:rPr>
        <w:t>de dos mil veinticinco, el Sujeto Obligado dio respuesta a la solicitud de acceso a la información a través del Sistema de Acceso a la Información Mexiquense (SAIMEX),</w:t>
      </w:r>
      <w:r>
        <w:rPr>
          <w:rFonts w:ascii="Palatino Linotype" w:eastAsia="Palatino Linotype" w:hAnsi="Palatino Linotype" w:cs="Palatino Linotype"/>
          <w:sz w:val="22"/>
          <w:szCs w:val="22"/>
        </w:rPr>
        <w:t xml:space="preserve"> </w:t>
      </w:r>
      <w:r w:rsidRPr="00CA747C">
        <w:rPr>
          <w:rFonts w:ascii="Palatino Linotype" w:eastAsia="Palatino Linotype" w:hAnsi="Palatino Linotype" w:cs="Palatino Linotype"/>
          <w:sz w:val="22"/>
          <w:szCs w:val="22"/>
        </w:rPr>
        <w:t>mediante</w:t>
      </w:r>
      <w:r>
        <w:rPr>
          <w:rFonts w:ascii="Palatino Linotype" w:eastAsia="Palatino Linotype" w:hAnsi="Palatino Linotype" w:cs="Palatino Linotype"/>
          <w:sz w:val="22"/>
          <w:szCs w:val="22"/>
        </w:rPr>
        <w:t xml:space="preserve"> la digitalización de</w:t>
      </w:r>
      <w:r w:rsidR="007D7705">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l</w:t>
      </w:r>
      <w:r w:rsidR="007D7705">
        <w:rPr>
          <w:rFonts w:ascii="Palatino Linotype" w:eastAsia="Palatino Linotype" w:hAnsi="Palatino Linotype" w:cs="Palatino Linotype"/>
          <w:sz w:val="22"/>
          <w:szCs w:val="22"/>
        </w:rPr>
        <w:t>os documentos siguientes:</w:t>
      </w:r>
      <w:r>
        <w:rPr>
          <w:rFonts w:ascii="Palatino Linotype" w:eastAsia="Palatino Linotype" w:hAnsi="Palatino Linotype" w:cs="Palatino Linotype"/>
          <w:sz w:val="22"/>
          <w:szCs w:val="22"/>
        </w:rPr>
        <w:t xml:space="preserve"> </w:t>
      </w:r>
    </w:p>
    <w:p w14:paraId="1C901ED4" w14:textId="77777777" w:rsidR="007D7705" w:rsidRDefault="007D7705" w:rsidP="000F3AB5">
      <w:pPr>
        <w:tabs>
          <w:tab w:val="left" w:pos="4667"/>
        </w:tabs>
        <w:spacing w:line="360" w:lineRule="auto"/>
        <w:contextualSpacing/>
        <w:jc w:val="both"/>
        <w:rPr>
          <w:rFonts w:ascii="Palatino Linotype" w:eastAsia="Palatino Linotype" w:hAnsi="Palatino Linotype" w:cs="Palatino Linotype"/>
          <w:sz w:val="22"/>
          <w:szCs w:val="22"/>
        </w:rPr>
      </w:pPr>
    </w:p>
    <w:p w14:paraId="796C696F" w14:textId="5CA2C1C0" w:rsidR="00D1222A" w:rsidRDefault="007D7705" w:rsidP="000F3AB5">
      <w:pPr>
        <w:tabs>
          <w:tab w:val="left" w:pos="4667"/>
        </w:tabs>
        <w:spacing w:line="360" w:lineRule="auto"/>
        <w:contextualSpacing/>
        <w:jc w:val="both"/>
        <w:rPr>
          <w:rFonts w:ascii="Palatino Linotype" w:eastAsia="Palatino Linotype" w:hAnsi="Palatino Linotype" w:cs="Palatino Linotype"/>
          <w:sz w:val="22"/>
          <w:szCs w:val="22"/>
        </w:rPr>
      </w:pPr>
      <w:r w:rsidRPr="007D7705">
        <w:rPr>
          <w:rFonts w:ascii="Palatino Linotype" w:eastAsia="Palatino Linotype" w:hAnsi="Palatino Linotype" w:cs="Palatino Linotype"/>
          <w:sz w:val="22"/>
          <w:szCs w:val="22"/>
        </w:rPr>
        <w:t>i)</w:t>
      </w:r>
      <w:r>
        <w:rPr>
          <w:rFonts w:ascii="Palatino Linotype" w:eastAsia="Palatino Linotype" w:hAnsi="Palatino Linotype" w:cs="Palatino Linotype"/>
          <w:sz w:val="22"/>
          <w:szCs w:val="22"/>
        </w:rPr>
        <w:t xml:space="preserve"> O</w:t>
      </w:r>
      <w:r w:rsidR="00D1222A" w:rsidRPr="007D7705">
        <w:rPr>
          <w:rFonts w:ascii="Palatino Linotype" w:eastAsia="Palatino Linotype" w:hAnsi="Palatino Linotype" w:cs="Palatino Linotype"/>
          <w:sz w:val="22"/>
          <w:szCs w:val="22"/>
        </w:rPr>
        <w:t xml:space="preserve">ficio número </w:t>
      </w:r>
      <w:r w:rsidRPr="007D7705">
        <w:rPr>
          <w:rFonts w:ascii="Palatino Linotype" w:eastAsia="Palatino Linotype" w:hAnsi="Palatino Linotype" w:cs="Palatino Linotype"/>
          <w:sz w:val="22"/>
          <w:szCs w:val="22"/>
        </w:rPr>
        <w:t>SMP/122/08/2025</w:t>
      </w:r>
      <w:r w:rsidR="00D1222A" w:rsidRPr="007D7705">
        <w:rPr>
          <w:rFonts w:ascii="Palatino Linotype" w:eastAsia="Palatino Linotype" w:hAnsi="Palatino Linotype" w:cs="Palatino Linotype"/>
          <w:sz w:val="22"/>
          <w:szCs w:val="22"/>
        </w:rPr>
        <w:t xml:space="preserve">, del </w:t>
      </w:r>
      <w:r>
        <w:rPr>
          <w:rFonts w:ascii="Palatino Linotype" w:eastAsia="Palatino Linotype" w:hAnsi="Palatino Linotype" w:cs="Palatino Linotype"/>
          <w:sz w:val="22"/>
          <w:szCs w:val="22"/>
        </w:rPr>
        <w:t xml:space="preserve">cuatro de abril </w:t>
      </w:r>
      <w:r w:rsidR="00D1222A" w:rsidRPr="007D7705">
        <w:rPr>
          <w:rFonts w:ascii="Palatino Linotype" w:eastAsia="Palatino Linotype" w:hAnsi="Palatino Linotype" w:cs="Palatino Linotype"/>
          <w:sz w:val="22"/>
          <w:szCs w:val="22"/>
        </w:rPr>
        <w:t xml:space="preserve">de dos mil veinticinco, suscrito por el </w:t>
      </w:r>
      <w:r>
        <w:rPr>
          <w:rFonts w:ascii="Palatino Linotype" w:eastAsia="Palatino Linotype" w:hAnsi="Palatino Linotype" w:cs="Palatino Linotype"/>
          <w:sz w:val="22"/>
          <w:szCs w:val="22"/>
        </w:rPr>
        <w:t>Titular de la Unidad de Transparencia</w:t>
      </w:r>
      <w:r w:rsidR="00D1222A" w:rsidRPr="007D7705">
        <w:rPr>
          <w:rFonts w:ascii="Palatino Linotype" w:eastAsia="Palatino Linotype" w:hAnsi="Palatino Linotype" w:cs="Palatino Linotype"/>
          <w:sz w:val="22"/>
          <w:szCs w:val="22"/>
        </w:rPr>
        <w:t xml:space="preserve">, dirigido al Solicitante, a través del cual manifiesta </w:t>
      </w:r>
      <w:r>
        <w:rPr>
          <w:rFonts w:ascii="Palatino Linotype" w:eastAsia="Palatino Linotype" w:hAnsi="Palatino Linotype" w:cs="Palatino Linotype"/>
          <w:sz w:val="22"/>
          <w:szCs w:val="22"/>
        </w:rPr>
        <w:t>que remite las respuestas por las áreas requeridas.</w:t>
      </w:r>
    </w:p>
    <w:p w14:paraId="0ACF36C5" w14:textId="77777777" w:rsidR="007D7705" w:rsidRDefault="007D7705" w:rsidP="000F3AB5">
      <w:pPr>
        <w:tabs>
          <w:tab w:val="left" w:pos="4667"/>
        </w:tabs>
        <w:spacing w:line="360" w:lineRule="auto"/>
        <w:contextualSpacing/>
        <w:jc w:val="both"/>
        <w:rPr>
          <w:rFonts w:ascii="Palatino Linotype" w:eastAsia="Palatino Linotype" w:hAnsi="Palatino Linotype" w:cs="Palatino Linotype"/>
          <w:sz w:val="22"/>
          <w:szCs w:val="22"/>
        </w:rPr>
      </w:pPr>
    </w:p>
    <w:p w14:paraId="028F6E76" w14:textId="36602A43" w:rsidR="007D7705" w:rsidRDefault="007D7705" w:rsidP="000F3AB5">
      <w:pPr>
        <w:tabs>
          <w:tab w:val="left" w:pos="4667"/>
        </w:tabs>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ii) Licencia de funcionamiento para la venta de bebidas alcohólicas en botella cerrada en versión pública, emitida por la Dirección de Seguridad Pública en el ejercicio fiscal dos mil veinticinco.</w:t>
      </w:r>
    </w:p>
    <w:p w14:paraId="08A62128" w14:textId="77777777" w:rsidR="007D7705" w:rsidRDefault="007D7705" w:rsidP="000F3AB5">
      <w:pPr>
        <w:tabs>
          <w:tab w:val="left" w:pos="4667"/>
        </w:tabs>
        <w:spacing w:line="360" w:lineRule="auto"/>
        <w:contextualSpacing/>
        <w:jc w:val="both"/>
        <w:rPr>
          <w:rFonts w:ascii="Palatino Linotype" w:eastAsia="Palatino Linotype" w:hAnsi="Palatino Linotype" w:cs="Palatino Linotype"/>
          <w:sz w:val="22"/>
          <w:szCs w:val="22"/>
        </w:rPr>
      </w:pPr>
    </w:p>
    <w:p w14:paraId="48866096" w14:textId="24EE6A46" w:rsidR="007D7705" w:rsidRDefault="007D7705" w:rsidP="000F3AB5">
      <w:pPr>
        <w:tabs>
          <w:tab w:val="left" w:pos="4667"/>
        </w:tabs>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iii) </w:t>
      </w:r>
      <w:r w:rsidR="00EF5DF9">
        <w:rPr>
          <w:rFonts w:ascii="Palatino Linotype" w:eastAsia="Palatino Linotype" w:hAnsi="Palatino Linotype" w:cs="Palatino Linotype"/>
          <w:sz w:val="22"/>
          <w:szCs w:val="22"/>
        </w:rPr>
        <w:t>Gaceta municipal año 01, número 04 por la que se publican los acuerdos emitidos durante la cuarta sesión ordinaria de cabildo a saber los siguientes:</w:t>
      </w:r>
    </w:p>
    <w:p w14:paraId="7FFDDF9E" w14:textId="77777777" w:rsidR="00EF5DF9" w:rsidRDefault="00EF5DF9" w:rsidP="000F3AB5">
      <w:pPr>
        <w:tabs>
          <w:tab w:val="left" w:pos="4667"/>
        </w:tabs>
        <w:spacing w:line="360" w:lineRule="auto"/>
        <w:contextualSpacing/>
        <w:jc w:val="both"/>
        <w:rPr>
          <w:rFonts w:ascii="Palatino Linotype" w:eastAsia="Palatino Linotype" w:hAnsi="Palatino Linotype" w:cs="Palatino Linotype"/>
          <w:sz w:val="22"/>
          <w:szCs w:val="22"/>
        </w:rPr>
      </w:pPr>
    </w:p>
    <w:p w14:paraId="36DF4CE6" w14:textId="29C53600" w:rsidR="00EF5DF9" w:rsidRPr="00EF5DF9" w:rsidRDefault="00EF5DF9" w:rsidP="000F3AB5">
      <w:pPr>
        <w:tabs>
          <w:tab w:val="left" w:pos="4667"/>
        </w:tabs>
        <w:spacing w:line="360" w:lineRule="auto"/>
        <w:ind w:left="567" w:right="567"/>
        <w:contextualSpacing/>
        <w:jc w:val="both"/>
        <w:rPr>
          <w:rFonts w:ascii="Palatino Linotype" w:eastAsia="Palatino Linotype" w:hAnsi="Palatino Linotype" w:cs="Palatino Linotype"/>
          <w:i/>
          <w:iCs/>
        </w:rPr>
      </w:pPr>
      <w:r w:rsidRPr="00EF5DF9">
        <w:rPr>
          <w:rFonts w:ascii="Palatino Linotype" w:eastAsia="Palatino Linotype" w:hAnsi="Palatino Linotype" w:cs="Palatino Linotype"/>
          <w:i/>
          <w:iCs/>
        </w:rPr>
        <w:t>“…</w:t>
      </w:r>
    </w:p>
    <w:p w14:paraId="62FDD789" w14:textId="77777777" w:rsidR="00EF5DF9" w:rsidRPr="00EF5DF9" w:rsidRDefault="00EF5DF9" w:rsidP="000F3AB5">
      <w:pPr>
        <w:tabs>
          <w:tab w:val="left" w:pos="4667"/>
        </w:tabs>
        <w:spacing w:line="360" w:lineRule="auto"/>
        <w:ind w:left="567" w:right="567"/>
        <w:contextualSpacing/>
        <w:jc w:val="both"/>
        <w:rPr>
          <w:rFonts w:ascii="Palatino Linotype" w:eastAsia="Palatino Linotype" w:hAnsi="Palatino Linotype" w:cs="Palatino Linotype"/>
          <w:i/>
          <w:iCs/>
        </w:rPr>
      </w:pPr>
      <w:r w:rsidRPr="00EF5DF9">
        <w:rPr>
          <w:rFonts w:ascii="Palatino Linotype" w:eastAsia="Palatino Linotype" w:hAnsi="Palatino Linotype" w:cs="Palatino Linotype"/>
          <w:i/>
          <w:iCs/>
        </w:rPr>
        <w:lastRenderedPageBreak/>
        <w:t xml:space="preserve">ACUERDO 32: SIENDO APROBADA POR UNANIMIDAD DE VOTOS DE LOS ASISTENTES aprobación del Programa para la Instalación y Funcionamiento de Unidades Económicas de Bajo Riesgo; con fundamento en el artículo 48 fracción </w:t>
      </w:r>
      <w:proofErr w:type="spellStart"/>
      <w:r w:rsidRPr="00EF5DF9">
        <w:rPr>
          <w:rFonts w:ascii="Palatino Linotype" w:eastAsia="Palatino Linotype" w:hAnsi="Palatino Linotype" w:cs="Palatino Linotype"/>
          <w:i/>
          <w:iCs/>
        </w:rPr>
        <w:t>XIlI</w:t>
      </w:r>
      <w:proofErr w:type="spellEnd"/>
      <w:r w:rsidRPr="00EF5DF9">
        <w:rPr>
          <w:rFonts w:ascii="Palatino Linotype" w:eastAsia="Palatino Linotype" w:hAnsi="Palatino Linotype" w:cs="Palatino Linotype"/>
          <w:i/>
          <w:iCs/>
        </w:rPr>
        <w:t xml:space="preserve"> Ter y 96 </w:t>
      </w:r>
      <w:proofErr w:type="spellStart"/>
      <w:r w:rsidRPr="00EF5DF9">
        <w:rPr>
          <w:rFonts w:ascii="Palatino Linotype" w:eastAsia="Palatino Linotype" w:hAnsi="Palatino Linotype" w:cs="Palatino Linotype"/>
          <w:i/>
          <w:iCs/>
        </w:rPr>
        <w:t>Quáter</w:t>
      </w:r>
      <w:proofErr w:type="spellEnd"/>
      <w:r w:rsidRPr="00EF5DF9">
        <w:rPr>
          <w:rFonts w:ascii="Palatino Linotype" w:eastAsia="Palatino Linotype" w:hAnsi="Palatino Linotype" w:cs="Palatino Linotype"/>
          <w:i/>
          <w:iCs/>
        </w:rPr>
        <w:t xml:space="preserve"> fracción </w:t>
      </w:r>
      <w:proofErr w:type="spellStart"/>
      <w:r w:rsidRPr="00EF5DF9">
        <w:rPr>
          <w:rFonts w:ascii="Palatino Linotype" w:eastAsia="Palatino Linotype" w:hAnsi="Palatino Linotype" w:cs="Palatino Linotype"/>
          <w:i/>
          <w:iCs/>
        </w:rPr>
        <w:t>XVIll</w:t>
      </w:r>
      <w:proofErr w:type="spellEnd"/>
      <w:r w:rsidRPr="00EF5DF9">
        <w:rPr>
          <w:rFonts w:ascii="Palatino Linotype" w:eastAsia="Palatino Linotype" w:hAnsi="Palatino Linotype" w:cs="Palatino Linotype"/>
          <w:i/>
          <w:iCs/>
        </w:rPr>
        <w:t xml:space="preserve"> de la Ley Orgánica Municipal del Estado de México. </w:t>
      </w:r>
    </w:p>
    <w:p w14:paraId="7642CC5D" w14:textId="77777777" w:rsidR="00EF5DF9" w:rsidRPr="00EF5DF9" w:rsidRDefault="00EF5DF9" w:rsidP="000F3AB5">
      <w:pPr>
        <w:tabs>
          <w:tab w:val="left" w:pos="4667"/>
        </w:tabs>
        <w:spacing w:line="360" w:lineRule="auto"/>
        <w:ind w:left="567" w:right="567"/>
        <w:contextualSpacing/>
        <w:jc w:val="both"/>
        <w:rPr>
          <w:rFonts w:ascii="Palatino Linotype" w:eastAsia="Palatino Linotype" w:hAnsi="Palatino Linotype" w:cs="Palatino Linotype"/>
          <w:i/>
          <w:iCs/>
        </w:rPr>
      </w:pPr>
    </w:p>
    <w:p w14:paraId="02D7E668" w14:textId="3F428706" w:rsidR="00EF5DF9" w:rsidRPr="00EF5DF9" w:rsidRDefault="00EF5DF9" w:rsidP="000F3AB5">
      <w:pPr>
        <w:tabs>
          <w:tab w:val="left" w:pos="4667"/>
        </w:tabs>
        <w:spacing w:line="360" w:lineRule="auto"/>
        <w:ind w:left="567" w:right="567"/>
        <w:contextualSpacing/>
        <w:jc w:val="both"/>
        <w:rPr>
          <w:rFonts w:ascii="Palatino Linotype" w:eastAsia="Palatino Linotype" w:hAnsi="Palatino Linotype" w:cs="Palatino Linotype"/>
          <w:i/>
          <w:iCs/>
        </w:rPr>
      </w:pPr>
      <w:r w:rsidRPr="00EF5DF9">
        <w:rPr>
          <w:rFonts w:ascii="Palatino Linotype" w:eastAsia="Palatino Linotype" w:hAnsi="Palatino Linotype" w:cs="Palatino Linotype"/>
          <w:i/>
          <w:iCs/>
        </w:rPr>
        <w:t xml:space="preserve">ACUERDO 33: SIENDO APROBADA POR UNANIMIDAD DE VOTOS DE LOS ASISTENTES la autorización al Presidente Municipal para delegar, en el cumplimiento de sus funciones, a la Directora de Desarrollo Económico, Lic. </w:t>
      </w:r>
      <w:proofErr w:type="spellStart"/>
      <w:r w:rsidRPr="00EF5DF9">
        <w:rPr>
          <w:rFonts w:ascii="Palatino Linotype" w:eastAsia="Palatino Linotype" w:hAnsi="Palatino Linotype" w:cs="Palatino Linotype"/>
          <w:i/>
          <w:iCs/>
        </w:rPr>
        <w:t>Yomali</w:t>
      </w:r>
      <w:proofErr w:type="spellEnd"/>
      <w:r w:rsidRPr="00EF5DF9">
        <w:rPr>
          <w:rFonts w:ascii="Palatino Linotype" w:eastAsia="Palatino Linotype" w:hAnsi="Palatino Linotype" w:cs="Palatino Linotype"/>
          <w:i/>
          <w:iCs/>
        </w:rPr>
        <w:t xml:space="preserve"> Yatziri Olvera García, la facultad para la firma de renovación y apertura de licencias de funcionamiento de Unidades Económicas de Mediano y Alto Impacto, con fundamento en el artículo 48 fracción </w:t>
      </w:r>
      <w:proofErr w:type="spellStart"/>
      <w:r w:rsidRPr="00EF5DF9">
        <w:rPr>
          <w:rFonts w:ascii="Palatino Linotype" w:eastAsia="Palatino Linotype" w:hAnsi="Palatino Linotype" w:cs="Palatino Linotype"/>
          <w:i/>
          <w:iCs/>
        </w:rPr>
        <w:t>XIll</w:t>
      </w:r>
      <w:proofErr w:type="spellEnd"/>
      <w:r w:rsidRPr="00EF5DF9">
        <w:rPr>
          <w:rFonts w:ascii="Palatino Linotype" w:eastAsia="Palatino Linotype" w:hAnsi="Palatino Linotype" w:cs="Palatino Linotype"/>
          <w:i/>
          <w:iCs/>
        </w:rPr>
        <w:t xml:space="preserve"> </w:t>
      </w:r>
      <w:proofErr w:type="spellStart"/>
      <w:r w:rsidRPr="00EF5DF9">
        <w:rPr>
          <w:rFonts w:ascii="Palatino Linotype" w:eastAsia="Palatino Linotype" w:hAnsi="Palatino Linotype" w:cs="Palatino Linotype"/>
          <w:i/>
          <w:iCs/>
        </w:rPr>
        <w:t>Quáter</w:t>
      </w:r>
      <w:proofErr w:type="spellEnd"/>
      <w:r w:rsidRPr="00EF5DF9">
        <w:rPr>
          <w:rFonts w:ascii="Palatino Linotype" w:eastAsia="Palatino Linotype" w:hAnsi="Palatino Linotype" w:cs="Palatino Linotype"/>
          <w:i/>
          <w:iCs/>
        </w:rPr>
        <w:t xml:space="preserve"> y artículo 49 de la Ley Orgánica Municipal del Estado de México.</w:t>
      </w:r>
    </w:p>
    <w:p w14:paraId="52D716D5" w14:textId="6F623DEB" w:rsidR="00EF5DF9" w:rsidRPr="00EF5DF9" w:rsidRDefault="00EF5DF9" w:rsidP="000F3AB5">
      <w:pPr>
        <w:tabs>
          <w:tab w:val="left" w:pos="4667"/>
        </w:tabs>
        <w:spacing w:line="360" w:lineRule="auto"/>
        <w:ind w:left="567" w:right="567"/>
        <w:contextualSpacing/>
        <w:jc w:val="both"/>
        <w:rPr>
          <w:rFonts w:ascii="Palatino Linotype" w:eastAsia="Palatino Linotype" w:hAnsi="Palatino Linotype" w:cs="Palatino Linotype"/>
          <w:i/>
          <w:iCs/>
        </w:rPr>
      </w:pPr>
      <w:r w:rsidRPr="00EF5DF9">
        <w:rPr>
          <w:rFonts w:ascii="Palatino Linotype" w:eastAsia="Palatino Linotype" w:hAnsi="Palatino Linotype" w:cs="Palatino Linotype"/>
          <w:i/>
          <w:iCs/>
        </w:rPr>
        <w:t>…”</w:t>
      </w:r>
    </w:p>
    <w:p w14:paraId="240AB8F2" w14:textId="77777777" w:rsidR="00D1222A" w:rsidRPr="00B14C28" w:rsidRDefault="00D1222A" w:rsidP="000F3AB5">
      <w:pPr>
        <w:tabs>
          <w:tab w:val="left" w:pos="4667"/>
        </w:tabs>
        <w:spacing w:line="360" w:lineRule="auto"/>
        <w:ind w:right="567"/>
        <w:contextualSpacing/>
        <w:jc w:val="both"/>
        <w:rPr>
          <w:rFonts w:ascii="Palatino Linotype" w:eastAsia="Palatino Linotype" w:hAnsi="Palatino Linotype" w:cs="Palatino Linotype"/>
        </w:rPr>
      </w:pPr>
    </w:p>
    <w:p w14:paraId="4A65F3CF" w14:textId="77777777" w:rsidR="00D1222A" w:rsidRPr="00633419" w:rsidRDefault="00D1222A" w:rsidP="000F3AB5">
      <w:pPr>
        <w:pStyle w:val="Ttulo2"/>
        <w:spacing w:before="0" w:after="0" w:line="360" w:lineRule="auto"/>
        <w:contextualSpacing/>
        <w:rPr>
          <w:rFonts w:ascii="Palatino Linotype" w:hAnsi="Palatino Linotype"/>
          <w:b/>
          <w:bCs/>
          <w:color w:val="auto"/>
          <w:sz w:val="22"/>
          <w:szCs w:val="22"/>
        </w:rPr>
      </w:pPr>
      <w:bookmarkStart w:id="6" w:name="_Toc221203748"/>
      <w:r w:rsidRPr="00633419">
        <w:rPr>
          <w:rFonts w:ascii="Palatino Linotype" w:hAnsi="Palatino Linotype"/>
          <w:b/>
          <w:bCs/>
          <w:color w:val="auto"/>
          <w:sz w:val="22"/>
          <w:szCs w:val="22"/>
        </w:rPr>
        <w:t>III. Interposición del Recurso de Revisión</w:t>
      </w:r>
      <w:bookmarkEnd w:id="6"/>
    </w:p>
    <w:p w14:paraId="44471927" w14:textId="77777777" w:rsidR="00D1222A" w:rsidRDefault="00D1222A" w:rsidP="000F3AB5">
      <w:pPr>
        <w:spacing w:line="360" w:lineRule="auto"/>
        <w:contextualSpacing/>
        <w:jc w:val="both"/>
        <w:rPr>
          <w:rFonts w:ascii="Palatino Linotype" w:eastAsia="Palatino Linotype" w:hAnsi="Palatino Linotype" w:cs="Palatino Linotype"/>
          <w:sz w:val="22"/>
          <w:szCs w:val="22"/>
        </w:rPr>
      </w:pPr>
    </w:p>
    <w:p w14:paraId="769CB58C" w14:textId="21EC319C" w:rsidR="00D1222A" w:rsidRDefault="00D1222A" w:rsidP="000F3AB5">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 fecha </w:t>
      </w:r>
      <w:r w:rsidR="00EF5DF9">
        <w:rPr>
          <w:rFonts w:ascii="Palatino Linotype" w:eastAsia="Palatino Linotype" w:hAnsi="Palatino Linotype" w:cs="Palatino Linotype"/>
          <w:sz w:val="22"/>
          <w:szCs w:val="22"/>
        </w:rPr>
        <w:t>veinti</w:t>
      </w:r>
      <w:r>
        <w:rPr>
          <w:rFonts w:ascii="Palatino Linotype" w:eastAsia="Palatino Linotype" w:hAnsi="Palatino Linotype" w:cs="Palatino Linotype"/>
          <w:sz w:val="22"/>
          <w:szCs w:val="22"/>
        </w:rPr>
        <w:t xml:space="preserve">uno de </w:t>
      </w:r>
      <w:r w:rsidR="00EF5DF9">
        <w:rPr>
          <w:rFonts w:ascii="Palatino Linotype" w:eastAsia="Palatino Linotype" w:hAnsi="Palatino Linotype" w:cs="Palatino Linotype"/>
          <w:sz w:val="22"/>
          <w:szCs w:val="22"/>
        </w:rPr>
        <w:t xml:space="preserve">abril </w:t>
      </w:r>
      <w:r>
        <w:rPr>
          <w:rFonts w:ascii="Palatino Linotype" w:eastAsia="Palatino Linotype" w:hAnsi="Palatino Linotype" w:cs="Palatino Linotype"/>
          <w:sz w:val="22"/>
          <w:szCs w:val="22"/>
        </w:rPr>
        <w:t xml:space="preserve">de dos mil veinticinco, se recibió en este Instituto, a través del SAIMEX, el Recurso de Revisión interpuesto por la parte Recurrente, en contra de la respuesta del Ayuntamiento de </w:t>
      </w:r>
      <w:r w:rsidR="00EF5DF9">
        <w:rPr>
          <w:rFonts w:ascii="Palatino Linotype" w:eastAsia="Palatino Linotype" w:hAnsi="Palatino Linotype" w:cs="Palatino Linotype"/>
          <w:sz w:val="22"/>
          <w:szCs w:val="22"/>
        </w:rPr>
        <w:t>San Martín de las Pirámides</w:t>
      </w:r>
      <w:r>
        <w:rPr>
          <w:rFonts w:ascii="Palatino Linotype" w:eastAsia="Palatino Linotype" w:hAnsi="Palatino Linotype" w:cs="Palatino Linotype"/>
          <w:sz w:val="22"/>
          <w:szCs w:val="22"/>
        </w:rPr>
        <w:t>,</w:t>
      </w:r>
      <w:r w:rsidR="00EF5DF9">
        <w:rPr>
          <w:rFonts w:ascii="Palatino Linotype" w:eastAsia="Palatino Linotype" w:hAnsi="Palatino Linotype" w:cs="Palatino Linotype"/>
          <w:sz w:val="22"/>
          <w:szCs w:val="22"/>
        </w:rPr>
        <w:t xml:space="preserve"> </w:t>
      </w:r>
      <w:r w:rsidR="00EF5DF9">
        <w:rPr>
          <w:rFonts w:ascii="Palatino Linotype" w:eastAsia="Palatino Linotype" w:hAnsi="Palatino Linotype" w:cs="Palatino Linotype"/>
          <w:b/>
          <w:bCs/>
          <w:sz w:val="22"/>
          <w:szCs w:val="22"/>
        </w:rPr>
        <w:t>ya que si bien, se tuvo por presentado el trece de dicho mes y año, lo cierto es que fue inhábil, por lo que se tuvo por presentado el día hábil subsecuente,</w:t>
      </w:r>
      <w:r>
        <w:rPr>
          <w:rFonts w:ascii="Palatino Linotype" w:eastAsia="Palatino Linotype" w:hAnsi="Palatino Linotype" w:cs="Palatino Linotype"/>
          <w:sz w:val="22"/>
          <w:szCs w:val="22"/>
        </w:rPr>
        <w:t xml:space="preserve"> en los siguientes términos:</w:t>
      </w:r>
    </w:p>
    <w:p w14:paraId="74EDA787" w14:textId="77777777" w:rsidR="00D1222A" w:rsidRDefault="00D1222A" w:rsidP="000F3AB5">
      <w:pPr>
        <w:spacing w:line="360" w:lineRule="auto"/>
        <w:contextualSpacing/>
        <w:jc w:val="both"/>
        <w:rPr>
          <w:rFonts w:ascii="Palatino Linotype" w:eastAsia="Palatino Linotype" w:hAnsi="Palatino Linotype" w:cs="Palatino Linotype"/>
          <w:b/>
          <w:sz w:val="22"/>
          <w:szCs w:val="22"/>
        </w:rPr>
      </w:pPr>
    </w:p>
    <w:p w14:paraId="5C40E6FE" w14:textId="77777777" w:rsidR="00D1222A" w:rsidRDefault="00D1222A" w:rsidP="000F3AB5">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ACTO IMPUGNADO</w:t>
      </w:r>
    </w:p>
    <w:p w14:paraId="0189DA1F" w14:textId="66050BAF" w:rsidR="00D1222A" w:rsidRDefault="00D1222A" w:rsidP="000F3AB5">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w:t>
      </w:r>
      <w:r w:rsidR="00EF5DF9" w:rsidRPr="00EF5DF9">
        <w:rPr>
          <w:rFonts w:ascii="Palatino Linotype" w:eastAsia="Palatino Linotype" w:hAnsi="Palatino Linotype" w:cs="Palatino Linotype"/>
          <w:i/>
        </w:rPr>
        <w:t>La respuesta de fecha: 07 de Abril de 2025</w:t>
      </w:r>
      <w:r>
        <w:rPr>
          <w:rFonts w:ascii="Palatino Linotype" w:eastAsia="Palatino Linotype" w:hAnsi="Palatino Linotype" w:cs="Palatino Linotype"/>
          <w:i/>
          <w:color w:val="000000"/>
        </w:rPr>
        <w:t>.</w:t>
      </w:r>
      <w:r>
        <w:rPr>
          <w:rFonts w:ascii="Palatino Linotype" w:eastAsia="Palatino Linotype" w:hAnsi="Palatino Linotype" w:cs="Palatino Linotype"/>
          <w:i/>
        </w:rPr>
        <w:t>” (Sic)</w:t>
      </w:r>
    </w:p>
    <w:p w14:paraId="20817EC0" w14:textId="77777777" w:rsidR="00D1222A" w:rsidRDefault="00D1222A" w:rsidP="000F3AB5">
      <w:pPr>
        <w:spacing w:line="360" w:lineRule="auto"/>
        <w:ind w:left="567" w:right="567"/>
        <w:contextualSpacing/>
        <w:jc w:val="both"/>
        <w:rPr>
          <w:rFonts w:ascii="Palatino Linotype" w:eastAsia="Palatino Linotype" w:hAnsi="Palatino Linotype" w:cs="Palatino Linotype"/>
          <w:i/>
        </w:rPr>
      </w:pPr>
    </w:p>
    <w:p w14:paraId="22E85B07" w14:textId="77777777" w:rsidR="00D1222A" w:rsidRDefault="00D1222A" w:rsidP="000F3AB5">
      <w:pPr>
        <w:spacing w:line="360" w:lineRule="auto"/>
        <w:ind w:left="567" w:right="567"/>
        <w:contextualSpacing/>
        <w:jc w:val="both"/>
        <w:rPr>
          <w:rFonts w:ascii="Palatino Linotype" w:eastAsia="Palatino Linotype" w:hAnsi="Palatino Linotype" w:cs="Palatino Linotype"/>
          <w:b/>
          <w:i/>
        </w:rPr>
      </w:pPr>
      <w:r>
        <w:rPr>
          <w:rFonts w:ascii="Palatino Linotype" w:eastAsia="Palatino Linotype" w:hAnsi="Palatino Linotype" w:cs="Palatino Linotype"/>
          <w:b/>
          <w:i/>
        </w:rPr>
        <w:t>RAZONES O MOTIVOS DE LA INCONFORMIDAD</w:t>
      </w:r>
    </w:p>
    <w:p w14:paraId="54E6B4FF" w14:textId="6A9E24D8" w:rsidR="00D1222A" w:rsidRDefault="00D1222A" w:rsidP="000F3AB5">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color w:val="000000"/>
        </w:rPr>
        <w:t>“</w:t>
      </w:r>
      <w:proofErr w:type="gramStart"/>
      <w:r w:rsidR="00EF5DF9" w:rsidRPr="00EF5DF9">
        <w:rPr>
          <w:rFonts w:ascii="Palatino Linotype" w:eastAsia="Palatino Linotype" w:hAnsi="Palatino Linotype" w:cs="Palatino Linotype"/>
          <w:i/>
          <w:color w:val="000000"/>
        </w:rPr>
        <w:t>Ya que</w:t>
      </w:r>
      <w:proofErr w:type="gramEnd"/>
      <w:r w:rsidR="00EF5DF9" w:rsidRPr="00EF5DF9">
        <w:rPr>
          <w:rFonts w:ascii="Palatino Linotype" w:eastAsia="Palatino Linotype" w:hAnsi="Palatino Linotype" w:cs="Palatino Linotype"/>
          <w:i/>
          <w:color w:val="000000"/>
        </w:rPr>
        <w:t xml:space="preserve"> en algunas de las contestaciones dadas a la solicitud de origen, no se da respuesta puntual a lo preguntado, no se adjunta la evidencia correspondiente, existen incongruencias o contradicciones en las respuestas que da la autoridad </w:t>
      </w:r>
      <w:proofErr w:type="gramStart"/>
      <w:r w:rsidR="00EF5DF9" w:rsidRPr="00EF5DF9">
        <w:rPr>
          <w:rFonts w:ascii="Palatino Linotype" w:eastAsia="Palatino Linotype" w:hAnsi="Palatino Linotype" w:cs="Palatino Linotype"/>
          <w:i/>
          <w:color w:val="000000"/>
        </w:rPr>
        <w:t>obligada ,</w:t>
      </w:r>
      <w:proofErr w:type="gramEnd"/>
      <w:r w:rsidR="00EF5DF9" w:rsidRPr="00EF5DF9">
        <w:rPr>
          <w:rFonts w:ascii="Palatino Linotype" w:eastAsia="Palatino Linotype" w:hAnsi="Palatino Linotype" w:cs="Palatino Linotype"/>
          <w:i/>
          <w:color w:val="000000"/>
        </w:rPr>
        <w:t xml:space="preserve"> no se adjunta la versión publica </w:t>
      </w:r>
      <w:r w:rsidR="00EF5DF9" w:rsidRPr="00EF5DF9">
        <w:rPr>
          <w:rFonts w:ascii="Palatino Linotype" w:eastAsia="Palatino Linotype" w:hAnsi="Palatino Linotype" w:cs="Palatino Linotype"/>
          <w:i/>
          <w:color w:val="000000"/>
        </w:rPr>
        <w:lastRenderedPageBreak/>
        <w:t>de la información de manera correcta, es decir, en relación a los lineamientos que la propia normatividad de transparencia indica</w:t>
      </w:r>
      <w:r>
        <w:rPr>
          <w:rFonts w:ascii="Palatino Linotype" w:eastAsia="Palatino Linotype" w:hAnsi="Palatino Linotype" w:cs="Palatino Linotype"/>
          <w:i/>
          <w:color w:val="000000"/>
        </w:rPr>
        <w:t>.</w:t>
      </w:r>
      <w:r>
        <w:rPr>
          <w:rFonts w:ascii="Palatino Linotype" w:eastAsia="Palatino Linotype" w:hAnsi="Palatino Linotype" w:cs="Palatino Linotype"/>
          <w:i/>
        </w:rPr>
        <w:t>” (Sic)</w:t>
      </w:r>
    </w:p>
    <w:p w14:paraId="31BA8124" w14:textId="77777777" w:rsidR="00D1222A" w:rsidRPr="003C3093" w:rsidRDefault="00D1222A" w:rsidP="000F3AB5">
      <w:pPr>
        <w:spacing w:line="360" w:lineRule="auto"/>
        <w:contextualSpacing/>
        <w:jc w:val="both"/>
        <w:rPr>
          <w:rFonts w:ascii="Palatino Linotype" w:eastAsia="Palatino Linotype" w:hAnsi="Palatino Linotype" w:cs="Palatino Linotype"/>
          <w:iCs/>
          <w:sz w:val="22"/>
          <w:szCs w:val="22"/>
        </w:rPr>
      </w:pPr>
    </w:p>
    <w:p w14:paraId="5AF90822" w14:textId="77777777" w:rsidR="00D1222A" w:rsidRPr="00633419" w:rsidRDefault="00D1222A" w:rsidP="000F3AB5">
      <w:pPr>
        <w:pStyle w:val="Ttulo2"/>
        <w:spacing w:before="0" w:after="0" w:line="360" w:lineRule="auto"/>
        <w:contextualSpacing/>
        <w:rPr>
          <w:rFonts w:ascii="Palatino Linotype" w:hAnsi="Palatino Linotype"/>
          <w:b/>
          <w:bCs/>
          <w:color w:val="auto"/>
          <w:sz w:val="22"/>
          <w:szCs w:val="22"/>
        </w:rPr>
      </w:pPr>
      <w:bookmarkStart w:id="7" w:name="_Toc221203749"/>
      <w:r w:rsidRPr="00633419">
        <w:rPr>
          <w:rFonts w:ascii="Palatino Linotype" w:hAnsi="Palatino Linotype"/>
          <w:b/>
          <w:bCs/>
          <w:color w:val="auto"/>
          <w:sz w:val="22"/>
          <w:szCs w:val="22"/>
        </w:rPr>
        <w:t>IV. Trámite del Recurso de Revisión ante este Instituto</w:t>
      </w:r>
      <w:bookmarkEnd w:id="7"/>
    </w:p>
    <w:p w14:paraId="1EB9FA30" w14:textId="77777777" w:rsidR="00D1222A" w:rsidRDefault="00D1222A" w:rsidP="000F3AB5">
      <w:pPr>
        <w:spacing w:line="360" w:lineRule="auto"/>
        <w:contextualSpacing/>
        <w:jc w:val="both"/>
        <w:rPr>
          <w:rFonts w:ascii="Palatino Linotype" w:eastAsia="Palatino Linotype" w:hAnsi="Palatino Linotype" w:cs="Palatino Linotype"/>
          <w:b/>
          <w:sz w:val="22"/>
          <w:szCs w:val="22"/>
        </w:rPr>
      </w:pPr>
    </w:p>
    <w:p w14:paraId="5FBFC440" w14:textId="70B975C6" w:rsidR="00D1222A" w:rsidRDefault="00D1222A" w:rsidP="000F3AB5">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a) Turno del Recurso de Revisión. </w:t>
      </w:r>
      <w:r>
        <w:rPr>
          <w:rFonts w:ascii="Palatino Linotype" w:eastAsia="Palatino Linotype" w:hAnsi="Palatino Linotype" w:cs="Palatino Linotype"/>
          <w:sz w:val="22"/>
          <w:szCs w:val="22"/>
        </w:rPr>
        <w:t xml:space="preserve">El </w:t>
      </w:r>
      <w:r w:rsidR="00EF5DF9">
        <w:rPr>
          <w:rFonts w:ascii="Palatino Linotype" w:eastAsia="Palatino Linotype" w:hAnsi="Palatino Linotype" w:cs="Palatino Linotype"/>
          <w:sz w:val="22"/>
          <w:szCs w:val="22"/>
        </w:rPr>
        <w:t xml:space="preserve">trece de abril </w:t>
      </w:r>
      <w:r>
        <w:rPr>
          <w:rFonts w:ascii="Palatino Linotype" w:eastAsia="Palatino Linotype" w:hAnsi="Palatino Linotype" w:cs="Palatino Linotype"/>
          <w:sz w:val="22"/>
          <w:szCs w:val="22"/>
        </w:rPr>
        <w:t xml:space="preserve">de dos mil veinticinco, el SAIMEX, asignó el número de expediente </w:t>
      </w:r>
      <w:r>
        <w:rPr>
          <w:rFonts w:ascii="Palatino Linotype" w:eastAsia="Palatino Linotype" w:hAnsi="Palatino Linotype" w:cs="Palatino Linotype"/>
          <w:b/>
          <w:sz w:val="22"/>
          <w:szCs w:val="22"/>
        </w:rPr>
        <w:t>0</w:t>
      </w:r>
      <w:r w:rsidR="00EF5DF9">
        <w:rPr>
          <w:rFonts w:ascii="Palatino Linotype" w:eastAsia="Palatino Linotype" w:hAnsi="Palatino Linotype" w:cs="Palatino Linotype"/>
          <w:b/>
          <w:sz w:val="22"/>
          <w:szCs w:val="22"/>
        </w:rPr>
        <w:t>4426</w:t>
      </w:r>
      <w:r>
        <w:rPr>
          <w:rFonts w:ascii="Palatino Linotype" w:eastAsia="Palatino Linotype" w:hAnsi="Palatino Linotype" w:cs="Palatino Linotype"/>
          <w:b/>
          <w:sz w:val="22"/>
          <w:szCs w:val="22"/>
        </w:rPr>
        <w:t>/INFOEM/IP/RR/2025</w:t>
      </w:r>
      <w:r>
        <w:rPr>
          <w:rFonts w:ascii="Palatino Linotype" w:eastAsia="Palatino Linotype" w:hAnsi="Palatino Linotype" w:cs="Palatino Linotype"/>
          <w:sz w:val="22"/>
          <w:szCs w:val="22"/>
        </w:rPr>
        <w:t xml:space="preserve"> al medio de impugnación que nos ocupa, con base en el sistema aprobado por el Pleno de este Organismo Garante y lo turnó al Comisionado </w:t>
      </w:r>
      <w:r>
        <w:rPr>
          <w:rFonts w:ascii="Palatino Linotype" w:eastAsia="Palatino Linotype" w:hAnsi="Palatino Linotype" w:cs="Palatino Linotype"/>
          <w:b/>
          <w:sz w:val="22"/>
          <w:szCs w:val="22"/>
        </w:rPr>
        <w:t>Luis Gustavo Parra Noriega</w:t>
      </w:r>
      <w:r>
        <w:rPr>
          <w:rFonts w:ascii="Palatino Linotype" w:eastAsia="Palatino Linotype" w:hAnsi="Palatino Linotype" w:cs="Palatino Linotype"/>
          <w:sz w:val="22"/>
          <w:szCs w:val="22"/>
        </w:rPr>
        <w:t>, para los efectos del artículo 185, fracción I, de la Ley de Transparencia y Acceso a la Información Pública del Estado de México y Municipios.</w:t>
      </w:r>
    </w:p>
    <w:p w14:paraId="5AD8A9A9" w14:textId="77777777" w:rsidR="00D1222A" w:rsidRDefault="00D1222A" w:rsidP="000F3AB5">
      <w:pPr>
        <w:spacing w:line="360" w:lineRule="auto"/>
        <w:contextualSpacing/>
        <w:jc w:val="both"/>
        <w:rPr>
          <w:rFonts w:ascii="Palatino Linotype" w:eastAsia="Palatino Linotype" w:hAnsi="Palatino Linotype" w:cs="Palatino Linotype"/>
          <w:b/>
          <w:sz w:val="22"/>
          <w:szCs w:val="22"/>
        </w:rPr>
      </w:pPr>
    </w:p>
    <w:p w14:paraId="44F18D23" w14:textId="21DA293B" w:rsidR="00D1222A" w:rsidRDefault="00D1222A" w:rsidP="000F3AB5">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b) Admisión del Recurso de Revisión. </w:t>
      </w:r>
      <w:r>
        <w:rPr>
          <w:rFonts w:ascii="Palatino Linotype" w:eastAsia="Palatino Linotype" w:hAnsi="Palatino Linotype" w:cs="Palatino Linotype"/>
          <w:sz w:val="22"/>
          <w:szCs w:val="22"/>
        </w:rPr>
        <w:t xml:space="preserve">El </w:t>
      </w:r>
      <w:r w:rsidR="00EF5DF9">
        <w:rPr>
          <w:rFonts w:ascii="Palatino Linotype" w:eastAsia="Palatino Linotype" w:hAnsi="Palatino Linotype" w:cs="Palatino Linotype"/>
          <w:sz w:val="22"/>
          <w:szCs w:val="22"/>
        </w:rPr>
        <w:t>veinti</w:t>
      </w:r>
      <w:r>
        <w:rPr>
          <w:rFonts w:ascii="Palatino Linotype" w:eastAsia="Palatino Linotype" w:hAnsi="Palatino Linotype" w:cs="Palatino Linotype"/>
          <w:sz w:val="22"/>
          <w:szCs w:val="22"/>
        </w:rPr>
        <w:t xml:space="preserve">cuatro de </w:t>
      </w:r>
      <w:r w:rsidR="00EF5DF9">
        <w:rPr>
          <w:rFonts w:ascii="Palatino Linotype" w:eastAsia="Palatino Linotype" w:hAnsi="Palatino Linotype" w:cs="Palatino Linotype"/>
          <w:sz w:val="22"/>
          <w:szCs w:val="22"/>
        </w:rPr>
        <w:t xml:space="preserve">abril </w:t>
      </w:r>
      <w:r>
        <w:rPr>
          <w:rFonts w:ascii="Palatino Linotype" w:eastAsia="Palatino Linotype" w:hAnsi="Palatino Linotype" w:cs="Palatino Linotype"/>
          <w:sz w:val="22"/>
          <w:szCs w:val="22"/>
        </w:rPr>
        <w:t xml:space="preserve">de dos mil veinticinco,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partes el </w:t>
      </w:r>
      <w:r w:rsidR="00EF5DF9">
        <w:rPr>
          <w:rFonts w:ascii="Palatino Linotype" w:eastAsia="Palatino Linotype" w:hAnsi="Palatino Linotype" w:cs="Palatino Linotype"/>
          <w:sz w:val="22"/>
          <w:szCs w:val="22"/>
        </w:rPr>
        <w:t>veinticinco de dicho mes y año</w:t>
      </w:r>
      <w:r>
        <w:rPr>
          <w:rFonts w:ascii="Palatino Linotype" w:eastAsia="Palatino Linotype" w:hAnsi="Palatino Linotype" w:cs="Palatino Linotype"/>
          <w:sz w:val="22"/>
          <w:szCs w:val="22"/>
        </w:rPr>
        <w:t>, a través del SAIMEX, en el que se les otorgó un plazo de siete días hábiles posteriores a la misma, para que manifestaran lo que a su derecho conviniera y formularan alegatos.</w:t>
      </w:r>
    </w:p>
    <w:p w14:paraId="01C06244" w14:textId="77777777" w:rsidR="00D1222A" w:rsidRDefault="00D1222A" w:rsidP="000F3AB5">
      <w:pPr>
        <w:spacing w:line="360" w:lineRule="auto"/>
        <w:contextualSpacing/>
        <w:jc w:val="both"/>
        <w:rPr>
          <w:rFonts w:ascii="Palatino Linotype" w:eastAsia="Palatino Linotype" w:hAnsi="Palatino Linotype" w:cs="Palatino Linotype"/>
          <w:sz w:val="22"/>
          <w:szCs w:val="22"/>
        </w:rPr>
      </w:pPr>
    </w:p>
    <w:p w14:paraId="4C86896B" w14:textId="77777777" w:rsidR="00D1222A" w:rsidRDefault="00D1222A" w:rsidP="000F3AB5">
      <w:pPr>
        <w:spacing w:line="360" w:lineRule="auto"/>
        <w:contextualSpacing/>
        <w:jc w:val="both"/>
        <w:rPr>
          <w:rFonts w:ascii="Palatino Linotype" w:eastAsia="Palatino Linotype" w:hAnsi="Palatino Linotype" w:cs="Palatino Linotype"/>
          <w:b/>
          <w:color w:val="000000"/>
          <w:sz w:val="22"/>
          <w:szCs w:val="22"/>
        </w:rPr>
      </w:pPr>
      <w:bookmarkStart w:id="8" w:name="_Hlk219236574"/>
      <w:r>
        <w:rPr>
          <w:rFonts w:ascii="Palatino Linotype" w:eastAsia="Palatino Linotype" w:hAnsi="Palatino Linotype" w:cs="Palatino Linotype"/>
          <w:b/>
          <w:sz w:val="22"/>
          <w:szCs w:val="22"/>
        </w:rPr>
        <w:t xml:space="preserve">c) Informe Justificado o Manifestaciones. </w:t>
      </w:r>
      <w:r>
        <w:rPr>
          <w:rFonts w:ascii="Palatino Linotype" w:eastAsia="Palatino Linotype" w:hAnsi="Palatino Linotype" w:cs="Palatino Linotype"/>
          <w:bCs/>
          <w:sz w:val="22"/>
          <w:szCs w:val="22"/>
        </w:rPr>
        <w:t>Las partes fueron omisas en realizar manifestaciones o alegatos.</w:t>
      </w:r>
      <w:r>
        <w:rPr>
          <w:rFonts w:ascii="Palatino Linotype" w:eastAsia="Palatino Linotype" w:hAnsi="Palatino Linotype" w:cs="Palatino Linotype"/>
          <w:b/>
          <w:sz w:val="22"/>
          <w:szCs w:val="22"/>
        </w:rPr>
        <w:t xml:space="preserve"> </w:t>
      </w:r>
      <w:bookmarkEnd w:id="8"/>
    </w:p>
    <w:p w14:paraId="6052A8FC" w14:textId="77777777" w:rsidR="00D1222A" w:rsidRDefault="00D1222A" w:rsidP="000F3AB5">
      <w:pPr>
        <w:spacing w:line="360" w:lineRule="auto"/>
        <w:contextualSpacing/>
        <w:jc w:val="both"/>
        <w:rPr>
          <w:rFonts w:ascii="Palatino Linotype" w:eastAsia="Palatino Linotype" w:hAnsi="Palatino Linotype" w:cs="Palatino Linotype"/>
          <w:b/>
          <w:sz w:val="22"/>
          <w:szCs w:val="22"/>
        </w:rPr>
      </w:pPr>
    </w:p>
    <w:p w14:paraId="5E29B798" w14:textId="20110B19" w:rsidR="00D1222A" w:rsidRDefault="00D1222A" w:rsidP="000F3AB5">
      <w:pPr>
        <w:spacing w:line="360" w:lineRule="auto"/>
        <w:contextualSpacing/>
        <w:jc w:val="both"/>
        <w:rPr>
          <w:rFonts w:ascii="Palatino Linotype" w:eastAsia="Palatino Linotype" w:hAnsi="Palatino Linotype" w:cs="Palatino Linotype"/>
          <w:b/>
          <w:sz w:val="22"/>
          <w:szCs w:val="22"/>
        </w:rPr>
      </w:pPr>
      <w:bookmarkStart w:id="9" w:name="_heading=h.9qpj1ejz85lp" w:colFirst="0" w:colLast="0"/>
      <w:bookmarkEnd w:id="9"/>
      <w:r>
        <w:rPr>
          <w:rFonts w:ascii="Palatino Linotype" w:eastAsia="Palatino Linotype" w:hAnsi="Palatino Linotype" w:cs="Palatino Linotype"/>
          <w:b/>
          <w:sz w:val="22"/>
          <w:szCs w:val="22"/>
        </w:rPr>
        <w:t xml:space="preserve">e) Ampliación de plazo para resolver. </w:t>
      </w:r>
      <w:r>
        <w:rPr>
          <w:rFonts w:ascii="Palatino Linotype" w:eastAsia="Palatino Linotype" w:hAnsi="Palatino Linotype" w:cs="Palatino Linotype"/>
          <w:sz w:val="22"/>
          <w:szCs w:val="22"/>
        </w:rPr>
        <w:t xml:space="preserve">El </w:t>
      </w:r>
      <w:r w:rsidR="00EF5DF9">
        <w:rPr>
          <w:rFonts w:ascii="Palatino Linotype" w:eastAsia="Palatino Linotype" w:hAnsi="Palatino Linotype" w:cs="Palatino Linotype"/>
          <w:sz w:val="22"/>
          <w:szCs w:val="22"/>
        </w:rPr>
        <w:t xml:space="preserve">trece </w:t>
      </w:r>
      <w:r>
        <w:rPr>
          <w:rFonts w:ascii="Palatino Linotype" w:eastAsia="Palatino Linotype" w:hAnsi="Palatino Linotype" w:cs="Palatino Linotype"/>
          <w:sz w:val="22"/>
          <w:szCs w:val="22"/>
        </w:rPr>
        <w:t xml:space="preserve">de enero de dos mil veinticinco, el Comisionado Ponente, con fundamento en lo dispuesto por el artículo 181, párrafo tercero, de la Ley de Transparencia y Acceso a la Información Pública del Estado de México y </w:t>
      </w:r>
      <w:r>
        <w:rPr>
          <w:rFonts w:ascii="Palatino Linotype" w:eastAsia="Palatino Linotype" w:hAnsi="Palatino Linotype" w:cs="Palatino Linotype"/>
          <w:sz w:val="22"/>
          <w:szCs w:val="22"/>
        </w:rPr>
        <w:lastRenderedPageBreak/>
        <w:t>Municipios, acordó ampliar por un periodo de quince días hábiles, el plazo para resolver el Recurso de Revisión que nos ocupa; acto que fue notificado a las partes, mediante el Sistema de Acceso a la Información Mexiquense (SAIMEX), el mismo día.</w:t>
      </w:r>
    </w:p>
    <w:p w14:paraId="01751937" w14:textId="77777777" w:rsidR="00D1222A" w:rsidRDefault="00D1222A" w:rsidP="000F3AB5">
      <w:pPr>
        <w:spacing w:line="360" w:lineRule="auto"/>
        <w:contextualSpacing/>
        <w:jc w:val="both"/>
        <w:rPr>
          <w:rFonts w:ascii="Palatino Linotype" w:eastAsia="Palatino Linotype" w:hAnsi="Palatino Linotype" w:cs="Palatino Linotype"/>
          <w:b/>
          <w:sz w:val="22"/>
          <w:szCs w:val="22"/>
        </w:rPr>
      </w:pPr>
    </w:p>
    <w:p w14:paraId="0455020A" w14:textId="11B865CD" w:rsidR="00D1222A" w:rsidRDefault="00D1222A" w:rsidP="000F3AB5">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f) Cierre de instrucción.</w:t>
      </w:r>
      <w:r>
        <w:rPr>
          <w:rFonts w:ascii="Palatino Linotype" w:eastAsia="Palatino Linotype" w:hAnsi="Palatino Linotype" w:cs="Palatino Linotype"/>
          <w:sz w:val="22"/>
          <w:szCs w:val="22"/>
        </w:rPr>
        <w:t xml:space="preserve"> El </w:t>
      </w:r>
      <w:r w:rsidR="00FF6F46">
        <w:rPr>
          <w:rFonts w:ascii="Palatino Linotype" w:eastAsia="Palatino Linotype" w:hAnsi="Palatino Linotype" w:cs="Palatino Linotype"/>
          <w:sz w:val="22"/>
          <w:szCs w:val="22"/>
        </w:rPr>
        <w:t xml:space="preserve">cuatro </w:t>
      </w:r>
      <w:r>
        <w:rPr>
          <w:rFonts w:ascii="Palatino Linotype" w:eastAsia="Palatino Linotype" w:hAnsi="Palatino Linotype" w:cs="Palatino Linotype"/>
          <w:sz w:val="22"/>
          <w:szCs w:val="22"/>
        </w:rPr>
        <w:t>de febrero de dos mil veintiséis,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SAIMEX, el mismo día.</w:t>
      </w:r>
    </w:p>
    <w:p w14:paraId="4C3BEFCF" w14:textId="77777777" w:rsidR="00D1222A" w:rsidRDefault="00D1222A" w:rsidP="000F3AB5">
      <w:pPr>
        <w:spacing w:line="360" w:lineRule="auto"/>
        <w:contextualSpacing/>
        <w:jc w:val="both"/>
        <w:rPr>
          <w:rFonts w:ascii="Palatino Linotype" w:eastAsia="Palatino Linotype" w:hAnsi="Palatino Linotype" w:cs="Palatino Linotype"/>
          <w:b/>
          <w:sz w:val="22"/>
          <w:szCs w:val="22"/>
        </w:rPr>
      </w:pPr>
    </w:p>
    <w:p w14:paraId="326BA3B0" w14:textId="77777777" w:rsidR="00D1222A" w:rsidRDefault="00D1222A" w:rsidP="000F3AB5">
      <w:pPr>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6673561A" w14:textId="77777777" w:rsidR="00D1222A" w:rsidRDefault="00D1222A" w:rsidP="000F3AB5">
      <w:pPr>
        <w:spacing w:line="360" w:lineRule="auto"/>
        <w:contextualSpacing/>
      </w:pPr>
    </w:p>
    <w:p w14:paraId="71BB0201" w14:textId="77777777" w:rsidR="00D1222A" w:rsidRDefault="00D1222A" w:rsidP="000F3AB5">
      <w:pPr>
        <w:pStyle w:val="Ttulo1"/>
        <w:spacing w:before="0" w:after="0" w:line="360" w:lineRule="auto"/>
        <w:contextualSpacing/>
        <w:jc w:val="center"/>
        <w:rPr>
          <w:rFonts w:ascii="Palatino Linotype" w:eastAsia="Palatino Linotype" w:hAnsi="Palatino Linotype" w:cs="Palatino Linotype"/>
          <w:b/>
          <w:color w:val="000000"/>
          <w:sz w:val="22"/>
          <w:szCs w:val="22"/>
        </w:rPr>
      </w:pPr>
      <w:bookmarkStart w:id="10" w:name="_Toc221203750"/>
      <w:r>
        <w:rPr>
          <w:rFonts w:ascii="Palatino Linotype" w:eastAsia="Palatino Linotype" w:hAnsi="Palatino Linotype" w:cs="Palatino Linotype"/>
          <w:b/>
          <w:color w:val="000000"/>
          <w:sz w:val="22"/>
          <w:szCs w:val="22"/>
        </w:rPr>
        <w:t>C O N S I D E R A N D O S</w:t>
      </w:r>
      <w:bookmarkEnd w:id="10"/>
    </w:p>
    <w:p w14:paraId="2E48C30C" w14:textId="77777777" w:rsidR="00D1222A" w:rsidRDefault="00D1222A" w:rsidP="000F3AB5">
      <w:pPr>
        <w:spacing w:line="360" w:lineRule="auto"/>
        <w:contextualSpacing/>
      </w:pPr>
    </w:p>
    <w:p w14:paraId="386F5F61" w14:textId="77777777" w:rsidR="00D1222A" w:rsidRDefault="00D1222A" w:rsidP="000F3AB5">
      <w:pPr>
        <w:pStyle w:val="Ttulo2"/>
        <w:spacing w:before="0" w:after="0" w:line="360" w:lineRule="auto"/>
        <w:contextualSpacing/>
        <w:rPr>
          <w:rFonts w:ascii="Palatino Linotype" w:eastAsia="Palatino Linotype" w:hAnsi="Palatino Linotype" w:cs="Palatino Linotype"/>
          <w:b/>
          <w:color w:val="000000"/>
          <w:sz w:val="22"/>
          <w:szCs w:val="22"/>
        </w:rPr>
      </w:pPr>
      <w:bookmarkStart w:id="11" w:name="_Toc221203751"/>
      <w:r>
        <w:rPr>
          <w:rFonts w:ascii="Palatino Linotype" w:eastAsia="Palatino Linotype" w:hAnsi="Palatino Linotype" w:cs="Palatino Linotype"/>
          <w:b/>
          <w:color w:val="000000"/>
          <w:sz w:val="22"/>
          <w:szCs w:val="22"/>
        </w:rPr>
        <w:t>PRIMERO. Competencia</w:t>
      </w:r>
      <w:bookmarkEnd w:id="11"/>
    </w:p>
    <w:p w14:paraId="23AAD2AC" w14:textId="77777777" w:rsidR="00D1222A" w:rsidRDefault="00D1222A" w:rsidP="000F3AB5">
      <w:pPr>
        <w:spacing w:line="360" w:lineRule="auto"/>
        <w:contextualSpacing/>
      </w:pPr>
    </w:p>
    <w:p w14:paraId="6B60E06E" w14:textId="77777777" w:rsidR="00D1222A" w:rsidRDefault="00D1222A" w:rsidP="000F3AB5">
      <w:pPr>
        <w:spacing w:line="360" w:lineRule="auto"/>
        <w:contextualSpacing/>
        <w:jc w:val="both"/>
        <w:rPr>
          <w:rFonts w:ascii="Palatino Linotype" w:eastAsia="Palatino Linotype" w:hAnsi="Palatino Linotype" w:cs="Palatino Linotype"/>
          <w:sz w:val="22"/>
          <w:szCs w:val="22"/>
        </w:rPr>
      </w:pPr>
      <w:r w:rsidRPr="0069652E">
        <w:rPr>
          <w:rFonts w:ascii="Palatino Linotype" w:eastAsia="Palatino Linotype" w:hAnsi="Palatino Linotype" w:cs="Palatino Linotype"/>
          <w:sz w:val="22"/>
          <w:szCs w:val="22"/>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w:t>
      </w:r>
      <w:bookmarkStart w:id="12" w:name="_Hlk214613917"/>
      <w:r w:rsidRPr="0069652E">
        <w:rPr>
          <w:rFonts w:ascii="Palatino Linotype" w:eastAsia="Palatino Linotype" w:hAnsi="Palatino Linotype" w:cs="Palatino Linotype"/>
          <w:sz w:val="22"/>
          <w:szCs w:val="22"/>
        </w:rPr>
        <w:t xml:space="preserve">párrafos cuadragésimo </w:t>
      </w:r>
      <w:r>
        <w:rPr>
          <w:rFonts w:ascii="Palatino Linotype" w:eastAsia="Palatino Linotype" w:hAnsi="Palatino Linotype" w:cs="Palatino Linotype"/>
          <w:sz w:val="22"/>
          <w:szCs w:val="22"/>
        </w:rPr>
        <w:t>cuarto</w:t>
      </w:r>
      <w:r w:rsidRPr="0069652E">
        <w:rPr>
          <w:rFonts w:ascii="Palatino Linotype" w:eastAsia="Palatino Linotype" w:hAnsi="Palatino Linotype" w:cs="Palatino Linotype"/>
          <w:sz w:val="22"/>
          <w:szCs w:val="22"/>
        </w:rPr>
        <w:t xml:space="preserve">, cuadragésimo </w:t>
      </w:r>
      <w:r>
        <w:rPr>
          <w:rFonts w:ascii="Palatino Linotype" w:eastAsia="Palatino Linotype" w:hAnsi="Palatino Linotype" w:cs="Palatino Linotype"/>
          <w:sz w:val="22"/>
          <w:szCs w:val="22"/>
        </w:rPr>
        <w:t xml:space="preserve">quinto </w:t>
      </w:r>
      <w:r w:rsidRPr="0069652E">
        <w:rPr>
          <w:rFonts w:ascii="Palatino Linotype" w:eastAsia="Palatino Linotype" w:hAnsi="Palatino Linotype" w:cs="Palatino Linotype"/>
          <w:sz w:val="22"/>
          <w:szCs w:val="22"/>
        </w:rPr>
        <w:t xml:space="preserve">y cuadragésimo </w:t>
      </w:r>
      <w:r>
        <w:rPr>
          <w:rFonts w:ascii="Palatino Linotype" w:eastAsia="Palatino Linotype" w:hAnsi="Palatino Linotype" w:cs="Palatino Linotype"/>
          <w:sz w:val="22"/>
          <w:szCs w:val="22"/>
        </w:rPr>
        <w:t>sexto</w:t>
      </w:r>
      <w:bookmarkEnd w:id="12"/>
      <w:r w:rsidRPr="0069652E">
        <w:rPr>
          <w:rFonts w:ascii="Palatino Linotype" w:eastAsia="Palatino Linotype" w:hAnsi="Palatino Linotype" w:cs="Palatino Linotype"/>
          <w:sz w:val="22"/>
          <w:szCs w:val="22"/>
        </w:rPr>
        <w:t xml:space="preserve">,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w:t>
      </w:r>
      <w:r w:rsidRPr="0069652E">
        <w:rPr>
          <w:rFonts w:ascii="Palatino Linotype" w:eastAsia="Palatino Linotype" w:hAnsi="Palatino Linotype" w:cs="Palatino Linotype"/>
          <w:sz w:val="22"/>
          <w:szCs w:val="22"/>
        </w:rPr>
        <w:lastRenderedPageBreak/>
        <w:t>del Estado de México y Municipios; 7°, 9°, fracciones I y XXIII y 11 del Reglamento Interior del Instituto de Transparencia, Acceso a la Información Pública y Protección de Datos Personales del Estado de México y Municipios.</w:t>
      </w:r>
    </w:p>
    <w:p w14:paraId="7E8ED4E4" w14:textId="77777777" w:rsidR="00D1222A" w:rsidRDefault="00D1222A" w:rsidP="000F3AB5">
      <w:pPr>
        <w:spacing w:line="360" w:lineRule="auto"/>
        <w:contextualSpacing/>
        <w:jc w:val="both"/>
        <w:rPr>
          <w:rFonts w:ascii="Palatino Linotype" w:eastAsia="Palatino Linotype" w:hAnsi="Palatino Linotype" w:cs="Palatino Linotype"/>
          <w:color w:val="000000"/>
          <w:sz w:val="22"/>
          <w:szCs w:val="22"/>
        </w:rPr>
      </w:pPr>
    </w:p>
    <w:p w14:paraId="488A35A0" w14:textId="77777777" w:rsidR="00D1222A" w:rsidRDefault="00D1222A" w:rsidP="000F3AB5">
      <w:pPr>
        <w:pStyle w:val="Ttulo2"/>
        <w:spacing w:before="0" w:after="0" w:line="360" w:lineRule="auto"/>
        <w:contextualSpacing/>
        <w:rPr>
          <w:rFonts w:ascii="Palatino Linotype" w:eastAsia="Palatino Linotype" w:hAnsi="Palatino Linotype" w:cs="Palatino Linotype"/>
          <w:b/>
          <w:color w:val="000000"/>
          <w:sz w:val="22"/>
          <w:szCs w:val="22"/>
        </w:rPr>
      </w:pPr>
      <w:bookmarkStart w:id="13" w:name="_Toc221203752"/>
      <w:r>
        <w:rPr>
          <w:rFonts w:ascii="Palatino Linotype" w:eastAsia="Palatino Linotype" w:hAnsi="Palatino Linotype" w:cs="Palatino Linotype"/>
          <w:b/>
          <w:color w:val="000000"/>
          <w:sz w:val="22"/>
          <w:szCs w:val="22"/>
        </w:rPr>
        <w:t>SEGUNDO. Causales de improcedencia y sobreseimiento</w:t>
      </w:r>
      <w:bookmarkEnd w:id="13"/>
    </w:p>
    <w:p w14:paraId="79380C45" w14:textId="77777777" w:rsidR="00D1222A" w:rsidRDefault="00D1222A" w:rsidP="000F3AB5">
      <w:pPr>
        <w:spacing w:line="360" w:lineRule="auto"/>
        <w:contextualSpacing/>
        <w:jc w:val="both"/>
        <w:rPr>
          <w:rFonts w:ascii="Palatino Linotype" w:eastAsia="Palatino Linotype" w:hAnsi="Palatino Linotype" w:cs="Palatino Linotype"/>
          <w:b/>
          <w:sz w:val="22"/>
          <w:szCs w:val="22"/>
        </w:rPr>
      </w:pPr>
    </w:p>
    <w:p w14:paraId="763BA867" w14:textId="77777777" w:rsidR="00D1222A" w:rsidRPr="00495A4C" w:rsidRDefault="00D1222A" w:rsidP="000F3AB5">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De las constancias que forma parte del Recurso de Revisión que se analiza, se advierte que previo al estudio del fondo de la </w:t>
      </w:r>
      <w:r>
        <w:rPr>
          <w:rFonts w:ascii="Palatino Linotype" w:eastAsia="Palatino Linotype" w:hAnsi="Palatino Linotype" w:cs="Palatino Linotype"/>
          <w:i/>
          <w:sz w:val="22"/>
          <w:szCs w:val="22"/>
        </w:rPr>
        <w:t>litis</w:t>
      </w:r>
      <w:r>
        <w:rPr>
          <w:rFonts w:ascii="Palatino Linotype" w:eastAsia="Palatino Linotype" w:hAnsi="Palatino Linotype" w:cs="Palatino Linotype"/>
          <w:sz w:val="22"/>
          <w:szCs w:val="22"/>
        </w:rPr>
        <w:t>, es necesario estudiar las causales de improcedencia y sobreseimiento que se adviertan, para determinar lo que en Derecho proceda.</w:t>
      </w:r>
    </w:p>
    <w:p w14:paraId="69B862A3" w14:textId="77777777" w:rsidR="00D1222A" w:rsidRDefault="00D1222A" w:rsidP="000F3AB5">
      <w:pPr>
        <w:spacing w:line="360" w:lineRule="auto"/>
        <w:contextualSpacing/>
        <w:jc w:val="both"/>
        <w:rPr>
          <w:rFonts w:ascii="Palatino Linotype" w:eastAsia="Palatino Linotype" w:hAnsi="Palatino Linotype" w:cs="Palatino Linotype"/>
          <w:b/>
          <w:sz w:val="22"/>
          <w:szCs w:val="22"/>
        </w:rPr>
      </w:pPr>
    </w:p>
    <w:p w14:paraId="61AD04B8" w14:textId="77777777" w:rsidR="00D1222A" w:rsidRDefault="00D1222A" w:rsidP="000F3AB5">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Causales de improcedencia</w:t>
      </w:r>
    </w:p>
    <w:p w14:paraId="459AEA33" w14:textId="77777777" w:rsidR="00D1222A" w:rsidRDefault="00D1222A" w:rsidP="000F3AB5">
      <w:pPr>
        <w:spacing w:line="360" w:lineRule="auto"/>
        <w:contextualSpacing/>
        <w:jc w:val="both"/>
        <w:rPr>
          <w:rFonts w:ascii="Palatino Linotype" w:eastAsia="Palatino Linotype" w:hAnsi="Palatino Linotype" w:cs="Palatino Linotype"/>
          <w:sz w:val="22"/>
          <w:szCs w:val="22"/>
        </w:rPr>
      </w:pPr>
    </w:p>
    <w:p w14:paraId="63177AD2" w14:textId="77777777" w:rsidR="00D1222A" w:rsidRDefault="00D1222A" w:rsidP="000F3AB5">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6CFB165" w14:textId="77777777" w:rsidR="00D1222A" w:rsidRDefault="00D1222A" w:rsidP="000F3AB5">
      <w:pPr>
        <w:spacing w:line="360" w:lineRule="auto"/>
        <w:contextualSpacing/>
        <w:jc w:val="both"/>
        <w:rPr>
          <w:rFonts w:ascii="Palatino Linotype" w:eastAsia="Palatino Linotype" w:hAnsi="Palatino Linotype" w:cs="Palatino Linotype"/>
          <w:sz w:val="22"/>
          <w:szCs w:val="22"/>
        </w:rPr>
      </w:pPr>
    </w:p>
    <w:p w14:paraId="38D520C5" w14:textId="77777777" w:rsidR="00D1222A" w:rsidRDefault="00D1222A" w:rsidP="000F3AB5">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w:t>
      </w:r>
      <w:r>
        <w:rPr>
          <w:rFonts w:ascii="Palatino Linotype" w:eastAsia="Palatino Linotype" w:hAnsi="Palatino Linotype" w:cs="Palatino Linotype"/>
          <w:sz w:val="22"/>
          <w:szCs w:val="22"/>
        </w:rPr>
        <w:lastRenderedPageBreak/>
        <w:t>respuesta no formó parte del agravio; ni se realizó una consulta o ampliación a los alcances del requerimiento informativo.</w:t>
      </w:r>
    </w:p>
    <w:p w14:paraId="6356FE6E" w14:textId="77777777" w:rsidR="00D1222A" w:rsidRDefault="00D1222A" w:rsidP="000F3AB5">
      <w:pPr>
        <w:spacing w:line="360" w:lineRule="auto"/>
        <w:contextualSpacing/>
        <w:jc w:val="both"/>
        <w:rPr>
          <w:rFonts w:ascii="Palatino Linotype" w:eastAsia="Palatino Linotype" w:hAnsi="Palatino Linotype" w:cs="Palatino Linotype"/>
          <w:sz w:val="22"/>
          <w:szCs w:val="22"/>
        </w:rPr>
      </w:pPr>
    </w:p>
    <w:p w14:paraId="1B6BAC23" w14:textId="17640386" w:rsidR="00D1222A" w:rsidRDefault="00D1222A" w:rsidP="000F3AB5">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Asimismo, se actualiza la causal de procedencia del Recurso de Revisión establecida en el artículo 179, fracción </w:t>
      </w:r>
      <w:r w:rsidR="00FF0289">
        <w:rPr>
          <w:rFonts w:ascii="Palatino Linotype" w:eastAsia="Palatino Linotype" w:hAnsi="Palatino Linotype" w:cs="Palatino Linotype"/>
          <w:sz w:val="22"/>
          <w:szCs w:val="22"/>
        </w:rPr>
        <w:t>V</w:t>
      </w:r>
      <w:r>
        <w:rPr>
          <w:rFonts w:ascii="Palatino Linotype" w:eastAsia="Palatino Linotype" w:hAnsi="Palatino Linotype" w:cs="Palatino Linotype"/>
          <w:sz w:val="22"/>
          <w:szCs w:val="22"/>
        </w:rPr>
        <w:t xml:space="preserve">, de la Ley de Transparencia y Acceso a la Información Pública del Estado de México y Municipios, referente a la </w:t>
      </w:r>
      <w:r w:rsidR="00FF0289">
        <w:rPr>
          <w:rFonts w:ascii="Palatino Linotype" w:eastAsia="Palatino Linotype" w:hAnsi="Palatino Linotype" w:cs="Palatino Linotype"/>
          <w:sz w:val="22"/>
          <w:szCs w:val="22"/>
        </w:rPr>
        <w:t xml:space="preserve">entrega de </w:t>
      </w:r>
      <w:r>
        <w:rPr>
          <w:rFonts w:ascii="Palatino Linotype" w:eastAsia="Palatino Linotype" w:hAnsi="Palatino Linotype" w:cs="Palatino Linotype"/>
          <w:sz w:val="22"/>
          <w:szCs w:val="22"/>
        </w:rPr>
        <w:t>información</w:t>
      </w:r>
      <w:r w:rsidR="00FF0289">
        <w:rPr>
          <w:rFonts w:ascii="Palatino Linotype" w:eastAsia="Palatino Linotype" w:hAnsi="Palatino Linotype" w:cs="Palatino Linotype"/>
          <w:sz w:val="22"/>
          <w:szCs w:val="22"/>
        </w:rPr>
        <w:t xml:space="preserve"> incompleta</w:t>
      </w:r>
      <w:r>
        <w:rPr>
          <w:rFonts w:ascii="Palatino Linotype" w:eastAsia="Palatino Linotype" w:hAnsi="Palatino Linotype" w:cs="Palatino Linotype"/>
          <w:sz w:val="22"/>
          <w:szCs w:val="22"/>
        </w:rPr>
        <w:t>.</w:t>
      </w:r>
    </w:p>
    <w:p w14:paraId="0CB77CF4" w14:textId="77777777" w:rsidR="00D1222A" w:rsidRDefault="00D1222A" w:rsidP="000F3AB5">
      <w:pPr>
        <w:spacing w:line="360" w:lineRule="auto"/>
        <w:contextualSpacing/>
        <w:jc w:val="both"/>
        <w:rPr>
          <w:rFonts w:ascii="Palatino Linotype" w:eastAsia="Palatino Linotype" w:hAnsi="Palatino Linotype" w:cs="Palatino Linotype"/>
          <w:sz w:val="22"/>
          <w:szCs w:val="22"/>
        </w:rPr>
      </w:pPr>
    </w:p>
    <w:p w14:paraId="764165FE" w14:textId="77777777" w:rsidR="00D1222A" w:rsidRDefault="00D1222A" w:rsidP="000F3AB5">
      <w:pPr>
        <w:pStyle w:val="Ttulo2"/>
        <w:spacing w:before="0" w:after="0" w:line="360" w:lineRule="auto"/>
        <w:contextualSpacing/>
        <w:rPr>
          <w:rFonts w:ascii="Palatino Linotype" w:eastAsia="Palatino Linotype" w:hAnsi="Palatino Linotype" w:cs="Palatino Linotype"/>
          <w:b/>
          <w:color w:val="000000"/>
          <w:sz w:val="22"/>
          <w:szCs w:val="22"/>
        </w:rPr>
      </w:pPr>
      <w:bookmarkStart w:id="14" w:name="_Toc215679573"/>
      <w:bookmarkStart w:id="15" w:name="_Toc221203753"/>
      <w:r>
        <w:rPr>
          <w:rFonts w:ascii="Palatino Linotype" w:eastAsia="Palatino Linotype" w:hAnsi="Palatino Linotype" w:cs="Palatino Linotype"/>
          <w:b/>
          <w:color w:val="000000"/>
          <w:sz w:val="22"/>
          <w:szCs w:val="22"/>
        </w:rPr>
        <w:t>TERCERO. Determinación de la Controversia</w:t>
      </w:r>
      <w:bookmarkEnd w:id="14"/>
      <w:bookmarkEnd w:id="15"/>
    </w:p>
    <w:p w14:paraId="35859B03" w14:textId="77777777" w:rsidR="00587816" w:rsidRDefault="00587816" w:rsidP="000F3AB5">
      <w:pPr>
        <w:spacing w:line="360" w:lineRule="auto"/>
        <w:contextualSpacing/>
        <w:jc w:val="both"/>
        <w:rPr>
          <w:rFonts w:ascii="Palatino Linotype" w:eastAsia="Palatino Linotype" w:hAnsi="Palatino Linotype" w:cs="Palatino Linotype"/>
          <w:sz w:val="22"/>
          <w:szCs w:val="22"/>
        </w:rPr>
      </w:pPr>
    </w:p>
    <w:p w14:paraId="02F232E3" w14:textId="55C40693" w:rsidR="00587816" w:rsidRPr="00587816" w:rsidRDefault="00D1222A" w:rsidP="000F3AB5">
      <w:pPr>
        <w:spacing w:line="360" w:lineRule="auto"/>
        <w:contextualSpacing/>
        <w:jc w:val="both"/>
        <w:rPr>
          <w:rFonts w:ascii="Palatino Linotype" w:hAnsi="Palatino Linotype"/>
          <w:sz w:val="22"/>
          <w:szCs w:val="22"/>
        </w:rPr>
      </w:pPr>
      <w:r w:rsidRPr="00587816">
        <w:rPr>
          <w:rFonts w:ascii="Palatino Linotype" w:hAnsi="Palatino Linotype" w:cs="Tahoma"/>
          <w:sz w:val="22"/>
          <w:szCs w:val="22"/>
        </w:rPr>
        <w:t xml:space="preserve">Con el objetivo de ilustrar la controversia planteada, resulta conveniente precisar, que una vez realizado el estudio de las constancias que integran el expediente en el que se actúa, se desprende que el Particular requirió </w:t>
      </w:r>
      <w:r w:rsidR="00587816">
        <w:rPr>
          <w:rFonts w:ascii="Palatino Linotype" w:hAnsi="Palatino Linotype"/>
          <w:sz w:val="22"/>
          <w:szCs w:val="22"/>
        </w:rPr>
        <w:t>r</w:t>
      </w:r>
      <w:r w:rsidR="00587816" w:rsidRPr="00587816">
        <w:rPr>
          <w:rFonts w:ascii="Palatino Linotype" w:hAnsi="Palatino Linotype"/>
          <w:sz w:val="22"/>
          <w:szCs w:val="22"/>
        </w:rPr>
        <w:t>especto de las licencias de funcionamiento, permiso o autorización emitidas por el Ayuntamiento de San Martín de las Pirámides para la venta de bebidas alcohólicas, al primero de abril de dos mil veinticinco</w:t>
      </w:r>
      <w:r w:rsidR="00587816">
        <w:rPr>
          <w:rFonts w:ascii="Palatino Linotype" w:hAnsi="Palatino Linotype"/>
          <w:sz w:val="22"/>
          <w:szCs w:val="22"/>
        </w:rPr>
        <w:t>, los documentos que dieran cuenta de lo siguiente:</w:t>
      </w:r>
    </w:p>
    <w:p w14:paraId="3A8266B7" w14:textId="77777777" w:rsidR="00587816" w:rsidRPr="00587816" w:rsidRDefault="00587816" w:rsidP="000F3AB5">
      <w:pPr>
        <w:spacing w:line="360" w:lineRule="auto"/>
        <w:ind w:left="357" w:hanging="357"/>
        <w:contextualSpacing/>
        <w:jc w:val="both"/>
        <w:rPr>
          <w:rFonts w:ascii="Palatino Linotype" w:hAnsi="Palatino Linotype"/>
          <w:sz w:val="22"/>
          <w:szCs w:val="22"/>
        </w:rPr>
      </w:pPr>
    </w:p>
    <w:p w14:paraId="2096F38D" w14:textId="77777777" w:rsidR="00587816" w:rsidRPr="00587816" w:rsidRDefault="00587816" w:rsidP="000F3AB5">
      <w:pPr>
        <w:pStyle w:val="Prrafodelista"/>
        <w:numPr>
          <w:ilvl w:val="0"/>
          <w:numId w:val="4"/>
        </w:numPr>
        <w:spacing w:after="160" w:line="360" w:lineRule="auto"/>
        <w:jc w:val="both"/>
        <w:rPr>
          <w:rFonts w:ascii="Palatino Linotype" w:hAnsi="Palatino Linotype"/>
          <w:sz w:val="22"/>
          <w:szCs w:val="22"/>
        </w:rPr>
      </w:pPr>
      <w:r w:rsidRPr="00587816">
        <w:rPr>
          <w:rFonts w:ascii="Palatino Linotype" w:hAnsi="Palatino Linotype"/>
          <w:sz w:val="22"/>
          <w:szCs w:val="22"/>
        </w:rPr>
        <w:t xml:space="preserve">Resultado de la visita de verificación al establecimiento ubicado en: Casimiro L. Martínez, casi esquina con Boulevard Torrente Piedras Negras, y si cuenta con licencia de funcionamiento. </w:t>
      </w:r>
    </w:p>
    <w:p w14:paraId="5A0A3C34" w14:textId="77777777" w:rsidR="00587816" w:rsidRPr="00587816" w:rsidRDefault="00587816" w:rsidP="000F3AB5">
      <w:pPr>
        <w:pStyle w:val="Prrafodelista"/>
        <w:numPr>
          <w:ilvl w:val="0"/>
          <w:numId w:val="4"/>
        </w:numPr>
        <w:spacing w:after="160" w:line="360" w:lineRule="auto"/>
        <w:jc w:val="both"/>
        <w:rPr>
          <w:rFonts w:ascii="Palatino Linotype" w:hAnsi="Palatino Linotype"/>
          <w:sz w:val="22"/>
          <w:szCs w:val="22"/>
        </w:rPr>
      </w:pPr>
      <w:r w:rsidRPr="00587816">
        <w:rPr>
          <w:rFonts w:ascii="Palatino Linotype" w:hAnsi="Palatino Linotype"/>
          <w:sz w:val="22"/>
          <w:szCs w:val="22"/>
        </w:rPr>
        <w:t>Versión pública de la licencia de funcionamiento, permiso o autorización emitidas.</w:t>
      </w:r>
    </w:p>
    <w:p w14:paraId="55B48898" w14:textId="77777777" w:rsidR="00587816" w:rsidRPr="00587816" w:rsidRDefault="00587816" w:rsidP="000F3AB5">
      <w:pPr>
        <w:pStyle w:val="Prrafodelista"/>
        <w:numPr>
          <w:ilvl w:val="0"/>
          <w:numId w:val="4"/>
        </w:numPr>
        <w:spacing w:after="160" w:line="360" w:lineRule="auto"/>
        <w:jc w:val="both"/>
        <w:rPr>
          <w:rFonts w:ascii="Palatino Linotype" w:hAnsi="Palatino Linotype"/>
          <w:sz w:val="22"/>
          <w:szCs w:val="22"/>
        </w:rPr>
      </w:pPr>
      <w:r w:rsidRPr="00587816">
        <w:rPr>
          <w:rFonts w:ascii="Palatino Linotype" w:hAnsi="Palatino Linotype"/>
          <w:sz w:val="22"/>
          <w:szCs w:val="22"/>
        </w:rPr>
        <w:t xml:space="preserve">Acta de cabildo a través de la cual se aprobó su emisión. </w:t>
      </w:r>
    </w:p>
    <w:p w14:paraId="09E90E62" w14:textId="77777777" w:rsidR="00587816" w:rsidRPr="00587816" w:rsidRDefault="00587816" w:rsidP="000F3AB5">
      <w:pPr>
        <w:pStyle w:val="Prrafodelista"/>
        <w:numPr>
          <w:ilvl w:val="0"/>
          <w:numId w:val="4"/>
        </w:numPr>
        <w:spacing w:after="160" w:line="360" w:lineRule="auto"/>
        <w:jc w:val="both"/>
        <w:rPr>
          <w:rFonts w:ascii="Palatino Linotype" w:hAnsi="Palatino Linotype"/>
          <w:sz w:val="22"/>
          <w:szCs w:val="22"/>
        </w:rPr>
      </w:pPr>
      <w:r w:rsidRPr="00587816">
        <w:rPr>
          <w:rFonts w:ascii="Palatino Linotype" w:hAnsi="Palatino Linotype"/>
          <w:sz w:val="22"/>
          <w:szCs w:val="22"/>
        </w:rPr>
        <w:t>Cuántas visitas de verificación se han efectuado de enero de 2025 a la fecha, a unidades económicas con venta de bebidas alcohólicas.</w:t>
      </w:r>
    </w:p>
    <w:p w14:paraId="4CD96CF0" w14:textId="77777777" w:rsidR="00587816" w:rsidRPr="00587816" w:rsidRDefault="00587816" w:rsidP="000F3AB5">
      <w:pPr>
        <w:pStyle w:val="Prrafodelista"/>
        <w:numPr>
          <w:ilvl w:val="0"/>
          <w:numId w:val="4"/>
        </w:numPr>
        <w:spacing w:after="160" w:line="360" w:lineRule="auto"/>
        <w:jc w:val="both"/>
        <w:rPr>
          <w:rFonts w:ascii="Palatino Linotype" w:hAnsi="Palatino Linotype"/>
          <w:sz w:val="22"/>
          <w:szCs w:val="22"/>
        </w:rPr>
      </w:pPr>
      <w:r w:rsidRPr="00587816">
        <w:rPr>
          <w:rFonts w:ascii="Palatino Linotype" w:hAnsi="Palatino Linotype"/>
          <w:sz w:val="22"/>
          <w:szCs w:val="22"/>
        </w:rPr>
        <w:t xml:space="preserve">Cuántas unidades económicas (puestos) ejercen la actividad comercial en espacios o vías públicas en el municipio de San Martín de las Pirámides. </w:t>
      </w:r>
    </w:p>
    <w:p w14:paraId="4C351AE3" w14:textId="77777777" w:rsidR="00587816" w:rsidRPr="00587816" w:rsidRDefault="00587816" w:rsidP="000F3AB5">
      <w:pPr>
        <w:pStyle w:val="Prrafodelista"/>
        <w:numPr>
          <w:ilvl w:val="0"/>
          <w:numId w:val="4"/>
        </w:numPr>
        <w:spacing w:after="160" w:line="360" w:lineRule="auto"/>
        <w:jc w:val="both"/>
        <w:rPr>
          <w:rFonts w:ascii="Palatino Linotype" w:hAnsi="Palatino Linotype"/>
          <w:sz w:val="22"/>
          <w:szCs w:val="22"/>
        </w:rPr>
      </w:pPr>
      <w:r w:rsidRPr="00587816">
        <w:rPr>
          <w:rFonts w:ascii="Palatino Linotype" w:hAnsi="Palatino Linotype"/>
          <w:sz w:val="22"/>
          <w:szCs w:val="22"/>
        </w:rPr>
        <w:lastRenderedPageBreak/>
        <w:t xml:space="preserve">Cuántas unidades económicas de comercio establecido (locales), ubicadas a lo largo de la avenida 16 de septiembre norte y sur, en el municipio de San Martín de las pirámides (cabecera municipal) y las que invaden las banquetas o aceras. </w:t>
      </w:r>
    </w:p>
    <w:p w14:paraId="2C555F4B" w14:textId="77777777" w:rsidR="00587816" w:rsidRPr="00587816" w:rsidRDefault="00587816" w:rsidP="000F3AB5">
      <w:pPr>
        <w:pStyle w:val="Prrafodelista"/>
        <w:numPr>
          <w:ilvl w:val="0"/>
          <w:numId w:val="4"/>
        </w:numPr>
        <w:spacing w:after="160" w:line="360" w:lineRule="auto"/>
        <w:jc w:val="both"/>
        <w:rPr>
          <w:rFonts w:ascii="Palatino Linotype" w:hAnsi="Palatino Linotype"/>
          <w:sz w:val="22"/>
          <w:szCs w:val="22"/>
        </w:rPr>
      </w:pPr>
      <w:r w:rsidRPr="00587816">
        <w:rPr>
          <w:rFonts w:ascii="Palatino Linotype" w:hAnsi="Palatino Linotype"/>
          <w:sz w:val="22"/>
          <w:szCs w:val="22"/>
        </w:rPr>
        <w:t xml:space="preserve">Cuántas unidades económicas de comercio establecido (locales), ubicadas a lo largo de la avenida Tuxpan, en el municipio de San Martín de las pirámides (cabecera municipal) cuentan con licencia de funcionamiento, permiso o autorización y las que invaden las banquetas o aceras al ejercer su actividad comercial, industrial o de servicios. </w:t>
      </w:r>
    </w:p>
    <w:p w14:paraId="62357824" w14:textId="77777777" w:rsidR="00587816" w:rsidRPr="00587816" w:rsidRDefault="00587816" w:rsidP="000F3AB5">
      <w:pPr>
        <w:pStyle w:val="Prrafodelista"/>
        <w:numPr>
          <w:ilvl w:val="0"/>
          <w:numId w:val="4"/>
        </w:numPr>
        <w:spacing w:after="160" w:line="360" w:lineRule="auto"/>
        <w:jc w:val="both"/>
        <w:rPr>
          <w:rFonts w:ascii="Palatino Linotype" w:hAnsi="Palatino Linotype"/>
          <w:sz w:val="22"/>
          <w:szCs w:val="22"/>
        </w:rPr>
      </w:pPr>
      <w:r w:rsidRPr="00587816">
        <w:rPr>
          <w:rFonts w:ascii="Palatino Linotype" w:hAnsi="Palatino Linotype"/>
          <w:sz w:val="22"/>
          <w:szCs w:val="22"/>
        </w:rPr>
        <w:t xml:space="preserve">Qué acciones de gobierno se están realizando a efecto de combatir al comercio informal. </w:t>
      </w:r>
    </w:p>
    <w:p w14:paraId="384EEA40" w14:textId="77777777" w:rsidR="00587816" w:rsidRPr="00587816" w:rsidRDefault="00587816" w:rsidP="000F3AB5">
      <w:pPr>
        <w:pStyle w:val="Prrafodelista"/>
        <w:numPr>
          <w:ilvl w:val="0"/>
          <w:numId w:val="4"/>
        </w:numPr>
        <w:spacing w:after="160" w:line="360" w:lineRule="auto"/>
        <w:jc w:val="both"/>
        <w:rPr>
          <w:rFonts w:ascii="Palatino Linotype" w:hAnsi="Palatino Linotype"/>
          <w:sz w:val="22"/>
          <w:szCs w:val="22"/>
        </w:rPr>
      </w:pPr>
      <w:r w:rsidRPr="00587816">
        <w:rPr>
          <w:rFonts w:ascii="Palatino Linotype" w:hAnsi="Palatino Linotype"/>
          <w:sz w:val="22"/>
          <w:szCs w:val="22"/>
        </w:rPr>
        <w:t xml:space="preserve">Versión pública de la licencia de funcionamiento, permiso o autorización de los puestos semifijos que ejercen su actividad comercial en los denominados portales (Centro); En caso de no contar con licencia, ¿por qué se les permite el ejercicio de su actividad? </w:t>
      </w:r>
    </w:p>
    <w:p w14:paraId="467D65AD" w14:textId="77777777" w:rsidR="00587816" w:rsidRPr="00587816" w:rsidRDefault="00587816" w:rsidP="000F3AB5">
      <w:pPr>
        <w:pStyle w:val="Prrafodelista"/>
        <w:numPr>
          <w:ilvl w:val="0"/>
          <w:numId w:val="4"/>
        </w:numPr>
        <w:spacing w:after="160" w:line="360" w:lineRule="auto"/>
        <w:jc w:val="both"/>
        <w:rPr>
          <w:rFonts w:ascii="Palatino Linotype" w:hAnsi="Palatino Linotype"/>
          <w:sz w:val="22"/>
          <w:szCs w:val="22"/>
        </w:rPr>
      </w:pPr>
      <w:r w:rsidRPr="00587816">
        <w:rPr>
          <w:rFonts w:ascii="Palatino Linotype" w:hAnsi="Palatino Linotype"/>
          <w:sz w:val="22"/>
          <w:szCs w:val="22"/>
        </w:rPr>
        <w:t>Nombre completo y grado académico del Director de Comercio.</w:t>
      </w:r>
    </w:p>
    <w:p w14:paraId="5FD67722" w14:textId="53B2822D" w:rsidR="00D1222A" w:rsidRDefault="00D1222A" w:rsidP="000F3AB5">
      <w:pPr>
        <w:spacing w:line="360" w:lineRule="auto"/>
        <w:contextualSpacing/>
        <w:jc w:val="both"/>
        <w:rPr>
          <w:rFonts w:ascii="Palatino Linotype" w:hAnsi="Palatino Linotype"/>
          <w:color w:val="000000"/>
          <w:sz w:val="22"/>
          <w:szCs w:val="22"/>
        </w:rPr>
      </w:pPr>
    </w:p>
    <w:p w14:paraId="41A544B8" w14:textId="5726B164" w:rsidR="00D1222A" w:rsidRDefault="00D1222A" w:rsidP="000F3AB5">
      <w:pPr>
        <w:spacing w:line="360" w:lineRule="auto"/>
        <w:contextualSpacing/>
        <w:jc w:val="both"/>
        <w:rPr>
          <w:rFonts w:ascii="Palatino Linotype" w:hAnsi="Palatino Linotype"/>
          <w:color w:val="0D0D0D"/>
          <w:sz w:val="22"/>
          <w:szCs w:val="22"/>
        </w:rPr>
      </w:pPr>
      <w:r w:rsidRPr="00E56C68">
        <w:rPr>
          <w:rFonts w:ascii="Palatino Linotype" w:hAnsi="Palatino Linotype"/>
          <w:color w:val="000000"/>
          <w:sz w:val="22"/>
          <w:szCs w:val="22"/>
        </w:rPr>
        <w:t>En respuesta, el Sujeto Obligado,</w:t>
      </w:r>
      <w:r>
        <w:rPr>
          <w:rFonts w:ascii="Palatino Linotype" w:hAnsi="Palatino Linotype"/>
          <w:color w:val="000000"/>
          <w:sz w:val="22"/>
          <w:szCs w:val="22"/>
        </w:rPr>
        <w:t xml:space="preserve"> a través de la </w:t>
      </w:r>
      <w:r w:rsidR="00587816">
        <w:rPr>
          <w:rFonts w:ascii="Palatino Linotype" w:hAnsi="Palatino Linotype"/>
          <w:color w:val="000000"/>
          <w:sz w:val="22"/>
          <w:szCs w:val="22"/>
        </w:rPr>
        <w:t xml:space="preserve">Dirección de Desarrollo Económico </w:t>
      </w:r>
      <w:r w:rsidR="006D419A">
        <w:rPr>
          <w:rFonts w:ascii="Palatino Linotype" w:hAnsi="Palatino Linotype"/>
          <w:color w:val="000000"/>
          <w:sz w:val="22"/>
          <w:szCs w:val="22"/>
        </w:rPr>
        <w:t>proporcionó una licencia de funcionamiento para la venta de bebidas alcohólicas en versión pública, así como la gaceta por la que se aprobaron los acuerdos relacionados con la aprobación del programa para la instalación y funcionamiento de unidades económicas de bajo riesgo, y por la que se autoriza a la Dirección de Desarrollo Económico la facultad para la firma de renovación y apertura de licencias de funcionamiento de unidades económicas de mediano y alto impacto</w:t>
      </w:r>
      <w:r w:rsidRPr="00E56C68">
        <w:rPr>
          <w:rFonts w:ascii="Palatino Linotype" w:hAnsi="Palatino Linotype" w:cs="Tahoma"/>
          <w:sz w:val="22"/>
          <w:szCs w:val="22"/>
        </w:rPr>
        <w:t>;</w:t>
      </w:r>
      <w:r w:rsidRPr="00E56C68">
        <w:rPr>
          <w:rFonts w:ascii="Palatino Linotype" w:hAnsi="Palatino Linotype"/>
          <w:sz w:val="22"/>
          <w:szCs w:val="22"/>
        </w:rPr>
        <w:t xml:space="preserve"> </w:t>
      </w:r>
      <w:r>
        <w:rPr>
          <w:rFonts w:ascii="Palatino Linotype" w:hAnsi="Palatino Linotype" w:cs="Tahoma"/>
          <w:sz w:val="22"/>
          <w:szCs w:val="22"/>
          <w:lang w:val="es-ES"/>
        </w:rPr>
        <w:t>a</w:t>
      </w:r>
      <w:r w:rsidRPr="00E56C68">
        <w:rPr>
          <w:rFonts w:ascii="Palatino Linotype" w:hAnsi="Palatino Linotype" w:cs="Tahoma"/>
          <w:sz w:val="22"/>
          <w:szCs w:val="22"/>
          <w:lang w:val="es-ES"/>
        </w:rPr>
        <w:t>nte dicha circunstancia, el Particular se inconformó</w:t>
      </w:r>
      <w:r>
        <w:rPr>
          <w:rFonts w:ascii="Palatino Linotype" w:hAnsi="Palatino Linotype" w:cs="Tahoma"/>
          <w:sz w:val="22"/>
          <w:szCs w:val="22"/>
          <w:lang w:val="es-ES"/>
        </w:rPr>
        <w:t xml:space="preserve"> de la negativa de entrega de la información requerida, al señalar que </w:t>
      </w:r>
      <w:r w:rsidR="006D419A">
        <w:rPr>
          <w:rFonts w:ascii="Palatino Linotype" w:hAnsi="Palatino Linotype" w:cs="Tahoma"/>
          <w:sz w:val="22"/>
          <w:szCs w:val="22"/>
          <w:lang w:val="es-ES"/>
        </w:rPr>
        <w:t>no se le había dado respuesta puntual a lo solicitado, sumado a que la licencia proporcionada no se proporcionó en une versión pública correcta</w:t>
      </w:r>
      <w:r>
        <w:rPr>
          <w:rFonts w:ascii="Palatino Linotype" w:hAnsi="Palatino Linotype" w:cs="Tahoma"/>
          <w:sz w:val="22"/>
          <w:szCs w:val="22"/>
          <w:lang w:val="es-ES"/>
        </w:rPr>
        <w:t>, lo</w:t>
      </w:r>
      <w:r w:rsidRPr="00E56C68">
        <w:rPr>
          <w:rFonts w:ascii="Palatino Linotype" w:hAnsi="Palatino Linotype" w:cs="Tahoma"/>
          <w:sz w:val="22"/>
          <w:szCs w:val="22"/>
          <w:lang w:val="es-ES"/>
        </w:rPr>
        <w:t xml:space="preserve"> cual </w:t>
      </w:r>
      <w:r w:rsidRPr="00E56C68">
        <w:rPr>
          <w:rFonts w:ascii="Palatino Linotype" w:eastAsia="Calibri" w:hAnsi="Palatino Linotype" w:cs="Tahoma"/>
          <w:sz w:val="22"/>
          <w:szCs w:val="22"/>
        </w:rPr>
        <w:t xml:space="preserve">actualiza la causal de procedencia prevista en la </w:t>
      </w:r>
      <w:r w:rsidRPr="00E56C68">
        <w:rPr>
          <w:rFonts w:ascii="Palatino Linotype" w:eastAsia="Calibri" w:hAnsi="Palatino Linotype" w:cs="Tahoma"/>
          <w:sz w:val="22"/>
          <w:szCs w:val="22"/>
        </w:rPr>
        <w:lastRenderedPageBreak/>
        <w:t xml:space="preserve">fracción </w:t>
      </w:r>
      <w:r w:rsidR="00FF0289">
        <w:rPr>
          <w:rFonts w:ascii="Palatino Linotype" w:eastAsia="Calibri" w:hAnsi="Palatino Linotype" w:cs="Tahoma"/>
          <w:sz w:val="22"/>
          <w:szCs w:val="22"/>
        </w:rPr>
        <w:t>V</w:t>
      </w:r>
      <w:r w:rsidRPr="00E56C68">
        <w:rPr>
          <w:rFonts w:ascii="Palatino Linotype" w:eastAsia="Calibri" w:hAnsi="Palatino Linotype" w:cs="Tahoma"/>
          <w:sz w:val="22"/>
          <w:szCs w:val="22"/>
        </w:rPr>
        <w:t>, del artículo 179 de la Ley de Transparencia y Acceso a la Información Pública del Estado de México y Municipios</w:t>
      </w:r>
      <w:r w:rsidRPr="00E56C68">
        <w:rPr>
          <w:rFonts w:ascii="Palatino Linotype" w:hAnsi="Palatino Linotype"/>
          <w:color w:val="0D0D0D"/>
          <w:sz w:val="22"/>
          <w:szCs w:val="22"/>
        </w:rPr>
        <w:t xml:space="preserve">. </w:t>
      </w:r>
    </w:p>
    <w:p w14:paraId="7C4A19DC" w14:textId="77777777" w:rsidR="00D1222A" w:rsidRDefault="00D1222A" w:rsidP="000F3AB5">
      <w:pPr>
        <w:spacing w:line="360" w:lineRule="auto"/>
        <w:contextualSpacing/>
        <w:jc w:val="both"/>
        <w:rPr>
          <w:rFonts w:ascii="Palatino Linotype" w:hAnsi="Palatino Linotype"/>
          <w:color w:val="0D0D0D"/>
          <w:sz w:val="22"/>
          <w:szCs w:val="22"/>
        </w:rPr>
      </w:pPr>
    </w:p>
    <w:p w14:paraId="41CF1704" w14:textId="77777777" w:rsidR="00D1222A" w:rsidRPr="005A23D4" w:rsidRDefault="00D1222A" w:rsidP="000F3AB5">
      <w:pPr>
        <w:spacing w:line="360" w:lineRule="auto"/>
        <w:contextualSpacing/>
        <w:jc w:val="both"/>
        <w:rPr>
          <w:rFonts w:ascii="Palatino Linotype" w:eastAsia="Palatino Linotype" w:hAnsi="Palatino Linotype" w:cs="Palatino Linotype"/>
          <w:b/>
          <w:bCs/>
          <w:sz w:val="22"/>
          <w:szCs w:val="22"/>
        </w:rPr>
      </w:pPr>
      <w:r>
        <w:rPr>
          <w:rFonts w:ascii="Palatino Linotype" w:eastAsia="Palatino Linotype" w:hAnsi="Palatino Linotype" w:cs="Palatino Linotype"/>
          <w:sz w:val="22"/>
          <w:szCs w:val="22"/>
        </w:rPr>
        <w:t xml:space="preserve">Lo anterior, se desprende de las documentales que obran en el expediente de referencia, materia de la presente resolución, consistentes en la solicitud de acceso a la información, la respuesta, y el escrito </w:t>
      </w:r>
      <w:proofErr w:type="spellStart"/>
      <w:r>
        <w:rPr>
          <w:rFonts w:ascii="Palatino Linotype" w:eastAsia="Palatino Linotype" w:hAnsi="Palatino Linotype" w:cs="Palatino Linotype"/>
          <w:sz w:val="22"/>
          <w:szCs w:val="22"/>
        </w:rPr>
        <w:t>recursal</w:t>
      </w:r>
      <w:proofErr w:type="spellEnd"/>
      <w:r>
        <w:rPr>
          <w:rFonts w:ascii="Palatino Linotype" w:eastAsia="Palatino Linotype" w:hAnsi="Palatino Linotype" w:cs="Palatino Linotype"/>
          <w:sz w:val="22"/>
          <w:szCs w:val="22"/>
        </w:rPr>
        <w:t xml:space="preserve">, instrumentales que se toman en cuenta a efecto de resolver el presente medio de impugnación, conforme a lo dispuesto por el artículo 185, fracción IV, de la Ley de Transparencia y Acceso a la Información Pública del Estado de México y Municipios. </w:t>
      </w:r>
      <w:r>
        <w:rPr>
          <w:rFonts w:ascii="Palatino Linotype" w:eastAsia="Palatino Linotype" w:hAnsi="Palatino Linotype" w:cs="Palatino Linotype"/>
          <w:b/>
          <w:bCs/>
          <w:sz w:val="22"/>
          <w:szCs w:val="22"/>
        </w:rPr>
        <w:t>Cabe señalar que las partes fueron omisas en realizar manifestaciones o alegatos.</w:t>
      </w:r>
    </w:p>
    <w:p w14:paraId="40B2C54D" w14:textId="77777777" w:rsidR="00D1222A" w:rsidRDefault="00D1222A" w:rsidP="000F3AB5">
      <w:pPr>
        <w:spacing w:line="360" w:lineRule="auto"/>
        <w:contextualSpacing/>
        <w:jc w:val="both"/>
        <w:rPr>
          <w:rFonts w:ascii="Palatino Linotype" w:eastAsia="Palatino Linotype" w:hAnsi="Palatino Linotype" w:cs="Palatino Linotype"/>
          <w:color w:val="000000"/>
          <w:sz w:val="22"/>
          <w:szCs w:val="22"/>
        </w:rPr>
      </w:pPr>
    </w:p>
    <w:p w14:paraId="2547F470" w14:textId="77777777" w:rsidR="00D1222A" w:rsidRDefault="00D1222A" w:rsidP="000F3AB5">
      <w:pPr>
        <w:pStyle w:val="Ttulo2"/>
        <w:spacing w:before="0" w:after="0" w:line="360" w:lineRule="auto"/>
        <w:contextualSpacing/>
        <w:jc w:val="both"/>
        <w:rPr>
          <w:rFonts w:ascii="Palatino Linotype" w:eastAsia="Palatino Linotype" w:hAnsi="Palatino Linotype" w:cs="Palatino Linotype"/>
          <w:b/>
          <w:color w:val="000000"/>
          <w:sz w:val="22"/>
          <w:szCs w:val="22"/>
        </w:rPr>
      </w:pPr>
      <w:bookmarkStart w:id="16" w:name="_Toc215679574"/>
      <w:bookmarkStart w:id="17" w:name="_Toc221203754"/>
      <w:r>
        <w:rPr>
          <w:rFonts w:ascii="Palatino Linotype" w:eastAsia="Palatino Linotype" w:hAnsi="Palatino Linotype" w:cs="Palatino Linotype"/>
          <w:b/>
          <w:color w:val="000000"/>
          <w:sz w:val="22"/>
          <w:szCs w:val="22"/>
        </w:rPr>
        <w:t>CUARTO. Marco normativo aplicable en materia de transparencia y acceso a la información pública</w:t>
      </w:r>
      <w:bookmarkEnd w:id="16"/>
      <w:bookmarkEnd w:id="17"/>
    </w:p>
    <w:p w14:paraId="547941E1" w14:textId="77777777" w:rsidR="00D1222A" w:rsidRDefault="00D1222A" w:rsidP="000F3AB5">
      <w:pPr>
        <w:widowControl w:val="0"/>
        <w:spacing w:line="360" w:lineRule="auto"/>
        <w:contextualSpacing/>
        <w:jc w:val="both"/>
        <w:rPr>
          <w:rFonts w:ascii="Palatino Linotype" w:eastAsia="Palatino Linotype" w:hAnsi="Palatino Linotype" w:cs="Palatino Linotype"/>
          <w:sz w:val="22"/>
          <w:szCs w:val="22"/>
        </w:rPr>
      </w:pPr>
    </w:p>
    <w:p w14:paraId="4AE142BC" w14:textId="77777777" w:rsidR="00D1222A" w:rsidRDefault="00D1222A" w:rsidP="000F3AB5">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EC9F2A6" w14:textId="77777777" w:rsidR="00D1222A" w:rsidRDefault="00D1222A" w:rsidP="000F3AB5">
      <w:pPr>
        <w:widowControl w:val="0"/>
        <w:spacing w:line="360" w:lineRule="auto"/>
        <w:contextualSpacing/>
        <w:jc w:val="both"/>
        <w:rPr>
          <w:rFonts w:ascii="Palatino Linotype" w:eastAsia="Palatino Linotype" w:hAnsi="Palatino Linotype" w:cs="Palatino Linotype"/>
          <w:sz w:val="22"/>
          <w:szCs w:val="22"/>
        </w:rPr>
      </w:pPr>
    </w:p>
    <w:p w14:paraId="646EA7AA" w14:textId="77777777" w:rsidR="00D1222A" w:rsidRDefault="00D1222A" w:rsidP="000F3AB5">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4230B0A" w14:textId="77777777" w:rsidR="00D1222A" w:rsidRDefault="00D1222A" w:rsidP="000F3AB5">
      <w:pPr>
        <w:widowControl w:val="0"/>
        <w:spacing w:line="360" w:lineRule="auto"/>
        <w:contextualSpacing/>
        <w:jc w:val="both"/>
        <w:rPr>
          <w:rFonts w:ascii="Palatino Linotype" w:eastAsia="Palatino Linotype" w:hAnsi="Palatino Linotype" w:cs="Palatino Linotype"/>
          <w:sz w:val="22"/>
          <w:szCs w:val="22"/>
        </w:rPr>
      </w:pPr>
    </w:p>
    <w:p w14:paraId="06490535" w14:textId="77777777" w:rsidR="001C5D9E" w:rsidRDefault="001C5D9E" w:rsidP="000F3AB5">
      <w:pPr>
        <w:widowControl w:val="0"/>
        <w:spacing w:line="360" w:lineRule="auto"/>
        <w:contextualSpacing/>
        <w:jc w:val="both"/>
        <w:rPr>
          <w:rFonts w:ascii="Palatino Linotype" w:eastAsia="Palatino Linotype" w:hAnsi="Palatino Linotype" w:cs="Palatino Linotype"/>
          <w:sz w:val="22"/>
          <w:szCs w:val="22"/>
        </w:rPr>
      </w:pPr>
    </w:p>
    <w:p w14:paraId="4F6B2FC9" w14:textId="77777777" w:rsidR="00D1222A" w:rsidRDefault="00D1222A" w:rsidP="000F3AB5">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Por su parte, la Ley de Transparencia y Acceso a la Información Pública del Estado de México y Municipios (Reglamentaria del artículo 5° de la Constitución Local), establece lo siguiente:</w:t>
      </w:r>
    </w:p>
    <w:p w14:paraId="5E1511DA" w14:textId="77777777" w:rsidR="00D1222A" w:rsidRDefault="00D1222A" w:rsidP="000F3AB5">
      <w:pPr>
        <w:widowControl w:val="0"/>
        <w:spacing w:line="360" w:lineRule="auto"/>
        <w:contextualSpacing/>
        <w:jc w:val="both"/>
        <w:rPr>
          <w:rFonts w:ascii="Palatino Linotype" w:eastAsia="Palatino Linotype" w:hAnsi="Palatino Linotype" w:cs="Palatino Linotype"/>
          <w:sz w:val="22"/>
          <w:szCs w:val="22"/>
        </w:rPr>
      </w:pPr>
    </w:p>
    <w:p w14:paraId="695ABE3F" w14:textId="77777777" w:rsidR="00D1222A" w:rsidRDefault="00D1222A" w:rsidP="000F3AB5">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12, que, quienes generen, recopilen, administren, manejen, procesen, archiven o conserven información pública serán responsables de la misma.</w:t>
      </w:r>
    </w:p>
    <w:p w14:paraId="59415FDC" w14:textId="77777777" w:rsidR="00D1222A" w:rsidRDefault="00D1222A" w:rsidP="000F3AB5">
      <w:pPr>
        <w:widowControl w:val="0"/>
        <w:spacing w:line="360" w:lineRule="auto"/>
        <w:contextualSpacing/>
        <w:jc w:val="both"/>
        <w:rPr>
          <w:rFonts w:ascii="Palatino Linotype" w:eastAsia="Palatino Linotype" w:hAnsi="Palatino Linotype" w:cs="Palatino Linotype"/>
          <w:sz w:val="22"/>
          <w:szCs w:val="22"/>
        </w:rPr>
      </w:pPr>
    </w:p>
    <w:p w14:paraId="3C07671E" w14:textId="77777777" w:rsidR="00D1222A" w:rsidRDefault="00D1222A" w:rsidP="000F3AB5">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030BCED5" w14:textId="77777777" w:rsidR="00D1222A" w:rsidRDefault="00D1222A" w:rsidP="000F3AB5">
      <w:pPr>
        <w:widowControl w:val="0"/>
        <w:spacing w:line="360" w:lineRule="auto"/>
        <w:contextualSpacing/>
        <w:jc w:val="both"/>
        <w:rPr>
          <w:rFonts w:ascii="Palatino Linotype" w:eastAsia="Palatino Linotype" w:hAnsi="Palatino Linotype" w:cs="Palatino Linotype"/>
          <w:sz w:val="22"/>
          <w:szCs w:val="22"/>
        </w:rPr>
      </w:pPr>
    </w:p>
    <w:p w14:paraId="770A6830" w14:textId="77777777" w:rsidR="00D1222A" w:rsidRDefault="00D1222A" w:rsidP="000F3AB5">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54BFD16" w14:textId="77777777" w:rsidR="00D1222A" w:rsidRDefault="00D1222A" w:rsidP="000F3AB5">
      <w:pPr>
        <w:widowControl w:val="0"/>
        <w:spacing w:line="360" w:lineRule="auto"/>
        <w:contextualSpacing/>
        <w:jc w:val="both"/>
        <w:rPr>
          <w:rFonts w:ascii="Palatino Linotype" w:eastAsia="Palatino Linotype" w:hAnsi="Palatino Linotype" w:cs="Palatino Linotype"/>
          <w:sz w:val="22"/>
          <w:szCs w:val="22"/>
        </w:rPr>
      </w:pPr>
    </w:p>
    <w:p w14:paraId="2F392B4E" w14:textId="77777777" w:rsidR="00D1222A" w:rsidRDefault="00D1222A" w:rsidP="000F3AB5">
      <w:pPr>
        <w:pStyle w:val="Ttulo2"/>
        <w:spacing w:before="0" w:after="0" w:line="360" w:lineRule="auto"/>
        <w:contextualSpacing/>
        <w:rPr>
          <w:rFonts w:ascii="Palatino Linotype" w:eastAsia="Palatino Linotype" w:hAnsi="Palatino Linotype" w:cs="Palatino Linotype"/>
          <w:b/>
          <w:color w:val="000000"/>
          <w:sz w:val="22"/>
          <w:szCs w:val="22"/>
        </w:rPr>
      </w:pPr>
      <w:bookmarkStart w:id="18" w:name="_Toc215679575"/>
      <w:bookmarkStart w:id="19" w:name="_Toc221203755"/>
      <w:r>
        <w:rPr>
          <w:rFonts w:ascii="Palatino Linotype" w:eastAsia="Palatino Linotype" w:hAnsi="Palatino Linotype" w:cs="Palatino Linotype"/>
          <w:b/>
          <w:color w:val="000000"/>
          <w:sz w:val="22"/>
          <w:szCs w:val="22"/>
        </w:rPr>
        <w:t>QUINTO. Estudio de Fondo</w:t>
      </w:r>
      <w:bookmarkEnd w:id="18"/>
      <w:bookmarkEnd w:id="19"/>
    </w:p>
    <w:p w14:paraId="3F3F21E8" w14:textId="77777777" w:rsidR="00D1222A" w:rsidRDefault="00D1222A" w:rsidP="000F3AB5">
      <w:pPr>
        <w:spacing w:line="360" w:lineRule="auto"/>
        <w:contextualSpacing/>
        <w:jc w:val="both"/>
        <w:rPr>
          <w:rFonts w:ascii="Palatino Linotype" w:eastAsia="Palatino Linotype" w:hAnsi="Palatino Linotype" w:cs="Palatino Linotype"/>
          <w:b/>
          <w:sz w:val="22"/>
          <w:szCs w:val="22"/>
        </w:rPr>
      </w:pPr>
    </w:p>
    <w:p w14:paraId="7404A190" w14:textId="6390C175" w:rsidR="00D1222A" w:rsidRDefault="00D1222A" w:rsidP="000F3AB5">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Expuestas las posturas de las partes, se procede a realizar el análisis del agravio hecho valer por el ahora Recurrente, concerniente a la negativa de la información por lo que resulta necesario contextualizar la solicitud relacionada con la</w:t>
      </w:r>
      <w:r w:rsidR="006E02EE">
        <w:rPr>
          <w:rFonts w:ascii="Palatino Linotype" w:eastAsia="Palatino Linotype" w:hAnsi="Palatino Linotype" w:cs="Palatino Linotype"/>
          <w:sz w:val="22"/>
          <w:szCs w:val="22"/>
        </w:rPr>
        <w:t>s</w:t>
      </w:r>
      <w:r>
        <w:rPr>
          <w:rFonts w:ascii="Palatino Linotype" w:eastAsia="Palatino Linotype" w:hAnsi="Palatino Linotype" w:cs="Palatino Linotype"/>
          <w:sz w:val="22"/>
          <w:szCs w:val="22"/>
        </w:rPr>
        <w:t xml:space="preserve"> </w:t>
      </w:r>
      <w:r w:rsidR="006E02EE">
        <w:rPr>
          <w:rFonts w:ascii="Palatino Linotype" w:eastAsia="Palatino Linotype" w:hAnsi="Palatino Linotype" w:cs="Palatino Linotype"/>
          <w:sz w:val="22"/>
          <w:szCs w:val="22"/>
        </w:rPr>
        <w:t>licencias de funcionamiento, permisos o autorizaciones para la venta de bebidas alcohólicas en San Martín de las Pirámides.</w:t>
      </w:r>
    </w:p>
    <w:p w14:paraId="70B6FACF" w14:textId="77777777" w:rsidR="00D1222A" w:rsidRDefault="00D1222A" w:rsidP="000F3AB5">
      <w:pPr>
        <w:widowControl w:val="0"/>
        <w:spacing w:line="360" w:lineRule="auto"/>
        <w:contextualSpacing/>
        <w:jc w:val="both"/>
        <w:rPr>
          <w:rFonts w:ascii="Palatino Linotype" w:eastAsia="Palatino Linotype" w:hAnsi="Palatino Linotype" w:cs="Palatino Linotype"/>
          <w:sz w:val="22"/>
          <w:szCs w:val="22"/>
        </w:rPr>
      </w:pPr>
    </w:p>
    <w:p w14:paraId="6E22F9DE" w14:textId="6A9E3AD9" w:rsidR="00216833" w:rsidRPr="00216833" w:rsidRDefault="00216833" w:rsidP="000F3AB5">
      <w:pPr>
        <w:widowControl w:val="0"/>
        <w:spacing w:line="360" w:lineRule="auto"/>
        <w:contextualSpacing/>
        <w:jc w:val="both"/>
        <w:rPr>
          <w:rFonts w:ascii="Palatino Linotype" w:eastAsia="Palatino Linotype" w:hAnsi="Palatino Linotype" w:cs="Palatino Linotype"/>
          <w:bCs/>
          <w:sz w:val="22"/>
          <w:szCs w:val="22"/>
        </w:rPr>
      </w:pPr>
      <w:r w:rsidRPr="00216833">
        <w:rPr>
          <w:rFonts w:ascii="Palatino Linotype" w:eastAsia="Palatino Linotype" w:hAnsi="Palatino Linotype" w:cs="Palatino Linotype"/>
          <w:sz w:val="22"/>
          <w:szCs w:val="22"/>
        </w:rPr>
        <w:t xml:space="preserve">En principio, </w:t>
      </w:r>
      <w:r w:rsidRPr="00216833">
        <w:rPr>
          <w:rFonts w:ascii="Palatino Linotype" w:eastAsia="Palatino Linotype" w:hAnsi="Palatino Linotype" w:cs="Palatino Linotype"/>
          <w:bCs/>
          <w:sz w:val="22"/>
          <w:szCs w:val="22"/>
        </w:rPr>
        <w:t xml:space="preserve">el artículo 31, fracciones, XXIV Quinques y XLIV, de la Ley Orgánica Municipal el Estado de México, establece que los Ayuntamientos, son los encargados de </w:t>
      </w:r>
      <w:r w:rsidRPr="00216833">
        <w:rPr>
          <w:rFonts w:ascii="Palatino Linotype" w:eastAsia="Palatino Linotype" w:hAnsi="Palatino Linotype" w:cs="Palatino Linotype"/>
          <w:bCs/>
          <w:sz w:val="22"/>
          <w:szCs w:val="22"/>
        </w:rPr>
        <w:lastRenderedPageBreak/>
        <w:t>otorgar licencia de funcionamiento, previa presentación del Dictamen de Giro, a las unidades económicas que tengan como actividad complementaria o principal la venta de bebidas alcohólicas. Esta licencia tendrá una vigencia de cinco años y deberá ser refrendada de manera anual, con independencia de que puedan ser sujetos de visitas de verificación para constatar el cumplimiento de las disposiciones jurídicas aplicables, por lo que, una vez presentado el Dictamen de Giro aprobado, se expedirá la licencia de funcionamiento en un plazo no mayor a diez días hábiles; así como, de crear el Registro Municipal de Unidades Económicas, donde se especifique la licencia de funcionamiento y las características que se determinen convenientes.</w:t>
      </w:r>
    </w:p>
    <w:p w14:paraId="4ED8A0F9" w14:textId="77777777" w:rsidR="00216833" w:rsidRPr="00216833" w:rsidRDefault="00216833" w:rsidP="000F3AB5">
      <w:pPr>
        <w:widowControl w:val="0"/>
        <w:spacing w:line="360" w:lineRule="auto"/>
        <w:contextualSpacing/>
        <w:jc w:val="both"/>
        <w:rPr>
          <w:rFonts w:ascii="Palatino Linotype" w:eastAsia="Palatino Linotype" w:hAnsi="Palatino Linotype" w:cs="Palatino Linotype"/>
          <w:bCs/>
          <w:sz w:val="22"/>
          <w:szCs w:val="22"/>
        </w:rPr>
      </w:pPr>
      <w:r w:rsidRPr="00216833">
        <w:rPr>
          <w:rFonts w:ascii="Palatino Linotype" w:eastAsia="Palatino Linotype" w:hAnsi="Palatino Linotype" w:cs="Palatino Linotype"/>
          <w:bCs/>
          <w:sz w:val="22"/>
          <w:szCs w:val="22"/>
        </w:rPr>
        <w:t xml:space="preserve"> </w:t>
      </w:r>
    </w:p>
    <w:p w14:paraId="67A45CE0" w14:textId="77777777" w:rsidR="00216833" w:rsidRPr="00216833" w:rsidRDefault="00216833" w:rsidP="000F3AB5">
      <w:pPr>
        <w:widowControl w:val="0"/>
        <w:spacing w:line="360" w:lineRule="auto"/>
        <w:contextualSpacing/>
        <w:jc w:val="both"/>
        <w:rPr>
          <w:rFonts w:ascii="Palatino Linotype" w:eastAsia="Palatino Linotype" w:hAnsi="Palatino Linotype" w:cs="Palatino Linotype"/>
          <w:bCs/>
          <w:sz w:val="22"/>
          <w:szCs w:val="22"/>
        </w:rPr>
      </w:pPr>
      <w:r w:rsidRPr="00216833">
        <w:rPr>
          <w:rFonts w:ascii="Palatino Linotype" w:eastAsia="Palatino Linotype" w:hAnsi="Palatino Linotype" w:cs="Palatino Linotype"/>
          <w:bCs/>
          <w:sz w:val="22"/>
          <w:szCs w:val="22"/>
        </w:rPr>
        <w:t xml:space="preserve">Para lograr lo anterior, los Ayuntamientos contarán con un Director de Desarrollo Económico o equivalente que impulsa la simplificación de trámites y reducción de plazos para el otorgamiento de permisos, </w:t>
      </w:r>
      <w:r w:rsidRPr="00216833">
        <w:rPr>
          <w:rFonts w:ascii="Palatino Linotype" w:eastAsia="Palatino Linotype" w:hAnsi="Palatino Linotype" w:cs="Palatino Linotype"/>
          <w:b/>
          <w:bCs/>
          <w:sz w:val="22"/>
          <w:szCs w:val="22"/>
        </w:rPr>
        <w:t>licencias</w:t>
      </w:r>
      <w:r w:rsidRPr="00216833">
        <w:rPr>
          <w:rFonts w:ascii="Palatino Linotype" w:eastAsia="Palatino Linotype" w:hAnsi="Palatino Linotype" w:cs="Palatino Linotype"/>
          <w:bCs/>
          <w:sz w:val="22"/>
          <w:szCs w:val="22"/>
        </w:rPr>
        <w:t xml:space="preserve"> y autorizaciones del orden municipal, así como de operar y actualizar el Registro Municipal de Unidades Económicas de los permisos o licencias de funcionamiento otorgadas, de conformidad con el artículo 96 </w:t>
      </w:r>
      <w:proofErr w:type="spellStart"/>
      <w:r w:rsidRPr="00216833">
        <w:rPr>
          <w:rFonts w:ascii="Palatino Linotype" w:eastAsia="Palatino Linotype" w:hAnsi="Palatino Linotype" w:cs="Palatino Linotype"/>
          <w:bCs/>
          <w:sz w:val="22"/>
          <w:szCs w:val="22"/>
        </w:rPr>
        <w:t>Quáter</w:t>
      </w:r>
      <w:proofErr w:type="spellEnd"/>
      <w:r w:rsidRPr="00216833">
        <w:rPr>
          <w:rFonts w:ascii="Palatino Linotype" w:eastAsia="Palatino Linotype" w:hAnsi="Palatino Linotype" w:cs="Palatino Linotype"/>
          <w:bCs/>
          <w:sz w:val="22"/>
          <w:szCs w:val="22"/>
        </w:rPr>
        <w:t xml:space="preserve"> de la Ley señalada en el párrafo anterior.</w:t>
      </w:r>
    </w:p>
    <w:p w14:paraId="278BF736" w14:textId="77777777" w:rsidR="00216833" w:rsidRPr="00216833" w:rsidRDefault="00216833" w:rsidP="000F3AB5">
      <w:pPr>
        <w:widowControl w:val="0"/>
        <w:spacing w:line="360" w:lineRule="auto"/>
        <w:contextualSpacing/>
        <w:jc w:val="both"/>
        <w:rPr>
          <w:rFonts w:ascii="Palatino Linotype" w:eastAsia="Palatino Linotype" w:hAnsi="Palatino Linotype" w:cs="Palatino Linotype"/>
          <w:bCs/>
          <w:sz w:val="22"/>
          <w:szCs w:val="22"/>
        </w:rPr>
      </w:pPr>
      <w:r w:rsidRPr="00216833">
        <w:rPr>
          <w:rFonts w:ascii="Palatino Linotype" w:eastAsia="Palatino Linotype" w:hAnsi="Palatino Linotype" w:cs="Palatino Linotype"/>
          <w:bCs/>
          <w:sz w:val="22"/>
          <w:szCs w:val="22"/>
        </w:rPr>
        <w:t xml:space="preserve"> </w:t>
      </w:r>
    </w:p>
    <w:p w14:paraId="3F97936E" w14:textId="77777777" w:rsidR="00216833" w:rsidRPr="00216833" w:rsidRDefault="00216833" w:rsidP="000F3AB5">
      <w:pPr>
        <w:widowControl w:val="0"/>
        <w:spacing w:line="360" w:lineRule="auto"/>
        <w:contextualSpacing/>
        <w:jc w:val="both"/>
        <w:rPr>
          <w:rFonts w:ascii="Palatino Linotype" w:eastAsia="Palatino Linotype" w:hAnsi="Palatino Linotype" w:cs="Palatino Linotype"/>
          <w:sz w:val="22"/>
          <w:szCs w:val="22"/>
        </w:rPr>
      </w:pPr>
      <w:r w:rsidRPr="00216833">
        <w:rPr>
          <w:rFonts w:ascii="Palatino Linotype" w:eastAsia="Palatino Linotype" w:hAnsi="Palatino Linotype" w:cs="Palatino Linotype"/>
          <w:bCs/>
          <w:sz w:val="22"/>
          <w:szCs w:val="22"/>
        </w:rPr>
        <w:t xml:space="preserve">En ese sentido, conforme a los artículos 2°, fracciones XV y XXXVII, 5°, fracción X, 7°, fracción V, 14 y 16 de la Ley de Competitividad y Ordenamiento Comercial del Estado de México, la </w:t>
      </w:r>
      <w:r w:rsidRPr="00216833">
        <w:rPr>
          <w:rFonts w:ascii="Palatino Linotype" w:eastAsia="Palatino Linotype" w:hAnsi="Palatino Linotype" w:cs="Palatino Linotype"/>
          <w:sz w:val="22"/>
          <w:szCs w:val="22"/>
        </w:rPr>
        <w:t>licencia de funcionamiento, es el acto administrativo emitido por los Municipios, a través del cual se autoriza a una persona física o jurídica colectiva a desarrollar actividades económicas.</w:t>
      </w:r>
    </w:p>
    <w:p w14:paraId="34FFC15F" w14:textId="77777777" w:rsidR="00216833" w:rsidRPr="00216833" w:rsidRDefault="00216833" w:rsidP="000F3AB5">
      <w:pPr>
        <w:widowControl w:val="0"/>
        <w:spacing w:line="360" w:lineRule="auto"/>
        <w:contextualSpacing/>
        <w:jc w:val="both"/>
        <w:rPr>
          <w:rFonts w:ascii="Palatino Linotype" w:eastAsia="Palatino Linotype" w:hAnsi="Palatino Linotype" w:cs="Palatino Linotype"/>
          <w:bCs/>
          <w:sz w:val="22"/>
          <w:szCs w:val="22"/>
        </w:rPr>
      </w:pPr>
      <w:r w:rsidRPr="00216833">
        <w:rPr>
          <w:rFonts w:ascii="Palatino Linotype" w:eastAsia="Palatino Linotype" w:hAnsi="Palatino Linotype" w:cs="Palatino Linotype"/>
          <w:bCs/>
          <w:sz w:val="22"/>
          <w:szCs w:val="22"/>
        </w:rPr>
        <w:t xml:space="preserve"> </w:t>
      </w:r>
    </w:p>
    <w:p w14:paraId="52AA2E41" w14:textId="77777777" w:rsidR="00216833" w:rsidRPr="00216833" w:rsidRDefault="00216833" w:rsidP="000F3AB5">
      <w:pPr>
        <w:widowControl w:val="0"/>
        <w:spacing w:line="360" w:lineRule="auto"/>
        <w:contextualSpacing/>
        <w:jc w:val="both"/>
        <w:rPr>
          <w:rFonts w:ascii="Palatino Linotype" w:eastAsia="Palatino Linotype" w:hAnsi="Palatino Linotype" w:cs="Palatino Linotype"/>
          <w:bCs/>
          <w:sz w:val="22"/>
          <w:szCs w:val="22"/>
        </w:rPr>
      </w:pPr>
      <w:r w:rsidRPr="00216833">
        <w:rPr>
          <w:rFonts w:ascii="Palatino Linotype" w:eastAsia="Palatino Linotype" w:hAnsi="Palatino Linotype" w:cs="Palatino Linotype"/>
          <w:bCs/>
          <w:sz w:val="22"/>
          <w:szCs w:val="22"/>
        </w:rPr>
        <w:t>Por su parte, el artículo 2°, fracciones XXXIII, XXXIV y XXXV, de dicho ordenamiento jurídico, establece tres tipos de unidades económicas, a saber, las siguientes:</w:t>
      </w:r>
    </w:p>
    <w:p w14:paraId="65BD5E29" w14:textId="77777777" w:rsidR="00216833" w:rsidRPr="00216833" w:rsidRDefault="00216833" w:rsidP="000F3AB5">
      <w:pPr>
        <w:widowControl w:val="0"/>
        <w:spacing w:line="360" w:lineRule="auto"/>
        <w:contextualSpacing/>
        <w:jc w:val="both"/>
        <w:rPr>
          <w:rFonts w:ascii="Palatino Linotype" w:eastAsia="Palatino Linotype" w:hAnsi="Palatino Linotype" w:cs="Palatino Linotype"/>
          <w:bCs/>
          <w:sz w:val="22"/>
          <w:szCs w:val="22"/>
        </w:rPr>
      </w:pPr>
      <w:r w:rsidRPr="00216833">
        <w:rPr>
          <w:rFonts w:ascii="Palatino Linotype" w:eastAsia="Palatino Linotype" w:hAnsi="Palatino Linotype" w:cs="Palatino Linotype"/>
          <w:bCs/>
          <w:sz w:val="22"/>
          <w:szCs w:val="22"/>
        </w:rPr>
        <w:t xml:space="preserve"> </w:t>
      </w:r>
    </w:p>
    <w:p w14:paraId="2CD22FF9" w14:textId="77777777" w:rsidR="00216833" w:rsidRPr="00216833" w:rsidRDefault="00216833" w:rsidP="000F3AB5">
      <w:pPr>
        <w:widowControl w:val="0"/>
        <w:numPr>
          <w:ilvl w:val="0"/>
          <w:numId w:val="5"/>
        </w:numPr>
        <w:spacing w:line="360" w:lineRule="auto"/>
        <w:contextualSpacing/>
        <w:jc w:val="both"/>
        <w:rPr>
          <w:rFonts w:ascii="Palatino Linotype" w:eastAsia="Palatino Linotype" w:hAnsi="Palatino Linotype" w:cs="Palatino Linotype"/>
          <w:b/>
          <w:bCs/>
          <w:sz w:val="22"/>
          <w:szCs w:val="22"/>
        </w:rPr>
      </w:pPr>
      <w:r w:rsidRPr="00216833">
        <w:rPr>
          <w:rFonts w:ascii="Palatino Linotype" w:eastAsia="Palatino Linotype" w:hAnsi="Palatino Linotype" w:cs="Palatino Linotype"/>
          <w:b/>
          <w:bCs/>
          <w:sz w:val="22"/>
          <w:szCs w:val="22"/>
        </w:rPr>
        <w:lastRenderedPageBreak/>
        <w:t xml:space="preserve">Bajo impacto: </w:t>
      </w:r>
      <w:r w:rsidRPr="00216833">
        <w:rPr>
          <w:rFonts w:ascii="Palatino Linotype" w:eastAsia="Palatino Linotype" w:hAnsi="Palatino Linotype" w:cs="Palatino Linotype"/>
          <w:bCs/>
          <w:sz w:val="22"/>
          <w:szCs w:val="22"/>
        </w:rPr>
        <w:t>A las autorizadas para la venta de bebidas alcohólicas en envase cerrado y no sean de consumo inmediato, así como, las que no estén en supuestos subsecuentes.</w:t>
      </w:r>
    </w:p>
    <w:p w14:paraId="16873E93" w14:textId="77777777" w:rsidR="00216833" w:rsidRPr="00216833" w:rsidRDefault="00216833" w:rsidP="000F3AB5">
      <w:pPr>
        <w:widowControl w:val="0"/>
        <w:spacing w:line="360" w:lineRule="auto"/>
        <w:contextualSpacing/>
        <w:jc w:val="both"/>
        <w:rPr>
          <w:rFonts w:ascii="Palatino Linotype" w:eastAsia="Palatino Linotype" w:hAnsi="Palatino Linotype" w:cs="Palatino Linotype"/>
          <w:b/>
          <w:bCs/>
          <w:sz w:val="22"/>
          <w:szCs w:val="22"/>
        </w:rPr>
      </w:pPr>
      <w:r w:rsidRPr="00216833">
        <w:rPr>
          <w:rFonts w:ascii="Palatino Linotype" w:eastAsia="Palatino Linotype" w:hAnsi="Palatino Linotype" w:cs="Palatino Linotype"/>
          <w:b/>
          <w:bCs/>
          <w:sz w:val="22"/>
          <w:szCs w:val="22"/>
        </w:rPr>
        <w:t xml:space="preserve"> </w:t>
      </w:r>
    </w:p>
    <w:p w14:paraId="5D783C15" w14:textId="77777777" w:rsidR="00216833" w:rsidRPr="00216833" w:rsidRDefault="00216833" w:rsidP="000F3AB5">
      <w:pPr>
        <w:widowControl w:val="0"/>
        <w:numPr>
          <w:ilvl w:val="0"/>
          <w:numId w:val="5"/>
        </w:numPr>
        <w:spacing w:line="360" w:lineRule="auto"/>
        <w:contextualSpacing/>
        <w:jc w:val="both"/>
        <w:rPr>
          <w:rFonts w:ascii="Palatino Linotype" w:eastAsia="Palatino Linotype" w:hAnsi="Palatino Linotype" w:cs="Palatino Linotype"/>
          <w:b/>
          <w:bCs/>
          <w:sz w:val="22"/>
          <w:szCs w:val="22"/>
        </w:rPr>
      </w:pPr>
      <w:r w:rsidRPr="00216833">
        <w:rPr>
          <w:rFonts w:ascii="Palatino Linotype" w:eastAsia="Palatino Linotype" w:hAnsi="Palatino Linotype" w:cs="Palatino Linotype"/>
          <w:b/>
          <w:bCs/>
          <w:sz w:val="22"/>
          <w:szCs w:val="22"/>
        </w:rPr>
        <w:t xml:space="preserve">Mediano impacto: </w:t>
      </w:r>
      <w:r w:rsidRPr="00216833">
        <w:rPr>
          <w:rFonts w:ascii="Palatino Linotype" w:eastAsia="Palatino Linotype" w:hAnsi="Palatino Linotype" w:cs="Palatino Linotype"/>
          <w:bCs/>
          <w:sz w:val="22"/>
          <w:szCs w:val="22"/>
        </w:rPr>
        <w:t>A las que se les permite la venta de bebidas alcohólicas para consumo inmediato, siendo otra su actividad principal.</w:t>
      </w:r>
    </w:p>
    <w:p w14:paraId="68A5D1AF" w14:textId="77777777" w:rsidR="00216833" w:rsidRPr="00216833" w:rsidRDefault="00216833" w:rsidP="000F3AB5">
      <w:pPr>
        <w:widowControl w:val="0"/>
        <w:spacing w:line="360" w:lineRule="auto"/>
        <w:contextualSpacing/>
        <w:jc w:val="both"/>
        <w:rPr>
          <w:rFonts w:ascii="Palatino Linotype" w:eastAsia="Palatino Linotype" w:hAnsi="Palatino Linotype" w:cs="Palatino Linotype"/>
          <w:b/>
          <w:bCs/>
          <w:sz w:val="22"/>
          <w:szCs w:val="22"/>
        </w:rPr>
      </w:pPr>
      <w:r w:rsidRPr="00216833">
        <w:rPr>
          <w:rFonts w:ascii="Palatino Linotype" w:eastAsia="Palatino Linotype" w:hAnsi="Palatino Linotype" w:cs="Palatino Linotype"/>
          <w:b/>
          <w:bCs/>
          <w:sz w:val="22"/>
          <w:szCs w:val="22"/>
        </w:rPr>
        <w:t xml:space="preserve"> </w:t>
      </w:r>
    </w:p>
    <w:p w14:paraId="3C6A2188" w14:textId="77777777" w:rsidR="00216833" w:rsidRPr="00216833" w:rsidRDefault="00216833" w:rsidP="000F3AB5">
      <w:pPr>
        <w:widowControl w:val="0"/>
        <w:numPr>
          <w:ilvl w:val="0"/>
          <w:numId w:val="5"/>
        </w:numPr>
        <w:spacing w:line="360" w:lineRule="auto"/>
        <w:contextualSpacing/>
        <w:jc w:val="both"/>
        <w:rPr>
          <w:rFonts w:ascii="Palatino Linotype" w:eastAsia="Palatino Linotype" w:hAnsi="Palatino Linotype" w:cs="Palatino Linotype"/>
          <w:b/>
          <w:bCs/>
          <w:sz w:val="22"/>
          <w:szCs w:val="22"/>
        </w:rPr>
      </w:pPr>
      <w:r w:rsidRPr="00216833">
        <w:rPr>
          <w:rFonts w:ascii="Palatino Linotype" w:eastAsia="Palatino Linotype" w:hAnsi="Palatino Linotype" w:cs="Palatino Linotype"/>
          <w:b/>
          <w:bCs/>
          <w:sz w:val="22"/>
          <w:szCs w:val="22"/>
        </w:rPr>
        <w:t xml:space="preserve">Alto Impacto: </w:t>
      </w:r>
      <w:r w:rsidRPr="00216833">
        <w:rPr>
          <w:rFonts w:ascii="Palatino Linotype" w:eastAsia="Palatino Linotype" w:hAnsi="Palatino Linotype" w:cs="Palatino Linotype"/>
          <w:bCs/>
          <w:sz w:val="22"/>
          <w:szCs w:val="22"/>
        </w:rPr>
        <w:t>Aquellas que tienen como actividad principal, la venta de bebidas alcohólicas para consumo inmediato y las que requieran dictamen único de factibilidad.</w:t>
      </w:r>
    </w:p>
    <w:p w14:paraId="4E953B04" w14:textId="77777777" w:rsidR="00216833" w:rsidRPr="00216833" w:rsidRDefault="00216833" w:rsidP="000F3AB5">
      <w:pPr>
        <w:widowControl w:val="0"/>
        <w:spacing w:line="360" w:lineRule="auto"/>
        <w:contextualSpacing/>
        <w:jc w:val="both"/>
        <w:rPr>
          <w:rFonts w:ascii="Palatino Linotype" w:eastAsia="Palatino Linotype" w:hAnsi="Palatino Linotype" w:cs="Palatino Linotype"/>
          <w:bCs/>
          <w:sz w:val="22"/>
          <w:szCs w:val="22"/>
        </w:rPr>
      </w:pPr>
      <w:r w:rsidRPr="00216833">
        <w:rPr>
          <w:rFonts w:ascii="Palatino Linotype" w:eastAsia="Palatino Linotype" w:hAnsi="Palatino Linotype" w:cs="Palatino Linotype"/>
          <w:bCs/>
          <w:sz w:val="22"/>
          <w:szCs w:val="22"/>
        </w:rPr>
        <w:t xml:space="preserve"> </w:t>
      </w:r>
    </w:p>
    <w:p w14:paraId="4E05F5C6" w14:textId="77777777" w:rsidR="00216833" w:rsidRPr="00216833" w:rsidRDefault="00216833" w:rsidP="000F3AB5">
      <w:pPr>
        <w:widowControl w:val="0"/>
        <w:spacing w:line="360" w:lineRule="auto"/>
        <w:contextualSpacing/>
        <w:jc w:val="both"/>
        <w:rPr>
          <w:rFonts w:ascii="Palatino Linotype" w:eastAsia="Palatino Linotype" w:hAnsi="Palatino Linotype" w:cs="Palatino Linotype"/>
          <w:bCs/>
          <w:sz w:val="22"/>
          <w:szCs w:val="22"/>
        </w:rPr>
      </w:pPr>
      <w:r w:rsidRPr="00216833">
        <w:rPr>
          <w:rFonts w:ascii="Palatino Linotype" w:eastAsia="Palatino Linotype" w:hAnsi="Palatino Linotype" w:cs="Palatino Linotype"/>
          <w:bCs/>
          <w:sz w:val="22"/>
          <w:szCs w:val="22"/>
        </w:rPr>
        <w:t xml:space="preserve">En ese contexto, la expedición de las </w:t>
      </w:r>
      <w:r w:rsidRPr="00216833">
        <w:rPr>
          <w:rFonts w:ascii="Palatino Linotype" w:eastAsia="Palatino Linotype" w:hAnsi="Palatino Linotype" w:cs="Palatino Linotype"/>
          <w:b/>
          <w:bCs/>
          <w:sz w:val="22"/>
          <w:szCs w:val="22"/>
        </w:rPr>
        <w:t>licencias de funcionamiento</w:t>
      </w:r>
      <w:r w:rsidRPr="00216833">
        <w:rPr>
          <w:rFonts w:ascii="Palatino Linotype" w:eastAsia="Palatino Linotype" w:hAnsi="Palatino Linotype" w:cs="Palatino Linotype"/>
          <w:bCs/>
          <w:sz w:val="22"/>
          <w:szCs w:val="22"/>
        </w:rPr>
        <w:t>, le corresponde a los Ayuntamientos, al coordinar la gestión de trámites para la recepción, integración y verificación de los expedientes que presentan los particulares; por tales circunstancias, cada Municipio deberá apegarse a las disposiciones legales que emita, ello conforme al artículo 16 del Reglamento de la Ley de Competitividad y Ordenamiento Comercial del Estado de México.</w:t>
      </w:r>
    </w:p>
    <w:p w14:paraId="55B2874B" w14:textId="77777777" w:rsidR="00216833" w:rsidRPr="00216833" w:rsidRDefault="00216833" w:rsidP="000F3AB5">
      <w:pPr>
        <w:widowControl w:val="0"/>
        <w:spacing w:line="360" w:lineRule="auto"/>
        <w:contextualSpacing/>
        <w:jc w:val="both"/>
        <w:rPr>
          <w:rFonts w:ascii="Palatino Linotype" w:eastAsia="Palatino Linotype" w:hAnsi="Palatino Linotype" w:cs="Palatino Linotype"/>
          <w:bCs/>
          <w:sz w:val="22"/>
          <w:szCs w:val="22"/>
        </w:rPr>
      </w:pPr>
      <w:r w:rsidRPr="00216833">
        <w:rPr>
          <w:rFonts w:ascii="Palatino Linotype" w:eastAsia="Palatino Linotype" w:hAnsi="Palatino Linotype" w:cs="Palatino Linotype"/>
          <w:bCs/>
          <w:sz w:val="22"/>
          <w:szCs w:val="22"/>
        </w:rPr>
        <w:t xml:space="preserve"> </w:t>
      </w:r>
    </w:p>
    <w:p w14:paraId="3CFD2455" w14:textId="77777777" w:rsidR="00216833" w:rsidRPr="00216833" w:rsidRDefault="00216833" w:rsidP="000F3AB5">
      <w:pPr>
        <w:widowControl w:val="0"/>
        <w:spacing w:line="360" w:lineRule="auto"/>
        <w:contextualSpacing/>
        <w:jc w:val="both"/>
        <w:rPr>
          <w:rFonts w:ascii="Palatino Linotype" w:eastAsia="Palatino Linotype" w:hAnsi="Palatino Linotype" w:cs="Palatino Linotype"/>
          <w:bCs/>
          <w:sz w:val="22"/>
          <w:szCs w:val="22"/>
        </w:rPr>
      </w:pPr>
      <w:r w:rsidRPr="00216833">
        <w:rPr>
          <w:rFonts w:ascii="Palatino Linotype" w:eastAsia="Palatino Linotype" w:hAnsi="Palatino Linotype" w:cs="Palatino Linotype"/>
          <w:bCs/>
          <w:sz w:val="22"/>
          <w:szCs w:val="22"/>
        </w:rPr>
        <w:t xml:space="preserve">Además, la operación de la </w:t>
      </w:r>
      <w:r w:rsidRPr="00216833">
        <w:rPr>
          <w:rFonts w:ascii="Palatino Linotype" w:eastAsia="Palatino Linotype" w:hAnsi="Palatino Linotype" w:cs="Palatino Linotype"/>
          <w:b/>
          <w:bCs/>
          <w:sz w:val="22"/>
          <w:szCs w:val="22"/>
        </w:rPr>
        <w:t xml:space="preserve">Ventanilla Única </w:t>
      </w:r>
      <w:r w:rsidRPr="00216833">
        <w:rPr>
          <w:rFonts w:ascii="Palatino Linotype" w:eastAsia="Palatino Linotype" w:hAnsi="Palatino Linotype" w:cs="Palatino Linotype"/>
          <w:bCs/>
          <w:sz w:val="22"/>
          <w:szCs w:val="22"/>
        </w:rPr>
        <w:t xml:space="preserve">y la expedición de las </w:t>
      </w:r>
      <w:r w:rsidRPr="00216833">
        <w:rPr>
          <w:rFonts w:ascii="Palatino Linotype" w:eastAsia="Palatino Linotype" w:hAnsi="Palatino Linotype" w:cs="Palatino Linotype"/>
          <w:b/>
          <w:bCs/>
          <w:sz w:val="22"/>
          <w:szCs w:val="22"/>
        </w:rPr>
        <w:t>licencias de funcionamiento</w:t>
      </w:r>
      <w:r w:rsidRPr="00216833">
        <w:rPr>
          <w:rFonts w:ascii="Palatino Linotype" w:eastAsia="Palatino Linotype" w:hAnsi="Palatino Linotype" w:cs="Palatino Linotype"/>
          <w:bCs/>
          <w:sz w:val="22"/>
          <w:szCs w:val="22"/>
        </w:rPr>
        <w:t>, le corresponde a los Ayuntamientos, al coordinar la gestión de trámites para la recepción, integración y verificación de los expedientes que presentan los particulares; por tales circunstancias, cada Municipio deberá apegarse a las disposiciones legales que emita, ello conforme a los artículos 16 y 22, fracción I, del Reglamento de la Ley de Competitividad y Ordenamiento Comercial del Estado de México.</w:t>
      </w:r>
    </w:p>
    <w:p w14:paraId="5667B3C9" w14:textId="77777777" w:rsidR="00216833" w:rsidRDefault="00216833" w:rsidP="000F3AB5">
      <w:pPr>
        <w:widowControl w:val="0"/>
        <w:spacing w:line="360" w:lineRule="auto"/>
        <w:contextualSpacing/>
        <w:jc w:val="both"/>
        <w:rPr>
          <w:rFonts w:ascii="Palatino Linotype" w:eastAsia="Palatino Linotype" w:hAnsi="Palatino Linotype" w:cs="Palatino Linotype"/>
          <w:b/>
          <w:bCs/>
          <w:sz w:val="22"/>
          <w:szCs w:val="22"/>
        </w:rPr>
      </w:pPr>
      <w:r w:rsidRPr="00216833">
        <w:rPr>
          <w:rFonts w:ascii="Palatino Linotype" w:eastAsia="Palatino Linotype" w:hAnsi="Palatino Linotype" w:cs="Palatino Linotype"/>
          <w:b/>
          <w:bCs/>
          <w:sz w:val="22"/>
          <w:szCs w:val="22"/>
        </w:rPr>
        <w:t xml:space="preserve"> </w:t>
      </w:r>
    </w:p>
    <w:p w14:paraId="1598F203" w14:textId="77777777" w:rsidR="001C5D9E" w:rsidRPr="00216833" w:rsidRDefault="001C5D9E" w:rsidP="000F3AB5">
      <w:pPr>
        <w:widowControl w:val="0"/>
        <w:spacing w:line="360" w:lineRule="auto"/>
        <w:contextualSpacing/>
        <w:jc w:val="both"/>
        <w:rPr>
          <w:rFonts w:ascii="Palatino Linotype" w:eastAsia="Palatino Linotype" w:hAnsi="Palatino Linotype" w:cs="Palatino Linotype"/>
          <w:b/>
          <w:bCs/>
          <w:sz w:val="22"/>
          <w:szCs w:val="22"/>
        </w:rPr>
      </w:pPr>
    </w:p>
    <w:p w14:paraId="5F7B73A1" w14:textId="77777777" w:rsidR="008C61F6" w:rsidRDefault="00216833" w:rsidP="000F3AB5">
      <w:pPr>
        <w:widowControl w:val="0"/>
        <w:spacing w:line="360" w:lineRule="auto"/>
        <w:contextualSpacing/>
        <w:jc w:val="both"/>
        <w:rPr>
          <w:rFonts w:ascii="Palatino Linotype" w:eastAsia="Palatino Linotype" w:hAnsi="Palatino Linotype" w:cs="Palatino Linotype"/>
          <w:bCs/>
          <w:sz w:val="22"/>
          <w:szCs w:val="22"/>
        </w:rPr>
      </w:pPr>
      <w:r w:rsidRPr="00216833">
        <w:rPr>
          <w:rFonts w:ascii="Palatino Linotype" w:eastAsia="Palatino Linotype" w:hAnsi="Palatino Linotype" w:cs="Palatino Linotype"/>
          <w:bCs/>
          <w:sz w:val="22"/>
          <w:szCs w:val="22"/>
        </w:rPr>
        <w:lastRenderedPageBreak/>
        <w:t xml:space="preserve">En ese sentido, </w:t>
      </w:r>
      <w:r w:rsidR="008C61F6">
        <w:rPr>
          <w:rFonts w:ascii="Palatino Linotype" w:eastAsia="Palatino Linotype" w:hAnsi="Palatino Linotype" w:cs="Palatino Linotype"/>
          <w:bCs/>
          <w:sz w:val="22"/>
          <w:szCs w:val="22"/>
        </w:rPr>
        <w:t xml:space="preserve">el artículo 286 </w:t>
      </w:r>
      <w:r w:rsidR="008C61F6" w:rsidRPr="00216833">
        <w:rPr>
          <w:rFonts w:ascii="Palatino Linotype" w:eastAsia="Palatino Linotype" w:hAnsi="Palatino Linotype" w:cs="Palatino Linotype"/>
          <w:bCs/>
          <w:sz w:val="22"/>
          <w:szCs w:val="22"/>
        </w:rPr>
        <w:t xml:space="preserve">del Bando Municipal de </w:t>
      </w:r>
      <w:r w:rsidR="008C61F6">
        <w:rPr>
          <w:rFonts w:ascii="Palatino Linotype" w:eastAsia="Palatino Linotype" w:hAnsi="Palatino Linotype" w:cs="Palatino Linotype"/>
          <w:bCs/>
          <w:sz w:val="22"/>
          <w:szCs w:val="22"/>
        </w:rPr>
        <w:t>San Martín de las Pirámides, dos mil veinticinco, establece que en el municipio se podrán desempeñar las actividades agrícolas, industriales, comerciales y de espectáculos públicos que autoricen las autoridades municipales de acuerdo a lo establecido en la Constitución Local y las leyes aplicables, mediante la obtención del permiso, cédula o licencia de funcionamiento autorizada por la Dirección de Desarrollo Económico.</w:t>
      </w:r>
    </w:p>
    <w:p w14:paraId="61F37196" w14:textId="77777777" w:rsidR="008C61F6" w:rsidRDefault="008C61F6" w:rsidP="000F3AB5">
      <w:pPr>
        <w:widowControl w:val="0"/>
        <w:spacing w:line="360" w:lineRule="auto"/>
        <w:contextualSpacing/>
        <w:jc w:val="both"/>
        <w:rPr>
          <w:rFonts w:ascii="Palatino Linotype" w:eastAsia="Palatino Linotype" w:hAnsi="Palatino Linotype" w:cs="Palatino Linotype"/>
          <w:bCs/>
          <w:sz w:val="22"/>
          <w:szCs w:val="22"/>
        </w:rPr>
      </w:pPr>
    </w:p>
    <w:p w14:paraId="63A24C9F" w14:textId="4B1B363E" w:rsidR="008C61F6" w:rsidRDefault="008C61F6" w:rsidP="000F3AB5">
      <w:pPr>
        <w:widowControl w:val="0"/>
        <w:spacing w:line="360" w:lineRule="auto"/>
        <w:contextualSpacing/>
        <w:jc w:val="both"/>
        <w:rPr>
          <w:rFonts w:ascii="Palatino Linotype" w:eastAsia="Palatino Linotype" w:hAnsi="Palatino Linotype" w:cs="Palatino Linotype"/>
          <w:bCs/>
          <w:sz w:val="22"/>
          <w:szCs w:val="22"/>
        </w:rPr>
      </w:pPr>
      <w:r>
        <w:rPr>
          <w:rFonts w:ascii="Palatino Linotype" w:eastAsia="Palatino Linotype" w:hAnsi="Palatino Linotype" w:cs="Palatino Linotype"/>
          <w:bCs/>
          <w:sz w:val="22"/>
          <w:szCs w:val="22"/>
        </w:rPr>
        <w:t>Por otro lado, el artículo 303 del bando municipal señalado, establece que no se autorizará la instalación de establecimientos dedicados a la venta de bebidas alcohólicas en envase cerrado para su consumo inmediato o por copeo que se ubiquen en un radio no menor a quinientos metros de centros educativos, instalaciones deportivas o centros de salud.</w:t>
      </w:r>
    </w:p>
    <w:p w14:paraId="1FFBFC9B" w14:textId="77777777" w:rsidR="008C61F6" w:rsidRDefault="008C61F6" w:rsidP="000F3AB5">
      <w:pPr>
        <w:widowControl w:val="0"/>
        <w:spacing w:line="360" w:lineRule="auto"/>
        <w:contextualSpacing/>
        <w:jc w:val="both"/>
        <w:rPr>
          <w:rFonts w:ascii="Palatino Linotype" w:eastAsia="Palatino Linotype" w:hAnsi="Palatino Linotype" w:cs="Palatino Linotype"/>
          <w:bCs/>
          <w:sz w:val="22"/>
          <w:szCs w:val="22"/>
        </w:rPr>
      </w:pPr>
    </w:p>
    <w:p w14:paraId="76C68021" w14:textId="3D1F9AC6" w:rsidR="008C61F6" w:rsidRDefault="008C61F6" w:rsidP="000F3AB5">
      <w:pPr>
        <w:widowControl w:val="0"/>
        <w:spacing w:line="360" w:lineRule="auto"/>
        <w:contextualSpacing/>
        <w:jc w:val="both"/>
        <w:rPr>
          <w:rFonts w:ascii="Palatino Linotype" w:eastAsia="Palatino Linotype" w:hAnsi="Palatino Linotype" w:cs="Palatino Linotype"/>
          <w:bCs/>
          <w:sz w:val="22"/>
          <w:szCs w:val="22"/>
        </w:rPr>
      </w:pPr>
      <w:r>
        <w:rPr>
          <w:rFonts w:ascii="Palatino Linotype" w:eastAsia="Palatino Linotype" w:hAnsi="Palatino Linotype" w:cs="Palatino Linotype"/>
          <w:bCs/>
          <w:sz w:val="22"/>
          <w:szCs w:val="22"/>
        </w:rPr>
        <w:t>Además</w:t>
      </w:r>
      <w:r w:rsidR="00DB752C">
        <w:rPr>
          <w:rFonts w:ascii="Palatino Linotype" w:eastAsia="Palatino Linotype" w:hAnsi="Palatino Linotype" w:cs="Palatino Linotype"/>
          <w:bCs/>
          <w:sz w:val="22"/>
          <w:szCs w:val="22"/>
        </w:rPr>
        <w:t>,</w:t>
      </w:r>
      <w:r>
        <w:rPr>
          <w:rFonts w:ascii="Palatino Linotype" w:eastAsia="Palatino Linotype" w:hAnsi="Palatino Linotype" w:cs="Palatino Linotype"/>
          <w:bCs/>
          <w:sz w:val="22"/>
          <w:szCs w:val="22"/>
        </w:rPr>
        <w:t xml:space="preserve"> el artículo 305 del bando referido, establece que es facultad del Ayuntamiento autorizar que el ejecutivo </w:t>
      </w:r>
      <w:r w:rsidR="00DB752C">
        <w:rPr>
          <w:rFonts w:ascii="Palatino Linotype" w:eastAsia="Palatino Linotype" w:hAnsi="Palatino Linotype" w:cs="Palatino Linotype"/>
          <w:bCs/>
          <w:sz w:val="22"/>
          <w:szCs w:val="22"/>
        </w:rPr>
        <w:t>m</w:t>
      </w:r>
      <w:r>
        <w:rPr>
          <w:rFonts w:ascii="Palatino Linotype" w:eastAsia="Palatino Linotype" w:hAnsi="Palatino Linotype" w:cs="Palatino Linotype"/>
          <w:bCs/>
          <w:sz w:val="22"/>
          <w:szCs w:val="22"/>
        </w:rPr>
        <w:t>unicipal</w:t>
      </w:r>
      <w:r w:rsidR="00DB752C">
        <w:rPr>
          <w:rFonts w:ascii="Palatino Linotype" w:eastAsia="Palatino Linotype" w:hAnsi="Palatino Linotype" w:cs="Palatino Linotype"/>
          <w:bCs/>
          <w:sz w:val="22"/>
          <w:szCs w:val="22"/>
        </w:rPr>
        <w:t xml:space="preserve"> expida las licencias de funcionamiento que autoricen y permitan el funcionamiento de las actividades comerciales precio cumplimiento a lo establecido en la normatividad aplicable vigente.</w:t>
      </w:r>
    </w:p>
    <w:p w14:paraId="2AC6DE09" w14:textId="7D5EE90D" w:rsidR="00DB752C" w:rsidRDefault="00DB752C" w:rsidP="000F3AB5">
      <w:pPr>
        <w:widowControl w:val="0"/>
        <w:spacing w:line="360" w:lineRule="auto"/>
        <w:contextualSpacing/>
        <w:jc w:val="both"/>
        <w:rPr>
          <w:rFonts w:ascii="Palatino Linotype" w:eastAsia="Palatino Linotype" w:hAnsi="Palatino Linotype" w:cs="Palatino Linotype"/>
          <w:bCs/>
          <w:sz w:val="22"/>
          <w:szCs w:val="22"/>
        </w:rPr>
      </w:pPr>
    </w:p>
    <w:p w14:paraId="75D3F476" w14:textId="77777777" w:rsidR="00980629" w:rsidRPr="00F32B6F" w:rsidRDefault="00980629" w:rsidP="000F3AB5">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Cs/>
          <w:sz w:val="22"/>
          <w:szCs w:val="22"/>
        </w:rPr>
        <w:t xml:space="preserve">Respecto al grado académico, </w:t>
      </w:r>
      <w:r w:rsidRPr="00F32B6F">
        <w:rPr>
          <w:rFonts w:ascii="Palatino Linotype" w:eastAsia="Palatino Linotype" w:hAnsi="Palatino Linotype" w:cs="Palatino Linotype"/>
          <w:bCs/>
          <w:sz w:val="22"/>
          <w:szCs w:val="22"/>
        </w:rPr>
        <w:t>el artículo 47 de la Ley del Trabajo de los Servidores Públicos del Estado y Municipios, refiere que para ingresar al servicio público se requiere, entre otras cosas, cumplir con los requisitos que se establezcan para los diferentes puestos, como es el nivel académico.</w:t>
      </w:r>
    </w:p>
    <w:p w14:paraId="5F565551" w14:textId="77777777" w:rsidR="00980629" w:rsidRPr="00F32B6F" w:rsidRDefault="00980629" w:rsidP="000F3AB5">
      <w:pPr>
        <w:widowControl w:val="0"/>
        <w:spacing w:line="360" w:lineRule="auto"/>
        <w:contextualSpacing/>
        <w:jc w:val="both"/>
        <w:rPr>
          <w:rFonts w:ascii="Palatino Linotype" w:eastAsia="Palatino Linotype" w:hAnsi="Palatino Linotype" w:cs="Palatino Linotype"/>
          <w:bCs/>
          <w:sz w:val="22"/>
          <w:szCs w:val="22"/>
        </w:rPr>
      </w:pPr>
      <w:r w:rsidRPr="00F32B6F">
        <w:rPr>
          <w:rFonts w:ascii="Palatino Linotype" w:eastAsia="Palatino Linotype" w:hAnsi="Palatino Linotype" w:cs="Palatino Linotype"/>
          <w:bCs/>
          <w:sz w:val="22"/>
          <w:szCs w:val="22"/>
        </w:rPr>
        <w:t xml:space="preserve"> </w:t>
      </w:r>
    </w:p>
    <w:p w14:paraId="0E13E769" w14:textId="77777777" w:rsidR="00980629" w:rsidRDefault="00980629" w:rsidP="000F3AB5">
      <w:pPr>
        <w:widowControl w:val="0"/>
        <w:spacing w:line="360" w:lineRule="auto"/>
        <w:contextualSpacing/>
        <w:jc w:val="both"/>
        <w:rPr>
          <w:rFonts w:ascii="Palatino Linotype" w:eastAsia="Palatino Linotype" w:hAnsi="Palatino Linotype" w:cs="Palatino Linotype"/>
          <w:sz w:val="22"/>
          <w:szCs w:val="22"/>
        </w:rPr>
      </w:pPr>
      <w:r w:rsidRPr="00F32B6F">
        <w:rPr>
          <w:rFonts w:ascii="Palatino Linotype" w:eastAsia="Palatino Linotype" w:hAnsi="Palatino Linotype" w:cs="Palatino Linotype"/>
          <w:sz w:val="22"/>
          <w:szCs w:val="22"/>
        </w:rPr>
        <w:t xml:space="preserve">En ese contexto, el Título profesional, certificado de estudios </w:t>
      </w:r>
      <w:proofErr w:type="spellStart"/>
      <w:r w:rsidRPr="00F32B6F">
        <w:rPr>
          <w:rFonts w:ascii="Palatino Linotype" w:eastAsia="Palatino Linotype" w:hAnsi="Palatino Linotype" w:cs="Palatino Linotype"/>
          <w:sz w:val="22"/>
          <w:szCs w:val="22"/>
        </w:rPr>
        <w:t>u</w:t>
      </w:r>
      <w:proofErr w:type="spellEnd"/>
      <w:r w:rsidRPr="00F32B6F">
        <w:rPr>
          <w:rFonts w:ascii="Palatino Linotype" w:eastAsia="Palatino Linotype" w:hAnsi="Palatino Linotype" w:cs="Palatino Linotype"/>
          <w:sz w:val="22"/>
          <w:szCs w:val="22"/>
        </w:rPr>
        <w:t xml:space="preserve"> homólogo corresponde al documento expedido por instituciones del Estado o descentralizadas, y por instituciones particulares que tenga reconocimiento de validez oficial de estudios, a favor de la persona que este en proceso o haya concluido los estudios correspondientes o demostrado tener los </w:t>
      </w:r>
      <w:r w:rsidRPr="00F32B6F">
        <w:rPr>
          <w:rFonts w:ascii="Palatino Linotype" w:eastAsia="Palatino Linotype" w:hAnsi="Palatino Linotype" w:cs="Palatino Linotype"/>
          <w:sz w:val="22"/>
          <w:szCs w:val="22"/>
        </w:rPr>
        <w:lastRenderedPageBreak/>
        <w:t>conocimientos necesarios de conformidad con esta Ley y otras disposiciones aplicables, y para su obtención es  indispensable acreditar que se han cumplido los requisitos académicos previstos por las leyes aplicables; lo anterior de conformidad con los artículos 1° y 8° de la Ley Reglamentaria del Artículo 5° Constitucional, Relativo al Ejercicio de las Profesiones en la Ciudad de México.</w:t>
      </w:r>
    </w:p>
    <w:p w14:paraId="2CA15899" w14:textId="77777777" w:rsidR="00980629" w:rsidRPr="00F32B6F" w:rsidRDefault="00980629" w:rsidP="000F3AB5">
      <w:pPr>
        <w:widowControl w:val="0"/>
        <w:spacing w:line="360" w:lineRule="auto"/>
        <w:contextualSpacing/>
        <w:jc w:val="both"/>
        <w:rPr>
          <w:rFonts w:ascii="Palatino Linotype" w:eastAsia="Palatino Linotype" w:hAnsi="Palatino Linotype" w:cs="Palatino Linotype"/>
          <w:sz w:val="22"/>
          <w:szCs w:val="22"/>
        </w:rPr>
      </w:pPr>
    </w:p>
    <w:p w14:paraId="44D0BAED" w14:textId="77777777" w:rsidR="00980629" w:rsidRPr="00F32B6F" w:rsidRDefault="00980629" w:rsidP="000F3AB5">
      <w:pPr>
        <w:widowControl w:val="0"/>
        <w:spacing w:line="360" w:lineRule="auto"/>
        <w:contextualSpacing/>
        <w:jc w:val="both"/>
        <w:rPr>
          <w:rFonts w:ascii="Palatino Linotype" w:eastAsia="Palatino Linotype" w:hAnsi="Palatino Linotype" w:cs="Palatino Linotype"/>
          <w:b/>
          <w:bCs/>
          <w:sz w:val="22"/>
          <w:szCs w:val="22"/>
        </w:rPr>
      </w:pPr>
      <w:r w:rsidRPr="00F32B6F">
        <w:rPr>
          <w:rFonts w:ascii="Palatino Linotype" w:eastAsia="Palatino Linotype" w:hAnsi="Palatino Linotype" w:cs="Palatino Linotype"/>
          <w:bCs/>
          <w:sz w:val="22"/>
          <w:szCs w:val="22"/>
        </w:rPr>
        <w:t xml:space="preserve">En este sentido, los documentos que </w:t>
      </w:r>
      <w:r w:rsidRPr="00F32B6F">
        <w:rPr>
          <w:rFonts w:ascii="Palatino Linotype" w:eastAsia="Palatino Linotype" w:hAnsi="Palatino Linotype" w:cs="Palatino Linotype"/>
          <w:b/>
          <w:bCs/>
          <w:sz w:val="22"/>
          <w:szCs w:val="22"/>
        </w:rPr>
        <w:t>dan cuenta de la preparación académica, sirven como medios de identificación, para que a su titular lo relacionen con el nivel de estudios con que cuenta, tales como el título y cédula profesional o bien, un certificado de estudios, independientemente de que estos sean o no medios de identificación oficiales.</w:t>
      </w:r>
    </w:p>
    <w:p w14:paraId="169FEBAB" w14:textId="77777777" w:rsidR="00980629" w:rsidRPr="00F32B6F" w:rsidRDefault="00980629" w:rsidP="000F3AB5">
      <w:pPr>
        <w:widowControl w:val="0"/>
        <w:spacing w:line="360" w:lineRule="auto"/>
        <w:contextualSpacing/>
        <w:jc w:val="both"/>
        <w:rPr>
          <w:rFonts w:ascii="Palatino Linotype" w:eastAsia="Palatino Linotype" w:hAnsi="Palatino Linotype" w:cs="Palatino Linotype"/>
          <w:bCs/>
          <w:iCs/>
          <w:sz w:val="22"/>
          <w:szCs w:val="22"/>
        </w:rPr>
      </w:pPr>
      <w:r w:rsidRPr="00F32B6F">
        <w:rPr>
          <w:rFonts w:ascii="Palatino Linotype" w:eastAsia="Palatino Linotype" w:hAnsi="Palatino Linotype" w:cs="Palatino Linotype"/>
          <w:bCs/>
          <w:iCs/>
          <w:sz w:val="22"/>
          <w:szCs w:val="22"/>
        </w:rPr>
        <w:t xml:space="preserve"> </w:t>
      </w:r>
    </w:p>
    <w:p w14:paraId="234D8D06" w14:textId="2F69A3F9" w:rsidR="00980629" w:rsidRPr="00450C94" w:rsidRDefault="00980629" w:rsidP="000F3AB5">
      <w:pPr>
        <w:widowControl w:val="0"/>
        <w:spacing w:line="360" w:lineRule="auto"/>
        <w:contextualSpacing/>
        <w:jc w:val="both"/>
        <w:rPr>
          <w:rFonts w:ascii="Palatino Linotype" w:eastAsia="Palatino Linotype" w:hAnsi="Palatino Linotype" w:cs="Palatino Linotype"/>
          <w:b/>
          <w:bCs/>
          <w:sz w:val="22"/>
          <w:szCs w:val="22"/>
        </w:rPr>
      </w:pPr>
      <w:r w:rsidRPr="00F32B6F">
        <w:rPr>
          <w:rFonts w:ascii="Palatino Linotype" w:eastAsia="Palatino Linotype" w:hAnsi="Palatino Linotype" w:cs="Palatino Linotype"/>
          <w:bCs/>
          <w:sz w:val="22"/>
          <w:szCs w:val="22"/>
        </w:rPr>
        <w:t xml:space="preserve">Además, debe tenerse presente que la naturaleza del título profesional o bien, del certificado </w:t>
      </w:r>
      <w:proofErr w:type="spellStart"/>
      <w:r w:rsidRPr="00F32B6F">
        <w:rPr>
          <w:rFonts w:ascii="Palatino Linotype" w:eastAsia="Palatino Linotype" w:hAnsi="Palatino Linotype" w:cs="Palatino Linotype"/>
          <w:bCs/>
          <w:sz w:val="22"/>
          <w:szCs w:val="22"/>
        </w:rPr>
        <w:t>u</w:t>
      </w:r>
      <w:proofErr w:type="spellEnd"/>
      <w:r w:rsidRPr="00F32B6F">
        <w:rPr>
          <w:rFonts w:ascii="Palatino Linotype" w:eastAsia="Palatino Linotype" w:hAnsi="Palatino Linotype" w:cs="Palatino Linotype"/>
          <w:bCs/>
          <w:sz w:val="22"/>
          <w:szCs w:val="22"/>
        </w:rPr>
        <w:t xml:space="preserve"> homólogo, consiste en la de ser documentos de identificación para que a sus titulares, los acrediten como profesionales o expertos en algún área de estudio o conocimiento frente a terceros; por lo que, proporcionar dicha información </w:t>
      </w:r>
      <w:r w:rsidRPr="00F32B6F">
        <w:rPr>
          <w:rFonts w:ascii="Palatino Linotype" w:eastAsia="Palatino Linotype" w:hAnsi="Palatino Linotype" w:cs="Palatino Linotype"/>
          <w:b/>
          <w:bCs/>
          <w:sz w:val="22"/>
          <w:szCs w:val="22"/>
        </w:rPr>
        <w:t>abona a la transparencia y a la rendición de cuentas, pues sirven a la ciudadanía para comprobar que las personas que se desempeñan como servidores públicos tienen el perfil idóneo, la capacidad, las habilidades y la pericia para desarrollar las actividades y atribuciones que se deriven de su encargo.</w:t>
      </w:r>
      <w:r w:rsidR="00450C94">
        <w:rPr>
          <w:rFonts w:ascii="Palatino Linotype" w:eastAsia="Palatino Linotype" w:hAnsi="Palatino Linotype" w:cs="Palatino Linotype"/>
          <w:sz w:val="22"/>
          <w:szCs w:val="22"/>
        </w:rPr>
        <w:t xml:space="preserve"> </w:t>
      </w:r>
    </w:p>
    <w:p w14:paraId="563AA682" w14:textId="53EE8C8B" w:rsidR="00980629" w:rsidRDefault="00980629" w:rsidP="000F3AB5">
      <w:pPr>
        <w:widowControl w:val="0"/>
        <w:spacing w:line="360" w:lineRule="auto"/>
        <w:contextualSpacing/>
        <w:jc w:val="both"/>
        <w:rPr>
          <w:rFonts w:ascii="Palatino Linotype" w:eastAsia="Palatino Linotype" w:hAnsi="Palatino Linotype" w:cs="Palatino Linotype"/>
          <w:bCs/>
          <w:sz w:val="22"/>
          <w:szCs w:val="22"/>
        </w:rPr>
      </w:pPr>
    </w:p>
    <w:p w14:paraId="0C4022A0" w14:textId="77777777" w:rsidR="00DB752C" w:rsidRPr="00587816" w:rsidRDefault="00216833" w:rsidP="000F3AB5">
      <w:pPr>
        <w:spacing w:line="360" w:lineRule="auto"/>
        <w:contextualSpacing/>
        <w:jc w:val="both"/>
        <w:rPr>
          <w:rFonts w:ascii="Palatino Linotype" w:hAnsi="Palatino Linotype"/>
          <w:sz w:val="22"/>
          <w:szCs w:val="22"/>
        </w:rPr>
      </w:pPr>
      <w:r w:rsidRPr="00216833">
        <w:rPr>
          <w:rFonts w:ascii="Palatino Linotype" w:eastAsia="Palatino Linotype" w:hAnsi="Palatino Linotype" w:cs="Palatino Linotype"/>
          <w:bCs/>
          <w:iCs/>
          <w:sz w:val="22"/>
          <w:szCs w:val="22"/>
        </w:rPr>
        <w:t xml:space="preserve">Conforme a lo anterior, se logra vislumbrar que la pretensión del ahora Recurrente, es obtener </w:t>
      </w:r>
      <w:r w:rsidR="00DB752C">
        <w:rPr>
          <w:rFonts w:ascii="Palatino Linotype" w:hAnsi="Palatino Linotype"/>
          <w:sz w:val="22"/>
          <w:szCs w:val="22"/>
        </w:rPr>
        <w:t>r</w:t>
      </w:r>
      <w:r w:rsidR="00DB752C" w:rsidRPr="00587816">
        <w:rPr>
          <w:rFonts w:ascii="Palatino Linotype" w:hAnsi="Palatino Linotype"/>
          <w:sz w:val="22"/>
          <w:szCs w:val="22"/>
        </w:rPr>
        <w:t>especto de las licencias de funcionamiento, permiso o autorización emitidas por el Ayuntamiento de San Martín de las Pirámides para la venta de bebidas alcohólicas, al primero de abril de dos mil veinticinco</w:t>
      </w:r>
      <w:r w:rsidR="00DB752C">
        <w:rPr>
          <w:rFonts w:ascii="Palatino Linotype" w:hAnsi="Palatino Linotype"/>
          <w:sz w:val="22"/>
          <w:szCs w:val="22"/>
        </w:rPr>
        <w:t>, los documentos que dieran cuenta de lo siguiente:</w:t>
      </w:r>
    </w:p>
    <w:p w14:paraId="137D1278" w14:textId="77777777" w:rsidR="00DB752C" w:rsidRPr="00587816" w:rsidRDefault="00DB752C" w:rsidP="000F3AB5">
      <w:pPr>
        <w:spacing w:line="360" w:lineRule="auto"/>
        <w:ind w:left="357" w:hanging="357"/>
        <w:contextualSpacing/>
        <w:jc w:val="both"/>
        <w:rPr>
          <w:rFonts w:ascii="Palatino Linotype" w:hAnsi="Palatino Linotype"/>
          <w:sz w:val="22"/>
          <w:szCs w:val="22"/>
        </w:rPr>
      </w:pPr>
    </w:p>
    <w:p w14:paraId="765BD1D8" w14:textId="1059927B" w:rsidR="00865F5C" w:rsidRPr="00FF6F46" w:rsidRDefault="00865F5C" w:rsidP="00865F5C">
      <w:pPr>
        <w:pStyle w:val="Prrafodelista"/>
        <w:numPr>
          <w:ilvl w:val="0"/>
          <w:numId w:val="18"/>
        </w:numPr>
        <w:spacing w:after="160" w:line="360" w:lineRule="auto"/>
        <w:jc w:val="both"/>
        <w:rPr>
          <w:rFonts w:ascii="Palatino Linotype" w:hAnsi="Palatino Linotype"/>
          <w:sz w:val="22"/>
          <w:szCs w:val="22"/>
        </w:rPr>
      </w:pPr>
      <w:r w:rsidRPr="00FF6F46">
        <w:rPr>
          <w:rFonts w:ascii="Palatino Linotype" w:hAnsi="Palatino Linotype"/>
          <w:sz w:val="22"/>
          <w:szCs w:val="22"/>
        </w:rPr>
        <w:lastRenderedPageBreak/>
        <w:t xml:space="preserve">Resultado de la visita de verificación al establecimiento ubicado en: Casimiro L. Martínez, casi esquina con Boulevard Torrente Piedras Negras, y si cuenta con licencia de funcionamiento. </w:t>
      </w:r>
    </w:p>
    <w:p w14:paraId="156430F0" w14:textId="0CE633BF" w:rsidR="00DB752C" w:rsidRDefault="00DB752C" w:rsidP="00BA1092">
      <w:pPr>
        <w:pStyle w:val="Prrafodelista"/>
        <w:numPr>
          <w:ilvl w:val="0"/>
          <w:numId w:val="18"/>
        </w:numPr>
        <w:spacing w:after="160" w:line="360" w:lineRule="auto"/>
        <w:jc w:val="both"/>
        <w:rPr>
          <w:rFonts w:ascii="Palatino Linotype" w:hAnsi="Palatino Linotype"/>
          <w:sz w:val="22"/>
          <w:szCs w:val="22"/>
        </w:rPr>
      </w:pPr>
      <w:r w:rsidRPr="00587816">
        <w:rPr>
          <w:rFonts w:ascii="Palatino Linotype" w:hAnsi="Palatino Linotype"/>
          <w:sz w:val="22"/>
          <w:szCs w:val="22"/>
        </w:rPr>
        <w:t>Versión pública de la</w:t>
      </w:r>
      <w:r w:rsidR="00B12780">
        <w:rPr>
          <w:rFonts w:ascii="Palatino Linotype" w:hAnsi="Palatino Linotype"/>
          <w:sz w:val="22"/>
          <w:szCs w:val="22"/>
        </w:rPr>
        <w:t>s</w:t>
      </w:r>
      <w:r w:rsidRPr="00587816">
        <w:rPr>
          <w:rFonts w:ascii="Palatino Linotype" w:hAnsi="Palatino Linotype"/>
          <w:sz w:val="22"/>
          <w:szCs w:val="22"/>
        </w:rPr>
        <w:t xml:space="preserve"> licencia</w:t>
      </w:r>
      <w:r w:rsidR="00B12780">
        <w:rPr>
          <w:rFonts w:ascii="Palatino Linotype" w:hAnsi="Palatino Linotype"/>
          <w:sz w:val="22"/>
          <w:szCs w:val="22"/>
        </w:rPr>
        <w:t>s</w:t>
      </w:r>
      <w:r w:rsidRPr="00587816">
        <w:rPr>
          <w:rFonts w:ascii="Palatino Linotype" w:hAnsi="Palatino Linotype"/>
          <w:sz w:val="22"/>
          <w:szCs w:val="22"/>
        </w:rPr>
        <w:t xml:space="preserve"> de funcionamiento, permiso o autorización emitidas</w:t>
      </w:r>
      <w:r w:rsidR="00B12780">
        <w:rPr>
          <w:rFonts w:ascii="Palatino Linotype" w:hAnsi="Palatino Linotype"/>
          <w:sz w:val="22"/>
          <w:szCs w:val="22"/>
        </w:rPr>
        <w:t xml:space="preserve"> del cuatro de abril de dos mil veinticuatro al cuatro de abril de dos mil veinticinco.</w:t>
      </w:r>
    </w:p>
    <w:p w14:paraId="3FB61F02" w14:textId="374F0A4D" w:rsidR="00DB752C" w:rsidRPr="00587816" w:rsidRDefault="00DB752C" w:rsidP="00BA1092">
      <w:pPr>
        <w:pStyle w:val="Prrafodelista"/>
        <w:numPr>
          <w:ilvl w:val="0"/>
          <w:numId w:val="18"/>
        </w:numPr>
        <w:spacing w:after="160" w:line="360" w:lineRule="auto"/>
        <w:jc w:val="both"/>
        <w:rPr>
          <w:rFonts w:ascii="Palatino Linotype" w:hAnsi="Palatino Linotype"/>
          <w:sz w:val="22"/>
          <w:szCs w:val="22"/>
        </w:rPr>
      </w:pPr>
      <w:r w:rsidRPr="00587816">
        <w:rPr>
          <w:rFonts w:ascii="Palatino Linotype" w:hAnsi="Palatino Linotype"/>
          <w:sz w:val="22"/>
          <w:szCs w:val="22"/>
        </w:rPr>
        <w:t>Acta</w:t>
      </w:r>
      <w:r w:rsidR="00B12780">
        <w:rPr>
          <w:rFonts w:ascii="Palatino Linotype" w:hAnsi="Palatino Linotype"/>
          <w:sz w:val="22"/>
          <w:szCs w:val="22"/>
        </w:rPr>
        <w:t>s</w:t>
      </w:r>
      <w:r w:rsidRPr="00587816">
        <w:rPr>
          <w:rFonts w:ascii="Palatino Linotype" w:hAnsi="Palatino Linotype"/>
          <w:sz w:val="22"/>
          <w:szCs w:val="22"/>
        </w:rPr>
        <w:t xml:space="preserve"> de </w:t>
      </w:r>
      <w:r w:rsidR="000F3AB5">
        <w:rPr>
          <w:rFonts w:ascii="Palatino Linotype" w:hAnsi="Palatino Linotype"/>
          <w:sz w:val="22"/>
          <w:szCs w:val="22"/>
        </w:rPr>
        <w:t>C</w:t>
      </w:r>
      <w:r w:rsidRPr="00587816">
        <w:rPr>
          <w:rFonts w:ascii="Palatino Linotype" w:hAnsi="Palatino Linotype"/>
          <w:sz w:val="22"/>
          <w:szCs w:val="22"/>
        </w:rPr>
        <w:t>abildo</w:t>
      </w:r>
      <w:r w:rsidR="000F3AB5">
        <w:rPr>
          <w:rFonts w:ascii="Palatino Linotype" w:hAnsi="Palatino Linotype"/>
          <w:sz w:val="22"/>
          <w:szCs w:val="22"/>
        </w:rPr>
        <w:t xml:space="preserve"> o Dictámenes de Giro</w:t>
      </w:r>
      <w:r w:rsidRPr="00587816">
        <w:rPr>
          <w:rFonts w:ascii="Palatino Linotype" w:hAnsi="Palatino Linotype"/>
          <w:sz w:val="22"/>
          <w:szCs w:val="22"/>
        </w:rPr>
        <w:t xml:space="preserve"> a través de la</w:t>
      </w:r>
      <w:r w:rsidR="00B12780">
        <w:rPr>
          <w:rFonts w:ascii="Palatino Linotype" w:hAnsi="Palatino Linotype"/>
          <w:sz w:val="22"/>
          <w:szCs w:val="22"/>
        </w:rPr>
        <w:t>s</w:t>
      </w:r>
      <w:r w:rsidRPr="00587816">
        <w:rPr>
          <w:rFonts w:ascii="Palatino Linotype" w:hAnsi="Palatino Linotype"/>
          <w:sz w:val="22"/>
          <w:szCs w:val="22"/>
        </w:rPr>
        <w:t xml:space="preserve"> cual</w:t>
      </w:r>
      <w:r w:rsidR="00B12780">
        <w:rPr>
          <w:rFonts w:ascii="Palatino Linotype" w:hAnsi="Palatino Linotype"/>
          <w:sz w:val="22"/>
          <w:szCs w:val="22"/>
        </w:rPr>
        <w:t>es</w:t>
      </w:r>
      <w:r w:rsidRPr="00587816">
        <w:rPr>
          <w:rFonts w:ascii="Palatino Linotype" w:hAnsi="Palatino Linotype"/>
          <w:sz w:val="22"/>
          <w:szCs w:val="22"/>
        </w:rPr>
        <w:t xml:space="preserve"> se aprobó su emisión. </w:t>
      </w:r>
    </w:p>
    <w:p w14:paraId="48D075EE" w14:textId="54D60D11" w:rsidR="00DB752C" w:rsidRPr="00587816" w:rsidRDefault="000F3AB5" w:rsidP="00BA1092">
      <w:pPr>
        <w:pStyle w:val="Prrafodelista"/>
        <w:numPr>
          <w:ilvl w:val="0"/>
          <w:numId w:val="18"/>
        </w:numPr>
        <w:spacing w:after="160" w:line="360" w:lineRule="auto"/>
        <w:jc w:val="both"/>
        <w:rPr>
          <w:rFonts w:ascii="Palatino Linotype" w:hAnsi="Palatino Linotype"/>
          <w:sz w:val="22"/>
          <w:szCs w:val="22"/>
        </w:rPr>
      </w:pPr>
      <w:r>
        <w:rPr>
          <w:rFonts w:ascii="Palatino Linotype" w:hAnsi="Palatino Linotype"/>
          <w:sz w:val="22"/>
          <w:szCs w:val="22"/>
        </w:rPr>
        <w:t>V</w:t>
      </w:r>
      <w:r w:rsidR="00DB752C" w:rsidRPr="00587816">
        <w:rPr>
          <w:rFonts w:ascii="Palatino Linotype" w:hAnsi="Palatino Linotype"/>
          <w:sz w:val="22"/>
          <w:szCs w:val="22"/>
        </w:rPr>
        <w:t>isitas de verificación</w:t>
      </w:r>
      <w:r w:rsidR="004260FF">
        <w:rPr>
          <w:rFonts w:ascii="Palatino Linotype" w:hAnsi="Palatino Linotype"/>
          <w:sz w:val="22"/>
          <w:szCs w:val="22"/>
        </w:rPr>
        <w:t xml:space="preserve"> realizadas </w:t>
      </w:r>
      <w:r w:rsidR="004260FF" w:rsidRPr="00587816">
        <w:rPr>
          <w:rFonts w:ascii="Palatino Linotype" w:hAnsi="Palatino Linotype"/>
          <w:sz w:val="22"/>
          <w:szCs w:val="22"/>
        </w:rPr>
        <w:t>a unidades económicas con venta de bebidas alcohólicas</w:t>
      </w:r>
      <w:r w:rsidR="00DB752C" w:rsidRPr="00587816">
        <w:rPr>
          <w:rFonts w:ascii="Palatino Linotype" w:hAnsi="Palatino Linotype"/>
          <w:sz w:val="22"/>
          <w:szCs w:val="22"/>
        </w:rPr>
        <w:t xml:space="preserve"> </w:t>
      </w:r>
      <w:r w:rsidR="004260FF">
        <w:rPr>
          <w:rFonts w:ascii="Palatino Linotype" w:hAnsi="Palatino Linotype"/>
          <w:sz w:val="22"/>
          <w:szCs w:val="22"/>
        </w:rPr>
        <w:t xml:space="preserve">realizadas </w:t>
      </w:r>
      <w:r w:rsidR="00DB752C" w:rsidRPr="00587816">
        <w:rPr>
          <w:rFonts w:ascii="Palatino Linotype" w:hAnsi="Palatino Linotype"/>
          <w:sz w:val="22"/>
          <w:szCs w:val="22"/>
        </w:rPr>
        <w:t>de</w:t>
      </w:r>
      <w:r w:rsidR="00B12780">
        <w:rPr>
          <w:rFonts w:ascii="Palatino Linotype" w:hAnsi="Palatino Linotype"/>
          <w:sz w:val="22"/>
          <w:szCs w:val="22"/>
        </w:rPr>
        <w:t>l primero de enero</w:t>
      </w:r>
      <w:r w:rsidR="004260FF">
        <w:rPr>
          <w:rFonts w:ascii="Palatino Linotype" w:hAnsi="Palatino Linotype"/>
          <w:sz w:val="22"/>
          <w:szCs w:val="22"/>
        </w:rPr>
        <w:t xml:space="preserve"> al cuatro de abril</w:t>
      </w:r>
      <w:r w:rsidR="00DB752C" w:rsidRPr="00587816">
        <w:rPr>
          <w:rFonts w:ascii="Palatino Linotype" w:hAnsi="Palatino Linotype"/>
          <w:sz w:val="22"/>
          <w:szCs w:val="22"/>
        </w:rPr>
        <w:t xml:space="preserve"> de </w:t>
      </w:r>
      <w:r w:rsidR="004260FF">
        <w:rPr>
          <w:rFonts w:ascii="Palatino Linotype" w:hAnsi="Palatino Linotype"/>
          <w:sz w:val="22"/>
          <w:szCs w:val="22"/>
        </w:rPr>
        <w:t>dos mil veinticinco</w:t>
      </w:r>
      <w:r w:rsidR="00DB752C" w:rsidRPr="00587816">
        <w:rPr>
          <w:rFonts w:ascii="Palatino Linotype" w:hAnsi="Palatino Linotype"/>
          <w:sz w:val="22"/>
          <w:szCs w:val="22"/>
        </w:rPr>
        <w:t>.</w:t>
      </w:r>
    </w:p>
    <w:p w14:paraId="036B44E5" w14:textId="57262A1A" w:rsidR="00DB752C" w:rsidRPr="000F3AB5" w:rsidRDefault="00DB752C" w:rsidP="00BA1092">
      <w:pPr>
        <w:pStyle w:val="Prrafodelista"/>
        <w:numPr>
          <w:ilvl w:val="0"/>
          <w:numId w:val="18"/>
        </w:numPr>
        <w:spacing w:after="160" w:line="360" w:lineRule="auto"/>
        <w:jc w:val="both"/>
        <w:rPr>
          <w:rFonts w:ascii="Palatino Linotype" w:hAnsi="Palatino Linotype"/>
          <w:sz w:val="22"/>
          <w:szCs w:val="22"/>
        </w:rPr>
      </w:pPr>
      <w:r w:rsidRPr="00587816">
        <w:rPr>
          <w:rFonts w:ascii="Palatino Linotype" w:hAnsi="Palatino Linotype"/>
          <w:sz w:val="22"/>
          <w:szCs w:val="22"/>
        </w:rPr>
        <w:t>Cuántas unidades económicas (puestos) ejercen la actividad comercial en espacios o vías públicas</w:t>
      </w:r>
      <w:r w:rsidR="000F3AB5">
        <w:rPr>
          <w:rFonts w:ascii="Palatino Linotype" w:hAnsi="Palatino Linotype"/>
          <w:sz w:val="22"/>
          <w:szCs w:val="22"/>
        </w:rPr>
        <w:t>.</w:t>
      </w:r>
    </w:p>
    <w:p w14:paraId="453EB356" w14:textId="41077BF8" w:rsidR="00DB752C" w:rsidRPr="00587816" w:rsidRDefault="000F3AB5" w:rsidP="00BA1092">
      <w:pPr>
        <w:pStyle w:val="Prrafodelista"/>
        <w:numPr>
          <w:ilvl w:val="0"/>
          <w:numId w:val="18"/>
        </w:numPr>
        <w:spacing w:after="160" w:line="360" w:lineRule="auto"/>
        <w:jc w:val="both"/>
        <w:rPr>
          <w:rFonts w:ascii="Palatino Linotype" w:hAnsi="Palatino Linotype"/>
          <w:sz w:val="22"/>
          <w:szCs w:val="22"/>
        </w:rPr>
      </w:pPr>
      <w:r>
        <w:rPr>
          <w:rFonts w:ascii="Palatino Linotype" w:hAnsi="Palatino Linotype"/>
          <w:sz w:val="22"/>
          <w:szCs w:val="22"/>
        </w:rPr>
        <w:t>A</w:t>
      </w:r>
      <w:r w:rsidR="00DB752C" w:rsidRPr="00587816">
        <w:rPr>
          <w:rFonts w:ascii="Palatino Linotype" w:hAnsi="Palatino Linotype"/>
          <w:sz w:val="22"/>
          <w:szCs w:val="22"/>
        </w:rPr>
        <w:t>cciones realiz</w:t>
      </w:r>
      <w:r>
        <w:rPr>
          <w:rFonts w:ascii="Palatino Linotype" w:hAnsi="Palatino Linotype"/>
          <w:sz w:val="22"/>
          <w:szCs w:val="22"/>
        </w:rPr>
        <w:t>adas</w:t>
      </w:r>
      <w:r w:rsidR="00DB752C" w:rsidRPr="00587816">
        <w:rPr>
          <w:rFonts w:ascii="Palatino Linotype" w:hAnsi="Palatino Linotype"/>
          <w:sz w:val="22"/>
          <w:szCs w:val="22"/>
        </w:rPr>
        <w:t xml:space="preserve"> </w:t>
      </w:r>
      <w:r>
        <w:rPr>
          <w:rFonts w:ascii="Palatino Linotype" w:hAnsi="Palatino Linotype"/>
          <w:sz w:val="22"/>
          <w:szCs w:val="22"/>
        </w:rPr>
        <w:t xml:space="preserve">para </w:t>
      </w:r>
      <w:r w:rsidR="00DB752C" w:rsidRPr="00587816">
        <w:rPr>
          <w:rFonts w:ascii="Palatino Linotype" w:hAnsi="Palatino Linotype"/>
          <w:sz w:val="22"/>
          <w:szCs w:val="22"/>
        </w:rPr>
        <w:t xml:space="preserve">combatir al comercio informal. </w:t>
      </w:r>
    </w:p>
    <w:p w14:paraId="55E3E812" w14:textId="05BB9ADB" w:rsidR="00D1222A" w:rsidRDefault="00DB752C" w:rsidP="00BA1092">
      <w:pPr>
        <w:pStyle w:val="Prrafodelista"/>
        <w:numPr>
          <w:ilvl w:val="0"/>
          <w:numId w:val="18"/>
        </w:numPr>
        <w:spacing w:after="160" w:line="360" w:lineRule="auto"/>
        <w:jc w:val="both"/>
        <w:rPr>
          <w:rFonts w:ascii="Palatino Linotype" w:hAnsi="Palatino Linotype"/>
          <w:sz w:val="22"/>
          <w:szCs w:val="22"/>
        </w:rPr>
      </w:pPr>
      <w:r w:rsidRPr="00587816">
        <w:rPr>
          <w:rFonts w:ascii="Palatino Linotype" w:hAnsi="Palatino Linotype"/>
          <w:sz w:val="22"/>
          <w:szCs w:val="22"/>
        </w:rPr>
        <w:t>Nombre completo y grado académico del Director de Comercio.</w:t>
      </w:r>
    </w:p>
    <w:p w14:paraId="261C45DF" w14:textId="77777777" w:rsidR="00DB752C" w:rsidRPr="00DB752C" w:rsidRDefault="00DB752C" w:rsidP="000F3AB5">
      <w:pPr>
        <w:pStyle w:val="Prrafodelista"/>
        <w:spacing w:after="160" w:line="360" w:lineRule="auto"/>
        <w:jc w:val="both"/>
        <w:rPr>
          <w:rFonts w:ascii="Palatino Linotype" w:hAnsi="Palatino Linotype"/>
          <w:sz w:val="22"/>
          <w:szCs w:val="22"/>
        </w:rPr>
      </w:pPr>
    </w:p>
    <w:p w14:paraId="234AD401" w14:textId="698EEF8B" w:rsidR="00D1222A" w:rsidRPr="00AC17E4" w:rsidRDefault="00D1222A" w:rsidP="000F3AB5">
      <w:pPr>
        <w:spacing w:line="360" w:lineRule="auto"/>
        <w:ind w:right="-28"/>
        <w:contextualSpacing/>
        <w:jc w:val="both"/>
        <w:rPr>
          <w:rFonts w:ascii="Palatino Linotype" w:eastAsia="Palatino Linotype" w:hAnsi="Palatino Linotype" w:cs="Palatino Linotype"/>
          <w:sz w:val="22"/>
          <w:szCs w:val="22"/>
        </w:rPr>
      </w:pPr>
      <w:r w:rsidRPr="0028418F">
        <w:rPr>
          <w:rFonts w:ascii="Palatino Linotype" w:eastAsia="Palatino Linotype" w:hAnsi="Palatino Linotype" w:cs="Palatino Linotype"/>
          <w:sz w:val="22"/>
          <w:szCs w:val="22"/>
        </w:rPr>
        <w:t>Establecida dicha circunstancia, se procede analizar la respuesta entregada, para lo cual, es de señalar que de las constancias que obran en el expediente, se logra advertir que el Sujeto Obligado turno la solicitud de información a</w:t>
      </w:r>
      <w:r>
        <w:rPr>
          <w:rFonts w:ascii="Palatino Linotype" w:eastAsia="Palatino Linotype" w:hAnsi="Palatino Linotype" w:cs="Palatino Linotype"/>
          <w:sz w:val="22"/>
          <w:szCs w:val="22"/>
        </w:rPr>
        <w:t xml:space="preserve"> </w:t>
      </w:r>
      <w:r w:rsidRPr="0028418F">
        <w:rPr>
          <w:rFonts w:ascii="Palatino Linotype" w:eastAsia="Palatino Linotype" w:hAnsi="Palatino Linotype" w:cs="Palatino Linotype"/>
          <w:sz w:val="22"/>
          <w:szCs w:val="22"/>
        </w:rPr>
        <w:t>l</w:t>
      </w:r>
      <w:r>
        <w:rPr>
          <w:rFonts w:ascii="Palatino Linotype" w:eastAsia="Palatino Linotype" w:hAnsi="Palatino Linotype" w:cs="Palatino Linotype"/>
          <w:sz w:val="22"/>
          <w:szCs w:val="22"/>
        </w:rPr>
        <w:t>a</w:t>
      </w:r>
      <w:r w:rsidRPr="0028418F">
        <w:rPr>
          <w:rFonts w:ascii="Palatino Linotype" w:eastAsia="Palatino Linotype" w:hAnsi="Palatino Linotype" w:cs="Palatino Linotype"/>
          <w:sz w:val="22"/>
          <w:szCs w:val="22"/>
        </w:rPr>
        <w:t xml:space="preserve"> </w:t>
      </w:r>
      <w:r w:rsidR="00DB752C">
        <w:rPr>
          <w:rFonts w:ascii="Palatino Linotype" w:eastAsia="Palatino Linotype" w:hAnsi="Palatino Linotype" w:cs="Palatino Linotype"/>
          <w:sz w:val="22"/>
          <w:szCs w:val="22"/>
        </w:rPr>
        <w:t>Dirección de Desarrollo Económico</w:t>
      </w:r>
      <w:r>
        <w:rPr>
          <w:rFonts w:ascii="Palatino Linotype" w:eastAsia="Palatino Linotype" w:hAnsi="Palatino Linotype" w:cs="Palatino Linotype"/>
          <w:sz w:val="22"/>
          <w:szCs w:val="22"/>
        </w:rPr>
        <w:t>, por lo que</w:t>
      </w:r>
      <w:r w:rsidRPr="00AC17E4">
        <w:rPr>
          <w:rFonts w:ascii="Palatino Linotype" w:eastAsia="Palatino Linotype" w:hAnsi="Palatino Linotype" w:cs="Palatino Linotype"/>
          <w:sz w:val="22"/>
          <w:szCs w:val="22"/>
        </w:rPr>
        <w:t xml:space="preserve"> resulta necesario hacer referencia al procedimiento de búsqueda que deben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p>
    <w:p w14:paraId="08B3FF8F" w14:textId="77777777" w:rsidR="00D1222A" w:rsidRPr="00AC17E4" w:rsidRDefault="00D1222A" w:rsidP="000F3AB5">
      <w:pPr>
        <w:spacing w:line="360" w:lineRule="auto"/>
        <w:ind w:right="-28"/>
        <w:contextualSpacing/>
        <w:jc w:val="both"/>
        <w:rPr>
          <w:rFonts w:ascii="Palatino Linotype" w:eastAsia="Palatino Linotype" w:hAnsi="Palatino Linotype" w:cs="Palatino Linotype"/>
          <w:sz w:val="22"/>
          <w:szCs w:val="22"/>
        </w:rPr>
      </w:pPr>
    </w:p>
    <w:p w14:paraId="7C5FD894" w14:textId="1BEED7D0" w:rsidR="00D1222A" w:rsidRDefault="00D1222A" w:rsidP="000F3AB5">
      <w:pPr>
        <w:spacing w:line="360" w:lineRule="auto"/>
        <w:ind w:right="-28"/>
        <w:contextualSpacing/>
        <w:jc w:val="both"/>
        <w:rPr>
          <w:rFonts w:ascii="Palatino Linotype" w:eastAsia="Palatino Linotype" w:hAnsi="Palatino Linotype" w:cs="Palatino Linotype"/>
          <w:sz w:val="22"/>
          <w:szCs w:val="22"/>
        </w:rPr>
      </w:pPr>
      <w:r w:rsidRPr="00AC17E4">
        <w:rPr>
          <w:rFonts w:ascii="Palatino Linotype" w:eastAsia="Palatino Linotype" w:hAnsi="Palatino Linotype" w:cs="Palatino Linotype"/>
          <w:sz w:val="22"/>
          <w:szCs w:val="22"/>
        </w:rPr>
        <w:lastRenderedPageBreak/>
        <w:t xml:space="preserve">Así, es necesario traer al estudio </w:t>
      </w:r>
      <w:r>
        <w:rPr>
          <w:rFonts w:ascii="Palatino Linotype" w:eastAsia="Calibri" w:hAnsi="Palatino Linotype" w:cs="Tahoma"/>
          <w:bCs/>
          <w:sz w:val="22"/>
          <w:szCs w:val="22"/>
        </w:rPr>
        <w:t xml:space="preserve">los artículos </w:t>
      </w:r>
      <w:r w:rsidR="00DB752C">
        <w:rPr>
          <w:rFonts w:ascii="Palatino Linotype" w:eastAsia="Calibri" w:hAnsi="Palatino Linotype" w:cs="Tahoma"/>
          <w:bCs/>
          <w:sz w:val="22"/>
          <w:szCs w:val="22"/>
        </w:rPr>
        <w:t>56</w:t>
      </w:r>
      <w:r>
        <w:rPr>
          <w:rFonts w:ascii="Palatino Linotype" w:eastAsia="Calibri" w:hAnsi="Palatino Linotype" w:cs="Tahoma"/>
          <w:bCs/>
          <w:sz w:val="22"/>
          <w:szCs w:val="22"/>
        </w:rPr>
        <w:t xml:space="preserve"> fracción </w:t>
      </w:r>
      <w:r w:rsidR="00DB752C">
        <w:rPr>
          <w:rFonts w:ascii="Palatino Linotype" w:eastAsia="Calibri" w:hAnsi="Palatino Linotype" w:cs="Tahoma"/>
          <w:bCs/>
          <w:sz w:val="22"/>
          <w:szCs w:val="22"/>
        </w:rPr>
        <w:t xml:space="preserve">I </w:t>
      </w:r>
      <w:r>
        <w:rPr>
          <w:rFonts w:ascii="Palatino Linotype" w:eastAsia="Calibri" w:hAnsi="Palatino Linotype" w:cs="Tahoma"/>
          <w:bCs/>
          <w:sz w:val="22"/>
          <w:szCs w:val="22"/>
        </w:rPr>
        <w:t>y X</w:t>
      </w:r>
      <w:r w:rsidR="00DB752C">
        <w:rPr>
          <w:rFonts w:ascii="Palatino Linotype" w:eastAsia="Calibri" w:hAnsi="Palatino Linotype" w:cs="Tahoma"/>
          <w:bCs/>
          <w:sz w:val="22"/>
          <w:szCs w:val="22"/>
        </w:rPr>
        <w:t>V</w:t>
      </w:r>
      <w:r>
        <w:rPr>
          <w:rFonts w:ascii="Palatino Linotype" w:eastAsia="Calibri" w:hAnsi="Palatino Linotype" w:cs="Tahoma"/>
          <w:bCs/>
          <w:sz w:val="22"/>
          <w:szCs w:val="22"/>
        </w:rPr>
        <w:t>I</w:t>
      </w:r>
      <w:r w:rsidR="00DB752C">
        <w:rPr>
          <w:rFonts w:ascii="Palatino Linotype" w:eastAsia="Calibri" w:hAnsi="Palatino Linotype" w:cs="Tahoma"/>
          <w:bCs/>
          <w:sz w:val="22"/>
          <w:szCs w:val="22"/>
        </w:rPr>
        <w:t>II, 103 y 166</w:t>
      </w:r>
      <w:r>
        <w:rPr>
          <w:rFonts w:ascii="Palatino Linotype" w:eastAsia="Calibri" w:hAnsi="Palatino Linotype" w:cs="Tahoma"/>
          <w:bCs/>
          <w:sz w:val="22"/>
          <w:szCs w:val="22"/>
        </w:rPr>
        <w:t xml:space="preserve"> del Bando Municipal de </w:t>
      </w:r>
      <w:r w:rsidR="00DB752C">
        <w:rPr>
          <w:rFonts w:ascii="Palatino Linotype" w:eastAsia="Calibri" w:hAnsi="Palatino Linotype" w:cs="Tahoma"/>
          <w:bCs/>
          <w:sz w:val="22"/>
          <w:szCs w:val="22"/>
        </w:rPr>
        <w:t xml:space="preserve">San Martín de las Pirámides, </w:t>
      </w:r>
      <w:r>
        <w:rPr>
          <w:rFonts w:ascii="Palatino Linotype" w:eastAsia="Calibri" w:hAnsi="Palatino Linotype" w:cs="Tahoma"/>
          <w:bCs/>
          <w:sz w:val="22"/>
          <w:szCs w:val="22"/>
        </w:rPr>
        <w:t>dos mil veinticinco</w:t>
      </w:r>
      <w:r w:rsidRPr="00AC17E4">
        <w:rPr>
          <w:rFonts w:ascii="Palatino Linotype" w:eastAsia="Palatino Linotype" w:hAnsi="Palatino Linotype" w:cs="Palatino Linotype"/>
          <w:sz w:val="22"/>
          <w:szCs w:val="22"/>
        </w:rPr>
        <w:t>,</w:t>
      </w:r>
      <w:r>
        <w:rPr>
          <w:rFonts w:ascii="Palatino Linotype" w:eastAsia="Palatino Linotype" w:hAnsi="Palatino Linotype" w:cs="Palatino Linotype"/>
          <w:sz w:val="22"/>
          <w:szCs w:val="22"/>
        </w:rPr>
        <w:t xml:space="preserve"> los cuales establecen que la presidencia municipal, para el ejercicio de sus funciones se auxiliará de diversas unidades administrativas entre otras las siguientes:</w:t>
      </w:r>
    </w:p>
    <w:p w14:paraId="0404987C" w14:textId="77777777" w:rsidR="00D1222A" w:rsidRDefault="00D1222A" w:rsidP="000F3AB5">
      <w:pPr>
        <w:spacing w:line="360" w:lineRule="auto"/>
        <w:ind w:right="-28"/>
        <w:contextualSpacing/>
        <w:jc w:val="both"/>
        <w:rPr>
          <w:rFonts w:ascii="Palatino Linotype" w:eastAsia="Palatino Linotype" w:hAnsi="Palatino Linotype" w:cs="Palatino Linotype"/>
          <w:sz w:val="22"/>
          <w:szCs w:val="22"/>
        </w:rPr>
      </w:pPr>
    </w:p>
    <w:p w14:paraId="0F7EFF34" w14:textId="24B3C5CE" w:rsidR="00D74018" w:rsidRPr="00D74018" w:rsidRDefault="00D1222A" w:rsidP="000F3AB5">
      <w:pPr>
        <w:pStyle w:val="Prrafodelista"/>
        <w:numPr>
          <w:ilvl w:val="0"/>
          <w:numId w:val="1"/>
        </w:numPr>
        <w:spacing w:line="360" w:lineRule="auto"/>
        <w:jc w:val="both"/>
        <w:rPr>
          <w:rFonts w:ascii="Palatino Linotype" w:eastAsia="Palatino Linotype" w:hAnsi="Palatino Linotype" w:cs="Palatino Linotype"/>
          <w:b/>
          <w:bCs/>
          <w:sz w:val="22"/>
          <w:szCs w:val="22"/>
        </w:rPr>
      </w:pPr>
      <w:r>
        <w:rPr>
          <w:rFonts w:ascii="Palatino Linotype" w:eastAsia="Palatino Linotype" w:hAnsi="Palatino Linotype" w:cs="Palatino Linotype"/>
          <w:b/>
          <w:bCs/>
          <w:sz w:val="22"/>
          <w:szCs w:val="22"/>
        </w:rPr>
        <w:t xml:space="preserve">La </w:t>
      </w:r>
      <w:r w:rsidR="00DB752C">
        <w:rPr>
          <w:rFonts w:ascii="Palatino Linotype" w:eastAsia="Palatino Linotype" w:hAnsi="Palatino Linotype" w:cs="Palatino Linotype"/>
          <w:b/>
          <w:bCs/>
          <w:sz w:val="22"/>
          <w:szCs w:val="22"/>
        </w:rPr>
        <w:t>Secretaría del Ayuntamiento</w:t>
      </w:r>
      <w:r>
        <w:rPr>
          <w:rFonts w:ascii="Palatino Linotype" w:eastAsia="Palatino Linotype" w:hAnsi="Palatino Linotype" w:cs="Palatino Linotype"/>
          <w:b/>
          <w:bCs/>
          <w:sz w:val="22"/>
          <w:szCs w:val="22"/>
        </w:rPr>
        <w:t>:</w:t>
      </w:r>
      <w:r>
        <w:rPr>
          <w:rFonts w:ascii="Palatino Linotype" w:eastAsia="Palatino Linotype" w:hAnsi="Palatino Linotype" w:cs="Palatino Linotype"/>
          <w:sz w:val="22"/>
          <w:szCs w:val="22"/>
        </w:rPr>
        <w:t xml:space="preserve"> </w:t>
      </w:r>
      <w:r w:rsidR="00D74018" w:rsidRPr="00D74018">
        <w:rPr>
          <w:rFonts w:ascii="Palatino Linotype" w:eastAsia="Palatino Linotype" w:hAnsi="Palatino Linotype" w:cs="Palatino Linotype"/>
          <w:sz w:val="22"/>
          <w:szCs w:val="22"/>
        </w:rPr>
        <w:t>Encargada de la realización de diversas funciones atribuciones, entre otras las siguientes:</w:t>
      </w:r>
    </w:p>
    <w:p w14:paraId="16112172" w14:textId="77777777" w:rsidR="00D74018" w:rsidRPr="00D74018" w:rsidRDefault="00D74018" w:rsidP="000F3AB5">
      <w:pPr>
        <w:pStyle w:val="Prrafodelista"/>
        <w:numPr>
          <w:ilvl w:val="0"/>
          <w:numId w:val="10"/>
        </w:numPr>
        <w:spacing w:line="360" w:lineRule="auto"/>
        <w:jc w:val="both"/>
        <w:rPr>
          <w:rFonts w:ascii="Palatino Linotype" w:eastAsia="Palatino Linotype" w:hAnsi="Palatino Linotype" w:cs="Palatino Linotype"/>
          <w:sz w:val="22"/>
          <w:szCs w:val="22"/>
        </w:rPr>
      </w:pPr>
      <w:r w:rsidRPr="00D74018">
        <w:rPr>
          <w:rFonts w:ascii="Palatino Linotype" w:eastAsia="Palatino Linotype" w:hAnsi="Palatino Linotype" w:cs="Palatino Linotype"/>
          <w:sz w:val="22"/>
          <w:szCs w:val="22"/>
        </w:rPr>
        <w:t>Asistir a las sesiones del ayuntamiento y levantar las actas correspondientes;</w:t>
      </w:r>
    </w:p>
    <w:p w14:paraId="2A3CC4B1" w14:textId="77777777" w:rsidR="00D74018" w:rsidRPr="00D74018" w:rsidRDefault="00D74018" w:rsidP="000F3AB5">
      <w:pPr>
        <w:pStyle w:val="Prrafodelista"/>
        <w:numPr>
          <w:ilvl w:val="0"/>
          <w:numId w:val="10"/>
        </w:numPr>
        <w:spacing w:line="360" w:lineRule="auto"/>
        <w:jc w:val="both"/>
        <w:rPr>
          <w:rFonts w:ascii="Palatino Linotype" w:eastAsia="Palatino Linotype" w:hAnsi="Palatino Linotype" w:cs="Palatino Linotype"/>
          <w:sz w:val="22"/>
          <w:szCs w:val="22"/>
        </w:rPr>
      </w:pPr>
      <w:r w:rsidRPr="00D74018">
        <w:rPr>
          <w:rFonts w:ascii="Palatino Linotype" w:eastAsia="Palatino Linotype" w:hAnsi="Palatino Linotype" w:cs="Palatino Linotype"/>
          <w:sz w:val="22"/>
          <w:szCs w:val="22"/>
        </w:rPr>
        <w:t>Emitir los citatorios para la celebración de las sesiones de cabildo, convocadas legalmente;</w:t>
      </w:r>
    </w:p>
    <w:p w14:paraId="78528F91" w14:textId="77777777" w:rsidR="00D74018" w:rsidRPr="00D74018" w:rsidRDefault="00D74018" w:rsidP="000F3AB5">
      <w:pPr>
        <w:pStyle w:val="Prrafodelista"/>
        <w:numPr>
          <w:ilvl w:val="0"/>
          <w:numId w:val="10"/>
        </w:numPr>
        <w:spacing w:line="360" w:lineRule="auto"/>
        <w:jc w:val="both"/>
        <w:rPr>
          <w:rFonts w:ascii="Palatino Linotype" w:eastAsia="Palatino Linotype" w:hAnsi="Palatino Linotype" w:cs="Palatino Linotype"/>
          <w:sz w:val="22"/>
          <w:szCs w:val="22"/>
        </w:rPr>
      </w:pPr>
      <w:r w:rsidRPr="00D74018">
        <w:rPr>
          <w:rFonts w:ascii="Palatino Linotype" w:eastAsia="Palatino Linotype" w:hAnsi="Palatino Linotype" w:cs="Palatino Linotype"/>
          <w:sz w:val="22"/>
          <w:szCs w:val="22"/>
        </w:rPr>
        <w:t>Dar cuenta en la primera sesión de cada mes, del número y contenido de los expedientes pasados a comisión, con mención de los que hayan sido resueltos y de los pendientes; y</w:t>
      </w:r>
    </w:p>
    <w:p w14:paraId="125AA2A4" w14:textId="77777777" w:rsidR="00D74018" w:rsidRPr="00D74018" w:rsidRDefault="00D74018" w:rsidP="000F3AB5">
      <w:pPr>
        <w:pStyle w:val="Prrafodelista"/>
        <w:numPr>
          <w:ilvl w:val="0"/>
          <w:numId w:val="10"/>
        </w:numPr>
        <w:spacing w:line="360" w:lineRule="auto"/>
        <w:jc w:val="both"/>
        <w:rPr>
          <w:rFonts w:ascii="Palatino Linotype" w:eastAsia="Palatino Linotype" w:hAnsi="Palatino Linotype" w:cs="Palatino Linotype"/>
          <w:sz w:val="22"/>
          <w:szCs w:val="22"/>
        </w:rPr>
      </w:pPr>
      <w:r w:rsidRPr="00D74018">
        <w:rPr>
          <w:rFonts w:ascii="Palatino Linotype" w:eastAsia="Palatino Linotype" w:hAnsi="Palatino Linotype" w:cs="Palatino Linotype"/>
          <w:sz w:val="22"/>
          <w:szCs w:val="22"/>
        </w:rPr>
        <w:t>Llevar y conservar los libros de actas de cabildo, obteniendo las firmas de los asistentes a las sesiones;</w:t>
      </w:r>
    </w:p>
    <w:p w14:paraId="3F5A841F" w14:textId="3A1E35E2" w:rsidR="00D1222A" w:rsidRDefault="00D1222A" w:rsidP="000F3AB5">
      <w:pPr>
        <w:pStyle w:val="Prrafodelista"/>
        <w:spacing w:line="360" w:lineRule="auto"/>
        <w:ind w:right="-28"/>
        <w:jc w:val="both"/>
        <w:rPr>
          <w:rFonts w:ascii="Palatino Linotype" w:eastAsia="Palatino Linotype" w:hAnsi="Palatino Linotype" w:cs="Palatino Linotype"/>
          <w:sz w:val="22"/>
          <w:szCs w:val="22"/>
        </w:rPr>
      </w:pPr>
    </w:p>
    <w:p w14:paraId="479C5563" w14:textId="631A281C" w:rsidR="00D74018" w:rsidRPr="00D74018" w:rsidRDefault="00D1222A" w:rsidP="000F3AB5">
      <w:pPr>
        <w:pStyle w:val="Prrafodelista"/>
        <w:numPr>
          <w:ilvl w:val="0"/>
          <w:numId w:val="1"/>
        </w:numPr>
        <w:spacing w:line="360" w:lineRule="auto"/>
        <w:ind w:right="-28"/>
        <w:jc w:val="both"/>
        <w:rPr>
          <w:rFonts w:ascii="Palatino Linotype" w:eastAsia="Palatino Linotype" w:hAnsi="Palatino Linotype" w:cs="Palatino Linotype"/>
          <w:sz w:val="22"/>
          <w:szCs w:val="22"/>
        </w:rPr>
      </w:pPr>
      <w:r w:rsidRPr="00D74018">
        <w:rPr>
          <w:rFonts w:ascii="Palatino Linotype" w:eastAsia="Palatino Linotype" w:hAnsi="Palatino Linotype" w:cs="Palatino Linotype"/>
          <w:b/>
          <w:bCs/>
          <w:sz w:val="22"/>
          <w:szCs w:val="22"/>
        </w:rPr>
        <w:t xml:space="preserve">Dirección </w:t>
      </w:r>
      <w:r w:rsidR="00D74018" w:rsidRPr="00D74018">
        <w:rPr>
          <w:rFonts w:ascii="Palatino Linotype" w:eastAsia="Palatino Linotype" w:hAnsi="Palatino Linotype" w:cs="Palatino Linotype"/>
          <w:b/>
          <w:bCs/>
          <w:sz w:val="22"/>
          <w:szCs w:val="22"/>
        </w:rPr>
        <w:t>de Desarrollo Económico</w:t>
      </w:r>
      <w:r w:rsidRPr="00D74018">
        <w:rPr>
          <w:rFonts w:ascii="Palatino Linotype" w:eastAsia="Palatino Linotype" w:hAnsi="Palatino Linotype" w:cs="Palatino Linotype"/>
          <w:b/>
          <w:bCs/>
          <w:sz w:val="22"/>
          <w:szCs w:val="22"/>
        </w:rPr>
        <w:t>:</w:t>
      </w:r>
      <w:r w:rsidRPr="00D74018">
        <w:rPr>
          <w:rFonts w:ascii="Palatino Linotype" w:eastAsia="Palatino Linotype" w:hAnsi="Palatino Linotype" w:cs="Palatino Linotype"/>
          <w:sz w:val="22"/>
          <w:szCs w:val="22"/>
        </w:rPr>
        <w:t xml:space="preserve"> </w:t>
      </w:r>
      <w:r w:rsidR="00D74018">
        <w:rPr>
          <w:rFonts w:ascii="Palatino Linotype" w:eastAsia="Palatino Linotype" w:hAnsi="Palatino Linotype" w:cs="Palatino Linotype"/>
          <w:sz w:val="22"/>
          <w:szCs w:val="22"/>
        </w:rPr>
        <w:t xml:space="preserve">Se encargará de diseñar y promover las políticas para impulsar y difundir el sector productivo del municipio con la participación del sector privado, así como promover el consumo en establecimientos comerciales de los productos manufacturados en el municipio, lo anterior a través de las Coordinaciones de Comercio e Industria, Comercio en Mercado y Fomento al Empleo, además será responsable de diversas funciones entre otras: </w:t>
      </w:r>
      <w:r w:rsidR="00D74018" w:rsidRPr="00D74018">
        <w:rPr>
          <w:rFonts w:ascii="Palatino Linotype" w:eastAsia="Palatino Linotype" w:hAnsi="Palatino Linotype" w:cs="Palatino Linotype"/>
          <w:sz w:val="22"/>
          <w:szCs w:val="22"/>
        </w:rPr>
        <w:t>Tener a su</w:t>
      </w:r>
      <w:r w:rsidR="00D74018">
        <w:rPr>
          <w:rFonts w:ascii="Palatino Linotype" w:eastAsia="Palatino Linotype" w:hAnsi="Palatino Linotype" w:cs="Palatino Linotype"/>
          <w:sz w:val="22"/>
          <w:szCs w:val="22"/>
        </w:rPr>
        <w:t xml:space="preserve"> cargo la ventanilla única que brinde orientación, asesoría y gestión a los particulares respecto de los trámites requeridos para la instalación, apertura operación y ampliación de establecimientos con giros de bajo riesgo.</w:t>
      </w:r>
    </w:p>
    <w:p w14:paraId="2C0D1437" w14:textId="77777777" w:rsidR="00D74018" w:rsidRPr="00D74018" w:rsidRDefault="00D74018" w:rsidP="000F3AB5">
      <w:pPr>
        <w:pStyle w:val="Prrafodelista"/>
        <w:spacing w:line="360" w:lineRule="auto"/>
        <w:ind w:right="-28"/>
        <w:jc w:val="both"/>
        <w:rPr>
          <w:rFonts w:ascii="Palatino Linotype" w:eastAsia="Palatino Linotype" w:hAnsi="Palatino Linotype" w:cs="Palatino Linotype"/>
          <w:sz w:val="22"/>
          <w:szCs w:val="22"/>
        </w:rPr>
      </w:pPr>
    </w:p>
    <w:p w14:paraId="1C1B77F4" w14:textId="61A6A7FC" w:rsidR="00D1222A" w:rsidRPr="003660B3" w:rsidRDefault="00D1222A" w:rsidP="000F3AB5">
      <w:pPr>
        <w:spacing w:line="360" w:lineRule="auto"/>
        <w:ind w:right="-28"/>
        <w:contextualSpacing/>
        <w:jc w:val="both"/>
        <w:rPr>
          <w:rFonts w:ascii="Palatino Linotype" w:eastAsia="Palatino Linotype" w:hAnsi="Palatino Linotype" w:cs="Palatino Linotype"/>
          <w:bCs/>
          <w:iCs/>
          <w:sz w:val="22"/>
          <w:szCs w:val="22"/>
        </w:rPr>
      </w:pPr>
      <w:r w:rsidRPr="003660B3">
        <w:rPr>
          <w:rFonts w:ascii="Palatino Linotype" w:eastAsia="Palatino Linotype" w:hAnsi="Palatino Linotype" w:cs="Palatino Linotype"/>
          <w:bCs/>
          <w:iCs/>
          <w:sz w:val="22"/>
          <w:szCs w:val="22"/>
        </w:rPr>
        <w:lastRenderedPageBreak/>
        <w:t>Por lo expuesto, se considera que el Sujeto Obligado</w:t>
      </w:r>
      <w:r w:rsidR="00C01DB5">
        <w:rPr>
          <w:rFonts w:ascii="Palatino Linotype" w:eastAsia="Palatino Linotype" w:hAnsi="Palatino Linotype" w:cs="Palatino Linotype"/>
          <w:bCs/>
          <w:iCs/>
          <w:sz w:val="22"/>
          <w:szCs w:val="22"/>
        </w:rPr>
        <w:t xml:space="preserve"> si bien, turnó la solicitud a la Dirección de Desarrollo Económico, lo cierto es que omitió turnar la solicitud a la Secretaría del Ayuntamiento encargada de levantar las actas de cabildo y publicar los acuerdos correspondientes, por lo que se considera que cumplió con parte d</w:t>
      </w:r>
      <w:r w:rsidRPr="003660B3">
        <w:rPr>
          <w:rFonts w:ascii="Palatino Linotype" w:eastAsia="Palatino Linotype" w:hAnsi="Palatino Linotype" w:cs="Palatino Linotype"/>
          <w:bCs/>
          <w:iCs/>
          <w:sz w:val="22"/>
          <w:szCs w:val="22"/>
        </w:rPr>
        <w:t>el procedimiento de búsqueda establecido en el artículo 162 de la Ley de la materia.</w:t>
      </w:r>
    </w:p>
    <w:p w14:paraId="64D587CE" w14:textId="77777777" w:rsidR="00D1222A" w:rsidRDefault="00D1222A" w:rsidP="000F3AB5">
      <w:pPr>
        <w:spacing w:line="360" w:lineRule="auto"/>
        <w:contextualSpacing/>
        <w:jc w:val="both"/>
        <w:rPr>
          <w:rFonts w:ascii="Palatino Linotype" w:hAnsi="Palatino Linotype"/>
          <w:sz w:val="22"/>
          <w:szCs w:val="22"/>
        </w:rPr>
      </w:pPr>
    </w:p>
    <w:p w14:paraId="460EE4F6" w14:textId="6F05D6F0" w:rsidR="00C01DB5" w:rsidRDefault="00D1222A" w:rsidP="000F3AB5">
      <w:pPr>
        <w:spacing w:line="360" w:lineRule="auto"/>
        <w:contextualSpacing/>
        <w:jc w:val="both"/>
        <w:rPr>
          <w:rFonts w:ascii="Palatino Linotype" w:hAnsi="Palatino Linotype"/>
          <w:color w:val="000000"/>
          <w:sz w:val="22"/>
          <w:szCs w:val="22"/>
        </w:rPr>
      </w:pPr>
      <w:r>
        <w:rPr>
          <w:rFonts w:ascii="Palatino Linotype" w:hAnsi="Palatino Linotype"/>
          <w:sz w:val="22"/>
          <w:szCs w:val="22"/>
        </w:rPr>
        <w:t xml:space="preserve">Sin menoscabar lo anterior, la </w:t>
      </w:r>
      <w:r w:rsidR="00C01DB5">
        <w:rPr>
          <w:rFonts w:ascii="Palatino Linotype" w:hAnsi="Palatino Linotype"/>
          <w:sz w:val="22"/>
          <w:szCs w:val="22"/>
        </w:rPr>
        <w:t xml:space="preserve">Dirección de Desarrollo Económico proporcionó </w:t>
      </w:r>
      <w:r w:rsidR="00C01DB5">
        <w:rPr>
          <w:rFonts w:ascii="Palatino Linotype" w:hAnsi="Palatino Linotype"/>
          <w:color w:val="000000"/>
          <w:sz w:val="22"/>
          <w:szCs w:val="22"/>
        </w:rPr>
        <w:t>una licencia de funcionamiento para la venta de bebidas alcohólicas en versión pública, así como la gaceta por la que se aprobaron los acuerdos relacionados con la aprobación del programa para la instalación y funcionamiento de unidades económicas de bajo riesgo, y por la que se autoriza a la Dirección de Desarrollo Económico la facultad para la firma de renovación y apertura de licencias de funcionamiento de unidades económicas de mediano y alto impacto.</w:t>
      </w:r>
    </w:p>
    <w:p w14:paraId="0DA1981F" w14:textId="77777777" w:rsidR="00FF0289" w:rsidRDefault="00FF0289" w:rsidP="000F3AB5">
      <w:pPr>
        <w:spacing w:line="360" w:lineRule="auto"/>
        <w:contextualSpacing/>
        <w:jc w:val="both"/>
        <w:rPr>
          <w:rFonts w:ascii="Palatino Linotype" w:hAnsi="Palatino Linotype"/>
          <w:color w:val="000000"/>
          <w:sz w:val="22"/>
          <w:szCs w:val="22"/>
        </w:rPr>
      </w:pPr>
    </w:p>
    <w:p w14:paraId="6DD4E65D" w14:textId="132B4348" w:rsidR="00FF0289" w:rsidRDefault="00FF0289" w:rsidP="000F3AB5">
      <w:pPr>
        <w:spacing w:line="360" w:lineRule="auto"/>
        <w:contextualSpacing/>
        <w:jc w:val="both"/>
        <w:rPr>
          <w:rFonts w:ascii="Palatino Linotype" w:hAnsi="Palatino Linotype"/>
          <w:color w:val="000000"/>
          <w:sz w:val="22"/>
          <w:szCs w:val="22"/>
        </w:rPr>
      </w:pPr>
      <w:r>
        <w:rPr>
          <w:rFonts w:ascii="Palatino Linotype" w:hAnsi="Palatino Linotype"/>
          <w:color w:val="000000"/>
          <w:sz w:val="22"/>
          <w:szCs w:val="22"/>
        </w:rPr>
        <w:t>Así, del análisis de los documentos remitidos si bien, guardan relación con lo solicitado, lo cierto es que no pueden ser validados, con base en las siguientes consideraciones:</w:t>
      </w:r>
    </w:p>
    <w:p w14:paraId="64CF32E6" w14:textId="77777777" w:rsidR="00C01DB5" w:rsidRDefault="00C01DB5" w:rsidP="000F3AB5">
      <w:pPr>
        <w:spacing w:line="360" w:lineRule="auto"/>
        <w:contextualSpacing/>
        <w:jc w:val="both"/>
        <w:rPr>
          <w:rFonts w:ascii="Palatino Linotype" w:hAnsi="Palatino Linotype"/>
          <w:color w:val="000000"/>
          <w:sz w:val="22"/>
          <w:szCs w:val="22"/>
        </w:rPr>
      </w:pPr>
    </w:p>
    <w:p w14:paraId="7B35B850" w14:textId="4F36670C" w:rsidR="00865F5C" w:rsidRPr="00FF6F46" w:rsidRDefault="00865F5C" w:rsidP="00865F5C">
      <w:pPr>
        <w:pStyle w:val="Prrafodelista"/>
        <w:numPr>
          <w:ilvl w:val="0"/>
          <w:numId w:val="11"/>
        </w:numPr>
        <w:spacing w:after="160" w:line="360" w:lineRule="auto"/>
        <w:jc w:val="both"/>
        <w:rPr>
          <w:rFonts w:ascii="Palatino Linotype" w:hAnsi="Palatino Linotype"/>
          <w:sz w:val="22"/>
          <w:szCs w:val="22"/>
        </w:rPr>
      </w:pPr>
      <w:r w:rsidRPr="00FF6F46">
        <w:rPr>
          <w:rFonts w:ascii="Palatino Linotype" w:hAnsi="Palatino Linotype"/>
          <w:sz w:val="22"/>
          <w:szCs w:val="22"/>
        </w:rPr>
        <w:t xml:space="preserve">Omitió la entrega del resultado de la visita de verificación al establecimiento ubicado en: Casimiro L. Martínez, casi esquina con Boulevard Torrente Piedras Negras, y si cuenta con licencia de funcionamiento. </w:t>
      </w:r>
    </w:p>
    <w:p w14:paraId="4E43A93F" w14:textId="0F2AE23B" w:rsidR="00FF0289" w:rsidRPr="00FF0289" w:rsidRDefault="00FF0289" w:rsidP="000F3AB5">
      <w:pPr>
        <w:pStyle w:val="Prrafodelista"/>
        <w:numPr>
          <w:ilvl w:val="0"/>
          <w:numId w:val="11"/>
        </w:numPr>
        <w:spacing w:line="360" w:lineRule="auto"/>
        <w:jc w:val="both"/>
        <w:rPr>
          <w:rFonts w:ascii="Palatino Linotype" w:hAnsi="Palatino Linotype"/>
          <w:sz w:val="22"/>
          <w:szCs w:val="22"/>
        </w:rPr>
      </w:pPr>
      <w:r>
        <w:rPr>
          <w:rFonts w:ascii="Palatino Linotype" w:hAnsi="Palatino Linotype"/>
          <w:color w:val="000000"/>
          <w:sz w:val="22"/>
          <w:szCs w:val="22"/>
        </w:rPr>
        <w:t>La l</w:t>
      </w:r>
      <w:r w:rsidR="00C01DB5" w:rsidRPr="00FF0289">
        <w:rPr>
          <w:rFonts w:ascii="Palatino Linotype" w:hAnsi="Palatino Linotype"/>
          <w:color w:val="000000"/>
          <w:sz w:val="22"/>
          <w:szCs w:val="22"/>
        </w:rPr>
        <w:t xml:space="preserve">icencia de funcionamiento </w:t>
      </w:r>
      <w:r>
        <w:rPr>
          <w:rFonts w:ascii="Palatino Linotype" w:hAnsi="Palatino Linotype"/>
          <w:color w:val="000000"/>
          <w:sz w:val="22"/>
          <w:szCs w:val="22"/>
        </w:rPr>
        <w:t>la proporcionó en versión pública, sin embargo, clasificó información de acceso público, sumado a que omitió el acuerdo del Comité de Transparencia por el que se aprobara la clasificación;</w:t>
      </w:r>
    </w:p>
    <w:p w14:paraId="7099A474" w14:textId="6968E9B1" w:rsidR="00C01DB5" w:rsidRPr="00FF0289" w:rsidRDefault="00FF0289" w:rsidP="000F3AB5">
      <w:pPr>
        <w:pStyle w:val="Prrafodelista"/>
        <w:numPr>
          <w:ilvl w:val="0"/>
          <w:numId w:val="11"/>
        </w:numPr>
        <w:spacing w:line="360" w:lineRule="auto"/>
        <w:jc w:val="both"/>
        <w:rPr>
          <w:rFonts w:ascii="Palatino Linotype" w:hAnsi="Palatino Linotype"/>
          <w:sz w:val="22"/>
          <w:szCs w:val="22"/>
        </w:rPr>
      </w:pPr>
      <w:r>
        <w:rPr>
          <w:rFonts w:ascii="Palatino Linotype" w:hAnsi="Palatino Linotype"/>
          <w:color w:val="000000"/>
          <w:sz w:val="22"/>
          <w:szCs w:val="22"/>
        </w:rPr>
        <w:t>O</w:t>
      </w:r>
      <w:r w:rsidRPr="00FF0289">
        <w:rPr>
          <w:rFonts w:ascii="Palatino Linotype" w:hAnsi="Palatino Linotype"/>
          <w:color w:val="000000"/>
          <w:sz w:val="22"/>
          <w:szCs w:val="22"/>
        </w:rPr>
        <w:t xml:space="preserve">mitió proporcionar las actas de cabildo que dieran cuenta de </w:t>
      </w:r>
      <w:r>
        <w:rPr>
          <w:rFonts w:ascii="Palatino Linotype" w:hAnsi="Palatino Linotype"/>
          <w:color w:val="000000"/>
          <w:sz w:val="22"/>
          <w:szCs w:val="22"/>
        </w:rPr>
        <w:t xml:space="preserve">la aprobación de las licencias de funcionamiento, permiso o autorización de las unidades económicas destinadas a la venta de bebidas alcohólicas en el municipio; </w:t>
      </w:r>
    </w:p>
    <w:p w14:paraId="62F21A7C" w14:textId="1757FAA5" w:rsidR="00FF0289" w:rsidRPr="00FF0289" w:rsidRDefault="00FF0289" w:rsidP="000F3AB5">
      <w:pPr>
        <w:pStyle w:val="Prrafodelista"/>
        <w:numPr>
          <w:ilvl w:val="0"/>
          <w:numId w:val="11"/>
        </w:numPr>
        <w:spacing w:line="360" w:lineRule="auto"/>
        <w:jc w:val="both"/>
        <w:rPr>
          <w:rFonts w:ascii="Palatino Linotype" w:hAnsi="Palatino Linotype"/>
          <w:sz w:val="22"/>
          <w:szCs w:val="22"/>
        </w:rPr>
      </w:pPr>
      <w:r>
        <w:rPr>
          <w:rFonts w:ascii="Palatino Linotype" w:hAnsi="Palatino Linotype"/>
          <w:color w:val="000000"/>
          <w:sz w:val="22"/>
          <w:szCs w:val="22"/>
        </w:rPr>
        <w:lastRenderedPageBreak/>
        <w:t>Omitió pronunciarse sobre todos los puntos solicitados.</w:t>
      </w:r>
    </w:p>
    <w:p w14:paraId="77A41552" w14:textId="77777777" w:rsidR="00C01DB5" w:rsidRDefault="00C01DB5" w:rsidP="000F3AB5">
      <w:pPr>
        <w:spacing w:line="360" w:lineRule="auto"/>
        <w:contextualSpacing/>
        <w:jc w:val="both"/>
        <w:rPr>
          <w:rFonts w:ascii="Palatino Linotype" w:hAnsi="Palatino Linotype"/>
          <w:sz w:val="22"/>
          <w:szCs w:val="22"/>
        </w:rPr>
      </w:pPr>
    </w:p>
    <w:p w14:paraId="68690F50" w14:textId="0668B20D" w:rsidR="00D1222A" w:rsidRDefault="00D1222A" w:rsidP="000F3AB5">
      <w:pPr>
        <w:spacing w:line="360" w:lineRule="auto"/>
        <w:contextualSpacing/>
        <w:jc w:val="both"/>
        <w:rPr>
          <w:rFonts w:ascii="Palatino Linotype" w:eastAsia="Palatino Linotype" w:hAnsi="Palatino Linotype" w:cs="Palatino Linotype"/>
          <w:b/>
          <w:bCs/>
          <w:sz w:val="22"/>
          <w:szCs w:val="22"/>
        </w:rPr>
      </w:pPr>
      <w:r w:rsidRPr="008273F6">
        <w:rPr>
          <w:rFonts w:ascii="Palatino Linotype" w:eastAsia="Palatino Linotype" w:hAnsi="Palatino Linotype" w:cs="Palatino Linotype"/>
          <w:sz w:val="22"/>
          <w:szCs w:val="22"/>
        </w:rPr>
        <w:t>En ese contexto,</w:t>
      </w:r>
      <w:r>
        <w:rPr>
          <w:rFonts w:ascii="Palatino Linotype" w:eastAsia="Palatino Linotype" w:hAnsi="Palatino Linotype" w:cs="Palatino Linotype"/>
          <w:sz w:val="22"/>
          <w:szCs w:val="22"/>
        </w:rPr>
        <w:t xml:space="preserve"> se logra colegir que</w:t>
      </w:r>
      <w:r w:rsidR="00B12780">
        <w:rPr>
          <w:rFonts w:ascii="Palatino Linotype" w:eastAsia="Palatino Linotype" w:hAnsi="Palatino Linotype" w:cs="Palatino Linotype"/>
          <w:sz w:val="22"/>
          <w:szCs w:val="22"/>
        </w:rPr>
        <w:t>,</w:t>
      </w:r>
      <w:r>
        <w:rPr>
          <w:rFonts w:ascii="Palatino Linotype" w:eastAsia="Palatino Linotype" w:hAnsi="Palatino Linotype" w:cs="Palatino Linotype"/>
          <w:sz w:val="22"/>
          <w:szCs w:val="22"/>
        </w:rPr>
        <w:t xml:space="preserve"> </w:t>
      </w:r>
      <w:r w:rsidR="00FF0289">
        <w:rPr>
          <w:rFonts w:ascii="Palatino Linotype" w:eastAsia="Palatino Linotype" w:hAnsi="Palatino Linotype" w:cs="Palatino Linotype"/>
          <w:sz w:val="22"/>
          <w:szCs w:val="22"/>
        </w:rPr>
        <w:t xml:space="preserve">si bien </w:t>
      </w:r>
      <w:r>
        <w:rPr>
          <w:rFonts w:ascii="Palatino Linotype" w:eastAsia="Palatino Linotype" w:hAnsi="Palatino Linotype" w:cs="Palatino Linotype"/>
          <w:sz w:val="22"/>
          <w:szCs w:val="22"/>
        </w:rPr>
        <w:t>el Sujeto Obligado</w:t>
      </w:r>
      <w:r w:rsidR="00FF0289">
        <w:rPr>
          <w:rFonts w:ascii="Palatino Linotype" w:eastAsia="Palatino Linotype" w:hAnsi="Palatino Linotype" w:cs="Palatino Linotype"/>
          <w:sz w:val="22"/>
          <w:szCs w:val="22"/>
        </w:rPr>
        <w:t xml:space="preserve"> proporcionó información relacionada con lo solicitado, lo cierto es que la proporcionó de manera incompleta, sumado a que la licencia remitida en versión pública no se fundó su clasificación</w:t>
      </w:r>
      <w:r>
        <w:rPr>
          <w:rFonts w:ascii="Palatino Linotype" w:eastAsia="Palatino Linotype" w:hAnsi="Palatino Linotype" w:cs="Palatino Linotype"/>
          <w:sz w:val="22"/>
          <w:szCs w:val="22"/>
        </w:rPr>
        <w:t xml:space="preserve">, lo cual da como resultado que el agravio sea </w:t>
      </w:r>
      <w:r w:rsidRPr="008742BD">
        <w:rPr>
          <w:rFonts w:ascii="Palatino Linotype" w:eastAsia="Palatino Linotype" w:hAnsi="Palatino Linotype" w:cs="Palatino Linotype"/>
          <w:b/>
          <w:bCs/>
          <w:sz w:val="22"/>
          <w:szCs w:val="22"/>
        </w:rPr>
        <w:t>FUNDADO.</w:t>
      </w:r>
    </w:p>
    <w:p w14:paraId="7C4C32E1" w14:textId="77777777" w:rsidR="00865F5C" w:rsidRDefault="00865F5C" w:rsidP="000F3AB5">
      <w:pPr>
        <w:spacing w:line="360" w:lineRule="auto"/>
        <w:contextualSpacing/>
        <w:jc w:val="both"/>
        <w:rPr>
          <w:rFonts w:ascii="Palatino Linotype" w:eastAsia="Palatino Linotype" w:hAnsi="Palatino Linotype" w:cs="Palatino Linotype"/>
          <w:b/>
          <w:bCs/>
          <w:sz w:val="22"/>
          <w:szCs w:val="22"/>
        </w:rPr>
      </w:pPr>
    </w:p>
    <w:p w14:paraId="27032EA1" w14:textId="793329FE" w:rsidR="000F3AB5" w:rsidRDefault="00D1222A" w:rsidP="000F3AB5">
      <w:pPr>
        <w:tabs>
          <w:tab w:val="left" w:pos="4962"/>
        </w:tabs>
        <w:spacing w:line="360" w:lineRule="auto"/>
        <w:contextualSpacing/>
        <w:jc w:val="both"/>
        <w:rPr>
          <w:rFonts w:ascii="Palatino Linotype" w:hAnsi="Palatino Linotype"/>
          <w:bCs/>
          <w:iCs/>
          <w:sz w:val="22"/>
          <w:szCs w:val="22"/>
        </w:rPr>
      </w:pPr>
      <w:r w:rsidRPr="002231CB">
        <w:rPr>
          <w:rFonts w:ascii="Palatino Linotype" w:hAnsi="Palatino Linotype"/>
          <w:sz w:val="22"/>
          <w:szCs w:val="22"/>
        </w:rPr>
        <w:t xml:space="preserve">Conforme a lo anterior, se advierte que para atender el requerimiento de información el Ayuntamiento de </w:t>
      </w:r>
      <w:r w:rsidR="00B12780">
        <w:rPr>
          <w:rFonts w:ascii="Palatino Linotype" w:hAnsi="Palatino Linotype"/>
          <w:sz w:val="22"/>
          <w:szCs w:val="22"/>
        </w:rPr>
        <w:t>San Martín de las Pirámides</w:t>
      </w:r>
      <w:r>
        <w:rPr>
          <w:rFonts w:ascii="Palatino Linotype" w:hAnsi="Palatino Linotype"/>
          <w:sz w:val="22"/>
          <w:szCs w:val="22"/>
        </w:rPr>
        <w:t xml:space="preserve"> </w:t>
      </w:r>
      <w:r w:rsidRPr="002231CB">
        <w:rPr>
          <w:rFonts w:ascii="Palatino Linotype" w:hAnsi="Palatino Linotype"/>
          <w:sz w:val="22"/>
          <w:szCs w:val="22"/>
        </w:rPr>
        <w:t xml:space="preserve">deberá realizar una búsqueda exhaustiva y razonable, en los archivos de las unidades administrativas competentes, entre las cuales se encuentra </w:t>
      </w:r>
      <w:r>
        <w:rPr>
          <w:rFonts w:ascii="Palatino Linotype" w:hAnsi="Palatino Linotype"/>
          <w:sz w:val="22"/>
          <w:szCs w:val="22"/>
        </w:rPr>
        <w:t xml:space="preserve">la </w:t>
      </w:r>
      <w:r w:rsidR="00B12780">
        <w:rPr>
          <w:rFonts w:ascii="Palatino Linotype" w:hAnsi="Palatino Linotype"/>
          <w:sz w:val="22"/>
          <w:szCs w:val="22"/>
        </w:rPr>
        <w:t xml:space="preserve">Secretaría del Ayuntamiento y la </w:t>
      </w:r>
      <w:r w:rsidR="00B12780">
        <w:rPr>
          <w:rFonts w:ascii="Palatino Linotype" w:eastAsia="Calibri" w:hAnsi="Palatino Linotype" w:cs="Tahoma"/>
          <w:bCs/>
          <w:sz w:val="22"/>
          <w:szCs w:val="22"/>
        </w:rPr>
        <w:t>Dirección de Desarrollo Económico</w:t>
      </w:r>
      <w:r w:rsidRPr="002231CB">
        <w:rPr>
          <w:rFonts w:ascii="Palatino Linotype" w:hAnsi="Palatino Linotype"/>
          <w:sz w:val="22"/>
          <w:szCs w:val="22"/>
        </w:rPr>
        <w:t xml:space="preserve">, </w:t>
      </w:r>
      <w:r>
        <w:rPr>
          <w:rFonts w:ascii="Palatino Linotype" w:hAnsi="Palatino Linotype"/>
          <w:bCs/>
          <w:iCs/>
          <w:sz w:val="22"/>
          <w:szCs w:val="22"/>
        </w:rPr>
        <w:t>a efecto de que proporcionen los documentos</w:t>
      </w:r>
      <w:r w:rsidR="00B12780">
        <w:rPr>
          <w:rFonts w:ascii="Palatino Linotype" w:hAnsi="Palatino Linotype"/>
          <w:bCs/>
          <w:iCs/>
          <w:sz w:val="22"/>
          <w:szCs w:val="22"/>
        </w:rPr>
        <w:t xml:space="preserve"> requeridos</w:t>
      </w:r>
      <w:r w:rsidR="00FB1F61">
        <w:rPr>
          <w:rFonts w:ascii="Palatino Linotype" w:hAnsi="Palatino Linotype"/>
          <w:bCs/>
          <w:iCs/>
          <w:sz w:val="22"/>
          <w:szCs w:val="22"/>
        </w:rPr>
        <w:t xml:space="preserve"> en su caso en versión pública correcta</w:t>
      </w:r>
      <w:r>
        <w:rPr>
          <w:rFonts w:ascii="Palatino Linotype" w:hAnsi="Palatino Linotype"/>
          <w:bCs/>
          <w:iCs/>
          <w:sz w:val="22"/>
          <w:szCs w:val="22"/>
        </w:rPr>
        <w:t xml:space="preserve"> generad</w:t>
      </w:r>
      <w:r w:rsidR="00B12780">
        <w:rPr>
          <w:rFonts w:ascii="Palatino Linotype" w:hAnsi="Palatino Linotype"/>
          <w:bCs/>
          <w:iCs/>
          <w:sz w:val="22"/>
          <w:szCs w:val="22"/>
        </w:rPr>
        <w:t>os</w:t>
      </w:r>
      <w:r>
        <w:rPr>
          <w:rFonts w:ascii="Palatino Linotype" w:hAnsi="Palatino Linotype"/>
          <w:bCs/>
          <w:iCs/>
          <w:sz w:val="22"/>
          <w:szCs w:val="22"/>
        </w:rPr>
        <w:t xml:space="preserve"> al </w:t>
      </w:r>
      <w:r w:rsidR="00B12780">
        <w:rPr>
          <w:rFonts w:ascii="Palatino Linotype" w:hAnsi="Palatino Linotype"/>
          <w:bCs/>
          <w:iCs/>
          <w:sz w:val="22"/>
          <w:szCs w:val="22"/>
        </w:rPr>
        <w:t xml:space="preserve">primero de abril </w:t>
      </w:r>
      <w:r>
        <w:rPr>
          <w:rFonts w:ascii="Palatino Linotype" w:hAnsi="Palatino Linotype"/>
          <w:bCs/>
          <w:iCs/>
          <w:sz w:val="22"/>
          <w:szCs w:val="22"/>
        </w:rPr>
        <w:t>de dos mil veinticinco.</w:t>
      </w:r>
      <w:r w:rsidR="000F3AB5">
        <w:rPr>
          <w:rFonts w:ascii="Palatino Linotype" w:hAnsi="Palatino Linotype"/>
          <w:bCs/>
          <w:iCs/>
          <w:sz w:val="22"/>
          <w:szCs w:val="22"/>
        </w:rPr>
        <w:t xml:space="preserve"> </w:t>
      </w:r>
    </w:p>
    <w:p w14:paraId="411F17EE" w14:textId="77777777" w:rsidR="000F3AB5" w:rsidRDefault="000F3AB5" w:rsidP="000F3AB5">
      <w:pPr>
        <w:tabs>
          <w:tab w:val="left" w:pos="4962"/>
        </w:tabs>
        <w:spacing w:line="360" w:lineRule="auto"/>
        <w:contextualSpacing/>
        <w:jc w:val="both"/>
        <w:rPr>
          <w:rFonts w:ascii="Palatino Linotype" w:hAnsi="Palatino Linotype"/>
          <w:bCs/>
          <w:iCs/>
          <w:sz w:val="22"/>
          <w:szCs w:val="22"/>
        </w:rPr>
      </w:pPr>
    </w:p>
    <w:p w14:paraId="59CCDC4C" w14:textId="4020B07A" w:rsidR="00D1222A" w:rsidRPr="000F3AB5" w:rsidRDefault="00D1222A" w:rsidP="000F3AB5">
      <w:pPr>
        <w:tabs>
          <w:tab w:val="left" w:pos="4962"/>
        </w:tabs>
        <w:spacing w:line="360" w:lineRule="auto"/>
        <w:contextualSpacing/>
        <w:jc w:val="both"/>
        <w:rPr>
          <w:rFonts w:ascii="Palatino Linotype" w:hAnsi="Palatino Linotype"/>
          <w:bCs/>
          <w:iCs/>
          <w:sz w:val="22"/>
          <w:szCs w:val="22"/>
        </w:rPr>
      </w:pPr>
      <w:r w:rsidRPr="002231CB">
        <w:rPr>
          <w:rFonts w:ascii="Palatino Linotype" w:hAnsi="Palatino Linotype"/>
          <w:color w:val="0D0D0D"/>
          <w:sz w:val="22"/>
          <w:szCs w:val="22"/>
        </w:rPr>
        <w:t>D</w:t>
      </w:r>
      <w:r w:rsidRPr="002231CB">
        <w:rPr>
          <w:rFonts w:ascii="Palatino Linotype" w:hAnsi="Palatino Linotype"/>
          <w:color w:val="000000"/>
          <w:sz w:val="22"/>
          <w:szCs w:val="22"/>
        </w:rPr>
        <w:t xml:space="preserve">icha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w:t>
      </w:r>
      <w:r w:rsidRPr="002231CB">
        <w:rPr>
          <w:rFonts w:ascii="Palatino Linotype" w:hAnsi="Palatino Linotype"/>
          <w:sz w:val="22"/>
          <w:szCs w:val="22"/>
        </w:rPr>
        <w:t>misma, ni presentarla conforme al interés del Solicitante.</w:t>
      </w:r>
    </w:p>
    <w:p w14:paraId="232C439A" w14:textId="77777777" w:rsidR="00D1222A" w:rsidRPr="002231CB" w:rsidRDefault="00D1222A" w:rsidP="000F3AB5">
      <w:pPr>
        <w:spacing w:line="360" w:lineRule="auto"/>
        <w:contextualSpacing/>
        <w:jc w:val="both"/>
        <w:rPr>
          <w:rFonts w:ascii="Palatino Linotype" w:hAnsi="Palatino Linotype"/>
          <w:sz w:val="22"/>
          <w:szCs w:val="22"/>
        </w:rPr>
      </w:pPr>
    </w:p>
    <w:p w14:paraId="742A2550" w14:textId="77777777" w:rsidR="00D1222A" w:rsidRPr="002231CB" w:rsidRDefault="00D1222A" w:rsidP="000F3AB5">
      <w:pPr>
        <w:spacing w:line="360" w:lineRule="auto"/>
        <w:contextualSpacing/>
        <w:jc w:val="both"/>
        <w:rPr>
          <w:rFonts w:ascii="Palatino Linotype" w:hAnsi="Palatino Linotype"/>
          <w:sz w:val="22"/>
          <w:szCs w:val="22"/>
        </w:rPr>
      </w:pPr>
      <w:r w:rsidRPr="002231CB">
        <w:rPr>
          <w:rFonts w:ascii="Palatino Linotype" w:hAnsi="Palatino Linotype"/>
          <w:sz w:val="22"/>
          <w:szCs w:val="22"/>
        </w:rPr>
        <w:t xml:space="preserve">De esta manera, el derecho de acceso a la información pública se satisface en aquellos casos en que se entregue el soporte documental en el que conste la información solicitada, sin necesidad de elaborar documentos </w:t>
      </w:r>
      <w:r w:rsidRPr="002231CB">
        <w:rPr>
          <w:rFonts w:ascii="Palatino Linotype" w:hAnsi="Palatino Linotype"/>
          <w:i/>
          <w:iCs/>
          <w:sz w:val="22"/>
          <w:szCs w:val="22"/>
        </w:rPr>
        <w:t>“ad hoc”;</w:t>
      </w:r>
      <w:r w:rsidRPr="002231CB">
        <w:rPr>
          <w:rFonts w:ascii="Palatino Linotype" w:hAnsi="Palatino Linotype"/>
          <w:sz w:val="22"/>
          <w:szCs w:val="22"/>
        </w:rPr>
        <w:t xml:space="preserve"> lo cual, toma sustento en el artículo 160 de la Ley de Transparencia y Acceso a la Información Pública del Estado de México y Municipios.</w:t>
      </w:r>
    </w:p>
    <w:p w14:paraId="0FE65B03" w14:textId="77777777" w:rsidR="00D1222A" w:rsidRPr="002231CB" w:rsidRDefault="00D1222A" w:rsidP="000F3AB5">
      <w:pPr>
        <w:spacing w:line="360" w:lineRule="auto"/>
        <w:contextualSpacing/>
        <w:jc w:val="both"/>
        <w:rPr>
          <w:rFonts w:ascii="Palatino Linotype" w:hAnsi="Palatino Linotype"/>
          <w:i/>
          <w:iCs/>
          <w:sz w:val="22"/>
          <w:szCs w:val="22"/>
        </w:rPr>
      </w:pPr>
    </w:p>
    <w:p w14:paraId="133E39C4" w14:textId="77777777" w:rsidR="00D1222A" w:rsidRPr="002231CB" w:rsidRDefault="00D1222A" w:rsidP="000F3AB5">
      <w:pPr>
        <w:spacing w:line="360" w:lineRule="auto"/>
        <w:contextualSpacing/>
        <w:jc w:val="both"/>
        <w:rPr>
          <w:rFonts w:ascii="Palatino Linotype" w:hAnsi="Palatino Linotype"/>
          <w:sz w:val="22"/>
          <w:szCs w:val="22"/>
        </w:rPr>
      </w:pPr>
      <w:r w:rsidRPr="002231CB">
        <w:rPr>
          <w:rFonts w:ascii="Palatino Linotype" w:hAnsi="Palatino Linotype"/>
          <w:sz w:val="22"/>
          <w:szCs w:val="22"/>
        </w:rPr>
        <w:lastRenderedPageBreak/>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la información solicitada. </w:t>
      </w:r>
    </w:p>
    <w:p w14:paraId="553AC61B" w14:textId="77777777" w:rsidR="00D1222A" w:rsidRPr="00981CEF" w:rsidRDefault="00D1222A" w:rsidP="000F3AB5">
      <w:pPr>
        <w:tabs>
          <w:tab w:val="left" w:pos="4962"/>
        </w:tabs>
        <w:spacing w:line="360" w:lineRule="auto"/>
        <w:contextualSpacing/>
        <w:jc w:val="both"/>
        <w:rPr>
          <w:rFonts w:ascii="Palatino Linotype" w:hAnsi="Palatino Linotype"/>
          <w:bCs/>
          <w:iCs/>
          <w:sz w:val="22"/>
          <w:szCs w:val="22"/>
        </w:rPr>
      </w:pPr>
    </w:p>
    <w:p w14:paraId="6BD478B3" w14:textId="1C39C129" w:rsidR="00B12780" w:rsidRDefault="00B12780" w:rsidP="000F3AB5">
      <w:pPr>
        <w:spacing w:line="360" w:lineRule="auto"/>
        <w:contextualSpacing/>
        <w:jc w:val="both"/>
        <w:rPr>
          <w:rFonts w:ascii="Palatino Linotype" w:hAnsi="Palatino Linotype" w:cs="Tahoma"/>
          <w:sz w:val="22"/>
          <w:szCs w:val="24"/>
        </w:rPr>
      </w:pPr>
      <w:r>
        <w:rPr>
          <w:rFonts w:ascii="Palatino Linotype" w:hAnsi="Palatino Linotype" w:cs="Tahoma"/>
          <w:sz w:val="22"/>
          <w:szCs w:val="24"/>
        </w:rPr>
        <w:t xml:space="preserve">Ahora bien, no pasa desapercibido que </w:t>
      </w:r>
      <w:r w:rsidR="000F3AB5">
        <w:rPr>
          <w:rFonts w:ascii="Palatino Linotype" w:hAnsi="Palatino Linotype" w:cs="Tahoma"/>
          <w:sz w:val="22"/>
          <w:szCs w:val="24"/>
        </w:rPr>
        <w:t>los documentos requeridos, podrían contener diversa información susceptible de clasificación, por lo que deberá observar dicha circunstancia.</w:t>
      </w:r>
    </w:p>
    <w:p w14:paraId="0AFB369D" w14:textId="77777777" w:rsidR="000F3AB5" w:rsidRDefault="000F3AB5" w:rsidP="000F3AB5">
      <w:pPr>
        <w:spacing w:line="360" w:lineRule="auto"/>
        <w:contextualSpacing/>
        <w:jc w:val="both"/>
        <w:rPr>
          <w:rFonts w:ascii="Palatino Linotype" w:hAnsi="Palatino Linotype" w:cs="Tahoma"/>
          <w:sz w:val="22"/>
          <w:szCs w:val="24"/>
        </w:rPr>
      </w:pPr>
    </w:p>
    <w:p w14:paraId="5DF6FE34" w14:textId="77777777" w:rsidR="00230502" w:rsidRPr="005A4A25" w:rsidRDefault="00230502" w:rsidP="00230502">
      <w:pPr>
        <w:spacing w:line="360" w:lineRule="auto"/>
        <w:contextualSpacing/>
        <w:jc w:val="both"/>
        <w:rPr>
          <w:rFonts w:ascii="Palatino Linotype" w:eastAsiaTheme="minorHAnsi" w:hAnsi="Palatino Linotype" w:cstheme="minorBidi"/>
          <w:bCs/>
          <w:color w:val="000000" w:themeColor="text1"/>
          <w:sz w:val="22"/>
          <w:szCs w:val="22"/>
          <w:lang w:eastAsia="en-US"/>
        </w:rPr>
      </w:pPr>
      <w:r w:rsidRPr="005A4A25">
        <w:rPr>
          <w:rFonts w:ascii="Palatino Linotype" w:eastAsiaTheme="minorHAnsi" w:hAnsi="Palatino Linotype" w:cstheme="minorBidi"/>
          <w:bCs/>
          <w:color w:val="000000" w:themeColor="text1"/>
          <w:sz w:val="22"/>
          <w:szCs w:val="22"/>
          <w:lang w:eastAsia="en-U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6782FA76" w14:textId="77777777" w:rsidR="00230502" w:rsidRPr="005A4A25" w:rsidRDefault="00230502" w:rsidP="00230502">
      <w:pPr>
        <w:spacing w:line="360" w:lineRule="auto"/>
        <w:contextualSpacing/>
        <w:jc w:val="both"/>
        <w:rPr>
          <w:rFonts w:ascii="Palatino Linotype" w:eastAsiaTheme="minorHAnsi" w:hAnsi="Palatino Linotype" w:cstheme="minorBidi"/>
          <w:bCs/>
          <w:color w:val="000000" w:themeColor="text1"/>
          <w:sz w:val="22"/>
          <w:szCs w:val="22"/>
          <w:lang w:eastAsia="en-US"/>
        </w:rPr>
      </w:pPr>
    </w:p>
    <w:p w14:paraId="26CF7E73" w14:textId="77777777" w:rsidR="00230502" w:rsidRPr="005A4A25" w:rsidRDefault="00230502" w:rsidP="00230502">
      <w:pPr>
        <w:spacing w:line="360" w:lineRule="auto"/>
        <w:contextualSpacing/>
        <w:jc w:val="both"/>
        <w:rPr>
          <w:rFonts w:ascii="Palatino Linotype" w:eastAsiaTheme="minorHAnsi" w:hAnsi="Palatino Linotype" w:cstheme="minorBidi"/>
          <w:bCs/>
          <w:color w:val="000000" w:themeColor="text1"/>
          <w:sz w:val="22"/>
          <w:szCs w:val="22"/>
          <w:lang w:eastAsia="en-US"/>
        </w:rPr>
      </w:pPr>
      <w:r w:rsidRPr="005A4A25">
        <w:rPr>
          <w:rFonts w:ascii="Palatino Linotype" w:eastAsiaTheme="minorHAnsi" w:hAnsi="Palatino Linotype" w:cstheme="minorBidi"/>
          <w:bCs/>
          <w:color w:val="000000" w:themeColor="text1"/>
          <w:sz w:val="22"/>
          <w:szCs w:val="22"/>
          <w:lang w:eastAsia="en-US"/>
        </w:rPr>
        <w:t>Además, en el artículo 5° de dicho ordenamiento jurídico, establece que es la Ley aplicable para todo tratamiento de datos personales.</w:t>
      </w:r>
    </w:p>
    <w:p w14:paraId="0132C5BE" w14:textId="77777777" w:rsidR="00230502" w:rsidRPr="005A4A25" w:rsidRDefault="00230502" w:rsidP="00230502">
      <w:pPr>
        <w:spacing w:line="360" w:lineRule="auto"/>
        <w:contextualSpacing/>
        <w:jc w:val="both"/>
        <w:rPr>
          <w:rFonts w:ascii="Palatino Linotype" w:eastAsiaTheme="minorHAnsi" w:hAnsi="Palatino Linotype" w:cstheme="minorBidi"/>
          <w:bCs/>
          <w:color w:val="000000" w:themeColor="text1"/>
          <w:sz w:val="22"/>
          <w:szCs w:val="22"/>
          <w:lang w:eastAsia="en-US"/>
        </w:rPr>
      </w:pPr>
    </w:p>
    <w:p w14:paraId="13D8B3D6" w14:textId="77777777" w:rsidR="00230502" w:rsidRPr="005A4A25" w:rsidRDefault="00230502" w:rsidP="00230502">
      <w:pPr>
        <w:spacing w:line="360" w:lineRule="auto"/>
        <w:contextualSpacing/>
        <w:jc w:val="both"/>
        <w:rPr>
          <w:rFonts w:ascii="Palatino Linotype" w:eastAsiaTheme="minorHAnsi" w:hAnsi="Palatino Linotype" w:cstheme="minorBidi"/>
          <w:bCs/>
          <w:color w:val="000000" w:themeColor="text1"/>
          <w:sz w:val="22"/>
          <w:szCs w:val="22"/>
          <w:lang w:eastAsia="en-US"/>
        </w:rPr>
      </w:pPr>
      <w:r w:rsidRPr="005A4A25">
        <w:rPr>
          <w:rFonts w:ascii="Palatino Linotype" w:eastAsiaTheme="minorHAnsi" w:hAnsi="Palatino Linotype" w:cstheme="minorBidi"/>
          <w:bCs/>
          <w:color w:val="000000" w:themeColor="text1"/>
          <w:sz w:val="22"/>
          <w:szCs w:val="22"/>
          <w:lang w:eastAsia="en-US"/>
        </w:rPr>
        <w:t xml:space="preserve">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w:t>
      </w:r>
      <w:r w:rsidRPr="005A4A25">
        <w:rPr>
          <w:rFonts w:ascii="Palatino Linotype" w:eastAsiaTheme="minorHAnsi" w:hAnsi="Palatino Linotype" w:cstheme="minorBidi"/>
          <w:bCs/>
          <w:color w:val="000000" w:themeColor="text1"/>
          <w:sz w:val="22"/>
          <w:szCs w:val="22"/>
          <w:lang w:eastAsia="en-US"/>
        </w:rPr>
        <w:lastRenderedPageBreak/>
        <w:t>atribuciones legales y con el consentimiento de su titular, además de que debe estar justificado en ley (principio de finalidad).</w:t>
      </w:r>
    </w:p>
    <w:p w14:paraId="7B77D9DA" w14:textId="77777777" w:rsidR="00230502" w:rsidRPr="005A4A25" w:rsidRDefault="00230502" w:rsidP="00230502">
      <w:pPr>
        <w:spacing w:line="360" w:lineRule="auto"/>
        <w:contextualSpacing/>
        <w:jc w:val="both"/>
        <w:rPr>
          <w:rFonts w:ascii="Palatino Linotype" w:eastAsiaTheme="minorHAnsi" w:hAnsi="Palatino Linotype" w:cstheme="minorBidi"/>
          <w:bCs/>
          <w:color w:val="000000" w:themeColor="text1"/>
          <w:sz w:val="22"/>
          <w:szCs w:val="22"/>
          <w:lang w:eastAsia="en-US"/>
        </w:rPr>
      </w:pPr>
    </w:p>
    <w:p w14:paraId="3FED85FB" w14:textId="77777777" w:rsidR="00230502" w:rsidRPr="005A4A25" w:rsidRDefault="00230502" w:rsidP="00230502">
      <w:pPr>
        <w:spacing w:line="360" w:lineRule="auto"/>
        <w:contextualSpacing/>
        <w:jc w:val="both"/>
        <w:rPr>
          <w:rFonts w:ascii="Palatino Linotype" w:eastAsiaTheme="minorHAnsi" w:hAnsi="Palatino Linotype" w:cstheme="minorBidi"/>
          <w:bCs/>
          <w:color w:val="000000" w:themeColor="text1"/>
          <w:sz w:val="22"/>
          <w:szCs w:val="22"/>
          <w:lang w:eastAsia="en-US"/>
        </w:rPr>
      </w:pPr>
      <w:r w:rsidRPr="005A4A25">
        <w:rPr>
          <w:rFonts w:ascii="Palatino Linotype" w:eastAsiaTheme="minorHAnsi" w:hAnsi="Palatino Linotype" w:cstheme="minorBidi"/>
          <w:bCs/>
          <w:color w:val="000000" w:themeColor="text1"/>
          <w:sz w:val="22"/>
          <w:szCs w:val="22"/>
          <w:lang w:eastAsia="en-US"/>
        </w:rPr>
        <w:t>Bajo ese contexto, se analizarán si los datos mencionados, deben ser considerados confidenciales, en términos del artículo 143, fracción I, de la Ley de Transparencia y Acceso a la Información Pública del Estado de México y Municipios, o públicos.</w:t>
      </w:r>
    </w:p>
    <w:p w14:paraId="1639C122" w14:textId="77777777" w:rsidR="00230502" w:rsidRPr="005A4A25" w:rsidRDefault="00230502" w:rsidP="00230502">
      <w:pPr>
        <w:spacing w:line="360" w:lineRule="auto"/>
        <w:contextualSpacing/>
        <w:jc w:val="both"/>
        <w:rPr>
          <w:rFonts w:ascii="Palatino Linotype" w:hAnsi="Palatino Linotype" w:cs="Tahoma"/>
        </w:rPr>
      </w:pPr>
    </w:p>
    <w:p w14:paraId="40B2EBC0" w14:textId="77777777" w:rsidR="00230502" w:rsidRPr="0059139D" w:rsidRDefault="00230502" w:rsidP="00230502">
      <w:pPr>
        <w:numPr>
          <w:ilvl w:val="0"/>
          <w:numId w:val="15"/>
        </w:numPr>
        <w:spacing w:line="360" w:lineRule="auto"/>
        <w:ind w:right="-93"/>
        <w:contextualSpacing/>
        <w:jc w:val="both"/>
        <w:rPr>
          <w:rFonts w:ascii="Palatino Linotype" w:eastAsia="Calibri" w:hAnsi="Palatino Linotype" w:cs="Tahoma"/>
          <w:bCs/>
          <w:sz w:val="22"/>
          <w:szCs w:val="22"/>
          <w:lang w:eastAsia="en-US"/>
        </w:rPr>
      </w:pPr>
      <w:r w:rsidRPr="0059139D">
        <w:rPr>
          <w:rFonts w:ascii="Palatino Linotype" w:eastAsia="Calibri" w:hAnsi="Palatino Linotype" w:cs="Tahoma"/>
          <w:b/>
          <w:bCs/>
          <w:sz w:val="22"/>
          <w:szCs w:val="22"/>
          <w:lang w:eastAsia="en-US"/>
        </w:rPr>
        <w:t>Nombre del titular de la Licencia de funcionamiento (persona física)</w:t>
      </w:r>
    </w:p>
    <w:p w14:paraId="2B0AF9A5" w14:textId="77777777" w:rsidR="00230502" w:rsidRPr="0059139D" w:rsidRDefault="00230502" w:rsidP="00230502">
      <w:pPr>
        <w:spacing w:line="360" w:lineRule="auto"/>
        <w:jc w:val="both"/>
        <w:rPr>
          <w:rFonts w:ascii="Palatino Linotype" w:eastAsia="Calibri" w:hAnsi="Palatino Linotype" w:cs="Tahoma"/>
          <w:bCs/>
          <w:sz w:val="22"/>
          <w:szCs w:val="22"/>
          <w:lang w:val="es-ES" w:eastAsia="en-US"/>
        </w:rPr>
      </w:pPr>
    </w:p>
    <w:p w14:paraId="5F180110" w14:textId="77777777" w:rsidR="00230502" w:rsidRPr="0059139D" w:rsidRDefault="00230502" w:rsidP="00230502">
      <w:pPr>
        <w:spacing w:line="360" w:lineRule="auto"/>
        <w:ind w:right="-93"/>
        <w:jc w:val="both"/>
        <w:rPr>
          <w:rFonts w:ascii="Palatino Linotype" w:eastAsia="Calibri" w:hAnsi="Palatino Linotype" w:cs="Tahoma"/>
          <w:b/>
          <w:bCs/>
          <w:sz w:val="22"/>
          <w:szCs w:val="22"/>
          <w:lang w:val="es-ES_tradnl" w:eastAsia="en-US"/>
        </w:rPr>
      </w:pPr>
      <w:r w:rsidRPr="0059139D">
        <w:rPr>
          <w:rFonts w:ascii="Palatino Linotype" w:eastAsia="Calibri" w:hAnsi="Palatino Linotype" w:cs="Tahoma"/>
          <w:bCs/>
          <w:sz w:val="22"/>
          <w:szCs w:val="22"/>
          <w:lang w:eastAsia="en-US"/>
        </w:rPr>
        <w:t xml:space="preserve">Al respecto, se considera que el nombre de una persona se integra </w:t>
      </w:r>
      <w:r w:rsidRPr="0059139D">
        <w:rPr>
          <w:rFonts w:ascii="Palatino Linotype" w:eastAsia="Calibri" w:hAnsi="Palatino Linotype" w:cs="Tahoma"/>
          <w:bCs/>
          <w:sz w:val="22"/>
          <w:szCs w:val="22"/>
          <w:lang w:val="es-ES_tradnl" w:eastAsia="en-US"/>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59139D">
        <w:rPr>
          <w:rFonts w:ascii="Palatino Linotype" w:eastAsia="Calibri" w:hAnsi="Palatino Linotype" w:cs="Tahoma"/>
          <w:bCs/>
          <w:i/>
          <w:sz w:val="22"/>
          <w:szCs w:val="22"/>
          <w:lang w:val="es-ES_tradnl" w:eastAsia="en-US"/>
        </w:rPr>
        <w:t>per se</w:t>
      </w:r>
      <w:r w:rsidRPr="0059139D">
        <w:rPr>
          <w:rFonts w:ascii="Palatino Linotype" w:eastAsia="Calibri" w:hAnsi="Palatino Linotype" w:cs="Tahoma"/>
          <w:bCs/>
          <w:sz w:val="22"/>
          <w:szCs w:val="22"/>
          <w:lang w:val="es-ES_tradnl" w:eastAsia="en-US"/>
        </w:rPr>
        <w:t xml:space="preserve"> es un elemento que hace a una persona física identificada o identificable, por lo que, </w:t>
      </w:r>
      <w:r w:rsidRPr="0059139D">
        <w:rPr>
          <w:rFonts w:ascii="Palatino Linotype" w:eastAsia="Calibri" w:hAnsi="Palatino Linotype" w:cs="Tahoma"/>
          <w:b/>
          <w:bCs/>
          <w:sz w:val="22"/>
          <w:szCs w:val="22"/>
          <w:lang w:val="es-ES_tradnl" w:eastAsia="en-US"/>
        </w:rPr>
        <w:t>se considera un dato personal.</w:t>
      </w:r>
    </w:p>
    <w:p w14:paraId="36ED9FA6" w14:textId="77777777" w:rsidR="00230502" w:rsidRPr="0059139D" w:rsidRDefault="00230502" w:rsidP="00230502">
      <w:pPr>
        <w:spacing w:line="360" w:lineRule="auto"/>
        <w:ind w:right="-93"/>
        <w:jc w:val="both"/>
        <w:rPr>
          <w:rFonts w:ascii="Palatino Linotype" w:eastAsia="Calibri" w:hAnsi="Palatino Linotype" w:cs="Tahoma"/>
          <w:b/>
          <w:bCs/>
          <w:sz w:val="22"/>
          <w:szCs w:val="22"/>
          <w:lang w:val="es-ES_tradnl" w:eastAsia="en-US"/>
        </w:rPr>
      </w:pPr>
    </w:p>
    <w:p w14:paraId="55127F2A" w14:textId="77777777" w:rsidR="00230502" w:rsidRPr="0059139D" w:rsidRDefault="00230502" w:rsidP="00230502">
      <w:pPr>
        <w:spacing w:line="360" w:lineRule="auto"/>
        <w:jc w:val="both"/>
        <w:rPr>
          <w:rFonts w:ascii="Palatino Linotype" w:eastAsia="Calibri" w:hAnsi="Palatino Linotype" w:cs="Tahoma"/>
          <w:bCs/>
          <w:sz w:val="22"/>
          <w:szCs w:val="22"/>
          <w:lang w:val="es-ES_tradnl" w:eastAsia="en-US"/>
        </w:rPr>
      </w:pPr>
      <w:r w:rsidRPr="0059139D">
        <w:rPr>
          <w:rFonts w:ascii="Palatino Linotype" w:eastAsia="Calibri" w:hAnsi="Palatino Linotype" w:cs="Tahoma"/>
          <w:bCs/>
          <w:sz w:val="22"/>
          <w:szCs w:val="22"/>
          <w:lang w:val="es-ES_tradnl" w:eastAsia="en-US"/>
        </w:rPr>
        <w:t>Sobre el tema, se tiene presente que este Instituto emitió el Criterio Relevante 01/18, de la Segunda Época de este Instituto, que establece que el nombre del titular de una licencia (persona física), como en el caso que nos ocupa, es información confidencial, cuando no involucra aprovechamiento de recursos públicos.</w:t>
      </w:r>
    </w:p>
    <w:p w14:paraId="41A5629F" w14:textId="77777777" w:rsidR="00230502" w:rsidRPr="0059139D" w:rsidRDefault="00230502" w:rsidP="00230502">
      <w:pPr>
        <w:spacing w:line="360" w:lineRule="auto"/>
        <w:jc w:val="both"/>
        <w:rPr>
          <w:rFonts w:ascii="Palatino Linotype" w:eastAsia="Calibri" w:hAnsi="Palatino Linotype" w:cs="Tahoma"/>
          <w:bCs/>
          <w:szCs w:val="22"/>
          <w:lang w:val="es-ES_tradnl" w:eastAsia="en-US"/>
        </w:rPr>
      </w:pPr>
    </w:p>
    <w:p w14:paraId="00C54AFA" w14:textId="77777777" w:rsidR="00230502" w:rsidRPr="0059139D" w:rsidRDefault="00230502" w:rsidP="00230502">
      <w:pPr>
        <w:spacing w:line="360" w:lineRule="auto"/>
        <w:ind w:left="567" w:right="567"/>
        <w:jc w:val="both"/>
        <w:rPr>
          <w:rFonts w:ascii="Palatino Linotype" w:eastAsia="Calibri" w:hAnsi="Palatino Linotype" w:cs="Tahoma"/>
          <w:bCs/>
          <w:i/>
          <w:szCs w:val="22"/>
        </w:rPr>
      </w:pPr>
      <w:r w:rsidRPr="0059139D">
        <w:rPr>
          <w:rFonts w:ascii="Palatino Linotype" w:eastAsia="Calibri" w:hAnsi="Palatino Linotype" w:cs="Tahoma"/>
          <w:b/>
          <w:bCs/>
          <w:i/>
          <w:szCs w:val="22"/>
        </w:rPr>
        <w:t>“Nombre del titular de una licencia que no involucre el aprovechamiento de bienes, servicios y/o recursos públicos, constituye un dato personal susceptible de clasificar como confidencial.</w:t>
      </w:r>
      <w:r w:rsidRPr="0059139D">
        <w:rPr>
          <w:rFonts w:ascii="Palatino Linotype" w:eastAsia="Calibri" w:hAnsi="Palatino Linotype" w:cs="Tahoma"/>
          <w:bCs/>
          <w:i/>
          <w:szCs w:val="22"/>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w:t>
      </w:r>
      <w:r w:rsidRPr="0059139D">
        <w:rPr>
          <w:rFonts w:ascii="Palatino Linotype" w:eastAsia="Calibri" w:hAnsi="Palatino Linotype" w:cs="Tahoma"/>
          <w:bCs/>
          <w:i/>
          <w:szCs w:val="22"/>
        </w:rPr>
        <w:lastRenderedPageBreak/>
        <w:t>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w:t>
      </w:r>
    </w:p>
    <w:p w14:paraId="2BDA0ACD" w14:textId="77777777" w:rsidR="00230502" w:rsidRPr="0059139D" w:rsidRDefault="00230502" w:rsidP="00230502">
      <w:pPr>
        <w:spacing w:line="360" w:lineRule="auto"/>
        <w:ind w:right="-93"/>
        <w:jc w:val="both"/>
        <w:rPr>
          <w:rFonts w:ascii="Palatino Linotype" w:eastAsia="Calibri" w:hAnsi="Palatino Linotype" w:cs="Tahoma"/>
          <w:bCs/>
          <w:sz w:val="22"/>
          <w:szCs w:val="22"/>
          <w:lang w:eastAsia="en-US"/>
        </w:rPr>
      </w:pPr>
    </w:p>
    <w:p w14:paraId="66DD13DE" w14:textId="77777777" w:rsidR="00230502" w:rsidRPr="0059139D" w:rsidRDefault="00230502" w:rsidP="00230502">
      <w:pPr>
        <w:spacing w:line="360" w:lineRule="auto"/>
        <w:ind w:right="-93"/>
        <w:jc w:val="both"/>
        <w:rPr>
          <w:rFonts w:ascii="Palatino Linotype" w:eastAsia="Calibri" w:hAnsi="Palatino Linotype" w:cs="Tahoma"/>
          <w:bCs/>
          <w:sz w:val="22"/>
          <w:szCs w:val="22"/>
          <w:lang w:eastAsia="en-US"/>
        </w:rPr>
      </w:pPr>
      <w:r w:rsidRPr="0059139D">
        <w:rPr>
          <w:rFonts w:ascii="Palatino Linotype" w:eastAsia="Calibri" w:hAnsi="Palatino Linotype" w:cs="Tahoma"/>
          <w:bCs/>
          <w:sz w:val="22"/>
          <w:szCs w:val="22"/>
          <w:lang w:eastAsia="en-US"/>
        </w:rPr>
        <w:t>En el Criterio en cita, se argumenta que si bien el nombre de los titulares de las licencias es un dato de carácter público, en términos del artículo 92, fracción XXXII de la Ley de Transparencia y Acceso a la Información Pública del Estado de México y Municipios, dicho precepto legal debe ser interpretado de manera armónica y sistemática, pues la intromisión a los datos personales de particulares únicamente se verá justificada cuando involucre el aprovechamiento de bienes, servicios o recursos públicos; por lo que constituye un dato personal, a menos que se actualice alguno de los supuestos previamente señalados.</w:t>
      </w:r>
    </w:p>
    <w:p w14:paraId="4A50163C" w14:textId="77777777" w:rsidR="00230502" w:rsidRPr="0059139D" w:rsidRDefault="00230502" w:rsidP="00230502">
      <w:pPr>
        <w:spacing w:line="360" w:lineRule="auto"/>
        <w:ind w:right="-93"/>
        <w:jc w:val="both"/>
        <w:rPr>
          <w:rFonts w:ascii="Palatino Linotype" w:eastAsia="Calibri" w:hAnsi="Palatino Linotype" w:cs="Tahoma"/>
          <w:bCs/>
          <w:sz w:val="22"/>
          <w:szCs w:val="22"/>
          <w:lang w:eastAsia="en-US"/>
        </w:rPr>
      </w:pPr>
    </w:p>
    <w:p w14:paraId="7D71D136" w14:textId="3FFA8F7A" w:rsidR="00230502" w:rsidRPr="0059139D" w:rsidRDefault="00230502" w:rsidP="00230502">
      <w:pPr>
        <w:spacing w:line="360" w:lineRule="auto"/>
        <w:ind w:right="-93"/>
        <w:jc w:val="both"/>
        <w:rPr>
          <w:rFonts w:ascii="Palatino Linotype" w:eastAsia="Calibri" w:hAnsi="Palatino Linotype" w:cs="Tahoma"/>
          <w:bCs/>
          <w:sz w:val="22"/>
          <w:szCs w:val="22"/>
          <w:lang w:val="es-ES_tradnl" w:eastAsia="en-US"/>
        </w:rPr>
      </w:pPr>
      <w:r w:rsidRPr="0059139D">
        <w:rPr>
          <w:rFonts w:ascii="Palatino Linotype" w:eastAsia="Calibri" w:hAnsi="Palatino Linotype" w:cs="Tahoma"/>
          <w:bCs/>
          <w:sz w:val="22"/>
          <w:szCs w:val="22"/>
          <w:lang w:val="es-ES_tradnl" w:eastAsia="en-US"/>
        </w:rPr>
        <w:lastRenderedPageBreak/>
        <w:t xml:space="preserve">No obstante, se considera que el nombre localizado en una licencia de funcionamiento, guarda cierto interés público, dado que cualquier actividad comercial, industrial o económica, es regulada por el Municipio de </w:t>
      </w:r>
      <w:r>
        <w:rPr>
          <w:rFonts w:ascii="Palatino Linotype" w:eastAsia="Calibri" w:hAnsi="Palatino Linotype" w:cs="Tahoma"/>
          <w:bCs/>
          <w:sz w:val="22"/>
          <w:szCs w:val="22"/>
          <w:lang w:val="es-ES_tradnl" w:eastAsia="en-US"/>
        </w:rPr>
        <w:t xml:space="preserve">San Martín de las Pirámides </w:t>
      </w:r>
      <w:r w:rsidRPr="0059139D">
        <w:rPr>
          <w:rFonts w:ascii="Palatino Linotype" w:eastAsia="Calibri" w:hAnsi="Palatino Linotype" w:cs="Tahoma"/>
          <w:bCs/>
          <w:sz w:val="22"/>
          <w:szCs w:val="22"/>
          <w:lang w:val="es-ES_tradnl" w:eastAsia="en-US"/>
        </w:rPr>
        <w:t>dentro de su circunscripción territorial, pues ayuda a transparentar la gestión pública.</w:t>
      </w:r>
    </w:p>
    <w:p w14:paraId="12740785" w14:textId="77777777" w:rsidR="00230502" w:rsidRPr="0059139D" w:rsidRDefault="00230502" w:rsidP="00230502">
      <w:pPr>
        <w:spacing w:line="360" w:lineRule="auto"/>
        <w:ind w:right="-93"/>
        <w:jc w:val="both"/>
        <w:rPr>
          <w:rFonts w:ascii="Palatino Linotype" w:eastAsia="Calibri" w:hAnsi="Palatino Linotype" w:cs="Tahoma"/>
          <w:bCs/>
          <w:sz w:val="22"/>
          <w:szCs w:val="22"/>
          <w:lang w:eastAsia="en-US"/>
        </w:rPr>
      </w:pPr>
    </w:p>
    <w:p w14:paraId="08513962" w14:textId="60B81113" w:rsidR="00230502" w:rsidRPr="0059139D" w:rsidRDefault="00230502" w:rsidP="00230502">
      <w:pPr>
        <w:spacing w:line="360" w:lineRule="auto"/>
        <w:ind w:right="-93"/>
        <w:jc w:val="both"/>
        <w:rPr>
          <w:rFonts w:ascii="Palatino Linotype" w:eastAsia="Calibri" w:hAnsi="Palatino Linotype" w:cs="Tahoma"/>
          <w:bCs/>
          <w:sz w:val="22"/>
          <w:szCs w:val="22"/>
          <w:lang w:eastAsia="en-US"/>
        </w:rPr>
      </w:pPr>
      <w:r w:rsidRPr="0059139D">
        <w:rPr>
          <w:rFonts w:ascii="Palatino Linotype" w:eastAsia="Calibri" w:hAnsi="Palatino Linotype" w:cs="Tahoma"/>
          <w:bCs/>
          <w:sz w:val="22"/>
          <w:szCs w:val="22"/>
          <w:lang w:eastAsia="en-US"/>
        </w:rPr>
        <w:t>Al respecto, cabe puntualizar que las licencias, tal como se estableció en párrafos anteriores, se refiere a los documentos que contienen la autorización por parte del Ayuntamiento</w:t>
      </w:r>
      <w:r>
        <w:rPr>
          <w:rFonts w:ascii="Palatino Linotype" w:eastAsia="Calibri" w:hAnsi="Palatino Linotype" w:cs="Tahoma"/>
          <w:bCs/>
          <w:sz w:val="22"/>
          <w:szCs w:val="22"/>
          <w:lang w:eastAsia="en-US"/>
        </w:rPr>
        <w:t xml:space="preserve"> de San Martín de las Pirámides</w:t>
      </w:r>
      <w:r w:rsidRPr="0059139D">
        <w:rPr>
          <w:rFonts w:ascii="Palatino Linotype" w:eastAsia="Calibri" w:hAnsi="Palatino Linotype" w:cs="Tahoma"/>
          <w:bCs/>
          <w:sz w:val="22"/>
          <w:szCs w:val="22"/>
          <w:lang w:eastAsia="en-US"/>
        </w:rPr>
        <w:t>, a través de la Dirección de Desarrollo Económico, para que un particular o persona jurídica colectiva pueda realizar una actividad económica, comercial o industrial, regulada por las Leyes respectivas.</w:t>
      </w:r>
    </w:p>
    <w:p w14:paraId="2F1323B1" w14:textId="77777777" w:rsidR="00230502" w:rsidRPr="0059139D" w:rsidRDefault="00230502" w:rsidP="00230502">
      <w:pPr>
        <w:spacing w:line="360" w:lineRule="auto"/>
        <w:ind w:right="-93"/>
        <w:jc w:val="both"/>
        <w:rPr>
          <w:rFonts w:ascii="Palatino Linotype" w:eastAsia="Calibri" w:hAnsi="Palatino Linotype" w:cs="Tahoma"/>
          <w:bCs/>
          <w:sz w:val="22"/>
          <w:szCs w:val="22"/>
          <w:lang w:eastAsia="en-US"/>
        </w:rPr>
      </w:pPr>
    </w:p>
    <w:p w14:paraId="0C4D14E5" w14:textId="77777777" w:rsidR="00230502" w:rsidRPr="0059139D" w:rsidRDefault="00230502" w:rsidP="00230502">
      <w:pPr>
        <w:spacing w:line="360" w:lineRule="auto"/>
        <w:ind w:right="-93"/>
        <w:jc w:val="both"/>
        <w:rPr>
          <w:rFonts w:ascii="Palatino Linotype" w:eastAsia="Calibri" w:hAnsi="Palatino Linotype" w:cs="Tahoma"/>
          <w:bCs/>
          <w:sz w:val="22"/>
          <w:szCs w:val="22"/>
          <w:lang w:eastAsia="en-US"/>
        </w:rPr>
      </w:pPr>
      <w:r w:rsidRPr="0059139D">
        <w:rPr>
          <w:rFonts w:ascii="Palatino Linotype" w:eastAsia="Calibri" w:hAnsi="Palatino Linotype" w:cs="Tahoma"/>
          <w:bCs/>
          <w:sz w:val="22"/>
          <w:szCs w:val="22"/>
          <w:lang w:eastAsia="en-US"/>
        </w:rPr>
        <w:t xml:space="preserve">En ese sentido, de acuerdo con el artículo 92, fracción XXXII de la Ley en cita, el legislador contempló como información de interés público y que debe estar disponible para consulta, aquellas licencias otorgadas, especificando </w:t>
      </w:r>
      <w:r w:rsidRPr="0059139D">
        <w:rPr>
          <w:rFonts w:ascii="Palatino Linotype" w:eastAsia="Calibri" w:hAnsi="Palatino Linotype" w:cs="Tahoma"/>
          <w:b/>
          <w:bCs/>
          <w:sz w:val="22"/>
          <w:szCs w:val="22"/>
          <w:lang w:eastAsia="en-US"/>
        </w:rPr>
        <w:t>el nombre de su titular</w:t>
      </w:r>
      <w:r w:rsidRPr="0059139D">
        <w:rPr>
          <w:rFonts w:ascii="Palatino Linotype" w:eastAsia="Calibri" w:hAnsi="Palatino Linotype" w:cs="Tahoma"/>
          <w:bCs/>
          <w:sz w:val="22"/>
          <w:szCs w:val="22"/>
          <w:lang w:eastAsia="en-US"/>
        </w:rPr>
        <w:t xml:space="preserve"> y las características principales. Lo anterior, en concordancia a lo establecido en la Ley General de Transparencia y Acceso a la Información Pública. </w:t>
      </w:r>
    </w:p>
    <w:p w14:paraId="042755A2" w14:textId="77777777" w:rsidR="00230502" w:rsidRPr="0059139D" w:rsidRDefault="00230502" w:rsidP="00230502">
      <w:pPr>
        <w:spacing w:line="360" w:lineRule="auto"/>
        <w:ind w:right="-93"/>
        <w:jc w:val="both"/>
        <w:rPr>
          <w:rFonts w:ascii="Palatino Linotype" w:eastAsia="Calibri" w:hAnsi="Palatino Linotype" w:cs="Tahoma"/>
          <w:bCs/>
          <w:sz w:val="22"/>
          <w:szCs w:val="22"/>
          <w:lang w:eastAsia="en-US"/>
        </w:rPr>
      </w:pPr>
    </w:p>
    <w:p w14:paraId="740CE36B" w14:textId="77777777" w:rsidR="00230502" w:rsidRPr="0059139D" w:rsidRDefault="00230502" w:rsidP="00230502">
      <w:pPr>
        <w:spacing w:line="360" w:lineRule="auto"/>
        <w:ind w:right="-93"/>
        <w:jc w:val="both"/>
        <w:rPr>
          <w:rFonts w:ascii="Palatino Linotype" w:eastAsia="Calibri" w:hAnsi="Palatino Linotype" w:cs="Tahoma"/>
          <w:bCs/>
          <w:sz w:val="22"/>
          <w:szCs w:val="22"/>
          <w:lang w:eastAsia="en-US"/>
        </w:rPr>
      </w:pPr>
      <w:r w:rsidRPr="0059139D">
        <w:rPr>
          <w:rFonts w:ascii="Palatino Linotype" w:eastAsia="Calibri" w:hAnsi="Palatino Linotype" w:cs="Tahoma"/>
          <w:bCs/>
          <w:sz w:val="22"/>
          <w:szCs w:val="22"/>
          <w:lang w:eastAsia="en-US"/>
        </w:rPr>
        <w:t>Ello, con la finalidad de asegurar su mayor difusión, que permita a los ciudadanos evaluar de manera permanente los indicadores más importantes de la gestión pública, como lo son, la autorización de licencias de funcionamiento, pues es facultad exclusiva de los Municipios, ver las cuestiones relacionadas con el tema en cuestión.</w:t>
      </w:r>
      <w:r w:rsidRPr="0059139D">
        <w:rPr>
          <w:rFonts w:ascii="Palatino Linotype" w:hAnsi="Palatino Linotype" w:cs="Tahoma"/>
          <w:sz w:val="22"/>
          <w:szCs w:val="22"/>
        </w:rPr>
        <w:t xml:space="preserve"> </w:t>
      </w:r>
      <w:r w:rsidRPr="0059139D">
        <w:rPr>
          <w:rFonts w:ascii="Palatino Linotype" w:eastAsia="Calibri" w:hAnsi="Palatino Linotype" w:cs="Tahoma"/>
          <w:bCs/>
          <w:sz w:val="22"/>
          <w:szCs w:val="22"/>
          <w:lang w:eastAsia="en-US"/>
        </w:rPr>
        <w:t>Además, se incluyó el deber para los sujetos obligados de proporcionar, en la medida de lo posible, esta información con valor agregado, a efecto de facilitar su uso, comprensión y permitir evaluar su calidad, confiabilidad, oportunidad y veracidad.</w:t>
      </w:r>
    </w:p>
    <w:p w14:paraId="2D7D6939" w14:textId="77777777" w:rsidR="00230502" w:rsidRPr="0059139D" w:rsidRDefault="00230502" w:rsidP="00230502">
      <w:pPr>
        <w:spacing w:line="360" w:lineRule="auto"/>
        <w:ind w:right="-93"/>
        <w:jc w:val="both"/>
        <w:rPr>
          <w:rFonts w:ascii="Palatino Linotype" w:eastAsia="Calibri" w:hAnsi="Palatino Linotype" w:cs="Tahoma"/>
          <w:bCs/>
          <w:sz w:val="22"/>
          <w:szCs w:val="22"/>
          <w:lang w:eastAsia="en-US"/>
        </w:rPr>
      </w:pPr>
    </w:p>
    <w:p w14:paraId="3F3A722B" w14:textId="77777777" w:rsidR="00230502" w:rsidRPr="0059139D" w:rsidRDefault="00230502" w:rsidP="00230502">
      <w:pPr>
        <w:spacing w:line="360" w:lineRule="auto"/>
        <w:ind w:right="-93"/>
        <w:jc w:val="both"/>
        <w:rPr>
          <w:rFonts w:ascii="Palatino Linotype" w:eastAsia="Calibri" w:hAnsi="Palatino Linotype" w:cs="Tahoma"/>
          <w:bCs/>
          <w:sz w:val="22"/>
          <w:szCs w:val="22"/>
          <w:lang w:eastAsia="en-US"/>
        </w:rPr>
      </w:pPr>
      <w:r w:rsidRPr="0059139D">
        <w:rPr>
          <w:rFonts w:ascii="Palatino Linotype" w:eastAsia="Calibri" w:hAnsi="Palatino Linotype" w:cs="Tahoma"/>
          <w:bCs/>
          <w:sz w:val="22"/>
          <w:szCs w:val="22"/>
          <w:lang w:eastAsia="en-US"/>
        </w:rPr>
        <w:lastRenderedPageBreak/>
        <w:t>Toma sustento, dicha situación, en el Dictamen de las Comisiones Unidas de Anticorrupción y Participación Ciudadana, de Gobernación y de Estudios Legislativos, segunda; relativo a la iniciativa que contiene el proyecto de Decreto por el que se expide la Ley General de Transparencia y Acceso a la Información Pública, ya que de este se desprende que el Poder Legislativo consideró que una de las principales contribuciones que trajo dicha Ley, es el catálogo de las obligaciones de transparencia, a través de un listado amplio, completo, detallado y preciso para todos los sujetos obligados del país, que permitan garantizar, el efectivo ejercicio del derecho de acceso a la información.</w:t>
      </w:r>
    </w:p>
    <w:p w14:paraId="403AB9E2" w14:textId="77777777" w:rsidR="00230502" w:rsidRPr="0059139D" w:rsidRDefault="00230502" w:rsidP="00230502">
      <w:pPr>
        <w:spacing w:line="360" w:lineRule="auto"/>
        <w:ind w:right="-93"/>
        <w:jc w:val="both"/>
        <w:rPr>
          <w:rFonts w:ascii="Palatino Linotype" w:eastAsia="Calibri" w:hAnsi="Palatino Linotype" w:cs="Tahoma"/>
          <w:bCs/>
          <w:sz w:val="22"/>
          <w:szCs w:val="22"/>
          <w:lang w:eastAsia="en-US"/>
        </w:rPr>
      </w:pPr>
    </w:p>
    <w:p w14:paraId="27F9D9E9" w14:textId="77777777" w:rsidR="00230502" w:rsidRPr="0059139D" w:rsidRDefault="00230502" w:rsidP="00230502">
      <w:pPr>
        <w:spacing w:line="360" w:lineRule="auto"/>
        <w:ind w:right="-93"/>
        <w:jc w:val="both"/>
        <w:rPr>
          <w:rFonts w:ascii="Palatino Linotype" w:eastAsia="Calibri" w:hAnsi="Palatino Linotype" w:cs="Tahoma"/>
          <w:bCs/>
          <w:sz w:val="22"/>
          <w:szCs w:val="22"/>
          <w:lang w:eastAsia="en-US"/>
        </w:rPr>
      </w:pPr>
      <w:r w:rsidRPr="0059139D">
        <w:rPr>
          <w:rFonts w:ascii="Palatino Linotype" w:eastAsia="Calibri" w:hAnsi="Palatino Linotype" w:cs="Tahoma"/>
          <w:bCs/>
          <w:sz w:val="22"/>
          <w:szCs w:val="22"/>
          <w:lang w:eastAsia="en-US"/>
        </w:rPr>
        <w:t xml:space="preserve">Igualmente, se destacó que aún determinando causales de reserva en las leyes especiales diversas a la Ley General o las Estatales de Transparencia, todos los sujetos obligados deben de dar cumplimiento con todos los principios y procedimientos establecidos en la </w:t>
      </w:r>
      <w:r>
        <w:rPr>
          <w:rFonts w:ascii="Palatino Linotype" w:eastAsia="Calibri" w:hAnsi="Palatino Linotype" w:cs="Tahoma"/>
          <w:bCs/>
          <w:sz w:val="22"/>
          <w:szCs w:val="22"/>
          <w:lang w:eastAsia="en-US"/>
        </w:rPr>
        <w:t>normatividad aplicable</w:t>
      </w:r>
      <w:r w:rsidRPr="0059139D">
        <w:rPr>
          <w:rFonts w:ascii="Palatino Linotype" w:eastAsia="Calibri" w:hAnsi="Palatino Linotype" w:cs="Tahoma"/>
          <w:bCs/>
          <w:sz w:val="22"/>
          <w:szCs w:val="22"/>
          <w:lang w:eastAsia="en-US"/>
        </w:rPr>
        <w:t>, así como con los recursos y criterios de la misma.</w:t>
      </w:r>
    </w:p>
    <w:p w14:paraId="37298C12" w14:textId="77777777" w:rsidR="00230502" w:rsidRPr="0059139D" w:rsidRDefault="00230502" w:rsidP="00230502">
      <w:pPr>
        <w:spacing w:line="360" w:lineRule="auto"/>
        <w:ind w:right="-93"/>
        <w:jc w:val="both"/>
        <w:rPr>
          <w:rFonts w:ascii="Palatino Linotype" w:eastAsia="Calibri" w:hAnsi="Palatino Linotype" w:cs="Tahoma"/>
          <w:bCs/>
          <w:sz w:val="22"/>
          <w:szCs w:val="22"/>
          <w:lang w:eastAsia="en-US"/>
        </w:rPr>
      </w:pPr>
    </w:p>
    <w:p w14:paraId="4FEF72DE" w14:textId="77777777" w:rsidR="00230502" w:rsidRPr="0059139D" w:rsidRDefault="00230502" w:rsidP="00230502">
      <w:pPr>
        <w:spacing w:line="360" w:lineRule="auto"/>
        <w:ind w:right="-93"/>
        <w:jc w:val="both"/>
        <w:rPr>
          <w:rFonts w:ascii="Palatino Linotype" w:eastAsia="Calibri" w:hAnsi="Palatino Linotype" w:cs="Tahoma"/>
          <w:bCs/>
          <w:sz w:val="22"/>
          <w:szCs w:val="22"/>
          <w:lang w:eastAsia="en-US"/>
        </w:rPr>
      </w:pPr>
      <w:r w:rsidRPr="0059139D">
        <w:rPr>
          <w:rFonts w:ascii="Palatino Linotype" w:eastAsia="Calibri" w:hAnsi="Palatino Linotype" w:cs="Tahoma"/>
          <w:bCs/>
          <w:sz w:val="22"/>
          <w:szCs w:val="22"/>
          <w:lang w:eastAsia="en-US"/>
        </w:rPr>
        <w:t>Bajo tal premisa, podría concluirse que la hipótesis normativa del artículo 92, fracción XXXII de la Ley de Transparencia y Acceso a la Información Pública del Estado de México y los Municipios, se traduce en una excepción a la información personal que debe ser protegida, tal como es en el caso que nos ocupa el nombre del titular persona física de una licencia de funcionamiento, por lo que no es dable, como se asienta en el Criterio Relevante, considerar que el nombre de los titulares estas, deba ser considerado confidencial, aún y cuando el mismo no involucre aprovechamiento de bienes o recursos públicos.</w:t>
      </w:r>
    </w:p>
    <w:p w14:paraId="301690CE" w14:textId="77777777" w:rsidR="00230502" w:rsidRPr="0059139D" w:rsidRDefault="00230502" w:rsidP="00230502">
      <w:pPr>
        <w:spacing w:line="360" w:lineRule="auto"/>
        <w:ind w:right="-93"/>
        <w:jc w:val="both"/>
        <w:rPr>
          <w:rFonts w:ascii="Palatino Linotype" w:eastAsia="Calibri" w:hAnsi="Palatino Linotype" w:cs="Tahoma"/>
          <w:bCs/>
          <w:sz w:val="22"/>
          <w:szCs w:val="22"/>
          <w:lang w:eastAsia="en-US"/>
        </w:rPr>
      </w:pPr>
    </w:p>
    <w:p w14:paraId="6CBE06B9" w14:textId="77777777" w:rsidR="00230502" w:rsidRPr="0059139D" w:rsidRDefault="00230502" w:rsidP="00230502">
      <w:pPr>
        <w:spacing w:line="360" w:lineRule="auto"/>
        <w:ind w:right="-93"/>
        <w:jc w:val="both"/>
        <w:rPr>
          <w:rFonts w:ascii="Palatino Linotype" w:eastAsia="Calibri" w:hAnsi="Palatino Linotype" w:cs="Tahoma"/>
          <w:bCs/>
          <w:sz w:val="22"/>
          <w:szCs w:val="22"/>
          <w:lang w:eastAsia="en-US"/>
        </w:rPr>
      </w:pPr>
      <w:r w:rsidRPr="0059139D">
        <w:rPr>
          <w:rFonts w:ascii="Palatino Linotype" w:eastAsia="Calibri" w:hAnsi="Palatino Linotype" w:cs="Tahoma"/>
          <w:bCs/>
          <w:sz w:val="22"/>
          <w:szCs w:val="22"/>
          <w:lang w:eastAsia="en-US"/>
        </w:rPr>
        <w:t xml:space="preserve">A mayor abundamiento se puede referir que, el artículo 91 de dicho ordenamiento jurídico, establece que la información pública será restringida excepcionalmente, cuando ésta sea clasificada como reservada o confidencial; por lo que, se colige que las obligaciones de </w:t>
      </w:r>
      <w:r w:rsidRPr="0059139D">
        <w:rPr>
          <w:rFonts w:ascii="Palatino Linotype" w:eastAsia="Calibri" w:hAnsi="Palatino Linotype" w:cs="Tahoma"/>
          <w:bCs/>
          <w:sz w:val="22"/>
          <w:szCs w:val="22"/>
          <w:lang w:eastAsia="en-US"/>
        </w:rPr>
        <w:lastRenderedPageBreak/>
        <w:t>transparencia no superan de forma automática la prohibición de no difundir datos personales sin el consentimiento de su titular, como sucede en el caso concreto.</w:t>
      </w:r>
    </w:p>
    <w:p w14:paraId="5114E9E2" w14:textId="77777777" w:rsidR="00230502" w:rsidRPr="0059139D" w:rsidRDefault="00230502" w:rsidP="00230502">
      <w:pPr>
        <w:spacing w:line="360" w:lineRule="auto"/>
        <w:ind w:right="-93"/>
        <w:jc w:val="both"/>
        <w:rPr>
          <w:rFonts w:ascii="Palatino Linotype" w:eastAsia="Calibri" w:hAnsi="Palatino Linotype" w:cs="Tahoma"/>
          <w:bCs/>
          <w:sz w:val="22"/>
          <w:szCs w:val="22"/>
          <w:lang w:eastAsia="en-US"/>
        </w:rPr>
      </w:pPr>
    </w:p>
    <w:p w14:paraId="2A5D548D" w14:textId="77777777" w:rsidR="00230502" w:rsidRPr="0059139D" w:rsidRDefault="00230502" w:rsidP="00230502">
      <w:pPr>
        <w:spacing w:line="360" w:lineRule="auto"/>
        <w:ind w:right="-93"/>
        <w:jc w:val="both"/>
        <w:rPr>
          <w:rFonts w:ascii="Palatino Linotype" w:eastAsia="Calibri" w:hAnsi="Palatino Linotype" w:cs="Tahoma"/>
          <w:bCs/>
          <w:sz w:val="22"/>
          <w:szCs w:val="22"/>
          <w:lang w:eastAsia="en-US"/>
        </w:rPr>
      </w:pPr>
      <w:r w:rsidRPr="0059139D">
        <w:rPr>
          <w:rFonts w:ascii="Palatino Linotype" w:eastAsia="Calibri" w:hAnsi="Palatino Linotype" w:cs="Tahoma"/>
          <w:bCs/>
          <w:sz w:val="22"/>
          <w:szCs w:val="22"/>
          <w:lang w:eastAsia="en-US"/>
        </w:rPr>
        <w:t xml:space="preserve">Ante tales circunstancias, se desprende que, en el caso concreto, sobreviene una </w:t>
      </w:r>
      <w:r w:rsidRPr="0059139D">
        <w:rPr>
          <w:rFonts w:ascii="Palatino Linotype" w:eastAsia="Calibri" w:hAnsi="Palatino Linotype" w:cs="Tahoma"/>
          <w:b/>
          <w:bCs/>
          <w:sz w:val="22"/>
          <w:szCs w:val="22"/>
          <w:lang w:eastAsia="en-US"/>
        </w:rPr>
        <w:t>colisión de derechos fundamentales,</w:t>
      </w:r>
      <w:r w:rsidRPr="0059139D">
        <w:rPr>
          <w:rFonts w:ascii="Palatino Linotype" w:eastAsia="Calibri" w:hAnsi="Palatino Linotype" w:cs="Tahoma"/>
          <w:bCs/>
          <w:sz w:val="22"/>
          <w:szCs w:val="22"/>
          <w:lang w:eastAsia="en-US"/>
        </w:rPr>
        <w:t xml:space="preserve"> esto es, por una parte, se tiene el derecho de acceso a la información del Particular para conocer el nombre de la persona a la cual se le otorgó una licencia para desarrollar determinada actividad, y por la otra, el derecho a la protección de los nombres de aquellas a quienes obtuvieron una autorización específica, lo cual implica dar a conocer datos personales confidenciales consistentes, en el nombre de personas físicas y este vincularlo en la actividad que desarrollan y el lugar en el que se ubica su establecimiento.</w:t>
      </w:r>
    </w:p>
    <w:p w14:paraId="598169B5" w14:textId="77777777" w:rsidR="00230502" w:rsidRPr="0059139D" w:rsidRDefault="00230502" w:rsidP="00230502">
      <w:pPr>
        <w:spacing w:line="360" w:lineRule="auto"/>
        <w:ind w:right="-93"/>
        <w:jc w:val="both"/>
        <w:rPr>
          <w:rFonts w:ascii="Palatino Linotype" w:eastAsia="Calibri" w:hAnsi="Palatino Linotype" w:cs="Tahoma"/>
          <w:bCs/>
          <w:sz w:val="22"/>
          <w:szCs w:val="22"/>
          <w:lang w:eastAsia="en-US"/>
        </w:rPr>
      </w:pPr>
    </w:p>
    <w:p w14:paraId="54C11F57" w14:textId="77777777" w:rsidR="00230502" w:rsidRPr="0059139D" w:rsidRDefault="00230502" w:rsidP="00230502">
      <w:pPr>
        <w:spacing w:line="360" w:lineRule="auto"/>
        <w:ind w:right="-93"/>
        <w:jc w:val="both"/>
        <w:rPr>
          <w:rFonts w:ascii="Palatino Linotype" w:eastAsia="Calibri" w:hAnsi="Palatino Linotype" w:cs="Tahoma"/>
          <w:bCs/>
          <w:sz w:val="22"/>
          <w:szCs w:val="22"/>
          <w:lang w:eastAsia="en-US"/>
        </w:rPr>
      </w:pPr>
      <w:r w:rsidRPr="0059139D">
        <w:rPr>
          <w:rFonts w:ascii="Palatino Linotype" w:eastAsia="Calibri" w:hAnsi="Palatino Linotype" w:cs="Tahoma"/>
          <w:bCs/>
          <w:sz w:val="22"/>
          <w:szCs w:val="22"/>
          <w:lang w:eastAsia="en-US"/>
        </w:rPr>
        <w:t>Sobre el particular, debe señalarse que, en un sistema jurídico racional, el contenido de ciertos derechos fundamentales no es absoluto y la colisión entre derechos fundamentales debe resolverse mediante una ponderación que determine el derecho que ha de prevalecer en el caso concretó, y no apelando a reglas de prioridad entre normas.</w:t>
      </w:r>
    </w:p>
    <w:p w14:paraId="0FDC3D9A" w14:textId="77777777" w:rsidR="00230502" w:rsidRPr="0059139D" w:rsidRDefault="00230502" w:rsidP="00230502">
      <w:pPr>
        <w:spacing w:line="360" w:lineRule="auto"/>
        <w:ind w:right="-93"/>
        <w:jc w:val="both"/>
        <w:rPr>
          <w:rFonts w:ascii="Palatino Linotype" w:eastAsia="Calibri" w:hAnsi="Palatino Linotype" w:cs="Tahoma"/>
          <w:bCs/>
          <w:sz w:val="22"/>
          <w:szCs w:val="22"/>
          <w:lang w:eastAsia="en-US"/>
        </w:rPr>
      </w:pPr>
    </w:p>
    <w:p w14:paraId="0F33ED21" w14:textId="77777777" w:rsidR="00230502" w:rsidRPr="0059139D" w:rsidRDefault="00230502" w:rsidP="00230502">
      <w:pPr>
        <w:spacing w:line="360" w:lineRule="auto"/>
        <w:ind w:right="-93"/>
        <w:jc w:val="both"/>
        <w:rPr>
          <w:rFonts w:ascii="Palatino Linotype" w:eastAsia="Calibri" w:hAnsi="Palatino Linotype" w:cs="Tahoma"/>
          <w:bCs/>
          <w:sz w:val="22"/>
          <w:szCs w:val="22"/>
          <w:lang w:eastAsia="en-US"/>
        </w:rPr>
      </w:pPr>
      <w:r w:rsidRPr="0059139D">
        <w:rPr>
          <w:rFonts w:ascii="Palatino Linotype" w:eastAsia="Calibri" w:hAnsi="Palatino Linotype" w:cs="Tahoma"/>
          <w:bCs/>
          <w:sz w:val="22"/>
          <w:szCs w:val="22"/>
          <w:lang w:eastAsia="en-US"/>
        </w:rPr>
        <w:t xml:space="preserve">Por cuanto hace a la colisión entre el derecho a la información y el derecho a la intimidad o a la vida privada, el Poder Judicial de la Federación ha sostenido la </w:t>
      </w:r>
      <w:r w:rsidRPr="0059139D">
        <w:rPr>
          <w:rFonts w:ascii="Palatino Linotype" w:eastAsia="Calibri" w:hAnsi="Palatino Linotype" w:cs="Tahoma"/>
          <w:b/>
          <w:bCs/>
          <w:sz w:val="22"/>
          <w:szCs w:val="22"/>
          <w:lang w:eastAsia="en-US"/>
        </w:rPr>
        <w:t xml:space="preserve">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w:t>
      </w:r>
      <w:r w:rsidRPr="0059139D">
        <w:rPr>
          <w:rFonts w:ascii="Palatino Linotype" w:eastAsia="Calibri" w:hAnsi="Palatino Linotype" w:cs="Tahoma"/>
          <w:bCs/>
          <w:sz w:val="22"/>
          <w:szCs w:val="22"/>
          <w:lang w:eastAsia="en-US"/>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561CB698" w14:textId="77777777" w:rsidR="00230502" w:rsidRPr="0059139D" w:rsidRDefault="00230502" w:rsidP="00230502">
      <w:pPr>
        <w:spacing w:line="360" w:lineRule="auto"/>
        <w:jc w:val="both"/>
        <w:rPr>
          <w:rFonts w:ascii="Palatino Linotype" w:eastAsia="Calibri" w:hAnsi="Palatino Linotype" w:cs="Tahoma"/>
          <w:bCs/>
          <w:sz w:val="22"/>
          <w:szCs w:val="22"/>
          <w:lang w:eastAsia="en-US"/>
        </w:rPr>
      </w:pPr>
    </w:p>
    <w:p w14:paraId="2695DA7C" w14:textId="77777777" w:rsidR="00230502" w:rsidRPr="0059139D" w:rsidRDefault="00230502" w:rsidP="00230502">
      <w:pPr>
        <w:spacing w:line="360" w:lineRule="auto"/>
        <w:jc w:val="both"/>
        <w:rPr>
          <w:rFonts w:ascii="Palatino Linotype" w:hAnsi="Palatino Linotype" w:cs="Tahoma"/>
          <w:bCs/>
          <w:iCs/>
          <w:sz w:val="22"/>
          <w:szCs w:val="22"/>
        </w:rPr>
      </w:pPr>
      <w:r w:rsidRPr="0059139D">
        <w:rPr>
          <w:rFonts w:ascii="Palatino Linotype" w:eastAsia="Calibri" w:hAnsi="Palatino Linotype" w:cs="Tahoma"/>
          <w:bCs/>
          <w:sz w:val="22"/>
          <w:szCs w:val="22"/>
          <w:lang w:eastAsia="en-US"/>
        </w:rPr>
        <w:lastRenderedPageBreak/>
        <w:t>En ese mismo sentido y atendiendo a la naturaleza del derecho a la protección de datos personales, por analogía, este debe ceder cuando exista un interés público mayor de acuerdo a las circunstancias del caso.</w:t>
      </w:r>
      <w:r w:rsidRPr="0059139D">
        <w:rPr>
          <w:rFonts w:ascii="Palatino Linotype" w:hAnsi="Palatino Linotype" w:cs="Tahoma"/>
          <w:bCs/>
          <w:iCs/>
          <w:sz w:val="22"/>
          <w:szCs w:val="22"/>
        </w:rPr>
        <w:t xml:space="preserve"> Precisado lo anterior, resulta necesario realizar una ponderación de los dos intereses jurídicos tutelados que convergen en la controversia que se dirime; para lo cual, el artículo </w:t>
      </w:r>
      <w:r w:rsidRPr="0059139D">
        <w:rPr>
          <w:rFonts w:ascii="Palatino Linotype" w:eastAsia="Calibri" w:hAnsi="Palatino Linotype" w:cs="Tahoma"/>
          <w:bCs/>
          <w:sz w:val="22"/>
          <w:szCs w:val="22"/>
          <w:lang w:eastAsia="en-US"/>
        </w:rPr>
        <w:t>184 de la Ley de Transparencia y Acceso a la Información Pública del Estado de México y Municipios</w:t>
      </w:r>
      <w:r w:rsidRPr="0059139D">
        <w:rPr>
          <w:rFonts w:ascii="Palatino Linotype" w:hAnsi="Palatino Linotype" w:cs="Tahoma"/>
          <w:bCs/>
          <w:iCs/>
          <w:sz w:val="22"/>
          <w:szCs w:val="22"/>
        </w:rPr>
        <w:t xml:space="preserve"> prevé que cuando exista una colisión de derechos, este Instituto, al resolver el recurso de revisión, debe aplicar una prueba de interés público con base en elementos de idoneidad, necesidad y proporcionalidad. Para estos efectos, se entenderá por: </w:t>
      </w:r>
    </w:p>
    <w:p w14:paraId="5DEB84C9" w14:textId="77777777" w:rsidR="00230502" w:rsidRPr="0059139D" w:rsidRDefault="00230502" w:rsidP="00230502">
      <w:pPr>
        <w:spacing w:line="360" w:lineRule="auto"/>
        <w:ind w:right="49"/>
        <w:jc w:val="both"/>
        <w:rPr>
          <w:rFonts w:ascii="Palatino Linotype" w:hAnsi="Palatino Linotype" w:cs="Tahoma"/>
          <w:bCs/>
          <w:iCs/>
          <w:sz w:val="22"/>
          <w:szCs w:val="22"/>
        </w:rPr>
      </w:pPr>
    </w:p>
    <w:p w14:paraId="2F5206A3" w14:textId="77777777" w:rsidR="00230502" w:rsidRPr="0059139D" w:rsidRDefault="00230502" w:rsidP="00230502">
      <w:pPr>
        <w:numPr>
          <w:ilvl w:val="0"/>
          <w:numId w:val="16"/>
        </w:numPr>
        <w:spacing w:line="360" w:lineRule="auto"/>
        <w:ind w:left="426" w:right="49" w:hanging="426"/>
        <w:contextualSpacing/>
        <w:jc w:val="both"/>
        <w:rPr>
          <w:rFonts w:ascii="Palatino Linotype" w:hAnsi="Palatino Linotype" w:cs="Tahoma"/>
          <w:bCs/>
          <w:iCs/>
          <w:sz w:val="22"/>
          <w:szCs w:val="22"/>
        </w:rPr>
      </w:pPr>
      <w:r w:rsidRPr="0059139D">
        <w:rPr>
          <w:rFonts w:ascii="Palatino Linotype" w:hAnsi="Palatino Linotype" w:cs="Tahoma"/>
          <w:b/>
          <w:bCs/>
          <w:iCs/>
          <w:sz w:val="22"/>
          <w:szCs w:val="22"/>
        </w:rPr>
        <w:t>Idoneidad:</w:t>
      </w:r>
      <w:r w:rsidRPr="0059139D">
        <w:rPr>
          <w:rFonts w:ascii="Palatino Linotype" w:hAnsi="Palatino Linotype" w:cs="Tahoma"/>
          <w:bCs/>
          <w:iCs/>
          <w:sz w:val="22"/>
          <w:szCs w:val="22"/>
        </w:rPr>
        <w:t xml:space="preserve"> La legitimidad del derecho adoptado como preferente, que sea el adecuado para el logro de un fin constitucionalmente válido o apto para conseguir el fin pretendido;</w:t>
      </w:r>
    </w:p>
    <w:p w14:paraId="78D5591A" w14:textId="77777777" w:rsidR="00230502" w:rsidRPr="0059139D" w:rsidRDefault="00230502" w:rsidP="00230502">
      <w:pPr>
        <w:spacing w:line="360" w:lineRule="auto"/>
        <w:ind w:left="426" w:right="49"/>
        <w:contextualSpacing/>
        <w:jc w:val="both"/>
        <w:rPr>
          <w:rFonts w:ascii="Palatino Linotype" w:hAnsi="Palatino Linotype" w:cs="Tahoma"/>
          <w:bCs/>
          <w:iCs/>
          <w:sz w:val="22"/>
          <w:szCs w:val="22"/>
        </w:rPr>
      </w:pPr>
    </w:p>
    <w:p w14:paraId="2BC83BFF" w14:textId="77777777" w:rsidR="00230502" w:rsidRPr="0059139D" w:rsidRDefault="00230502" w:rsidP="00230502">
      <w:pPr>
        <w:numPr>
          <w:ilvl w:val="0"/>
          <w:numId w:val="16"/>
        </w:numPr>
        <w:spacing w:line="360" w:lineRule="auto"/>
        <w:ind w:left="426" w:right="49" w:hanging="426"/>
        <w:contextualSpacing/>
        <w:jc w:val="both"/>
        <w:rPr>
          <w:rFonts w:ascii="Palatino Linotype" w:hAnsi="Palatino Linotype" w:cs="Tahoma"/>
          <w:bCs/>
          <w:iCs/>
          <w:sz w:val="22"/>
          <w:szCs w:val="22"/>
        </w:rPr>
      </w:pPr>
      <w:r w:rsidRPr="0059139D">
        <w:rPr>
          <w:rFonts w:ascii="Palatino Linotype" w:hAnsi="Palatino Linotype" w:cs="Tahoma"/>
          <w:b/>
          <w:bCs/>
          <w:iCs/>
          <w:sz w:val="22"/>
          <w:szCs w:val="22"/>
        </w:rPr>
        <w:t>Necesidad:</w:t>
      </w:r>
      <w:r w:rsidRPr="0059139D">
        <w:rPr>
          <w:rFonts w:ascii="Palatino Linotype" w:hAnsi="Palatino Linotype" w:cs="Tahoma"/>
          <w:bCs/>
          <w:iCs/>
          <w:sz w:val="22"/>
          <w:szCs w:val="22"/>
        </w:rPr>
        <w:t xml:space="preserve"> La falta de un medio alternativo menos lesivo a la apertura de la información, para satisfacer el interés público, y</w:t>
      </w:r>
    </w:p>
    <w:p w14:paraId="3BB281B9" w14:textId="77777777" w:rsidR="00230502" w:rsidRPr="0059139D" w:rsidRDefault="00230502" w:rsidP="00230502">
      <w:pPr>
        <w:spacing w:line="360" w:lineRule="auto"/>
        <w:ind w:left="426" w:right="49"/>
        <w:contextualSpacing/>
        <w:jc w:val="both"/>
        <w:rPr>
          <w:rFonts w:ascii="Palatino Linotype" w:hAnsi="Palatino Linotype" w:cs="Tahoma"/>
          <w:bCs/>
          <w:iCs/>
          <w:sz w:val="22"/>
          <w:szCs w:val="22"/>
        </w:rPr>
      </w:pPr>
    </w:p>
    <w:p w14:paraId="4A27791D" w14:textId="77777777" w:rsidR="00230502" w:rsidRPr="0059139D" w:rsidRDefault="00230502" w:rsidP="00230502">
      <w:pPr>
        <w:widowControl w:val="0"/>
        <w:numPr>
          <w:ilvl w:val="0"/>
          <w:numId w:val="16"/>
        </w:numPr>
        <w:spacing w:line="360" w:lineRule="auto"/>
        <w:ind w:left="425" w:right="51" w:hanging="425"/>
        <w:contextualSpacing/>
        <w:jc w:val="both"/>
        <w:rPr>
          <w:rFonts w:ascii="Palatino Linotype" w:hAnsi="Palatino Linotype" w:cs="Tahoma"/>
          <w:bCs/>
          <w:iCs/>
          <w:sz w:val="22"/>
          <w:szCs w:val="22"/>
        </w:rPr>
      </w:pPr>
      <w:r w:rsidRPr="0059139D">
        <w:rPr>
          <w:rFonts w:ascii="Palatino Linotype" w:hAnsi="Palatino Linotype" w:cs="Tahoma"/>
          <w:b/>
          <w:bCs/>
          <w:iCs/>
          <w:sz w:val="22"/>
          <w:szCs w:val="22"/>
        </w:rPr>
        <w:t>Proporcionalidad:</w:t>
      </w:r>
      <w:r w:rsidRPr="0059139D">
        <w:rPr>
          <w:rFonts w:ascii="Palatino Linotype" w:hAnsi="Palatino Linotype" w:cs="Tahoma"/>
          <w:bCs/>
          <w:iCs/>
          <w:sz w:val="22"/>
          <w:szCs w:val="22"/>
        </w:rPr>
        <w:t xml:space="preserve"> El equilibrio entre perjuicio y beneficio a favor del interés público, a fin de que la decisión tomada represente un beneficio mayor al perjuicio que podría causar a la población.</w:t>
      </w:r>
    </w:p>
    <w:p w14:paraId="675E1E61" w14:textId="77777777" w:rsidR="00230502" w:rsidRPr="0059139D" w:rsidRDefault="00230502" w:rsidP="00230502">
      <w:pPr>
        <w:spacing w:line="360" w:lineRule="auto"/>
        <w:ind w:right="-93"/>
        <w:jc w:val="both"/>
        <w:rPr>
          <w:rFonts w:ascii="Palatino Linotype" w:eastAsia="Calibri" w:hAnsi="Palatino Linotype" w:cs="Tahoma"/>
          <w:bCs/>
          <w:sz w:val="22"/>
          <w:szCs w:val="22"/>
          <w:lang w:eastAsia="en-US"/>
        </w:rPr>
      </w:pPr>
    </w:p>
    <w:p w14:paraId="20C06F11" w14:textId="77777777" w:rsidR="00230502" w:rsidRPr="0059139D" w:rsidRDefault="00230502" w:rsidP="00230502">
      <w:pPr>
        <w:spacing w:line="360" w:lineRule="auto"/>
        <w:ind w:right="-1"/>
        <w:jc w:val="both"/>
        <w:rPr>
          <w:rFonts w:ascii="Palatino Linotype" w:eastAsia="Calibri" w:hAnsi="Palatino Linotype" w:cs="Tahoma"/>
          <w:sz w:val="22"/>
          <w:szCs w:val="22"/>
        </w:rPr>
      </w:pPr>
      <w:r w:rsidRPr="0059139D">
        <w:rPr>
          <w:rFonts w:ascii="Palatino Linotype" w:eastAsia="Calibri" w:hAnsi="Palatino Linotype" w:cs="Tahoma"/>
          <w:sz w:val="22"/>
          <w:szCs w:val="22"/>
        </w:rPr>
        <w:t>En ese orden de ideas, resulta procedente analizar cada uno de los elementos referidos, partiendo de que, en el caso concreto, se estima como preferente el derecho de acceso a la información, bajo las consideraciones que se verterán a continuación.</w:t>
      </w:r>
    </w:p>
    <w:p w14:paraId="1171B45F" w14:textId="77777777" w:rsidR="00230502" w:rsidRPr="0059139D" w:rsidRDefault="00230502" w:rsidP="00230502">
      <w:pPr>
        <w:spacing w:line="360" w:lineRule="auto"/>
        <w:ind w:right="-1"/>
        <w:jc w:val="both"/>
        <w:rPr>
          <w:rFonts w:ascii="Palatino Linotype" w:eastAsia="Calibri" w:hAnsi="Palatino Linotype" w:cs="Tahoma"/>
          <w:sz w:val="22"/>
          <w:szCs w:val="22"/>
        </w:rPr>
      </w:pPr>
    </w:p>
    <w:p w14:paraId="52216824" w14:textId="745841A6" w:rsidR="00230502" w:rsidRPr="0059139D" w:rsidRDefault="00230502" w:rsidP="00230502">
      <w:pPr>
        <w:spacing w:line="360" w:lineRule="auto"/>
        <w:ind w:right="-93"/>
        <w:jc w:val="both"/>
        <w:rPr>
          <w:rFonts w:ascii="Palatino Linotype" w:eastAsia="Calibri" w:hAnsi="Palatino Linotype" w:cs="Tahoma"/>
          <w:bCs/>
          <w:sz w:val="22"/>
          <w:szCs w:val="22"/>
          <w:lang w:eastAsia="en-US"/>
        </w:rPr>
      </w:pPr>
      <w:r w:rsidRPr="0059139D">
        <w:rPr>
          <w:rFonts w:ascii="Palatino Linotype" w:eastAsia="Calibri" w:hAnsi="Palatino Linotype" w:cs="Tahoma"/>
          <w:b/>
          <w:bCs/>
          <w:iCs/>
          <w:sz w:val="22"/>
          <w:szCs w:val="22"/>
        </w:rPr>
        <w:lastRenderedPageBreak/>
        <w:t>a) Idoneidad</w:t>
      </w:r>
      <w:r w:rsidRPr="0059139D">
        <w:rPr>
          <w:rFonts w:ascii="Palatino Linotype" w:eastAsia="Calibri" w:hAnsi="Palatino Linotype" w:cs="Tahoma"/>
          <w:bCs/>
          <w:sz w:val="22"/>
          <w:szCs w:val="22"/>
          <w:lang w:eastAsia="en-US"/>
        </w:rPr>
        <w:t xml:space="preserve">. Existe un fin constitucionalmente válido para dar a conocer el nombre de aquellas personas físicas a quienes les fue otorgada una licencia para realizar una actividad económica, comercial o industrial en el Municipios de </w:t>
      </w:r>
      <w:r>
        <w:rPr>
          <w:rFonts w:ascii="Palatino Linotype" w:eastAsia="Calibri" w:hAnsi="Palatino Linotype" w:cs="Tahoma"/>
          <w:bCs/>
          <w:sz w:val="22"/>
          <w:szCs w:val="22"/>
          <w:lang w:eastAsia="en-US"/>
        </w:rPr>
        <w:t>San Martín de las Pirámides</w:t>
      </w:r>
      <w:r w:rsidRPr="0059139D">
        <w:rPr>
          <w:rFonts w:ascii="Palatino Linotype" w:eastAsia="Calibri" w:hAnsi="Palatino Linotype" w:cs="Tahoma"/>
          <w:bCs/>
          <w:sz w:val="22"/>
          <w:szCs w:val="22"/>
          <w:lang w:eastAsia="en-US"/>
        </w:rPr>
        <w:t>; dicho fin la rendición de cuentas sobre el quehacer gubernamental que permita identificar a aquellas personas que han sido autorizadas por el Ayuntamiento, para realizar actividades lícitas; esto es, las localizadas en el Catálogo Mexiquense de Actividades Industriales, Comerciales y de Servicios, a efecto de determinar si la misma se realizó atendiendo a la normatividad aplicable.</w:t>
      </w:r>
    </w:p>
    <w:p w14:paraId="66A51FCB" w14:textId="77777777" w:rsidR="00230502" w:rsidRPr="0059139D" w:rsidRDefault="00230502" w:rsidP="00230502">
      <w:pPr>
        <w:spacing w:line="360" w:lineRule="auto"/>
        <w:ind w:right="-93"/>
        <w:jc w:val="both"/>
        <w:rPr>
          <w:rFonts w:ascii="Palatino Linotype" w:eastAsia="Calibri" w:hAnsi="Palatino Linotype" w:cs="Tahoma"/>
          <w:bCs/>
          <w:sz w:val="22"/>
          <w:szCs w:val="22"/>
          <w:lang w:eastAsia="en-US"/>
        </w:rPr>
      </w:pPr>
    </w:p>
    <w:p w14:paraId="67C18C1B" w14:textId="77777777" w:rsidR="00230502" w:rsidRPr="0059139D" w:rsidRDefault="00230502" w:rsidP="00230502">
      <w:pPr>
        <w:spacing w:line="360" w:lineRule="auto"/>
        <w:ind w:right="-93"/>
        <w:jc w:val="both"/>
        <w:rPr>
          <w:rFonts w:ascii="Palatino Linotype" w:eastAsia="Calibri" w:hAnsi="Palatino Linotype" w:cs="Tahoma"/>
          <w:bCs/>
          <w:sz w:val="22"/>
          <w:szCs w:val="22"/>
          <w:lang w:eastAsia="en-US"/>
        </w:rPr>
      </w:pPr>
      <w:r w:rsidRPr="0059139D">
        <w:rPr>
          <w:rFonts w:ascii="Palatino Linotype" w:eastAsia="Calibri" w:hAnsi="Palatino Linotype" w:cs="Tahoma"/>
          <w:bCs/>
          <w:sz w:val="22"/>
          <w:szCs w:val="22"/>
          <w:lang w:eastAsia="en-US"/>
        </w:rPr>
        <w:t xml:space="preserve">Al respecto, es de señalar que la </w:t>
      </w:r>
      <w:r w:rsidRPr="0059139D">
        <w:rPr>
          <w:rFonts w:ascii="Palatino Linotype" w:eastAsia="Calibri" w:hAnsi="Palatino Linotype" w:cs="Tahoma"/>
          <w:b/>
          <w:bCs/>
          <w:sz w:val="22"/>
          <w:szCs w:val="22"/>
          <w:lang w:eastAsia="en-US"/>
        </w:rPr>
        <w:t xml:space="preserve">transparencia </w:t>
      </w:r>
      <w:r w:rsidRPr="0059139D">
        <w:rPr>
          <w:rFonts w:ascii="Palatino Linotype" w:eastAsia="Calibri" w:hAnsi="Palatino Linotype" w:cs="Tahoma"/>
          <w:bCs/>
          <w:sz w:val="22"/>
          <w:szCs w:val="22"/>
          <w:lang w:eastAsia="en-US"/>
        </w:rPr>
        <w:t xml:space="preserve">está orientada a maximizar el uso social de la información de los organismos gubernamentales, misma que sirve para exigir cuentas a las autoridades; mientras que la </w:t>
      </w:r>
      <w:r w:rsidRPr="0059139D">
        <w:rPr>
          <w:rFonts w:ascii="Palatino Linotype" w:eastAsia="Calibri" w:hAnsi="Palatino Linotype" w:cs="Tahoma"/>
          <w:b/>
          <w:bCs/>
          <w:sz w:val="22"/>
          <w:szCs w:val="22"/>
          <w:lang w:eastAsia="en-US"/>
        </w:rPr>
        <w:t>rendición de cuentas</w:t>
      </w:r>
      <w:r w:rsidRPr="0059139D">
        <w:rPr>
          <w:rFonts w:ascii="Palatino Linotype" w:eastAsia="Calibri" w:hAnsi="Palatino Linotype" w:cs="Tahoma"/>
          <w:bCs/>
          <w:sz w:val="22"/>
          <w:szCs w:val="22"/>
          <w:lang w:eastAsia="en-US"/>
        </w:rPr>
        <w:t xml:space="preserve"> debe entenderse como la obligación de los funcionarios de responder por lo que hacen y la que atañe al poder de los ciudadanos para sancionar los resultados de la gestión en caso de que los servidores públicos hayan violado sus deberes públicos. Por lo que, estos dos conceptos están asociados de manera notable y, por tanto, los gobernados requieren información para evaluar críticamente a sus gobernantes y exigirles cuentas.</w:t>
      </w:r>
    </w:p>
    <w:p w14:paraId="0728CE17" w14:textId="77777777" w:rsidR="00230502" w:rsidRPr="0059139D" w:rsidRDefault="00230502" w:rsidP="00230502">
      <w:pPr>
        <w:spacing w:line="360" w:lineRule="auto"/>
        <w:ind w:right="-93"/>
        <w:jc w:val="both"/>
        <w:rPr>
          <w:rFonts w:ascii="Palatino Linotype" w:eastAsia="Calibri" w:hAnsi="Palatino Linotype" w:cs="Tahoma"/>
          <w:bCs/>
          <w:sz w:val="22"/>
          <w:szCs w:val="22"/>
          <w:lang w:eastAsia="en-US"/>
        </w:rPr>
      </w:pPr>
    </w:p>
    <w:p w14:paraId="4376F982" w14:textId="77777777" w:rsidR="00230502" w:rsidRPr="0059139D" w:rsidRDefault="00230502" w:rsidP="00230502">
      <w:pPr>
        <w:spacing w:line="360" w:lineRule="auto"/>
        <w:ind w:right="-93"/>
        <w:jc w:val="both"/>
        <w:rPr>
          <w:rFonts w:ascii="Palatino Linotype" w:eastAsia="Calibri" w:hAnsi="Palatino Linotype" w:cs="Tahoma"/>
          <w:b/>
          <w:bCs/>
          <w:sz w:val="22"/>
          <w:szCs w:val="22"/>
          <w:lang w:eastAsia="en-US"/>
        </w:rPr>
      </w:pPr>
      <w:r w:rsidRPr="0059139D">
        <w:rPr>
          <w:rFonts w:ascii="Palatino Linotype" w:eastAsia="Calibri" w:hAnsi="Palatino Linotype" w:cs="Tahoma"/>
          <w:bCs/>
          <w:sz w:val="22"/>
          <w:szCs w:val="22"/>
          <w:lang w:eastAsia="en-US"/>
        </w:rPr>
        <w:t xml:space="preserve">En ese orden de ideas, la transparencia, al permitir y ayudar a la rendición de cuentas, funciona de doble manera, </w:t>
      </w:r>
      <w:r w:rsidRPr="0059139D">
        <w:rPr>
          <w:rFonts w:ascii="Palatino Linotype" w:eastAsia="Calibri" w:hAnsi="Palatino Linotype" w:cs="Tahoma"/>
          <w:bCs/>
          <w:sz w:val="22"/>
          <w:szCs w:val="22"/>
          <w:u w:val="single"/>
          <w:lang w:eastAsia="en-US"/>
        </w:rPr>
        <w:t>capacitadora</w:t>
      </w:r>
      <w:r w:rsidRPr="0059139D">
        <w:rPr>
          <w:rFonts w:ascii="Palatino Linotype" w:eastAsia="Calibri" w:hAnsi="Palatino Linotype" w:cs="Tahoma"/>
          <w:bCs/>
          <w:sz w:val="22"/>
          <w:szCs w:val="22"/>
          <w:lang w:eastAsia="en-US"/>
        </w:rPr>
        <w:t xml:space="preserve">, al permitir a la sociedad premiar o castigar el desempeño de los entes públicos, y cómo </w:t>
      </w:r>
      <w:r w:rsidRPr="0059139D">
        <w:rPr>
          <w:rFonts w:ascii="Palatino Linotype" w:eastAsia="Calibri" w:hAnsi="Palatino Linotype" w:cs="Tahoma"/>
          <w:bCs/>
          <w:sz w:val="22"/>
          <w:szCs w:val="22"/>
          <w:u w:val="single"/>
          <w:lang w:eastAsia="en-US"/>
        </w:rPr>
        <w:t>inhibidora</w:t>
      </w:r>
      <w:r w:rsidRPr="0059139D">
        <w:rPr>
          <w:rFonts w:ascii="Palatino Linotype" w:eastAsia="Calibri" w:hAnsi="Palatino Linotype" w:cs="Tahoma"/>
          <w:bCs/>
          <w:sz w:val="22"/>
          <w:szCs w:val="22"/>
          <w:lang w:eastAsia="en-US"/>
        </w:rPr>
        <w:t xml:space="preserve"> de conductas y acciones que atenten contra </w:t>
      </w:r>
      <w:r w:rsidRPr="0059139D">
        <w:rPr>
          <w:rFonts w:ascii="Palatino Linotype" w:eastAsia="Calibri" w:hAnsi="Palatino Linotype" w:cs="Tahoma"/>
          <w:b/>
          <w:bCs/>
          <w:sz w:val="22"/>
          <w:szCs w:val="22"/>
          <w:lang w:eastAsia="en-US"/>
        </w:rPr>
        <w:t xml:space="preserve">el interés público. </w:t>
      </w:r>
    </w:p>
    <w:p w14:paraId="464ED00F" w14:textId="77777777" w:rsidR="00230502" w:rsidRPr="0059139D" w:rsidRDefault="00230502" w:rsidP="00230502">
      <w:pPr>
        <w:spacing w:line="360" w:lineRule="auto"/>
        <w:ind w:right="-93"/>
        <w:jc w:val="both"/>
        <w:rPr>
          <w:rFonts w:ascii="Palatino Linotype" w:eastAsia="Calibri" w:hAnsi="Palatino Linotype" w:cs="Tahoma"/>
          <w:bCs/>
          <w:sz w:val="22"/>
          <w:szCs w:val="22"/>
          <w:lang w:eastAsia="en-US"/>
        </w:rPr>
      </w:pPr>
    </w:p>
    <w:p w14:paraId="5890B580" w14:textId="78DB7A6F" w:rsidR="00230502" w:rsidRPr="0059139D" w:rsidRDefault="00230502" w:rsidP="00230502">
      <w:pPr>
        <w:spacing w:line="360" w:lineRule="auto"/>
        <w:ind w:right="-93"/>
        <w:jc w:val="both"/>
        <w:rPr>
          <w:rFonts w:ascii="Palatino Linotype" w:eastAsia="Calibri" w:hAnsi="Palatino Linotype" w:cs="Tahoma"/>
          <w:b/>
          <w:bCs/>
          <w:sz w:val="22"/>
          <w:szCs w:val="22"/>
          <w:lang w:eastAsia="en-US"/>
        </w:rPr>
      </w:pPr>
      <w:r w:rsidRPr="0059139D">
        <w:rPr>
          <w:rFonts w:ascii="Palatino Linotype" w:eastAsia="Calibri" w:hAnsi="Palatino Linotype" w:cs="Tahoma"/>
          <w:bCs/>
          <w:sz w:val="22"/>
          <w:szCs w:val="22"/>
          <w:lang w:eastAsia="en-US"/>
        </w:rPr>
        <w:t xml:space="preserve">Ahora bien, tal como se estableció en párrafos anteriores, cualquier actividad comercial, industrial o económica, únicamente podrá ser llevada a cabo, bajo el amparo de una licencia de funcionamiento expedida, en el presente caso, por el Ayuntamiento, siempre y cuando </w:t>
      </w:r>
      <w:r w:rsidRPr="0059139D">
        <w:rPr>
          <w:rFonts w:ascii="Palatino Linotype" w:eastAsia="Calibri" w:hAnsi="Palatino Linotype" w:cs="Tahoma"/>
          <w:bCs/>
          <w:sz w:val="22"/>
          <w:szCs w:val="22"/>
          <w:lang w:eastAsia="en-US"/>
        </w:rPr>
        <w:lastRenderedPageBreak/>
        <w:t xml:space="preserve">cumplan con los requisitos establecidos en la Ley de Competitividad y Ordenamiento Comercial del Estado de México, su Reglamento, entre otras normatividades; en tal virtud, los nombres de las personas que tienen una autorización para poder realizar diversas unidades económicas, </w:t>
      </w:r>
      <w:r w:rsidRPr="0059139D">
        <w:rPr>
          <w:rFonts w:ascii="Palatino Linotype" w:eastAsia="Calibri" w:hAnsi="Palatino Linotype" w:cs="Tahoma"/>
          <w:b/>
          <w:bCs/>
          <w:sz w:val="22"/>
          <w:szCs w:val="22"/>
          <w:lang w:eastAsia="en-US"/>
        </w:rPr>
        <w:t>se traduce en información que permite transparentar el otorgamiento por parte del Estado de dichos documentos a diversos particulares.</w:t>
      </w:r>
    </w:p>
    <w:p w14:paraId="428FD87A" w14:textId="77777777" w:rsidR="00230502" w:rsidRPr="0059139D" w:rsidRDefault="00230502" w:rsidP="00230502">
      <w:pPr>
        <w:spacing w:line="360" w:lineRule="auto"/>
        <w:ind w:right="-93"/>
        <w:jc w:val="both"/>
        <w:rPr>
          <w:rFonts w:ascii="Palatino Linotype" w:eastAsia="Calibri" w:hAnsi="Palatino Linotype" w:cs="Tahoma"/>
          <w:bCs/>
          <w:sz w:val="22"/>
          <w:szCs w:val="22"/>
          <w:lang w:eastAsia="en-US"/>
        </w:rPr>
      </w:pPr>
    </w:p>
    <w:p w14:paraId="23708628" w14:textId="77777777" w:rsidR="00230502" w:rsidRPr="0059139D" w:rsidRDefault="00230502" w:rsidP="00230502">
      <w:pPr>
        <w:widowControl w:val="0"/>
        <w:spacing w:line="360" w:lineRule="auto"/>
        <w:ind w:right="-91"/>
        <w:jc w:val="both"/>
        <w:rPr>
          <w:rFonts w:ascii="Palatino Linotype" w:eastAsia="Calibri" w:hAnsi="Palatino Linotype" w:cs="Tahoma"/>
          <w:bCs/>
          <w:sz w:val="22"/>
          <w:szCs w:val="22"/>
          <w:lang w:eastAsia="en-US"/>
        </w:rPr>
      </w:pPr>
      <w:r w:rsidRPr="0059139D">
        <w:rPr>
          <w:rFonts w:ascii="Palatino Linotype" w:eastAsia="Calibri" w:hAnsi="Palatino Linotype" w:cs="Tahoma"/>
          <w:bCs/>
          <w:sz w:val="22"/>
          <w:szCs w:val="22"/>
          <w:lang w:eastAsia="en-US"/>
        </w:rPr>
        <w:t>En ese orden de ideas, la Suprema Corte de Justicia de la Nación, ha definido el acceso a la información como un derecho en sí mismo y como un medio o instrumento para el ejercicio de otros derechos,</w:t>
      </w:r>
      <w:r w:rsidRPr="0059139D">
        <w:rPr>
          <w:rFonts w:ascii="Palatino Linotype" w:eastAsia="Calibri" w:hAnsi="Palatino Linotype" w:cs="Tahoma"/>
          <w:b/>
          <w:bCs/>
          <w:sz w:val="22"/>
          <w:szCs w:val="22"/>
          <w:lang w:eastAsia="en-US"/>
        </w:rPr>
        <w:t xml:space="preserve"> para que los gobernados ejerzan un control respecto del funcionamiento institucional de los poderes públicos, por lo que se constituye como una exigencia social de todo Estado de Derecho, y como un derecho colectivo o garantía social</w:t>
      </w:r>
      <w:r w:rsidRPr="0059139D">
        <w:rPr>
          <w:rFonts w:ascii="Palatino Linotype" w:eastAsia="Calibri" w:hAnsi="Palatino Linotype" w:cs="Tahoma"/>
          <w:bCs/>
          <w:sz w:val="22"/>
          <w:szCs w:val="22"/>
          <w:lang w:eastAsia="en-US"/>
        </w:rPr>
        <w:t>, a fin de lograr la publicidad de los actos de gobierno y la transparencia de la administración pública. Lo anterior, a través de la jurisprudencia número P./J. 54/2008, publicada en el Semanario Judicial de la Federación y su Gaceta, Tomo XXVII, página 743, Novena Época, en junio de dos mil ocho.</w:t>
      </w:r>
    </w:p>
    <w:p w14:paraId="2ED76B19" w14:textId="77777777" w:rsidR="00230502" w:rsidRPr="0059139D" w:rsidRDefault="00230502" w:rsidP="00230502">
      <w:pPr>
        <w:spacing w:line="360" w:lineRule="auto"/>
        <w:ind w:right="-93"/>
        <w:jc w:val="both"/>
        <w:rPr>
          <w:rFonts w:ascii="Palatino Linotype" w:eastAsia="Calibri" w:hAnsi="Palatino Linotype" w:cs="Tahoma"/>
          <w:bCs/>
          <w:sz w:val="22"/>
          <w:szCs w:val="22"/>
          <w:lang w:eastAsia="en-US"/>
        </w:rPr>
      </w:pPr>
    </w:p>
    <w:p w14:paraId="19346B43" w14:textId="77777777" w:rsidR="00230502" w:rsidRPr="0059139D" w:rsidRDefault="00230502" w:rsidP="00230502">
      <w:pPr>
        <w:spacing w:line="360" w:lineRule="auto"/>
        <w:ind w:right="-93"/>
        <w:jc w:val="both"/>
        <w:rPr>
          <w:rFonts w:ascii="Palatino Linotype" w:eastAsia="Calibri" w:hAnsi="Palatino Linotype" w:cs="Tahoma"/>
          <w:bCs/>
          <w:sz w:val="22"/>
          <w:szCs w:val="22"/>
          <w:lang w:eastAsia="en-US"/>
        </w:rPr>
      </w:pPr>
      <w:r w:rsidRPr="0059139D">
        <w:rPr>
          <w:rFonts w:ascii="Palatino Linotype" w:eastAsia="Calibri" w:hAnsi="Palatino Linotype" w:cs="Tahoma"/>
          <w:bCs/>
          <w:sz w:val="22"/>
          <w:szCs w:val="22"/>
          <w:lang w:eastAsia="en-US"/>
        </w:rPr>
        <w:t>A mayor precisión, la transparencia de la información requerida permitiría a la sociedad, en general, conocer los nombres de las personas que acreditaron los elementos necesarios para poder realizar una actividad económica dentro del territorio del Municipio; esto es, de los requisitos establecidos en las leyes respectivas.</w:t>
      </w:r>
    </w:p>
    <w:p w14:paraId="0B03A044" w14:textId="77777777" w:rsidR="00230502" w:rsidRPr="0059139D" w:rsidRDefault="00230502" w:rsidP="00230502">
      <w:pPr>
        <w:spacing w:line="360" w:lineRule="auto"/>
        <w:ind w:right="-93"/>
        <w:jc w:val="both"/>
        <w:rPr>
          <w:rFonts w:ascii="Palatino Linotype" w:eastAsia="Calibri" w:hAnsi="Palatino Linotype" w:cs="Tahoma"/>
          <w:bCs/>
          <w:sz w:val="22"/>
          <w:szCs w:val="22"/>
          <w:lang w:eastAsia="en-US"/>
        </w:rPr>
      </w:pPr>
    </w:p>
    <w:p w14:paraId="252809A7" w14:textId="77777777" w:rsidR="00230502" w:rsidRPr="0059139D" w:rsidRDefault="00230502" w:rsidP="00230502">
      <w:pPr>
        <w:spacing w:line="360" w:lineRule="auto"/>
        <w:ind w:right="-93"/>
        <w:jc w:val="both"/>
        <w:rPr>
          <w:rFonts w:ascii="Palatino Linotype" w:eastAsia="Calibri" w:hAnsi="Palatino Linotype" w:cs="Tahoma"/>
          <w:b/>
          <w:bCs/>
          <w:sz w:val="22"/>
          <w:szCs w:val="22"/>
          <w:u w:val="single"/>
          <w:lang w:eastAsia="en-US"/>
        </w:rPr>
      </w:pPr>
      <w:r w:rsidRPr="0059139D">
        <w:rPr>
          <w:rFonts w:ascii="Palatino Linotype" w:eastAsia="Calibri" w:hAnsi="Palatino Linotype" w:cs="Tahoma"/>
          <w:bCs/>
          <w:sz w:val="22"/>
          <w:szCs w:val="22"/>
          <w:lang w:eastAsia="en-US"/>
        </w:rPr>
        <w:t xml:space="preserve">En ese orden de ideas, resulta necesario precisar, que en el artículo 21, fracción III de la Ley de Competitividad y Ordenamiento Comercial del Estado de México, </w:t>
      </w:r>
      <w:r w:rsidRPr="0059139D">
        <w:rPr>
          <w:rFonts w:ascii="Palatino Linotype" w:eastAsia="Calibri" w:hAnsi="Palatino Linotype" w:cs="Tahoma"/>
          <w:b/>
          <w:bCs/>
          <w:sz w:val="22"/>
          <w:szCs w:val="22"/>
          <w:u w:val="single"/>
          <w:lang w:eastAsia="en-US"/>
        </w:rPr>
        <w:t xml:space="preserve">prevé que es obligación de los propietarios de establecimientos, tener en un lugar visible dentro de la unidad económica, el original o copia certificada de la licencia de funcionamiento. </w:t>
      </w:r>
    </w:p>
    <w:p w14:paraId="0C0700F2" w14:textId="77777777" w:rsidR="00230502" w:rsidRPr="0059139D" w:rsidRDefault="00230502" w:rsidP="00230502">
      <w:pPr>
        <w:spacing w:line="360" w:lineRule="auto"/>
        <w:ind w:right="-93"/>
        <w:jc w:val="both"/>
        <w:rPr>
          <w:rFonts w:ascii="Palatino Linotype" w:eastAsia="Calibri" w:hAnsi="Palatino Linotype" w:cs="Tahoma"/>
          <w:bCs/>
          <w:sz w:val="22"/>
          <w:szCs w:val="22"/>
          <w:lang w:eastAsia="en-US"/>
        </w:rPr>
      </w:pPr>
    </w:p>
    <w:p w14:paraId="03BBFD03" w14:textId="087225D4" w:rsidR="00230502" w:rsidRPr="0059139D" w:rsidRDefault="00230502" w:rsidP="00230502">
      <w:pPr>
        <w:spacing w:line="360" w:lineRule="auto"/>
        <w:ind w:right="-93"/>
        <w:jc w:val="both"/>
        <w:rPr>
          <w:rFonts w:ascii="Palatino Linotype" w:eastAsia="Calibri" w:hAnsi="Palatino Linotype" w:cs="Tahoma"/>
          <w:bCs/>
          <w:sz w:val="22"/>
          <w:szCs w:val="22"/>
          <w:u w:val="single"/>
          <w:lang w:eastAsia="en-US"/>
        </w:rPr>
      </w:pPr>
      <w:r w:rsidRPr="0059139D">
        <w:rPr>
          <w:rFonts w:ascii="Palatino Linotype" w:eastAsia="Calibri" w:hAnsi="Palatino Linotype" w:cs="Tahoma"/>
          <w:bCs/>
          <w:sz w:val="22"/>
          <w:szCs w:val="22"/>
          <w:lang w:eastAsia="en-US"/>
        </w:rPr>
        <w:lastRenderedPageBreak/>
        <w:t xml:space="preserve">Por ende, otorgar el nombre de la persona autorizada, a través de una licencia de funcionamiento, </w:t>
      </w:r>
      <w:r w:rsidRPr="0059139D">
        <w:rPr>
          <w:rFonts w:ascii="Palatino Linotype" w:eastAsia="Calibri" w:hAnsi="Palatino Linotype" w:cs="Tahoma"/>
          <w:bCs/>
          <w:sz w:val="22"/>
          <w:szCs w:val="22"/>
          <w:u w:val="single"/>
          <w:lang w:eastAsia="en-US"/>
        </w:rPr>
        <w:t xml:space="preserve">permite corroborar que la exhibida en el establecimiento comercial, fue emitida efectivamente por la autoridad competente, en el presente caso, por el Municipio de </w:t>
      </w:r>
      <w:r>
        <w:rPr>
          <w:rFonts w:ascii="Palatino Linotype" w:eastAsia="Calibri" w:hAnsi="Palatino Linotype" w:cs="Tahoma"/>
          <w:bCs/>
          <w:sz w:val="22"/>
          <w:szCs w:val="22"/>
          <w:u w:val="single"/>
          <w:lang w:eastAsia="en-US"/>
        </w:rPr>
        <w:t>San Martín de las pirámides</w:t>
      </w:r>
      <w:r w:rsidRPr="0059139D">
        <w:rPr>
          <w:rFonts w:ascii="Palatino Linotype" w:eastAsia="Calibri" w:hAnsi="Palatino Linotype" w:cs="Tahoma"/>
          <w:bCs/>
          <w:sz w:val="22"/>
          <w:szCs w:val="22"/>
          <w:u w:val="single"/>
          <w:lang w:eastAsia="en-US"/>
        </w:rPr>
        <w:t>.</w:t>
      </w:r>
    </w:p>
    <w:p w14:paraId="5DE61F4D" w14:textId="77777777" w:rsidR="00230502" w:rsidRPr="0059139D" w:rsidRDefault="00230502" w:rsidP="00230502">
      <w:pPr>
        <w:spacing w:line="360" w:lineRule="auto"/>
        <w:ind w:right="-93"/>
        <w:jc w:val="both"/>
        <w:rPr>
          <w:rFonts w:ascii="Palatino Linotype" w:eastAsia="Calibri" w:hAnsi="Palatino Linotype" w:cs="Tahoma"/>
          <w:bCs/>
          <w:sz w:val="22"/>
          <w:szCs w:val="22"/>
          <w:u w:val="single"/>
          <w:lang w:eastAsia="en-US"/>
        </w:rPr>
      </w:pPr>
    </w:p>
    <w:p w14:paraId="604BA430" w14:textId="77777777" w:rsidR="00230502" w:rsidRPr="0059139D" w:rsidRDefault="00230502" w:rsidP="00230502">
      <w:pPr>
        <w:spacing w:line="360" w:lineRule="auto"/>
        <w:ind w:right="-93"/>
        <w:jc w:val="both"/>
        <w:rPr>
          <w:rFonts w:ascii="Palatino Linotype" w:eastAsia="Calibri" w:hAnsi="Palatino Linotype" w:cs="Tahoma"/>
          <w:bCs/>
          <w:sz w:val="22"/>
          <w:szCs w:val="22"/>
          <w:lang w:eastAsia="en-US"/>
        </w:rPr>
      </w:pPr>
      <w:r w:rsidRPr="0059139D">
        <w:rPr>
          <w:rFonts w:ascii="Palatino Linotype" w:eastAsia="Calibri" w:hAnsi="Palatino Linotype" w:cs="Tahoma"/>
          <w:bCs/>
          <w:sz w:val="22"/>
          <w:szCs w:val="22"/>
          <w:lang w:eastAsia="en-US"/>
        </w:rPr>
        <w:t>Bajo esa premisa, se entiende que la materia sobre la cual versa la presente solicitud, reviste un interés colectivo para la sociedad, dado que el Estado a nivel municipal, es el encargado de regular los establecimientos comerciales o industriales dentro de extensión territorial.</w:t>
      </w:r>
    </w:p>
    <w:p w14:paraId="50E6AFC3" w14:textId="77777777" w:rsidR="00230502" w:rsidRPr="0059139D" w:rsidRDefault="00230502" w:rsidP="00230502">
      <w:pPr>
        <w:spacing w:line="360" w:lineRule="auto"/>
        <w:ind w:right="-93"/>
        <w:jc w:val="both"/>
        <w:rPr>
          <w:rFonts w:ascii="Palatino Linotype" w:eastAsia="Calibri" w:hAnsi="Palatino Linotype" w:cs="Tahoma"/>
          <w:bCs/>
          <w:sz w:val="22"/>
          <w:szCs w:val="22"/>
          <w:lang w:eastAsia="en-US"/>
        </w:rPr>
      </w:pPr>
    </w:p>
    <w:p w14:paraId="3CF19C03" w14:textId="2E3EE432" w:rsidR="00230502" w:rsidRPr="0059139D" w:rsidRDefault="00230502" w:rsidP="00230502">
      <w:pPr>
        <w:spacing w:line="360" w:lineRule="auto"/>
        <w:ind w:right="-93"/>
        <w:jc w:val="both"/>
        <w:rPr>
          <w:rFonts w:ascii="Palatino Linotype" w:eastAsia="Calibri" w:hAnsi="Palatino Linotype" w:cs="Tahoma"/>
          <w:b/>
          <w:bCs/>
          <w:sz w:val="22"/>
          <w:szCs w:val="22"/>
          <w:lang w:eastAsia="en-US"/>
        </w:rPr>
      </w:pPr>
      <w:r w:rsidRPr="0059139D">
        <w:rPr>
          <w:rFonts w:ascii="Palatino Linotype" w:eastAsia="Calibri" w:hAnsi="Palatino Linotype" w:cs="Tahoma"/>
          <w:bCs/>
          <w:sz w:val="22"/>
          <w:szCs w:val="22"/>
          <w:lang w:eastAsia="en-US"/>
        </w:rPr>
        <w:t xml:space="preserve">Así, mediante la difusión de los nombres de aquellas personas que cuentan con la licencia de funcionamiento, permitiría una debida rendición de cuentas, pues es indispensable que se conozcan aquellos que están autorizados por parte del Municipio de </w:t>
      </w:r>
      <w:r>
        <w:rPr>
          <w:rFonts w:ascii="Palatino Linotype" w:eastAsia="Calibri" w:hAnsi="Palatino Linotype" w:cs="Tahoma"/>
          <w:bCs/>
          <w:sz w:val="22"/>
          <w:szCs w:val="22"/>
          <w:lang w:eastAsia="en-US"/>
        </w:rPr>
        <w:t xml:space="preserve">San Martín de las Pirámides </w:t>
      </w:r>
      <w:r w:rsidRPr="0059139D">
        <w:rPr>
          <w:rFonts w:ascii="Palatino Linotype" w:eastAsia="Calibri" w:hAnsi="Palatino Linotype" w:cs="Tahoma"/>
          <w:bCs/>
          <w:sz w:val="22"/>
          <w:szCs w:val="22"/>
          <w:lang w:eastAsia="en-US"/>
        </w:rPr>
        <w:t xml:space="preserve">para realizar actividades económicas, mismas que se encuentran reguladas, por lo que, con ello se garantizaría que la sociedad tenga certeza de que </w:t>
      </w:r>
      <w:r w:rsidRPr="0059139D">
        <w:rPr>
          <w:rFonts w:ascii="Palatino Linotype" w:eastAsia="Calibri" w:hAnsi="Palatino Linotype" w:cs="Tahoma"/>
          <w:b/>
          <w:bCs/>
          <w:sz w:val="22"/>
          <w:szCs w:val="22"/>
          <w:lang w:eastAsia="en-US"/>
        </w:rPr>
        <w:t>las autorizaciones colocadas en los establecimientos, fueron efectivamente emitidas por el sujeto obligado, y no funcionan fuera del marco de la normatividad aplicable.</w:t>
      </w:r>
    </w:p>
    <w:p w14:paraId="1BFB0691" w14:textId="77777777" w:rsidR="00230502" w:rsidRPr="0059139D" w:rsidRDefault="00230502" w:rsidP="00230502">
      <w:pPr>
        <w:spacing w:line="360" w:lineRule="auto"/>
        <w:ind w:right="-93"/>
        <w:jc w:val="both"/>
        <w:rPr>
          <w:rFonts w:ascii="Palatino Linotype" w:eastAsia="Calibri" w:hAnsi="Palatino Linotype" w:cs="Tahoma"/>
          <w:bCs/>
          <w:sz w:val="22"/>
          <w:szCs w:val="22"/>
          <w:lang w:eastAsia="en-US"/>
        </w:rPr>
      </w:pPr>
    </w:p>
    <w:p w14:paraId="0837BC99" w14:textId="77777777" w:rsidR="00230502" w:rsidRPr="0059139D" w:rsidRDefault="00230502" w:rsidP="00230502">
      <w:pPr>
        <w:spacing w:line="360" w:lineRule="auto"/>
        <w:ind w:right="-93"/>
        <w:jc w:val="both"/>
        <w:rPr>
          <w:rFonts w:ascii="Palatino Linotype" w:eastAsia="Calibri" w:hAnsi="Palatino Linotype" w:cs="Tahoma"/>
          <w:bCs/>
          <w:sz w:val="22"/>
          <w:szCs w:val="22"/>
          <w:lang w:eastAsia="en-US"/>
        </w:rPr>
      </w:pPr>
      <w:r w:rsidRPr="0059139D">
        <w:rPr>
          <w:rFonts w:ascii="Palatino Linotype" w:eastAsia="Calibri" w:hAnsi="Palatino Linotype" w:cs="Tahoma"/>
          <w:bCs/>
          <w:sz w:val="22"/>
          <w:szCs w:val="22"/>
          <w:lang w:eastAsia="en-US"/>
        </w:rPr>
        <w:t>Es bajo ese contexto, que se considera que el derecho de acceso a la información debe prevalecer frente a la protección del nombre de los titules de licencias de funcionamiento, pues resulta de interés público, el que la sociedad pueda identificar a quiénes están autorizados para ejercer la actividad comercial; lo cual permite corroborar que la localizada en el establecimiento fue efectivamente emitida por el Sujeto Obligado.</w:t>
      </w:r>
    </w:p>
    <w:p w14:paraId="5D4AFDD7" w14:textId="77777777" w:rsidR="00230502" w:rsidRPr="0059139D" w:rsidRDefault="00230502" w:rsidP="00230502">
      <w:pPr>
        <w:spacing w:line="360" w:lineRule="auto"/>
        <w:ind w:right="-93"/>
        <w:jc w:val="both"/>
        <w:rPr>
          <w:rFonts w:ascii="Palatino Linotype" w:eastAsia="Calibri" w:hAnsi="Palatino Linotype" w:cs="Tahoma"/>
          <w:bCs/>
          <w:sz w:val="22"/>
          <w:szCs w:val="22"/>
          <w:lang w:eastAsia="en-US"/>
        </w:rPr>
      </w:pPr>
    </w:p>
    <w:p w14:paraId="20F90D27" w14:textId="77777777" w:rsidR="00230502" w:rsidRPr="0059139D" w:rsidRDefault="00230502" w:rsidP="00230502">
      <w:pPr>
        <w:spacing w:line="360" w:lineRule="auto"/>
        <w:ind w:right="-93"/>
        <w:jc w:val="both"/>
        <w:rPr>
          <w:rFonts w:ascii="Palatino Linotype" w:eastAsia="Calibri" w:hAnsi="Palatino Linotype" w:cs="Tahoma"/>
          <w:bCs/>
          <w:sz w:val="22"/>
          <w:szCs w:val="22"/>
          <w:lang w:eastAsia="en-US"/>
        </w:rPr>
      </w:pPr>
      <w:r w:rsidRPr="0059139D">
        <w:rPr>
          <w:rFonts w:ascii="Palatino Linotype" w:eastAsia="Calibri" w:hAnsi="Palatino Linotype" w:cs="Tahoma"/>
          <w:bCs/>
          <w:sz w:val="22"/>
          <w:szCs w:val="22"/>
          <w:lang w:eastAsia="en-US"/>
        </w:rPr>
        <w:t xml:space="preserve">Igualmente, permitiría el escrutinio de la actividad de la autoridad encargada de emitir dichas licencias, en tanto que la sociedad podría advertir si se autorizaron a quienes cumplen </w:t>
      </w:r>
      <w:r w:rsidRPr="0059139D">
        <w:rPr>
          <w:rFonts w:ascii="Palatino Linotype" w:eastAsia="Calibri" w:hAnsi="Palatino Linotype" w:cs="Tahoma"/>
          <w:bCs/>
          <w:sz w:val="22"/>
          <w:szCs w:val="22"/>
          <w:lang w:eastAsia="en-US"/>
        </w:rPr>
        <w:lastRenderedPageBreak/>
        <w:t>con los requisitos establecidos la normatividad aplicable e incluso si dicha licencia se encuentra vigente.</w:t>
      </w:r>
    </w:p>
    <w:p w14:paraId="0D7A682A" w14:textId="77777777" w:rsidR="00230502" w:rsidRPr="0059139D" w:rsidRDefault="00230502" w:rsidP="00230502">
      <w:pPr>
        <w:spacing w:line="360" w:lineRule="auto"/>
        <w:ind w:right="-93"/>
        <w:jc w:val="both"/>
        <w:rPr>
          <w:rFonts w:ascii="Palatino Linotype" w:eastAsia="Calibri" w:hAnsi="Palatino Linotype" w:cs="Tahoma"/>
          <w:b/>
          <w:sz w:val="22"/>
          <w:szCs w:val="22"/>
        </w:rPr>
      </w:pPr>
    </w:p>
    <w:p w14:paraId="2BFAC250" w14:textId="77777777" w:rsidR="00230502" w:rsidRPr="0059139D" w:rsidRDefault="00230502" w:rsidP="00230502">
      <w:pPr>
        <w:spacing w:line="360" w:lineRule="auto"/>
        <w:ind w:right="-93"/>
        <w:jc w:val="both"/>
        <w:rPr>
          <w:rFonts w:ascii="Palatino Linotype" w:eastAsia="Calibri" w:hAnsi="Palatino Linotype" w:cs="Tahoma"/>
          <w:b/>
          <w:bCs/>
          <w:sz w:val="22"/>
          <w:szCs w:val="22"/>
          <w:lang w:eastAsia="en-US"/>
        </w:rPr>
      </w:pPr>
      <w:r w:rsidRPr="0059139D">
        <w:rPr>
          <w:rFonts w:ascii="Palatino Linotype" w:eastAsia="Calibri" w:hAnsi="Palatino Linotype" w:cs="Tahoma"/>
          <w:b/>
          <w:sz w:val="22"/>
          <w:szCs w:val="22"/>
        </w:rPr>
        <w:t>b) Necesidad.</w:t>
      </w:r>
      <w:r w:rsidRPr="0059139D">
        <w:rPr>
          <w:rFonts w:ascii="Palatino Linotype" w:eastAsia="Calibri" w:hAnsi="Palatino Linotype" w:cs="Tahoma"/>
          <w:bCs/>
          <w:sz w:val="22"/>
          <w:szCs w:val="22"/>
          <w:lang w:eastAsia="en-US"/>
        </w:rPr>
        <w:t xml:space="preserve"> El sacrifico de la protección del nombre de aquellas personas que se les otorgó una licencia de funcionamiento, como medio para lograr el fin constitucionalmente válido señalado previamente, se justifica en razón de que se satisface el interés mayor de los ciudadanos de conocer si los establecimientos comerciales cuentan con la autorización correspondiente. Además, corrobora si la localizada en el inmueble para llevar a cabo la actividad, fue emitida por el Sujeto Obligado, </w:t>
      </w:r>
      <w:r w:rsidRPr="0059139D">
        <w:rPr>
          <w:rFonts w:ascii="Palatino Linotype" w:eastAsia="Calibri" w:hAnsi="Palatino Linotype" w:cs="Tahoma"/>
          <w:b/>
          <w:bCs/>
          <w:sz w:val="22"/>
          <w:szCs w:val="22"/>
          <w:lang w:eastAsia="en-US"/>
        </w:rPr>
        <w:t>como regulador de las actividades económicas del Municipio, además de que permite identificar a las personas que acceden al servicio quién es el responsable del local.</w:t>
      </w:r>
    </w:p>
    <w:p w14:paraId="4DFD5399" w14:textId="77777777" w:rsidR="00230502" w:rsidRPr="0059139D" w:rsidRDefault="00230502" w:rsidP="00230502">
      <w:pPr>
        <w:spacing w:line="360" w:lineRule="auto"/>
        <w:ind w:right="-93"/>
        <w:jc w:val="both"/>
        <w:rPr>
          <w:rFonts w:ascii="Palatino Linotype" w:eastAsia="Calibri" w:hAnsi="Palatino Linotype" w:cs="Tahoma"/>
          <w:bCs/>
          <w:sz w:val="22"/>
          <w:szCs w:val="22"/>
          <w:lang w:eastAsia="en-US"/>
        </w:rPr>
      </w:pPr>
    </w:p>
    <w:p w14:paraId="0A7CFAF0" w14:textId="77777777" w:rsidR="00230502" w:rsidRPr="0059139D" w:rsidRDefault="00230502" w:rsidP="00230502">
      <w:pPr>
        <w:spacing w:line="360" w:lineRule="auto"/>
        <w:ind w:right="-93"/>
        <w:jc w:val="both"/>
        <w:rPr>
          <w:rFonts w:ascii="Palatino Linotype" w:eastAsia="Calibri" w:hAnsi="Palatino Linotype" w:cs="Tahoma"/>
          <w:bCs/>
          <w:sz w:val="22"/>
          <w:szCs w:val="22"/>
          <w:lang w:eastAsia="en-US"/>
        </w:rPr>
      </w:pPr>
      <w:r w:rsidRPr="0059139D">
        <w:rPr>
          <w:rFonts w:ascii="Palatino Linotype" w:eastAsia="Calibri" w:hAnsi="Palatino Linotype" w:cs="Tahoma"/>
          <w:bCs/>
          <w:sz w:val="22"/>
          <w:szCs w:val="22"/>
          <w:lang w:eastAsia="en-US"/>
        </w:rPr>
        <w:t>Sobre el particular, el artículo 2° de la Ley de Transparencia y Acceso a la Información Pública del Estado de México y Municipios, dispone que entre los objetivos de la misma, se encuentran: i) transparentar la gestión pública mediante la difusión de la información generada por los Sujetos Obligados; ii) promover, fomentar y la cultura de la transparencia, el acceso a la información y a la rendición de cuentas y, iii) propiciar la participación ciudadana en la toma de las decisiones públicas, a fin de contribuir a la consolidación de la democracia.</w:t>
      </w:r>
    </w:p>
    <w:p w14:paraId="77B3814E" w14:textId="77777777" w:rsidR="00230502" w:rsidRPr="0059139D" w:rsidRDefault="00230502" w:rsidP="00230502">
      <w:pPr>
        <w:spacing w:line="360" w:lineRule="auto"/>
        <w:ind w:right="-93"/>
        <w:jc w:val="both"/>
        <w:rPr>
          <w:rFonts w:ascii="Palatino Linotype" w:eastAsia="Calibri" w:hAnsi="Palatino Linotype" w:cs="Tahoma"/>
          <w:bCs/>
          <w:sz w:val="22"/>
          <w:szCs w:val="22"/>
          <w:lang w:eastAsia="en-US"/>
        </w:rPr>
      </w:pPr>
    </w:p>
    <w:p w14:paraId="3C748F69" w14:textId="0A38184F" w:rsidR="00230502" w:rsidRPr="0059139D" w:rsidRDefault="00230502" w:rsidP="00230502">
      <w:pPr>
        <w:spacing w:line="360" w:lineRule="auto"/>
        <w:ind w:right="-93"/>
        <w:jc w:val="both"/>
        <w:rPr>
          <w:rFonts w:ascii="Palatino Linotype" w:eastAsia="Calibri" w:hAnsi="Palatino Linotype" w:cs="Tahoma"/>
          <w:bCs/>
          <w:sz w:val="22"/>
          <w:szCs w:val="22"/>
          <w:lang w:eastAsia="en-US"/>
        </w:rPr>
      </w:pPr>
      <w:r w:rsidRPr="0059139D">
        <w:rPr>
          <w:rFonts w:ascii="Palatino Linotype" w:eastAsia="Calibri" w:hAnsi="Palatino Linotype" w:cs="Tahoma"/>
          <w:bCs/>
          <w:sz w:val="22"/>
          <w:szCs w:val="22"/>
          <w:lang w:eastAsia="en-US"/>
        </w:rPr>
        <w:t xml:space="preserve">En el caso concreto, se considera que no existe un medio menos oneroso que el ejercicio del derecho de acceso a la información para lograr el fin constitucionalmente válido, que es transparentar y rendir cuentas a la sociedad sobre las personas a quiénes se les otorgaron licencias, por parte del Municipio de </w:t>
      </w:r>
      <w:r>
        <w:rPr>
          <w:rFonts w:ascii="Palatino Linotype" w:eastAsia="Calibri" w:hAnsi="Palatino Linotype" w:cs="Tahoma"/>
          <w:bCs/>
          <w:sz w:val="22"/>
          <w:szCs w:val="22"/>
          <w:lang w:eastAsia="en-US"/>
        </w:rPr>
        <w:t>San Martín de las Pirámides</w:t>
      </w:r>
      <w:r w:rsidRPr="0059139D">
        <w:rPr>
          <w:rFonts w:ascii="Palatino Linotype" w:eastAsia="Calibri" w:hAnsi="Palatino Linotype" w:cs="Tahoma"/>
          <w:bCs/>
          <w:sz w:val="22"/>
          <w:szCs w:val="22"/>
          <w:lang w:eastAsia="en-US"/>
        </w:rPr>
        <w:t xml:space="preserve">, a través de la Dirección de Desarrollo Económico, para que pudieran realizar actividades económicas, comerciales o industriales, pues sólo por esta vía se puede conocer la forma en la cual el ente recurrido </w:t>
      </w:r>
      <w:r w:rsidRPr="0059139D">
        <w:rPr>
          <w:rFonts w:ascii="Palatino Linotype" w:eastAsia="Calibri" w:hAnsi="Palatino Linotype" w:cs="Tahoma"/>
          <w:bCs/>
          <w:sz w:val="22"/>
          <w:szCs w:val="22"/>
          <w:lang w:eastAsia="en-US"/>
        </w:rPr>
        <w:lastRenderedPageBreak/>
        <w:t>ejerció sus facultades emanadas en los diversos ordenamientos jurídicos, lo cual permitiría comprobar que las licencias localizadas en los respectivos establecimientos cumplieron con los requisitos establecidos en los mismos.</w:t>
      </w:r>
    </w:p>
    <w:p w14:paraId="5EAE9592" w14:textId="77777777" w:rsidR="00230502" w:rsidRPr="0059139D" w:rsidRDefault="00230502" w:rsidP="00230502">
      <w:pPr>
        <w:spacing w:line="360" w:lineRule="auto"/>
        <w:ind w:right="-93"/>
        <w:jc w:val="both"/>
        <w:rPr>
          <w:rFonts w:ascii="Palatino Linotype" w:eastAsia="Calibri" w:hAnsi="Palatino Linotype" w:cs="Tahoma"/>
          <w:bCs/>
          <w:sz w:val="22"/>
          <w:szCs w:val="22"/>
          <w:lang w:eastAsia="en-US"/>
        </w:rPr>
      </w:pPr>
    </w:p>
    <w:p w14:paraId="6AACE77D" w14:textId="77777777" w:rsidR="00230502" w:rsidRPr="0059139D" w:rsidRDefault="00230502" w:rsidP="00230502">
      <w:pPr>
        <w:spacing w:line="360" w:lineRule="auto"/>
        <w:ind w:right="-93"/>
        <w:jc w:val="both"/>
        <w:rPr>
          <w:rFonts w:ascii="Palatino Linotype" w:eastAsia="Calibri" w:hAnsi="Palatino Linotype" w:cs="Tahoma"/>
          <w:bCs/>
          <w:sz w:val="22"/>
          <w:szCs w:val="22"/>
          <w:lang w:eastAsia="en-US"/>
        </w:rPr>
      </w:pPr>
      <w:r w:rsidRPr="0059139D">
        <w:rPr>
          <w:rFonts w:ascii="Palatino Linotype" w:eastAsia="Calibri" w:hAnsi="Palatino Linotype" w:cs="Tahoma"/>
          <w:bCs/>
          <w:sz w:val="22"/>
          <w:szCs w:val="22"/>
          <w:lang w:eastAsia="en-US"/>
        </w:rPr>
        <w:t>En otras palabras, se considera que sólo con la difusión del nombre del titular de las licencias de funcionamiento, se podrían aportar los elementos necesarios a la ciudadanía para conocer que cualquier establecimiento comercial cuenta con la autorización emitida por el Ayuntamiento.</w:t>
      </w:r>
    </w:p>
    <w:p w14:paraId="0639A45E" w14:textId="77777777" w:rsidR="00230502" w:rsidRPr="0059139D" w:rsidRDefault="00230502" w:rsidP="00230502">
      <w:pPr>
        <w:spacing w:line="360" w:lineRule="auto"/>
        <w:ind w:right="-93"/>
        <w:jc w:val="both"/>
        <w:rPr>
          <w:rFonts w:ascii="Palatino Linotype" w:eastAsia="Calibri" w:hAnsi="Palatino Linotype" w:cs="Tahoma"/>
          <w:bCs/>
          <w:sz w:val="22"/>
          <w:szCs w:val="22"/>
          <w:lang w:eastAsia="en-US"/>
        </w:rPr>
      </w:pPr>
    </w:p>
    <w:p w14:paraId="6C636A96" w14:textId="77777777" w:rsidR="00230502" w:rsidRPr="0059139D" w:rsidRDefault="00230502" w:rsidP="00230502">
      <w:pPr>
        <w:spacing w:line="360" w:lineRule="auto"/>
        <w:ind w:right="-93"/>
        <w:jc w:val="both"/>
        <w:rPr>
          <w:rFonts w:ascii="Palatino Linotype" w:eastAsia="Calibri" w:hAnsi="Palatino Linotype" w:cs="Tahoma"/>
          <w:bCs/>
          <w:sz w:val="22"/>
          <w:szCs w:val="22"/>
          <w:lang w:eastAsia="en-US"/>
        </w:rPr>
      </w:pPr>
      <w:r w:rsidRPr="0059139D">
        <w:rPr>
          <w:rFonts w:ascii="Palatino Linotype" w:eastAsia="Calibri" w:hAnsi="Palatino Linotype" w:cs="Tahoma"/>
          <w:bCs/>
          <w:sz w:val="22"/>
          <w:szCs w:val="22"/>
          <w:lang w:eastAsia="en-US"/>
        </w:rPr>
        <w:t>Es decir, si se negara el derecho de acceso a la información al nombre localizado en dicho documento, se impediría que los ciudadanos pudieran corroborar que las autorizaciones, que por Ley deben de estar visibles en los establecimientos, efectivamente fueron emitidas por el Sujeto Obligado, pues al proteger dicho dato no se tendría certeza de que el titular corresponda con el emitido por el Municipio en comento, además de que impediría conocer o identificar a la persona responsable del mismo, para atender asuntos relacionados con este, pues debe tener presente que la licencia de funcionamiento se entrega para brindar servicios a terceros, de ahí que se advierta un tema de interés público y que resulte imperativo la difusión de la información, advirtiéndose una desventaja de menor proporción en cuanto a la afectación de la protección de los datos personales.</w:t>
      </w:r>
    </w:p>
    <w:p w14:paraId="3CFCDE6D" w14:textId="77777777" w:rsidR="00230502" w:rsidRPr="0059139D" w:rsidRDefault="00230502" w:rsidP="00230502">
      <w:pPr>
        <w:spacing w:line="360" w:lineRule="auto"/>
        <w:ind w:right="-93"/>
        <w:jc w:val="both"/>
        <w:rPr>
          <w:rFonts w:ascii="Palatino Linotype" w:eastAsia="Calibri" w:hAnsi="Palatino Linotype" w:cs="Tahoma"/>
          <w:bCs/>
          <w:sz w:val="22"/>
          <w:szCs w:val="22"/>
          <w:lang w:eastAsia="en-US"/>
        </w:rPr>
      </w:pPr>
    </w:p>
    <w:p w14:paraId="4BEDBEA8" w14:textId="77777777" w:rsidR="00230502" w:rsidRPr="0059139D" w:rsidRDefault="00230502" w:rsidP="00230502">
      <w:pPr>
        <w:spacing w:line="360" w:lineRule="auto"/>
        <w:ind w:right="-93"/>
        <w:jc w:val="both"/>
        <w:rPr>
          <w:rFonts w:ascii="Palatino Linotype" w:eastAsia="Calibri" w:hAnsi="Palatino Linotype" w:cs="Tahoma"/>
          <w:bCs/>
          <w:sz w:val="22"/>
          <w:szCs w:val="22"/>
          <w:lang w:eastAsia="en-US"/>
        </w:rPr>
      </w:pPr>
      <w:r w:rsidRPr="0059139D">
        <w:rPr>
          <w:rFonts w:ascii="Palatino Linotype" w:hAnsi="Palatino Linotype" w:cs="Tahoma"/>
          <w:b/>
          <w:sz w:val="22"/>
          <w:szCs w:val="22"/>
        </w:rPr>
        <w:t>c) Proporcionalidad en sentido estricto</w:t>
      </w:r>
      <w:r w:rsidRPr="0059139D">
        <w:rPr>
          <w:rFonts w:ascii="Palatino Linotype" w:hAnsi="Palatino Linotype" w:cs="Tahoma"/>
          <w:sz w:val="22"/>
          <w:szCs w:val="22"/>
        </w:rPr>
        <w:t xml:space="preserve">. </w:t>
      </w:r>
      <w:r w:rsidRPr="0059139D">
        <w:rPr>
          <w:rFonts w:ascii="Palatino Linotype" w:eastAsia="Calibri" w:hAnsi="Palatino Linotype" w:cs="Tahoma"/>
          <w:bCs/>
          <w:sz w:val="22"/>
          <w:szCs w:val="22"/>
          <w:lang w:eastAsia="en-US"/>
        </w:rPr>
        <w:t>El sacrificio de la protección al nombre de aquellas personas que se les otorgó una licencia para realizar actividades económicas, como medio para lograr el fin constitucionalmente válido señalado previamente, se justifica en razón de que se satisface el interés mayor de los ciudadanos de conocer si los comerciantes cuentan con la autorización correspondiente para llevar a cabo dichas actividades, las cuales son reguladas, específicamente por los Municipios del Estado de México.</w:t>
      </w:r>
    </w:p>
    <w:p w14:paraId="7AB822AC" w14:textId="77777777" w:rsidR="00230502" w:rsidRPr="0059139D" w:rsidRDefault="00230502" w:rsidP="00230502">
      <w:pPr>
        <w:spacing w:line="360" w:lineRule="auto"/>
        <w:ind w:right="-93"/>
        <w:jc w:val="both"/>
        <w:rPr>
          <w:rFonts w:ascii="Palatino Linotype" w:eastAsia="Calibri" w:hAnsi="Palatino Linotype" w:cs="Tahoma"/>
          <w:bCs/>
          <w:sz w:val="22"/>
          <w:szCs w:val="22"/>
          <w:lang w:eastAsia="en-US"/>
        </w:rPr>
      </w:pPr>
    </w:p>
    <w:p w14:paraId="0517130E" w14:textId="77777777" w:rsidR="00230502" w:rsidRPr="0059139D" w:rsidRDefault="00230502" w:rsidP="00230502">
      <w:pPr>
        <w:spacing w:line="360" w:lineRule="auto"/>
        <w:ind w:right="-93"/>
        <w:jc w:val="both"/>
        <w:rPr>
          <w:rFonts w:ascii="Palatino Linotype" w:eastAsia="Calibri" w:hAnsi="Palatino Linotype" w:cs="Tahoma"/>
          <w:bCs/>
          <w:sz w:val="22"/>
          <w:szCs w:val="22"/>
          <w:lang w:eastAsia="en-US"/>
        </w:rPr>
      </w:pPr>
      <w:r w:rsidRPr="0059139D">
        <w:rPr>
          <w:rFonts w:ascii="Palatino Linotype" w:eastAsia="Calibri" w:hAnsi="Palatino Linotype" w:cs="Tahoma"/>
          <w:bCs/>
          <w:sz w:val="22"/>
          <w:szCs w:val="22"/>
          <w:lang w:eastAsia="en-US"/>
        </w:rPr>
        <w:t>Aunado a ello, se aportarían elementos para determinar si esas autorizaciones se emitieron conforme a derecho y que las que se encuentran visibles en los establecimientos fueron efectivamente emitidas por el Ayuntamiento, esto es, que se cumplen con los requisitos legales que marcan las disposiciones antes estudiadas.</w:t>
      </w:r>
    </w:p>
    <w:p w14:paraId="6142A938" w14:textId="77777777" w:rsidR="00230502" w:rsidRPr="0059139D" w:rsidRDefault="00230502" w:rsidP="00230502">
      <w:pPr>
        <w:spacing w:line="360" w:lineRule="auto"/>
        <w:ind w:right="-93"/>
        <w:jc w:val="both"/>
        <w:rPr>
          <w:rFonts w:ascii="Palatino Linotype" w:eastAsia="Calibri" w:hAnsi="Palatino Linotype" w:cs="Tahoma"/>
          <w:bCs/>
          <w:sz w:val="22"/>
          <w:szCs w:val="22"/>
          <w:lang w:eastAsia="en-US"/>
        </w:rPr>
      </w:pPr>
    </w:p>
    <w:p w14:paraId="5562BED5" w14:textId="31A6F4A5" w:rsidR="00230502" w:rsidRPr="0059139D" w:rsidRDefault="00230502" w:rsidP="00230502">
      <w:pPr>
        <w:widowControl w:val="0"/>
        <w:spacing w:line="360" w:lineRule="auto"/>
        <w:ind w:right="-91"/>
        <w:jc w:val="both"/>
        <w:rPr>
          <w:rFonts w:ascii="Palatino Linotype" w:eastAsia="Calibri" w:hAnsi="Palatino Linotype" w:cs="Tahoma"/>
          <w:bCs/>
          <w:sz w:val="22"/>
          <w:szCs w:val="22"/>
          <w:lang w:eastAsia="en-US"/>
        </w:rPr>
      </w:pPr>
      <w:r w:rsidRPr="0059139D">
        <w:rPr>
          <w:rFonts w:ascii="Palatino Linotype" w:eastAsia="Calibri" w:hAnsi="Palatino Linotype" w:cs="Tahoma"/>
          <w:bCs/>
          <w:sz w:val="22"/>
          <w:szCs w:val="22"/>
          <w:lang w:eastAsia="en-US"/>
        </w:rPr>
        <w:t xml:space="preserve">Conforme a lo anterior, el </w:t>
      </w:r>
      <w:r w:rsidRPr="0059139D">
        <w:rPr>
          <w:rFonts w:ascii="Palatino Linotype" w:hAnsi="Palatino Linotype" w:cs="Tahoma"/>
          <w:sz w:val="22"/>
          <w:szCs w:val="22"/>
          <w:lang w:val="es-ES_tradnl"/>
        </w:rPr>
        <w:t xml:space="preserve">bien jurídico tutelado por el supuesto de confidencialidad previsto en el artículo 143, fracción I de la Ley de la materia, debe ceder frente al derecho de la sociedad de obtener información, en tanto que es mayor el beneficio que representa su publicidad, pues la misma da cuenta del correcto actuar del Sujeto Obligado como regulador de las actividades comerciales en la extensión territorial del Municipio de </w:t>
      </w:r>
      <w:r>
        <w:rPr>
          <w:rFonts w:ascii="Palatino Linotype" w:hAnsi="Palatino Linotype" w:cs="Tahoma"/>
          <w:sz w:val="22"/>
          <w:szCs w:val="22"/>
          <w:lang w:val="es-ES_tradnl"/>
        </w:rPr>
        <w:t xml:space="preserve">San Martín de las Pirámides </w:t>
      </w:r>
      <w:r w:rsidRPr="0059139D">
        <w:rPr>
          <w:rFonts w:ascii="Palatino Linotype" w:hAnsi="Palatino Linotype" w:cs="Tahoma"/>
          <w:sz w:val="22"/>
          <w:szCs w:val="22"/>
          <w:lang w:val="es-ES_tradnl"/>
        </w:rPr>
        <w:t>y permite a los usuarios del local comercial identificar al responsable del mismo.</w:t>
      </w:r>
    </w:p>
    <w:p w14:paraId="483FC406" w14:textId="77777777" w:rsidR="00230502" w:rsidRPr="0059139D" w:rsidRDefault="00230502" w:rsidP="00230502">
      <w:pPr>
        <w:spacing w:line="360" w:lineRule="auto"/>
        <w:ind w:right="-93"/>
        <w:jc w:val="both"/>
        <w:rPr>
          <w:rFonts w:ascii="Palatino Linotype" w:eastAsia="Calibri" w:hAnsi="Palatino Linotype" w:cs="Tahoma"/>
          <w:bCs/>
          <w:sz w:val="22"/>
          <w:szCs w:val="22"/>
          <w:lang w:eastAsia="en-US"/>
        </w:rPr>
      </w:pPr>
    </w:p>
    <w:p w14:paraId="5150016E" w14:textId="1212065D" w:rsidR="00230502" w:rsidRPr="0059139D" w:rsidRDefault="00230502" w:rsidP="00230502">
      <w:pPr>
        <w:spacing w:line="360" w:lineRule="auto"/>
        <w:ind w:right="-93"/>
        <w:jc w:val="both"/>
        <w:rPr>
          <w:rFonts w:ascii="Palatino Linotype" w:eastAsia="Calibri" w:hAnsi="Palatino Linotype" w:cs="Tahoma"/>
          <w:bCs/>
          <w:sz w:val="22"/>
          <w:szCs w:val="22"/>
          <w:lang w:eastAsia="en-US"/>
        </w:rPr>
      </w:pPr>
      <w:r w:rsidRPr="0059139D">
        <w:rPr>
          <w:rFonts w:ascii="Palatino Linotype" w:eastAsia="Calibri" w:hAnsi="Palatino Linotype" w:cs="Tahoma"/>
          <w:bCs/>
          <w:sz w:val="22"/>
          <w:szCs w:val="22"/>
          <w:lang w:eastAsia="en-US"/>
        </w:rPr>
        <w:t>En ese sentido, la difusión del nombre de los titulares de las licencias de funcionamiento revisten un claro interés público, puesto que existe una necesidad colectiva de conocer y evaluar la emisión de dichas autorizaciones; en razón de que se trata de información generada con motivo del ejercicio de las funciones del Ente Recurrido, a través de la</w:t>
      </w:r>
      <w:r>
        <w:rPr>
          <w:rFonts w:ascii="Palatino Linotype" w:eastAsia="Calibri" w:hAnsi="Palatino Linotype" w:cs="Tahoma"/>
          <w:bCs/>
          <w:sz w:val="22"/>
          <w:szCs w:val="22"/>
          <w:lang w:eastAsia="en-US"/>
        </w:rPr>
        <w:t>s dos multicitadas Direcciones</w:t>
      </w:r>
      <w:r w:rsidRPr="0059139D">
        <w:rPr>
          <w:rFonts w:ascii="Palatino Linotype" w:eastAsia="Calibri" w:hAnsi="Palatino Linotype" w:cs="Tahoma"/>
          <w:bCs/>
          <w:sz w:val="22"/>
          <w:szCs w:val="22"/>
          <w:lang w:eastAsia="en-US"/>
        </w:rPr>
        <w:t>, como regulador de cualquier actividad económica, comercial o industrial dentro de su territorio; lo anterior, conforme a la Ley Orgánica Municipal el Estado de México, la Ley de Competitividad y Ordenamiento Comercial del Estado de México</w:t>
      </w:r>
      <w:r>
        <w:rPr>
          <w:rFonts w:ascii="Palatino Linotype" w:eastAsia="Calibri" w:hAnsi="Palatino Linotype" w:cs="Tahoma"/>
          <w:bCs/>
          <w:sz w:val="22"/>
          <w:szCs w:val="22"/>
          <w:lang w:eastAsia="en-US"/>
        </w:rPr>
        <w:t>,</w:t>
      </w:r>
      <w:r w:rsidRPr="0059139D">
        <w:rPr>
          <w:rFonts w:ascii="Palatino Linotype" w:eastAsia="Calibri" w:hAnsi="Palatino Linotype" w:cs="Tahoma"/>
          <w:bCs/>
          <w:sz w:val="22"/>
          <w:szCs w:val="22"/>
          <w:lang w:eastAsia="en-US"/>
        </w:rPr>
        <w:t xml:space="preserve"> su Reglamento y el Bando Municipal de </w:t>
      </w:r>
      <w:r>
        <w:rPr>
          <w:rFonts w:ascii="Palatino Linotype" w:eastAsia="Calibri" w:hAnsi="Palatino Linotype" w:cs="Tahoma"/>
          <w:bCs/>
          <w:sz w:val="22"/>
          <w:szCs w:val="22"/>
          <w:lang w:eastAsia="en-US"/>
        </w:rPr>
        <w:t>San Martín de las Pirámides</w:t>
      </w:r>
      <w:r w:rsidRPr="0059139D">
        <w:rPr>
          <w:rFonts w:ascii="Palatino Linotype" w:eastAsia="Calibri" w:hAnsi="Palatino Linotype" w:cs="Tahoma"/>
          <w:bCs/>
          <w:sz w:val="22"/>
          <w:szCs w:val="22"/>
          <w:lang w:eastAsia="en-US"/>
        </w:rPr>
        <w:t>.</w:t>
      </w:r>
    </w:p>
    <w:p w14:paraId="0553BE58" w14:textId="77777777" w:rsidR="00230502" w:rsidRPr="0059139D" w:rsidRDefault="00230502" w:rsidP="00230502">
      <w:pPr>
        <w:spacing w:line="360" w:lineRule="auto"/>
        <w:ind w:right="-93"/>
        <w:jc w:val="both"/>
        <w:rPr>
          <w:rFonts w:ascii="Palatino Linotype" w:eastAsia="Calibri" w:hAnsi="Palatino Linotype" w:cs="Tahoma"/>
          <w:bCs/>
          <w:sz w:val="22"/>
          <w:szCs w:val="22"/>
          <w:lang w:eastAsia="en-US"/>
        </w:rPr>
      </w:pPr>
    </w:p>
    <w:p w14:paraId="78B9E03A" w14:textId="77777777" w:rsidR="00230502" w:rsidRPr="0059139D" w:rsidRDefault="00230502" w:rsidP="00230502">
      <w:pPr>
        <w:spacing w:line="360" w:lineRule="auto"/>
        <w:ind w:right="-93"/>
        <w:jc w:val="both"/>
        <w:rPr>
          <w:rFonts w:ascii="Palatino Linotype" w:eastAsia="Calibri" w:hAnsi="Palatino Linotype" w:cs="Tahoma"/>
          <w:bCs/>
          <w:sz w:val="22"/>
          <w:szCs w:val="22"/>
          <w:lang w:eastAsia="en-US"/>
        </w:rPr>
      </w:pPr>
      <w:r w:rsidRPr="0059139D">
        <w:rPr>
          <w:rFonts w:ascii="Palatino Linotype" w:eastAsia="Calibri" w:hAnsi="Palatino Linotype" w:cs="Tahoma"/>
          <w:bCs/>
          <w:sz w:val="22"/>
          <w:szCs w:val="22"/>
          <w:lang w:eastAsia="en-US"/>
        </w:rPr>
        <w:t xml:space="preserve">Por todo lo expuesto, </w:t>
      </w:r>
      <w:r w:rsidRPr="0059139D">
        <w:rPr>
          <w:rFonts w:ascii="Palatino Linotype" w:eastAsia="Calibri" w:hAnsi="Palatino Linotype" w:cs="Tahoma"/>
          <w:b/>
          <w:bCs/>
          <w:sz w:val="22"/>
          <w:szCs w:val="22"/>
          <w:lang w:eastAsia="en-US"/>
        </w:rPr>
        <w:t>dar a conocer el nombre de los titulares de licencias, prevalece sobre la protección de los datos personales confidenciales de dichas personas, en razón del interés público que reviste;</w:t>
      </w:r>
      <w:r w:rsidRPr="0059139D">
        <w:rPr>
          <w:rFonts w:ascii="Palatino Linotype" w:eastAsia="Calibri" w:hAnsi="Palatino Linotype" w:cs="Tahoma"/>
          <w:bCs/>
          <w:sz w:val="22"/>
          <w:szCs w:val="22"/>
          <w:lang w:eastAsia="en-US"/>
        </w:rPr>
        <w:t xml:space="preserve"> por lo que, no resulta aplicable, en el presente caso, el artículo </w:t>
      </w:r>
      <w:r w:rsidRPr="0059139D">
        <w:rPr>
          <w:rFonts w:ascii="Palatino Linotype" w:eastAsia="Calibri" w:hAnsi="Palatino Linotype" w:cs="Tahoma"/>
          <w:bCs/>
          <w:sz w:val="22"/>
          <w:szCs w:val="22"/>
          <w:lang w:eastAsia="en-US"/>
        </w:rPr>
        <w:lastRenderedPageBreak/>
        <w:t>143, fracción I, de la Ley de Transparencia y Acceso a la Información Pública del Estado de México y Municipios. Lo cual guarda relevancia, pues el Sujeto Obligado dejo visible el dato.</w:t>
      </w:r>
    </w:p>
    <w:p w14:paraId="0DDBFBFF" w14:textId="77777777" w:rsidR="00230502" w:rsidRPr="0059139D" w:rsidRDefault="00230502" w:rsidP="00230502">
      <w:pPr>
        <w:spacing w:line="360" w:lineRule="auto"/>
        <w:jc w:val="both"/>
        <w:rPr>
          <w:rFonts w:ascii="Palatino Linotype" w:hAnsi="Palatino Linotype" w:cs="Tahoma"/>
          <w:sz w:val="22"/>
          <w:szCs w:val="22"/>
          <w:lang w:val="es-ES"/>
        </w:rPr>
      </w:pPr>
    </w:p>
    <w:p w14:paraId="4B5F20E8" w14:textId="77777777" w:rsidR="00230502" w:rsidRPr="0059139D" w:rsidRDefault="00230502" w:rsidP="00230502">
      <w:pPr>
        <w:numPr>
          <w:ilvl w:val="0"/>
          <w:numId w:val="15"/>
        </w:numPr>
        <w:spacing w:line="360" w:lineRule="auto"/>
        <w:ind w:right="-93"/>
        <w:contextualSpacing/>
        <w:jc w:val="both"/>
        <w:rPr>
          <w:rFonts w:ascii="Palatino Linotype" w:eastAsia="Calibri" w:hAnsi="Palatino Linotype" w:cs="Tahoma"/>
          <w:b/>
          <w:sz w:val="22"/>
          <w:szCs w:val="22"/>
          <w:lang w:val="es-ES" w:eastAsia="en-US"/>
        </w:rPr>
      </w:pPr>
      <w:r w:rsidRPr="0059139D">
        <w:rPr>
          <w:rFonts w:ascii="Palatino Linotype" w:eastAsia="Calibri" w:hAnsi="Palatino Linotype" w:cs="Tahoma"/>
          <w:b/>
          <w:bCs/>
          <w:sz w:val="22"/>
          <w:szCs w:val="22"/>
          <w:lang w:eastAsia="en-US"/>
        </w:rPr>
        <w:t>Nombre de representante legal</w:t>
      </w:r>
    </w:p>
    <w:p w14:paraId="1B7E31C2" w14:textId="77777777" w:rsidR="00230502" w:rsidRPr="0059139D" w:rsidRDefault="00230502" w:rsidP="00230502">
      <w:pPr>
        <w:spacing w:line="360" w:lineRule="auto"/>
        <w:ind w:right="-93"/>
        <w:jc w:val="both"/>
        <w:rPr>
          <w:rFonts w:ascii="Palatino Linotype" w:eastAsia="Calibri" w:hAnsi="Palatino Linotype" w:cs="Tahoma"/>
          <w:bCs/>
          <w:sz w:val="22"/>
          <w:szCs w:val="22"/>
          <w:lang w:val="es-ES" w:eastAsia="en-US"/>
        </w:rPr>
      </w:pPr>
    </w:p>
    <w:p w14:paraId="5347B245" w14:textId="77777777" w:rsidR="00230502" w:rsidRPr="0059139D" w:rsidRDefault="00230502" w:rsidP="00230502">
      <w:pPr>
        <w:spacing w:line="360" w:lineRule="auto"/>
        <w:contextualSpacing/>
        <w:jc w:val="both"/>
        <w:rPr>
          <w:rFonts w:ascii="Palatino Linotype" w:hAnsi="Palatino Linotype" w:cs="Tahoma"/>
          <w:sz w:val="22"/>
          <w:szCs w:val="22"/>
          <w:lang w:val="es-ES"/>
        </w:rPr>
      </w:pPr>
      <w:r w:rsidRPr="0059139D">
        <w:rPr>
          <w:rFonts w:ascii="Palatino Linotype" w:hAnsi="Palatino Linotype" w:cs="Tahoma"/>
          <w:sz w:val="22"/>
          <w:szCs w:val="22"/>
          <w:lang w:val="es-ES"/>
        </w:rPr>
        <w:t>Al respecto, resulta necesario señalar que las personas morales son representadas mediante personas físicas, debidamente acreditadas para realizar determinados actos a nombre de la jurídico-colectiva, por lo que, el nombre de dichos individuos no puede ser objeto de clasificación, en virtud de que la representación persigue la finalidad de dar certeza jurídica a los actos que realiza, en el presente caso, aceptar y recibir una Licencia de Funcionamiento, a nombre de la persona moral.</w:t>
      </w:r>
    </w:p>
    <w:p w14:paraId="008EF642" w14:textId="77777777" w:rsidR="00230502" w:rsidRPr="0059139D" w:rsidRDefault="00230502" w:rsidP="00230502">
      <w:pPr>
        <w:spacing w:line="360" w:lineRule="auto"/>
        <w:contextualSpacing/>
        <w:jc w:val="both"/>
        <w:rPr>
          <w:rFonts w:ascii="Palatino Linotype" w:hAnsi="Palatino Linotype" w:cs="Tahoma"/>
          <w:sz w:val="22"/>
          <w:szCs w:val="22"/>
          <w:lang w:val="es-ES"/>
        </w:rPr>
      </w:pPr>
    </w:p>
    <w:p w14:paraId="0789F8C1" w14:textId="77777777" w:rsidR="00230502" w:rsidRPr="0059139D" w:rsidRDefault="00230502" w:rsidP="00230502">
      <w:pPr>
        <w:spacing w:line="360" w:lineRule="auto"/>
        <w:contextualSpacing/>
        <w:jc w:val="both"/>
        <w:rPr>
          <w:rFonts w:ascii="Palatino Linotype" w:hAnsi="Palatino Linotype" w:cs="Tahoma"/>
          <w:sz w:val="22"/>
          <w:szCs w:val="22"/>
          <w:lang w:val="es-ES"/>
        </w:rPr>
      </w:pPr>
      <w:r w:rsidRPr="0059139D">
        <w:rPr>
          <w:rFonts w:ascii="Palatino Linotype" w:hAnsi="Palatino Linotype" w:cs="Tahoma"/>
          <w:sz w:val="22"/>
          <w:szCs w:val="22"/>
          <w:lang w:val="es-ES"/>
        </w:rPr>
        <w:t>En ese sentido, el artículo 10 de la Ley General de Sociedades Mercantiles, establece que la representación de toda sociedad mercantil corresponderá a su administrador o administradores, quiénes podrán realizar todas las operaciones inherentes al objeto de la sociedad; por lo que, para que surtan efectos los poderes que otorgue dicha empresa bastará su protocolización ante notario público.</w:t>
      </w:r>
    </w:p>
    <w:p w14:paraId="5318AF1F" w14:textId="77777777" w:rsidR="00230502" w:rsidRPr="0059139D" w:rsidRDefault="00230502" w:rsidP="00230502">
      <w:pPr>
        <w:spacing w:line="360" w:lineRule="auto"/>
        <w:contextualSpacing/>
        <w:jc w:val="both"/>
        <w:rPr>
          <w:rFonts w:ascii="Palatino Linotype" w:hAnsi="Palatino Linotype" w:cs="Tahoma"/>
          <w:sz w:val="22"/>
          <w:szCs w:val="22"/>
          <w:lang w:val="es-ES"/>
        </w:rPr>
      </w:pPr>
    </w:p>
    <w:p w14:paraId="750327A4" w14:textId="77777777" w:rsidR="00230502" w:rsidRPr="0059139D" w:rsidRDefault="00230502" w:rsidP="00230502">
      <w:pPr>
        <w:spacing w:line="360" w:lineRule="auto"/>
        <w:contextualSpacing/>
        <w:jc w:val="both"/>
        <w:rPr>
          <w:rFonts w:ascii="Palatino Linotype" w:hAnsi="Palatino Linotype" w:cs="Tahoma"/>
          <w:sz w:val="22"/>
          <w:szCs w:val="22"/>
          <w:lang w:val="es-ES"/>
        </w:rPr>
      </w:pPr>
      <w:r w:rsidRPr="0059139D">
        <w:rPr>
          <w:rFonts w:ascii="Palatino Linotype" w:hAnsi="Palatino Linotype" w:cs="Tahoma"/>
          <w:sz w:val="22"/>
          <w:szCs w:val="22"/>
          <w:lang w:val="es-ES"/>
        </w:rPr>
        <w:t>En esa tesitura, la representación de las personas morales se realizará por medio de representantes o apoderados, y en el caso específico de las sociedades mercantiles, dicha representación se otorgará mediante instrumento público.</w:t>
      </w:r>
    </w:p>
    <w:p w14:paraId="1514ABFA" w14:textId="77777777" w:rsidR="00230502" w:rsidRPr="0059139D" w:rsidRDefault="00230502" w:rsidP="00230502">
      <w:pPr>
        <w:spacing w:line="360" w:lineRule="auto"/>
        <w:contextualSpacing/>
        <w:jc w:val="both"/>
        <w:rPr>
          <w:rFonts w:ascii="Palatino Linotype" w:hAnsi="Palatino Linotype" w:cs="Tahoma"/>
          <w:sz w:val="22"/>
          <w:szCs w:val="22"/>
          <w:lang w:val="es-ES"/>
        </w:rPr>
      </w:pPr>
    </w:p>
    <w:p w14:paraId="551650CA" w14:textId="77777777" w:rsidR="00230502" w:rsidRPr="0059139D" w:rsidRDefault="00230502" w:rsidP="00230502">
      <w:pPr>
        <w:spacing w:line="360" w:lineRule="auto"/>
        <w:contextualSpacing/>
        <w:jc w:val="both"/>
        <w:rPr>
          <w:rFonts w:ascii="Palatino Linotype" w:hAnsi="Palatino Linotype" w:cs="Tahoma"/>
          <w:sz w:val="22"/>
          <w:szCs w:val="22"/>
          <w:lang w:val="es-ES"/>
        </w:rPr>
      </w:pPr>
      <w:r w:rsidRPr="0059139D">
        <w:rPr>
          <w:rFonts w:ascii="Palatino Linotype" w:hAnsi="Palatino Linotype" w:cs="Tahoma"/>
          <w:sz w:val="22"/>
          <w:szCs w:val="22"/>
          <w:lang w:val="es-ES"/>
        </w:rPr>
        <w:t>Ello, toda vez que la representación legal debe ser conocida para surtir efectos ante terceros; es decir, la publicidad de la misma tiene por objeto dar certeza a quienes se relacionan con la persona jurídico colectiva representada, que las actuaciones de su representante están previamente autorizadas y que surtirán efectos legales a que constriñe cada acto.</w:t>
      </w:r>
    </w:p>
    <w:p w14:paraId="54262D59" w14:textId="77777777" w:rsidR="00230502" w:rsidRPr="0059139D" w:rsidRDefault="00230502" w:rsidP="00230502">
      <w:pPr>
        <w:spacing w:line="360" w:lineRule="auto"/>
        <w:contextualSpacing/>
        <w:jc w:val="both"/>
        <w:rPr>
          <w:rFonts w:ascii="Palatino Linotype" w:hAnsi="Palatino Linotype" w:cs="Tahoma"/>
          <w:sz w:val="22"/>
          <w:szCs w:val="22"/>
          <w:lang w:val="es-ES"/>
        </w:rPr>
      </w:pPr>
    </w:p>
    <w:p w14:paraId="57A6929C" w14:textId="77777777" w:rsidR="00230502" w:rsidRPr="0059139D" w:rsidRDefault="00230502" w:rsidP="00230502">
      <w:pPr>
        <w:spacing w:line="360" w:lineRule="auto"/>
        <w:contextualSpacing/>
        <w:jc w:val="both"/>
        <w:rPr>
          <w:rFonts w:ascii="Palatino Linotype" w:hAnsi="Palatino Linotype" w:cs="Tahoma"/>
          <w:sz w:val="22"/>
          <w:szCs w:val="22"/>
          <w:lang w:val="es-ES"/>
        </w:rPr>
      </w:pPr>
      <w:r w:rsidRPr="0059139D">
        <w:rPr>
          <w:rFonts w:ascii="Palatino Linotype" w:hAnsi="Palatino Linotype" w:cs="Tahoma"/>
          <w:sz w:val="22"/>
          <w:szCs w:val="22"/>
          <w:lang w:val="es-ES"/>
        </w:rPr>
        <w:t xml:space="preserve">En ese orden de ideas, se estima que si bien, el nombre es uno de los atributos de la personalidad y la manifestación principal del derecho subjetivo a la identidad, en virtud de que hace una persona física identificada o identificable; lo cierto es que el nombre del apoderado legal de una empresa, </w:t>
      </w:r>
      <w:r w:rsidRPr="0059139D">
        <w:rPr>
          <w:rFonts w:ascii="Palatino Linotype" w:hAnsi="Palatino Linotype" w:cs="Tahoma"/>
          <w:b/>
          <w:sz w:val="22"/>
          <w:szCs w:val="22"/>
          <w:lang w:val="es-ES"/>
        </w:rPr>
        <w:t xml:space="preserve">es público, </w:t>
      </w:r>
      <w:r w:rsidRPr="0059139D">
        <w:rPr>
          <w:rFonts w:ascii="Palatino Linotype" w:hAnsi="Palatino Linotype" w:cs="Tahoma"/>
          <w:sz w:val="22"/>
          <w:szCs w:val="22"/>
          <w:lang w:val="es-ES"/>
        </w:rPr>
        <w:t xml:space="preserve">toda vez que por conducto de este, una persona jurídico-colectiva realiza cualquier acto jurídico; es decir, la publicidad de dicho dato da certeza a quienes se relacionan con la persona representada, partiendo del supuesto de que las actuaciones de su representante están previamente autorizadas y que surtirán los efectos legales a que se constriñe en cada acto. </w:t>
      </w:r>
    </w:p>
    <w:p w14:paraId="2C535E5D" w14:textId="77777777" w:rsidR="00230502" w:rsidRPr="0059139D" w:rsidRDefault="00230502" w:rsidP="00230502">
      <w:pPr>
        <w:spacing w:line="360" w:lineRule="auto"/>
        <w:contextualSpacing/>
        <w:jc w:val="both"/>
        <w:rPr>
          <w:rFonts w:ascii="Palatino Linotype" w:hAnsi="Palatino Linotype" w:cs="Tahoma"/>
          <w:sz w:val="22"/>
          <w:szCs w:val="22"/>
          <w:lang w:val="es-ES"/>
        </w:rPr>
      </w:pPr>
    </w:p>
    <w:p w14:paraId="1557DAA6" w14:textId="77777777" w:rsidR="00230502" w:rsidRPr="0059139D" w:rsidRDefault="00230502" w:rsidP="00230502">
      <w:pPr>
        <w:spacing w:line="360" w:lineRule="auto"/>
        <w:contextualSpacing/>
        <w:jc w:val="both"/>
        <w:rPr>
          <w:rFonts w:ascii="Palatino Linotype" w:hAnsi="Palatino Linotype" w:cs="Tahoma"/>
          <w:color w:val="000000"/>
          <w:sz w:val="22"/>
          <w:szCs w:val="22"/>
          <w:lang w:val="es-ES"/>
        </w:rPr>
      </w:pPr>
      <w:r w:rsidRPr="0059139D">
        <w:rPr>
          <w:rFonts w:ascii="Palatino Linotype" w:hAnsi="Palatino Linotype" w:cs="Tahoma"/>
          <w:color w:val="000000"/>
          <w:sz w:val="22"/>
          <w:szCs w:val="22"/>
          <w:lang w:val="es-ES"/>
        </w:rPr>
        <w:t xml:space="preserve">Lo anterior, se robustece con el </w:t>
      </w:r>
      <w:r w:rsidRPr="0059139D">
        <w:rPr>
          <w:rFonts w:ascii="Palatino Linotype" w:eastAsia="Calibri" w:hAnsi="Palatino Linotype" w:cs="Tahoma"/>
          <w:bCs/>
          <w:iCs/>
          <w:color w:val="000000"/>
          <w:sz w:val="22"/>
          <w:szCs w:val="22"/>
          <w:lang w:val="es-ES" w:eastAsia="en-US"/>
        </w:rPr>
        <w:t xml:space="preserve">Criterio Orientador, de la Segunda Época, con clave de control </w:t>
      </w:r>
      <w:r w:rsidRPr="0059139D">
        <w:rPr>
          <w:rFonts w:ascii="Palatino Linotype" w:eastAsia="Calibri" w:hAnsi="Palatino Linotype" w:cs="Tahoma"/>
          <w:bCs/>
          <w:iCs/>
          <w:color w:val="000000"/>
          <w:sz w:val="22"/>
          <w:szCs w:val="22"/>
          <w:lang w:eastAsia="en-US"/>
        </w:rPr>
        <w:t xml:space="preserve">SO/001/2019, </w:t>
      </w:r>
      <w:r w:rsidRPr="0059139D">
        <w:rPr>
          <w:rFonts w:ascii="Palatino Linotype" w:eastAsia="Calibri" w:hAnsi="Palatino Linotype" w:cs="Tahoma"/>
          <w:bCs/>
          <w:iCs/>
          <w:color w:val="000000"/>
          <w:sz w:val="22"/>
          <w:szCs w:val="22"/>
          <w:lang w:val="es-ES" w:eastAsia="en-US"/>
        </w:rPr>
        <w:t>emitido por el entonces Instituto Nacional de Transparencia, Acceso a la Información y Protección de Datos Personales</w:t>
      </w:r>
      <w:r w:rsidRPr="0059139D">
        <w:rPr>
          <w:rFonts w:ascii="Palatino Linotype" w:hAnsi="Palatino Linotype" w:cs="Tahoma"/>
          <w:color w:val="000000"/>
          <w:sz w:val="22"/>
          <w:szCs w:val="22"/>
          <w:lang w:val="es-ES"/>
        </w:rPr>
        <w:t>, que establece lo siguiente:</w:t>
      </w:r>
    </w:p>
    <w:p w14:paraId="666BC302" w14:textId="77777777" w:rsidR="00230502" w:rsidRPr="0059139D" w:rsidRDefault="00230502" w:rsidP="00230502">
      <w:pPr>
        <w:spacing w:line="360" w:lineRule="auto"/>
        <w:contextualSpacing/>
        <w:jc w:val="both"/>
        <w:rPr>
          <w:rFonts w:ascii="Palatino Linotype" w:hAnsi="Palatino Linotype" w:cs="Tahoma"/>
          <w:color w:val="000000"/>
          <w:sz w:val="22"/>
          <w:szCs w:val="22"/>
          <w:lang w:val="es-ES"/>
        </w:rPr>
      </w:pPr>
    </w:p>
    <w:p w14:paraId="4F25001D" w14:textId="77777777" w:rsidR="00230502" w:rsidRDefault="00230502" w:rsidP="00230502">
      <w:pPr>
        <w:spacing w:line="360" w:lineRule="auto"/>
        <w:ind w:left="567" w:right="567"/>
        <w:contextualSpacing/>
        <w:jc w:val="both"/>
        <w:rPr>
          <w:rFonts w:ascii="Palatino Linotype" w:hAnsi="Palatino Linotype" w:cs="Tahoma"/>
          <w:i/>
          <w:color w:val="000000"/>
        </w:rPr>
      </w:pPr>
      <w:r w:rsidRPr="0059139D">
        <w:rPr>
          <w:rFonts w:ascii="Palatino Linotype" w:hAnsi="Palatino Linotype" w:cs="Tahoma"/>
          <w:b/>
          <w:i/>
          <w:color w:val="000000"/>
        </w:rPr>
        <w:t>“Datos de identificación del representante o apoderado legal.</w:t>
      </w:r>
      <w:r w:rsidRPr="0059139D">
        <w:rPr>
          <w:rFonts w:ascii="Palatino Linotype" w:hAnsi="Palatino Linotype" w:cs="Tahoma"/>
          <w:i/>
          <w:color w:val="000000"/>
        </w:rPr>
        <w:t xml:space="preserve"> </w:t>
      </w:r>
      <w:r w:rsidRPr="0059139D">
        <w:rPr>
          <w:rFonts w:ascii="Palatino Linotype" w:hAnsi="Palatino Linotype" w:cs="Tahoma"/>
          <w:b/>
          <w:i/>
          <w:color w:val="000000"/>
        </w:rPr>
        <w:t xml:space="preserve">Naturaleza jurídica. </w:t>
      </w:r>
      <w:r w:rsidRPr="0059139D">
        <w:rPr>
          <w:rFonts w:ascii="Palatino Linotype" w:hAnsi="Palatino Linotype" w:cs="Tahoma"/>
          <w:i/>
          <w:color w:val="000000"/>
        </w:rPr>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w:t>
      </w:r>
    </w:p>
    <w:p w14:paraId="5F7F750A" w14:textId="77777777" w:rsidR="00230502" w:rsidRPr="0059139D" w:rsidRDefault="00230502" w:rsidP="00230502">
      <w:pPr>
        <w:spacing w:line="360" w:lineRule="auto"/>
        <w:ind w:left="567" w:right="567"/>
        <w:contextualSpacing/>
        <w:jc w:val="both"/>
        <w:rPr>
          <w:rFonts w:ascii="Palatino Linotype" w:hAnsi="Palatino Linotype" w:cs="Tahoma"/>
          <w:i/>
          <w:color w:val="000000"/>
          <w:lang w:val="es-ES"/>
        </w:rPr>
      </w:pPr>
    </w:p>
    <w:p w14:paraId="598230F3" w14:textId="77777777" w:rsidR="00230502" w:rsidRPr="0059139D" w:rsidRDefault="00230502" w:rsidP="00230502">
      <w:pPr>
        <w:spacing w:line="360" w:lineRule="auto"/>
        <w:contextualSpacing/>
        <w:jc w:val="both"/>
        <w:rPr>
          <w:rFonts w:ascii="Palatino Linotype" w:hAnsi="Palatino Linotype" w:cs="Tahoma"/>
          <w:sz w:val="22"/>
          <w:szCs w:val="22"/>
          <w:lang w:val="es-ES"/>
        </w:rPr>
      </w:pPr>
      <w:r w:rsidRPr="0059139D">
        <w:rPr>
          <w:rFonts w:ascii="Palatino Linotype" w:hAnsi="Palatino Linotype" w:cs="Tahoma"/>
          <w:sz w:val="22"/>
          <w:szCs w:val="22"/>
          <w:lang w:val="es-ES"/>
        </w:rPr>
        <w:t>Ante tales situaciones, el nombre del representante legal, de una persona jurídica colectiva a la cual se le emitió una Licencia de Funcionamiento, no es susceptible de ser clasificado como confidencial, en términos del artículo 143, fracción I, de la Ley Federal de Transparencia y Acceso a la Información Pública.</w:t>
      </w:r>
    </w:p>
    <w:p w14:paraId="729CC100" w14:textId="77777777" w:rsidR="00230502" w:rsidRPr="0059139D" w:rsidRDefault="00230502" w:rsidP="00230502">
      <w:pPr>
        <w:spacing w:line="360" w:lineRule="auto"/>
        <w:contextualSpacing/>
        <w:jc w:val="both"/>
        <w:rPr>
          <w:rFonts w:ascii="Palatino Linotype" w:hAnsi="Palatino Linotype" w:cs="Tahoma"/>
          <w:sz w:val="22"/>
          <w:szCs w:val="22"/>
          <w:lang w:val="es-ES"/>
        </w:rPr>
      </w:pPr>
    </w:p>
    <w:p w14:paraId="02A51E55" w14:textId="77777777" w:rsidR="00230502" w:rsidRPr="0059139D" w:rsidRDefault="00230502" w:rsidP="00230502">
      <w:pPr>
        <w:numPr>
          <w:ilvl w:val="0"/>
          <w:numId w:val="15"/>
        </w:numPr>
        <w:spacing w:line="360" w:lineRule="auto"/>
        <w:ind w:right="-93"/>
        <w:contextualSpacing/>
        <w:jc w:val="both"/>
        <w:rPr>
          <w:rFonts w:ascii="Palatino Linotype" w:eastAsia="Calibri" w:hAnsi="Palatino Linotype" w:cs="Tahoma"/>
          <w:b/>
          <w:bCs/>
          <w:sz w:val="22"/>
          <w:szCs w:val="22"/>
          <w:lang w:eastAsia="en-US"/>
        </w:rPr>
      </w:pPr>
      <w:r w:rsidRPr="0059139D">
        <w:rPr>
          <w:rFonts w:ascii="Palatino Linotype" w:eastAsia="Calibri" w:hAnsi="Palatino Linotype" w:cs="Tahoma"/>
          <w:b/>
          <w:bCs/>
          <w:sz w:val="22"/>
          <w:szCs w:val="22"/>
          <w:lang w:eastAsia="en-US"/>
        </w:rPr>
        <w:t>Persona Jurídico-Colectiva.</w:t>
      </w:r>
    </w:p>
    <w:p w14:paraId="138943C7" w14:textId="77777777" w:rsidR="00230502" w:rsidRPr="0059139D" w:rsidRDefault="00230502" w:rsidP="00230502">
      <w:pPr>
        <w:spacing w:line="360" w:lineRule="auto"/>
        <w:ind w:right="-93"/>
        <w:jc w:val="both"/>
        <w:rPr>
          <w:rFonts w:ascii="Palatino Linotype" w:eastAsia="Calibri" w:hAnsi="Palatino Linotype" w:cs="Tahoma"/>
          <w:b/>
          <w:bCs/>
          <w:sz w:val="22"/>
          <w:szCs w:val="22"/>
          <w:lang w:eastAsia="en-US"/>
        </w:rPr>
      </w:pPr>
    </w:p>
    <w:p w14:paraId="13F9D2CF" w14:textId="77777777" w:rsidR="00230502" w:rsidRPr="0059139D" w:rsidRDefault="00230502" w:rsidP="00230502">
      <w:pPr>
        <w:spacing w:line="360" w:lineRule="auto"/>
        <w:jc w:val="both"/>
        <w:rPr>
          <w:rFonts w:ascii="Palatino Linotype" w:eastAsia="Calibri" w:hAnsi="Palatino Linotype" w:cs="Tahoma"/>
          <w:bCs/>
          <w:sz w:val="22"/>
          <w:szCs w:val="22"/>
          <w:lang w:eastAsia="en-US"/>
        </w:rPr>
      </w:pPr>
      <w:r w:rsidRPr="0059139D">
        <w:rPr>
          <w:rFonts w:ascii="Palatino Linotype" w:eastAsia="Calibri" w:hAnsi="Palatino Linotype" w:cs="Tahoma"/>
          <w:bCs/>
          <w:sz w:val="22"/>
          <w:szCs w:val="22"/>
          <w:lang w:eastAsia="en-US"/>
        </w:rPr>
        <w:t>Al respecto, se considera que la denominación o razón social de una persona moral, es pública, pues dichos datos se encuentran inscritos en el Registro Público del Comercio; lo anterior, toma sustento en el Criterio de interpretación, con clave de control SO/008/2019, de la Segunda Época, emitido por el Pleno del Instituto Nacional de Transparencia, Acceso a la Información y Protección de Datos Personales, el cual establece lo siguiente:</w:t>
      </w:r>
    </w:p>
    <w:p w14:paraId="72190B70" w14:textId="77777777" w:rsidR="00230502" w:rsidRPr="0059139D" w:rsidRDefault="00230502" w:rsidP="00230502">
      <w:pPr>
        <w:spacing w:line="360" w:lineRule="auto"/>
        <w:jc w:val="both"/>
        <w:rPr>
          <w:rFonts w:ascii="Palatino Linotype" w:eastAsia="Calibri" w:hAnsi="Palatino Linotype" w:cs="Tahoma"/>
          <w:bCs/>
          <w:sz w:val="22"/>
          <w:szCs w:val="22"/>
          <w:lang w:eastAsia="en-US"/>
        </w:rPr>
      </w:pPr>
    </w:p>
    <w:p w14:paraId="45D8C963" w14:textId="77777777" w:rsidR="00230502" w:rsidRPr="0059139D" w:rsidRDefault="00230502" w:rsidP="00230502">
      <w:pPr>
        <w:spacing w:line="360" w:lineRule="auto"/>
        <w:ind w:left="567" w:right="567"/>
        <w:jc w:val="both"/>
        <w:rPr>
          <w:rFonts w:ascii="Palatino Linotype" w:eastAsia="Calibri" w:hAnsi="Palatino Linotype" w:cs="Tahoma"/>
          <w:bCs/>
          <w:i/>
          <w:lang w:eastAsia="en-US"/>
        </w:rPr>
      </w:pPr>
      <w:r w:rsidRPr="0059139D">
        <w:rPr>
          <w:rFonts w:ascii="Palatino Linotype" w:eastAsia="Calibri" w:hAnsi="Palatino Linotype" w:cs="Tahoma"/>
          <w:b/>
          <w:bCs/>
          <w:i/>
          <w:lang w:eastAsia="en-US"/>
        </w:rPr>
        <w:t xml:space="preserve">“Razón social y RFC de personas morales. </w:t>
      </w:r>
      <w:r w:rsidRPr="0059139D">
        <w:rPr>
          <w:rFonts w:ascii="Palatino Linotype" w:eastAsia="Calibri" w:hAnsi="Palatino Linotype" w:cs="Tahoma"/>
          <w:bCs/>
          <w:i/>
          <w:lang w:eastAsia="en-US"/>
        </w:rPr>
        <w:t>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14:paraId="28B2C4FD" w14:textId="77777777" w:rsidR="00230502" w:rsidRPr="0059139D" w:rsidRDefault="00230502" w:rsidP="00230502">
      <w:pPr>
        <w:spacing w:line="360" w:lineRule="auto"/>
        <w:jc w:val="both"/>
        <w:rPr>
          <w:rFonts w:ascii="Palatino Linotype" w:eastAsia="Calibri" w:hAnsi="Palatino Linotype" w:cs="Tahoma"/>
          <w:b/>
          <w:bCs/>
          <w:sz w:val="22"/>
          <w:szCs w:val="22"/>
          <w:lang w:eastAsia="en-US"/>
        </w:rPr>
      </w:pPr>
    </w:p>
    <w:p w14:paraId="6D3BF892" w14:textId="77777777" w:rsidR="00230502" w:rsidRPr="0059139D" w:rsidRDefault="00230502" w:rsidP="00230502">
      <w:pPr>
        <w:spacing w:line="360" w:lineRule="auto"/>
        <w:jc w:val="both"/>
        <w:rPr>
          <w:rFonts w:ascii="Palatino Linotype" w:eastAsia="Calibri" w:hAnsi="Palatino Linotype" w:cs="Tahoma"/>
          <w:bCs/>
          <w:sz w:val="22"/>
          <w:szCs w:val="22"/>
          <w:lang w:val="es-ES_tradnl" w:eastAsia="en-US"/>
        </w:rPr>
      </w:pPr>
      <w:r w:rsidRPr="0059139D">
        <w:rPr>
          <w:rFonts w:ascii="Palatino Linotype" w:eastAsia="Calibri" w:hAnsi="Palatino Linotype" w:cs="Tahoma"/>
          <w:bCs/>
          <w:sz w:val="22"/>
          <w:szCs w:val="22"/>
          <w:lang w:eastAsia="en-US"/>
        </w:rPr>
        <w:t xml:space="preserve">Lo anterior, se robustece con el hecho de que el Ente Recurrido tiene como obligación común de transparencia, poner a disposición del público las concesiones, contratos, convenios, permisos, licencias o autorizaciones, el cual debe incluir la razón social del titular, de conformidad con los </w:t>
      </w:r>
      <w:r w:rsidRPr="0059139D">
        <w:rPr>
          <w:rFonts w:ascii="Palatino Linotype" w:eastAsia="Calibri" w:hAnsi="Palatino Linotype" w:cs="Tahoma"/>
          <w:bCs/>
          <w:sz w:val="22"/>
          <w:szCs w:val="22"/>
          <w:lang w:val="es-ES_tradnl" w:eastAsia="en-US"/>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den de difundir los sujetos obligados en los portales de Internet y en la Plataforma Nacional de Transparencia –Lineamientos técnicos generales-, tal como se observa a continuación:</w:t>
      </w:r>
    </w:p>
    <w:p w14:paraId="30BBF100" w14:textId="77777777" w:rsidR="00230502" w:rsidRPr="0059139D" w:rsidRDefault="00230502" w:rsidP="00230502">
      <w:pPr>
        <w:spacing w:line="360" w:lineRule="auto"/>
        <w:jc w:val="both"/>
        <w:rPr>
          <w:rFonts w:ascii="Palatino Linotype" w:eastAsia="Calibri" w:hAnsi="Palatino Linotype" w:cs="Tahoma"/>
          <w:bCs/>
          <w:sz w:val="22"/>
          <w:szCs w:val="22"/>
          <w:lang w:val="es-ES_tradnl" w:eastAsia="en-US"/>
        </w:rPr>
      </w:pPr>
    </w:p>
    <w:p w14:paraId="35195F7F" w14:textId="77777777" w:rsidR="00230502" w:rsidRPr="0059139D" w:rsidRDefault="00230502" w:rsidP="00230502">
      <w:pPr>
        <w:spacing w:line="360" w:lineRule="auto"/>
        <w:jc w:val="both"/>
        <w:rPr>
          <w:rFonts w:ascii="Palatino Linotype" w:eastAsia="Calibri" w:hAnsi="Palatino Linotype" w:cs="Tahoma"/>
          <w:bCs/>
          <w:sz w:val="22"/>
          <w:szCs w:val="22"/>
          <w:lang w:val="es-ES_tradnl" w:eastAsia="en-US"/>
        </w:rPr>
      </w:pPr>
      <w:r w:rsidRPr="0059139D">
        <w:rPr>
          <w:rFonts w:ascii="Calibri" w:hAnsi="Calibri"/>
          <w:noProof/>
          <w:sz w:val="22"/>
          <w:szCs w:val="22"/>
        </w:rPr>
        <w:lastRenderedPageBreak/>
        <mc:AlternateContent>
          <mc:Choice Requires="wps">
            <w:drawing>
              <wp:anchor distT="0" distB="0" distL="114300" distR="114300" simplePos="0" relativeHeight="251659264" behindDoc="0" locked="0" layoutInCell="1" allowOverlap="1" wp14:anchorId="6784CE4C" wp14:editId="6CEB1FA9">
                <wp:simplePos x="0" y="0"/>
                <wp:positionH relativeFrom="column">
                  <wp:posOffset>3849370</wp:posOffset>
                </wp:positionH>
                <wp:positionV relativeFrom="paragraph">
                  <wp:posOffset>774700</wp:posOffset>
                </wp:positionV>
                <wp:extent cx="933450" cy="457200"/>
                <wp:effectExtent l="19050" t="19050" r="38100" b="38100"/>
                <wp:wrapNone/>
                <wp:docPr id="10" name="Rectángulo 2"/>
                <wp:cNvGraphicFramePr/>
                <a:graphic xmlns:a="http://schemas.openxmlformats.org/drawingml/2006/main">
                  <a:graphicData uri="http://schemas.microsoft.com/office/word/2010/wordprocessingShape">
                    <wps:wsp>
                      <wps:cNvSpPr/>
                      <wps:spPr>
                        <a:xfrm>
                          <a:off x="0" y="0"/>
                          <a:ext cx="933450" cy="457200"/>
                        </a:xfrm>
                        <a:prstGeom prst="rect">
                          <a:avLst/>
                        </a:prstGeom>
                        <a:noFill/>
                        <a:ln w="5715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6DC94F0" id="Rectángulo 2" o:spid="_x0000_s1026" style="position:absolute;margin-left:303.1pt;margin-top:61pt;width:73.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" filled="f" strokecolor="windowText" strokeweight="4.5pt"/>
            </w:pict>
          </mc:Fallback>
        </mc:AlternateContent>
      </w:r>
      <w:r w:rsidRPr="0059139D">
        <w:rPr>
          <w:noProof/>
        </w:rPr>
        <w:drawing>
          <wp:inline distT="0" distB="0" distL="0" distR="0" wp14:anchorId="132A7F5F" wp14:editId="6065256B">
            <wp:extent cx="5747385" cy="1377315"/>
            <wp:effectExtent l="0" t="0" r="5715"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7385" cy="1377315"/>
                    </a:xfrm>
                    <a:prstGeom prst="rect">
                      <a:avLst/>
                    </a:prstGeom>
                    <a:noFill/>
                    <a:ln>
                      <a:noFill/>
                    </a:ln>
                  </pic:spPr>
                </pic:pic>
              </a:graphicData>
            </a:graphic>
          </wp:inline>
        </w:drawing>
      </w:r>
    </w:p>
    <w:p w14:paraId="29716474" w14:textId="77777777" w:rsidR="00230502" w:rsidRPr="0059139D" w:rsidRDefault="00230502" w:rsidP="00230502">
      <w:pPr>
        <w:spacing w:line="360" w:lineRule="auto"/>
        <w:jc w:val="both"/>
        <w:rPr>
          <w:rFonts w:ascii="Palatino Linotype" w:eastAsia="Calibri" w:hAnsi="Palatino Linotype" w:cs="Tahoma"/>
          <w:bCs/>
          <w:sz w:val="22"/>
          <w:szCs w:val="22"/>
          <w:lang w:val="es-ES_tradnl" w:eastAsia="en-US"/>
        </w:rPr>
      </w:pPr>
    </w:p>
    <w:p w14:paraId="7E277D65" w14:textId="77777777" w:rsidR="00230502" w:rsidRPr="0059139D" w:rsidRDefault="00230502" w:rsidP="00230502">
      <w:pPr>
        <w:spacing w:line="360" w:lineRule="auto"/>
        <w:jc w:val="both"/>
        <w:rPr>
          <w:rFonts w:ascii="Palatino Linotype" w:eastAsia="Calibri" w:hAnsi="Palatino Linotype" w:cs="Tahoma"/>
          <w:bCs/>
          <w:sz w:val="22"/>
          <w:szCs w:val="22"/>
          <w:lang w:val="es-ES_tradnl" w:eastAsia="en-US"/>
        </w:rPr>
      </w:pPr>
      <w:r w:rsidRPr="0059139D">
        <w:rPr>
          <w:rFonts w:ascii="Palatino Linotype" w:eastAsia="Calibri" w:hAnsi="Palatino Linotype" w:cs="Tahoma"/>
          <w:bCs/>
          <w:sz w:val="22"/>
          <w:szCs w:val="22"/>
          <w:lang w:val="es-ES_tradnl" w:eastAsia="en-US"/>
        </w:rPr>
        <w:t xml:space="preserve">Por lo tanto, </w:t>
      </w:r>
      <w:r w:rsidRPr="0059139D">
        <w:rPr>
          <w:rFonts w:ascii="Palatino Linotype" w:eastAsia="Calibri" w:hAnsi="Palatino Linotype" w:cs="Tahoma"/>
          <w:b/>
          <w:bCs/>
          <w:sz w:val="22"/>
          <w:szCs w:val="22"/>
          <w:lang w:val="es-ES_tradnl" w:eastAsia="en-US"/>
        </w:rPr>
        <w:t>no procede la clasificación del nombre de las personas morales localizadas en las licencias de funcionamiento</w:t>
      </w:r>
      <w:r w:rsidRPr="0059139D">
        <w:rPr>
          <w:rFonts w:ascii="Palatino Linotype" w:eastAsia="Calibri" w:hAnsi="Palatino Linotype" w:cs="Tahoma"/>
          <w:bCs/>
          <w:sz w:val="22"/>
          <w:szCs w:val="22"/>
          <w:lang w:val="es-ES_tradnl" w:eastAsia="en-US"/>
        </w:rPr>
        <w:t>, en términos del artículo 143, fracción I de la Ley de Transparencia y Acceso a la Información Pública del Estado de México y Municipios; situación que se robustece, con el hecho de que permite corroborar que la exhibida en el establecimiento comercial, fue emitida efectivamente por la autoridad competente y que su titular corresponde al establecimiento en cuestión.</w:t>
      </w:r>
    </w:p>
    <w:p w14:paraId="4C0281EE" w14:textId="77777777" w:rsidR="00230502" w:rsidRPr="0059139D" w:rsidRDefault="00230502" w:rsidP="00230502">
      <w:pPr>
        <w:spacing w:line="360" w:lineRule="auto"/>
        <w:jc w:val="both"/>
        <w:rPr>
          <w:rFonts w:ascii="Palatino Linotype" w:eastAsia="Calibri" w:hAnsi="Palatino Linotype" w:cs="Tahoma"/>
          <w:bCs/>
          <w:sz w:val="22"/>
          <w:szCs w:val="22"/>
          <w:lang w:eastAsia="en-US"/>
        </w:rPr>
      </w:pPr>
    </w:p>
    <w:p w14:paraId="173F5337" w14:textId="77777777" w:rsidR="00230502" w:rsidRDefault="00230502" w:rsidP="00230502">
      <w:pPr>
        <w:numPr>
          <w:ilvl w:val="0"/>
          <w:numId w:val="15"/>
        </w:numPr>
        <w:spacing w:line="360" w:lineRule="auto"/>
        <w:ind w:right="-93"/>
        <w:contextualSpacing/>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Nombre del establecimiento</w:t>
      </w:r>
    </w:p>
    <w:p w14:paraId="736830F4" w14:textId="77777777" w:rsidR="00230502" w:rsidRDefault="00230502" w:rsidP="00230502">
      <w:pPr>
        <w:spacing w:line="360" w:lineRule="auto"/>
        <w:ind w:right="-93"/>
        <w:contextualSpacing/>
        <w:jc w:val="both"/>
        <w:rPr>
          <w:rFonts w:ascii="Palatino Linotype" w:eastAsia="Calibri" w:hAnsi="Palatino Linotype" w:cs="Tahoma"/>
          <w:b/>
          <w:bCs/>
          <w:sz w:val="22"/>
          <w:szCs w:val="22"/>
          <w:lang w:eastAsia="en-US"/>
        </w:rPr>
      </w:pPr>
    </w:p>
    <w:p w14:paraId="7F2B07E2" w14:textId="77777777" w:rsidR="00230502" w:rsidRDefault="00230502" w:rsidP="00230502">
      <w:pPr>
        <w:spacing w:line="360" w:lineRule="auto"/>
        <w:ind w:right="-93"/>
        <w:contextualSpacing/>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Este dato corresponde a la denominación que identifica a un negocio ante la ciudadanía, para diferenciarlo de sus competidores; por lo que, se utiliza para fines meramente comerciales y que comúnmente corresponde a una designación especial que representa a la actividad económica.</w:t>
      </w:r>
    </w:p>
    <w:p w14:paraId="30DA640F" w14:textId="77777777" w:rsidR="00230502" w:rsidRDefault="00230502" w:rsidP="00230502">
      <w:pPr>
        <w:spacing w:line="360" w:lineRule="auto"/>
        <w:ind w:right="-93"/>
        <w:contextualSpacing/>
        <w:jc w:val="both"/>
        <w:rPr>
          <w:rFonts w:ascii="Palatino Linotype" w:eastAsia="Calibri" w:hAnsi="Palatino Linotype" w:cs="Tahoma"/>
          <w:sz w:val="22"/>
          <w:szCs w:val="22"/>
          <w:lang w:eastAsia="en-US"/>
        </w:rPr>
      </w:pPr>
    </w:p>
    <w:p w14:paraId="453D7023" w14:textId="77777777" w:rsidR="00230502" w:rsidRPr="0059139D" w:rsidRDefault="00230502" w:rsidP="00230502">
      <w:pPr>
        <w:spacing w:line="360" w:lineRule="auto"/>
        <w:ind w:right="-93"/>
        <w:contextualSpacing/>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 xml:space="preserve">De tal suerte, que la función principal del dato en análisis es ser un distintivo por el cual el público reconoce al establecimiento, por lo que generalmente su establecimiento varía entre el tipo de negocio y datos descriptivos, creativos o tradicionales que permite a la gente identificar dicho nombre, con un negocio en específico; por lo que, este de ninguna manera se trata de información confidencial, pues no se trata de datos personales, por lo que, no se actualiza la causal de clasificación establecida en el artículo 143, fracción I, de la Ley de </w:t>
      </w:r>
      <w:r>
        <w:rPr>
          <w:rFonts w:ascii="Palatino Linotype" w:eastAsia="Calibri" w:hAnsi="Palatino Linotype" w:cs="Tahoma"/>
          <w:sz w:val="22"/>
          <w:szCs w:val="22"/>
          <w:lang w:eastAsia="en-US"/>
        </w:rPr>
        <w:lastRenderedPageBreak/>
        <w:t>Transparencia y Acceso a la Información Pública del Estado de México y Municipios; además, que el dato corre la misma suerte que el nombre del titular de la licencia, es decir, guarda la naturaleza de público.</w:t>
      </w:r>
    </w:p>
    <w:p w14:paraId="6103BCA3" w14:textId="77777777" w:rsidR="00230502" w:rsidRDefault="00230502" w:rsidP="00230502">
      <w:pPr>
        <w:spacing w:line="360" w:lineRule="auto"/>
        <w:ind w:right="-93"/>
        <w:contextualSpacing/>
        <w:jc w:val="both"/>
        <w:rPr>
          <w:rFonts w:ascii="Palatino Linotype" w:eastAsia="Calibri" w:hAnsi="Palatino Linotype" w:cs="Tahoma"/>
          <w:b/>
          <w:bCs/>
          <w:sz w:val="22"/>
          <w:szCs w:val="22"/>
          <w:lang w:eastAsia="en-US"/>
        </w:rPr>
      </w:pPr>
    </w:p>
    <w:p w14:paraId="6768B5D2" w14:textId="77777777" w:rsidR="00230502" w:rsidRPr="0059139D" w:rsidRDefault="00230502" w:rsidP="00230502">
      <w:pPr>
        <w:numPr>
          <w:ilvl w:val="0"/>
          <w:numId w:val="15"/>
        </w:numPr>
        <w:spacing w:line="360" w:lineRule="auto"/>
        <w:ind w:right="-93"/>
        <w:contextualSpacing/>
        <w:jc w:val="both"/>
        <w:rPr>
          <w:rFonts w:ascii="Palatino Linotype" w:eastAsia="Calibri" w:hAnsi="Palatino Linotype" w:cs="Tahoma"/>
          <w:b/>
          <w:bCs/>
          <w:sz w:val="22"/>
          <w:szCs w:val="22"/>
          <w:lang w:eastAsia="en-US"/>
        </w:rPr>
      </w:pPr>
      <w:r w:rsidRPr="0059139D">
        <w:rPr>
          <w:rFonts w:ascii="Palatino Linotype" w:eastAsia="Calibri" w:hAnsi="Palatino Linotype" w:cs="Tahoma"/>
          <w:b/>
          <w:bCs/>
          <w:sz w:val="22"/>
          <w:szCs w:val="22"/>
          <w:lang w:eastAsia="en-US"/>
        </w:rPr>
        <w:t>Registro Federal de Contribuyentes (RFC)</w:t>
      </w:r>
    </w:p>
    <w:p w14:paraId="371415C0" w14:textId="77777777" w:rsidR="00230502" w:rsidRPr="0059139D" w:rsidRDefault="00230502" w:rsidP="00230502">
      <w:pPr>
        <w:spacing w:line="360" w:lineRule="auto"/>
        <w:ind w:right="-93"/>
        <w:jc w:val="both"/>
        <w:rPr>
          <w:rFonts w:ascii="Palatino Linotype" w:eastAsia="Calibri" w:hAnsi="Palatino Linotype" w:cs="Tahoma"/>
          <w:bCs/>
          <w:sz w:val="22"/>
          <w:szCs w:val="22"/>
          <w:lang w:eastAsia="en-US"/>
        </w:rPr>
      </w:pPr>
    </w:p>
    <w:p w14:paraId="18934623" w14:textId="77777777" w:rsidR="00230502" w:rsidRPr="0059139D" w:rsidRDefault="00230502" w:rsidP="00230502">
      <w:pPr>
        <w:spacing w:line="360" w:lineRule="auto"/>
        <w:ind w:right="-93"/>
        <w:jc w:val="both"/>
        <w:rPr>
          <w:rFonts w:ascii="Palatino Linotype" w:eastAsia="Calibri" w:hAnsi="Palatino Linotype" w:cs="Tahoma"/>
          <w:b/>
          <w:bCs/>
          <w:sz w:val="22"/>
          <w:szCs w:val="22"/>
          <w:lang w:eastAsia="en-US"/>
        </w:rPr>
      </w:pPr>
      <w:r w:rsidRPr="0059139D">
        <w:rPr>
          <w:rFonts w:ascii="Palatino Linotype" w:eastAsia="Calibri" w:hAnsi="Palatino Linotype" w:cs="Tahoma"/>
          <w:b/>
          <w:bCs/>
          <w:sz w:val="22"/>
          <w:szCs w:val="22"/>
          <w:lang w:eastAsia="en-US"/>
        </w:rPr>
        <w:t>Persona física.</w:t>
      </w:r>
    </w:p>
    <w:p w14:paraId="64F668F5" w14:textId="77777777" w:rsidR="00230502" w:rsidRPr="0059139D" w:rsidRDefault="00230502" w:rsidP="00230502">
      <w:pPr>
        <w:spacing w:line="360" w:lineRule="auto"/>
        <w:ind w:right="-93"/>
        <w:jc w:val="both"/>
        <w:rPr>
          <w:rFonts w:ascii="Palatino Linotype" w:eastAsia="Calibri" w:hAnsi="Palatino Linotype" w:cs="Tahoma"/>
          <w:bCs/>
          <w:sz w:val="22"/>
          <w:szCs w:val="22"/>
          <w:lang w:eastAsia="en-US"/>
        </w:rPr>
      </w:pPr>
    </w:p>
    <w:p w14:paraId="5C255A57" w14:textId="77777777" w:rsidR="00230502" w:rsidRPr="0059139D" w:rsidRDefault="00230502" w:rsidP="00230502">
      <w:pPr>
        <w:spacing w:line="360" w:lineRule="auto"/>
        <w:contextualSpacing/>
        <w:jc w:val="both"/>
        <w:rPr>
          <w:rFonts w:ascii="Palatino Linotype" w:hAnsi="Palatino Linotype" w:cs="Tahoma"/>
          <w:sz w:val="22"/>
          <w:szCs w:val="22"/>
        </w:rPr>
      </w:pPr>
      <w:r w:rsidRPr="0059139D">
        <w:rPr>
          <w:rFonts w:ascii="Palatino Linotype" w:hAnsi="Palatino Linotype" w:cs="Tahoma"/>
          <w:sz w:val="22"/>
          <w:szCs w:val="22"/>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2007A58E" w14:textId="77777777" w:rsidR="00230502" w:rsidRPr="0059139D" w:rsidRDefault="00230502" w:rsidP="00230502">
      <w:pPr>
        <w:spacing w:line="360" w:lineRule="auto"/>
        <w:contextualSpacing/>
        <w:jc w:val="both"/>
        <w:rPr>
          <w:rFonts w:ascii="Palatino Linotype" w:hAnsi="Palatino Linotype" w:cs="Tahoma"/>
          <w:sz w:val="22"/>
          <w:szCs w:val="22"/>
        </w:rPr>
      </w:pPr>
    </w:p>
    <w:p w14:paraId="60670C47" w14:textId="77777777" w:rsidR="00230502" w:rsidRPr="0059139D" w:rsidRDefault="00230502" w:rsidP="00230502">
      <w:pPr>
        <w:widowControl w:val="0"/>
        <w:spacing w:line="360" w:lineRule="auto"/>
        <w:contextualSpacing/>
        <w:jc w:val="both"/>
        <w:rPr>
          <w:rFonts w:ascii="Palatino Linotype" w:hAnsi="Palatino Linotype" w:cs="Tahoma"/>
          <w:sz w:val="22"/>
          <w:szCs w:val="22"/>
        </w:rPr>
      </w:pPr>
      <w:r w:rsidRPr="0059139D">
        <w:rPr>
          <w:rFonts w:ascii="Palatino Linotype" w:hAnsi="Palatino Linotype" w:cs="Tahoma"/>
          <w:sz w:val="22"/>
          <w:szCs w:val="22"/>
        </w:rPr>
        <w:t xml:space="preserve">De acuerdo a lo establecido en el artículo en comento, esta clave se compone de trece caracteres alfanuméricos, con datos obtenidos de los apellidos, nombre(s), fecha de nacimiento del titular, más una </w:t>
      </w:r>
      <w:proofErr w:type="spellStart"/>
      <w:r w:rsidRPr="0059139D">
        <w:rPr>
          <w:rFonts w:ascii="Palatino Linotype" w:hAnsi="Palatino Linotype" w:cs="Tahoma"/>
          <w:sz w:val="22"/>
          <w:szCs w:val="22"/>
        </w:rPr>
        <w:t>homoclave</w:t>
      </w:r>
      <w:proofErr w:type="spellEnd"/>
      <w:r w:rsidRPr="0059139D">
        <w:rPr>
          <w:rFonts w:ascii="Palatino Linotype" w:hAnsi="Palatino Linotype" w:cs="Tahoma"/>
          <w:sz w:val="22"/>
          <w:szCs w:val="22"/>
        </w:rPr>
        <w:t xml:space="preserve"> que establece el sistema automático del Servicio de Administración Tributaria.</w:t>
      </w:r>
    </w:p>
    <w:p w14:paraId="6C4EFBDF" w14:textId="77777777" w:rsidR="00230502" w:rsidRPr="0059139D" w:rsidRDefault="00230502" w:rsidP="00230502">
      <w:pPr>
        <w:spacing w:line="360" w:lineRule="auto"/>
        <w:contextualSpacing/>
        <w:jc w:val="both"/>
        <w:rPr>
          <w:rFonts w:ascii="Palatino Linotype" w:hAnsi="Palatino Linotype" w:cs="Tahoma"/>
          <w:sz w:val="22"/>
          <w:szCs w:val="22"/>
        </w:rPr>
      </w:pPr>
    </w:p>
    <w:p w14:paraId="2D21926C" w14:textId="77777777" w:rsidR="00230502" w:rsidRPr="0059139D" w:rsidRDefault="00230502" w:rsidP="00230502">
      <w:pPr>
        <w:spacing w:line="360" w:lineRule="auto"/>
        <w:contextualSpacing/>
        <w:jc w:val="both"/>
        <w:rPr>
          <w:rFonts w:ascii="Palatino Linotype" w:hAnsi="Palatino Linotype" w:cs="Tahoma"/>
          <w:sz w:val="22"/>
          <w:szCs w:val="22"/>
        </w:rPr>
      </w:pPr>
      <w:r w:rsidRPr="0059139D">
        <w:rPr>
          <w:rFonts w:ascii="Palatino Linotype" w:hAnsi="Palatino Linotype" w:cs="Tahoma"/>
          <w:sz w:val="22"/>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7BFB0F2C" w14:textId="77777777" w:rsidR="00230502" w:rsidRPr="0059139D" w:rsidRDefault="00230502" w:rsidP="00230502">
      <w:pPr>
        <w:spacing w:line="360" w:lineRule="auto"/>
        <w:contextualSpacing/>
        <w:jc w:val="both"/>
        <w:rPr>
          <w:rFonts w:ascii="Palatino Linotype" w:hAnsi="Palatino Linotype" w:cs="Tahoma"/>
          <w:sz w:val="22"/>
          <w:szCs w:val="22"/>
        </w:rPr>
      </w:pPr>
    </w:p>
    <w:p w14:paraId="6982184C" w14:textId="77777777" w:rsidR="00230502" w:rsidRPr="0059139D" w:rsidRDefault="00230502" w:rsidP="00230502">
      <w:pPr>
        <w:spacing w:line="360" w:lineRule="auto"/>
        <w:contextualSpacing/>
        <w:jc w:val="both"/>
        <w:rPr>
          <w:rFonts w:ascii="Palatino Linotype" w:hAnsi="Palatino Linotype" w:cs="Tahoma"/>
          <w:sz w:val="22"/>
          <w:szCs w:val="22"/>
        </w:rPr>
      </w:pPr>
      <w:r w:rsidRPr="0059139D">
        <w:rPr>
          <w:rFonts w:ascii="Palatino Linotype" w:hAnsi="Palatino Linotype" w:cs="Tahoma"/>
          <w:sz w:val="22"/>
          <w:szCs w:val="22"/>
        </w:rPr>
        <w:lastRenderedPageBreak/>
        <w:t xml:space="preserve">Conforme a lo expuesto,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3EEB0BA1" w14:textId="77777777" w:rsidR="00230502" w:rsidRPr="0059139D" w:rsidRDefault="00230502" w:rsidP="00230502">
      <w:pPr>
        <w:spacing w:line="360" w:lineRule="auto"/>
        <w:contextualSpacing/>
        <w:jc w:val="both"/>
        <w:rPr>
          <w:rFonts w:ascii="Palatino Linotype" w:hAnsi="Palatino Linotype" w:cs="Tahoma"/>
          <w:sz w:val="22"/>
          <w:szCs w:val="22"/>
        </w:rPr>
      </w:pPr>
    </w:p>
    <w:p w14:paraId="5A29E82B" w14:textId="77777777" w:rsidR="00230502" w:rsidRPr="0059139D" w:rsidRDefault="00230502" w:rsidP="00230502">
      <w:pPr>
        <w:widowControl w:val="0"/>
        <w:spacing w:line="360" w:lineRule="auto"/>
        <w:jc w:val="both"/>
        <w:rPr>
          <w:rFonts w:ascii="Palatino Linotype" w:eastAsia="Calibri" w:hAnsi="Palatino Linotype" w:cs="Tahoma"/>
          <w:bCs/>
          <w:sz w:val="22"/>
          <w:szCs w:val="22"/>
        </w:rPr>
      </w:pPr>
      <w:r w:rsidRPr="0059139D">
        <w:rPr>
          <w:rFonts w:ascii="Palatino Linotype" w:eastAsia="Calibri" w:hAnsi="Palatino Linotype" w:cs="Tahoma"/>
          <w:bCs/>
          <w:sz w:val="22"/>
          <w:szCs w:val="22"/>
        </w:rPr>
        <w:t>Lo anterior, resulta congruente con el Criterio Orientador, con clave de control SO/019/2017 emitido por el entonces Instituto Nacional de Transparencia, Acceso a la Información y Protección de Datos Personales, en el cual se señala lo siguiente:</w:t>
      </w:r>
    </w:p>
    <w:p w14:paraId="14BC9ACE" w14:textId="77777777" w:rsidR="00230502" w:rsidRPr="0059139D" w:rsidRDefault="00230502" w:rsidP="00230502">
      <w:pPr>
        <w:spacing w:line="360" w:lineRule="auto"/>
        <w:contextualSpacing/>
        <w:jc w:val="both"/>
        <w:rPr>
          <w:rFonts w:ascii="Palatino Linotype" w:hAnsi="Palatino Linotype" w:cs="Tahoma"/>
        </w:rPr>
      </w:pPr>
    </w:p>
    <w:p w14:paraId="228B9ADE" w14:textId="77777777" w:rsidR="00230502" w:rsidRPr="0059139D" w:rsidRDefault="00230502" w:rsidP="00230502">
      <w:pPr>
        <w:spacing w:line="360" w:lineRule="auto"/>
        <w:ind w:left="567" w:right="567"/>
        <w:contextualSpacing/>
        <w:jc w:val="both"/>
        <w:rPr>
          <w:rFonts w:ascii="Palatino Linotype" w:hAnsi="Palatino Linotype" w:cs="Tahoma"/>
          <w:i/>
        </w:rPr>
      </w:pPr>
      <w:r w:rsidRPr="0059139D">
        <w:rPr>
          <w:rFonts w:ascii="Palatino Linotype" w:hAnsi="Palatino Linotype" w:cs="Tahoma"/>
          <w:b/>
          <w:i/>
        </w:rPr>
        <w:t>“Registro Federal de Contribuyentes (RFC) de personas físicas.</w:t>
      </w:r>
      <w:r w:rsidRPr="0059139D">
        <w:rPr>
          <w:rFonts w:ascii="Palatino Linotype" w:hAnsi="Palatino Linotype" w:cs="Tahoma"/>
          <w:i/>
        </w:rPr>
        <w:t xml:space="preserve"> El RFC es una clave de carácter fiscal, única e irrepetible, que permite identificar al titular, su edad y fecha de nacimiento, por lo que es un dato personal de carácter confidencial.”</w:t>
      </w:r>
    </w:p>
    <w:p w14:paraId="60C0FBCE" w14:textId="77777777" w:rsidR="00230502" w:rsidRPr="0059139D" w:rsidRDefault="00230502" w:rsidP="00230502">
      <w:pPr>
        <w:spacing w:line="360" w:lineRule="auto"/>
        <w:ind w:left="567"/>
        <w:contextualSpacing/>
        <w:jc w:val="both"/>
        <w:rPr>
          <w:rFonts w:ascii="Palatino Linotype" w:hAnsi="Palatino Linotype" w:cs="Tahoma"/>
          <w:sz w:val="22"/>
          <w:szCs w:val="22"/>
        </w:rPr>
      </w:pPr>
    </w:p>
    <w:p w14:paraId="668900C6" w14:textId="77777777" w:rsidR="00230502" w:rsidRPr="0059139D" w:rsidRDefault="00230502" w:rsidP="00230502">
      <w:pPr>
        <w:widowControl w:val="0"/>
        <w:spacing w:line="360" w:lineRule="auto"/>
        <w:contextualSpacing/>
        <w:jc w:val="both"/>
        <w:rPr>
          <w:rFonts w:ascii="Palatino Linotype" w:eastAsia="Calibri" w:hAnsi="Palatino Linotype" w:cs="Tahoma"/>
          <w:bCs/>
          <w:sz w:val="22"/>
          <w:szCs w:val="22"/>
          <w:lang w:eastAsia="en-US"/>
        </w:rPr>
      </w:pPr>
      <w:r w:rsidRPr="0059139D">
        <w:rPr>
          <w:rFonts w:ascii="Palatino Linotype" w:hAnsi="Palatino Linotype" w:cs="Tahoma"/>
          <w:sz w:val="22"/>
          <w:szCs w:val="22"/>
        </w:rPr>
        <w:t>De tal suerte, el Registro Federal de Contribuyentes de los titulares de licencias de funcionamiento no guarda relación con la transparencia de los recursos públicos, por lo que constituye un dato personal confidencial al actualizar el supuesto normativo del artículo 143, fracción I, de la Ley de Transparencia y Acceso a la Información Pública del Estado de México y Municipios.</w:t>
      </w:r>
    </w:p>
    <w:p w14:paraId="30EF9E32" w14:textId="77777777" w:rsidR="00230502" w:rsidRPr="0059139D" w:rsidRDefault="00230502" w:rsidP="00230502">
      <w:pPr>
        <w:spacing w:line="360" w:lineRule="auto"/>
        <w:ind w:right="-93"/>
        <w:jc w:val="both"/>
        <w:rPr>
          <w:rFonts w:ascii="Palatino Linotype" w:eastAsia="Calibri" w:hAnsi="Palatino Linotype" w:cs="Tahoma"/>
          <w:bCs/>
          <w:sz w:val="22"/>
          <w:szCs w:val="22"/>
          <w:lang w:val="es-ES" w:eastAsia="en-US"/>
        </w:rPr>
      </w:pPr>
    </w:p>
    <w:p w14:paraId="7394BE13" w14:textId="77777777" w:rsidR="00230502" w:rsidRPr="0059139D" w:rsidRDefault="00230502" w:rsidP="00230502">
      <w:pPr>
        <w:spacing w:line="360" w:lineRule="auto"/>
        <w:ind w:right="-93"/>
        <w:jc w:val="both"/>
        <w:rPr>
          <w:rFonts w:ascii="Palatino Linotype" w:eastAsia="Calibri" w:hAnsi="Palatino Linotype" w:cs="Tahoma"/>
          <w:b/>
          <w:sz w:val="22"/>
          <w:szCs w:val="22"/>
          <w:lang w:val="es-ES" w:eastAsia="en-US"/>
        </w:rPr>
      </w:pPr>
      <w:r w:rsidRPr="0059139D">
        <w:rPr>
          <w:rFonts w:ascii="Palatino Linotype" w:eastAsia="Calibri" w:hAnsi="Palatino Linotype" w:cs="Tahoma"/>
          <w:b/>
          <w:sz w:val="22"/>
          <w:szCs w:val="22"/>
          <w:lang w:val="es-ES" w:eastAsia="en-US"/>
        </w:rPr>
        <w:t>Persona Moral</w:t>
      </w:r>
    </w:p>
    <w:p w14:paraId="76A7E9B1" w14:textId="77777777" w:rsidR="00230502" w:rsidRPr="0059139D" w:rsidRDefault="00230502" w:rsidP="00230502">
      <w:pPr>
        <w:spacing w:line="360" w:lineRule="auto"/>
        <w:ind w:right="-93"/>
        <w:jc w:val="both"/>
        <w:rPr>
          <w:rFonts w:ascii="Palatino Linotype" w:eastAsia="Calibri" w:hAnsi="Palatino Linotype" w:cs="Tahoma"/>
          <w:bCs/>
          <w:sz w:val="22"/>
          <w:szCs w:val="22"/>
          <w:lang w:val="es-ES" w:eastAsia="en-US"/>
        </w:rPr>
      </w:pPr>
    </w:p>
    <w:p w14:paraId="22BD15C7" w14:textId="77777777" w:rsidR="00230502" w:rsidRPr="0059139D" w:rsidRDefault="00230502" w:rsidP="00230502">
      <w:pPr>
        <w:spacing w:line="360" w:lineRule="auto"/>
        <w:ind w:right="-93"/>
        <w:jc w:val="both"/>
        <w:rPr>
          <w:rFonts w:ascii="Palatino Linotype" w:eastAsia="Calibri" w:hAnsi="Palatino Linotype" w:cs="Tahoma"/>
          <w:bCs/>
          <w:sz w:val="22"/>
          <w:szCs w:val="22"/>
          <w:lang w:val="es-ES_tradnl" w:eastAsia="en-US"/>
        </w:rPr>
      </w:pPr>
      <w:r w:rsidRPr="0059139D">
        <w:rPr>
          <w:rFonts w:ascii="Palatino Linotype" w:eastAsia="Calibri" w:hAnsi="Palatino Linotype" w:cs="Tahoma"/>
          <w:bCs/>
          <w:sz w:val="22"/>
          <w:szCs w:val="22"/>
          <w:lang w:val="es-ES" w:eastAsia="en-US"/>
        </w:rPr>
        <w:t xml:space="preserve">Al respecto, el Registro Federal de Contribuyentes, inicia con un preinscripción por Internet y se concluye en cualquier Administración Desconcentrada de Servicios al Contribuyente, en donde aquellas personas que realicen el trámite tendrán que entregar ciertos documentos, </w:t>
      </w:r>
      <w:r w:rsidRPr="0059139D">
        <w:rPr>
          <w:rFonts w:ascii="Palatino Linotype" w:eastAsia="Calibri" w:hAnsi="Palatino Linotype" w:cs="Tahoma"/>
          <w:bCs/>
          <w:sz w:val="22"/>
          <w:szCs w:val="22"/>
          <w:lang w:val="es-ES" w:eastAsia="en-US"/>
        </w:rPr>
        <w:lastRenderedPageBreak/>
        <w:t>que para las personas jurídico colectivas, serán, entre otros, la copia</w:t>
      </w:r>
      <w:r w:rsidRPr="0059139D">
        <w:rPr>
          <w:rFonts w:ascii="Palatino Linotype" w:eastAsia="Calibri" w:hAnsi="Palatino Linotype" w:cs="Tahoma"/>
          <w:bCs/>
          <w:sz w:val="22"/>
          <w:szCs w:val="22"/>
          <w:lang w:val="es-ES_tradnl" w:eastAsia="en-US"/>
        </w:rPr>
        <w:t xml:space="preserve"> certificada del documento constitutivo debidamente protocolizado, comprobante de domicilio, identificación personal, número de folio asignado que se le proporcionó al realizar el envío de su preinscripción y copia certificada del poder notarial con el que se acredite la personalidad del representante legal, o carta poder firmada ante dos testigos y ratificadas las firmas ante las autoridades fiscales o ante notario o fedatario público. </w:t>
      </w:r>
    </w:p>
    <w:p w14:paraId="4AF92B1D" w14:textId="77777777" w:rsidR="00230502" w:rsidRPr="0059139D" w:rsidRDefault="00230502" w:rsidP="00230502">
      <w:pPr>
        <w:spacing w:line="360" w:lineRule="auto"/>
        <w:ind w:right="-93"/>
        <w:jc w:val="both"/>
        <w:rPr>
          <w:rFonts w:ascii="Palatino Linotype" w:eastAsia="Calibri" w:hAnsi="Palatino Linotype" w:cs="Tahoma"/>
          <w:bCs/>
          <w:sz w:val="22"/>
          <w:szCs w:val="22"/>
          <w:lang w:val="es-ES_tradnl" w:eastAsia="en-US"/>
        </w:rPr>
      </w:pPr>
    </w:p>
    <w:p w14:paraId="53F7DDBD" w14:textId="77777777" w:rsidR="00230502" w:rsidRPr="0059139D" w:rsidRDefault="00230502" w:rsidP="00230502">
      <w:pPr>
        <w:spacing w:line="360" w:lineRule="auto"/>
        <w:ind w:right="-93"/>
        <w:jc w:val="both"/>
        <w:rPr>
          <w:rFonts w:ascii="Palatino Linotype" w:eastAsia="Calibri" w:hAnsi="Palatino Linotype" w:cs="Tahoma"/>
          <w:b/>
          <w:bCs/>
          <w:sz w:val="22"/>
          <w:szCs w:val="22"/>
          <w:lang w:val="es-ES_tradnl" w:eastAsia="en-US"/>
        </w:rPr>
      </w:pPr>
      <w:r w:rsidRPr="0059139D">
        <w:rPr>
          <w:rFonts w:ascii="Palatino Linotype" w:eastAsia="Calibri" w:hAnsi="Palatino Linotype" w:cs="Tahoma"/>
          <w:bCs/>
          <w:sz w:val="22"/>
          <w:szCs w:val="22"/>
          <w:lang w:val="es-ES_tradnl" w:eastAsia="en-US"/>
        </w:rPr>
        <w:t xml:space="preserve">Derivado del trámite se obtiene, entre otros, la </w:t>
      </w:r>
      <w:r w:rsidRPr="0059139D">
        <w:rPr>
          <w:rFonts w:ascii="Palatino Linotype" w:eastAsia="Calibri" w:hAnsi="Palatino Linotype" w:cs="Tahoma"/>
          <w:b/>
          <w:bCs/>
          <w:sz w:val="22"/>
          <w:szCs w:val="22"/>
          <w:lang w:val="es-ES_tradnl" w:eastAsia="en-US"/>
        </w:rPr>
        <w:t>cédula de identificación fiscal o constancia de registro.</w:t>
      </w:r>
    </w:p>
    <w:p w14:paraId="67026C35" w14:textId="77777777" w:rsidR="00230502" w:rsidRPr="0059139D" w:rsidRDefault="00230502" w:rsidP="00230502">
      <w:pPr>
        <w:spacing w:line="360" w:lineRule="auto"/>
        <w:ind w:right="-93"/>
        <w:jc w:val="both"/>
        <w:rPr>
          <w:rFonts w:ascii="Palatino Linotype" w:eastAsia="Calibri" w:hAnsi="Palatino Linotype" w:cs="Tahoma"/>
          <w:bCs/>
          <w:sz w:val="22"/>
          <w:szCs w:val="22"/>
          <w:lang w:val="es-ES" w:eastAsia="en-US"/>
        </w:rPr>
      </w:pPr>
    </w:p>
    <w:p w14:paraId="62FE1135" w14:textId="77777777" w:rsidR="00230502" w:rsidRPr="0059139D" w:rsidRDefault="00230502" w:rsidP="00230502">
      <w:pPr>
        <w:widowControl w:val="0"/>
        <w:spacing w:line="360" w:lineRule="auto"/>
        <w:ind w:right="-91"/>
        <w:jc w:val="both"/>
        <w:rPr>
          <w:rFonts w:ascii="Palatino Linotype" w:eastAsia="Calibri" w:hAnsi="Palatino Linotype" w:cs="Tahoma"/>
          <w:bCs/>
          <w:sz w:val="22"/>
          <w:szCs w:val="22"/>
          <w:lang w:val="es-ES" w:eastAsia="en-US"/>
        </w:rPr>
      </w:pPr>
      <w:r w:rsidRPr="0059139D">
        <w:rPr>
          <w:rFonts w:ascii="Palatino Linotype" w:eastAsia="Calibri" w:hAnsi="Palatino Linotype" w:cs="Tahoma"/>
          <w:bCs/>
          <w:sz w:val="22"/>
          <w:szCs w:val="22"/>
          <w:lang w:val="es-ES" w:eastAsia="en-US"/>
        </w:rPr>
        <w:t>Por ende, la información correspondiente al Registro Federal de Contribuyentes de una persona moral da cuenta del cumplimiento o no en sus obligaciones fiscales; por tanto, no se actualiza su clasificación como confidencial.</w:t>
      </w:r>
    </w:p>
    <w:p w14:paraId="47E703EE" w14:textId="77777777" w:rsidR="00230502" w:rsidRPr="0059139D" w:rsidRDefault="00230502" w:rsidP="00230502">
      <w:pPr>
        <w:spacing w:line="360" w:lineRule="auto"/>
        <w:jc w:val="both"/>
        <w:rPr>
          <w:rFonts w:ascii="Palatino Linotype" w:eastAsia="Calibri" w:hAnsi="Palatino Linotype" w:cs="Tahoma"/>
          <w:b/>
          <w:bCs/>
          <w:sz w:val="22"/>
          <w:szCs w:val="22"/>
          <w:lang w:val="es-ES_tradnl" w:eastAsia="en-US"/>
        </w:rPr>
      </w:pPr>
    </w:p>
    <w:p w14:paraId="048EADF6" w14:textId="77777777" w:rsidR="00230502" w:rsidRPr="0059139D" w:rsidRDefault="00230502" w:rsidP="00230502">
      <w:pPr>
        <w:spacing w:line="360" w:lineRule="auto"/>
        <w:ind w:right="-93"/>
        <w:jc w:val="both"/>
        <w:rPr>
          <w:rFonts w:ascii="Palatino Linotype" w:eastAsia="Calibri" w:hAnsi="Palatino Linotype" w:cs="Tahoma"/>
          <w:bCs/>
          <w:sz w:val="22"/>
          <w:szCs w:val="22"/>
          <w:lang w:val="es-ES" w:eastAsia="en-US"/>
        </w:rPr>
      </w:pPr>
      <w:r w:rsidRPr="0059139D">
        <w:rPr>
          <w:rFonts w:ascii="Palatino Linotype" w:eastAsia="Calibri" w:hAnsi="Palatino Linotype" w:cs="Tahoma"/>
          <w:bCs/>
          <w:sz w:val="22"/>
          <w:szCs w:val="22"/>
          <w:lang w:val="es-ES" w:eastAsia="en-US"/>
        </w:rPr>
        <w:t xml:space="preserve">Además, resulta aplicable el </w:t>
      </w:r>
      <w:r w:rsidRPr="0059139D">
        <w:rPr>
          <w:rFonts w:ascii="Palatino Linotype" w:eastAsia="Calibri" w:hAnsi="Palatino Linotype" w:cs="Tahoma"/>
          <w:bCs/>
          <w:sz w:val="22"/>
          <w:szCs w:val="22"/>
          <w:lang w:eastAsia="en-US"/>
        </w:rPr>
        <w:t>Criterio de interpretación, con clave de control SO/008/2019, de la Segunda Época</w:t>
      </w:r>
      <w:r w:rsidRPr="0059139D">
        <w:rPr>
          <w:rFonts w:ascii="Palatino Linotype" w:eastAsia="Calibri" w:hAnsi="Palatino Linotype" w:cs="Tahoma"/>
          <w:bCs/>
          <w:sz w:val="22"/>
          <w:szCs w:val="22"/>
          <w:lang w:val="es-ES" w:eastAsia="en-US"/>
        </w:rPr>
        <w:t>, emitido por el Instituto Nacional de Transparencia, Acceso a la Información y Protección de Datos Personales, que precisa que el Registro Federal de Contribuyentes de personas morales, es público, al no referir a hechos o actos de carácter económico, contable, jurídico o administrativo que sean útiles o representen una ventaja a sus competidores.</w:t>
      </w:r>
    </w:p>
    <w:p w14:paraId="70B46A71" w14:textId="77777777" w:rsidR="00230502" w:rsidRPr="0059139D" w:rsidRDefault="00230502" w:rsidP="00230502">
      <w:pPr>
        <w:spacing w:line="360" w:lineRule="auto"/>
        <w:ind w:right="-93"/>
        <w:jc w:val="both"/>
        <w:rPr>
          <w:rFonts w:ascii="Palatino Linotype" w:eastAsia="Calibri" w:hAnsi="Palatino Linotype" w:cs="Tahoma"/>
          <w:bCs/>
          <w:sz w:val="22"/>
          <w:szCs w:val="22"/>
          <w:lang w:val="es-ES" w:eastAsia="en-US"/>
        </w:rPr>
      </w:pPr>
    </w:p>
    <w:p w14:paraId="5464541B" w14:textId="77777777" w:rsidR="00230502" w:rsidRPr="0059139D" w:rsidRDefault="00230502" w:rsidP="00230502">
      <w:pPr>
        <w:spacing w:line="360" w:lineRule="auto"/>
        <w:ind w:right="-93"/>
        <w:jc w:val="both"/>
        <w:rPr>
          <w:rFonts w:ascii="Palatino Linotype" w:eastAsia="Calibri" w:hAnsi="Palatino Linotype" w:cs="Tahoma"/>
          <w:bCs/>
          <w:sz w:val="22"/>
          <w:szCs w:val="22"/>
          <w:lang w:val="es-ES_tradnl" w:eastAsia="en-US"/>
        </w:rPr>
      </w:pPr>
      <w:r w:rsidRPr="0059139D">
        <w:rPr>
          <w:rFonts w:ascii="Palatino Linotype" w:eastAsia="Calibri" w:hAnsi="Palatino Linotype" w:cs="Tahoma"/>
          <w:bCs/>
          <w:sz w:val="22"/>
          <w:szCs w:val="22"/>
          <w:lang w:val="es-ES" w:eastAsia="en-US"/>
        </w:rPr>
        <w:t>De tales circunstancias, el Registro Federal de Contribuyentes de personas</w:t>
      </w:r>
      <w:r w:rsidRPr="0059139D">
        <w:rPr>
          <w:rFonts w:ascii="Palatino Linotype" w:eastAsia="Calibri" w:hAnsi="Palatino Linotype" w:cs="Tahoma"/>
          <w:bCs/>
          <w:sz w:val="22"/>
          <w:szCs w:val="22"/>
          <w:lang w:val="es-ES_tradnl" w:eastAsia="en-US"/>
        </w:rPr>
        <w:t xml:space="preserve"> morales, no actualizan la causal de clasificación, prevista en el artículo 143, fracción I de la Ley de Transparencia y Acceso a la Información Pública del Estado de México y Municipios, al ser de naturaleza pública.</w:t>
      </w:r>
    </w:p>
    <w:p w14:paraId="27FB6EBF" w14:textId="77777777" w:rsidR="00230502" w:rsidRPr="0059139D" w:rsidRDefault="00230502" w:rsidP="00230502">
      <w:pPr>
        <w:spacing w:line="360" w:lineRule="auto"/>
        <w:contextualSpacing/>
        <w:jc w:val="both"/>
        <w:rPr>
          <w:rFonts w:ascii="Palatino Linotype" w:hAnsi="Palatino Linotype" w:cs="Tahoma"/>
          <w:lang w:val="es-ES_tradnl"/>
        </w:rPr>
      </w:pPr>
    </w:p>
    <w:p w14:paraId="73D44E2E" w14:textId="77777777" w:rsidR="00230502" w:rsidRPr="0004110B" w:rsidRDefault="00230502" w:rsidP="00230502">
      <w:pPr>
        <w:numPr>
          <w:ilvl w:val="0"/>
          <w:numId w:val="15"/>
        </w:numPr>
        <w:spacing w:line="360" w:lineRule="auto"/>
        <w:jc w:val="both"/>
        <w:rPr>
          <w:rFonts w:ascii="Palatino Linotype" w:hAnsi="Palatino Linotype" w:cs="Tahoma"/>
          <w:bCs/>
          <w:sz w:val="22"/>
          <w:szCs w:val="22"/>
        </w:rPr>
      </w:pPr>
      <w:r w:rsidRPr="0004110B">
        <w:rPr>
          <w:rFonts w:ascii="Palatino Linotype" w:hAnsi="Palatino Linotype" w:cs="Tahoma"/>
          <w:b/>
          <w:bCs/>
          <w:sz w:val="22"/>
          <w:szCs w:val="22"/>
        </w:rPr>
        <w:lastRenderedPageBreak/>
        <w:t>Firma del titular o representante legal.</w:t>
      </w:r>
    </w:p>
    <w:p w14:paraId="32C82EC7" w14:textId="77777777" w:rsidR="00230502" w:rsidRPr="0004110B" w:rsidRDefault="00230502" w:rsidP="00230502">
      <w:pPr>
        <w:spacing w:line="360" w:lineRule="auto"/>
        <w:jc w:val="both"/>
        <w:rPr>
          <w:rFonts w:ascii="Palatino Linotype" w:hAnsi="Palatino Linotype" w:cs="Tahoma"/>
          <w:sz w:val="22"/>
          <w:szCs w:val="22"/>
        </w:rPr>
      </w:pPr>
    </w:p>
    <w:p w14:paraId="44B749B5" w14:textId="77777777" w:rsidR="00230502" w:rsidRPr="0004110B" w:rsidRDefault="00230502" w:rsidP="00230502">
      <w:pPr>
        <w:spacing w:line="360" w:lineRule="auto"/>
        <w:jc w:val="both"/>
        <w:rPr>
          <w:rFonts w:ascii="Palatino Linotype" w:hAnsi="Palatino Linotype" w:cs="Tahoma"/>
          <w:bCs/>
          <w:sz w:val="22"/>
          <w:szCs w:val="22"/>
        </w:rPr>
      </w:pPr>
      <w:r w:rsidRPr="0004110B">
        <w:rPr>
          <w:rFonts w:ascii="Palatino Linotype" w:hAnsi="Palatino Linotype" w:cs="Tahoma"/>
          <w:sz w:val="22"/>
          <w:szCs w:val="22"/>
        </w:rPr>
        <w:t xml:space="preserve">Al respecto, es de señalar que la </w:t>
      </w:r>
      <w:r w:rsidRPr="0004110B">
        <w:rPr>
          <w:rFonts w:ascii="Palatino Linotype" w:hAnsi="Palatino Linotype" w:cs="Tahoma"/>
          <w:bCs/>
          <w:sz w:val="22"/>
          <w:szCs w:val="22"/>
        </w:rPr>
        <w:t xml:space="preserve">firma es considerada un dato personal, al tratarse de información gráfica a través de la cual su titular exterioriza su voluntad en actos públicos y privados; en el presente caso, dicho dato, es del representante legal o titular de la licencia o permiso de funcionamiento. </w:t>
      </w:r>
    </w:p>
    <w:p w14:paraId="46936E2F" w14:textId="77777777" w:rsidR="00230502" w:rsidRPr="0004110B" w:rsidRDefault="00230502" w:rsidP="00230502">
      <w:pPr>
        <w:spacing w:line="360" w:lineRule="auto"/>
        <w:jc w:val="both"/>
        <w:rPr>
          <w:rFonts w:ascii="Palatino Linotype" w:hAnsi="Palatino Linotype" w:cs="Tahoma"/>
          <w:bCs/>
          <w:sz w:val="22"/>
          <w:szCs w:val="22"/>
        </w:rPr>
      </w:pPr>
    </w:p>
    <w:p w14:paraId="20F6DB37" w14:textId="77777777" w:rsidR="00230502" w:rsidRPr="0004110B" w:rsidRDefault="00230502" w:rsidP="00230502">
      <w:pPr>
        <w:spacing w:line="360" w:lineRule="auto"/>
        <w:jc w:val="both"/>
        <w:rPr>
          <w:rFonts w:ascii="Palatino Linotype" w:hAnsi="Palatino Linotype" w:cs="Tahoma"/>
          <w:sz w:val="22"/>
          <w:szCs w:val="22"/>
        </w:rPr>
      </w:pPr>
      <w:r w:rsidRPr="0004110B">
        <w:rPr>
          <w:rFonts w:ascii="Palatino Linotype" w:hAnsi="Palatino Linotype" w:cs="Tahoma"/>
          <w:bCs/>
          <w:sz w:val="22"/>
          <w:szCs w:val="22"/>
        </w:rPr>
        <w:t xml:space="preserve">Además, en el presente caso, dicho dato es plasmado en las autorizaciones señaladas, dado que con este se acredita que fue entregado por el Municipio al titular o representante legal de la empresa que realzará una actividad económica, comercial o industrial; por lo que, </w:t>
      </w:r>
      <w:r w:rsidRPr="0004110B">
        <w:rPr>
          <w:rFonts w:ascii="Palatino Linotype" w:hAnsi="Palatino Linotype" w:cs="Tahoma"/>
          <w:sz w:val="22"/>
          <w:szCs w:val="22"/>
        </w:rPr>
        <w:t>guarda cierto interés público dar a conocer la firma, dado que cualquier actividad, es regulada por el Municipio de Toluca dentro de su circunscripción territorial, pues ayuda a transparentar la gestión pública.</w:t>
      </w:r>
    </w:p>
    <w:p w14:paraId="3944942A" w14:textId="77777777" w:rsidR="00230502" w:rsidRPr="0004110B" w:rsidRDefault="00230502" w:rsidP="00230502">
      <w:pPr>
        <w:spacing w:line="360" w:lineRule="auto"/>
        <w:jc w:val="both"/>
        <w:rPr>
          <w:rFonts w:ascii="Palatino Linotype" w:hAnsi="Palatino Linotype" w:cs="Tahoma"/>
          <w:sz w:val="22"/>
          <w:szCs w:val="22"/>
        </w:rPr>
      </w:pPr>
    </w:p>
    <w:p w14:paraId="16F4D82A" w14:textId="77777777" w:rsidR="00230502" w:rsidRPr="0004110B" w:rsidRDefault="00230502" w:rsidP="00230502">
      <w:pPr>
        <w:spacing w:line="360" w:lineRule="auto"/>
        <w:jc w:val="both"/>
        <w:rPr>
          <w:rFonts w:ascii="Palatino Linotype" w:hAnsi="Palatino Linotype" w:cs="Tahoma"/>
          <w:sz w:val="22"/>
          <w:szCs w:val="22"/>
        </w:rPr>
      </w:pPr>
      <w:r w:rsidRPr="0004110B">
        <w:rPr>
          <w:rFonts w:ascii="Palatino Linotype" w:hAnsi="Palatino Linotype" w:cs="Tahoma"/>
          <w:sz w:val="22"/>
          <w:szCs w:val="22"/>
        </w:rPr>
        <w:t xml:space="preserve">Además, otorgar la firma de la persona autorizada, a través de una licencia, permiso o autorización, permite corroborar que la exhibida en el establecimiento comercial, fue emitida efectivamente por la autoridad competente, en el presente caso, por el Ente Recurrido y </w:t>
      </w:r>
      <w:r w:rsidRPr="0004110B">
        <w:rPr>
          <w:rFonts w:ascii="Palatino Linotype" w:hAnsi="Palatino Linotype" w:cs="Tahoma"/>
          <w:b/>
          <w:sz w:val="22"/>
          <w:szCs w:val="22"/>
        </w:rPr>
        <w:t>aceptada por el titular, al rubricarla.</w:t>
      </w:r>
    </w:p>
    <w:p w14:paraId="4A1592FB" w14:textId="77777777" w:rsidR="00230502" w:rsidRPr="0004110B" w:rsidRDefault="00230502" w:rsidP="00230502">
      <w:pPr>
        <w:spacing w:line="360" w:lineRule="auto"/>
        <w:jc w:val="both"/>
        <w:rPr>
          <w:rFonts w:ascii="Palatino Linotype" w:hAnsi="Palatino Linotype" w:cs="Tahoma"/>
          <w:sz w:val="22"/>
          <w:szCs w:val="22"/>
        </w:rPr>
      </w:pPr>
    </w:p>
    <w:p w14:paraId="38B48B37" w14:textId="77777777" w:rsidR="00230502" w:rsidRPr="0004110B" w:rsidRDefault="00230502" w:rsidP="00230502">
      <w:pPr>
        <w:spacing w:line="360" w:lineRule="auto"/>
        <w:jc w:val="both"/>
        <w:rPr>
          <w:rFonts w:ascii="Palatino Linotype" w:hAnsi="Palatino Linotype" w:cs="Tahoma"/>
          <w:b/>
          <w:bCs/>
          <w:sz w:val="22"/>
          <w:szCs w:val="22"/>
        </w:rPr>
      </w:pPr>
      <w:r w:rsidRPr="0004110B">
        <w:rPr>
          <w:rFonts w:ascii="Palatino Linotype" w:hAnsi="Palatino Linotype" w:cs="Tahoma"/>
          <w:bCs/>
          <w:sz w:val="22"/>
          <w:szCs w:val="22"/>
        </w:rPr>
        <w:t xml:space="preserve">Así, mediante la difusión de las firmas de aquellas personas que cuentan con la licencia o permiso, permitiría una debida rendición de cuentas, pues es indispensable que se conozcan aquellos que están autorizados por parte del Municipio de Toluca para realizar actividades económicas, mismas que se encuentran reguladas, por lo que, con ello se garantizaría que la sociedad tenga certeza de que </w:t>
      </w:r>
      <w:r w:rsidRPr="0004110B">
        <w:rPr>
          <w:rFonts w:ascii="Palatino Linotype" w:hAnsi="Palatino Linotype" w:cs="Tahoma"/>
          <w:b/>
          <w:bCs/>
          <w:sz w:val="22"/>
          <w:szCs w:val="22"/>
        </w:rPr>
        <w:t xml:space="preserve">las autorizaciones colocadas en los establecimientos, puestos, tianguis o mercados, fueron efectivamente emitidos por el Sujeto Obligado y </w:t>
      </w:r>
      <w:r w:rsidRPr="0004110B">
        <w:rPr>
          <w:rFonts w:ascii="Palatino Linotype" w:hAnsi="Palatino Linotype" w:cs="Tahoma"/>
          <w:b/>
          <w:bCs/>
          <w:sz w:val="22"/>
          <w:szCs w:val="22"/>
        </w:rPr>
        <w:lastRenderedPageBreak/>
        <w:t>aceptadas, por el Titular de estas, y no funcionan fuera del marco de la normatividad aplicable.</w:t>
      </w:r>
    </w:p>
    <w:p w14:paraId="014D8344" w14:textId="77777777" w:rsidR="00230502" w:rsidRPr="0004110B" w:rsidRDefault="00230502" w:rsidP="00230502">
      <w:pPr>
        <w:spacing w:line="360" w:lineRule="auto"/>
        <w:jc w:val="both"/>
        <w:rPr>
          <w:rFonts w:ascii="Palatino Linotype" w:hAnsi="Palatino Linotype" w:cs="Tahoma"/>
          <w:b/>
          <w:bCs/>
          <w:sz w:val="22"/>
          <w:szCs w:val="22"/>
        </w:rPr>
      </w:pPr>
    </w:p>
    <w:p w14:paraId="15B189B8" w14:textId="77777777" w:rsidR="00230502" w:rsidRDefault="00230502" w:rsidP="00230502">
      <w:pPr>
        <w:spacing w:line="360" w:lineRule="auto"/>
        <w:jc w:val="both"/>
        <w:rPr>
          <w:rFonts w:ascii="Palatino Linotype" w:hAnsi="Palatino Linotype" w:cs="Tahoma"/>
          <w:bCs/>
          <w:sz w:val="22"/>
          <w:szCs w:val="22"/>
        </w:rPr>
      </w:pPr>
      <w:r w:rsidRPr="0004110B">
        <w:rPr>
          <w:rFonts w:ascii="Palatino Linotype" w:hAnsi="Palatino Linotype" w:cs="Tahoma"/>
          <w:bCs/>
          <w:sz w:val="22"/>
          <w:szCs w:val="22"/>
        </w:rPr>
        <w:t>Conforme a lo expuesto, se considera que la firma de los representantes legales o titulares, localizadas en las licencias o permisos otorgados por la Dirección de Desarrollo Económico, no actualizan la causal de clasificación, establecida en el artículo 143, fracción I de la Ley de Transparencia y Acceso a la Información Pública del Estado de México y Municipios.</w:t>
      </w:r>
    </w:p>
    <w:p w14:paraId="56FD0C4B" w14:textId="77777777" w:rsidR="00230502" w:rsidRDefault="00230502" w:rsidP="00230502">
      <w:pPr>
        <w:spacing w:line="360" w:lineRule="auto"/>
        <w:jc w:val="both"/>
        <w:rPr>
          <w:rFonts w:ascii="Palatino Linotype" w:hAnsi="Palatino Linotype" w:cs="Tahoma"/>
          <w:bCs/>
          <w:sz w:val="22"/>
          <w:szCs w:val="22"/>
        </w:rPr>
      </w:pPr>
    </w:p>
    <w:p w14:paraId="44CD8448" w14:textId="77777777" w:rsidR="00230502" w:rsidRPr="0004110B" w:rsidRDefault="00230502" w:rsidP="00230502">
      <w:pPr>
        <w:numPr>
          <w:ilvl w:val="0"/>
          <w:numId w:val="15"/>
        </w:numPr>
        <w:spacing w:line="360" w:lineRule="auto"/>
        <w:jc w:val="both"/>
        <w:rPr>
          <w:rFonts w:ascii="Palatino Linotype" w:hAnsi="Palatino Linotype" w:cs="Tahoma"/>
          <w:bCs/>
          <w:sz w:val="22"/>
          <w:szCs w:val="22"/>
        </w:rPr>
      </w:pPr>
      <w:r w:rsidRPr="0004110B">
        <w:rPr>
          <w:rFonts w:ascii="Palatino Linotype" w:hAnsi="Palatino Linotype" w:cs="Tahoma"/>
          <w:b/>
          <w:bCs/>
          <w:sz w:val="22"/>
          <w:szCs w:val="22"/>
        </w:rPr>
        <w:t>Ubicación de la unidad económica.</w:t>
      </w:r>
    </w:p>
    <w:p w14:paraId="1B589706" w14:textId="77777777" w:rsidR="00230502" w:rsidRPr="0004110B" w:rsidRDefault="00230502" w:rsidP="00230502">
      <w:pPr>
        <w:spacing w:line="360" w:lineRule="auto"/>
        <w:jc w:val="both"/>
        <w:rPr>
          <w:rFonts w:ascii="Palatino Linotype" w:hAnsi="Palatino Linotype" w:cs="Tahoma"/>
          <w:b/>
          <w:bCs/>
          <w:sz w:val="22"/>
          <w:szCs w:val="22"/>
        </w:rPr>
      </w:pPr>
    </w:p>
    <w:p w14:paraId="30A684FE" w14:textId="77777777" w:rsidR="00230502" w:rsidRPr="0004110B" w:rsidRDefault="00230502" w:rsidP="00230502">
      <w:pPr>
        <w:spacing w:line="360" w:lineRule="auto"/>
        <w:jc w:val="both"/>
        <w:rPr>
          <w:rFonts w:ascii="Palatino Linotype" w:hAnsi="Palatino Linotype" w:cs="Tahoma"/>
          <w:bCs/>
          <w:sz w:val="22"/>
          <w:szCs w:val="22"/>
        </w:rPr>
      </w:pPr>
      <w:r w:rsidRPr="0004110B">
        <w:rPr>
          <w:rFonts w:ascii="Palatino Linotype" w:hAnsi="Palatino Linotype" w:cs="Tahoma"/>
          <w:bCs/>
          <w:sz w:val="22"/>
          <w:szCs w:val="22"/>
        </w:rPr>
        <w:t>Sobre dicho dato, resulta necesario precisar que este no corresponde al domicilio particular del titular de dichas autorizaciones, sino que corresponde a aquel donde se localiza la unidad económica, es decir, en el lugar en donde se realizará la actividad comercial, industrial o de servicios.</w:t>
      </w:r>
    </w:p>
    <w:p w14:paraId="7F48C682" w14:textId="77777777" w:rsidR="00230502" w:rsidRPr="0004110B" w:rsidRDefault="00230502" w:rsidP="00230502">
      <w:pPr>
        <w:spacing w:line="360" w:lineRule="auto"/>
        <w:jc w:val="both"/>
        <w:rPr>
          <w:rFonts w:ascii="Palatino Linotype" w:hAnsi="Palatino Linotype" w:cs="Tahoma"/>
          <w:bCs/>
          <w:sz w:val="22"/>
          <w:szCs w:val="22"/>
        </w:rPr>
      </w:pPr>
    </w:p>
    <w:p w14:paraId="25F458F2" w14:textId="77777777" w:rsidR="00230502" w:rsidRPr="0004110B" w:rsidRDefault="00230502" w:rsidP="00230502">
      <w:pPr>
        <w:widowControl w:val="0"/>
        <w:spacing w:line="360" w:lineRule="auto"/>
        <w:ind w:right="-91"/>
        <w:jc w:val="both"/>
        <w:rPr>
          <w:rFonts w:ascii="Palatino Linotype" w:eastAsia="Calibri" w:hAnsi="Palatino Linotype" w:cs="Tahoma"/>
          <w:bCs/>
          <w:sz w:val="22"/>
          <w:szCs w:val="22"/>
          <w:lang w:eastAsia="en-US"/>
        </w:rPr>
      </w:pPr>
      <w:r w:rsidRPr="0004110B">
        <w:rPr>
          <w:rFonts w:ascii="Palatino Linotype" w:hAnsi="Palatino Linotype" w:cs="Tahoma"/>
          <w:bCs/>
          <w:sz w:val="22"/>
          <w:szCs w:val="22"/>
        </w:rPr>
        <w:t xml:space="preserve">Por lo cual, el dato en comento </w:t>
      </w:r>
      <w:r w:rsidRPr="0004110B">
        <w:rPr>
          <w:rFonts w:ascii="Palatino Linotype" w:eastAsia="Calibri" w:hAnsi="Palatino Linotype" w:cs="Tahoma"/>
          <w:bCs/>
          <w:sz w:val="22"/>
          <w:szCs w:val="22"/>
          <w:lang w:eastAsia="en-US"/>
        </w:rPr>
        <w:t>únicamente identifica la ubicación donde se realiza una actividad económica regulada por el Municipio, respecto del cual se expidió una licencia o permiso.</w:t>
      </w:r>
    </w:p>
    <w:p w14:paraId="2A050F29" w14:textId="77777777" w:rsidR="00230502" w:rsidRPr="0004110B" w:rsidRDefault="00230502" w:rsidP="00230502">
      <w:pPr>
        <w:spacing w:line="360" w:lineRule="auto"/>
        <w:jc w:val="both"/>
        <w:rPr>
          <w:rFonts w:ascii="Palatino Linotype" w:hAnsi="Palatino Linotype" w:cs="Tahoma"/>
          <w:bCs/>
          <w:sz w:val="22"/>
          <w:szCs w:val="22"/>
        </w:rPr>
      </w:pPr>
    </w:p>
    <w:p w14:paraId="1F236A2B" w14:textId="77777777" w:rsidR="00230502" w:rsidRPr="0004110B" w:rsidRDefault="00230502" w:rsidP="00230502">
      <w:pPr>
        <w:spacing w:line="360" w:lineRule="auto"/>
        <w:jc w:val="both"/>
        <w:rPr>
          <w:rFonts w:ascii="Palatino Linotype" w:hAnsi="Palatino Linotype" w:cs="Tahoma"/>
          <w:bCs/>
          <w:sz w:val="22"/>
          <w:szCs w:val="22"/>
        </w:rPr>
      </w:pPr>
      <w:r w:rsidRPr="0004110B">
        <w:rPr>
          <w:rFonts w:ascii="Palatino Linotype" w:hAnsi="Palatino Linotype" w:cs="Tahoma"/>
          <w:bCs/>
          <w:sz w:val="22"/>
          <w:szCs w:val="22"/>
        </w:rPr>
        <w:t xml:space="preserve">De tales circunstancias, dicho dato guarda la naturaleza de pública, pues permite identificar, que la ubicación de la unidad económica (puesto o establecimiento) corresponde con la licencia o permiso (esto es, que no se puso a la vista una licencia que no corresponda), y que está debidamente registrada ante la autoridad Municipal; por lo que se trata de un dato de acceso a público, pues como se precisó dichos documentos deben de estar a la vista del público en general. Así no resulta procedente, la clasificación, en términos del artículo 143, </w:t>
      </w:r>
      <w:r w:rsidRPr="0004110B">
        <w:rPr>
          <w:rFonts w:ascii="Palatino Linotype" w:hAnsi="Palatino Linotype" w:cs="Tahoma"/>
          <w:bCs/>
          <w:sz w:val="22"/>
          <w:szCs w:val="22"/>
        </w:rPr>
        <w:lastRenderedPageBreak/>
        <w:t>fracción I de la Ley de Transparencia y Acceso a la Información Pública del Estado de México y Municipios.</w:t>
      </w:r>
    </w:p>
    <w:p w14:paraId="2CACB808" w14:textId="77777777" w:rsidR="00230502" w:rsidRPr="005A4A25" w:rsidRDefault="00230502" w:rsidP="00230502">
      <w:pPr>
        <w:spacing w:line="360" w:lineRule="auto"/>
        <w:contextualSpacing/>
        <w:jc w:val="both"/>
        <w:rPr>
          <w:rFonts w:ascii="Palatino Linotype" w:hAnsi="Palatino Linotype" w:cs="Tahoma"/>
        </w:rPr>
      </w:pPr>
    </w:p>
    <w:p w14:paraId="791CDE86" w14:textId="77777777" w:rsidR="00230502" w:rsidRPr="005A4A25" w:rsidRDefault="00230502" w:rsidP="00230502">
      <w:pPr>
        <w:numPr>
          <w:ilvl w:val="0"/>
          <w:numId w:val="14"/>
        </w:numPr>
        <w:spacing w:line="360" w:lineRule="auto"/>
        <w:ind w:right="-93"/>
        <w:contextualSpacing/>
        <w:jc w:val="both"/>
        <w:rPr>
          <w:rFonts w:ascii="Palatino Linotype" w:eastAsia="Calibri" w:hAnsi="Palatino Linotype" w:cs="Tahoma"/>
          <w:b/>
          <w:bCs/>
          <w:sz w:val="22"/>
          <w:szCs w:val="22"/>
          <w:lang w:eastAsia="en-US"/>
        </w:rPr>
      </w:pPr>
      <w:r w:rsidRPr="005A4A25">
        <w:rPr>
          <w:rFonts w:ascii="Palatino Linotype" w:eastAsia="Calibri" w:hAnsi="Palatino Linotype" w:cs="Tahoma"/>
          <w:b/>
          <w:bCs/>
          <w:sz w:val="22"/>
          <w:szCs w:val="22"/>
          <w:lang w:eastAsia="en-US"/>
        </w:rPr>
        <w:t>Domicilio</w:t>
      </w:r>
      <w:r>
        <w:rPr>
          <w:rFonts w:ascii="Palatino Linotype" w:eastAsia="Calibri" w:hAnsi="Palatino Linotype" w:cs="Tahoma"/>
          <w:b/>
          <w:bCs/>
          <w:sz w:val="22"/>
          <w:szCs w:val="22"/>
          <w:lang w:eastAsia="en-US"/>
        </w:rPr>
        <w:t xml:space="preserve"> particular de los titulares de licencia</w:t>
      </w:r>
      <w:r w:rsidRPr="005A4A25">
        <w:rPr>
          <w:rFonts w:ascii="Palatino Linotype" w:eastAsia="Calibri" w:hAnsi="Palatino Linotype" w:cs="Tahoma"/>
          <w:b/>
          <w:bCs/>
          <w:sz w:val="22"/>
          <w:szCs w:val="22"/>
          <w:lang w:eastAsia="en-US"/>
        </w:rPr>
        <w:t>.</w:t>
      </w:r>
    </w:p>
    <w:p w14:paraId="6391AFCA" w14:textId="77777777" w:rsidR="00230502" w:rsidRPr="005A4A25" w:rsidRDefault="00230502" w:rsidP="00230502">
      <w:pPr>
        <w:spacing w:line="360" w:lineRule="auto"/>
        <w:ind w:right="-93"/>
        <w:contextualSpacing/>
        <w:jc w:val="both"/>
        <w:rPr>
          <w:rFonts w:ascii="Palatino Linotype" w:eastAsia="Calibri" w:hAnsi="Palatino Linotype" w:cs="Tahoma"/>
          <w:bCs/>
          <w:sz w:val="22"/>
          <w:szCs w:val="22"/>
          <w:lang w:eastAsia="en-US"/>
        </w:rPr>
      </w:pPr>
    </w:p>
    <w:p w14:paraId="6711D4FD" w14:textId="77777777" w:rsidR="00230502" w:rsidRPr="005A4A25" w:rsidRDefault="00230502" w:rsidP="00230502">
      <w:pPr>
        <w:spacing w:line="360" w:lineRule="auto"/>
        <w:ind w:right="-93"/>
        <w:contextualSpacing/>
        <w:jc w:val="both"/>
        <w:rPr>
          <w:rFonts w:ascii="Palatino Linotype" w:hAnsi="Palatino Linotype" w:cs="Tahoma"/>
          <w:sz w:val="22"/>
          <w:szCs w:val="22"/>
        </w:rPr>
      </w:pPr>
      <w:r w:rsidRPr="005A4A25">
        <w:rPr>
          <w:rFonts w:ascii="Palatino Linotype" w:hAnsi="Palatino Linotype" w:cs="Tahoma"/>
          <w:sz w:val="22"/>
          <w:szCs w:val="22"/>
        </w:rPr>
        <w:t xml:space="preserve">De acuerdo con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3224CA5F" w14:textId="77777777" w:rsidR="00230502" w:rsidRPr="005A4A25" w:rsidRDefault="00230502" w:rsidP="00230502">
      <w:pPr>
        <w:spacing w:line="360" w:lineRule="auto"/>
        <w:ind w:right="-93"/>
        <w:contextualSpacing/>
        <w:jc w:val="both"/>
        <w:rPr>
          <w:rFonts w:ascii="Palatino Linotype" w:hAnsi="Palatino Linotype" w:cs="Tahoma"/>
          <w:sz w:val="22"/>
          <w:szCs w:val="22"/>
        </w:rPr>
      </w:pPr>
    </w:p>
    <w:p w14:paraId="48747DE5" w14:textId="77777777" w:rsidR="00230502" w:rsidRPr="005A4A25" w:rsidRDefault="00230502" w:rsidP="00230502">
      <w:pPr>
        <w:spacing w:line="360" w:lineRule="auto"/>
        <w:ind w:right="-93"/>
        <w:contextualSpacing/>
        <w:jc w:val="both"/>
        <w:rPr>
          <w:rFonts w:ascii="Palatino Linotype" w:hAnsi="Palatino Linotype" w:cs="Tahoma"/>
          <w:b/>
          <w:sz w:val="22"/>
          <w:szCs w:val="22"/>
        </w:rPr>
      </w:pPr>
      <w:r w:rsidRPr="005A4A25">
        <w:rPr>
          <w:rFonts w:ascii="Palatino Linotype" w:hAnsi="Palatino Linotype" w:cs="Tahoma"/>
          <w:sz w:val="22"/>
          <w:szCs w:val="22"/>
        </w:rPr>
        <w:t>De la misma manera, lo establece el artículo 29 del Código Civil Federal, al precisar que el domicilio de personas físicas</w:t>
      </w:r>
      <w:r w:rsidRPr="005A4A25">
        <w:rPr>
          <w:rFonts w:ascii="Palatino Linotype" w:hAnsi="Palatino Linotype" w:cs="Tahoma"/>
          <w:b/>
          <w:sz w:val="22"/>
          <w:szCs w:val="22"/>
        </w:rPr>
        <w:t>, es el lugar donde residen habitualmente, el lugar del centro principal de sus negocios, donde residan o el lugar donde se encuentren.</w:t>
      </w:r>
    </w:p>
    <w:p w14:paraId="380E9CCC" w14:textId="77777777" w:rsidR="00230502" w:rsidRPr="005A4A25" w:rsidRDefault="00230502" w:rsidP="00230502">
      <w:pPr>
        <w:spacing w:line="360" w:lineRule="auto"/>
        <w:contextualSpacing/>
        <w:jc w:val="both"/>
        <w:rPr>
          <w:rFonts w:ascii="Palatino Linotype" w:eastAsia="Calibri" w:hAnsi="Palatino Linotype" w:cs="Tahoma"/>
          <w:b/>
          <w:bCs/>
          <w:szCs w:val="22"/>
          <w:lang w:eastAsia="en-US"/>
        </w:rPr>
      </w:pPr>
    </w:p>
    <w:p w14:paraId="23A21973" w14:textId="77777777" w:rsidR="00230502" w:rsidRPr="005A4A25" w:rsidRDefault="00230502" w:rsidP="00230502">
      <w:pPr>
        <w:spacing w:line="360" w:lineRule="auto"/>
        <w:ind w:right="-93"/>
        <w:contextualSpacing/>
        <w:jc w:val="both"/>
        <w:rPr>
          <w:rFonts w:ascii="Palatino Linotype" w:hAnsi="Palatino Linotype" w:cs="Tahoma"/>
          <w:sz w:val="22"/>
          <w:szCs w:val="22"/>
        </w:rPr>
      </w:pPr>
      <w:r w:rsidRPr="005A4A25">
        <w:rPr>
          <w:rFonts w:ascii="Palatino Linotype" w:hAnsi="Palatino Linotype" w:cs="Tahoma"/>
          <w:sz w:val="22"/>
          <w:szCs w:val="22"/>
        </w:rPr>
        <w:t>En ese contexto, la dirección o domicilio es el lugar en donde reside habitualmente una persona física</w:t>
      </w:r>
      <w:r>
        <w:rPr>
          <w:rFonts w:ascii="Palatino Linotype" w:hAnsi="Palatino Linotype" w:cs="Tahoma"/>
          <w:sz w:val="22"/>
          <w:szCs w:val="22"/>
        </w:rPr>
        <w:t xml:space="preserve"> o moral</w:t>
      </w:r>
      <w:r w:rsidRPr="005A4A25">
        <w:rPr>
          <w:rFonts w:ascii="Palatino Linotype" w:hAnsi="Palatino Linotype" w:cs="Tahoma"/>
          <w:sz w:val="22"/>
          <w:szCs w:val="22"/>
        </w:rPr>
        <w:t xml:space="preserve">,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w:t>
      </w:r>
      <w:r>
        <w:rPr>
          <w:rFonts w:ascii="Palatino Linotype" w:hAnsi="Palatino Linotype" w:cs="Tahoma"/>
          <w:sz w:val="22"/>
          <w:szCs w:val="22"/>
        </w:rPr>
        <w:t>titulares de una licencia</w:t>
      </w:r>
      <w:r w:rsidRPr="005A4A25">
        <w:rPr>
          <w:rFonts w:ascii="Palatino Linotype" w:hAnsi="Palatino Linotype" w:cs="Tahoma"/>
          <w:sz w:val="22"/>
          <w:szCs w:val="22"/>
        </w:rPr>
        <w:t xml:space="preserve"> y su difusión podría afectar la esfera privada de las mismas. Por lo tanto, se actualiza la clasificación, de conformidad con la fracción I, del artículo 143 de la Ley de Transparencia y Acceso a la Información Pública del Estado de México y Municipios.</w:t>
      </w:r>
    </w:p>
    <w:p w14:paraId="1CB7145D" w14:textId="77777777" w:rsidR="00230502" w:rsidRPr="005A4A25" w:rsidRDefault="00230502" w:rsidP="00230502">
      <w:pPr>
        <w:spacing w:line="360" w:lineRule="auto"/>
        <w:contextualSpacing/>
        <w:jc w:val="both"/>
        <w:rPr>
          <w:rFonts w:ascii="Palatino Linotype" w:hAnsi="Palatino Linotype" w:cs="Tahoma"/>
        </w:rPr>
      </w:pPr>
    </w:p>
    <w:p w14:paraId="3695077B" w14:textId="77777777" w:rsidR="00230502" w:rsidRDefault="00230502" w:rsidP="00230502">
      <w:pPr>
        <w:numPr>
          <w:ilvl w:val="0"/>
          <w:numId w:val="14"/>
        </w:numPr>
        <w:spacing w:line="360" w:lineRule="auto"/>
        <w:ind w:right="-93"/>
        <w:contextualSpacing/>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Área o giro económico</w:t>
      </w:r>
    </w:p>
    <w:p w14:paraId="0E4CCF68" w14:textId="77777777" w:rsidR="00230502" w:rsidRDefault="00230502" w:rsidP="00230502">
      <w:pPr>
        <w:spacing w:line="360" w:lineRule="auto"/>
        <w:ind w:right="-93"/>
        <w:contextualSpacing/>
        <w:jc w:val="both"/>
        <w:rPr>
          <w:rFonts w:ascii="Palatino Linotype" w:eastAsia="Calibri" w:hAnsi="Palatino Linotype" w:cs="Tahoma"/>
          <w:b/>
          <w:bCs/>
          <w:sz w:val="22"/>
          <w:szCs w:val="22"/>
          <w:lang w:eastAsia="en-US"/>
        </w:rPr>
      </w:pPr>
    </w:p>
    <w:p w14:paraId="33BD7477" w14:textId="77777777" w:rsidR="00230502" w:rsidRPr="00DE7454" w:rsidRDefault="00230502" w:rsidP="00230502">
      <w:pPr>
        <w:spacing w:line="360" w:lineRule="auto"/>
        <w:ind w:right="-93"/>
        <w:contextualSpacing/>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lastRenderedPageBreak/>
        <w:t xml:space="preserve">Este dato corresponde a la actividad principal que realiza un establecimiento, el cual se relaciona con el sector en el que opera el negocio y es fundamental para cumplir con los requisitos legales, fiscales, así como, para definir su estrategia comercial y posibles clientes; además, que el dato en cuestión debe estar registrado en el </w:t>
      </w:r>
      <w:r w:rsidRPr="0059139D">
        <w:rPr>
          <w:rFonts w:ascii="Palatino Linotype" w:eastAsia="Calibri" w:hAnsi="Palatino Linotype" w:cs="Tahoma"/>
          <w:bCs/>
          <w:sz w:val="22"/>
          <w:szCs w:val="22"/>
          <w:lang w:eastAsia="en-US"/>
        </w:rPr>
        <w:t>Catálogo Mexiquense de Actividades Industriales, Comerciales y de Servicios</w:t>
      </w:r>
      <w:r>
        <w:rPr>
          <w:rFonts w:ascii="Palatino Linotype" w:eastAsia="Calibri" w:hAnsi="Palatino Linotype" w:cs="Tahoma"/>
          <w:bCs/>
          <w:sz w:val="22"/>
          <w:szCs w:val="22"/>
          <w:lang w:eastAsia="en-US"/>
        </w:rPr>
        <w:t>, por lo que, no corresponde a información de las personas, sino que pertenecen al establecimiento económico y su publicidad permite verificar que el negocio realice la actividad autorizada, por lo que, en el presente caso, no actualiza la causal de clasificación establecida en el artículo 143, fracción I, de la Ley de Transparencia y Acceso a la Información Pública del Estado de México y Municipios.</w:t>
      </w:r>
    </w:p>
    <w:p w14:paraId="0629CF1A" w14:textId="77777777" w:rsidR="00230502" w:rsidRDefault="00230502" w:rsidP="00230502">
      <w:pPr>
        <w:spacing w:line="360" w:lineRule="auto"/>
        <w:ind w:right="-93"/>
        <w:contextualSpacing/>
        <w:jc w:val="both"/>
        <w:rPr>
          <w:rFonts w:ascii="Palatino Linotype" w:eastAsia="Calibri" w:hAnsi="Palatino Linotype" w:cs="Tahoma"/>
          <w:b/>
          <w:bCs/>
          <w:sz w:val="22"/>
          <w:szCs w:val="22"/>
          <w:lang w:eastAsia="en-US"/>
        </w:rPr>
      </w:pPr>
    </w:p>
    <w:p w14:paraId="0CFAD212" w14:textId="77777777" w:rsidR="00230502" w:rsidRDefault="00230502" w:rsidP="00230502">
      <w:pPr>
        <w:numPr>
          <w:ilvl w:val="0"/>
          <w:numId w:val="14"/>
        </w:numPr>
        <w:spacing w:line="360" w:lineRule="auto"/>
        <w:ind w:right="-93"/>
        <w:contextualSpacing/>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Teléfono de establecimiento</w:t>
      </w:r>
    </w:p>
    <w:p w14:paraId="0D59A3CE" w14:textId="77777777" w:rsidR="00230502" w:rsidRDefault="00230502" w:rsidP="00230502">
      <w:pPr>
        <w:spacing w:line="360" w:lineRule="auto"/>
        <w:ind w:right="-93"/>
        <w:contextualSpacing/>
        <w:jc w:val="both"/>
        <w:rPr>
          <w:rFonts w:ascii="Palatino Linotype" w:eastAsia="Calibri" w:hAnsi="Palatino Linotype" w:cs="Tahoma"/>
          <w:b/>
          <w:bCs/>
          <w:sz w:val="22"/>
          <w:szCs w:val="22"/>
          <w:lang w:eastAsia="en-US"/>
        </w:rPr>
      </w:pPr>
    </w:p>
    <w:p w14:paraId="42EDD035" w14:textId="77777777" w:rsidR="00230502" w:rsidRPr="00DE7454" w:rsidRDefault="00230502" w:rsidP="00230502">
      <w:pPr>
        <w:spacing w:line="360" w:lineRule="auto"/>
        <w:ind w:right="-93"/>
        <w:contextualSpacing/>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 xml:space="preserve">El dato en cuestión corresponde aquel número de contacto que pueden utilizar los clientes o personas interesadas para comunicarse con un establecimiento económico, para realizar consultas, solicitar ventas o informes sobre las actividades que se realizan en el mismo; el cual no corresponde a un número particular, al contrario este es utilizado como medio de comunicación en el establecimiento de manera específica, por lo que, se considera que al no dar a conocer información de la vida privada o íntima de las personas titulares se trata de información que no actualiza la </w:t>
      </w:r>
      <w:r w:rsidRPr="005A4A25">
        <w:rPr>
          <w:rFonts w:ascii="Palatino Linotype" w:hAnsi="Palatino Linotype" w:cs="Tahoma"/>
          <w:sz w:val="22"/>
          <w:szCs w:val="22"/>
        </w:rPr>
        <w:t>fracción I, del artículo 143 de la Ley de Transparencia y Acceso a la Información Pública del Estado de México y Municipios</w:t>
      </w:r>
      <w:r>
        <w:rPr>
          <w:rFonts w:ascii="Palatino Linotype" w:hAnsi="Palatino Linotype" w:cs="Tahoma"/>
          <w:sz w:val="22"/>
          <w:szCs w:val="22"/>
        </w:rPr>
        <w:t>.</w:t>
      </w:r>
    </w:p>
    <w:p w14:paraId="2D866305" w14:textId="77777777" w:rsidR="00620F19" w:rsidRPr="00FF6F46" w:rsidRDefault="00620F19" w:rsidP="00620F19">
      <w:pPr>
        <w:spacing w:line="360" w:lineRule="auto"/>
        <w:ind w:right="-93"/>
        <w:contextualSpacing/>
        <w:jc w:val="both"/>
        <w:rPr>
          <w:rFonts w:ascii="Palatino Linotype" w:hAnsi="Palatino Linotype" w:cs="Tahoma"/>
          <w:sz w:val="22"/>
          <w:szCs w:val="22"/>
          <w:lang w:val="es-ES"/>
        </w:rPr>
      </w:pPr>
    </w:p>
    <w:p w14:paraId="17918FAF" w14:textId="78E89BD3" w:rsidR="00620F19" w:rsidRPr="00FF6F46" w:rsidRDefault="00620F19" w:rsidP="00620F19">
      <w:pPr>
        <w:widowControl w:val="0"/>
        <w:numPr>
          <w:ilvl w:val="0"/>
          <w:numId w:val="20"/>
        </w:numPr>
        <w:autoSpaceDE w:val="0"/>
        <w:autoSpaceDN w:val="0"/>
        <w:adjustRightInd w:val="0"/>
        <w:spacing w:line="360" w:lineRule="auto"/>
        <w:contextualSpacing/>
        <w:jc w:val="both"/>
        <w:rPr>
          <w:rFonts w:ascii="Palatino Linotype" w:hAnsi="Palatino Linotype" w:cs="Tahoma"/>
          <w:b/>
          <w:sz w:val="22"/>
          <w:szCs w:val="22"/>
        </w:rPr>
      </w:pPr>
      <w:r w:rsidRPr="00FF6F46">
        <w:rPr>
          <w:rFonts w:ascii="Palatino Linotype" w:eastAsia="Calibri" w:hAnsi="Palatino Linotype" w:cs="Tahoma"/>
          <w:b/>
          <w:bCs/>
          <w:sz w:val="22"/>
          <w:szCs w:val="22"/>
        </w:rPr>
        <w:t>Fotograf</w:t>
      </w:r>
      <w:r w:rsidR="00985353">
        <w:rPr>
          <w:rFonts w:ascii="Palatino Linotype" w:eastAsia="Calibri" w:hAnsi="Palatino Linotype" w:cs="Tahoma"/>
          <w:b/>
          <w:bCs/>
          <w:sz w:val="22"/>
          <w:szCs w:val="22"/>
        </w:rPr>
        <w:t>ías de los servidores públicos</w:t>
      </w:r>
    </w:p>
    <w:p w14:paraId="4641F062" w14:textId="77777777" w:rsidR="00620F19" w:rsidRPr="00FF6F46" w:rsidRDefault="00620F19" w:rsidP="00620F19">
      <w:pPr>
        <w:widowControl w:val="0"/>
        <w:autoSpaceDE w:val="0"/>
        <w:autoSpaceDN w:val="0"/>
        <w:adjustRightInd w:val="0"/>
        <w:spacing w:line="360" w:lineRule="auto"/>
        <w:contextualSpacing/>
        <w:jc w:val="both"/>
        <w:rPr>
          <w:rFonts w:ascii="Palatino Linotype" w:hAnsi="Palatino Linotype" w:cs="Tahoma"/>
          <w:b/>
          <w:sz w:val="22"/>
          <w:szCs w:val="22"/>
        </w:rPr>
      </w:pPr>
    </w:p>
    <w:p w14:paraId="6AAFC833" w14:textId="77777777" w:rsidR="00620F19" w:rsidRPr="00FF6F46" w:rsidRDefault="00620F19" w:rsidP="00620F19">
      <w:pPr>
        <w:tabs>
          <w:tab w:val="left" w:pos="4962"/>
        </w:tabs>
        <w:spacing w:line="360" w:lineRule="auto"/>
        <w:contextualSpacing/>
        <w:jc w:val="both"/>
        <w:rPr>
          <w:rFonts w:ascii="Palatino Linotype" w:eastAsia="Calibri" w:hAnsi="Palatino Linotype" w:cs="Tahoma"/>
          <w:bCs/>
          <w:sz w:val="22"/>
          <w:szCs w:val="22"/>
          <w:lang w:val="es-ES"/>
        </w:rPr>
      </w:pPr>
      <w:r w:rsidRPr="00FF6F46">
        <w:rPr>
          <w:rFonts w:ascii="Palatino Linotype" w:eastAsia="Calibri" w:hAnsi="Palatino Linotype" w:cs="Tahoma"/>
          <w:bCs/>
          <w:sz w:val="22"/>
          <w:szCs w:val="22"/>
          <w:lang w:val="es-ES"/>
        </w:rPr>
        <w:t xml:space="preserve">Por lo que hace a las fotografías, es preciso señalar que estas dan cuenta de las características físicas de los servidores públicos; por lo que, no debe perderse de vista que la imagen </w:t>
      </w:r>
      <w:r w:rsidRPr="00FF6F46">
        <w:rPr>
          <w:rFonts w:ascii="Palatino Linotype" w:eastAsia="Calibri" w:hAnsi="Palatino Linotype" w:cs="Tahoma"/>
          <w:bCs/>
          <w:sz w:val="22"/>
          <w:szCs w:val="22"/>
          <w:lang w:val="es-ES"/>
        </w:rPr>
        <w:lastRenderedPageBreak/>
        <w:t>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74A03C3E" w14:textId="77777777" w:rsidR="00620F19" w:rsidRPr="00FF6F46" w:rsidRDefault="00620F19" w:rsidP="00620F19">
      <w:pPr>
        <w:tabs>
          <w:tab w:val="left" w:pos="4962"/>
        </w:tabs>
        <w:spacing w:line="360" w:lineRule="auto"/>
        <w:contextualSpacing/>
        <w:jc w:val="both"/>
        <w:rPr>
          <w:rFonts w:ascii="Palatino Linotype" w:eastAsia="Calibri" w:hAnsi="Palatino Linotype" w:cs="Tahoma"/>
          <w:bCs/>
          <w:sz w:val="22"/>
          <w:szCs w:val="22"/>
          <w:lang w:val="es-ES"/>
        </w:rPr>
      </w:pPr>
    </w:p>
    <w:p w14:paraId="4234100F" w14:textId="77777777" w:rsidR="00620F19" w:rsidRPr="00FF6F46" w:rsidRDefault="00620F19" w:rsidP="00620F19">
      <w:pPr>
        <w:tabs>
          <w:tab w:val="left" w:pos="4962"/>
        </w:tabs>
        <w:spacing w:line="360" w:lineRule="auto"/>
        <w:contextualSpacing/>
        <w:jc w:val="both"/>
        <w:rPr>
          <w:rFonts w:ascii="Palatino Linotype" w:eastAsia="Calibri" w:hAnsi="Palatino Linotype" w:cs="Tahoma"/>
          <w:bCs/>
          <w:sz w:val="22"/>
          <w:szCs w:val="22"/>
          <w:lang w:val="es-ES"/>
        </w:rPr>
      </w:pPr>
      <w:r w:rsidRPr="00FF6F46">
        <w:rPr>
          <w:rFonts w:ascii="Palatino Linotype" w:eastAsia="Calibri" w:hAnsi="Palatino Linotype" w:cs="Tahoma"/>
          <w:bCs/>
          <w:sz w:val="22"/>
          <w:szCs w:val="22"/>
          <w:lang w:val="es-ES"/>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6258DAE6" w14:textId="77777777" w:rsidR="00620F19" w:rsidRPr="00FF6F46" w:rsidRDefault="00620F19" w:rsidP="00620F19">
      <w:pPr>
        <w:tabs>
          <w:tab w:val="left" w:pos="4962"/>
        </w:tabs>
        <w:spacing w:line="360" w:lineRule="auto"/>
        <w:contextualSpacing/>
        <w:jc w:val="both"/>
        <w:rPr>
          <w:rFonts w:ascii="Palatino Linotype" w:eastAsia="Calibri" w:hAnsi="Palatino Linotype" w:cs="Tahoma"/>
          <w:bCs/>
          <w:sz w:val="22"/>
          <w:szCs w:val="22"/>
          <w:lang w:val="es-ES"/>
        </w:rPr>
      </w:pPr>
    </w:p>
    <w:p w14:paraId="05D2A664" w14:textId="77777777" w:rsidR="00620F19" w:rsidRPr="00FF6F46" w:rsidRDefault="00620F19" w:rsidP="00620F19">
      <w:pPr>
        <w:tabs>
          <w:tab w:val="left" w:pos="4962"/>
        </w:tabs>
        <w:spacing w:line="360" w:lineRule="auto"/>
        <w:contextualSpacing/>
        <w:jc w:val="both"/>
        <w:rPr>
          <w:rFonts w:ascii="Palatino Linotype" w:eastAsia="Calibri" w:hAnsi="Palatino Linotype" w:cs="Tahoma"/>
          <w:bCs/>
          <w:sz w:val="22"/>
          <w:szCs w:val="22"/>
          <w:lang w:val="es-ES"/>
        </w:rPr>
      </w:pPr>
      <w:r w:rsidRPr="00FF6F46">
        <w:rPr>
          <w:rFonts w:ascii="Palatino Linotype" w:eastAsia="Calibri" w:hAnsi="Palatino Linotype" w:cs="Tahoma"/>
          <w:bCs/>
          <w:sz w:val="22"/>
          <w:szCs w:val="22"/>
          <w:lang w:val="es-ES"/>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7D45EEF7" w14:textId="77777777" w:rsidR="00620F19" w:rsidRPr="00FF6F46" w:rsidRDefault="00620F19" w:rsidP="00620F19">
      <w:pPr>
        <w:tabs>
          <w:tab w:val="left" w:pos="4962"/>
        </w:tabs>
        <w:spacing w:line="360" w:lineRule="auto"/>
        <w:contextualSpacing/>
        <w:jc w:val="both"/>
        <w:rPr>
          <w:rFonts w:ascii="Palatino Linotype" w:eastAsia="Calibri" w:hAnsi="Palatino Linotype" w:cs="Tahoma"/>
          <w:bCs/>
          <w:sz w:val="22"/>
          <w:szCs w:val="22"/>
          <w:lang w:val="es-ES"/>
        </w:rPr>
      </w:pPr>
    </w:p>
    <w:p w14:paraId="7EED731C" w14:textId="77777777" w:rsidR="00620F19" w:rsidRPr="00FF6F46" w:rsidRDefault="00620F19" w:rsidP="00620F19">
      <w:pPr>
        <w:tabs>
          <w:tab w:val="left" w:pos="4962"/>
        </w:tabs>
        <w:spacing w:line="360" w:lineRule="auto"/>
        <w:contextualSpacing/>
        <w:jc w:val="both"/>
        <w:rPr>
          <w:rFonts w:ascii="Palatino Linotype" w:eastAsia="Calibri" w:hAnsi="Palatino Linotype" w:cs="Tahoma"/>
          <w:bCs/>
          <w:sz w:val="22"/>
          <w:szCs w:val="22"/>
          <w:lang w:val="es-ES"/>
        </w:rPr>
      </w:pPr>
      <w:r w:rsidRPr="00FF6F46">
        <w:rPr>
          <w:rFonts w:ascii="Palatino Linotype" w:eastAsia="Calibri" w:hAnsi="Palatino Linotype" w:cs="Tahoma"/>
          <w:bCs/>
          <w:sz w:val="22"/>
          <w:szCs w:val="22"/>
          <w:lang w:val="es-ES"/>
        </w:rPr>
        <w:t xml:space="preserve">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w:t>
      </w:r>
      <w:r w:rsidRPr="00FF6F46">
        <w:rPr>
          <w:rFonts w:ascii="Palatino Linotype" w:eastAsia="Calibri" w:hAnsi="Palatino Linotype" w:cs="Tahoma"/>
          <w:bCs/>
          <w:sz w:val="22"/>
          <w:szCs w:val="22"/>
          <w:lang w:val="es-ES"/>
        </w:rPr>
        <w:lastRenderedPageBreak/>
        <w:t>personal pueda ser considerado como público, cuando se pretende acreditar que una persona es servidor público.</w:t>
      </w:r>
    </w:p>
    <w:p w14:paraId="76660343" w14:textId="77777777" w:rsidR="00620F19" w:rsidRPr="00FF6F46" w:rsidRDefault="00620F19" w:rsidP="00620F19">
      <w:pPr>
        <w:tabs>
          <w:tab w:val="left" w:pos="4962"/>
        </w:tabs>
        <w:spacing w:line="360" w:lineRule="auto"/>
        <w:contextualSpacing/>
        <w:jc w:val="both"/>
        <w:rPr>
          <w:rFonts w:ascii="Palatino Linotype" w:eastAsia="Calibri" w:hAnsi="Palatino Linotype" w:cs="Tahoma"/>
          <w:bCs/>
          <w:sz w:val="22"/>
          <w:szCs w:val="22"/>
          <w:lang w:val="es-ES"/>
        </w:rPr>
      </w:pPr>
    </w:p>
    <w:p w14:paraId="4298188D" w14:textId="77777777" w:rsidR="00620F19" w:rsidRPr="00FF6F46" w:rsidRDefault="00620F19" w:rsidP="00620F19">
      <w:pPr>
        <w:tabs>
          <w:tab w:val="left" w:pos="4962"/>
        </w:tabs>
        <w:spacing w:line="360" w:lineRule="auto"/>
        <w:contextualSpacing/>
        <w:jc w:val="both"/>
        <w:rPr>
          <w:rFonts w:ascii="Palatino Linotype" w:eastAsia="Calibri" w:hAnsi="Palatino Linotype" w:cs="Tahoma"/>
          <w:bCs/>
          <w:sz w:val="22"/>
          <w:szCs w:val="22"/>
          <w:lang w:val="es-ES"/>
        </w:rPr>
      </w:pPr>
      <w:r w:rsidRPr="00FF6F46">
        <w:rPr>
          <w:rFonts w:ascii="Palatino Linotype" w:eastAsia="Calibri" w:hAnsi="Palatino Linotype" w:cs="Tahoma"/>
          <w:bCs/>
          <w:sz w:val="22"/>
          <w:szCs w:val="22"/>
          <w:lang w:val="es-ES"/>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5FF2B2C3" w14:textId="77777777" w:rsidR="00620F19" w:rsidRPr="00FF6F46" w:rsidRDefault="00620F19" w:rsidP="00620F19">
      <w:pPr>
        <w:tabs>
          <w:tab w:val="left" w:pos="4962"/>
        </w:tabs>
        <w:spacing w:line="360" w:lineRule="auto"/>
        <w:contextualSpacing/>
        <w:jc w:val="both"/>
        <w:rPr>
          <w:rFonts w:ascii="Palatino Linotype" w:eastAsia="Calibri" w:hAnsi="Palatino Linotype" w:cs="Tahoma"/>
          <w:bCs/>
          <w:sz w:val="22"/>
          <w:szCs w:val="22"/>
          <w:lang w:val="es-ES"/>
        </w:rPr>
      </w:pPr>
    </w:p>
    <w:p w14:paraId="7CC0BF00" w14:textId="77777777" w:rsidR="00620F19" w:rsidRPr="00FF6F46" w:rsidRDefault="00620F19" w:rsidP="00620F19">
      <w:pPr>
        <w:tabs>
          <w:tab w:val="left" w:pos="4962"/>
        </w:tabs>
        <w:spacing w:line="360" w:lineRule="auto"/>
        <w:contextualSpacing/>
        <w:jc w:val="both"/>
        <w:rPr>
          <w:rFonts w:ascii="Palatino Linotype" w:eastAsia="Calibri" w:hAnsi="Palatino Linotype" w:cs="Tahoma"/>
          <w:bCs/>
          <w:sz w:val="22"/>
          <w:szCs w:val="22"/>
          <w:lang w:val="es-ES"/>
        </w:rPr>
      </w:pPr>
      <w:r w:rsidRPr="00FF6F46">
        <w:rPr>
          <w:rFonts w:ascii="Palatino Linotype" w:eastAsia="Calibri" w:hAnsi="Palatino Linotype" w:cs="Tahoma"/>
          <w:bCs/>
          <w:sz w:val="22"/>
          <w:szCs w:val="22"/>
          <w:lang w:val="es-ES"/>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096C4CE1" w14:textId="77777777" w:rsidR="00620F19" w:rsidRPr="00FF6F46" w:rsidRDefault="00620F19" w:rsidP="00620F19">
      <w:pPr>
        <w:tabs>
          <w:tab w:val="left" w:pos="4962"/>
        </w:tabs>
        <w:spacing w:line="360" w:lineRule="auto"/>
        <w:contextualSpacing/>
        <w:jc w:val="both"/>
        <w:rPr>
          <w:rFonts w:ascii="Palatino Linotype" w:eastAsia="Calibri" w:hAnsi="Palatino Linotype" w:cs="Tahoma"/>
          <w:bCs/>
          <w:sz w:val="22"/>
          <w:szCs w:val="22"/>
          <w:lang w:val="es-ES"/>
        </w:rPr>
      </w:pPr>
    </w:p>
    <w:p w14:paraId="1ACDFA2E" w14:textId="77777777" w:rsidR="00620F19" w:rsidRPr="00FF6F46" w:rsidRDefault="00620F19" w:rsidP="00620F19">
      <w:pPr>
        <w:tabs>
          <w:tab w:val="left" w:pos="4962"/>
        </w:tabs>
        <w:spacing w:line="360" w:lineRule="auto"/>
        <w:contextualSpacing/>
        <w:jc w:val="both"/>
        <w:rPr>
          <w:rFonts w:ascii="Palatino Linotype" w:eastAsia="Calibri" w:hAnsi="Palatino Linotype" w:cs="Tahoma"/>
          <w:bCs/>
          <w:sz w:val="22"/>
          <w:szCs w:val="22"/>
          <w:lang w:val="es-ES"/>
        </w:rPr>
      </w:pPr>
      <w:r w:rsidRPr="00FF6F46">
        <w:rPr>
          <w:rFonts w:ascii="Palatino Linotype" w:eastAsia="Calibri" w:hAnsi="Palatino Linotype" w:cs="Tahoma"/>
          <w:bCs/>
          <w:sz w:val="22"/>
          <w:szCs w:val="22"/>
          <w:lang w:val="es-ES"/>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6B037127" w14:textId="77777777" w:rsidR="00620F19" w:rsidRPr="00FF6F46" w:rsidRDefault="00620F19" w:rsidP="00620F19">
      <w:pPr>
        <w:tabs>
          <w:tab w:val="left" w:pos="4962"/>
        </w:tabs>
        <w:spacing w:line="360" w:lineRule="auto"/>
        <w:contextualSpacing/>
        <w:jc w:val="both"/>
        <w:rPr>
          <w:rFonts w:ascii="Palatino Linotype" w:eastAsia="Calibri" w:hAnsi="Palatino Linotype" w:cs="Tahoma"/>
          <w:bCs/>
          <w:sz w:val="22"/>
          <w:szCs w:val="22"/>
          <w:lang w:val="es-ES"/>
        </w:rPr>
      </w:pPr>
    </w:p>
    <w:p w14:paraId="7E18D914" w14:textId="77777777" w:rsidR="00620F19" w:rsidRPr="00FF6F46" w:rsidRDefault="00620F19" w:rsidP="00620F19">
      <w:pPr>
        <w:tabs>
          <w:tab w:val="left" w:pos="4962"/>
        </w:tabs>
        <w:spacing w:line="360" w:lineRule="auto"/>
        <w:contextualSpacing/>
        <w:jc w:val="both"/>
        <w:rPr>
          <w:rFonts w:ascii="Palatino Linotype" w:eastAsia="Calibri" w:hAnsi="Palatino Linotype" w:cs="Tahoma"/>
          <w:b/>
          <w:bCs/>
          <w:sz w:val="22"/>
          <w:szCs w:val="22"/>
          <w:lang w:val="es-ES"/>
        </w:rPr>
      </w:pPr>
      <w:r w:rsidRPr="00FF6F46">
        <w:rPr>
          <w:rFonts w:ascii="Palatino Linotype" w:eastAsia="Calibri" w:hAnsi="Palatino Linotype" w:cs="Tahoma"/>
          <w:bCs/>
          <w:sz w:val="22"/>
          <w:szCs w:val="22"/>
          <w:lang w:val="es-ES"/>
        </w:rPr>
        <w:lastRenderedPageBreak/>
        <w:t xml:space="preserve">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 </w:t>
      </w:r>
      <w:r w:rsidRPr="00FF6F46">
        <w:rPr>
          <w:rFonts w:ascii="Palatino Linotype" w:eastAsia="Calibri" w:hAnsi="Palatino Linotype" w:cs="Tahoma"/>
          <w:b/>
          <w:bCs/>
          <w:sz w:val="22"/>
          <w:szCs w:val="22"/>
          <w:lang w:val="es-ES"/>
        </w:rPr>
        <w:t>Cabe hacer la aclaración</w:t>
      </w:r>
      <w:r w:rsidRPr="00FF6F46">
        <w:rPr>
          <w:rFonts w:ascii="Palatino Linotype" w:eastAsia="Calibri" w:hAnsi="Palatino Linotype" w:cs="Tahoma"/>
          <w:b/>
          <w:bCs/>
          <w:sz w:val="22"/>
          <w:szCs w:val="22"/>
          <w:lang w:val="x-none"/>
        </w:rPr>
        <w:t xml:space="preserve"> que aquellos documentos que sean clasificados en su totalidad por no revestir de interés público, como lo es la credencial de elector, la fotografía correrá la misma suerte que el documento en cuestión, únicamente para dicha expresión documental.</w:t>
      </w:r>
    </w:p>
    <w:p w14:paraId="33B1F77F" w14:textId="77777777" w:rsidR="00230502" w:rsidRDefault="00230502" w:rsidP="00230502">
      <w:pPr>
        <w:spacing w:line="360" w:lineRule="auto"/>
        <w:ind w:right="-93"/>
        <w:contextualSpacing/>
        <w:jc w:val="both"/>
        <w:rPr>
          <w:rFonts w:ascii="Palatino Linotype" w:eastAsia="Calibri" w:hAnsi="Palatino Linotype" w:cs="Tahoma"/>
          <w:bCs/>
          <w:sz w:val="22"/>
          <w:szCs w:val="22"/>
          <w:lang w:eastAsia="en-US"/>
        </w:rPr>
      </w:pPr>
    </w:p>
    <w:p w14:paraId="566EEEFF" w14:textId="77777777" w:rsidR="00230502" w:rsidRPr="00D312B6" w:rsidRDefault="00230502" w:rsidP="00230502">
      <w:pPr>
        <w:numPr>
          <w:ilvl w:val="0"/>
          <w:numId w:val="17"/>
        </w:numPr>
        <w:spacing w:line="360" w:lineRule="auto"/>
        <w:contextualSpacing/>
        <w:jc w:val="both"/>
        <w:rPr>
          <w:rFonts w:ascii="Palatino Linotype" w:hAnsi="Palatino Linotype" w:cs="Tahoma"/>
          <w:b/>
          <w:bCs/>
          <w:iCs/>
          <w:sz w:val="22"/>
          <w:szCs w:val="22"/>
        </w:rPr>
      </w:pPr>
      <w:r w:rsidRPr="00D312B6">
        <w:rPr>
          <w:rFonts w:ascii="Palatino Linotype" w:hAnsi="Palatino Linotype" w:cs="Tahoma"/>
          <w:b/>
          <w:bCs/>
          <w:iCs/>
          <w:sz w:val="22"/>
          <w:szCs w:val="22"/>
        </w:rPr>
        <w:t>Firma de servidores públicos</w:t>
      </w:r>
    </w:p>
    <w:p w14:paraId="78D38905" w14:textId="77777777" w:rsidR="00230502" w:rsidRPr="00D312B6" w:rsidRDefault="00230502" w:rsidP="00230502">
      <w:pPr>
        <w:spacing w:line="360" w:lineRule="auto"/>
        <w:contextualSpacing/>
        <w:jc w:val="both"/>
        <w:rPr>
          <w:rFonts w:ascii="Palatino Linotype" w:hAnsi="Palatino Linotype" w:cs="Tahoma"/>
          <w:bCs/>
          <w:iCs/>
          <w:sz w:val="22"/>
          <w:szCs w:val="22"/>
        </w:rPr>
      </w:pPr>
      <w:r w:rsidRPr="00D312B6">
        <w:rPr>
          <w:rFonts w:ascii="Palatino Linotype" w:hAnsi="Palatino Linotype" w:cs="Tahoma"/>
          <w:bCs/>
          <w:iCs/>
          <w:sz w:val="22"/>
          <w:szCs w:val="22"/>
        </w:rPr>
        <w:t xml:space="preserve"> </w:t>
      </w:r>
    </w:p>
    <w:p w14:paraId="663C8398" w14:textId="77777777" w:rsidR="00230502" w:rsidRPr="00D312B6" w:rsidRDefault="00230502" w:rsidP="00230502">
      <w:pPr>
        <w:spacing w:line="360" w:lineRule="auto"/>
        <w:contextualSpacing/>
        <w:jc w:val="both"/>
        <w:rPr>
          <w:rFonts w:ascii="Palatino Linotype" w:hAnsi="Palatino Linotype" w:cs="Tahoma"/>
          <w:bCs/>
          <w:iCs/>
          <w:sz w:val="22"/>
          <w:szCs w:val="22"/>
        </w:rPr>
      </w:pPr>
      <w:r w:rsidRPr="00D312B6">
        <w:rPr>
          <w:rFonts w:ascii="Palatino Linotype" w:hAnsi="Palatino Linotype" w:cs="Tahoma"/>
          <w:bCs/>
          <w:iCs/>
          <w:sz w:val="22"/>
          <w:szCs w:val="22"/>
        </w:rPr>
        <w:t>Sobre dicho dato, cabe precisar que, en el presente caso, se trata de los servidores públicos en su calidad de particular, por lo que, es de señalar que la firma es un dato personal confidencial y únicamente será público dicho dato cuando sirva para la emisión de un acto de autoridad, en ejercicio de sus funciones.</w:t>
      </w:r>
    </w:p>
    <w:p w14:paraId="3A9144F2" w14:textId="77777777" w:rsidR="00230502" w:rsidRPr="00D312B6" w:rsidRDefault="00230502" w:rsidP="00230502">
      <w:pPr>
        <w:spacing w:line="360" w:lineRule="auto"/>
        <w:contextualSpacing/>
        <w:jc w:val="both"/>
        <w:rPr>
          <w:rFonts w:ascii="Palatino Linotype" w:hAnsi="Palatino Linotype" w:cs="Tahoma"/>
          <w:bCs/>
          <w:iCs/>
          <w:sz w:val="22"/>
          <w:szCs w:val="22"/>
        </w:rPr>
      </w:pPr>
      <w:r w:rsidRPr="00D312B6">
        <w:rPr>
          <w:rFonts w:ascii="Palatino Linotype" w:hAnsi="Palatino Linotype" w:cs="Tahoma"/>
          <w:bCs/>
          <w:iCs/>
          <w:sz w:val="22"/>
          <w:szCs w:val="22"/>
        </w:rPr>
        <w:t xml:space="preserve"> </w:t>
      </w:r>
    </w:p>
    <w:p w14:paraId="720ED2E0" w14:textId="77777777" w:rsidR="00230502" w:rsidRPr="00D312B6" w:rsidRDefault="00230502" w:rsidP="00230502">
      <w:pPr>
        <w:spacing w:line="360" w:lineRule="auto"/>
        <w:contextualSpacing/>
        <w:jc w:val="both"/>
        <w:rPr>
          <w:rFonts w:ascii="Palatino Linotype" w:hAnsi="Palatino Linotype" w:cs="Tahoma"/>
          <w:bCs/>
          <w:iCs/>
          <w:sz w:val="22"/>
          <w:szCs w:val="22"/>
        </w:rPr>
      </w:pPr>
      <w:r w:rsidRPr="00D312B6">
        <w:rPr>
          <w:rFonts w:ascii="Palatino Linotype" w:hAnsi="Palatino Linotype" w:cs="Tahoma"/>
          <w:bCs/>
          <w:iCs/>
          <w:sz w:val="22"/>
          <w:szCs w:val="22"/>
        </w:rPr>
        <w:t>Lo anterior, es así, toda vez que la firma de servidores públicos, vinculada al ejercicio de la función pública es información de naturaleza pública; situación que se robustece, con el Criterio de Interpretación, de la Segunda Época, con clave de control SO/002/2019, emitido por el Instituto Nacional de Transparencia, Acceso a la Información y Protección de Datos Personales, que establece lo siguiente:</w:t>
      </w:r>
    </w:p>
    <w:p w14:paraId="3DBCC8D9" w14:textId="77777777" w:rsidR="00230502" w:rsidRPr="00D312B6" w:rsidRDefault="00230502" w:rsidP="00230502">
      <w:pPr>
        <w:spacing w:line="360" w:lineRule="auto"/>
        <w:contextualSpacing/>
        <w:jc w:val="both"/>
        <w:rPr>
          <w:rFonts w:ascii="Palatino Linotype" w:hAnsi="Palatino Linotype" w:cs="Tahoma"/>
          <w:bCs/>
          <w:iCs/>
          <w:sz w:val="22"/>
          <w:szCs w:val="22"/>
        </w:rPr>
      </w:pPr>
      <w:r w:rsidRPr="00D312B6">
        <w:rPr>
          <w:rFonts w:ascii="Palatino Linotype" w:hAnsi="Palatino Linotype" w:cs="Tahoma"/>
          <w:bCs/>
          <w:iCs/>
          <w:sz w:val="22"/>
          <w:szCs w:val="22"/>
        </w:rPr>
        <w:t xml:space="preserve"> </w:t>
      </w:r>
    </w:p>
    <w:p w14:paraId="0E71EED9" w14:textId="77777777" w:rsidR="00230502" w:rsidRPr="00D312B6" w:rsidRDefault="00230502" w:rsidP="00230502">
      <w:pPr>
        <w:spacing w:line="360" w:lineRule="auto"/>
        <w:ind w:left="567" w:right="567"/>
        <w:contextualSpacing/>
        <w:jc w:val="both"/>
        <w:rPr>
          <w:rFonts w:ascii="Palatino Linotype" w:hAnsi="Palatino Linotype" w:cs="Tahoma"/>
          <w:bCs/>
          <w:iCs/>
        </w:rPr>
      </w:pPr>
      <w:r w:rsidRPr="00D312B6">
        <w:rPr>
          <w:rFonts w:ascii="Palatino Linotype" w:hAnsi="Palatino Linotype" w:cs="Tahoma"/>
          <w:b/>
          <w:bCs/>
          <w:i/>
          <w:iCs/>
        </w:rPr>
        <w:t>“Firma y rúbrica de servidores públicos.</w:t>
      </w:r>
      <w:r w:rsidRPr="00D312B6">
        <w:rPr>
          <w:rFonts w:ascii="Palatino Linotype" w:hAnsi="Palatino Linotype" w:cs="Tahoma"/>
          <w:bCs/>
          <w:i/>
          <w:iCs/>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43E4AF48" w14:textId="77777777" w:rsidR="00230502" w:rsidRPr="00D312B6" w:rsidRDefault="00230502" w:rsidP="00230502">
      <w:pPr>
        <w:spacing w:line="360" w:lineRule="auto"/>
        <w:contextualSpacing/>
        <w:jc w:val="both"/>
        <w:rPr>
          <w:rFonts w:ascii="Palatino Linotype" w:hAnsi="Palatino Linotype" w:cs="Tahoma"/>
          <w:bCs/>
          <w:iCs/>
          <w:sz w:val="22"/>
          <w:szCs w:val="22"/>
        </w:rPr>
      </w:pPr>
      <w:r w:rsidRPr="00D312B6">
        <w:rPr>
          <w:rFonts w:ascii="Palatino Linotype" w:hAnsi="Palatino Linotype" w:cs="Tahoma"/>
          <w:bCs/>
          <w:iCs/>
          <w:sz w:val="22"/>
          <w:szCs w:val="22"/>
        </w:rPr>
        <w:lastRenderedPageBreak/>
        <w:t xml:space="preserve"> </w:t>
      </w:r>
    </w:p>
    <w:p w14:paraId="37253CB1" w14:textId="77777777" w:rsidR="00230502" w:rsidRPr="00D312B6" w:rsidRDefault="00230502" w:rsidP="00230502">
      <w:pPr>
        <w:spacing w:line="360" w:lineRule="auto"/>
        <w:contextualSpacing/>
        <w:jc w:val="both"/>
        <w:rPr>
          <w:rFonts w:ascii="Palatino Linotype" w:hAnsi="Palatino Linotype" w:cs="Tahoma"/>
          <w:bCs/>
          <w:iCs/>
          <w:sz w:val="22"/>
          <w:szCs w:val="22"/>
        </w:rPr>
      </w:pPr>
      <w:r w:rsidRPr="00D312B6">
        <w:rPr>
          <w:rFonts w:ascii="Palatino Linotype" w:hAnsi="Palatino Linotype" w:cs="Tahoma"/>
          <w:bCs/>
          <w:iCs/>
          <w:sz w:val="22"/>
          <w:szCs w:val="22"/>
        </w:rPr>
        <w:t>Conforme a lo expuesto, en el presente caso, procede la clasificación, en términos del artículo 143, fracción I de la Ley de Transparencia y Acceso a la Información Pública del Estado de México y Municipios, de la firma localizada en el documento comprobatoria de nivel de estudios, pues da cuenta de la aceptación de un grado ante la Secretaría de Educación Pública, que corresponde a una cuestión privada del servidor público.</w:t>
      </w:r>
    </w:p>
    <w:p w14:paraId="1346D4B4" w14:textId="77777777" w:rsidR="00230502" w:rsidRPr="005A4A25" w:rsidRDefault="00230502" w:rsidP="00230502">
      <w:pPr>
        <w:spacing w:line="360" w:lineRule="auto"/>
        <w:contextualSpacing/>
        <w:jc w:val="both"/>
        <w:rPr>
          <w:rFonts w:ascii="Palatino Linotype" w:hAnsi="Palatino Linotype" w:cs="Tahoma"/>
        </w:rPr>
      </w:pPr>
    </w:p>
    <w:p w14:paraId="1F5ABC08" w14:textId="727B8C23" w:rsidR="00230502" w:rsidRPr="005A4A25" w:rsidRDefault="00230502" w:rsidP="00230502">
      <w:pPr>
        <w:spacing w:line="360" w:lineRule="auto"/>
        <w:contextualSpacing/>
        <w:jc w:val="both"/>
        <w:rPr>
          <w:rFonts w:ascii="Palatino Linotype" w:hAnsi="Palatino Linotype" w:cs="Tahoma"/>
          <w:sz w:val="22"/>
          <w:szCs w:val="24"/>
        </w:rPr>
      </w:pPr>
      <w:r w:rsidRPr="005A4A25">
        <w:rPr>
          <w:rFonts w:ascii="Palatino Linotype" w:hAnsi="Palatino Linotype" w:cs="Tahoma"/>
          <w:sz w:val="22"/>
          <w:szCs w:val="24"/>
        </w:rPr>
        <w:t xml:space="preserve">Conforme a lo anterior, se logra vislumbrar que el Sujeto Obligado proporcionó </w:t>
      </w:r>
      <w:r>
        <w:rPr>
          <w:rFonts w:ascii="Palatino Linotype" w:hAnsi="Palatino Linotype" w:cs="Tahoma"/>
          <w:sz w:val="22"/>
          <w:szCs w:val="24"/>
        </w:rPr>
        <w:t>parte de</w:t>
      </w:r>
      <w:r w:rsidRPr="005A4A25">
        <w:rPr>
          <w:rFonts w:ascii="Palatino Linotype" w:hAnsi="Palatino Linotype" w:cs="Tahoma"/>
          <w:sz w:val="22"/>
          <w:szCs w:val="24"/>
        </w:rPr>
        <w:t xml:space="preserve"> </w:t>
      </w:r>
      <w:r>
        <w:rPr>
          <w:rFonts w:ascii="Palatino Linotype" w:hAnsi="Palatino Linotype" w:cs="Tahoma"/>
          <w:sz w:val="22"/>
          <w:szCs w:val="24"/>
        </w:rPr>
        <w:t xml:space="preserve">los </w:t>
      </w:r>
      <w:r w:rsidRPr="005A4A25">
        <w:rPr>
          <w:rFonts w:ascii="Palatino Linotype" w:hAnsi="Palatino Linotype" w:cs="Tahoma"/>
          <w:sz w:val="22"/>
          <w:szCs w:val="24"/>
        </w:rPr>
        <w:t>documento</w:t>
      </w:r>
      <w:r>
        <w:rPr>
          <w:rFonts w:ascii="Palatino Linotype" w:hAnsi="Palatino Linotype" w:cs="Tahoma"/>
          <w:sz w:val="22"/>
          <w:szCs w:val="24"/>
        </w:rPr>
        <w:t>s</w:t>
      </w:r>
      <w:r w:rsidRPr="005A4A25">
        <w:rPr>
          <w:rFonts w:ascii="Palatino Linotype" w:hAnsi="Palatino Linotype" w:cs="Tahoma"/>
          <w:sz w:val="22"/>
          <w:szCs w:val="24"/>
        </w:rPr>
        <w:t xml:space="preserve"> que daba</w:t>
      </w:r>
      <w:r>
        <w:rPr>
          <w:rFonts w:ascii="Palatino Linotype" w:hAnsi="Palatino Linotype" w:cs="Tahoma"/>
          <w:sz w:val="22"/>
          <w:szCs w:val="24"/>
        </w:rPr>
        <w:t>n</w:t>
      </w:r>
      <w:r w:rsidRPr="005A4A25">
        <w:rPr>
          <w:rFonts w:ascii="Palatino Linotype" w:hAnsi="Palatino Linotype" w:cs="Tahoma"/>
          <w:sz w:val="22"/>
          <w:szCs w:val="24"/>
        </w:rPr>
        <w:t xml:space="preserve"> cuenta de lo solicitado, sin embargo, clasificó datos de naturaleza pública, concerniente al nombre del titular </w:t>
      </w:r>
      <w:r>
        <w:rPr>
          <w:rFonts w:ascii="Palatino Linotype" w:hAnsi="Palatino Linotype" w:cs="Tahoma"/>
          <w:sz w:val="22"/>
          <w:szCs w:val="24"/>
        </w:rPr>
        <w:t>de las licencias (persona física), , firma del titular o representante legal, nombre, ubicación, teléfono y área o giro autorizado del establecimiento</w:t>
      </w:r>
      <w:r w:rsidRPr="005A4A25">
        <w:rPr>
          <w:rFonts w:ascii="Palatino Linotype" w:hAnsi="Palatino Linotype" w:cs="Tahoma"/>
          <w:sz w:val="22"/>
          <w:szCs w:val="24"/>
        </w:rPr>
        <w:t>; por lo que, deberá proporcionarlo</w:t>
      </w:r>
      <w:r>
        <w:rPr>
          <w:rFonts w:ascii="Palatino Linotype" w:hAnsi="Palatino Linotype" w:cs="Tahoma"/>
          <w:sz w:val="22"/>
          <w:szCs w:val="24"/>
        </w:rPr>
        <w:t>s</w:t>
      </w:r>
      <w:r w:rsidRPr="005A4A25">
        <w:rPr>
          <w:rFonts w:ascii="Palatino Linotype" w:hAnsi="Palatino Linotype" w:cs="Tahoma"/>
          <w:sz w:val="22"/>
          <w:szCs w:val="24"/>
        </w:rPr>
        <w:t xml:space="preserve"> en </w:t>
      </w:r>
      <w:r>
        <w:rPr>
          <w:rFonts w:ascii="Palatino Linotype" w:hAnsi="Palatino Linotype" w:cs="Tahoma"/>
          <w:sz w:val="22"/>
          <w:szCs w:val="24"/>
        </w:rPr>
        <w:t xml:space="preserve">su caso, en </w:t>
      </w:r>
      <w:r w:rsidRPr="005A4A25">
        <w:rPr>
          <w:rFonts w:ascii="Palatino Linotype" w:hAnsi="Palatino Linotype" w:cs="Tahoma"/>
          <w:sz w:val="22"/>
          <w:szCs w:val="24"/>
        </w:rPr>
        <w:t>versión pública, en donde únicamente podrá testar, en términos del artículo referido en el párrafo anterior, el domicilio particular</w:t>
      </w:r>
      <w:r>
        <w:rPr>
          <w:rFonts w:ascii="Palatino Linotype" w:hAnsi="Palatino Linotype" w:cs="Tahoma"/>
          <w:sz w:val="22"/>
          <w:szCs w:val="24"/>
        </w:rPr>
        <w:t>, el Registro Federal de Contribuyentes de personas físicas y</w:t>
      </w:r>
      <w:r w:rsidRPr="005A4A25">
        <w:rPr>
          <w:rFonts w:ascii="Palatino Linotype" w:hAnsi="Palatino Linotype" w:cs="Tahoma"/>
          <w:sz w:val="22"/>
          <w:szCs w:val="24"/>
        </w:rPr>
        <w:t xml:space="preserve"> la fotografía.</w:t>
      </w:r>
    </w:p>
    <w:p w14:paraId="76EC530C" w14:textId="77777777" w:rsidR="00230502" w:rsidRPr="005A4A25" w:rsidRDefault="00230502" w:rsidP="00230502">
      <w:pPr>
        <w:spacing w:line="360" w:lineRule="auto"/>
        <w:contextualSpacing/>
        <w:jc w:val="both"/>
        <w:rPr>
          <w:rFonts w:ascii="Palatino Linotype" w:hAnsi="Palatino Linotype" w:cs="Tahoma"/>
          <w:bCs/>
          <w:sz w:val="22"/>
          <w:szCs w:val="22"/>
        </w:rPr>
      </w:pPr>
    </w:p>
    <w:p w14:paraId="633AF2E3" w14:textId="77777777" w:rsidR="00230502" w:rsidRPr="005A4A25" w:rsidRDefault="00230502" w:rsidP="00230502">
      <w:pPr>
        <w:spacing w:line="360" w:lineRule="auto"/>
        <w:contextualSpacing/>
        <w:jc w:val="both"/>
        <w:rPr>
          <w:rFonts w:ascii="Palatino Linotype" w:hAnsi="Palatino Linotype" w:cs="Tahoma"/>
          <w:bCs/>
          <w:sz w:val="22"/>
          <w:szCs w:val="22"/>
        </w:rPr>
      </w:pPr>
      <w:r w:rsidRPr="005A4A25">
        <w:rPr>
          <w:rFonts w:ascii="Palatino Linotype" w:hAnsi="Palatino Linotype" w:cs="Tahoma"/>
          <w:bCs/>
          <w:sz w:val="22"/>
          <w:szCs w:val="22"/>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6D36AB13" w14:textId="77777777" w:rsidR="00D1222A" w:rsidRDefault="00D1222A" w:rsidP="000F3AB5">
      <w:pPr>
        <w:spacing w:line="360" w:lineRule="auto"/>
        <w:contextualSpacing/>
        <w:jc w:val="both"/>
        <w:rPr>
          <w:rFonts w:ascii="Palatino Linotype" w:eastAsia="Palatino Linotype" w:hAnsi="Palatino Linotype" w:cs="Palatino Linotype"/>
          <w:sz w:val="22"/>
          <w:szCs w:val="22"/>
        </w:rPr>
      </w:pPr>
    </w:p>
    <w:p w14:paraId="654DFBED" w14:textId="77777777" w:rsidR="00D1222A" w:rsidRDefault="00D1222A" w:rsidP="000F3AB5">
      <w:pPr>
        <w:pStyle w:val="Ttulo2"/>
        <w:spacing w:before="0" w:after="0" w:line="360" w:lineRule="auto"/>
        <w:contextualSpacing/>
        <w:rPr>
          <w:rFonts w:ascii="Palatino Linotype" w:eastAsia="Palatino Linotype" w:hAnsi="Palatino Linotype" w:cs="Palatino Linotype"/>
          <w:b/>
          <w:color w:val="000000"/>
          <w:sz w:val="22"/>
          <w:szCs w:val="22"/>
        </w:rPr>
      </w:pPr>
      <w:bookmarkStart w:id="20" w:name="_Toc215679576"/>
      <w:bookmarkStart w:id="21" w:name="_Toc221203756"/>
      <w:r>
        <w:rPr>
          <w:rFonts w:ascii="Palatino Linotype" w:eastAsia="Palatino Linotype" w:hAnsi="Palatino Linotype" w:cs="Palatino Linotype"/>
          <w:b/>
          <w:color w:val="000000"/>
          <w:sz w:val="22"/>
          <w:szCs w:val="22"/>
        </w:rPr>
        <w:t>SEXTO. Decisión</w:t>
      </w:r>
      <w:bookmarkEnd w:id="20"/>
      <w:bookmarkEnd w:id="21"/>
    </w:p>
    <w:p w14:paraId="7BC68F08" w14:textId="77777777" w:rsidR="00D1222A" w:rsidRDefault="00D1222A" w:rsidP="000F3AB5">
      <w:pPr>
        <w:spacing w:line="360" w:lineRule="auto"/>
        <w:contextualSpacing/>
        <w:jc w:val="both"/>
        <w:rPr>
          <w:rFonts w:ascii="Palatino Linotype" w:eastAsia="Palatino Linotype" w:hAnsi="Palatino Linotype" w:cs="Palatino Linotype"/>
          <w:sz w:val="22"/>
          <w:szCs w:val="22"/>
        </w:rPr>
      </w:pPr>
    </w:p>
    <w:p w14:paraId="0189FA67" w14:textId="15A48AD5" w:rsidR="00D1222A" w:rsidRDefault="00D1222A" w:rsidP="000F3AB5">
      <w:pPr>
        <w:tabs>
          <w:tab w:val="left" w:pos="4962"/>
        </w:tabs>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 fundamento en el artículo 186, fracción III, de la Ley de Transparencia y Acceso a la Información Pública del Estado de México y Municipios, este Instituto considera procedente </w:t>
      </w:r>
      <w:r w:rsidR="00BA1092">
        <w:rPr>
          <w:rFonts w:ascii="Palatino Linotype" w:eastAsia="Palatino Linotype" w:hAnsi="Palatino Linotype" w:cs="Palatino Linotype"/>
          <w:b/>
          <w:sz w:val="22"/>
          <w:szCs w:val="22"/>
        </w:rPr>
        <w:t>MODIFI</w:t>
      </w:r>
      <w:r>
        <w:rPr>
          <w:rFonts w:ascii="Palatino Linotype" w:eastAsia="Palatino Linotype" w:hAnsi="Palatino Linotype" w:cs="Palatino Linotype"/>
          <w:b/>
          <w:sz w:val="22"/>
          <w:szCs w:val="22"/>
        </w:rPr>
        <w:t>CAR</w:t>
      </w:r>
      <w:r>
        <w:rPr>
          <w:rFonts w:ascii="Palatino Linotype" w:eastAsia="Palatino Linotype" w:hAnsi="Palatino Linotype" w:cs="Palatino Linotype"/>
          <w:sz w:val="22"/>
          <w:szCs w:val="22"/>
        </w:rPr>
        <w:t xml:space="preserve"> la respuesta otorgada a la solicitud de información </w:t>
      </w:r>
      <w:r w:rsidR="00BA1092" w:rsidRPr="002E01B9">
        <w:rPr>
          <w:rFonts w:ascii="Palatino Linotype" w:eastAsia="Palatino Linotype" w:hAnsi="Palatino Linotype" w:cs="Palatino Linotype"/>
          <w:sz w:val="22"/>
          <w:szCs w:val="22"/>
        </w:rPr>
        <w:t>00044/MARTIPIR/IP/2025</w:t>
      </w:r>
      <w:r>
        <w:rPr>
          <w:rFonts w:ascii="Palatino Linotype" w:eastAsia="Palatino Linotype" w:hAnsi="Palatino Linotype" w:cs="Palatino Linotype"/>
          <w:sz w:val="22"/>
          <w:szCs w:val="22"/>
        </w:rPr>
        <w:t>, a efecto de que, proporcione la información faltante.</w:t>
      </w:r>
    </w:p>
    <w:p w14:paraId="255801B5" w14:textId="77777777" w:rsidR="00D1222A" w:rsidRDefault="00D1222A" w:rsidP="000F3AB5">
      <w:pPr>
        <w:spacing w:line="360" w:lineRule="auto"/>
        <w:contextualSpacing/>
        <w:jc w:val="both"/>
        <w:rPr>
          <w:rFonts w:ascii="Palatino Linotype" w:eastAsia="Palatino Linotype" w:hAnsi="Palatino Linotype" w:cs="Palatino Linotype"/>
          <w:b/>
          <w:color w:val="000000"/>
          <w:sz w:val="22"/>
          <w:szCs w:val="22"/>
        </w:rPr>
      </w:pPr>
      <w:bookmarkStart w:id="22" w:name="_heading=h.u9526am5hh65" w:colFirst="0" w:colLast="0"/>
      <w:bookmarkEnd w:id="22"/>
      <w:r>
        <w:rPr>
          <w:rFonts w:ascii="Palatino Linotype" w:eastAsia="Palatino Linotype" w:hAnsi="Palatino Linotype" w:cs="Palatino Linotype"/>
          <w:b/>
          <w:color w:val="000000"/>
          <w:sz w:val="22"/>
          <w:szCs w:val="22"/>
        </w:rPr>
        <w:lastRenderedPageBreak/>
        <w:t>Términos de la Resolución para el Recurrente</w:t>
      </w:r>
    </w:p>
    <w:p w14:paraId="3C4650C0" w14:textId="77777777" w:rsidR="00D1222A" w:rsidRDefault="00D1222A" w:rsidP="000F3AB5">
      <w:pPr>
        <w:spacing w:line="360" w:lineRule="auto"/>
        <w:contextualSpacing/>
        <w:jc w:val="both"/>
        <w:rPr>
          <w:rFonts w:ascii="Palatino Linotype" w:eastAsia="Palatino Linotype" w:hAnsi="Palatino Linotype" w:cs="Palatino Linotype"/>
          <w:b/>
          <w:color w:val="000000"/>
          <w:sz w:val="22"/>
          <w:szCs w:val="22"/>
        </w:rPr>
      </w:pPr>
    </w:p>
    <w:p w14:paraId="14724B30" w14:textId="751C268D" w:rsidR="00D1222A" w:rsidRDefault="00D1222A" w:rsidP="000F3AB5">
      <w:pPr>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Se le hace del conocimiento al Particular, que, en el presente caso, se le concede la razón, pues el Ayuntamiento de </w:t>
      </w:r>
      <w:r w:rsidR="00BA1092">
        <w:rPr>
          <w:rFonts w:ascii="Palatino Linotype" w:eastAsia="Palatino Linotype" w:hAnsi="Palatino Linotype" w:cs="Palatino Linotype"/>
          <w:color w:val="000000"/>
          <w:sz w:val="22"/>
          <w:szCs w:val="22"/>
        </w:rPr>
        <w:t>San Martín de las Pirámides</w:t>
      </w:r>
      <w:r>
        <w:rPr>
          <w:rFonts w:ascii="Palatino Linotype" w:eastAsia="Palatino Linotype" w:hAnsi="Palatino Linotype" w:cs="Palatino Linotype"/>
          <w:color w:val="000000"/>
          <w:sz w:val="22"/>
          <w:szCs w:val="22"/>
        </w:rPr>
        <w:t>, omitió la entrega de la información solicitada, sumado a que omitió gestionar la solicitud a las unidades administrativas competentes, por lo que deberá turnar la solicitud a efecto de proporcionar la información requerida. La labor del Instituto, es apoyar a la población para acceder a la información pública y garantizar la protección de los datos personales.</w:t>
      </w:r>
    </w:p>
    <w:p w14:paraId="7FBB2BED" w14:textId="77777777" w:rsidR="00D1222A" w:rsidRDefault="00D1222A" w:rsidP="000F3AB5">
      <w:pPr>
        <w:spacing w:line="360" w:lineRule="auto"/>
        <w:contextualSpacing/>
        <w:jc w:val="both"/>
        <w:rPr>
          <w:rFonts w:ascii="Palatino Linotype" w:eastAsia="Palatino Linotype" w:hAnsi="Palatino Linotype" w:cs="Palatino Linotype"/>
          <w:color w:val="000000"/>
          <w:sz w:val="22"/>
          <w:szCs w:val="22"/>
        </w:rPr>
      </w:pPr>
    </w:p>
    <w:p w14:paraId="4A912BD7" w14:textId="77777777" w:rsidR="00D1222A" w:rsidRDefault="00D1222A" w:rsidP="000F3AB5">
      <w:pPr>
        <w:spacing w:line="360" w:lineRule="auto"/>
        <w:ind w:right="-93"/>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Por lo expuesto y fundado, este Pleno:</w:t>
      </w:r>
    </w:p>
    <w:p w14:paraId="3E4BC3FA" w14:textId="77777777" w:rsidR="00D1222A" w:rsidRDefault="00D1222A" w:rsidP="000F3AB5">
      <w:pPr>
        <w:spacing w:line="360" w:lineRule="auto"/>
        <w:ind w:right="-93"/>
        <w:contextualSpacing/>
        <w:jc w:val="both"/>
        <w:rPr>
          <w:rFonts w:ascii="Palatino Linotype" w:eastAsia="Palatino Linotype" w:hAnsi="Palatino Linotype" w:cs="Palatino Linotype"/>
          <w:color w:val="000000"/>
          <w:sz w:val="22"/>
          <w:szCs w:val="22"/>
        </w:rPr>
      </w:pPr>
    </w:p>
    <w:p w14:paraId="7BAA24BC" w14:textId="77777777" w:rsidR="00D1222A" w:rsidRDefault="00D1222A" w:rsidP="000F3AB5">
      <w:pPr>
        <w:pStyle w:val="Ttulo1"/>
        <w:spacing w:before="0" w:after="0" w:line="360" w:lineRule="auto"/>
        <w:contextualSpacing/>
        <w:jc w:val="center"/>
        <w:rPr>
          <w:rFonts w:ascii="Palatino Linotype" w:eastAsia="Palatino Linotype" w:hAnsi="Palatino Linotype" w:cs="Palatino Linotype"/>
          <w:b/>
          <w:color w:val="000000"/>
          <w:sz w:val="22"/>
          <w:szCs w:val="22"/>
        </w:rPr>
      </w:pPr>
      <w:bookmarkStart w:id="23" w:name="_Toc215679577"/>
      <w:bookmarkStart w:id="24" w:name="_Toc221203757"/>
      <w:r>
        <w:rPr>
          <w:rFonts w:ascii="Palatino Linotype" w:eastAsia="Palatino Linotype" w:hAnsi="Palatino Linotype" w:cs="Palatino Linotype"/>
          <w:b/>
          <w:color w:val="000000"/>
          <w:sz w:val="22"/>
          <w:szCs w:val="22"/>
        </w:rPr>
        <w:t>R E S U E L V E</w:t>
      </w:r>
      <w:bookmarkEnd w:id="23"/>
      <w:bookmarkEnd w:id="24"/>
    </w:p>
    <w:p w14:paraId="4950351C" w14:textId="77777777" w:rsidR="00D1222A" w:rsidRDefault="00D1222A" w:rsidP="000F3AB5">
      <w:pPr>
        <w:spacing w:line="360" w:lineRule="auto"/>
        <w:ind w:right="-28"/>
        <w:contextualSpacing/>
        <w:jc w:val="both"/>
        <w:rPr>
          <w:rFonts w:ascii="Palatino Linotype" w:eastAsia="Palatino Linotype" w:hAnsi="Palatino Linotype" w:cs="Palatino Linotype"/>
          <w:b/>
          <w:sz w:val="22"/>
          <w:szCs w:val="22"/>
        </w:rPr>
      </w:pPr>
    </w:p>
    <w:p w14:paraId="251253E8" w14:textId="779F670A" w:rsidR="00D1222A" w:rsidRDefault="00D1222A" w:rsidP="000F3AB5">
      <w:pPr>
        <w:widowControl w:val="0"/>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PRIMERO. </w:t>
      </w:r>
      <w:r>
        <w:rPr>
          <w:rFonts w:ascii="Palatino Linotype" w:eastAsia="Palatino Linotype" w:hAnsi="Palatino Linotype" w:cs="Palatino Linotype"/>
          <w:sz w:val="22"/>
          <w:szCs w:val="22"/>
        </w:rPr>
        <w:t xml:space="preserve">Se </w:t>
      </w:r>
      <w:r w:rsidR="00BA1092">
        <w:rPr>
          <w:rFonts w:ascii="Palatino Linotype" w:eastAsia="Palatino Linotype" w:hAnsi="Palatino Linotype" w:cs="Palatino Linotype"/>
          <w:b/>
          <w:sz w:val="22"/>
          <w:szCs w:val="22"/>
        </w:rPr>
        <w:t>MODIFI</w:t>
      </w:r>
      <w:r>
        <w:rPr>
          <w:rFonts w:ascii="Palatino Linotype" w:eastAsia="Palatino Linotype" w:hAnsi="Palatino Linotype" w:cs="Palatino Linotype"/>
          <w:b/>
          <w:sz w:val="22"/>
          <w:szCs w:val="22"/>
        </w:rPr>
        <w:t xml:space="preserve">CA </w:t>
      </w:r>
      <w:r>
        <w:rPr>
          <w:rFonts w:ascii="Palatino Linotype" w:eastAsia="Palatino Linotype" w:hAnsi="Palatino Linotype" w:cs="Palatino Linotype"/>
          <w:sz w:val="22"/>
          <w:szCs w:val="22"/>
        </w:rPr>
        <w:t>la</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 xml:space="preserve">respuesta entregada por el Ayuntamiento de </w:t>
      </w:r>
      <w:r w:rsidR="00BA1092">
        <w:rPr>
          <w:rFonts w:ascii="Palatino Linotype" w:eastAsia="Palatino Linotype" w:hAnsi="Palatino Linotype" w:cs="Palatino Linotype"/>
          <w:sz w:val="22"/>
          <w:szCs w:val="22"/>
        </w:rPr>
        <w:t xml:space="preserve">San Martín de las Pirámides </w:t>
      </w:r>
      <w:r>
        <w:rPr>
          <w:rFonts w:ascii="Palatino Linotype" w:eastAsia="Palatino Linotype" w:hAnsi="Palatino Linotype" w:cs="Palatino Linotype"/>
          <w:sz w:val="22"/>
          <w:szCs w:val="22"/>
        </w:rPr>
        <w:t xml:space="preserve">a la solicitud de información </w:t>
      </w:r>
      <w:r w:rsidR="00BA1092" w:rsidRPr="002E01B9">
        <w:rPr>
          <w:rFonts w:ascii="Palatino Linotype" w:eastAsia="Palatino Linotype" w:hAnsi="Palatino Linotype" w:cs="Palatino Linotype"/>
          <w:sz w:val="22"/>
          <w:szCs w:val="22"/>
        </w:rPr>
        <w:t>00044/MARTIPIR/IP/2025</w:t>
      </w:r>
      <w:r w:rsidR="00BA1092">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 xml:space="preserve">por resultar </w:t>
      </w:r>
      <w:r>
        <w:rPr>
          <w:rFonts w:ascii="Palatino Linotype" w:eastAsia="Palatino Linotype" w:hAnsi="Palatino Linotype" w:cs="Palatino Linotype"/>
          <w:b/>
          <w:smallCaps/>
          <w:sz w:val="22"/>
          <w:szCs w:val="22"/>
        </w:rPr>
        <w:t>FUNDADAS</w:t>
      </w:r>
      <w:r>
        <w:rPr>
          <w:rFonts w:ascii="Palatino Linotype" w:eastAsia="Palatino Linotype" w:hAnsi="Palatino Linotype" w:cs="Palatino Linotype"/>
          <w:sz w:val="22"/>
          <w:szCs w:val="22"/>
        </w:rPr>
        <w:t xml:space="preserve"> las razones o motivos de inconformidad hechos valer por el Recurrente, en términos de los considerandos QUINTO y SEXTO de la presente Resolución.</w:t>
      </w:r>
    </w:p>
    <w:p w14:paraId="4B29B1DD" w14:textId="77777777" w:rsidR="00D1222A" w:rsidRDefault="00D1222A" w:rsidP="000F3AB5">
      <w:pPr>
        <w:widowControl w:val="0"/>
        <w:spacing w:line="360" w:lineRule="auto"/>
        <w:contextualSpacing/>
        <w:jc w:val="both"/>
        <w:rPr>
          <w:rFonts w:ascii="Palatino Linotype" w:eastAsia="Palatino Linotype" w:hAnsi="Palatino Linotype" w:cs="Palatino Linotype"/>
          <w:sz w:val="22"/>
          <w:szCs w:val="22"/>
        </w:rPr>
      </w:pPr>
    </w:p>
    <w:p w14:paraId="1999492C" w14:textId="6EC2FCF4" w:rsidR="00D1222A" w:rsidRDefault="00D1222A" w:rsidP="000F3AB5">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SEGUNDO. </w:t>
      </w:r>
      <w:r>
        <w:rPr>
          <w:rFonts w:ascii="Palatino Linotype" w:eastAsia="Palatino Linotype" w:hAnsi="Palatino Linotype" w:cs="Palatino Linotype"/>
          <w:sz w:val="22"/>
          <w:szCs w:val="22"/>
        </w:rPr>
        <w:t xml:space="preserve">Se </w:t>
      </w:r>
      <w:r>
        <w:rPr>
          <w:rFonts w:ascii="Palatino Linotype" w:eastAsia="Palatino Linotype" w:hAnsi="Palatino Linotype" w:cs="Palatino Linotype"/>
          <w:b/>
          <w:sz w:val="22"/>
          <w:szCs w:val="22"/>
        </w:rPr>
        <w:t>ORDENA</w:t>
      </w:r>
      <w:r>
        <w:rPr>
          <w:rFonts w:ascii="Palatino Linotype" w:eastAsia="Palatino Linotype" w:hAnsi="Palatino Linotype" w:cs="Palatino Linotype"/>
          <w:sz w:val="22"/>
          <w:szCs w:val="22"/>
        </w:rPr>
        <w:t xml:space="preserve"> al Ente Recurrido</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a efecto de que entregue</w:t>
      </w:r>
      <w:r w:rsidRPr="00FC4808">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 xml:space="preserve">previa búsqueda exhaustiva y razonable en las unidades administrativas competentes, a través del SAIMEX, </w:t>
      </w:r>
      <w:r w:rsidR="00BA1092">
        <w:rPr>
          <w:rFonts w:ascii="Palatino Linotype" w:hAnsi="Palatino Linotype"/>
          <w:sz w:val="22"/>
          <w:szCs w:val="22"/>
        </w:rPr>
        <w:t>r</w:t>
      </w:r>
      <w:r w:rsidR="00BA1092" w:rsidRPr="00587816">
        <w:rPr>
          <w:rFonts w:ascii="Palatino Linotype" w:hAnsi="Palatino Linotype"/>
          <w:sz w:val="22"/>
          <w:szCs w:val="22"/>
        </w:rPr>
        <w:t>especto de las licencias de funcionamiento, permiso o autorización emitidas para la venta de bebidas alcohólicas, al primero de abril de dos mil veinticinco</w:t>
      </w:r>
      <w:r w:rsidR="00BA1092">
        <w:rPr>
          <w:rFonts w:ascii="Palatino Linotype" w:hAnsi="Palatino Linotype"/>
          <w:sz w:val="22"/>
          <w:szCs w:val="22"/>
        </w:rPr>
        <w:t xml:space="preserve">, </w:t>
      </w:r>
      <w:r>
        <w:rPr>
          <w:rFonts w:ascii="Palatino Linotype" w:eastAsia="Palatino Linotype" w:hAnsi="Palatino Linotype" w:cs="Palatino Linotype"/>
          <w:sz w:val="22"/>
          <w:szCs w:val="22"/>
        </w:rPr>
        <w:t>los documentos que den cuenta de lo siguiente:</w:t>
      </w:r>
    </w:p>
    <w:p w14:paraId="2898E751" w14:textId="77777777" w:rsidR="00D1222A" w:rsidRDefault="00D1222A" w:rsidP="000F3AB5">
      <w:pPr>
        <w:spacing w:line="360" w:lineRule="auto"/>
        <w:contextualSpacing/>
        <w:jc w:val="both"/>
        <w:rPr>
          <w:rFonts w:ascii="Palatino Linotype" w:eastAsia="Palatino Linotype" w:hAnsi="Palatino Linotype" w:cs="Palatino Linotype"/>
          <w:sz w:val="22"/>
          <w:szCs w:val="22"/>
        </w:rPr>
      </w:pPr>
    </w:p>
    <w:p w14:paraId="4A2A9341" w14:textId="3174C5E8" w:rsidR="00865F5C" w:rsidRPr="00FF6F46" w:rsidRDefault="00865F5C" w:rsidP="00865F5C">
      <w:pPr>
        <w:pStyle w:val="Prrafodelista"/>
        <w:numPr>
          <w:ilvl w:val="0"/>
          <w:numId w:val="19"/>
        </w:numPr>
        <w:spacing w:after="160" w:line="360" w:lineRule="auto"/>
        <w:jc w:val="both"/>
        <w:rPr>
          <w:rFonts w:ascii="Palatino Linotype" w:hAnsi="Palatino Linotype"/>
          <w:sz w:val="22"/>
          <w:szCs w:val="22"/>
        </w:rPr>
      </w:pPr>
      <w:r w:rsidRPr="00FF6F46">
        <w:rPr>
          <w:rFonts w:ascii="Palatino Linotype" w:hAnsi="Palatino Linotype"/>
          <w:sz w:val="22"/>
          <w:szCs w:val="22"/>
        </w:rPr>
        <w:t>Resultado de la visita de verificación al establecimiento ubicado en: Casimiro L. Martínez, casi esquina con Boulevard Torrente Piedras Negras;</w:t>
      </w:r>
    </w:p>
    <w:p w14:paraId="1781AF60" w14:textId="53FFDE57" w:rsidR="00FB1F61" w:rsidRDefault="00FB1F61" w:rsidP="00BA1092">
      <w:pPr>
        <w:pStyle w:val="Prrafodelista"/>
        <w:numPr>
          <w:ilvl w:val="0"/>
          <w:numId w:val="19"/>
        </w:numPr>
        <w:spacing w:after="160" w:line="360" w:lineRule="auto"/>
        <w:jc w:val="both"/>
        <w:rPr>
          <w:rFonts w:ascii="Palatino Linotype" w:hAnsi="Palatino Linotype"/>
          <w:sz w:val="22"/>
          <w:szCs w:val="22"/>
        </w:rPr>
      </w:pPr>
      <w:r>
        <w:rPr>
          <w:rFonts w:ascii="Palatino Linotype" w:hAnsi="Palatino Linotype"/>
          <w:sz w:val="22"/>
          <w:szCs w:val="22"/>
        </w:rPr>
        <w:lastRenderedPageBreak/>
        <w:t>La Licencia de funcionamiento remitida en respuesta;</w:t>
      </w:r>
    </w:p>
    <w:p w14:paraId="542D3C84" w14:textId="5FCAC802" w:rsidR="00BA1092" w:rsidRDefault="00BA1092" w:rsidP="00BA1092">
      <w:pPr>
        <w:pStyle w:val="Prrafodelista"/>
        <w:numPr>
          <w:ilvl w:val="0"/>
          <w:numId w:val="19"/>
        </w:numPr>
        <w:spacing w:after="160" w:line="360" w:lineRule="auto"/>
        <w:jc w:val="both"/>
        <w:rPr>
          <w:rFonts w:ascii="Palatino Linotype" w:hAnsi="Palatino Linotype"/>
          <w:sz w:val="22"/>
          <w:szCs w:val="22"/>
        </w:rPr>
      </w:pPr>
      <w:r>
        <w:rPr>
          <w:rFonts w:ascii="Palatino Linotype" w:hAnsi="Palatino Linotype"/>
          <w:sz w:val="22"/>
          <w:szCs w:val="22"/>
        </w:rPr>
        <w:t>L</w:t>
      </w:r>
      <w:r w:rsidRPr="00587816">
        <w:rPr>
          <w:rFonts w:ascii="Palatino Linotype" w:hAnsi="Palatino Linotype"/>
          <w:sz w:val="22"/>
          <w:szCs w:val="22"/>
        </w:rPr>
        <w:t>icencia</w:t>
      </w:r>
      <w:r>
        <w:rPr>
          <w:rFonts w:ascii="Palatino Linotype" w:hAnsi="Palatino Linotype"/>
          <w:sz w:val="22"/>
          <w:szCs w:val="22"/>
        </w:rPr>
        <w:t>s</w:t>
      </w:r>
      <w:r w:rsidRPr="00587816">
        <w:rPr>
          <w:rFonts w:ascii="Palatino Linotype" w:hAnsi="Palatino Linotype"/>
          <w:sz w:val="22"/>
          <w:szCs w:val="22"/>
        </w:rPr>
        <w:t xml:space="preserve"> de funcionamiento, permiso o autorización emitidas</w:t>
      </w:r>
      <w:r>
        <w:rPr>
          <w:rFonts w:ascii="Palatino Linotype" w:hAnsi="Palatino Linotype"/>
          <w:sz w:val="22"/>
          <w:szCs w:val="22"/>
        </w:rPr>
        <w:t xml:space="preserve"> del cuatro de abril de dos mil veinticuatro al cuatro de abril de dos mil veinticinco</w:t>
      </w:r>
      <w:r w:rsidR="001C5D9E">
        <w:rPr>
          <w:rFonts w:ascii="Palatino Linotype" w:hAnsi="Palatino Linotype"/>
          <w:sz w:val="22"/>
          <w:szCs w:val="22"/>
        </w:rPr>
        <w:t>, para venta de bebidas alcohólicas</w:t>
      </w:r>
      <w:r w:rsidR="00FB1F61">
        <w:rPr>
          <w:rFonts w:ascii="Palatino Linotype" w:hAnsi="Palatino Linotype"/>
          <w:sz w:val="22"/>
          <w:szCs w:val="22"/>
        </w:rPr>
        <w:t>;</w:t>
      </w:r>
    </w:p>
    <w:p w14:paraId="667777AE" w14:textId="12247FAF" w:rsidR="00BA1092" w:rsidRPr="00587816" w:rsidRDefault="00BA1092" w:rsidP="00BA1092">
      <w:pPr>
        <w:pStyle w:val="Prrafodelista"/>
        <w:numPr>
          <w:ilvl w:val="0"/>
          <w:numId w:val="19"/>
        </w:numPr>
        <w:spacing w:after="160" w:line="360" w:lineRule="auto"/>
        <w:jc w:val="both"/>
        <w:rPr>
          <w:rFonts w:ascii="Palatino Linotype" w:hAnsi="Palatino Linotype"/>
          <w:sz w:val="22"/>
          <w:szCs w:val="22"/>
        </w:rPr>
      </w:pPr>
      <w:r w:rsidRPr="00587816">
        <w:rPr>
          <w:rFonts w:ascii="Palatino Linotype" w:hAnsi="Palatino Linotype"/>
          <w:sz w:val="22"/>
          <w:szCs w:val="22"/>
        </w:rPr>
        <w:t>Acta</w:t>
      </w:r>
      <w:r>
        <w:rPr>
          <w:rFonts w:ascii="Palatino Linotype" w:hAnsi="Palatino Linotype"/>
          <w:sz w:val="22"/>
          <w:szCs w:val="22"/>
        </w:rPr>
        <w:t>s</w:t>
      </w:r>
      <w:r w:rsidRPr="00587816">
        <w:rPr>
          <w:rFonts w:ascii="Palatino Linotype" w:hAnsi="Palatino Linotype"/>
          <w:sz w:val="22"/>
          <w:szCs w:val="22"/>
        </w:rPr>
        <w:t xml:space="preserve"> de </w:t>
      </w:r>
      <w:r>
        <w:rPr>
          <w:rFonts w:ascii="Palatino Linotype" w:hAnsi="Palatino Linotype"/>
          <w:sz w:val="22"/>
          <w:szCs w:val="22"/>
        </w:rPr>
        <w:t>C</w:t>
      </w:r>
      <w:r w:rsidRPr="00587816">
        <w:rPr>
          <w:rFonts w:ascii="Palatino Linotype" w:hAnsi="Palatino Linotype"/>
          <w:sz w:val="22"/>
          <w:szCs w:val="22"/>
        </w:rPr>
        <w:t>abildo</w:t>
      </w:r>
      <w:r>
        <w:rPr>
          <w:rFonts w:ascii="Palatino Linotype" w:hAnsi="Palatino Linotype"/>
          <w:sz w:val="22"/>
          <w:szCs w:val="22"/>
        </w:rPr>
        <w:t xml:space="preserve"> o Dictámenes de Giro</w:t>
      </w:r>
      <w:r w:rsidRPr="00587816">
        <w:rPr>
          <w:rFonts w:ascii="Palatino Linotype" w:hAnsi="Palatino Linotype"/>
          <w:sz w:val="22"/>
          <w:szCs w:val="22"/>
        </w:rPr>
        <w:t xml:space="preserve"> a través de la</w:t>
      </w:r>
      <w:r>
        <w:rPr>
          <w:rFonts w:ascii="Palatino Linotype" w:hAnsi="Palatino Linotype"/>
          <w:sz w:val="22"/>
          <w:szCs w:val="22"/>
        </w:rPr>
        <w:t>s</w:t>
      </w:r>
      <w:r w:rsidRPr="00587816">
        <w:rPr>
          <w:rFonts w:ascii="Palatino Linotype" w:hAnsi="Palatino Linotype"/>
          <w:sz w:val="22"/>
          <w:szCs w:val="22"/>
        </w:rPr>
        <w:t xml:space="preserve"> cual</w:t>
      </w:r>
      <w:r>
        <w:rPr>
          <w:rFonts w:ascii="Palatino Linotype" w:hAnsi="Palatino Linotype"/>
          <w:sz w:val="22"/>
          <w:szCs w:val="22"/>
        </w:rPr>
        <w:t>es</w:t>
      </w:r>
      <w:r w:rsidRPr="00587816">
        <w:rPr>
          <w:rFonts w:ascii="Palatino Linotype" w:hAnsi="Palatino Linotype"/>
          <w:sz w:val="22"/>
          <w:szCs w:val="22"/>
        </w:rPr>
        <w:t xml:space="preserve"> se aprobó su emisión</w:t>
      </w:r>
      <w:r w:rsidR="001C5D9E">
        <w:rPr>
          <w:rFonts w:ascii="Palatino Linotype" w:hAnsi="Palatino Linotype"/>
          <w:sz w:val="22"/>
          <w:szCs w:val="22"/>
        </w:rPr>
        <w:t xml:space="preserve"> de las autorizaciones que den cuenta del numeral </w:t>
      </w:r>
      <w:r w:rsidR="00865F5C">
        <w:rPr>
          <w:rFonts w:ascii="Palatino Linotype" w:hAnsi="Palatino Linotype"/>
          <w:sz w:val="22"/>
          <w:szCs w:val="22"/>
        </w:rPr>
        <w:t>3</w:t>
      </w:r>
      <w:r w:rsidR="00FB1F61">
        <w:rPr>
          <w:rFonts w:ascii="Palatino Linotype" w:hAnsi="Palatino Linotype"/>
          <w:sz w:val="22"/>
          <w:szCs w:val="22"/>
        </w:rPr>
        <w:t>;</w:t>
      </w:r>
      <w:r w:rsidRPr="00587816">
        <w:rPr>
          <w:rFonts w:ascii="Palatino Linotype" w:hAnsi="Palatino Linotype"/>
          <w:sz w:val="22"/>
          <w:szCs w:val="22"/>
        </w:rPr>
        <w:t xml:space="preserve"> </w:t>
      </w:r>
    </w:p>
    <w:p w14:paraId="1037455A" w14:textId="7E3DF87C" w:rsidR="00BA1092" w:rsidRPr="00587816" w:rsidRDefault="00BA1092" w:rsidP="00BA1092">
      <w:pPr>
        <w:pStyle w:val="Prrafodelista"/>
        <w:numPr>
          <w:ilvl w:val="0"/>
          <w:numId w:val="19"/>
        </w:numPr>
        <w:spacing w:after="160" w:line="360" w:lineRule="auto"/>
        <w:jc w:val="both"/>
        <w:rPr>
          <w:rFonts w:ascii="Palatino Linotype" w:hAnsi="Palatino Linotype"/>
          <w:sz w:val="22"/>
          <w:szCs w:val="22"/>
        </w:rPr>
      </w:pPr>
      <w:r>
        <w:rPr>
          <w:rFonts w:ascii="Palatino Linotype" w:hAnsi="Palatino Linotype"/>
          <w:sz w:val="22"/>
          <w:szCs w:val="22"/>
        </w:rPr>
        <w:t>V</w:t>
      </w:r>
      <w:r w:rsidRPr="00587816">
        <w:rPr>
          <w:rFonts w:ascii="Palatino Linotype" w:hAnsi="Palatino Linotype"/>
          <w:sz w:val="22"/>
          <w:szCs w:val="22"/>
        </w:rPr>
        <w:t>isitas de verificación</w:t>
      </w:r>
      <w:r>
        <w:rPr>
          <w:rFonts w:ascii="Palatino Linotype" w:hAnsi="Palatino Linotype"/>
          <w:sz w:val="22"/>
          <w:szCs w:val="22"/>
        </w:rPr>
        <w:t xml:space="preserve"> realizadas </w:t>
      </w:r>
      <w:r w:rsidRPr="00587816">
        <w:rPr>
          <w:rFonts w:ascii="Palatino Linotype" w:hAnsi="Palatino Linotype"/>
          <w:sz w:val="22"/>
          <w:szCs w:val="22"/>
        </w:rPr>
        <w:t>a unidades económicas con venta de bebidas alcohólicas de</w:t>
      </w:r>
      <w:r>
        <w:rPr>
          <w:rFonts w:ascii="Palatino Linotype" w:hAnsi="Palatino Linotype"/>
          <w:sz w:val="22"/>
          <w:szCs w:val="22"/>
        </w:rPr>
        <w:t>l primero de enero al cuatro de abril</w:t>
      </w:r>
      <w:r w:rsidRPr="00587816">
        <w:rPr>
          <w:rFonts w:ascii="Palatino Linotype" w:hAnsi="Palatino Linotype"/>
          <w:sz w:val="22"/>
          <w:szCs w:val="22"/>
        </w:rPr>
        <w:t xml:space="preserve"> de </w:t>
      </w:r>
      <w:r>
        <w:rPr>
          <w:rFonts w:ascii="Palatino Linotype" w:hAnsi="Palatino Linotype"/>
          <w:sz w:val="22"/>
          <w:szCs w:val="22"/>
        </w:rPr>
        <w:t>dos mil veinticinco</w:t>
      </w:r>
      <w:r w:rsidR="00FB1F61">
        <w:rPr>
          <w:rFonts w:ascii="Palatino Linotype" w:hAnsi="Palatino Linotype"/>
          <w:sz w:val="22"/>
          <w:szCs w:val="22"/>
        </w:rPr>
        <w:t>;</w:t>
      </w:r>
    </w:p>
    <w:p w14:paraId="336C39D4" w14:textId="672F43C3" w:rsidR="00BA1092" w:rsidRPr="000F3AB5" w:rsidRDefault="001C5D9E" w:rsidP="00BA1092">
      <w:pPr>
        <w:pStyle w:val="Prrafodelista"/>
        <w:numPr>
          <w:ilvl w:val="0"/>
          <w:numId w:val="19"/>
        </w:numPr>
        <w:spacing w:after="160" w:line="360" w:lineRule="auto"/>
        <w:jc w:val="both"/>
        <w:rPr>
          <w:rFonts w:ascii="Palatino Linotype" w:hAnsi="Palatino Linotype"/>
          <w:sz w:val="22"/>
          <w:szCs w:val="22"/>
        </w:rPr>
      </w:pPr>
      <w:r>
        <w:rPr>
          <w:rFonts w:ascii="Palatino Linotype" w:hAnsi="Palatino Linotype"/>
          <w:sz w:val="22"/>
          <w:szCs w:val="22"/>
        </w:rPr>
        <w:t>Número total</w:t>
      </w:r>
      <w:r w:rsidR="00BA1092" w:rsidRPr="00587816">
        <w:rPr>
          <w:rFonts w:ascii="Palatino Linotype" w:hAnsi="Palatino Linotype"/>
          <w:sz w:val="22"/>
          <w:szCs w:val="22"/>
        </w:rPr>
        <w:t xml:space="preserve"> unidades económicas (puestos) ejercen la actividad comercial en espacios o vías públicas</w:t>
      </w:r>
      <w:r w:rsidR="00BA1092">
        <w:rPr>
          <w:rFonts w:ascii="Palatino Linotype" w:hAnsi="Palatino Linotype"/>
          <w:sz w:val="22"/>
          <w:szCs w:val="22"/>
        </w:rPr>
        <w:t>, al cuatro de abril de dos mil veinticinco</w:t>
      </w:r>
      <w:r w:rsidR="00FB1F61">
        <w:rPr>
          <w:rFonts w:ascii="Palatino Linotype" w:hAnsi="Palatino Linotype"/>
          <w:sz w:val="22"/>
          <w:szCs w:val="22"/>
        </w:rPr>
        <w:t>;</w:t>
      </w:r>
    </w:p>
    <w:p w14:paraId="59F35354" w14:textId="29E67A14" w:rsidR="00BA1092" w:rsidRPr="00587816" w:rsidRDefault="00BA1092" w:rsidP="00BA1092">
      <w:pPr>
        <w:pStyle w:val="Prrafodelista"/>
        <w:numPr>
          <w:ilvl w:val="0"/>
          <w:numId w:val="19"/>
        </w:numPr>
        <w:spacing w:after="160" w:line="360" w:lineRule="auto"/>
        <w:jc w:val="both"/>
        <w:rPr>
          <w:rFonts w:ascii="Palatino Linotype" w:hAnsi="Palatino Linotype"/>
          <w:sz w:val="22"/>
          <w:szCs w:val="22"/>
        </w:rPr>
      </w:pPr>
      <w:r>
        <w:rPr>
          <w:rFonts w:ascii="Palatino Linotype" w:hAnsi="Palatino Linotype"/>
          <w:sz w:val="22"/>
          <w:szCs w:val="22"/>
        </w:rPr>
        <w:t>A</w:t>
      </w:r>
      <w:r w:rsidRPr="00587816">
        <w:rPr>
          <w:rFonts w:ascii="Palatino Linotype" w:hAnsi="Palatino Linotype"/>
          <w:sz w:val="22"/>
          <w:szCs w:val="22"/>
        </w:rPr>
        <w:t>cciones realiz</w:t>
      </w:r>
      <w:r>
        <w:rPr>
          <w:rFonts w:ascii="Palatino Linotype" w:hAnsi="Palatino Linotype"/>
          <w:sz w:val="22"/>
          <w:szCs w:val="22"/>
        </w:rPr>
        <w:t>adas</w:t>
      </w:r>
      <w:r w:rsidRPr="00587816">
        <w:rPr>
          <w:rFonts w:ascii="Palatino Linotype" w:hAnsi="Palatino Linotype"/>
          <w:sz w:val="22"/>
          <w:szCs w:val="22"/>
        </w:rPr>
        <w:t xml:space="preserve"> </w:t>
      </w:r>
      <w:r>
        <w:rPr>
          <w:rFonts w:ascii="Palatino Linotype" w:hAnsi="Palatino Linotype"/>
          <w:sz w:val="22"/>
          <w:szCs w:val="22"/>
        </w:rPr>
        <w:t xml:space="preserve">para </w:t>
      </w:r>
      <w:r w:rsidRPr="00587816">
        <w:rPr>
          <w:rFonts w:ascii="Palatino Linotype" w:hAnsi="Palatino Linotype"/>
          <w:sz w:val="22"/>
          <w:szCs w:val="22"/>
        </w:rPr>
        <w:t>combatir al comercio informal</w:t>
      </w:r>
      <w:r>
        <w:rPr>
          <w:rFonts w:ascii="Palatino Linotype" w:hAnsi="Palatino Linotype"/>
          <w:sz w:val="22"/>
          <w:szCs w:val="22"/>
        </w:rPr>
        <w:t>, del cuatro de abril de dos mil veinticuatro, al cuatro de abril de dos mil veinticinco</w:t>
      </w:r>
      <w:r w:rsidR="00FB1F61">
        <w:rPr>
          <w:rFonts w:ascii="Palatino Linotype" w:hAnsi="Palatino Linotype"/>
          <w:sz w:val="22"/>
          <w:szCs w:val="22"/>
        </w:rPr>
        <w:t>;</w:t>
      </w:r>
      <w:r w:rsidRPr="00587816">
        <w:rPr>
          <w:rFonts w:ascii="Palatino Linotype" w:hAnsi="Palatino Linotype"/>
          <w:sz w:val="22"/>
          <w:szCs w:val="22"/>
        </w:rPr>
        <w:t xml:space="preserve"> </w:t>
      </w:r>
    </w:p>
    <w:p w14:paraId="3FA5802D" w14:textId="6F46A877" w:rsidR="00D1222A" w:rsidRPr="00BA1092" w:rsidRDefault="001C5D9E" w:rsidP="001C5D9E">
      <w:pPr>
        <w:pStyle w:val="Prrafodelista"/>
        <w:numPr>
          <w:ilvl w:val="0"/>
          <w:numId w:val="19"/>
        </w:numPr>
        <w:spacing w:line="360" w:lineRule="auto"/>
        <w:jc w:val="both"/>
        <w:rPr>
          <w:rFonts w:ascii="Palatino Linotype" w:hAnsi="Palatino Linotype"/>
          <w:sz w:val="22"/>
          <w:szCs w:val="22"/>
        </w:rPr>
      </w:pPr>
      <w:r>
        <w:rPr>
          <w:rFonts w:ascii="Palatino Linotype" w:hAnsi="Palatino Linotype"/>
          <w:sz w:val="22"/>
          <w:szCs w:val="22"/>
        </w:rPr>
        <w:t>Último grado o nivel</w:t>
      </w:r>
      <w:r w:rsidR="00BA1092" w:rsidRPr="00587816">
        <w:rPr>
          <w:rFonts w:ascii="Palatino Linotype" w:hAnsi="Palatino Linotype"/>
          <w:sz w:val="22"/>
          <w:szCs w:val="22"/>
        </w:rPr>
        <w:t xml:space="preserve"> académico de</w:t>
      </w:r>
      <w:r w:rsidR="00BA1092">
        <w:rPr>
          <w:rFonts w:ascii="Palatino Linotype" w:hAnsi="Palatino Linotype"/>
          <w:sz w:val="22"/>
          <w:szCs w:val="22"/>
        </w:rPr>
        <w:t xml:space="preserve"> </w:t>
      </w:r>
      <w:r w:rsidR="00BA1092" w:rsidRPr="00587816">
        <w:rPr>
          <w:rFonts w:ascii="Palatino Linotype" w:hAnsi="Palatino Linotype"/>
          <w:sz w:val="22"/>
          <w:szCs w:val="22"/>
        </w:rPr>
        <w:t>l</w:t>
      </w:r>
      <w:r w:rsidR="00BA1092">
        <w:rPr>
          <w:rFonts w:ascii="Palatino Linotype" w:hAnsi="Palatino Linotype"/>
          <w:sz w:val="22"/>
          <w:szCs w:val="22"/>
        </w:rPr>
        <w:t>a</w:t>
      </w:r>
      <w:r w:rsidR="00BA1092" w:rsidRPr="00587816">
        <w:rPr>
          <w:rFonts w:ascii="Palatino Linotype" w:hAnsi="Palatino Linotype"/>
          <w:sz w:val="22"/>
          <w:szCs w:val="22"/>
        </w:rPr>
        <w:t xml:space="preserve"> Director</w:t>
      </w:r>
      <w:r w:rsidR="00BA1092">
        <w:rPr>
          <w:rFonts w:ascii="Palatino Linotype" w:hAnsi="Palatino Linotype"/>
          <w:sz w:val="22"/>
          <w:szCs w:val="22"/>
        </w:rPr>
        <w:t>a</w:t>
      </w:r>
      <w:r w:rsidR="00BA1092" w:rsidRPr="00587816">
        <w:rPr>
          <w:rFonts w:ascii="Palatino Linotype" w:hAnsi="Palatino Linotype"/>
          <w:sz w:val="22"/>
          <w:szCs w:val="22"/>
        </w:rPr>
        <w:t xml:space="preserve"> de </w:t>
      </w:r>
      <w:r w:rsidR="00BA1092">
        <w:rPr>
          <w:rFonts w:ascii="Palatino Linotype" w:hAnsi="Palatino Linotype"/>
          <w:sz w:val="22"/>
          <w:szCs w:val="22"/>
        </w:rPr>
        <w:t>Desarrollo Económico</w:t>
      </w:r>
      <w:r>
        <w:rPr>
          <w:rFonts w:ascii="Palatino Linotype" w:hAnsi="Palatino Linotype"/>
          <w:sz w:val="22"/>
          <w:szCs w:val="22"/>
        </w:rPr>
        <w:t xml:space="preserve"> en funciones al </w:t>
      </w:r>
      <w:r w:rsidRPr="00587816">
        <w:rPr>
          <w:rFonts w:ascii="Palatino Linotype" w:hAnsi="Palatino Linotype"/>
          <w:sz w:val="22"/>
          <w:szCs w:val="22"/>
        </w:rPr>
        <w:t>primero de abril de dos mil veinticinco</w:t>
      </w:r>
      <w:r>
        <w:rPr>
          <w:rFonts w:ascii="Palatino Linotype" w:hAnsi="Palatino Linotype"/>
          <w:sz w:val="22"/>
          <w:szCs w:val="22"/>
        </w:rPr>
        <w:t>.</w:t>
      </w:r>
    </w:p>
    <w:p w14:paraId="622E3EBB" w14:textId="77777777" w:rsidR="00BA1092" w:rsidRDefault="00BA1092" w:rsidP="000F3AB5">
      <w:pPr>
        <w:spacing w:line="360" w:lineRule="auto"/>
        <w:contextualSpacing/>
        <w:jc w:val="both"/>
        <w:rPr>
          <w:rFonts w:ascii="Palatino Linotype" w:hAnsi="Palatino Linotype" w:cs="Tahoma"/>
          <w:bCs/>
          <w:iCs/>
          <w:sz w:val="22"/>
          <w:szCs w:val="22"/>
        </w:rPr>
      </w:pPr>
    </w:p>
    <w:p w14:paraId="4B330BC0" w14:textId="18AA8EA0" w:rsidR="00D1222A" w:rsidRDefault="00D1222A" w:rsidP="000F3AB5">
      <w:pPr>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 xml:space="preserve">De ser necesario deberá proporcionar el </w:t>
      </w:r>
      <w:r w:rsidRPr="003D5BBE">
        <w:rPr>
          <w:rFonts w:ascii="Palatino Linotype" w:hAnsi="Palatino Linotype" w:cs="Tahoma"/>
          <w:bCs/>
          <w:iCs/>
          <w:sz w:val="22"/>
          <w:szCs w:val="22"/>
        </w:rPr>
        <w:t>Acuerdo de Clasificación donde el Comité de Transparencia, confirme la eliminación de los datos o información</w:t>
      </w:r>
      <w:r>
        <w:rPr>
          <w:rFonts w:ascii="Palatino Linotype" w:hAnsi="Palatino Linotype" w:cs="Tahoma"/>
          <w:bCs/>
          <w:iCs/>
          <w:sz w:val="22"/>
          <w:szCs w:val="22"/>
        </w:rPr>
        <w:t xml:space="preserve"> clasificada</w:t>
      </w:r>
      <w:r w:rsidRPr="003D5BBE">
        <w:rPr>
          <w:rFonts w:ascii="Palatino Linotype" w:hAnsi="Palatino Linotype" w:cs="Tahoma"/>
          <w:bCs/>
          <w:iCs/>
          <w:sz w:val="22"/>
          <w:szCs w:val="22"/>
        </w:rPr>
        <w:t xml:space="preserve">, de conformidad con los artículos 49, fracciones II y VIII, y 132, fracción II, de la Ley de Transparencia y Acceso a la Información Pública del Estado de México y Municipios. </w:t>
      </w:r>
    </w:p>
    <w:p w14:paraId="06156FE6" w14:textId="77777777" w:rsidR="00BA1092" w:rsidRPr="00FF6F46" w:rsidRDefault="00BA1092" w:rsidP="000F3AB5">
      <w:pPr>
        <w:spacing w:line="360" w:lineRule="auto"/>
        <w:contextualSpacing/>
        <w:jc w:val="both"/>
        <w:rPr>
          <w:rFonts w:ascii="Palatino Linotype" w:hAnsi="Palatino Linotype" w:cs="Tahoma"/>
          <w:bCs/>
          <w:iCs/>
          <w:sz w:val="22"/>
          <w:szCs w:val="22"/>
        </w:rPr>
      </w:pPr>
    </w:p>
    <w:p w14:paraId="66B5C670" w14:textId="390B0DF9" w:rsidR="00BA1092" w:rsidRPr="00FF6F46" w:rsidRDefault="00BA1092" w:rsidP="000F3AB5">
      <w:pPr>
        <w:spacing w:line="360" w:lineRule="auto"/>
        <w:contextualSpacing/>
        <w:jc w:val="both"/>
        <w:rPr>
          <w:rFonts w:ascii="Palatino Linotype" w:hAnsi="Palatino Linotype" w:cs="Tahoma"/>
          <w:bCs/>
          <w:iCs/>
          <w:sz w:val="22"/>
          <w:szCs w:val="22"/>
        </w:rPr>
      </w:pPr>
      <w:r w:rsidRPr="00FF6F46">
        <w:rPr>
          <w:rFonts w:ascii="Palatino Linotype" w:hAnsi="Palatino Linotype" w:cs="Tahoma"/>
          <w:bCs/>
          <w:iCs/>
          <w:sz w:val="22"/>
          <w:szCs w:val="22"/>
        </w:rPr>
        <w:t>Para el caso de</w:t>
      </w:r>
      <w:r w:rsidR="00865F5C" w:rsidRPr="00FF6F46">
        <w:rPr>
          <w:rFonts w:ascii="Palatino Linotype" w:hAnsi="Palatino Linotype" w:cs="Tahoma"/>
          <w:bCs/>
          <w:iCs/>
          <w:sz w:val="22"/>
          <w:szCs w:val="22"/>
        </w:rPr>
        <w:t xml:space="preserve"> </w:t>
      </w:r>
      <w:r w:rsidRPr="00FF6F46">
        <w:rPr>
          <w:rFonts w:ascii="Palatino Linotype" w:hAnsi="Palatino Linotype" w:cs="Tahoma"/>
          <w:bCs/>
          <w:iCs/>
          <w:sz w:val="22"/>
          <w:szCs w:val="22"/>
        </w:rPr>
        <w:t>l</w:t>
      </w:r>
      <w:r w:rsidR="00865F5C" w:rsidRPr="00FF6F46">
        <w:rPr>
          <w:rFonts w:ascii="Palatino Linotype" w:hAnsi="Palatino Linotype" w:cs="Tahoma"/>
          <w:bCs/>
          <w:iCs/>
          <w:sz w:val="22"/>
          <w:szCs w:val="22"/>
        </w:rPr>
        <w:t>os</w:t>
      </w:r>
      <w:r w:rsidRPr="00FF6F46">
        <w:rPr>
          <w:rFonts w:ascii="Palatino Linotype" w:hAnsi="Palatino Linotype" w:cs="Tahoma"/>
          <w:bCs/>
          <w:iCs/>
          <w:sz w:val="22"/>
          <w:szCs w:val="22"/>
        </w:rPr>
        <w:t xml:space="preserve"> numeral</w:t>
      </w:r>
      <w:r w:rsidR="00865F5C" w:rsidRPr="00FF6F46">
        <w:rPr>
          <w:rFonts w:ascii="Palatino Linotype" w:hAnsi="Palatino Linotype" w:cs="Tahoma"/>
          <w:bCs/>
          <w:iCs/>
          <w:sz w:val="22"/>
          <w:szCs w:val="22"/>
        </w:rPr>
        <w:t>es</w:t>
      </w:r>
      <w:r w:rsidRPr="00FF6F46">
        <w:rPr>
          <w:rFonts w:ascii="Palatino Linotype" w:hAnsi="Palatino Linotype" w:cs="Tahoma"/>
          <w:bCs/>
          <w:iCs/>
          <w:sz w:val="22"/>
          <w:szCs w:val="22"/>
        </w:rPr>
        <w:t xml:space="preserve"> </w:t>
      </w:r>
      <w:r w:rsidR="00865F5C" w:rsidRPr="00FF6F46">
        <w:rPr>
          <w:rFonts w:ascii="Palatino Linotype" w:hAnsi="Palatino Linotype" w:cs="Tahoma"/>
          <w:bCs/>
          <w:iCs/>
          <w:sz w:val="22"/>
          <w:szCs w:val="22"/>
        </w:rPr>
        <w:t xml:space="preserve">1 y </w:t>
      </w:r>
      <w:r w:rsidR="00FB1F61" w:rsidRPr="00FF6F46">
        <w:rPr>
          <w:rFonts w:ascii="Palatino Linotype" w:hAnsi="Palatino Linotype" w:cs="Tahoma"/>
          <w:bCs/>
          <w:iCs/>
          <w:sz w:val="22"/>
          <w:szCs w:val="22"/>
        </w:rPr>
        <w:t>4</w:t>
      </w:r>
      <w:r w:rsidRPr="00FF6F46">
        <w:rPr>
          <w:rFonts w:ascii="Palatino Linotype" w:hAnsi="Palatino Linotype" w:cs="Tahoma"/>
          <w:bCs/>
          <w:iCs/>
          <w:sz w:val="22"/>
          <w:szCs w:val="22"/>
        </w:rPr>
        <w:t>, que no cuente con documentos que dieran cuenta de la información</w:t>
      </w:r>
      <w:r w:rsidR="001C5D9E" w:rsidRPr="00FF6F46">
        <w:rPr>
          <w:rFonts w:ascii="Palatino Linotype" w:hAnsi="Palatino Linotype" w:cs="Tahoma"/>
          <w:bCs/>
          <w:iCs/>
          <w:sz w:val="22"/>
          <w:szCs w:val="22"/>
        </w:rPr>
        <w:t xml:space="preserve">, al no haberse </w:t>
      </w:r>
      <w:r w:rsidR="00865F5C" w:rsidRPr="00FF6F46">
        <w:rPr>
          <w:rFonts w:ascii="Palatino Linotype" w:hAnsi="Palatino Linotype" w:cs="Tahoma"/>
          <w:bCs/>
          <w:iCs/>
          <w:sz w:val="22"/>
          <w:szCs w:val="22"/>
        </w:rPr>
        <w:t>generado</w:t>
      </w:r>
      <w:r w:rsidRPr="00FF6F46">
        <w:rPr>
          <w:rFonts w:ascii="Palatino Linotype" w:hAnsi="Palatino Linotype" w:cs="Tahoma"/>
          <w:bCs/>
          <w:iCs/>
          <w:sz w:val="22"/>
          <w:szCs w:val="22"/>
        </w:rPr>
        <w:t>, deberá hacerlo del conocimiento del Solicitante</w:t>
      </w:r>
      <w:r w:rsidR="00865F5C" w:rsidRPr="00FF6F46">
        <w:rPr>
          <w:rFonts w:ascii="Palatino Linotype" w:hAnsi="Palatino Linotype" w:cs="Tahoma"/>
          <w:bCs/>
          <w:iCs/>
          <w:sz w:val="22"/>
          <w:szCs w:val="22"/>
        </w:rPr>
        <w:t xml:space="preserve"> de forma clara y precisa</w:t>
      </w:r>
      <w:r w:rsidRPr="00FF6F46">
        <w:rPr>
          <w:rFonts w:ascii="Palatino Linotype" w:hAnsi="Palatino Linotype" w:cs="Tahoma"/>
          <w:bCs/>
          <w:iCs/>
          <w:sz w:val="22"/>
          <w:szCs w:val="22"/>
        </w:rPr>
        <w:t xml:space="preserve">. </w:t>
      </w:r>
    </w:p>
    <w:p w14:paraId="00569095" w14:textId="77777777" w:rsidR="00D1222A" w:rsidRPr="002231CB" w:rsidRDefault="00D1222A" w:rsidP="000F3AB5">
      <w:pPr>
        <w:spacing w:line="360" w:lineRule="auto"/>
        <w:contextualSpacing/>
        <w:jc w:val="both"/>
        <w:rPr>
          <w:rFonts w:ascii="Palatino Linotype" w:hAnsi="Palatino Linotype" w:cs="Tahoma"/>
          <w:bCs/>
          <w:iCs/>
          <w:sz w:val="22"/>
          <w:szCs w:val="22"/>
        </w:rPr>
      </w:pPr>
    </w:p>
    <w:p w14:paraId="13F550B7" w14:textId="77777777" w:rsidR="00D1222A" w:rsidRDefault="00D1222A" w:rsidP="000F3AB5">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TERCERO. NOTIFÍQUESE POR SAIMEX</w:t>
      </w:r>
      <w:r>
        <w:rPr>
          <w:rFonts w:ascii="Palatino Linotype" w:eastAsia="Palatino Linotype" w:hAnsi="Palatino Linotype" w:cs="Palatino Linotype"/>
          <w:sz w:val="22"/>
          <w:szCs w:val="22"/>
        </w:rPr>
        <w:t xml:space="preserve"> la presente resolución al Titular de la Unidad de Transparencia del Sujeto Obligado, para que conforme al artículo 186, último párrafo, </w:t>
      </w:r>
      <w:r>
        <w:rPr>
          <w:rFonts w:ascii="Palatino Linotype" w:eastAsia="Palatino Linotype" w:hAnsi="Palatino Linotype" w:cs="Palatino Linotype"/>
          <w:sz w:val="22"/>
          <w:szCs w:val="22"/>
        </w:rPr>
        <w:lastRenderedPageBreak/>
        <w:t xml:space="preserve">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 </w:t>
      </w:r>
    </w:p>
    <w:p w14:paraId="452632E1" w14:textId="77777777" w:rsidR="00D1222A" w:rsidRDefault="00D1222A" w:rsidP="000F3AB5">
      <w:pPr>
        <w:spacing w:line="360" w:lineRule="auto"/>
        <w:contextualSpacing/>
        <w:jc w:val="both"/>
        <w:rPr>
          <w:rFonts w:ascii="Palatino Linotype" w:eastAsia="Palatino Linotype" w:hAnsi="Palatino Linotype" w:cs="Palatino Linotype"/>
          <w:sz w:val="22"/>
          <w:szCs w:val="22"/>
        </w:rPr>
      </w:pPr>
    </w:p>
    <w:p w14:paraId="657AC4FF" w14:textId="77777777" w:rsidR="00D1222A" w:rsidRDefault="00D1222A" w:rsidP="000F3AB5">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De conformidad con el artículo 198 de la Ley de la materia, de considerarlo procedente, el Sujeto Obligado de manera fundada y motivada, podrá solicitar una ampliación de plazo para el cumplimiento de la presente Resolución.</w:t>
      </w:r>
    </w:p>
    <w:p w14:paraId="31E46632" w14:textId="77777777" w:rsidR="00D1222A" w:rsidRDefault="00D1222A" w:rsidP="000F3AB5">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223153CC" w14:textId="77777777" w:rsidR="00D1222A" w:rsidRDefault="00D1222A" w:rsidP="000F3AB5">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CUARTO. NOTIFÍQUESE POR SAIMEX</w:t>
      </w:r>
      <w:r>
        <w:rPr>
          <w:rFonts w:ascii="Palatino Linotype" w:eastAsia="Palatino Linotype" w:hAnsi="Palatino Linotype" w:cs="Palatino Linotype"/>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9688576" w14:textId="77777777" w:rsidR="00D1222A" w:rsidRDefault="00D1222A" w:rsidP="000F3AB5">
      <w:pPr>
        <w:spacing w:line="360" w:lineRule="auto"/>
        <w:contextualSpacing/>
        <w:jc w:val="both"/>
        <w:rPr>
          <w:rFonts w:ascii="Palatino Linotype" w:eastAsia="Palatino Linotype" w:hAnsi="Palatino Linotype" w:cs="Palatino Linotype"/>
          <w:sz w:val="22"/>
          <w:szCs w:val="22"/>
        </w:rPr>
      </w:pPr>
    </w:p>
    <w:p w14:paraId="19D4DD3B" w14:textId="5859F3F9" w:rsidR="00D1222A" w:rsidRDefault="00D1222A" w:rsidP="000F3AB5">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ASÍ LO RESUELVE, POR </w:t>
      </w:r>
      <w:r>
        <w:rPr>
          <w:rFonts w:ascii="Palatino Linotype" w:eastAsia="Palatino Linotype" w:hAnsi="Palatino Linotype" w:cs="Palatino Linotype"/>
          <w:b/>
          <w:sz w:val="22"/>
          <w:szCs w:val="22"/>
        </w:rPr>
        <w:t>UNANIMIDAD</w:t>
      </w:r>
      <w:r>
        <w:rPr>
          <w:rFonts w:ascii="Palatino Linotype" w:eastAsia="Palatino Linotype" w:hAnsi="Palatino Linotype" w:cs="Palatino Linotype"/>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w:t>
      </w:r>
      <w:r w:rsidR="00FF6F46">
        <w:rPr>
          <w:rFonts w:ascii="Palatino Linotype" w:eastAsia="Palatino Linotype" w:hAnsi="Palatino Linotype" w:cs="Palatino Linotype"/>
          <w:sz w:val="22"/>
          <w:szCs w:val="22"/>
        </w:rPr>
        <w:t xml:space="preserve"> CON VOTO PARTICULAR</w:t>
      </w:r>
      <w:r w:rsidR="00B2173B">
        <w:rPr>
          <w:rFonts w:ascii="Palatino Linotype" w:eastAsia="Palatino Linotype" w:hAnsi="Palatino Linotype" w:cs="Palatino Linotype"/>
          <w:sz w:val="22"/>
          <w:szCs w:val="22"/>
        </w:rPr>
        <w:t xml:space="preserve">  CONCURRENTE</w:t>
      </w:r>
      <w:r>
        <w:rPr>
          <w:rFonts w:ascii="Palatino Linotype" w:eastAsia="Palatino Linotype" w:hAnsi="Palatino Linotype" w:cs="Palatino Linotype"/>
          <w:sz w:val="22"/>
          <w:szCs w:val="22"/>
        </w:rPr>
        <w:t>, SHARON CRISTINA MORALES MARTÍNEZ, LUIS GUSTAVO PARRA NORIEGA CON VOTO PARTICULAR</w:t>
      </w:r>
      <w:r w:rsidR="00B2173B">
        <w:rPr>
          <w:rFonts w:ascii="Palatino Linotype" w:eastAsia="Palatino Linotype" w:hAnsi="Palatino Linotype" w:cs="Palatino Linotype"/>
          <w:sz w:val="22"/>
          <w:szCs w:val="22"/>
        </w:rPr>
        <w:t xml:space="preserve"> CONCURRENTE</w:t>
      </w:r>
      <w:r>
        <w:rPr>
          <w:rFonts w:ascii="Palatino Linotype" w:eastAsia="Palatino Linotype" w:hAnsi="Palatino Linotype" w:cs="Palatino Linotype"/>
          <w:sz w:val="22"/>
          <w:szCs w:val="22"/>
        </w:rPr>
        <w:t xml:space="preserve"> Y GUADALUPE RAMÍREZ PEÑA</w:t>
      </w:r>
      <w:r w:rsidR="00B2173B">
        <w:rPr>
          <w:rFonts w:ascii="Palatino Linotype" w:eastAsia="Palatino Linotype" w:hAnsi="Palatino Linotype" w:cs="Palatino Linotype"/>
          <w:sz w:val="22"/>
          <w:szCs w:val="22"/>
        </w:rPr>
        <w:t xml:space="preserve"> </w:t>
      </w:r>
      <w:r w:rsidR="008D4ABB">
        <w:rPr>
          <w:rFonts w:ascii="Palatino Linotype" w:eastAsia="Palatino Linotype" w:hAnsi="Palatino Linotype" w:cs="Palatino Linotype"/>
          <w:sz w:val="22"/>
          <w:szCs w:val="22"/>
        </w:rPr>
        <w:t>CON VOTO PARTICULAR</w:t>
      </w:r>
      <w:r>
        <w:rPr>
          <w:rFonts w:ascii="Palatino Linotype" w:eastAsia="Palatino Linotype" w:hAnsi="Palatino Linotype" w:cs="Palatino Linotype"/>
          <w:sz w:val="22"/>
          <w:szCs w:val="22"/>
        </w:rPr>
        <w:t>, EN LA CUARTA SESIÓN ORDINARIA, CELEBRADA EL CINCO DE FEBRERO DE DOS MIL VEINTISÉIS, ANTE EL SECRETARIO TÉCNICO DEL PLENO, ALEXIS TAPIA RAMÍREZ.</w:t>
      </w:r>
    </w:p>
    <w:p w14:paraId="1637E05A" w14:textId="77777777" w:rsidR="00D1222A" w:rsidRDefault="00D1222A" w:rsidP="000F3AB5">
      <w:pPr>
        <w:spacing w:line="360" w:lineRule="auto"/>
        <w:contextualSpacing/>
        <w:jc w:val="both"/>
        <w:rPr>
          <w:rFonts w:ascii="Palatino Linotype" w:eastAsia="Palatino Linotype" w:hAnsi="Palatino Linotype" w:cs="Palatino Linotype"/>
          <w:sz w:val="22"/>
          <w:szCs w:val="22"/>
        </w:rPr>
      </w:pPr>
    </w:p>
    <w:p w14:paraId="78A68DD8" w14:textId="77777777" w:rsidR="00D1222A" w:rsidRDefault="00D1222A" w:rsidP="000F3AB5">
      <w:pPr>
        <w:spacing w:line="360" w:lineRule="auto"/>
        <w:contextualSpacing/>
        <w:jc w:val="both"/>
        <w:rPr>
          <w:rFonts w:ascii="Palatino Linotype" w:eastAsia="Palatino Linotype" w:hAnsi="Palatino Linotype" w:cs="Palatino Linotype"/>
          <w:sz w:val="22"/>
          <w:szCs w:val="22"/>
        </w:rPr>
      </w:pPr>
    </w:p>
    <w:p w14:paraId="289C9DAB" w14:textId="77777777" w:rsidR="00D1222A" w:rsidRDefault="00D1222A" w:rsidP="000F3AB5">
      <w:pPr>
        <w:spacing w:line="360" w:lineRule="auto"/>
        <w:contextualSpacing/>
        <w:jc w:val="both"/>
        <w:rPr>
          <w:rFonts w:ascii="Palatino Linotype" w:eastAsia="Palatino Linotype" w:hAnsi="Palatino Linotype" w:cs="Palatino Linotype"/>
          <w:sz w:val="22"/>
          <w:szCs w:val="22"/>
        </w:rPr>
      </w:pPr>
    </w:p>
    <w:p w14:paraId="1B5968E3" w14:textId="77777777" w:rsidR="00D1222A" w:rsidRDefault="00D1222A" w:rsidP="000F3AB5">
      <w:pPr>
        <w:spacing w:line="360" w:lineRule="auto"/>
        <w:contextualSpacing/>
        <w:rPr>
          <w:rFonts w:ascii="Palatino Linotype" w:eastAsia="Palatino Linotype" w:hAnsi="Palatino Linotype" w:cs="Palatino Linotype"/>
        </w:rPr>
      </w:pPr>
    </w:p>
    <w:p w14:paraId="5019960B" w14:textId="77777777" w:rsidR="00D1222A" w:rsidRDefault="00D1222A" w:rsidP="000F3AB5">
      <w:pPr>
        <w:spacing w:line="360" w:lineRule="auto"/>
        <w:contextualSpacing/>
        <w:rPr>
          <w:rFonts w:ascii="Palatino Linotype" w:eastAsia="Palatino Linotype" w:hAnsi="Palatino Linotype" w:cs="Palatino Linotype"/>
        </w:rPr>
      </w:pPr>
    </w:p>
    <w:p w14:paraId="009E0C13" w14:textId="77777777" w:rsidR="00D1222A" w:rsidRDefault="00D1222A" w:rsidP="000F3AB5">
      <w:pPr>
        <w:spacing w:line="360" w:lineRule="auto"/>
        <w:contextualSpacing/>
        <w:rPr>
          <w:rFonts w:ascii="Palatino Linotype" w:eastAsia="Palatino Linotype" w:hAnsi="Palatino Linotype" w:cs="Palatino Linotype"/>
        </w:rPr>
      </w:pPr>
    </w:p>
    <w:p w14:paraId="4A41F3D8" w14:textId="77777777" w:rsidR="00D1222A" w:rsidRDefault="00D1222A" w:rsidP="000F3AB5">
      <w:pPr>
        <w:spacing w:line="360" w:lineRule="auto"/>
        <w:contextualSpacing/>
        <w:rPr>
          <w:rFonts w:ascii="Palatino Linotype" w:eastAsia="Palatino Linotype" w:hAnsi="Palatino Linotype" w:cs="Palatino Linotype"/>
        </w:rPr>
      </w:pPr>
    </w:p>
    <w:p w14:paraId="5F346F1F" w14:textId="77777777" w:rsidR="00D1222A" w:rsidRDefault="00D1222A" w:rsidP="000F3AB5">
      <w:pPr>
        <w:spacing w:line="360" w:lineRule="auto"/>
        <w:contextualSpacing/>
        <w:rPr>
          <w:rFonts w:ascii="Palatino Linotype" w:eastAsia="Palatino Linotype" w:hAnsi="Palatino Linotype" w:cs="Palatino Linotype"/>
        </w:rPr>
      </w:pPr>
    </w:p>
    <w:p w14:paraId="7997F2C4" w14:textId="77777777" w:rsidR="00D1222A" w:rsidRDefault="00D1222A" w:rsidP="000F3AB5">
      <w:pPr>
        <w:spacing w:line="360" w:lineRule="auto"/>
        <w:contextualSpacing/>
        <w:rPr>
          <w:rFonts w:ascii="Palatino Linotype" w:eastAsia="Palatino Linotype" w:hAnsi="Palatino Linotype" w:cs="Palatino Linotype"/>
        </w:rPr>
      </w:pPr>
    </w:p>
    <w:p w14:paraId="554948BB" w14:textId="77777777" w:rsidR="00D1222A" w:rsidRDefault="00D1222A" w:rsidP="000F3AB5">
      <w:pPr>
        <w:spacing w:line="360" w:lineRule="auto"/>
        <w:contextualSpacing/>
        <w:rPr>
          <w:rFonts w:ascii="Palatino Linotype" w:eastAsia="Palatino Linotype" w:hAnsi="Palatino Linotype" w:cs="Palatino Linotype"/>
        </w:rPr>
      </w:pPr>
    </w:p>
    <w:p w14:paraId="77780DC4" w14:textId="77777777" w:rsidR="00D1222A" w:rsidRDefault="00D1222A" w:rsidP="000F3AB5">
      <w:pPr>
        <w:spacing w:line="360" w:lineRule="auto"/>
        <w:contextualSpacing/>
        <w:rPr>
          <w:rFonts w:ascii="Palatino Linotype" w:eastAsia="Palatino Linotype" w:hAnsi="Palatino Linotype" w:cs="Palatino Linotype"/>
        </w:rPr>
      </w:pPr>
    </w:p>
    <w:p w14:paraId="53B4FE41" w14:textId="77777777" w:rsidR="00D1222A" w:rsidRDefault="00D1222A" w:rsidP="000F3AB5">
      <w:pPr>
        <w:spacing w:line="360" w:lineRule="auto"/>
        <w:contextualSpacing/>
        <w:rPr>
          <w:rFonts w:ascii="Palatino Linotype" w:eastAsia="Palatino Linotype" w:hAnsi="Palatino Linotype" w:cs="Palatino Linotype"/>
        </w:rPr>
      </w:pPr>
    </w:p>
    <w:p w14:paraId="618AECBC" w14:textId="77777777" w:rsidR="00D1222A" w:rsidRDefault="00D1222A" w:rsidP="000F3AB5">
      <w:pPr>
        <w:spacing w:line="360" w:lineRule="auto"/>
        <w:contextualSpacing/>
        <w:rPr>
          <w:rFonts w:ascii="Palatino Linotype" w:eastAsia="Palatino Linotype" w:hAnsi="Palatino Linotype" w:cs="Palatino Linotype"/>
        </w:rPr>
      </w:pPr>
    </w:p>
    <w:p w14:paraId="29A8E26F" w14:textId="77777777" w:rsidR="00D1222A" w:rsidRDefault="00D1222A" w:rsidP="000F3AB5">
      <w:pPr>
        <w:spacing w:line="360" w:lineRule="auto"/>
        <w:contextualSpacing/>
        <w:rPr>
          <w:rFonts w:ascii="Palatino Linotype" w:eastAsia="Palatino Linotype" w:hAnsi="Palatino Linotype" w:cs="Palatino Linotype"/>
        </w:rPr>
      </w:pPr>
    </w:p>
    <w:p w14:paraId="4F0372A6" w14:textId="77777777" w:rsidR="00D1222A" w:rsidRDefault="00D1222A" w:rsidP="000F3AB5">
      <w:pPr>
        <w:spacing w:line="360" w:lineRule="auto"/>
        <w:contextualSpacing/>
        <w:rPr>
          <w:rFonts w:ascii="Palatino Linotype" w:eastAsia="Palatino Linotype" w:hAnsi="Palatino Linotype" w:cs="Palatino Linotype"/>
        </w:rPr>
      </w:pPr>
    </w:p>
    <w:p w14:paraId="5252183B" w14:textId="77777777" w:rsidR="00D1222A" w:rsidRDefault="00D1222A" w:rsidP="000F3AB5">
      <w:pPr>
        <w:spacing w:line="360" w:lineRule="auto"/>
        <w:contextualSpacing/>
        <w:rPr>
          <w:rFonts w:ascii="Palatino Linotype" w:eastAsia="Palatino Linotype" w:hAnsi="Palatino Linotype" w:cs="Palatino Linotype"/>
        </w:rPr>
      </w:pPr>
    </w:p>
    <w:p w14:paraId="327865AD" w14:textId="77777777" w:rsidR="00D1222A" w:rsidRDefault="00D1222A" w:rsidP="000F3AB5">
      <w:pPr>
        <w:spacing w:line="360" w:lineRule="auto"/>
        <w:contextualSpacing/>
        <w:rPr>
          <w:rFonts w:ascii="Palatino Linotype" w:eastAsia="Palatino Linotype" w:hAnsi="Palatino Linotype" w:cs="Palatino Linotype"/>
        </w:rPr>
      </w:pPr>
    </w:p>
    <w:p w14:paraId="4FE17A4F" w14:textId="77777777" w:rsidR="00D1222A" w:rsidRDefault="00D1222A" w:rsidP="000F3AB5">
      <w:pPr>
        <w:spacing w:line="360" w:lineRule="auto"/>
        <w:contextualSpacing/>
      </w:pPr>
    </w:p>
    <w:p w14:paraId="181E0816" w14:textId="77777777" w:rsidR="00D1222A" w:rsidRDefault="00D1222A" w:rsidP="000F3AB5">
      <w:pPr>
        <w:spacing w:line="360" w:lineRule="auto"/>
        <w:contextualSpacing/>
      </w:pPr>
    </w:p>
    <w:p w14:paraId="5328F03C" w14:textId="77777777" w:rsidR="00D1222A" w:rsidRDefault="00D1222A" w:rsidP="000F3AB5">
      <w:pPr>
        <w:spacing w:line="360" w:lineRule="auto"/>
        <w:contextualSpacing/>
      </w:pPr>
    </w:p>
    <w:p w14:paraId="64950922" w14:textId="77777777" w:rsidR="00D1222A" w:rsidRDefault="00D1222A" w:rsidP="000F3AB5">
      <w:pPr>
        <w:spacing w:line="360" w:lineRule="auto"/>
        <w:contextualSpacing/>
      </w:pPr>
    </w:p>
    <w:p w14:paraId="448C474D" w14:textId="77777777" w:rsidR="00D1222A" w:rsidRDefault="00D1222A" w:rsidP="000F3AB5">
      <w:pPr>
        <w:spacing w:line="360" w:lineRule="auto"/>
        <w:contextualSpacing/>
      </w:pPr>
    </w:p>
    <w:p w14:paraId="549828AB" w14:textId="77777777" w:rsidR="00D1222A" w:rsidRDefault="00D1222A" w:rsidP="000F3AB5">
      <w:pPr>
        <w:spacing w:line="360" w:lineRule="auto"/>
        <w:contextualSpacing/>
      </w:pPr>
    </w:p>
    <w:bookmarkEnd w:id="0"/>
    <w:p w14:paraId="6C5CFDD6" w14:textId="77777777" w:rsidR="00D1222A" w:rsidRDefault="00D1222A" w:rsidP="000F3AB5">
      <w:pPr>
        <w:spacing w:line="360" w:lineRule="auto"/>
        <w:contextualSpacing/>
      </w:pPr>
    </w:p>
    <w:p w14:paraId="4682F327" w14:textId="77777777" w:rsidR="00D1222A" w:rsidRDefault="00D1222A" w:rsidP="000F3AB5">
      <w:pPr>
        <w:spacing w:line="360" w:lineRule="auto"/>
        <w:contextualSpacing/>
      </w:pPr>
    </w:p>
    <w:p w14:paraId="28B6F51D" w14:textId="77777777" w:rsidR="00D1222A" w:rsidRDefault="00D1222A" w:rsidP="000F3AB5">
      <w:pPr>
        <w:spacing w:line="360" w:lineRule="auto"/>
        <w:contextualSpacing/>
      </w:pPr>
    </w:p>
    <w:p w14:paraId="0DE61A20" w14:textId="77777777" w:rsidR="00D1222A" w:rsidRDefault="00D1222A" w:rsidP="000F3AB5">
      <w:pPr>
        <w:spacing w:line="360" w:lineRule="auto"/>
        <w:contextualSpacing/>
      </w:pPr>
    </w:p>
    <w:p w14:paraId="4F850721" w14:textId="77777777" w:rsidR="00D1222A" w:rsidRDefault="00D1222A" w:rsidP="000F3AB5">
      <w:pPr>
        <w:spacing w:line="360" w:lineRule="auto"/>
        <w:contextualSpacing/>
      </w:pPr>
    </w:p>
    <w:p w14:paraId="3D6F5E19" w14:textId="77777777" w:rsidR="00D1222A" w:rsidRDefault="00D1222A" w:rsidP="000F3AB5">
      <w:pPr>
        <w:spacing w:line="360" w:lineRule="auto"/>
        <w:contextualSpacing/>
      </w:pPr>
    </w:p>
    <w:p w14:paraId="7A345CB8" w14:textId="77777777" w:rsidR="00B01980" w:rsidRDefault="00B01980" w:rsidP="000F3AB5">
      <w:pPr>
        <w:spacing w:line="360" w:lineRule="auto"/>
        <w:contextualSpacing/>
      </w:pPr>
    </w:p>
    <w:sectPr w:rsidR="00B01980" w:rsidSect="00D1222A">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9875A" w14:textId="77777777" w:rsidR="002C5043" w:rsidRDefault="002C5043" w:rsidP="00D1222A">
      <w:r>
        <w:separator/>
      </w:r>
    </w:p>
  </w:endnote>
  <w:endnote w:type="continuationSeparator" w:id="0">
    <w:p w14:paraId="12A75F62" w14:textId="77777777" w:rsidR="002C5043" w:rsidRDefault="002C5043" w:rsidP="00D12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BB468" w14:textId="77777777" w:rsidR="00B2173B" w:rsidRDefault="00B2173B">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020B3A">
      <w:rPr>
        <w:rFonts w:ascii="Palatino Linotype" w:eastAsia="Palatino Linotype" w:hAnsi="Palatino Linotype" w:cs="Palatino Linotype"/>
        <w:b/>
        <w:noProof/>
        <w:color w:val="000000"/>
        <w:sz w:val="22"/>
        <w:szCs w:val="22"/>
      </w:rPr>
      <w:t>53</w:t>
    </w:r>
    <w:r>
      <w:rPr>
        <w:rFonts w:ascii="Palatino Linotype" w:eastAsia="Palatino Linotype" w:hAnsi="Palatino Linotype" w:cs="Palatino Linotype"/>
        <w:b/>
        <w:color w:val="000000"/>
        <w:sz w:val="22"/>
        <w:szCs w:val="22"/>
      </w:rPr>
      <w:fldChar w:fldCharType="end"/>
    </w:r>
  </w:p>
  <w:p w14:paraId="4304BABF" w14:textId="77777777" w:rsidR="00B2173B" w:rsidRDefault="00B2173B">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AC405" w14:textId="77777777" w:rsidR="00B2173B" w:rsidRDefault="00B2173B">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020B3A">
      <w:rPr>
        <w:rFonts w:ascii="Palatino Linotype" w:eastAsia="Palatino Linotype" w:hAnsi="Palatino Linotype" w:cs="Palatino Linotype"/>
        <w:b/>
        <w:noProof/>
        <w:color w:val="000000"/>
        <w:sz w:val="22"/>
        <w:szCs w:val="22"/>
      </w:rPr>
      <w:t>52</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020B3A">
      <w:rPr>
        <w:rFonts w:ascii="Palatino Linotype" w:eastAsia="Palatino Linotype" w:hAnsi="Palatino Linotype" w:cs="Palatino Linotype"/>
        <w:b/>
        <w:noProof/>
        <w:color w:val="000000"/>
        <w:sz w:val="22"/>
        <w:szCs w:val="22"/>
      </w:rPr>
      <w:t>53</w:t>
    </w:r>
    <w:r>
      <w:rPr>
        <w:rFonts w:ascii="Palatino Linotype" w:eastAsia="Palatino Linotype" w:hAnsi="Palatino Linotype" w:cs="Palatino Linotype"/>
        <w:b/>
        <w:color w:val="000000"/>
        <w:sz w:val="22"/>
        <w:szCs w:val="22"/>
      </w:rPr>
      <w:fldChar w:fldCharType="end"/>
    </w:r>
  </w:p>
  <w:p w14:paraId="03AE9264" w14:textId="77777777" w:rsidR="00B2173B" w:rsidRDefault="00B2173B">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945A8" w14:textId="77777777" w:rsidR="00B2173B" w:rsidRDefault="00B2173B">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020B3A">
      <w:rPr>
        <w:rFonts w:ascii="Palatino Linotype" w:eastAsia="Palatino Linotype" w:hAnsi="Palatino Linotype" w:cs="Palatino Linotype"/>
        <w:b/>
        <w:noProof/>
        <w:color w:val="000000"/>
        <w:sz w:val="22"/>
        <w:szCs w:val="22"/>
      </w:rPr>
      <w:t>1</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020B3A">
      <w:rPr>
        <w:rFonts w:ascii="Palatino Linotype" w:eastAsia="Palatino Linotype" w:hAnsi="Palatino Linotype" w:cs="Palatino Linotype"/>
        <w:b/>
        <w:noProof/>
        <w:color w:val="000000"/>
        <w:sz w:val="22"/>
        <w:szCs w:val="22"/>
      </w:rPr>
      <w:t>53</w:t>
    </w:r>
    <w:r>
      <w:rPr>
        <w:rFonts w:ascii="Palatino Linotype" w:eastAsia="Palatino Linotype" w:hAnsi="Palatino Linotype" w:cs="Palatino Linotype"/>
        <w:b/>
        <w:color w:val="000000"/>
        <w:sz w:val="22"/>
        <w:szCs w:val="22"/>
      </w:rPr>
      <w:fldChar w:fldCharType="end"/>
    </w:r>
  </w:p>
  <w:p w14:paraId="06520392" w14:textId="77777777" w:rsidR="00B2173B" w:rsidRDefault="00B2173B">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1BA5D" w14:textId="77777777" w:rsidR="002C5043" w:rsidRDefault="002C5043" w:rsidP="00D1222A">
      <w:r>
        <w:separator/>
      </w:r>
    </w:p>
  </w:footnote>
  <w:footnote w:type="continuationSeparator" w:id="0">
    <w:p w14:paraId="0EA9D9C4" w14:textId="77777777" w:rsidR="002C5043" w:rsidRDefault="002C5043" w:rsidP="00D122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74D96" w14:textId="77777777" w:rsidR="00B2173B" w:rsidRDefault="00B2173B">
    <w:pPr>
      <w:widowControl w:val="0"/>
      <w:pBdr>
        <w:top w:val="nil"/>
        <w:left w:val="nil"/>
        <w:bottom w:val="nil"/>
        <w:right w:val="nil"/>
        <w:between w:val="nil"/>
      </w:pBdr>
      <w:spacing w:line="276" w:lineRule="auto"/>
    </w:pPr>
  </w:p>
  <w:tbl>
    <w:tblPr>
      <w:tblW w:w="9705" w:type="dxa"/>
      <w:tblLayout w:type="fixed"/>
      <w:tblLook w:val="0400" w:firstRow="0" w:lastRow="0" w:firstColumn="0" w:lastColumn="0" w:noHBand="0" w:noVBand="1"/>
    </w:tblPr>
    <w:tblGrid>
      <w:gridCol w:w="2972"/>
      <w:gridCol w:w="6733"/>
    </w:tblGrid>
    <w:tr w:rsidR="00B2173B" w14:paraId="3362FACF" w14:textId="77777777">
      <w:trPr>
        <w:trHeight w:val="1435"/>
      </w:trPr>
      <w:tc>
        <w:tcPr>
          <w:tcW w:w="2972" w:type="dxa"/>
        </w:tcPr>
        <w:p w14:paraId="1D8857D3" w14:textId="77777777" w:rsidR="00B2173B" w:rsidRDefault="00B2173B">
          <w:pPr>
            <w:tabs>
              <w:tab w:val="right" w:pos="4273"/>
            </w:tabs>
            <w:spacing w:line="256" w:lineRule="auto"/>
            <w:rPr>
              <w:rFonts w:ascii="Garamond" w:eastAsia="Garamond" w:hAnsi="Garamond" w:cs="Garamond"/>
              <w:sz w:val="22"/>
              <w:szCs w:val="22"/>
            </w:rPr>
          </w:pPr>
        </w:p>
      </w:tc>
      <w:tc>
        <w:tcPr>
          <w:tcW w:w="6733" w:type="dxa"/>
        </w:tcPr>
        <w:p w14:paraId="129DF573" w14:textId="77777777" w:rsidR="00B2173B" w:rsidRDefault="00B2173B">
          <w:pPr>
            <w:widowControl w:val="0"/>
            <w:pBdr>
              <w:top w:val="nil"/>
              <w:left w:val="nil"/>
              <w:bottom w:val="nil"/>
              <w:right w:val="nil"/>
              <w:between w:val="nil"/>
            </w:pBdr>
            <w:spacing w:line="276" w:lineRule="auto"/>
            <w:rPr>
              <w:rFonts w:ascii="Garamond" w:eastAsia="Garamond" w:hAnsi="Garamond" w:cs="Garamond"/>
              <w:sz w:val="22"/>
              <w:szCs w:val="22"/>
            </w:rPr>
          </w:pPr>
        </w:p>
        <w:tbl>
          <w:tblPr>
            <w:tblW w:w="5535" w:type="dxa"/>
            <w:tblInd w:w="322" w:type="dxa"/>
            <w:tblBorders>
              <w:top w:val="nil"/>
              <w:left w:val="nil"/>
              <w:bottom w:val="nil"/>
              <w:right w:val="nil"/>
              <w:insideH w:val="nil"/>
              <w:insideV w:val="nil"/>
            </w:tblBorders>
            <w:tblLayout w:type="fixed"/>
            <w:tblLook w:val="0400" w:firstRow="0" w:lastRow="0" w:firstColumn="0" w:lastColumn="0" w:noHBand="0" w:noVBand="1"/>
          </w:tblPr>
          <w:tblGrid>
            <w:gridCol w:w="2447"/>
            <w:gridCol w:w="3088"/>
          </w:tblGrid>
          <w:tr w:rsidR="00B2173B" w14:paraId="00CE6BC2" w14:textId="77777777">
            <w:trPr>
              <w:trHeight w:val="144"/>
            </w:trPr>
            <w:tc>
              <w:tcPr>
                <w:tcW w:w="2447" w:type="dxa"/>
              </w:tcPr>
              <w:p w14:paraId="50DDEE4E" w14:textId="77777777" w:rsidR="00B2173B" w:rsidRDefault="00B2173B">
                <w:pPr>
                  <w:tabs>
                    <w:tab w:val="right" w:pos="8838"/>
                  </w:tabs>
                  <w:ind w:left="-69"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088" w:type="dxa"/>
              </w:tcPr>
              <w:p w14:paraId="6D0C02A5" w14:textId="77777777" w:rsidR="00B2173B" w:rsidRDefault="00B2173B">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02946/INFOEM/IP/RR/2021</w:t>
                </w:r>
              </w:p>
            </w:tc>
          </w:tr>
          <w:tr w:rsidR="00B2173B" w14:paraId="1854C702" w14:textId="77777777">
            <w:trPr>
              <w:trHeight w:val="283"/>
            </w:trPr>
            <w:tc>
              <w:tcPr>
                <w:tcW w:w="2447" w:type="dxa"/>
              </w:tcPr>
              <w:p w14:paraId="0A088FAD" w14:textId="77777777" w:rsidR="00B2173B" w:rsidRDefault="00B2173B">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088" w:type="dxa"/>
              </w:tcPr>
              <w:p w14:paraId="057C9B0C" w14:textId="77777777" w:rsidR="00B2173B" w:rsidRDefault="00B2173B">
                <w:pPr>
                  <w:tabs>
                    <w:tab w:val="left" w:pos="2834"/>
                    <w:tab w:val="right" w:pos="8838"/>
                  </w:tabs>
                  <w:ind w:left="-74" w:right="-105"/>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Ayuntamiento de San Antonio la Isla</w:t>
                </w:r>
              </w:p>
            </w:tc>
          </w:tr>
          <w:tr w:rsidR="00B2173B" w14:paraId="3DE15B59" w14:textId="77777777">
            <w:trPr>
              <w:trHeight w:val="283"/>
            </w:trPr>
            <w:tc>
              <w:tcPr>
                <w:tcW w:w="2447" w:type="dxa"/>
              </w:tcPr>
              <w:p w14:paraId="076356EF" w14:textId="77777777" w:rsidR="00B2173B" w:rsidRDefault="00B2173B">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088" w:type="dxa"/>
              </w:tcPr>
              <w:p w14:paraId="090AB754" w14:textId="77777777" w:rsidR="00B2173B" w:rsidRDefault="00B2173B">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p w14:paraId="7B27B896" w14:textId="77777777" w:rsidR="00B2173B" w:rsidRDefault="00B2173B">
                <w:pPr>
                  <w:tabs>
                    <w:tab w:val="right" w:pos="8838"/>
                  </w:tabs>
                  <w:ind w:left="-74" w:right="-105"/>
                  <w:jc w:val="both"/>
                  <w:rPr>
                    <w:rFonts w:ascii="Palatino Linotype" w:eastAsia="Palatino Linotype" w:hAnsi="Palatino Linotype" w:cs="Palatino Linotype"/>
                    <w:b/>
                    <w:sz w:val="22"/>
                    <w:szCs w:val="22"/>
                  </w:rPr>
                </w:pPr>
              </w:p>
            </w:tc>
          </w:tr>
        </w:tbl>
        <w:p w14:paraId="097A4984" w14:textId="77777777" w:rsidR="00B2173B" w:rsidRDefault="00B2173B">
          <w:pPr>
            <w:tabs>
              <w:tab w:val="right" w:pos="8838"/>
            </w:tabs>
            <w:spacing w:line="256" w:lineRule="auto"/>
            <w:ind w:left="-28"/>
            <w:jc w:val="both"/>
            <w:rPr>
              <w:rFonts w:ascii="Arial" w:eastAsia="Arial" w:hAnsi="Arial" w:cs="Arial"/>
              <w:b/>
              <w:sz w:val="22"/>
              <w:szCs w:val="22"/>
            </w:rPr>
          </w:pPr>
        </w:p>
      </w:tc>
    </w:tr>
  </w:tbl>
  <w:p w14:paraId="773CB754" w14:textId="77777777" w:rsidR="00B2173B" w:rsidRDefault="00B2173B">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sz w:val="22"/>
        <w:szCs w:val="22"/>
      </w:rPr>
      <w:drawing>
        <wp:anchor distT="0" distB="0" distL="0" distR="0" simplePos="0" relativeHeight="251657728" behindDoc="1" locked="0" layoutInCell="1" hidden="0" allowOverlap="1" wp14:anchorId="3B720402" wp14:editId="201087C3">
          <wp:simplePos x="0" y="0"/>
          <wp:positionH relativeFrom="margin">
            <wp:posOffset>-1381124</wp:posOffset>
          </wp:positionH>
          <wp:positionV relativeFrom="margin">
            <wp:posOffset>-1611629</wp:posOffset>
          </wp:positionV>
          <wp:extent cx="5612130" cy="7308215"/>
          <wp:effectExtent l="0" t="0" r="0" b="0"/>
          <wp:wrapNone/>
          <wp:docPr id="205032824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612130" cy="730821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0AEB1" w14:textId="77777777" w:rsidR="00B2173B" w:rsidRDefault="00B2173B">
    <w:pPr>
      <w:widowControl w:val="0"/>
      <w:pBdr>
        <w:top w:val="nil"/>
        <w:left w:val="nil"/>
        <w:bottom w:val="nil"/>
        <w:right w:val="nil"/>
        <w:between w:val="nil"/>
      </w:pBdr>
      <w:spacing w:line="276" w:lineRule="auto"/>
      <w:rPr>
        <w:color w:val="000000"/>
      </w:rPr>
    </w:pPr>
  </w:p>
  <w:tbl>
    <w:tblPr>
      <w:tblW w:w="9356" w:type="dxa"/>
      <w:tblLayout w:type="fixed"/>
      <w:tblLook w:val="0400" w:firstRow="0" w:lastRow="0" w:firstColumn="0" w:lastColumn="0" w:noHBand="0" w:noVBand="1"/>
    </w:tblPr>
    <w:tblGrid>
      <w:gridCol w:w="1985"/>
      <w:gridCol w:w="7371"/>
    </w:tblGrid>
    <w:tr w:rsidR="00B2173B" w14:paraId="5DEFF59C" w14:textId="77777777">
      <w:trPr>
        <w:trHeight w:val="1435"/>
      </w:trPr>
      <w:tc>
        <w:tcPr>
          <w:tcW w:w="1985" w:type="dxa"/>
        </w:tcPr>
        <w:p w14:paraId="0CFA91A6" w14:textId="77777777" w:rsidR="00B2173B" w:rsidRDefault="00B2173B">
          <w:pPr>
            <w:tabs>
              <w:tab w:val="right" w:pos="4273"/>
            </w:tabs>
            <w:spacing w:line="256" w:lineRule="auto"/>
            <w:rPr>
              <w:rFonts w:ascii="Garamond" w:eastAsia="Garamond" w:hAnsi="Garamond" w:cs="Garamond"/>
              <w:sz w:val="22"/>
              <w:szCs w:val="22"/>
            </w:rPr>
          </w:pPr>
        </w:p>
      </w:tc>
      <w:tc>
        <w:tcPr>
          <w:tcW w:w="7371" w:type="dxa"/>
        </w:tcPr>
        <w:p w14:paraId="03B23C83" w14:textId="77777777" w:rsidR="00B2173B" w:rsidRDefault="00B2173B">
          <w:pPr>
            <w:rPr>
              <w:sz w:val="28"/>
              <w:szCs w:val="28"/>
            </w:rPr>
          </w:pPr>
        </w:p>
        <w:tbl>
          <w:tblPr>
            <w:tblW w:w="8072" w:type="dxa"/>
            <w:tblInd w:w="1161" w:type="dxa"/>
            <w:tblBorders>
              <w:top w:val="nil"/>
              <w:left w:val="nil"/>
              <w:bottom w:val="nil"/>
              <w:right w:val="nil"/>
              <w:insideH w:val="nil"/>
              <w:insideV w:val="nil"/>
            </w:tblBorders>
            <w:tblLayout w:type="fixed"/>
            <w:tblLook w:val="0400" w:firstRow="0" w:lastRow="0" w:firstColumn="0" w:lastColumn="0" w:noHBand="0" w:noVBand="1"/>
          </w:tblPr>
          <w:tblGrid>
            <w:gridCol w:w="2700"/>
            <w:gridCol w:w="2977"/>
            <w:gridCol w:w="2395"/>
          </w:tblGrid>
          <w:tr w:rsidR="00B2173B" w14:paraId="201BB5F3" w14:textId="77777777" w:rsidTr="00D1222A">
            <w:trPr>
              <w:trHeight w:val="194"/>
            </w:trPr>
            <w:tc>
              <w:tcPr>
                <w:tcW w:w="2700" w:type="dxa"/>
              </w:tcPr>
              <w:p w14:paraId="67C831B3" w14:textId="228686ED" w:rsidR="00B2173B" w:rsidRDefault="00B2173B">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Recurso de Revisión:</w:t>
                </w:r>
              </w:p>
            </w:tc>
            <w:tc>
              <w:tcPr>
                <w:tcW w:w="2977" w:type="dxa"/>
              </w:tcPr>
              <w:p w14:paraId="06277E24" w14:textId="7AC39850" w:rsidR="00B2173B" w:rsidRDefault="00B2173B">
                <w:pPr>
                  <w:tabs>
                    <w:tab w:val="right" w:pos="8838"/>
                  </w:tabs>
                  <w:ind w:left="-11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04426/INFOEM/IP/RR/2025</w:t>
                </w:r>
              </w:p>
            </w:tc>
            <w:tc>
              <w:tcPr>
                <w:tcW w:w="2395" w:type="dxa"/>
              </w:tcPr>
              <w:p w14:paraId="341EE3F3" w14:textId="77777777" w:rsidR="00B2173B" w:rsidRDefault="00B2173B">
                <w:pPr>
                  <w:tabs>
                    <w:tab w:val="right" w:pos="8838"/>
                  </w:tabs>
                  <w:ind w:left="-114" w:right="-105"/>
                  <w:jc w:val="both"/>
                  <w:rPr>
                    <w:rFonts w:ascii="Palatino Linotype" w:eastAsia="Palatino Linotype" w:hAnsi="Palatino Linotype" w:cs="Palatino Linotype"/>
                    <w:sz w:val="22"/>
                    <w:szCs w:val="22"/>
                  </w:rPr>
                </w:pPr>
              </w:p>
            </w:tc>
          </w:tr>
          <w:tr w:rsidR="00B2173B" w14:paraId="78A717CD" w14:textId="77777777" w:rsidTr="00D1222A">
            <w:trPr>
              <w:trHeight w:val="88"/>
            </w:trPr>
            <w:tc>
              <w:tcPr>
                <w:tcW w:w="2700" w:type="dxa"/>
              </w:tcPr>
              <w:p w14:paraId="621FE87E" w14:textId="6F102026" w:rsidR="00B2173B" w:rsidRDefault="00B2173B">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Sujeto Obligado:</w:t>
                </w:r>
              </w:p>
            </w:tc>
            <w:tc>
              <w:tcPr>
                <w:tcW w:w="2977" w:type="dxa"/>
              </w:tcPr>
              <w:p w14:paraId="7D2712F8" w14:textId="7AE7EB94" w:rsidR="00B2173B" w:rsidRPr="00FE651E" w:rsidRDefault="00B2173B">
                <w:pPr>
                  <w:tabs>
                    <w:tab w:val="left" w:pos="2834"/>
                    <w:tab w:val="right" w:pos="8838"/>
                  </w:tabs>
                  <w:ind w:left="-114"/>
                  <w:jc w:val="both"/>
                  <w:rPr>
                    <w:rFonts w:ascii="Palatino Linotype" w:eastAsia="Palatino Linotype" w:hAnsi="Palatino Linotype" w:cs="Palatino Linotype"/>
                    <w:sz w:val="32"/>
                    <w:szCs w:val="32"/>
                  </w:rPr>
                </w:pPr>
                <w:r>
                  <w:rPr>
                    <w:rFonts w:ascii="Palatino Linotype" w:eastAsia="Palatino Linotype" w:hAnsi="Palatino Linotype" w:cs="Palatino Linotype"/>
                    <w:sz w:val="22"/>
                    <w:szCs w:val="22"/>
                  </w:rPr>
                  <w:t xml:space="preserve">Ayuntamiento de San Martín de las Pirámides </w:t>
                </w:r>
              </w:p>
            </w:tc>
            <w:tc>
              <w:tcPr>
                <w:tcW w:w="2395" w:type="dxa"/>
              </w:tcPr>
              <w:p w14:paraId="5F0FB532" w14:textId="77777777" w:rsidR="00B2173B" w:rsidRDefault="00B2173B">
                <w:pPr>
                  <w:tabs>
                    <w:tab w:val="left" w:pos="2834"/>
                    <w:tab w:val="right" w:pos="8838"/>
                  </w:tabs>
                  <w:ind w:left="-114"/>
                  <w:jc w:val="both"/>
                  <w:rPr>
                    <w:rFonts w:ascii="Palatino Linotype" w:eastAsia="Palatino Linotype" w:hAnsi="Palatino Linotype" w:cs="Palatino Linotype"/>
                    <w:sz w:val="22"/>
                    <w:szCs w:val="22"/>
                  </w:rPr>
                </w:pPr>
              </w:p>
            </w:tc>
          </w:tr>
          <w:tr w:rsidR="00B2173B" w14:paraId="06EE7D65" w14:textId="77777777" w:rsidTr="00D1222A">
            <w:trPr>
              <w:trHeight w:val="383"/>
            </w:trPr>
            <w:tc>
              <w:tcPr>
                <w:tcW w:w="2700" w:type="dxa"/>
              </w:tcPr>
              <w:p w14:paraId="3D490F1B" w14:textId="7CABC569" w:rsidR="00B2173B" w:rsidRDefault="00B2173B">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Comisionado Ponente:</w:t>
                </w:r>
              </w:p>
            </w:tc>
            <w:tc>
              <w:tcPr>
                <w:tcW w:w="2977" w:type="dxa"/>
              </w:tcPr>
              <w:p w14:paraId="36D54D8F" w14:textId="77777777" w:rsidR="00B2173B" w:rsidRDefault="00B2173B">
                <w:pPr>
                  <w:tabs>
                    <w:tab w:val="right" w:pos="8838"/>
                  </w:tabs>
                  <w:ind w:left="-11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c>
              <w:tcPr>
                <w:tcW w:w="2395" w:type="dxa"/>
              </w:tcPr>
              <w:p w14:paraId="300D3D1E" w14:textId="77777777" w:rsidR="00B2173B" w:rsidRDefault="00B2173B">
                <w:pPr>
                  <w:tabs>
                    <w:tab w:val="right" w:pos="8838"/>
                  </w:tabs>
                  <w:ind w:left="-114" w:right="-105"/>
                  <w:jc w:val="both"/>
                  <w:rPr>
                    <w:rFonts w:ascii="Palatino Linotype" w:eastAsia="Palatino Linotype" w:hAnsi="Palatino Linotype" w:cs="Palatino Linotype"/>
                    <w:sz w:val="22"/>
                    <w:szCs w:val="22"/>
                  </w:rPr>
                </w:pPr>
              </w:p>
            </w:tc>
          </w:tr>
        </w:tbl>
        <w:p w14:paraId="064D48D6" w14:textId="77777777" w:rsidR="00B2173B" w:rsidRDefault="00B2173B">
          <w:pPr>
            <w:tabs>
              <w:tab w:val="right" w:pos="8838"/>
            </w:tabs>
            <w:spacing w:line="256" w:lineRule="auto"/>
            <w:ind w:left="-28"/>
            <w:jc w:val="both"/>
            <w:rPr>
              <w:rFonts w:ascii="Arial" w:eastAsia="Arial" w:hAnsi="Arial" w:cs="Arial"/>
              <w:b/>
              <w:sz w:val="22"/>
              <w:szCs w:val="22"/>
            </w:rPr>
          </w:pPr>
        </w:p>
      </w:tc>
    </w:tr>
  </w:tbl>
  <w:p w14:paraId="59AE4088" w14:textId="77777777" w:rsidR="00B2173B" w:rsidRDefault="00B2173B">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sz w:val="22"/>
        <w:szCs w:val="22"/>
      </w:rPr>
      <w:drawing>
        <wp:anchor distT="0" distB="0" distL="0" distR="0" simplePos="0" relativeHeight="251656704" behindDoc="1" locked="0" layoutInCell="1" hidden="0" allowOverlap="1" wp14:anchorId="3534FECF" wp14:editId="4D20232A">
          <wp:simplePos x="0" y="0"/>
          <wp:positionH relativeFrom="margin">
            <wp:posOffset>-1153159</wp:posOffset>
          </wp:positionH>
          <wp:positionV relativeFrom="margin">
            <wp:posOffset>-1539239</wp:posOffset>
          </wp:positionV>
          <wp:extent cx="7835900" cy="10203815"/>
          <wp:effectExtent l="0" t="0" r="0" b="0"/>
          <wp:wrapNone/>
          <wp:docPr id="205032824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35900" cy="1020381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FECA3" w14:textId="77777777" w:rsidR="00B2173B" w:rsidRDefault="00B2173B">
    <w:pPr>
      <w:widowControl w:val="0"/>
      <w:pBdr>
        <w:top w:val="nil"/>
        <w:left w:val="nil"/>
        <w:bottom w:val="nil"/>
        <w:right w:val="nil"/>
        <w:between w:val="nil"/>
      </w:pBdr>
      <w:spacing w:line="276" w:lineRule="auto"/>
      <w:rPr>
        <w:color w:val="000000"/>
      </w:rPr>
    </w:pPr>
  </w:p>
  <w:tbl>
    <w:tblPr>
      <w:tblW w:w="9214" w:type="dxa"/>
      <w:tblLayout w:type="fixed"/>
      <w:tblLook w:val="0400" w:firstRow="0" w:lastRow="0" w:firstColumn="0" w:lastColumn="0" w:noHBand="0" w:noVBand="1"/>
    </w:tblPr>
    <w:tblGrid>
      <w:gridCol w:w="1560"/>
      <w:gridCol w:w="7654"/>
    </w:tblGrid>
    <w:tr w:rsidR="00B2173B" w14:paraId="40D01BCF" w14:textId="77777777">
      <w:trPr>
        <w:trHeight w:val="1435"/>
      </w:trPr>
      <w:tc>
        <w:tcPr>
          <w:tcW w:w="1560" w:type="dxa"/>
        </w:tcPr>
        <w:p w14:paraId="2C160CB9" w14:textId="77777777" w:rsidR="00B2173B" w:rsidRDefault="00B2173B">
          <w:pPr>
            <w:tabs>
              <w:tab w:val="right" w:pos="4273"/>
            </w:tabs>
            <w:spacing w:line="256" w:lineRule="auto"/>
            <w:rPr>
              <w:rFonts w:ascii="Garamond" w:eastAsia="Garamond" w:hAnsi="Garamond" w:cs="Garamond"/>
              <w:sz w:val="22"/>
              <w:szCs w:val="22"/>
            </w:rPr>
          </w:pPr>
        </w:p>
      </w:tc>
      <w:tc>
        <w:tcPr>
          <w:tcW w:w="7654" w:type="dxa"/>
        </w:tcPr>
        <w:p w14:paraId="64F2D113" w14:textId="77777777" w:rsidR="00B2173B" w:rsidRDefault="00B2173B">
          <w:pPr>
            <w:widowControl w:val="0"/>
            <w:pBdr>
              <w:top w:val="nil"/>
              <w:left w:val="nil"/>
              <w:bottom w:val="nil"/>
              <w:right w:val="nil"/>
              <w:between w:val="nil"/>
            </w:pBdr>
            <w:spacing w:line="276" w:lineRule="auto"/>
            <w:rPr>
              <w:rFonts w:ascii="Garamond" w:eastAsia="Garamond" w:hAnsi="Garamond" w:cs="Garamond"/>
              <w:sz w:val="22"/>
              <w:szCs w:val="22"/>
            </w:rPr>
          </w:pPr>
        </w:p>
        <w:tbl>
          <w:tblPr>
            <w:tblW w:w="6650" w:type="dxa"/>
            <w:tblInd w:w="607" w:type="dxa"/>
            <w:tblBorders>
              <w:top w:val="nil"/>
              <w:left w:val="nil"/>
              <w:bottom w:val="nil"/>
              <w:right w:val="nil"/>
              <w:insideH w:val="nil"/>
              <w:insideV w:val="nil"/>
            </w:tblBorders>
            <w:tblLayout w:type="fixed"/>
            <w:tblLook w:val="0400" w:firstRow="0" w:lastRow="0" w:firstColumn="0" w:lastColumn="0" w:noHBand="0" w:noVBand="1"/>
          </w:tblPr>
          <w:tblGrid>
            <w:gridCol w:w="3673"/>
            <w:gridCol w:w="2977"/>
          </w:tblGrid>
          <w:tr w:rsidR="00B2173B" w14:paraId="0953F5BB" w14:textId="77777777" w:rsidTr="00D1222A">
            <w:trPr>
              <w:trHeight w:val="155"/>
            </w:trPr>
            <w:tc>
              <w:tcPr>
                <w:tcW w:w="3673" w:type="dxa"/>
              </w:tcPr>
              <w:p w14:paraId="524BA4C3" w14:textId="67E19185" w:rsidR="00B2173B" w:rsidRDefault="00B2173B">
                <w:pPr>
                  <w:tabs>
                    <w:tab w:val="right" w:pos="8838"/>
                  </w:tabs>
                  <w:ind w:left="-69"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Recurso de Revisión:</w:t>
                </w:r>
              </w:p>
            </w:tc>
            <w:tc>
              <w:tcPr>
                <w:tcW w:w="2977" w:type="dxa"/>
              </w:tcPr>
              <w:p w14:paraId="3AFCA508" w14:textId="5E2CDD64" w:rsidR="00B2173B" w:rsidRDefault="00B2173B">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04426/INFOEM/IP/RR/2025 </w:t>
                </w:r>
              </w:p>
            </w:tc>
          </w:tr>
          <w:tr w:rsidR="00B2173B" w14:paraId="5A95E2C8" w14:textId="77777777" w:rsidTr="00D1222A">
            <w:trPr>
              <w:trHeight w:val="155"/>
            </w:trPr>
            <w:tc>
              <w:tcPr>
                <w:tcW w:w="3673" w:type="dxa"/>
              </w:tcPr>
              <w:p w14:paraId="7506C7E5" w14:textId="154614A8" w:rsidR="00B2173B" w:rsidRDefault="00B2173B">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Recurrente:</w:t>
                </w:r>
              </w:p>
            </w:tc>
            <w:tc>
              <w:tcPr>
                <w:tcW w:w="2977" w:type="dxa"/>
              </w:tcPr>
              <w:p w14:paraId="202F888A" w14:textId="3174BC64" w:rsidR="00B2173B" w:rsidRDefault="009529ED">
                <w:pPr>
                  <w:tabs>
                    <w:tab w:val="left" w:pos="3122"/>
                    <w:tab w:val="right" w:pos="8838"/>
                  </w:tabs>
                  <w:ind w:left="-74" w:right="-105"/>
                  <w:jc w:val="both"/>
                  <w:rPr>
                    <w:rFonts w:ascii="Palatino Linotype" w:eastAsia="Palatino Linotype" w:hAnsi="Palatino Linotype" w:cs="Palatino Linotype"/>
                    <w:sz w:val="22"/>
                    <w:szCs w:val="22"/>
                  </w:rPr>
                </w:pPr>
                <w:r w:rsidRPr="009529ED">
                  <w:rPr>
                    <w:rFonts w:ascii="Palatino Linotype" w:eastAsia="Palatino Linotype" w:hAnsi="Palatino Linotype" w:cs="Palatino Linotype"/>
                    <w:sz w:val="22"/>
                    <w:szCs w:val="22"/>
                    <w:highlight w:val="black"/>
                  </w:rPr>
                  <w:t>XXXXXXXXXXXXXXX</w:t>
                </w:r>
              </w:p>
            </w:tc>
          </w:tr>
          <w:tr w:rsidR="00B2173B" w14:paraId="70594FC6" w14:textId="77777777" w:rsidTr="00D1222A">
            <w:trPr>
              <w:trHeight w:val="309"/>
            </w:trPr>
            <w:tc>
              <w:tcPr>
                <w:tcW w:w="3673" w:type="dxa"/>
              </w:tcPr>
              <w:p w14:paraId="432A0BE4" w14:textId="3558952C" w:rsidR="00B2173B" w:rsidRDefault="00B2173B">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Sujeto Obligado:</w:t>
                </w:r>
              </w:p>
            </w:tc>
            <w:tc>
              <w:tcPr>
                <w:tcW w:w="2977" w:type="dxa"/>
              </w:tcPr>
              <w:p w14:paraId="3F16FF9F" w14:textId="4993F657" w:rsidR="00B2173B" w:rsidRPr="00FE651E" w:rsidRDefault="00B2173B">
                <w:pPr>
                  <w:tabs>
                    <w:tab w:val="left" w:pos="2834"/>
                    <w:tab w:val="right" w:pos="8838"/>
                  </w:tabs>
                  <w:ind w:left="-74"/>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Ayuntamiento de San Martín de las Pirámides</w:t>
                </w:r>
              </w:p>
            </w:tc>
          </w:tr>
          <w:tr w:rsidR="00B2173B" w14:paraId="518D8C3F" w14:textId="77777777" w:rsidTr="00D1222A">
            <w:trPr>
              <w:trHeight w:val="309"/>
            </w:trPr>
            <w:tc>
              <w:tcPr>
                <w:tcW w:w="3673" w:type="dxa"/>
              </w:tcPr>
              <w:p w14:paraId="2D56570B" w14:textId="7E526AB7" w:rsidR="00B2173B" w:rsidRDefault="00B2173B">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Comisionado Ponente:</w:t>
                </w:r>
              </w:p>
            </w:tc>
            <w:tc>
              <w:tcPr>
                <w:tcW w:w="2977" w:type="dxa"/>
              </w:tcPr>
              <w:p w14:paraId="6455FB10" w14:textId="77777777" w:rsidR="00B2173B" w:rsidRDefault="00B2173B">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r>
        </w:tbl>
        <w:p w14:paraId="3E4A3B42" w14:textId="77777777" w:rsidR="00B2173B" w:rsidRDefault="00B2173B">
          <w:pPr>
            <w:tabs>
              <w:tab w:val="right" w:pos="8838"/>
            </w:tabs>
            <w:spacing w:line="256" w:lineRule="auto"/>
            <w:ind w:left="-28"/>
            <w:jc w:val="both"/>
            <w:rPr>
              <w:rFonts w:ascii="Arial" w:eastAsia="Arial" w:hAnsi="Arial" w:cs="Arial"/>
              <w:b/>
              <w:sz w:val="22"/>
              <w:szCs w:val="22"/>
            </w:rPr>
          </w:pPr>
        </w:p>
      </w:tc>
    </w:tr>
  </w:tbl>
  <w:p w14:paraId="0AC79CF5" w14:textId="77777777" w:rsidR="00B2173B" w:rsidRDefault="00000000">
    <w:pPr>
      <w:pBdr>
        <w:top w:val="nil"/>
        <w:left w:val="nil"/>
        <w:bottom w:val="nil"/>
        <w:right w:val="nil"/>
        <w:between w:val="nil"/>
      </w:pBdr>
      <w:tabs>
        <w:tab w:val="center" w:pos="4419"/>
        <w:tab w:val="right" w:pos="8838"/>
      </w:tabs>
      <w:rPr>
        <w:color w:val="000000"/>
      </w:rPr>
    </w:pPr>
    <w:r>
      <w:rPr>
        <w:rFonts w:ascii="Garamond" w:eastAsia="Garamond" w:hAnsi="Garamond" w:cs="Garamond"/>
        <w:color w:val="000000"/>
        <w:sz w:val="22"/>
        <w:szCs w:val="22"/>
      </w:rPr>
      <w:pict w14:anchorId="64F1E5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85.8pt;margin-top:-134.85pt;width:663.5pt;height:12in;z-index:-251657728;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2FDB"/>
    <w:multiLevelType w:val="hybridMultilevel"/>
    <w:tmpl w:val="2BC0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60760D"/>
    <w:multiLevelType w:val="hybridMultilevel"/>
    <w:tmpl w:val="661CB91A"/>
    <w:lvl w:ilvl="0" w:tplc="08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2C2FCD"/>
    <w:multiLevelType w:val="hybridMultilevel"/>
    <w:tmpl w:val="B0EE1FD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C3F57E7"/>
    <w:multiLevelType w:val="multilevel"/>
    <w:tmpl w:val="FBAC7A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4FB6B8A"/>
    <w:multiLevelType w:val="hybridMultilevel"/>
    <w:tmpl w:val="D024ADCC"/>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1837D5"/>
    <w:multiLevelType w:val="hybridMultilevel"/>
    <w:tmpl w:val="2C0C5812"/>
    <w:lvl w:ilvl="0" w:tplc="78E0C78E">
      <w:start w:val="1"/>
      <w:numFmt w:val="decimal"/>
      <w:lvlText w:val="%1."/>
      <w:lvlJc w:val="left"/>
      <w:pPr>
        <w:ind w:left="720" w:hanging="36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F5104BB"/>
    <w:multiLevelType w:val="hybridMultilevel"/>
    <w:tmpl w:val="E612F02A"/>
    <w:lvl w:ilvl="0" w:tplc="080A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0950E0C"/>
    <w:multiLevelType w:val="multilevel"/>
    <w:tmpl w:val="0E8C8480"/>
    <w:lvl w:ilvl="0">
      <w:numFmt w:val="bullet"/>
      <w:lvlText w:val="-"/>
      <w:lvlJc w:val="left"/>
      <w:pPr>
        <w:ind w:left="1080" w:hanging="360"/>
      </w:pPr>
      <w:rPr>
        <w:rFonts w:ascii="Palatino Linotype" w:hAnsi="Palatino Linotype"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AF34ED2"/>
    <w:multiLevelType w:val="multilevel"/>
    <w:tmpl w:val="72C8F7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54F27F8"/>
    <w:multiLevelType w:val="hybridMultilevel"/>
    <w:tmpl w:val="29DC2386"/>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7887457"/>
    <w:multiLevelType w:val="hybridMultilevel"/>
    <w:tmpl w:val="8B8CF084"/>
    <w:lvl w:ilvl="0" w:tplc="080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54EA4FC4"/>
    <w:multiLevelType w:val="hybridMultilevel"/>
    <w:tmpl w:val="FF7CC5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A2D313D"/>
    <w:multiLevelType w:val="multilevel"/>
    <w:tmpl w:val="72C8F7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8DE59DE"/>
    <w:multiLevelType w:val="multilevel"/>
    <w:tmpl w:val="D1D21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AA45F0B"/>
    <w:multiLevelType w:val="hybridMultilevel"/>
    <w:tmpl w:val="DEB2E1CA"/>
    <w:lvl w:ilvl="0" w:tplc="C59A3416">
      <w:start w:val="6"/>
      <w:numFmt w:val="bullet"/>
      <w:lvlText w:val="-"/>
      <w:lvlJc w:val="left"/>
      <w:pPr>
        <w:ind w:left="720" w:hanging="360"/>
      </w:pPr>
      <w:rPr>
        <w:rFonts w:ascii="Palatino Linotype" w:eastAsia="Times New Roman" w:hAnsi="Palatino Linotype"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B1B43A0"/>
    <w:multiLevelType w:val="hybridMultilevel"/>
    <w:tmpl w:val="4E208992"/>
    <w:lvl w:ilvl="0" w:tplc="DA4C1DC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9D220C"/>
    <w:multiLevelType w:val="hybridMultilevel"/>
    <w:tmpl w:val="AC42D1EE"/>
    <w:lvl w:ilvl="0" w:tplc="C59A3416">
      <w:start w:val="6"/>
      <w:numFmt w:val="bullet"/>
      <w:lvlText w:val="-"/>
      <w:lvlJc w:val="left"/>
      <w:pPr>
        <w:ind w:left="720" w:hanging="360"/>
      </w:pPr>
      <w:rPr>
        <w:rFonts w:ascii="Palatino Linotype" w:eastAsia="Times New Roman" w:hAnsi="Palatino Linotype"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53659A7"/>
    <w:multiLevelType w:val="multilevel"/>
    <w:tmpl w:val="72C8F7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A8F139A"/>
    <w:multiLevelType w:val="hybridMultilevel"/>
    <w:tmpl w:val="3C0E36D6"/>
    <w:lvl w:ilvl="0" w:tplc="C59A3416">
      <w:start w:val="6"/>
      <w:numFmt w:val="bullet"/>
      <w:lvlText w:val="-"/>
      <w:lvlJc w:val="left"/>
      <w:pPr>
        <w:ind w:left="720" w:hanging="360"/>
      </w:pPr>
      <w:rPr>
        <w:rFonts w:ascii="Palatino Linotype" w:eastAsia="Times New Roman" w:hAnsi="Palatino Linotype"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6144763">
    <w:abstractNumId w:val="10"/>
  </w:num>
  <w:num w:numId="2" w16cid:durableId="1270313419">
    <w:abstractNumId w:val="11"/>
  </w:num>
  <w:num w:numId="3" w16cid:durableId="1020594825">
    <w:abstractNumId w:val="16"/>
  </w:num>
  <w:num w:numId="4" w16cid:durableId="1891259609">
    <w:abstractNumId w:val="9"/>
  </w:num>
  <w:num w:numId="5" w16cid:durableId="1736195075">
    <w:abstractNumId w:val="13"/>
  </w:num>
  <w:num w:numId="6" w16cid:durableId="1193571289">
    <w:abstractNumId w:val="14"/>
  </w:num>
  <w:num w:numId="7" w16cid:durableId="1982928982">
    <w:abstractNumId w:val="6"/>
  </w:num>
  <w:num w:numId="8" w16cid:durableId="1852838493">
    <w:abstractNumId w:val="18"/>
  </w:num>
  <w:num w:numId="9" w16cid:durableId="57678937">
    <w:abstractNumId w:val="7"/>
  </w:num>
  <w:num w:numId="10" w16cid:durableId="1975941734">
    <w:abstractNumId w:val="19"/>
  </w:num>
  <w:num w:numId="11" w16cid:durableId="1030760334">
    <w:abstractNumId w:val="5"/>
  </w:num>
  <w:num w:numId="12" w16cid:durableId="109476756">
    <w:abstractNumId w:val="17"/>
  </w:num>
  <w:num w:numId="13" w16cid:durableId="768351965">
    <w:abstractNumId w:val="4"/>
  </w:num>
  <w:num w:numId="14" w16cid:durableId="1234120659">
    <w:abstractNumId w:val="12"/>
  </w:num>
  <w:num w:numId="15" w16cid:durableId="260795419">
    <w:abstractNumId w:val="0"/>
  </w:num>
  <w:num w:numId="16" w16cid:durableId="165705608">
    <w:abstractNumId w:val="8"/>
  </w:num>
  <w:num w:numId="17" w16cid:durableId="1389107227">
    <w:abstractNumId w:val="3"/>
  </w:num>
  <w:num w:numId="18" w16cid:durableId="436367144">
    <w:abstractNumId w:val="15"/>
  </w:num>
  <w:num w:numId="19" w16cid:durableId="1966541888">
    <w:abstractNumId w:val="1"/>
  </w:num>
  <w:num w:numId="20" w16cid:durableId="19317404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22A"/>
    <w:rsid w:val="00020B3A"/>
    <w:rsid w:val="000D7115"/>
    <w:rsid w:val="000F3AB5"/>
    <w:rsid w:val="00183EE3"/>
    <w:rsid w:val="001873C0"/>
    <w:rsid w:val="001C5D9E"/>
    <w:rsid w:val="00216833"/>
    <w:rsid w:val="00230502"/>
    <w:rsid w:val="0025217A"/>
    <w:rsid w:val="002C5043"/>
    <w:rsid w:val="002E01B9"/>
    <w:rsid w:val="003125D4"/>
    <w:rsid w:val="003B06CC"/>
    <w:rsid w:val="003B3636"/>
    <w:rsid w:val="004260FF"/>
    <w:rsid w:val="00450C94"/>
    <w:rsid w:val="00543563"/>
    <w:rsid w:val="00587816"/>
    <w:rsid w:val="00620F19"/>
    <w:rsid w:val="00655DF8"/>
    <w:rsid w:val="006D419A"/>
    <w:rsid w:val="006E02EE"/>
    <w:rsid w:val="00721B4D"/>
    <w:rsid w:val="007D7705"/>
    <w:rsid w:val="00865F5C"/>
    <w:rsid w:val="008C61F6"/>
    <w:rsid w:val="008D4ABB"/>
    <w:rsid w:val="008F16CF"/>
    <w:rsid w:val="009351EB"/>
    <w:rsid w:val="009529ED"/>
    <w:rsid w:val="00980629"/>
    <w:rsid w:val="00985353"/>
    <w:rsid w:val="009F41AE"/>
    <w:rsid w:val="00A438D7"/>
    <w:rsid w:val="00B01980"/>
    <w:rsid w:val="00B12780"/>
    <w:rsid w:val="00B2173B"/>
    <w:rsid w:val="00B64072"/>
    <w:rsid w:val="00BA1092"/>
    <w:rsid w:val="00C01DB5"/>
    <w:rsid w:val="00C954BB"/>
    <w:rsid w:val="00D1222A"/>
    <w:rsid w:val="00D74018"/>
    <w:rsid w:val="00DB752C"/>
    <w:rsid w:val="00EF5DF9"/>
    <w:rsid w:val="00F035B7"/>
    <w:rsid w:val="00F0423C"/>
    <w:rsid w:val="00F1028B"/>
    <w:rsid w:val="00FB1F61"/>
    <w:rsid w:val="00FF0289"/>
    <w:rsid w:val="00FF6F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10E9B"/>
  <w15:chartTrackingRefBased/>
  <w15:docId w15:val="{F40D2636-4EFB-4AE0-AA23-82ACC1125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1222A"/>
    <w:pPr>
      <w:spacing w:after="0" w:line="240" w:lineRule="auto"/>
    </w:pPr>
    <w:rPr>
      <w:rFonts w:ascii="Times New Roman" w:eastAsia="Times New Roman" w:hAnsi="Times New Roman" w:cs="Times New Roman"/>
      <w:kern w:val="0"/>
      <w:sz w:val="20"/>
      <w:szCs w:val="20"/>
      <w:lang w:eastAsia="es-MX"/>
      <w14:ligatures w14:val="none"/>
    </w:rPr>
  </w:style>
  <w:style w:type="paragraph" w:styleId="Ttulo1">
    <w:name w:val="heading 1"/>
    <w:basedOn w:val="Normal"/>
    <w:next w:val="Normal"/>
    <w:link w:val="Ttulo1Car"/>
    <w:qFormat/>
    <w:rsid w:val="00D122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nhideWhenUsed/>
    <w:qFormat/>
    <w:rsid w:val="00D122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1222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1222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1222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1222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1222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1222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1222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1222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D1222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D1222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D1222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D1222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D1222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1222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1222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1222A"/>
    <w:rPr>
      <w:rFonts w:eastAsiaTheme="majorEastAsia" w:cstheme="majorBidi"/>
      <w:color w:val="272727" w:themeColor="text1" w:themeTint="D8"/>
    </w:rPr>
  </w:style>
  <w:style w:type="paragraph" w:styleId="Ttulo">
    <w:name w:val="Title"/>
    <w:basedOn w:val="Normal"/>
    <w:next w:val="Normal"/>
    <w:link w:val="TtuloCar"/>
    <w:uiPriority w:val="10"/>
    <w:qFormat/>
    <w:rsid w:val="00D1222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1222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1222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1222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1222A"/>
    <w:pPr>
      <w:spacing w:before="160"/>
      <w:jc w:val="center"/>
    </w:pPr>
    <w:rPr>
      <w:i/>
      <w:iCs/>
      <w:color w:val="404040" w:themeColor="text1" w:themeTint="BF"/>
    </w:rPr>
  </w:style>
  <w:style w:type="character" w:customStyle="1" w:styleId="CitaCar">
    <w:name w:val="Cita Car"/>
    <w:basedOn w:val="Fuentedeprrafopredeter"/>
    <w:link w:val="Cita"/>
    <w:uiPriority w:val="29"/>
    <w:rsid w:val="00D1222A"/>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1222A"/>
    <w:pPr>
      <w:ind w:left="720"/>
      <w:contextualSpacing/>
    </w:pPr>
  </w:style>
  <w:style w:type="character" w:styleId="nfasisintenso">
    <w:name w:val="Intense Emphasis"/>
    <w:basedOn w:val="Fuentedeprrafopredeter"/>
    <w:uiPriority w:val="21"/>
    <w:qFormat/>
    <w:rsid w:val="00D1222A"/>
    <w:rPr>
      <w:i/>
      <w:iCs/>
      <w:color w:val="2F5496" w:themeColor="accent1" w:themeShade="BF"/>
    </w:rPr>
  </w:style>
  <w:style w:type="paragraph" w:styleId="Citadestacada">
    <w:name w:val="Intense Quote"/>
    <w:basedOn w:val="Normal"/>
    <w:next w:val="Normal"/>
    <w:link w:val="CitadestacadaCar"/>
    <w:uiPriority w:val="30"/>
    <w:qFormat/>
    <w:rsid w:val="00D122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1222A"/>
    <w:rPr>
      <w:i/>
      <w:iCs/>
      <w:color w:val="2F5496" w:themeColor="accent1" w:themeShade="BF"/>
    </w:rPr>
  </w:style>
  <w:style w:type="character" w:styleId="Referenciaintensa">
    <w:name w:val="Intense Reference"/>
    <w:basedOn w:val="Fuentedeprrafopredeter"/>
    <w:uiPriority w:val="32"/>
    <w:qFormat/>
    <w:rsid w:val="00D1222A"/>
    <w:rPr>
      <w:b/>
      <w:bCs/>
      <w:smallCaps/>
      <w:color w:val="2F5496" w:themeColor="accent1" w:themeShade="BF"/>
      <w:spacing w:val="5"/>
    </w:rPr>
  </w:style>
  <w:style w:type="character" w:styleId="Hipervnculo">
    <w:name w:val="Hyperlink"/>
    <w:aliases w:val="Hipervínculo1,Hipervínculo11,Hipervínculo12,Hipervínculo13,Hipervínculo14,Hipervínculo15"/>
    <w:basedOn w:val="Fuentedeprrafopredeter"/>
    <w:uiPriority w:val="99"/>
    <w:unhideWhenUsed/>
    <w:qFormat/>
    <w:rsid w:val="00D1222A"/>
    <w:rPr>
      <w:color w:val="0563C1" w:themeColor="hyperlink"/>
      <w:u w:val="single"/>
    </w:rPr>
  </w:style>
  <w:style w:type="paragraph" w:styleId="TtuloTDC">
    <w:name w:val="TOC Heading"/>
    <w:basedOn w:val="Ttulo1"/>
    <w:next w:val="Normal"/>
    <w:uiPriority w:val="39"/>
    <w:unhideWhenUsed/>
    <w:qFormat/>
    <w:rsid w:val="00D1222A"/>
    <w:pPr>
      <w:spacing w:before="240" w:after="0"/>
      <w:outlineLvl w:val="9"/>
    </w:pPr>
    <w:rPr>
      <w:sz w:val="32"/>
      <w:szCs w:val="32"/>
    </w:rPr>
  </w:style>
  <w:style w:type="paragraph" w:styleId="TDC1">
    <w:name w:val="toc 1"/>
    <w:basedOn w:val="Normal"/>
    <w:next w:val="Normal"/>
    <w:autoRedefine/>
    <w:uiPriority w:val="39"/>
    <w:unhideWhenUsed/>
    <w:rsid w:val="00D1222A"/>
    <w:pPr>
      <w:spacing w:after="100" w:line="254" w:lineRule="auto"/>
      <w:jc w:val="both"/>
    </w:pPr>
    <w:rPr>
      <w:rFonts w:ascii="Palatino Linotype" w:eastAsia="Palatino Linotype" w:hAnsi="Palatino Linotype" w:cs="Palatino Linotype"/>
      <w:color w:val="000000" w:themeColor="text1"/>
      <w:sz w:val="22"/>
      <w:szCs w:val="22"/>
    </w:rPr>
  </w:style>
  <w:style w:type="paragraph" w:styleId="TDC2">
    <w:name w:val="toc 2"/>
    <w:basedOn w:val="Normal"/>
    <w:next w:val="Normal"/>
    <w:autoRedefine/>
    <w:uiPriority w:val="39"/>
    <w:unhideWhenUsed/>
    <w:rsid w:val="00D1222A"/>
    <w:pPr>
      <w:spacing w:after="100" w:line="254" w:lineRule="auto"/>
      <w:ind w:left="220"/>
      <w:jc w:val="both"/>
    </w:pPr>
    <w:rPr>
      <w:rFonts w:ascii="Palatino Linotype" w:eastAsia="Palatino Linotype" w:hAnsi="Palatino Linotype" w:cs="Palatino Linotype"/>
      <w:color w:val="000000" w:themeColor="text1"/>
      <w:sz w:val="22"/>
      <w:szCs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D12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53</Pages>
  <Words>13737</Words>
  <Characters>75555</Characters>
  <Application>Microsoft Office Word</Application>
  <DocSecurity>0</DocSecurity>
  <Lines>629</Lines>
  <Paragraphs>178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IVAN PEÑA VARA</cp:lastModifiedBy>
  <cp:revision>4</cp:revision>
  <cp:lastPrinted>2026-02-06T15:41:00Z</cp:lastPrinted>
  <dcterms:created xsi:type="dcterms:W3CDTF">2026-02-06T15:41:00Z</dcterms:created>
  <dcterms:modified xsi:type="dcterms:W3CDTF">2026-04-09T23:50:00Z</dcterms:modified>
</cp:coreProperties>
</file>