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B2624AC" w:rsidR="00A970D5" w:rsidRPr="0059734A" w:rsidRDefault="00A970D5" w:rsidP="004E0A52">
      <w:pPr>
        <w:pStyle w:val="NormalINFOEM"/>
      </w:pPr>
      <w:r w:rsidRPr="0059734A">
        <w:t>Resolución del Pleno del Instituto de Transparencia, Acceso a la Información Pública y Protección de Datos Personales del Estado de México</w:t>
      </w:r>
      <w:r w:rsidR="00FD2A3F" w:rsidRPr="0059734A">
        <w:t xml:space="preserve"> </w:t>
      </w:r>
      <w:r w:rsidRPr="0059734A">
        <w:t xml:space="preserve">y Municipios, con domicilio en Metepec, Estado de </w:t>
      </w:r>
      <w:r w:rsidR="008B2951" w:rsidRPr="0059734A">
        <w:t xml:space="preserve">México, </w:t>
      </w:r>
      <w:r w:rsidR="000D2E93" w:rsidRPr="0059734A">
        <w:t>a</w:t>
      </w:r>
      <w:r w:rsidR="0011108B" w:rsidRPr="0059734A">
        <w:t xml:space="preserve"> </w:t>
      </w:r>
      <w:r w:rsidR="006A7F0F" w:rsidRPr="0059734A">
        <w:t>cinco de febrero de dos mil veintiséis</w:t>
      </w:r>
      <w:r w:rsidR="0011108B" w:rsidRPr="0059734A">
        <w:t>.</w:t>
      </w:r>
    </w:p>
    <w:p w14:paraId="60399B74"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 w:val="22"/>
        </w:rPr>
      </w:pPr>
    </w:p>
    <w:p w14:paraId="1D0D9BD7" w14:textId="2AE9CC84" w:rsidR="00A970D5" w:rsidRPr="0059734A" w:rsidRDefault="70652167" w:rsidP="004E0A52">
      <w:pPr>
        <w:pBdr>
          <w:top w:val="nil"/>
          <w:left w:val="nil"/>
          <w:bottom w:val="nil"/>
          <w:right w:val="nil"/>
          <w:between w:val="nil"/>
        </w:pBdr>
        <w:contextualSpacing/>
        <w:rPr>
          <w:rFonts w:eastAsia="Palatino Linotype" w:cs="Palatino Linotype"/>
          <w:b/>
          <w:bCs/>
          <w:color w:val="000000"/>
          <w:lang w:val="es-ES"/>
        </w:rPr>
      </w:pPr>
      <w:r w:rsidRPr="0059734A">
        <w:rPr>
          <w:rFonts w:eastAsia="Palatino Linotype" w:cs="Palatino Linotype"/>
          <w:b/>
          <w:bCs/>
          <w:color w:val="000000" w:themeColor="text1"/>
          <w:lang w:val="es-ES"/>
        </w:rPr>
        <w:t>VISTO</w:t>
      </w:r>
      <w:r w:rsidRPr="0059734A">
        <w:rPr>
          <w:rFonts w:eastAsia="Palatino Linotype" w:cs="Palatino Linotype"/>
          <w:color w:val="000000" w:themeColor="text1"/>
          <w:lang w:val="es-ES"/>
        </w:rPr>
        <w:t xml:space="preserve"> el expediente electrónico formado con motivo del recurso de revisión número </w:t>
      </w:r>
      <w:bookmarkStart w:id="0" w:name="_GoBack"/>
      <w:r w:rsidR="00BB636A" w:rsidRPr="0059734A">
        <w:rPr>
          <w:rFonts w:eastAsia="Palatino Linotype" w:cs="Palatino Linotype"/>
          <w:b/>
          <w:bCs/>
          <w:color w:val="000000" w:themeColor="text1"/>
          <w:lang w:val="es-ES"/>
        </w:rPr>
        <w:t>0644</w:t>
      </w:r>
      <w:r w:rsidR="002A5A2E" w:rsidRPr="0059734A">
        <w:rPr>
          <w:rFonts w:eastAsia="Palatino Linotype" w:cs="Palatino Linotype"/>
          <w:b/>
          <w:bCs/>
          <w:color w:val="000000" w:themeColor="text1"/>
          <w:lang w:val="es-ES"/>
        </w:rPr>
        <w:t>0</w:t>
      </w:r>
      <w:r w:rsidR="00252F83" w:rsidRPr="0059734A">
        <w:rPr>
          <w:rFonts w:eastAsia="Palatino Linotype" w:cs="Palatino Linotype"/>
          <w:b/>
          <w:bCs/>
          <w:color w:val="000000" w:themeColor="text1"/>
          <w:lang w:val="es-ES"/>
        </w:rPr>
        <w:t>/INFOEM/IP/RR/2025</w:t>
      </w:r>
      <w:bookmarkEnd w:id="0"/>
      <w:r w:rsidRPr="0059734A">
        <w:rPr>
          <w:rFonts w:eastAsia="Palatino Linotype" w:cs="Palatino Linotype"/>
          <w:color w:val="000000" w:themeColor="text1"/>
          <w:lang w:val="es-ES"/>
        </w:rPr>
        <w:t>, interpuesto por</w:t>
      </w:r>
      <w:r w:rsidR="002F3AD7" w:rsidRPr="0059734A">
        <w:rPr>
          <w:rFonts w:eastAsia="Palatino Linotype" w:cs="Palatino Linotype"/>
          <w:color w:val="000000" w:themeColor="text1"/>
          <w:lang w:val="es-ES"/>
        </w:rPr>
        <w:t xml:space="preserve"> </w:t>
      </w:r>
      <w:r w:rsidR="00BB636A" w:rsidRPr="0059734A">
        <w:rPr>
          <w:rFonts w:eastAsia="Palatino Linotype" w:cs="Palatino Linotype"/>
          <w:color w:val="000000" w:themeColor="text1"/>
          <w:lang w:val="es-ES"/>
        </w:rPr>
        <w:t xml:space="preserve">el C. </w:t>
      </w:r>
      <w:proofErr w:type="spellStart"/>
      <w:r w:rsidR="00B4338D">
        <w:rPr>
          <w:rFonts w:eastAsia="Palatino Linotype" w:cs="Palatino Linotype"/>
          <w:b/>
          <w:color w:val="000000" w:themeColor="text1"/>
          <w:lang w:val="es-ES"/>
        </w:rPr>
        <w:t>xxxxxxxxxxxxxxxxxxxxx</w:t>
      </w:r>
      <w:proofErr w:type="spellEnd"/>
      <w:r w:rsidR="00E97C2F" w:rsidRPr="0059734A">
        <w:rPr>
          <w:rFonts w:eastAsia="Palatino Linotype" w:cs="Palatino Linotype"/>
          <w:color w:val="000000" w:themeColor="text1"/>
          <w:lang w:val="es-ES"/>
        </w:rPr>
        <w:t>, en lo su</w:t>
      </w:r>
      <w:r w:rsidR="00771E23" w:rsidRPr="0059734A">
        <w:rPr>
          <w:rFonts w:eastAsia="Palatino Linotype" w:cs="Palatino Linotype"/>
          <w:color w:val="000000" w:themeColor="text1"/>
          <w:lang w:val="es-ES"/>
        </w:rPr>
        <w:t>cesivo el</w:t>
      </w:r>
      <w:r w:rsidRPr="0059734A">
        <w:rPr>
          <w:rFonts w:eastAsia="Palatino Linotype" w:cs="Palatino Linotype"/>
          <w:color w:val="000000" w:themeColor="text1"/>
          <w:lang w:val="es-ES"/>
        </w:rPr>
        <w:t xml:space="preserve"> </w:t>
      </w:r>
      <w:r w:rsidRPr="0059734A">
        <w:rPr>
          <w:rFonts w:eastAsia="Palatino Linotype" w:cs="Palatino Linotype"/>
          <w:b/>
          <w:bCs/>
          <w:color w:val="000000" w:themeColor="text1"/>
          <w:lang w:val="es-ES"/>
        </w:rPr>
        <w:t>Recurrente</w:t>
      </w:r>
      <w:r w:rsidRPr="0059734A">
        <w:rPr>
          <w:rFonts w:eastAsia="Palatino Linotype" w:cs="Palatino Linotype"/>
          <w:color w:val="000000" w:themeColor="text1"/>
          <w:lang w:val="es-ES"/>
        </w:rPr>
        <w:t>, en contra de la respuesta de</w:t>
      </w:r>
      <w:r w:rsidR="00E24F05" w:rsidRPr="0059734A">
        <w:rPr>
          <w:rFonts w:eastAsia="Palatino Linotype" w:cs="Palatino Linotype"/>
          <w:color w:val="000000" w:themeColor="text1"/>
          <w:lang w:val="es-ES"/>
        </w:rPr>
        <w:t>l</w:t>
      </w:r>
      <w:r w:rsidRPr="0059734A">
        <w:rPr>
          <w:rFonts w:eastAsia="Palatino Linotype" w:cs="Palatino Linotype"/>
          <w:color w:val="000000" w:themeColor="text1"/>
          <w:lang w:val="es-ES"/>
        </w:rPr>
        <w:t xml:space="preserve"> </w:t>
      </w:r>
      <w:r w:rsidR="00BB636A" w:rsidRPr="0059734A">
        <w:rPr>
          <w:rFonts w:eastAsia="Palatino Linotype" w:cs="Palatino Linotype"/>
          <w:b/>
          <w:bCs/>
          <w:color w:val="000000" w:themeColor="text1"/>
          <w:lang w:val="es-ES"/>
        </w:rPr>
        <w:t>El Organismo Descentralizado de Agua Potable Alcantarillado y Saneamiento del Municipio de Ixtapaluca denominado por sus siglas, O.D.A.P.A.S.</w:t>
      </w:r>
      <w:r w:rsidR="00771E23" w:rsidRPr="0059734A">
        <w:rPr>
          <w:rFonts w:eastAsia="Palatino Linotype" w:cs="Palatino Linotype"/>
          <w:b/>
          <w:bCs/>
          <w:color w:val="000000" w:themeColor="text1"/>
          <w:lang w:val="es-ES"/>
        </w:rPr>
        <w:t>,</w:t>
      </w:r>
      <w:r w:rsidR="00920835" w:rsidRPr="0059734A">
        <w:rPr>
          <w:rFonts w:eastAsia="Palatino Linotype" w:cs="Palatino Linotype"/>
          <w:b/>
          <w:bCs/>
          <w:color w:val="000000" w:themeColor="text1"/>
          <w:lang w:val="es-ES"/>
        </w:rPr>
        <w:t xml:space="preserve"> </w:t>
      </w:r>
      <w:r w:rsidRPr="0059734A">
        <w:rPr>
          <w:rFonts w:eastAsia="Palatino Linotype" w:cs="Palatino Linotype"/>
          <w:color w:val="000000" w:themeColor="text1"/>
          <w:lang w:val="es-ES"/>
        </w:rPr>
        <w:t>en lo subsecuente</w:t>
      </w:r>
      <w:r w:rsidRPr="0059734A">
        <w:rPr>
          <w:rFonts w:eastAsia="Palatino Linotype" w:cs="Palatino Linotype"/>
          <w:b/>
          <w:bCs/>
          <w:color w:val="000000" w:themeColor="text1"/>
          <w:lang w:val="es-ES"/>
        </w:rPr>
        <w:t xml:space="preserve"> </w:t>
      </w:r>
      <w:r w:rsidRPr="0059734A">
        <w:rPr>
          <w:rFonts w:eastAsia="Palatino Linotype" w:cs="Palatino Linotype"/>
          <w:color w:val="000000" w:themeColor="text1"/>
          <w:lang w:val="es-ES"/>
        </w:rPr>
        <w:t>el</w:t>
      </w:r>
      <w:r w:rsidRPr="0059734A">
        <w:rPr>
          <w:rFonts w:eastAsia="Palatino Linotype" w:cs="Palatino Linotype"/>
          <w:b/>
          <w:bCs/>
          <w:color w:val="000000" w:themeColor="text1"/>
          <w:lang w:val="es-ES"/>
        </w:rPr>
        <w:t xml:space="preserve"> Sujeto Obligado, </w:t>
      </w:r>
      <w:r w:rsidRPr="0059734A">
        <w:rPr>
          <w:rFonts w:eastAsia="Palatino Linotype" w:cs="Palatino Linotype"/>
          <w:color w:val="000000" w:themeColor="text1"/>
          <w:lang w:val="es-ES"/>
        </w:rPr>
        <w:t>se procede a dictar la presente resolución.</w:t>
      </w:r>
    </w:p>
    <w:p w14:paraId="2E2053C2"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 w:val="22"/>
        </w:rPr>
      </w:pPr>
    </w:p>
    <w:p w14:paraId="293A0C59" w14:textId="77777777" w:rsidR="00A970D5" w:rsidRPr="0059734A" w:rsidRDefault="00A970D5" w:rsidP="004E0A52">
      <w:pPr>
        <w:pStyle w:val="Ttulo1"/>
        <w:rPr>
          <w:rFonts w:eastAsia="Palatino Linotype"/>
          <w:lang w:val="es-ES_tradnl"/>
        </w:rPr>
      </w:pPr>
      <w:r w:rsidRPr="0059734A">
        <w:rPr>
          <w:rFonts w:eastAsia="Palatino Linotype"/>
          <w:lang w:val="es-ES_tradnl"/>
        </w:rPr>
        <w:t>A N T E C E D E N T E S</w:t>
      </w:r>
    </w:p>
    <w:p w14:paraId="32F88820"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 w:val="22"/>
        </w:rPr>
      </w:pPr>
    </w:p>
    <w:p w14:paraId="038B0CA5" w14:textId="5C9CB8F2" w:rsidR="00A970D5" w:rsidRPr="0059734A" w:rsidRDefault="00A970D5" w:rsidP="004E0A52">
      <w:pPr>
        <w:pStyle w:val="Ttulo2"/>
        <w:rPr>
          <w:rFonts w:eastAsia="Palatino Linotype"/>
        </w:rPr>
      </w:pPr>
      <w:r w:rsidRPr="0059734A">
        <w:rPr>
          <w:rFonts w:eastAsia="Palatino Linotype"/>
        </w:rPr>
        <w:t xml:space="preserve">PRIMERO. De la </w:t>
      </w:r>
      <w:r w:rsidR="00A24D3F" w:rsidRPr="0059734A">
        <w:rPr>
          <w:rFonts w:eastAsia="Palatino Linotype"/>
        </w:rPr>
        <w:t>s</w:t>
      </w:r>
      <w:r w:rsidRPr="0059734A">
        <w:rPr>
          <w:rFonts w:eastAsia="Palatino Linotype"/>
        </w:rPr>
        <w:t xml:space="preserve">olicitud de </w:t>
      </w:r>
      <w:r w:rsidR="00A24D3F" w:rsidRPr="0059734A">
        <w:rPr>
          <w:rFonts w:eastAsia="Palatino Linotype"/>
        </w:rPr>
        <w:t>i</w:t>
      </w:r>
      <w:r w:rsidRPr="0059734A">
        <w:rPr>
          <w:rFonts w:eastAsia="Palatino Linotype"/>
        </w:rPr>
        <w:t>nformación.</w:t>
      </w:r>
    </w:p>
    <w:p w14:paraId="0870C154" w14:textId="0932D8C3" w:rsidR="00A970D5" w:rsidRPr="0059734A" w:rsidRDefault="00B36B86"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Con fecha</w:t>
      </w:r>
      <w:r w:rsidR="00AA6C98" w:rsidRPr="0059734A">
        <w:rPr>
          <w:rFonts w:eastAsia="Palatino Linotype" w:cs="Palatino Linotype"/>
          <w:color w:val="000000"/>
          <w:szCs w:val="24"/>
        </w:rPr>
        <w:t xml:space="preserve"> </w:t>
      </w:r>
      <w:r w:rsidR="00BB636A" w:rsidRPr="0059734A">
        <w:rPr>
          <w:rFonts w:eastAsia="Palatino Linotype" w:cs="Palatino Linotype"/>
          <w:color w:val="000000"/>
          <w:szCs w:val="24"/>
        </w:rPr>
        <w:t>veintiuno de abril</w:t>
      </w:r>
      <w:r w:rsidR="00AC4CAF" w:rsidRPr="0059734A">
        <w:rPr>
          <w:rFonts w:eastAsia="Palatino Linotype" w:cs="Palatino Linotype"/>
          <w:color w:val="000000"/>
          <w:szCs w:val="24"/>
        </w:rPr>
        <w:t xml:space="preserve"> de dos mil veinticinco</w:t>
      </w:r>
      <w:r w:rsidR="00B54BC7" w:rsidRPr="0059734A">
        <w:rPr>
          <w:rFonts w:eastAsia="Palatino Linotype" w:cs="Palatino Linotype"/>
          <w:color w:val="000000"/>
          <w:szCs w:val="24"/>
        </w:rPr>
        <w:t xml:space="preserve">, </w:t>
      </w:r>
      <w:r w:rsidR="00771E23" w:rsidRPr="0059734A">
        <w:rPr>
          <w:rFonts w:eastAsia="Palatino Linotype" w:cs="Palatino Linotype"/>
          <w:color w:val="000000"/>
          <w:szCs w:val="24"/>
        </w:rPr>
        <w:t>el</w:t>
      </w:r>
      <w:r w:rsidR="00A970D5" w:rsidRPr="0059734A">
        <w:rPr>
          <w:rFonts w:eastAsia="Palatino Linotype" w:cs="Palatino Linotype"/>
          <w:color w:val="000000"/>
          <w:szCs w:val="24"/>
        </w:rPr>
        <w:t xml:space="preserve"> Recurrente presentó </w:t>
      </w:r>
      <w:r w:rsidR="00597C06" w:rsidRPr="0059734A">
        <w:rPr>
          <w:rFonts w:eastAsia="Palatino Linotype" w:cs="Palatino Linotype"/>
          <w:color w:val="000000"/>
          <w:szCs w:val="24"/>
        </w:rPr>
        <w:t xml:space="preserve">solicitud de información que fue registrada en </w:t>
      </w:r>
      <w:r w:rsidR="00A970D5" w:rsidRPr="0059734A">
        <w:rPr>
          <w:rFonts w:eastAsia="Palatino Linotype" w:cs="Palatino Linotype"/>
          <w:color w:val="000000"/>
          <w:szCs w:val="24"/>
        </w:rPr>
        <w:t>el Sistema de Acceso a la Información Mexiquense (SAIMEX) con el número</w:t>
      </w:r>
      <w:r w:rsidR="00642669" w:rsidRPr="0059734A">
        <w:rPr>
          <w:rFonts w:eastAsia="Palatino Linotype" w:cs="Palatino Linotype"/>
          <w:b/>
          <w:bCs/>
          <w:color w:val="000000"/>
          <w:szCs w:val="24"/>
        </w:rPr>
        <w:t xml:space="preserve"> </w:t>
      </w:r>
      <w:r w:rsidR="00AE2402" w:rsidRPr="0059734A">
        <w:rPr>
          <w:rFonts w:eastAsia="Palatino Linotype" w:cs="Palatino Linotype"/>
          <w:b/>
          <w:bCs/>
          <w:color w:val="000000"/>
          <w:szCs w:val="24"/>
        </w:rPr>
        <w:t>00011/OASIXTAPAL/IP/2025</w:t>
      </w:r>
      <w:r w:rsidR="00A970D5" w:rsidRPr="0059734A">
        <w:rPr>
          <w:rFonts w:eastAsia="Palatino Linotype" w:cs="Palatino Linotype"/>
          <w:color w:val="000000"/>
          <w:szCs w:val="24"/>
        </w:rPr>
        <w:t>,</w:t>
      </w:r>
      <w:r w:rsidR="00A970D5" w:rsidRPr="0059734A">
        <w:rPr>
          <w:rFonts w:eastAsia="Palatino Linotype" w:cs="Palatino Linotype"/>
          <w:b/>
          <w:color w:val="000000"/>
          <w:szCs w:val="24"/>
        </w:rPr>
        <w:t xml:space="preserve"> </w:t>
      </w:r>
      <w:r w:rsidR="00A970D5" w:rsidRPr="0059734A">
        <w:rPr>
          <w:rFonts w:eastAsia="Palatino Linotype" w:cs="Palatino Linotype"/>
          <w:color w:val="000000"/>
          <w:szCs w:val="24"/>
        </w:rPr>
        <w:t xml:space="preserve">mediante la cual solicitó </w:t>
      </w:r>
      <w:r w:rsidR="00531CE5" w:rsidRPr="0059734A">
        <w:rPr>
          <w:rFonts w:eastAsia="Palatino Linotype" w:cs="Palatino Linotype"/>
          <w:color w:val="000000"/>
          <w:szCs w:val="24"/>
        </w:rPr>
        <w:t xml:space="preserve">lo </w:t>
      </w:r>
      <w:r w:rsidR="00A970D5" w:rsidRPr="0059734A">
        <w:rPr>
          <w:rFonts w:eastAsia="Palatino Linotype" w:cs="Palatino Linotype"/>
          <w:color w:val="000000"/>
          <w:szCs w:val="24"/>
        </w:rPr>
        <w:t>siguiente:</w:t>
      </w:r>
    </w:p>
    <w:p w14:paraId="68B56D82"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Cs w:val="24"/>
        </w:rPr>
      </w:pPr>
    </w:p>
    <w:p w14:paraId="133704B2" w14:textId="247639DF" w:rsidR="00A970D5" w:rsidRPr="0059734A" w:rsidRDefault="00BB636A" w:rsidP="004E0A52">
      <w:pPr>
        <w:pStyle w:val="Fundamentos"/>
      </w:pPr>
      <w:r w:rsidRPr="0059734A">
        <w:rPr>
          <w:lang w:val="es-ES"/>
        </w:rPr>
        <w:t xml:space="preserve">“Solicito versión pública de los documentos relacionados con la reciente adquisición (compra-venta, arrendamiento, subcontratación, alquiler, subvención) de maquinaria que fue anunciada públicamente por el O.P.D.A.P.A.S. del Municipio de Ixtapaluca a través de sus redes sociales oficiales el pasado 8 de abril de 2025, incluyendo pero no limitándose a: 1. Copia del contrato de adquisición correspondiente, con anexos técnicos, términos y condiciones. 2. </w:t>
      </w:r>
      <w:r w:rsidRPr="0059734A">
        <w:rPr>
          <w:lang w:val="es-ES"/>
        </w:rPr>
        <w:lastRenderedPageBreak/>
        <w:t>Facturas, órdenes de compra y/o comprobantes de pago expedidos con motivo de dicha adquisición. 3. Especificaciones técnicas de la maquinaria adquirida (marca, modelo, número de serie, cantidad, destino). 4. Justificación administrativa o técnica de la compra (estudios, dictámenes, solicitudes de área usuaria). 5. Nombre del proveedor o proveedores, incluyendo razón social, RFC y número de proveedor registrado. 6. Fuente de financiamiento de dicha adquisición (recursos municipales, estatales o federales). 7. Actas o minutas del Comité de Adquisiciones u órganos administrativos que hayan autorizado la operación. 8. Área solicitante o beneficiaria dentro del O.P.D.A.P.A.S. Todo esto en versión pública.”</w:t>
      </w:r>
      <w:r w:rsidR="002A5A2E" w:rsidRPr="0059734A">
        <w:rPr>
          <w:lang w:val="es-ES"/>
        </w:rPr>
        <w:t xml:space="preserve"> </w:t>
      </w:r>
      <w:r w:rsidR="70652167" w:rsidRPr="0059734A">
        <w:rPr>
          <w:lang w:val="es-ES"/>
        </w:rPr>
        <w:t>(Sic)</w:t>
      </w:r>
    </w:p>
    <w:p w14:paraId="40BBECCB"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9734A" w:rsidRDefault="00A970D5" w:rsidP="004E0A52">
      <w:pPr>
        <w:pBdr>
          <w:top w:val="nil"/>
          <w:left w:val="nil"/>
          <w:bottom w:val="nil"/>
          <w:right w:val="nil"/>
          <w:between w:val="nil"/>
        </w:pBdr>
        <w:contextualSpacing/>
        <w:rPr>
          <w:rFonts w:eastAsia="Palatino Linotype" w:cs="Palatino Linotype"/>
          <w:b/>
          <w:color w:val="000000"/>
          <w:szCs w:val="24"/>
        </w:rPr>
      </w:pPr>
      <w:r w:rsidRPr="0059734A">
        <w:rPr>
          <w:rFonts w:eastAsia="Palatino Linotype" w:cs="Palatino Linotype"/>
          <w:color w:val="000000"/>
          <w:szCs w:val="24"/>
        </w:rPr>
        <w:t xml:space="preserve">Modalidad de entrega: </w:t>
      </w:r>
      <w:r w:rsidR="004A6F01" w:rsidRPr="0059734A">
        <w:rPr>
          <w:rFonts w:eastAsia="Palatino Linotype" w:cs="Palatino Linotype"/>
          <w:b/>
          <w:color w:val="000000"/>
          <w:szCs w:val="24"/>
        </w:rPr>
        <w:t>A través del SAIMEX</w:t>
      </w:r>
    </w:p>
    <w:p w14:paraId="1063B60E" w14:textId="77777777" w:rsidR="007B7C73" w:rsidRPr="0059734A" w:rsidRDefault="007B7C73" w:rsidP="004E0A52">
      <w:pPr>
        <w:pBdr>
          <w:top w:val="nil"/>
          <w:left w:val="nil"/>
          <w:bottom w:val="nil"/>
          <w:right w:val="nil"/>
          <w:between w:val="nil"/>
        </w:pBdr>
        <w:contextualSpacing/>
        <w:rPr>
          <w:rFonts w:eastAsia="Palatino Linotype" w:cs="Palatino Linotype"/>
          <w:color w:val="000000"/>
          <w:szCs w:val="24"/>
        </w:rPr>
      </w:pPr>
    </w:p>
    <w:p w14:paraId="1AEDC68E" w14:textId="2F450F3A" w:rsidR="00A970D5" w:rsidRPr="0059734A" w:rsidRDefault="00E21393" w:rsidP="004E0A52">
      <w:pPr>
        <w:pStyle w:val="Ttulo2"/>
        <w:rPr>
          <w:rFonts w:eastAsia="Palatino Linotype"/>
        </w:rPr>
      </w:pPr>
      <w:r w:rsidRPr="0059734A">
        <w:rPr>
          <w:rFonts w:eastAsia="Palatino Linotype"/>
        </w:rPr>
        <w:t>SEGUNDO</w:t>
      </w:r>
      <w:r w:rsidR="00A970D5" w:rsidRPr="0059734A">
        <w:rPr>
          <w:rFonts w:eastAsia="Palatino Linotype"/>
        </w:rPr>
        <w:t xml:space="preserve">. </w:t>
      </w:r>
      <w:r w:rsidR="00BB636A" w:rsidRPr="0059734A">
        <w:rPr>
          <w:rFonts w:cs="Arial"/>
          <w:sz w:val="28"/>
          <w:szCs w:val="28"/>
          <w:lang w:val="es-MX"/>
        </w:rPr>
        <w:t>De la aclaración a la solicitud de información.</w:t>
      </w:r>
    </w:p>
    <w:p w14:paraId="0FFB6419" w14:textId="514ED2AE" w:rsidR="00BB636A" w:rsidRPr="0059734A" w:rsidRDefault="00BB636A" w:rsidP="004E0A52">
      <w:pPr>
        <w:rPr>
          <w:rFonts w:eastAsia="Palatino Linotype" w:cs="Palatino Linotype"/>
          <w:lang w:val="es-MX"/>
        </w:rPr>
      </w:pPr>
      <w:r w:rsidRPr="0059734A">
        <w:rPr>
          <w:rFonts w:eastAsia="Palatino Linotype" w:cs="Palatino Linotype"/>
          <w:lang w:val="es-MX"/>
        </w:rPr>
        <w:t xml:space="preserve">Con fecha veintiocho de abril </w:t>
      </w:r>
      <w:r w:rsidRPr="0059734A">
        <w:rPr>
          <w:rFonts w:eastAsia="Palatino Linotype" w:cs="Palatino Linotype"/>
          <w:bCs/>
          <w:lang w:val="es-MX"/>
        </w:rPr>
        <w:t>de dos mil veinticinco</w:t>
      </w:r>
      <w:r w:rsidRPr="0059734A">
        <w:rPr>
          <w:rFonts w:eastAsia="Palatino Linotype" w:cs="Palatino Linotype"/>
          <w:lang w:val="es-MX"/>
        </w:rPr>
        <w:t xml:space="preserve">, el </w:t>
      </w:r>
      <w:r w:rsidRPr="0059734A">
        <w:rPr>
          <w:rFonts w:eastAsia="Palatino Linotype" w:cs="Palatino Linotype"/>
          <w:b/>
          <w:lang w:val="es-MX"/>
        </w:rPr>
        <w:t>Sujeto Obligado</w:t>
      </w:r>
      <w:r w:rsidRPr="0059734A">
        <w:rPr>
          <w:rFonts w:eastAsia="Palatino Linotype" w:cs="Palatino Linotype"/>
          <w:lang w:val="es-MX"/>
        </w:rPr>
        <w:t>, solicitó aclaración en los siguientes términos:</w:t>
      </w:r>
    </w:p>
    <w:p w14:paraId="3A3BCB0E" w14:textId="77777777" w:rsidR="00BB636A" w:rsidRPr="0059734A" w:rsidRDefault="00BB636A" w:rsidP="004E0A52">
      <w:pPr>
        <w:rPr>
          <w:rFonts w:eastAsia="Palatino Linotype" w:cs="Palatino Linotype"/>
          <w:lang w:val="es-MX"/>
        </w:rPr>
      </w:pPr>
    </w:p>
    <w:p w14:paraId="19AA263D" w14:textId="77777777" w:rsidR="002763D4" w:rsidRPr="0059734A" w:rsidRDefault="00BB636A"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w:t>
      </w:r>
      <w:r w:rsidR="002763D4" w:rsidRPr="0059734A">
        <w:rPr>
          <w:rFonts w:eastAsia="Palatino Linotype" w:cs="Palatino Linotype"/>
          <w:i/>
          <w:sz w:val="22"/>
          <w:lang w:val="es-MX"/>
        </w:rPr>
        <w:t xml:space="preserve">Con fundamento en el </w:t>
      </w:r>
      <w:proofErr w:type="spellStart"/>
      <w:r w:rsidR="002763D4" w:rsidRPr="0059734A">
        <w:rPr>
          <w:rFonts w:eastAsia="Palatino Linotype" w:cs="Palatino Linotype"/>
          <w:i/>
          <w:sz w:val="22"/>
          <w:lang w:val="es-MX"/>
        </w:rPr>
        <w:t>articulo</w:t>
      </w:r>
      <w:proofErr w:type="spellEnd"/>
      <w:r w:rsidR="002763D4" w:rsidRPr="0059734A">
        <w:rPr>
          <w:rFonts w:eastAsia="Palatino Linotype" w:cs="Palatino Linotype"/>
          <w:i/>
          <w:sz w:val="22"/>
          <w:lang w:val="es-MX"/>
        </w:rPr>
        <w:t xml:space="preserve"> 159 de la Ley de Transparencia y Acceso a la Información Pública del Estado de México y Municipios, se le requiere para que dentro del plazo de diez días hábiles realice lo siguiente:</w:t>
      </w:r>
    </w:p>
    <w:p w14:paraId="5CB04D68" w14:textId="77777777" w:rsidR="002763D4" w:rsidRPr="0059734A" w:rsidRDefault="002763D4" w:rsidP="004E0A52">
      <w:pPr>
        <w:spacing w:line="276" w:lineRule="auto"/>
        <w:ind w:left="567" w:right="616"/>
        <w:rPr>
          <w:rFonts w:eastAsia="Palatino Linotype" w:cs="Palatino Linotype"/>
          <w:i/>
          <w:sz w:val="22"/>
          <w:lang w:val="es-MX"/>
        </w:rPr>
      </w:pPr>
    </w:p>
    <w:p w14:paraId="2F89B67F" w14:textId="77777777" w:rsidR="002763D4" w:rsidRPr="0059734A" w:rsidRDefault="002763D4"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Sea este el medio por el cual le envió un cordial saludo, mismo que aprovecho para hacer de su conocimiento que, una vez analizado el contenido de la solicitud ingresada mediante la plataforma SAIMEX con No. de Folio 00011/OASIXTAPAL/IP/2025, se advirtió que el término utilizado resulta genérico, por lo que no cuenta con los detalles suficientes para su localización, en ese sentido se le requiere especificar de manera concreta el tipo de maquinaria o equipos sobre los que desea dicha información, esto con la finalidad de que podamos identificarla de manera oportuna, lo anterior con fundamento en el artículo 159 de la Ley de Transparencia y Acceso a la Información del Estado de México y Municipios.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29667DE" w14:textId="77777777" w:rsidR="002763D4" w:rsidRPr="0059734A" w:rsidRDefault="002763D4" w:rsidP="004E0A52">
      <w:pPr>
        <w:spacing w:line="276" w:lineRule="auto"/>
        <w:ind w:left="567" w:right="616"/>
        <w:rPr>
          <w:rFonts w:eastAsia="Palatino Linotype" w:cs="Palatino Linotype"/>
          <w:i/>
          <w:sz w:val="22"/>
          <w:lang w:val="es-MX"/>
        </w:rPr>
      </w:pPr>
    </w:p>
    <w:p w14:paraId="512AF2CA" w14:textId="77777777" w:rsidR="002763D4" w:rsidRPr="0059734A" w:rsidRDefault="002763D4"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F1BAEBB" w14:textId="77777777" w:rsidR="002763D4" w:rsidRPr="0059734A" w:rsidRDefault="002763D4" w:rsidP="004E0A52">
      <w:pPr>
        <w:spacing w:line="276" w:lineRule="auto"/>
        <w:ind w:left="567" w:right="616"/>
        <w:rPr>
          <w:rFonts w:eastAsia="Palatino Linotype" w:cs="Palatino Linotype"/>
          <w:i/>
          <w:sz w:val="22"/>
          <w:lang w:val="es-MX"/>
        </w:rPr>
      </w:pPr>
    </w:p>
    <w:p w14:paraId="4A9254DB" w14:textId="77B10240" w:rsidR="00BB636A" w:rsidRPr="0059734A" w:rsidRDefault="002763D4"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ATENTAMENTE</w:t>
      </w:r>
      <w:r w:rsidR="00BB636A" w:rsidRPr="0059734A">
        <w:rPr>
          <w:rFonts w:eastAsia="Palatino Linotype" w:cs="Palatino Linotype"/>
          <w:i/>
          <w:sz w:val="22"/>
          <w:lang w:val="es-MX"/>
        </w:rPr>
        <w:t>”</w:t>
      </w:r>
    </w:p>
    <w:p w14:paraId="6BB7C90F" w14:textId="77777777" w:rsidR="002763D4" w:rsidRPr="0059734A" w:rsidRDefault="002763D4" w:rsidP="004E0A52">
      <w:pPr>
        <w:rPr>
          <w:szCs w:val="28"/>
          <w:lang w:val="es-MX"/>
        </w:rPr>
      </w:pPr>
    </w:p>
    <w:p w14:paraId="424B2C05" w14:textId="77777777" w:rsidR="002763D4" w:rsidRPr="0059734A" w:rsidRDefault="002763D4" w:rsidP="004E0A52">
      <w:pPr>
        <w:rPr>
          <w:szCs w:val="28"/>
          <w:lang w:val="es-MX"/>
        </w:rPr>
      </w:pPr>
      <w:r w:rsidRPr="0059734A">
        <w:rPr>
          <w:szCs w:val="28"/>
          <w:lang w:val="es-MX"/>
        </w:rPr>
        <w:t>Así, en fecha once de septiembre de dos mil veinticinco la parte rindió su aclaración en los términos siguientes:</w:t>
      </w:r>
    </w:p>
    <w:p w14:paraId="58E48A44" w14:textId="639C393C" w:rsidR="002763D4" w:rsidRPr="0059734A" w:rsidRDefault="002763D4" w:rsidP="004E0A52">
      <w:pPr>
        <w:jc w:val="center"/>
        <w:rPr>
          <w:szCs w:val="28"/>
          <w:lang w:val="es-MX"/>
        </w:rPr>
      </w:pPr>
      <w:r w:rsidRPr="0059734A">
        <w:rPr>
          <w:noProof/>
          <w:szCs w:val="28"/>
          <w:lang w:val="es-MX"/>
        </w:rPr>
        <w:drawing>
          <wp:inline distT="0" distB="0" distL="0" distR="0" wp14:anchorId="7B4C933A" wp14:editId="01AB2C85">
            <wp:extent cx="5095875" cy="2090867"/>
            <wp:effectExtent l="190500" t="190500" r="180975"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9667" cy="2104732"/>
                    </a:xfrm>
                    <a:prstGeom prst="rect">
                      <a:avLst/>
                    </a:prstGeom>
                    <a:ln>
                      <a:noFill/>
                    </a:ln>
                    <a:effectLst>
                      <a:outerShdw blurRad="190500" algn="tl" rotWithShape="0">
                        <a:srgbClr val="000000">
                          <a:alpha val="70000"/>
                        </a:srgbClr>
                      </a:outerShdw>
                    </a:effectLst>
                  </pic:spPr>
                </pic:pic>
              </a:graphicData>
            </a:graphic>
          </wp:inline>
        </w:drawing>
      </w:r>
    </w:p>
    <w:p w14:paraId="3F659445" w14:textId="50F8B959" w:rsidR="002763D4" w:rsidRPr="0059734A" w:rsidRDefault="00287A3E" w:rsidP="004E0A52">
      <w:pPr>
        <w:ind w:right="850"/>
        <w:rPr>
          <w:rFonts w:cs="Arial"/>
          <w:b/>
          <w:sz w:val="28"/>
        </w:rPr>
      </w:pPr>
      <w:r w:rsidRPr="0059734A">
        <w:rPr>
          <w:rFonts w:cs="Arial"/>
          <w:b/>
          <w:sz w:val="28"/>
        </w:rPr>
        <w:t>TERCERO</w:t>
      </w:r>
      <w:r w:rsidR="002763D4" w:rsidRPr="0059734A">
        <w:rPr>
          <w:rFonts w:cs="Arial"/>
          <w:b/>
          <w:sz w:val="28"/>
        </w:rPr>
        <w:t xml:space="preserve">. De la prórroga del Sujeto Obligado. </w:t>
      </w:r>
    </w:p>
    <w:p w14:paraId="36F5FBA6" w14:textId="2AE3036E" w:rsidR="002763D4" w:rsidRPr="0059734A" w:rsidRDefault="00287A3E" w:rsidP="004E0A52">
      <w:pPr>
        <w:rPr>
          <w:rFonts w:cs="Arial"/>
          <w:b/>
          <w:bCs/>
          <w:szCs w:val="24"/>
        </w:rPr>
      </w:pPr>
      <w:r w:rsidRPr="0059734A">
        <w:rPr>
          <w:rFonts w:cs="Arial"/>
          <w:lang w:val="es-ES"/>
        </w:rPr>
        <w:t xml:space="preserve">De las constancias que obran en el expediente electrónico del </w:t>
      </w:r>
      <w:r w:rsidRPr="0059734A">
        <w:rPr>
          <w:rFonts w:cs="Arial"/>
          <w:b/>
          <w:lang w:val="es-ES"/>
        </w:rPr>
        <w:t xml:space="preserve">SAIMEX </w:t>
      </w:r>
      <w:r w:rsidRPr="0059734A">
        <w:rPr>
          <w:rFonts w:cs="Arial"/>
          <w:lang w:val="es-ES"/>
        </w:rPr>
        <w:t xml:space="preserve">correspondiente a la solicitud de información, se advierte que en fecha </w:t>
      </w:r>
      <w:r w:rsidR="000D0D75" w:rsidRPr="0059734A">
        <w:rPr>
          <w:rFonts w:cs="Arial"/>
          <w:lang w:val="es-ES"/>
        </w:rPr>
        <w:t>veintidós</w:t>
      </w:r>
      <w:r w:rsidRPr="0059734A">
        <w:rPr>
          <w:rFonts w:cs="Arial"/>
          <w:lang w:val="es-ES"/>
        </w:rPr>
        <w:t xml:space="preserve"> de mayo de dos mil veinticinco, </w:t>
      </w:r>
      <w:r w:rsidRPr="0059734A">
        <w:rPr>
          <w:rFonts w:cs="Arial"/>
          <w:b/>
          <w:bCs/>
          <w:lang w:val="es-ES"/>
        </w:rPr>
        <w:t>El Sujeto Obligado comunico a la Recurrente</w:t>
      </w:r>
      <w:r w:rsidRPr="0059734A">
        <w:rPr>
          <w:rFonts w:ascii="Calibri" w:hAnsi="Calibri"/>
        </w:rPr>
        <w:t xml:space="preserve"> </w:t>
      </w:r>
      <w:r w:rsidRPr="0059734A">
        <w:rPr>
          <w:rFonts w:cs="Arial"/>
          <w:lang w:val="es-ES"/>
        </w:rPr>
        <w:t>que el plazo de 15 días hábiles para atender su solicitud de información ha sido prorrogado por 7 días</w:t>
      </w:r>
      <w:r w:rsidRPr="0059734A">
        <w:rPr>
          <w:rFonts w:cs="Arial"/>
          <w:b/>
          <w:lang w:val="es-ES"/>
        </w:rPr>
        <w:t xml:space="preserve"> </w:t>
      </w:r>
      <w:r w:rsidRPr="0059734A">
        <w:rPr>
          <w:rFonts w:cs="Arial"/>
          <w:bCs/>
          <w:lang w:val="es-ES"/>
        </w:rPr>
        <w:t xml:space="preserve">mediante </w:t>
      </w:r>
      <w:r w:rsidR="000D0D75" w:rsidRPr="0059734A">
        <w:rPr>
          <w:rFonts w:cs="Arial"/>
          <w:lang w:val="es-ES"/>
        </w:rPr>
        <w:t>la Tercera Sesión Extraordinaria del Comité de Transparencia del OPDAPAS Ixtapaluca Estado de México</w:t>
      </w:r>
      <w:r w:rsidRPr="0059734A">
        <w:rPr>
          <w:rFonts w:cs="Arial"/>
          <w:lang w:val="es-ES"/>
        </w:rPr>
        <w:t xml:space="preserve"> emitido por el Comité de Transparencia, de conformidad con lo </w:t>
      </w:r>
      <w:r w:rsidRPr="0059734A">
        <w:rPr>
          <w:rFonts w:cs="Arial"/>
          <w:lang w:val="es-ES"/>
        </w:rPr>
        <w:lastRenderedPageBreak/>
        <w:t xml:space="preserve">establecido </w:t>
      </w:r>
      <w:r w:rsidRPr="0059734A">
        <w:rPr>
          <w:lang w:val="es-ES"/>
        </w:rPr>
        <w:t xml:space="preserve">en el artículo 49, fracción II, así como en el artículo 163 segundo párrafo, de la </w:t>
      </w:r>
      <w:r w:rsidRPr="0059734A">
        <w:rPr>
          <w:rFonts w:cs="Arial"/>
          <w:lang w:val="es-ES"/>
        </w:rPr>
        <w:t>Ley de Transparencia y Acceso a la Información Pública del Estado de México y Municipios.</w:t>
      </w:r>
    </w:p>
    <w:p w14:paraId="3C23AB0B" w14:textId="77777777" w:rsidR="002763D4" w:rsidRPr="0059734A" w:rsidRDefault="002763D4" w:rsidP="004E0A52">
      <w:pPr>
        <w:pBdr>
          <w:top w:val="nil"/>
          <w:left w:val="nil"/>
          <w:bottom w:val="nil"/>
          <w:right w:val="nil"/>
          <w:between w:val="nil"/>
        </w:pBdr>
        <w:contextualSpacing/>
        <w:rPr>
          <w:rFonts w:eastAsia="Palatino Linotype" w:cs="Palatino Linotype"/>
          <w:color w:val="000000"/>
          <w:szCs w:val="24"/>
          <w:lang w:val="es-MX"/>
        </w:rPr>
      </w:pPr>
    </w:p>
    <w:p w14:paraId="0E66B371" w14:textId="46DF1331" w:rsidR="00BB636A" w:rsidRPr="0059734A" w:rsidRDefault="000D0D75" w:rsidP="004E0A52">
      <w:pPr>
        <w:rPr>
          <w:rFonts w:eastAsiaTheme="minorHAnsi" w:cs="Arial"/>
          <w:b/>
          <w:sz w:val="28"/>
          <w:lang w:val="es-MX" w:eastAsia="en-US"/>
        </w:rPr>
      </w:pPr>
      <w:r w:rsidRPr="0059734A">
        <w:rPr>
          <w:rFonts w:eastAsiaTheme="minorHAnsi" w:cs="Arial"/>
          <w:b/>
          <w:sz w:val="28"/>
          <w:lang w:val="es-MX" w:eastAsia="en-US"/>
        </w:rPr>
        <w:t>CUARTO</w:t>
      </w:r>
      <w:r w:rsidR="00BB636A" w:rsidRPr="0059734A">
        <w:rPr>
          <w:rFonts w:eastAsiaTheme="minorHAnsi" w:cs="Arial"/>
          <w:b/>
          <w:sz w:val="28"/>
          <w:lang w:val="es-MX" w:eastAsia="en-US"/>
        </w:rPr>
        <w:t xml:space="preserve">. De la respuesta del Sujeto Obligado. </w:t>
      </w:r>
    </w:p>
    <w:p w14:paraId="14FEAA6E" w14:textId="5DEC5308" w:rsidR="00BB636A" w:rsidRPr="0059734A" w:rsidRDefault="00BB636A" w:rsidP="004E0A52">
      <w:pPr>
        <w:rPr>
          <w:i/>
          <w:sz w:val="22"/>
          <w:lang w:val="es-MX"/>
        </w:rPr>
      </w:pPr>
      <w:r w:rsidRPr="0059734A">
        <w:rPr>
          <w:rFonts w:eastAsiaTheme="minorHAnsi" w:cs="Arial"/>
          <w:lang w:val="es-MX" w:eastAsia="en-US"/>
        </w:rPr>
        <w:t xml:space="preserve">De las constancias que obran en el sistema </w:t>
      </w:r>
      <w:r w:rsidRPr="0059734A">
        <w:rPr>
          <w:rFonts w:eastAsiaTheme="minorHAnsi" w:cs="Arial"/>
          <w:b/>
          <w:lang w:val="es-MX" w:eastAsia="en-US"/>
        </w:rPr>
        <w:t>SAIMEX</w:t>
      </w:r>
      <w:r w:rsidRPr="0059734A">
        <w:rPr>
          <w:rFonts w:eastAsiaTheme="minorHAnsi" w:cs="Arial"/>
          <w:lang w:val="es-MX" w:eastAsia="en-US"/>
        </w:rPr>
        <w:t xml:space="preserve">, se advierte que en fecha </w:t>
      </w:r>
      <w:r w:rsidR="000D0D75" w:rsidRPr="0059734A">
        <w:rPr>
          <w:rFonts w:eastAsia="Palatino Linotype" w:cs="Palatino Linotype"/>
          <w:bCs/>
          <w:lang w:val="es-MX"/>
        </w:rPr>
        <w:t xml:space="preserve">dos de junio </w:t>
      </w:r>
      <w:r w:rsidRPr="0059734A">
        <w:rPr>
          <w:rFonts w:eastAsia="Palatino Linotype" w:cs="Palatino Linotype"/>
          <w:bCs/>
          <w:lang w:val="es-MX"/>
        </w:rPr>
        <w:t>de dos mil veinticinco,</w:t>
      </w:r>
      <w:r w:rsidRPr="0059734A">
        <w:rPr>
          <w:rFonts w:eastAsia="Palatino Linotype" w:cs="Palatino Linotype"/>
          <w:lang w:val="es-MX"/>
        </w:rPr>
        <w:t xml:space="preserve"> el </w:t>
      </w:r>
      <w:r w:rsidRPr="0059734A">
        <w:rPr>
          <w:rFonts w:eastAsia="Palatino Linotype" w:cs="Palatino Linotype"/>
          <w:b/>
          <w:bCs/>
          <w:lang w:val="es-MX"/>
        </w:rPr>
        <w:t>Sujeto Obligado</w:t>
      </w:r>
      <w:r w:rsidRPr="0059734A">
        <w:rPr>
          <w:rFonts w:eastAsia="Palatino Linotype" w:cs="Palatino Linotype"/>
          <w:lang w:val="es-MX"/>
        </w:rPr>
        <w:t xml:space="preserve"> notificó lo siguiente:</w:t>
      </w:r>
    </w:p>
    <w:p w14:paraId="08DCF02B" w14:textId="77777777" w:rsidR="00BB636A" w:rsidRPr="0059734A" w:rsidRDefault="00BB636A" w:rsidP="004E0A52">
      <w:pPr>
        <w:rPr>
          <w:rFonts w:eastAsia="Palatino Linotype" w:cs="Palatino Linotype"/>
          <w:lang w:val="es-MX"/>
        </w:rPr>
      </w:pPr>
    </w:p>
    <w:p w14:paraId="74ABBD90" w14:textId="77777777" w:rsidR="000D0D75" w:rsidRPr="0059734A" w:rsidRDefault="00BB636A" w:rsidP="004E0A52">
      <w:pPr>
        <w:spacing w:line="276" w:lineRule="auto"/>
        <w:ind w:left="567" w:right="616"/>
        <w:jc w:val="right"/>
        <w:rPr>
          <w:rFonts w:eastAsia="Palatino Linotype" w:cs="Palatino Linotype"/>
          <w:i/>
          <w:sz w:val="22"/>
          <w:lang w:val="es-MX"/>
        </w:rPr>
      </w:pPr>
      <w:r w:rsidRPr="0059734A">
        <w:rPr>
          <w:rFonts w:eastAsia="Palatino Linotype" w:cs="Palatino Linotype"/>
          <w:i/>
          <w:sz w:val="22"/>
          <w:lang w:val="es-MX"/>
        </w:rPr>
        <w:t>“</w:t>
      </w:r>
      <w:r w:rsidR="000D0D75" w:rsidRPr="0059734A">
        <w:rPr>
          <w:rFonts w:eastAsia="Palatino Linotype" w:cs="Palatino Linotype"/>
          <w:i/>
          <w:sz w:val="22"/>
          <w:lang w:val="es-MX"/>
        </w:rPr>
        <w:t>Folio de la solicitud: 00011/OASIXTAPAL/IP/2025</w:t>
      </w:r>
    </w:p>
    <w:p w14:paraId="58CF0CE4" w14:textId="77777777" w:rsidR="000D0D75" w:rsidRPr="0059734A" w:rsidRDefault="000D0D75" w:rsidP="004E0A52">
      <w:pPr>
        <w:spacing w:line="276" w:lineRule="auto"/>
        <w:ind w:left="567" w:right="616"/>
        <w:rPr>
          <w:rFonts w:eastAsia="Palatino Linotype" w:cs="Palatino Linotype"/>
          <w:i/>
          <w:sz w:val="22"/>
          <w:lang w:val="es-MX"/>
        </w:rPr>
      </w:pPr>
    </w:p>
    <w:p w14:paraId="7B942D67" w14:textId="77777777" w:rsidR="000D0D75" w:rsidRPr="0059734A" w:rsidRDefault="000D0D75"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2E616B" w14:textId="77777777" w:rsidR="000D0D75" w:rsidRPr="0059734A" w:rsidRDefault="000D0D75" w:rsidP="004E0A52">
      <w:pPr>
        <w:spacing w:line="276" w:lineRule="auto"/>
        <w:ind w:left="567" w:right="616"/>
        <w:rPr>
          <w:rFonts w:eastAsia="Palatino Linotype" w:cs="Palatino Linotype"/>
          <w:i/>
          <w:sz w:val="22"/>
          <w:lang w:val="es-MX"/>
        </w:rPr>
      </w:pPr>
    </w:p>
    <w:p w14:paraId="7E9EBE6D" w14:textId="77777777" w:rsidR="000D0D75" w:rsidRPr="0059734A" w:rsidRDefault="000D0D75"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 xml:space="preserve">Sea este el medio por </w:t>
      </w:r>
      <w:proofErr w:type="spellStart"/>
      <w:r w:rsidRPr="0059734A">
        <w:rPr>
          <w:rFonts w:eastAsia="Palatino Linotype" w:cs="Palatino Linotype"/>
          <w:i/>
          <w:sz w:val="22"/>
          <w:lang w:val="es-MX"/>
        </w:rPr>
        <w:t>el</w:t>
      </w:r>
      <w:proofErr w:type="spellEnd"/>
      <w:r w:rsidRPr="0059734A">
        <w:rPr>
          <w:rFonts w:eastAsia="Palatino Linotype" w:cs="Palatino Linotype"/>
          <w:i/>
          <w:sz w:val="22"/>
          <w:lang w:val="es-MX"/>
        </w:rPr>
        <w:t xml:space="preserve"> le envío un cordial saludo, mismo que aprovecho para hacer entrega de la respuesta emitida por la Gerencia de Finanzas y Administración, al ser esta el área poseedora de la información respecto de la solicitud en cuestión. Sin más por el momento, quedo de Usted.</w:t>
      </w:r>
    </w:p>
    <w:p w14:paraId="005C1081" w14:textId="77777777" w:rsidR="000D0D75" w:rsidRPr="0059734A" w:rsidRDefault="000D0D75" w:rsidP="004E0A52">
      <w:pPr>
        <w:spacing w:line="276" w:lineRule="auto"/>
        <w:ind w:left="567" w:right="616"/>
        <w:rPr>
          <w:rFonts w:eastAsia="Palatino Linotype" w:cs="Palatino Linotype"/>
          <w:i/>
          <w:sz w:val="22"/>
          <w:lang w:val="es-MX"/>
        </w:rPr>
      </w:pPr>
    </w:p>
    <w:p w14:paraId="2AFC5F19" w14:textId="77777777" w:rsidR="000D0D75" w:rsidRPr="0059734A" w:rsidRDefault="000D0D75"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ATENTAMENTE</w:t>
      </w:r>
    </w:p>
    <w:p w14:paraId="26C5A083" w14:textId="2ED91388" w:rsidR="00BB636A" w:rsidRPr="0059734A" w:rsidRDefault="000D0D75" w:rsidP="004E0A52">
      <w:pPr>
        <w:spacing w:line="276" w:lineRule="auto"/>
        <w:ind w:left="567" w:right="616"/>
        <w:rPr>
          <w:rFonts w:eastAsia="Palatino Linotype" w:cs="Palatino Linotype"/>
          <w:i/>
          <w:sz w:val="22"/>
          <w:lang w:val="es-MX"/>
        </w:rPr>
      </w:pPr>
      <w:r w:rsidRPr="0059734A">
        <w:rPr>
          <w:rFonts w:eastAsia="Palatino Linotype" w:cs="Palatino Linotype"/>
          <w:i/>
          <w:sz w:val="22"/>
          <w:lang w:val="es-MX"/>
        </w:rPr>
        <w:t>C. PERLA IVETH HERRERA VILLEGAS</w:t>
      </w:r>
      <w:r w:rsidR="00BB636A" w:rsidRPr="0059734A">
        <w:rPr>
          <w:rFonts w:eastAsia="Palatino Linotype" w:cs="Palatino Linotype"/>
          <w:i/>
          <w:sz w:val="22"/>
          <w:lang w:val="es-MX"/>
        </w:rPr>
        <w:t>”</w:t>
      </w:r>
    </w:p>
    <w:p w14:paraId="06AB8C26" w14:textId="77777777" w:rsidR="00BB636A" w:rsidRPr="0059734A" w:rsidRDefault="00BB636A" w:rsidP="004E0A52">
      <w:pPr>
        <w:ind w:right="850"/>
        <w:rPr>
          <w:lang w:val="es-MX"/>
        </w:rPr>
      </w:pPr>
    </w:p>
    <w:p w14:paraId="57DED6B8" w14:textId="010DFABD" w:rsidR="00F16DFC" w:rsidRPr="0059734A" w:rsidRDefault="00BB636A" w:rsidP="004E0A52">
      <w:pPr>
        <w:pBdr>
          <w:top w:val="nil"/>
          <w:left w:val="nil"/>
          <w:bottom w:val="nil"/>
          <w:right w:val="nil"/>
          <w:between w:val="nil"/>
        </w:pBdr>
        <w:contextualSpacing/>
        <w:rPr>
          <w:lang w:val="es-MX"/>
        </w:rPr>
      </w:pPr>
      <w:r w:rsidRPr="0059734A">
        <w:rPr>
          <w:lang w:val="es-MX"/>
        </w:rPr>
        <w:t xml:space="preserve">El </w:t>
      </w:r>
      <w:r w:rsidRPr="0059734A">
        <w:rPr>
          <w:b/>
          <w:bCs/>
          <w:lang w:val="es-MX"/>
        </w:rPr>
        <w:t>Sujeto Obligado</w:t>
      </w:r>
      <w:r w:rsidRPr="0059734A">
        <w:rPr>
          <w:lang w:val="es-MX"/>
        </w:rPr>
        <w:t xml:space="preserve"> adjuntó </w:t>
      </w:r>
      <w:r w:rsidR="000D0D75" w:rsidRPr="0059734A">
        <w:rPr>
          <w:lang w:val="es-MX"/>
        </w:rPr>
        <w:t>el archivo electrónico denominado</w:t>
      </w:r>
      <w:r w:rsidRPr="0059734A">
        <w:rPr>
          <w:lang w:val="es-MX"/>
        </w:rPr>
        <w:t xml:space="preserve"> </w:t>
      </w:r>
      <w:r w:rsidRPr="0059734A">
        <w:rPr>
          <w:i/>
          <w:iCs/>
          <w:lang w:val="es-MX"/>
        </w:rPr>
        <w:t>“</w:t>
      </w:r>
      <w:r w:rsidR="000D0D75" w:rsidRPr="0059734A">
        <w:rPr>
          <w:i/>
          <w:iCs/>
          <w:lang w:val="es-MX"/>
        </w:rPr>
        <w:t xml:space="preserve">OI </w:t>
      </w:r>
      <w:proofErr w:type="spellStart"/>
      <w:r w:rsidR="000D0D75" w:rsidRPr="0059734A">
        <w:rPr>
          <w:i/>
          <w:iCs/>
          <w:lang w:val="es-MX"/>
        </w:rPr>
        <w:t>FINyA</w:t>
      </w:r>
      <w:proofErr w:type="spellEnd"/>
      <w:r w:rsidR="000D0D75" w:rsidRPr="0059734A">
        <w:rPr>
          <w:i/>
          <w:iCs/>
          <w:lang w:val="es-MX"/>
        </w:rPr>
        <w:t xml:space="preserve"> </w:t>
      </w:r>
      <w:proofErr w:type="spellStart"/>
      <w:r w:rsidR="000D0D75" w:rsidRPr="0059734A">
        <w:rPr>
          <w:i/>
          <w:iCs/>
          <w:lang w:val="es-MX"/>
        </w:rPr>
        <w:t>COyP</w:t>
      </w:r>
      <w:proofErr w:type="spellEnd"/>
      <w:r w:rsidR="000D0D75" w:rsidRPr="0059734A">
        <w:rPr>
          <w:i/>
          <w:iCs/>
          <w:lang w:val="es-MX"/>
        </w:rPr>
        <w:t xml:space="preserve"> 170 2025.pdf</w:t>
      </w:r>
      <w:r w:rsidRPr="0059734A">
        <w:rPr>
          <w:i/>
          <w:iCs/>
          <w:lang w:val="es-MX"/>
        </w:rPr>
        <w:t>”</w:t>
      </w:r>
      <w:r w:rsidRPr="0059734A">
        <w:rPr>
          <w:lang w:val="es-MX"/>
        </w:rPr>
        <w:t xml:space="preserve">; </w:t>
      </w:r>
      <w:r w:rsidR="000D0D75" w:rsidRPr="0059734A">
        <w:rPr>
          <w:lang w:val="es-MX"/>
        </w:rPr>
        <w:t>el cual</w:t>
      </w:r>
      <w:r w:rsidRPr="0059734A">
        <w:rPr>
          <w:lang w:val="es-MX"/>
        </w:rPr>
        <w:t xml:space="preserve">, </w:t>
      </w:r>
      <w:r w:rsidR="000D0D75" w:rsidRPr="0059734A">
        <w:rPr>
          <w:lang w:val="es-MX"/>
        </w:rPr>
        <w:t>no se inserta</w:t>
      </w:r>
      <w:r w:rsidRPr="0059734A">
        <w:rPr>
          <w:lang w:val="es-MX"/>
        </w:rPr>
        <w:t xml:space="preserve"> por ser del conocimiento de las partes, sin embargo, serán motivo de estudio en el Considerando correspondiente.</w:t>
      </w:r>
    </w:p>
    <w:p w14:paraId="01476A8D" w14:textId="77777777" w:rsidR="00BB636A" w:rsidRPr="0059734A" w:rsidRDefault="00BB636A" w:rsidP="004E0A52">
      <w:pPr>
        <w:pBdr>
          <w:top w:val="nil"/>
          <w:left w:val="nil"/>
          <w:bottom w:val="nil"/>
          <w:right w:val="nil"/>
          <w:between w:val="nil"/>
        </w:pBdr>
        <w:contextualSpacing/>
        <w:rPr>
          <w:rFonts w:eastAsia="Palatino Linotype" w:cs="Palatino Linotype"/>
          <w:color w:val="000000"/>
          <w:szCs w:val="24"/>
          <w:lang w:val="es-MX"/>
        </w:rPr>
      </w:pPr>
    </w:p>
    <w:p w14:paraId="58FA11DD" w14:textId="7BC79161" w:rsidR="00A970D5" w:rsidRPr="0059734A" w:rsidRDefault="000D0D75" w:rsidP="004E0A52">
      <w:pPr>
        <w:pStyle w:val="Ttulo2"/>
        <w:rPr>
          <w:rFonts w:eastAsia="Palatino Linotype"/>
        </w:rPr>
      </w:pPr>
      <w:r w:rsidRPr="0059734A">
        <w:rPr>
          <w:rFonts w:eastAsia="Palatino Linotype"/>
        </w:rPr>
        <w:lastRenderedPageBreak/>
        <w:t>QUINTO</w:t>
      </w:r>
      <w:r w:rsidR="00A970D5" w:rsidRPr="0059734A">
        <w:rPr>
          <w:rFonts w:eastAsia="Palatino Linotype"/>
        </w:rPr>
        <w:t>. Del recurso de revisión.</w:t>
      </w:r>
    </w:p>
    <w:p w14:paraId="0C8C3A2F" w14:textId="3D8F2359" w:rsidR="00A970D5" w:rsidRPr="0059734A" w:rsidRDefault="0090115A"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Inconforme con la respuesta emitida</w:t>
      </w:r>
      <w:r w:rsidR="006726AD" w:rsidRPr="0059734A">
        <w:rPr>
          <w:rFonts w:eastAsia="Palatino Linotype" w:cs="Palatino Linotype"/>
          <w:color w:val="000000"/>
          <w:szCs w:val="24"/>
        </w:rPr>
        <w:t>, el</w:t>
      </w:r>
      <w:r w:rsidRPr="0059734A">
        <w:rPr>
          <w:rFonts w:eastAsia="Palatino Linotype" w:cs="Palatino Linotype"/>
          <w:color w:val="000000"/>
          <w:szCs w:val="24"/>
        </w:rPr>
        <w:t xml:space="preserve"> Recurrente interpuso el presente recurso de revisión el </w:t>
      </w:r>
      <w:r w:rsidR="000D0D75" w:rsidRPr="0059734A">
        <w:rPr>
          <w:rFonts w:eastAsia="Palatino Linotype" w:cs="Palatino Linotype"/>
          <w:color w:val="000000"/>
          <w:szCs w:val="24"/>
        </w:rPr>
        <w:t>tres de junio</w:t>
      </w:r>
      <w:r w:rsidR="00177F35" w:rsidRPr="0059734A">
        <w:rPr>
          <w:rFonts w:eastAsia="Palatino Linotype" w:cs="Palatino Linotype"/>
          <w:color w:val="000000"/>
          <w:szCs w:val="24"/>
        </w:rPr>
        <w:t xml:space="preserve"> </w:t>
      </w:r>
      <w:r w:rsidR="00DE2889" w:rsidRPr="0059734A">
        <w:rPr>
          <w:rFonts w:eastAsia="Palatino Linotype" w:cs="Palatino Linotype"/>
          <w:color w:val="000000"/>
          <w:szCs w:val="24"/>
        </w:rPr>
        <w:t>de dos mil veinticinco</w:t>
      </w:r>
      <w:r w:rsidRPr="0059734A">
        <w:rPr>
          <w:rFonts w:eastAsia="Palatino Linotype" w:cs="Palatino Linotype"/>
          <w:color w:val="000000"/>
          <w:szCs w:val="24"/>
        </w:rPr>
        <w:t>, el cual se registró en el SAIMEX con el expediente número</w:t>
      </w:r>
      <w:r w:rsidR="00A970D5" w:rsidRPr="0059734A">
        <w:rPr>
          <w:rFonts w:eastAsia="Palatino Linotype" w:cs="Palatino Linotype"/>
          <w:color w:val="000000"/>
          <w:szCs w:val="24"/>
        </w:rPr>
        <w:t xml:space="preserve"> </w:t>
      </w:r>
      <w:r w:rsidR="000D0D75" w:rsidRPr="0059734A">
        <w:rPr>
          <w:rFonts w:eastAsia="Palatino Linotype" w:cs="Palatino Linotype"/>
          <w:b/>
          <w:color w:val="000000"/>
          <w:szCs w:val="24"/>
        </w:rPr>
        <w:t>06440</w:t>
      </w:r>
      <w:r w:rsidR="00252F83" w:rsidRPr="0059734A">
        <w:rPr>
          <w:rFonts w:eastAsia="Palatino Linotype" w:cs="Palatino Linotype"/>
          <w:b/>
          <w:color w:val="000000"/>
          <w:szCs w:val="24"/>
        </w:rPr>
        <w:t>/INFOEM/IP/RR/2025</w:t>
      </w:r>
      <w:r w:rsidR="00A06896" w:rsidRPr="0059734A">
        <w:rPr>
          <w:rFonts w:eastAsia="Palatino Linotype" w:cs="Palatino Linotype"/>
          <w:color w:val="000000"/>
          <w:szCs w:val="24"/>
        </w:rPr>
        <w:t xml:space="preserve">, </w:t>
      </w:r>
      <w:r w:rsidRPr="0059734A">
        <w:rPr>
          <w:rFonts w:eastAsia="Palatino Linotype" w:cs="Palatino Linotype"/>
          <w:color w:val="000000"/>
          <w:szCs w:val="24"/>
        </w:rPr>
        <w:t>en el que manifestó</w:t>
      </w:r>
      <w:r w:rsidR="00A970D5" w:rsidRPr="0059734A">
        <w:rPr>
          <w:rFonts w:eastAsia="Palatino Linotype" w:cs="Palatino Linotype"/>
          <w:color w:val="000000"/>
          <w:szCs w:val="24"/>
        </w:rPr>
        <w:t xml:space="preserve"> lo siguiente:</w:t>
      </w:r>
    </w:p>
    <w:p w14:paraId="7AA0C9F4" w14:textId="046134A0" w:rsidR="00A970D5" w:rsidRPr="0059734A" w:rsidRDefault="00A970D5" w:rsidP="004E0A52">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9734A" w:rsidRDefault="00A970D5" w:rsidP="004E0A52">
      <w:pPr>
        <w:contextualSpacing/>
        <w:rPr>
          <w:rFonts w:eastAsia="Palatino Linotype" w:cs="Palatino Linotype"/>
          <w:b/>
        </w:rPr>
      </w:pPr>
      <w:r w:rsidRPr="0059734A">
        <w:rPr>
          <w:rFonts w:eastAsia="Palatino Linotype" w:cs="Palatino Linotype"/>
          <w:b/>
        </w:rPr>
        <w:t>Acto Impugnado:</w:t>
      </w:r>
      <w:r w:rsidR="00655007" w:rsidRPr="0059734A">
        <w:rPr>
          <w:rFonts w:eastAsia="Palatino Linotype" w:cs="Palatino Linotype"/>
          <w:b/>
        </w:rPr>
        <w:t xml:space="preserve"> </w:t>
      </w:r>
    </w:p>
    <w:p w14:paraId="4A0EFE5A" w14:textId="3BF58203" w:rsidR="00A970D5" w:rsidRPr="0059734A" w:rsidRDefault="5C35490E" w:rsidP="004E0A52">
      <w:pPr>
        <w:pStyle w:val="Fundamentos"/>
        <w:rPr>
          <w:b/>
          <w:bCs/>
          <w:lang w:val="es-ES"/>
        </w:rPr>
      </w:pPr>
      <w:r w:rsidRPr="0059734A">
        <w:rPr>
          <w:lang w:val="es-ES"/>
        </w:rPr>
        <w:t>«</w:t>
      </w:r>
      <w:r w:rsidR="000D0D75" w:rsidRPr="0059734A">
        <w:t xml:space="preserve"> </w:t>
      </w:r>
      <w:r w:rsidR="000D0D75" w:rsidRPr="0059734A">
        <w:rPr>
          <w:lang w:val="es-ES"/>
        </w:rPr>
        <w:t>Entrega de información incompleta.</w:t>
      </w:r>
      <w:r w:rsidRPr="0059734A">
        <w:rPr>
          <w:lang w:val="es-ES"/>
        </w:rPr>
        <w:t>» (Sic)</w:t>
      </w:r>
    </w:p>
    <w:p w14:paraId="3C40A441" w14:textId="0B2599C4" w:rsidR="00A970D5" w:rsidRPr="0059734A" w:rsidRDefault="00A970D5" w:rsidP="004E0A52">
      <w:pPr>
        <w:tabs>
          <w:tab w:val="left" w:pos="2515"/>
        </w:tabs>
        <w:contextualSpacing/>
        <w:rPr>
          <w:rFonts w:eastAsia="Palatino Linotype" w:cs="Palatino Linotype"/>
          <w:iCs/>
          <w:szCs w:val="24"/>
          <w:lang w:val="es-ES"/>
        </w:rPr>
      </w:pPr>
    </w:p>
    <w:p w14:paraId="0F6CFE30" w14:textId="719FCACE" w:rsidR="00300EA0" w:rsidRPr="0059734A" w:rsidRDefault="002B6B0F" w:rsidP="004E0A52">
      <w:pPr>
        <w:contextualSpacing/>
        <w:rPr>
          <w:rFonts w:eastAsia="Palatino Linotype" w:cs="Palatino Linotype"/>
          <w:b/>
        </w:rPr>
      </w:pPr>
      <w:r w:rsidRPr="0059734A">
        <w:rPr>
          <w:rFonts w:eastAsia="Palatino Linotype" w:cs="Palatino Linotype"/>
          <w:b/>
        </w:rPr>
        <w:t>Razones o motivos de inconformidad</w:t>
      </w:r>
      <w:r w:rsidR="00300EA0" w:rsidRPr="0059734A">
        <w:rPr>
          <w:rFonts w:eastAsia="Palatino Linotype" w:cs="Palatino Linotype"/>
          <w:b/>
        </w:rPr>
        <w:t xml:space="preserve">: </w:t>
      </w:r>
    </w:p>
    <w:p w14:paraId="636038ED" w14:textId="00C20EFE" w:rsidR="00300EA0" w:rsidRPr="0059734A" w:rsidRDefault="00300EA0" w:rsidP="004E0A52">
      <w:pPr>
        <w:pStyle w:val="Fundamentos"/>
        <w:rPr>
          <w:b/>
          <w:bCs/>
          <w:lang w:val="es-ES"/>
        </w:rPr>
      </w:pPr>
      <w:r w:rsidRPr="0059734A">
        <w:rPr>
          <w:lang w:val="es-ES"/>
        </w:rPr>
        <w:t>«</w:t>
      </w:r>
      <w:r w:rsidR="000D0D75" w:rsidRPr="0059734A">
        <w:t xml:space="preserve"> </w:t>
      </w:r>
      <w:r w:rsidR="000D0D75" w:rsidRPr="0059734A">
        <w:rPr>
          <w:lang w:val="es-ES"/>
        </w:rPr>
        <w:t>No entrega los costos de la compra realizada de la maquinaria.</w:t>
      </w:r>
      <w:r w:rsidRPr="0059734A">
        <w:rPr>
          <w:lang w:val="es-ES"/>
        </w:rPr>
        <w:t>» (Sic)</w:t>
      </w:r>
    </w:p>
    <w:p w14:paraId="0A3CE1C1" w14:textId="77777777" w:rsidR="00390EBF" w:rsidRPr="0059734A" w:rsidRDefault="00390EBF" w:rsidP="004E0A52">
      <w:pPr>
        <w:contextualSpacing/>
        <w:rPr>
          <w:rFonts w:eastAsia="Palatino Linotype" w:cs="Palatino Linotype"/>
          <w:iCs/>
          <w:szCs w:val="24"/>
          <w:lang w:val="es-ES"/>
        </w:rPr>
      </w:pPr>
    </w:p>
    <w:p w14:paraId="11D7F189" w14:textId="224992C6" w:rsidR="00A970D5" w:rsidRPr="0059734A" w:rsidRDefault="000D0D75" w:rsidP="004E0A52">
      <w:pPr>
        <w:pStyle w:val="Ttulo2"/>
        <w:rPr>
          <w:rFonts w:eastAsia="Palatino Linotype"/>
        </w:rPr>
      </w:pPr>
      <w:r w:rsidRPr="0059734A">
        <w:rPr>
          <w:rFonts w:eastAsia="Palatino Linotype"/>
        </w:rPr>
        <w:t>SEXTO</w:t>
      </w:r>
      <w:r w:rsidR="00A970D5" w:rsidRPr="0059734A">
        <w:rPr>
          <w:rFonts w:eastAsia="Palatino Linotype"/>
        </w:rPr>
        <w:t>. Del turno y admisión del recurso de revisión.</w:t>
      </w:r>
    </w:p>
    <w:p w14:paraId="2459DEBA" w14:textId="0F589B0C" w:rsidR="00A970D5" w:rsidRPr="0059734A" w:rsidRDefault="70652167" w:rsidP="004E0A52">
      <w:pPr>
        <w:pBdr>
          <w:top w:val="nil"/>
          <w:left w:val="nil"/>
          <w:bottom w:val="nil"/>
          <w:right w:val="nil"/>
          <w:between w:val="nil"/>
        </w:pBdr>
        <w:contextualSpacing/>
        <w:rPr>
          <w:rFonts w:eastAsia="Palatino Linotype" w:cs="Palatino Linotype"/>
          <w:color w:val="000000"/>
          <w:lang w:val="es-ES"/>
        </w:rPr>
      </w:pPr>
      <w:r w:rsidRPr="0059734A">
        <w:rPr>
          <w:rFonts w:eastAsia="Palatino Linotype" w:cs="Palatino Linotype"/>
          <w:color w:val="000000" w:themeColor="text1"/>
          <w:lang w:val="es-ES"/>
        </w:rPr>
        <w:t xml:space="preserve">Medio de impugnación que le fue turnado al </w:t>
      </w:r>
      <w:r w:rsidRPr="0059734A">
        <w:rPr>
          <w:rFonts w:eastAsia="Palatino Linotype" w:cs="Palatino Linotype"/>
          <w:b/>
          <w:bCs/>
          <w:color w:val="000000" w:themeColor="text1"/>
          <w:lang w:val="es-ES"/>
        </w:rPr>
        <w:t>Comisionado Presidente José Martínez Vilchis</w:t>
      </w:r>
      <w:r w:rsidRPr="0059734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59734A">
        <w:rPr>
          <w:rFonts w:eastAsia="Palatino Linotype" w:cs="Palatino Linotype"/>
          <w:color w:val="000000" w:themeColor="text1"/>
          <w:lang w:val="es-ES"/>
        </w:rPr>
        <w:t xml:space="preserve"> admisión de fecha </w:t>
      </w:r>
      <w:r w:rsidR="000D0D75" w:rsidRPr="0059734A">
        <w:rPr>
          <w:rFonts w:eastAsia="Palatino Linotype" w:cs="Palatino Linotype"/>
          <w:color w:val="000000" w:themeColor="text1"/>
          <w:lang w:val="es-ES"/>
        </w:rPr>
        <w:t>seis de junio</w:t>
      </w:r>
      <w:r w:rsidR="00774AC3" w:rsidRPr="0059734A">
        <w:rPr>
          <w:rFonts w:eastAsia="Palatino Linotype" w:cs="Palatino Linotype"/>
          <w:color w:val="000000" w:themeColor="text1"/>
          <w:lang w:val="es-ES"/>
        </w:rPr>
        <w:t xml:space="preserve"> de dos mil veinticinco</w:t>
      </w:r>
      <w:r w:rsidRPr="0059734A">
        <w:rPr>
          <w:rFonts w:eastAsia="Palatino Linotype" w:cs="Palatino Linotype"/>
          <w:color w:val="000000" w:themeColor="text1"/>
          <w:lang w:val="es-ES"/>
        </w:rPr>
        <w:t xml:space="preserve">, </w:t>
      </w:r>
      <w:r w:rsidRPr="0059734A">
        <w:rPr>
          <w:rFonts w:eastAsia="Palatino Linotype" w:cs="Palatino Linotype"/>
          <w:lang w:val="es-ES"/>
        </w:rPr>
        <w:t>otorgándose</w:t>
      </w:r>
      <w:r w:rsidRPr="0059734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 w:val="22"/>
        </w:rPr>
      </w:pPr>
    </w:p>
    <w:p w14:paraId="05AE608B" w14:textId="6A01473D" w:rsidR="00A970D5" w:rsidRPr="0059734A" w:rsidRDefault="00E21393" w:rsidP="004E0A52">
      <w:pPr>
        <w:pStyle w:val="Ttulo2"/>
        <w:rPr>
          <w:rFonts w:eastAsia="Palatino Linotype"/>
        </w:rPr>
      </w:pPr>
      <w:r w:rsidRPr="0059734A">
        <w:rPr>
          <w:rFonts w:eastAsia="Palatino Linotype"/>
        </w:rPr>
        <w:t>QUINT</w:t>
      </w:r>
      <w:r w:rsidR="007D2A1A" w:rsidRPr="0059734A">
        <w:rPr>
          <w:rFonts w:eastAsia="Palatino Linotype"/>
        </w:rPr>
        <w:t>O</w:t>
      </w:r>
      <w:r w:rsidR="00A970D5" w:rsidRPr="0059734A">
        <w:rPr>
          <w:rFonts w:eastAsia="Palatino Linotype"/>
        </w:rPr>
        <w:t>. De la etapa de instrucción.</w:t>
      </w:r>
    </w:p>
    <w:p w14:paraId="7F41601E" w14:textId="3E9FD3CE" w:rsidR="00732A2C" w:rsidRPr="0059734A" w:rsidRDefault="00732A2C" w:rsidP="004E0A52">
      <w:pPr>
        <w:pBdr>
          <w:top w:val="nil"/>
          <w:left w:val="nil"/>
          <w:bottom w:val="nil"/>
          <w:right w:val="nil"/>
          <w:between w:val="nil"/>
        </w:pBdr>
        <w:rPr>
          <w:rFonts w:eastAsia="Palatino Linotype" w:cs="Palatino Linotype"/>
          <w:color w:val="000000"/>
          <w:szCs w:val="24"/>
        </w:rPr>
      </w:pPr>
      <w:r w:rsidRPr="0059734A">
        <w:rPr>
          <w:rFonts w:eastAsia="Palatino Linotype" w:cs="Palatino Linotype"/>
          <w:color w:val="000000"/>
          <w:szCs w:val="24"/>
        </w:rPr>
        <w:t xml:space="preserve">Durante la etapa de instrucción, se observa que el </w:t>
      </w:r>
      <w:r w:rsidR="000D0D75" w:rsidRPr="0059734A">
        <w:rPr>
          <w:rFonts w:eastAsia="Palatino Linotype" w:cs="Palatino Linotype"/>
          <w:color w:val="000000"/>
          <w:szCs w:val="24"/>
        </w:rPr>
        <w:t>diecisiete de junio</w:t>
      </w:r>
      <w:r w:rsidRPr="0059734A">
        <w:rPr>
          <w:rFonts w:eastAsia="Palatino Linotype" w:cs="Palatino Linotype"/>
          <w:color w:val="000000"/>
          <w:szCs w:val="24"/>
        </w:rPr>
        <w:t xml:space="preserve"> de dos mil veinticinco, el Sujeto Obligado rindió su Informe Justificado mediante la presentación d</w:t>
      </w:r>
      <w:r w:rsidR="00E271CE" w:rsidRPr="0059734A">
        <w:rPr>
          <w:rFonts w:eastAsia="Palatino Linotype" w:cs="Palatino Linotype"/>
          <w:color w:val="000000"/>
          <w:szCs w:val="24"/>
        </w:rPr>
        <w:t>e</w:t>
      </w:r>
      <w:r w:rsidR="00510E03" w:rsidRPr="0059734A">
        <w:rPr>
          <w:rFonts w:eastAsia="Palatino Linotype" w:cs="Palatino Linotype"/>
          <w:color w:val="000000"/>
          <w:szCs w:val="24"/>
        </w:rPr>
        <w:t xml:space="preserve"> </w:t>
      </w:r>
      <w:r w:rsidR="00E271CE" w:rsidRPr="0059734A">
        <w:rPr>
          <w:rFonts w:eastAsia="Palatino Linotype" w:cs="Palatino Linotype"/>
          <w:color w:val="000000"/>
          <w:szCs w:val="24"/>
        </w:rPr>
        <w:t>l</w:t>
      </w:r>
      <w:r w:rsidR="00510E03" w:rsidRPr="0059734A">
        <w:rPr>
          <w:rFonts w:eastAsia="Palatino Linotype" w:cs="Palatino Linotype"/>
          <w:color w:val="000000"/>
          <w:szCs w:val="24"/>
        </w:rPr>
        <w:t>os</w:t>
      </w:r>
      <w:r w:rsidRPr="0059734A">
        <w:rPr>
          <w:rFonts w:eastAsia="Palatino Linotype" w:cs="Palatino Linotype"/>
          <w:color w:val="000000"/>
          <w:szCs w:val="24"/>
        </w:rPr>
        <w:t xml:space="preserve"> documento</w:t>
      </w:r>
      <w:r w:rsidR="00510E03" w:rsidRPr="0059734A">
        <w:rPr>
          <w:rFonts w:eastAsia="Palatino Linotype" w:cs="Palatino Linotype"/>
          <w:color w:val="000000"/>
          <w:szCs w:val="24"/>
        </w:rPr>
        <w:t>s</w:t>
      </w:r>
      <w:r w:rsidRPr="0059734A">
        <w:rPr>
          <w:rFonts w:eastAsia="Palatino Linotype" w:cs="Palatino Linotype"/>
          <w:color w:val="000000"/>
          <w:szCs w:val="24"/>
        </w:rPr>
        <w:t xml:space="preserve"> denominado</w:t>
      </w:r>
      <w:r w:rsidR="00510E03" w:rsidRPr="0059734A">
        <w:rPr>
          <w:rFonts w:eastAsia="Palatino Linotype" w:cs="Palatino Linotype"/>
          <w:color w:val="000000"/>
          <w:szCs w:val="24"/>
        </w:rPr>
        <w:t xml:space="preserve">s </w:t>
      </w:r>
      <w:r w:rsidR="00510E03" w:rsidRPr="0059734A">
        <w:rPr>
          <w:rFonts w:eastAsia="Palatino Linotype" w:cs="Palatino Linotype"/>
          <w:b/>
          <w:color w:val="000000"/>
          <w:szCs w:val="24"/>
        </w:rPr>
        <w:t>«</w:t>
      </w:r>
      <w:r w:rsidR="007E2133" w:rsidRPr="0059734A">
        <w:rPr>
          <w:rFonts w:eastAsia="Palatino Linotype" w:cs="Palatino Linotype"/>
          <w:b/>
          <w:color w:val="000000"/>
          <w:szCs w:val="24"/>
        </w:rPr>
        <w:t>INFORME JUSTIFICADO 06440 2025.pdf</w:t>
      </w:r>
      <w:r w:rsidR="003E70A0" w:rsidRPr="0059734A">
        <w:rPr>
          <w:rFonts w:eastAsia="Palatino Linotype" w:cs="Palatino Linotype"/>
          <w:b/>
          <w:color w:val="000000"/>
          <w:szCs w:val="24"/>
        </w:rPr>
        <w:t>»</w:t>
      </w:r>
      <w:r w:rsidR="003E70A0" w:rsidRPr="0059734A">
        <w:rPr>
          <w:rFonts w:eastAsia="Palatino Linotype" w:cs="Palatino Linotype"/>
          <w:color w:val="000000"/>
          <w:szCs w:val="24"/>
        </w:rPr>
        <w:t xml:space="preserve">, </w:t>
      </w:r>
      <w:r w:rsidR="003E70A0" w:rsidRPr="0059734A">
        <w:rPr>
          <w:rFonts w:eastAsia="Palatino Linotype" w:cs="Palatino Linotype"/>
          <w:color w:val="000000"/>
          <w:szCs w:val="24"/>
        </w:rPr>
        <w:lastRenderedPageBreak/>
        <w:t>documentación que fue puesta</w:t>
      </w:r>
      <w:r w:rsidRPr="0059734A">
        <w:rPr>
          <w:rFonts w:eastAsia="Palatino Linotype" w:cs="Palatino Linotype"/>
          <w:color w:val="000000"/>
          <w:szCs w:val="24"/>
        </w:rPr>
        <w:t xml:space="preserve"> a la vista del Recurrente mediante acuerdo de fecha </w:t>
      </w:r>
      <w:r w:rsidR="007E2133" w:rsidRPr="0059734A">
        <w:rPr>
          <w:rFonts w:eastAsia="Palatino Linotype" w:cs="Palatino Linotype"/>
          <w:color w:val="000000"/>
          <w:szCs w:val="24"/>
        </w:rPr>
        <w:t>siete de octubre</w:t>
      </w:r>
      <w:r w:rsidRPr="0059734A">
        <w:rPr>
          <w:rFonts w:eastAsia="Palatino Linotype" w:cs="Palatino Linotype"/>
          <w:color w:val="000000"/>
          <w:szCs w:val="24"/>
        </w:rPr>
        <w:t xml:space="preserve"> del año en curso, en términos de la fracción III del artículo 185 de la Ley de Transparencia</w:t>
      </w:r>
      <w:r w:rsidR="000336D2" w:rsidRPr="0059734A">
        <w:rPr>
          <w:rFonts w:eastAsia="Palatino Linotype" w:cs="Palatino Linotype"/>
          <w:color w:val="000000"/>
          <w:szCs w:val="24"/>
        </w:rPr>
        <w:t xml:space="preserve"> estatal</w:t>
      </w:r>
      <w:r w:rsidRPr="0059734A">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59734A" w:rsidRDefault="00C02596" w:rsidP="004E0A52">
      <w:pPr>
        <w:pBdr>
          <w:top w:val="nil"/>
          <w:left w:val="nil"/>
          <w:bottom w:val="nil"/>
          <w:right w:val="nil"/>
          <w:between w:val="nil"/>
        </w:pBdr>
        <w:contextualSpacing/>
        <w:rPr>
          <w:rFonts w:eastAsia="Palatino Linotype" w:cs="Palatino Linotype"/>
          <w:color w:val="000000"/>
          <w:sz w:val="22"/>
        </w:rPr>
      </w:pPr>
    </w:p>
    <w:p w14:paraId="6A576BB9" w14:textId="77777777" w:rsidR="002F3AD7" w:rsidRPr="0059734A" w:rsidRDefault="007A1154" w:rsidP="004E0A52">
      <w:pPr>
        <w:pStyle w:val="Ttulo2"/>
        <w:rPr>
          <w:rFonts w:eastAsiaTheme="minorHAnsi"/>
          <w:lang w:eastAsia="en-US"/>
        </w:rPr>
      </w:pPr>
      <w:r w:rsidRPr="0059734A">
        <w:rPr>
          <w:rFonts w:eastAsia="Palatino Linotype"/>
        </w:rPr>
        <w:t>S</w:t>
      </w:r>
      <w:r w:rsidR="00E21393" w:rsidRPr="0059734A">
        <w:rPr>
          <w:rFonts w:eastAsia="Palatino Linotype"/>
        </w:rPr>
        <w:t>EXTO</w:t>
      </w:r>
      <w:r w:rsidR="00A970D5" w:rsidRPr="0059734A">
        <w:rPr>
          <w:rFonts w:eastAsia="Palatino Linotype"/>
        </w:rPr>
        <w:t xml:space="preserve">. </w:t>
      </w:r>
      <w:r w:rsidR="002F3AD7" w:rsidRPr="0059734A">
        <w:rPr>
          <w:rFonts w:eastAsiaTheme="minorHAnsi"/>
          <w:lang w:eastAsia="en-US"/>
        </w:rPr>
        <w:t>De la ampliación del término para resolver.</w:t>
      </w:r>
    </w:p>
    <w:p w14:paraId="36CC9351" w14:textId="337F70FE" w:rsidR="002F3AD7" w:rsidRPr="0059734A" w:rsidRDefault="002F3AD7" w:rsidP="004E0A52">
      <w:pPr>
        <w:pBdr>
          <w:top w:val="nil"/>
          <w:left w:val="nil"/>
          <w:bottom w:val="nil"/>
          <w:right w:val="nil"/>
          <w:between w:val="nil"/>
        </w:pBdr>
        <w:contextualSpacing/>
        <w:rPr>
          <w:rFonts w:eastAsiaTheme="minorHAnsi" w:cstheme="minorBidi"/>
          <w:szCs w:val="24"/>
          <w:lang w:eastAsia="en-US"/>
        </w:rPr>
      </w:pPr>
      <w:r w:rsidRPr="0059734A">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7E2133" w:rsidRPr="0059734A">
        <w:rPr>
          <w:rFonts w:eastAsiaTheme="minorHAnsi" w:cstheme="minorBidi"/>
          <w:szCs w:val="24"/>
          <w:lang w:eastAsia="en-US"/>
        </w:rPr>
        <w:t>siete de octubre</w:t>
      </w:r>
      <w:r w:rsidRPr="0059734A">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59734A" w:rsidRDefault="00EB1CF4" w:rsidP="004E0A52">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59734A" w:rsidRDefault="00E21393" w:rsidP="004E0A52">
      <w:pPr>
        <w:pStyle w:val="Ttulo2"/>
        <w:rPr>
          <w:rFonts w:eastAsia="Palatino Linotype"/>
        </w:rPr>
      </w:pPr>
      <w:r w:rsidRPr="0059734A">
        <w:rPr>
          <w:rFonts w:eastAsiaTheme="minorHAnsi"/>
          <w:lang w:eastAsia="en-US"/>
        </w:rPr>
        <w:t>SÉPTIMO</w:t>
      </w:r>
      <w:r w:rsidR="00EB1CF4" w:rsidRPr="0059734A">
        <w:rPr>
          <w:rFonts w:eastAsiaTheme="minorHAnsi"/>
          <w:lang w:eastAsia="en-US"/>
        </w:rPr>
        <w:t xml:space="preserve">. </w:t>
      </w:r>
      <w:r w:rsidR="002F3AD7" w:rsidRPr="0059734A">
        <w:rPr>
          <w:rFonts w:eastAsia="Palatino Linotype"/>
        </w:rPr>
        <w:t>Del cierre de instrucción.</w:t>
      </w:r>
    </w:p>
    <w:p w14:paraId="61A09BC0" w14:textId="33AB0DB3" w:rsidR="002F3AD7" w:rsidRPr="0059734A" w:rsidRDefault="002F3AD7"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Así, una vez transcurrido el término legal, se decretó el cierre de instrucción</w:t>
      </w:r>
      <w:r w:rsidR="006F7948" w:rsidRPr="0059734A">
        <w:rPr>
          <w:rFonts w:eastAsia="Palatino Linotype" w:cs="Palatino Linotype"/>
          <w:color w:val="000000"/>
          <w:szCs w:val="24"/>
        </w:rPr>
        <w:t xml:space="preserve"> el </w:t>
      </w:r>
      <w:r w:rsidR="007E2133" w:rsidRPr="0059734A">
        <w:rPr>
          <w:rFonts w:eastAsia="Palatino Linotype" w:cs="Palatino Linotype"/>
          <w:color w:val="000000"/>
          <w:szCs w:val="24"/>
        </w:rPr>
        <w:t>treinta</w:t>
      </w:r>
      <w:r w:rsidR="00500A2D" w:rsidRPr="0059734A">
        <w:rPr>
          <w:rFonts w:eastAsia="Palatino Linotype" w:cs="Palatino Linotype"/>
          <w:color w:val="000000"/>
          <w:szCs w:val="24"/>
        </w:rPr>
        <w:t xml:space="preserve"> de octubre</w:t>
      </w:r>
      <w:r w:rsidRPr="0059734A">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59734A" w:rsidRDefault="009A70F6" w:rsidP="004E0A52">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9734A" w:rsidRDefault="00A970D5" w:rsidP="004E0A52">
      <w:pPr>
        <w:pStyle w:val="Ttulo1"/>
        <w:rPr>
          <w:rFonts w:eastAsia="Palatino Linotype"/>
          <w:lang w:val="es-ES_tradnl"/>
        </w:rPr>
      </w:pPr>
      <w:r w:rsidRPr="0059734A">
        <w:rPr>
          <w:rFonts w:eastAsia="Palatino Linotype"/>
          <w:lang w:val="es-ES_tradnl"/>
        </w:rPr>
        <w:lastRenderedPageBreak/>
        <w:t>C O N S I D E R A N D O</w:t>
      </w:r>
    </w:p>
    <w:p w14:paraId="32546275" w14:textId="77777777" w:rsidR="00A970D5" w:rsidRPr="0059734A" w:rsidRDefault="00A970D5" w:rsidP="004E0A52">
      <w:pPr>
        <w:pBdr>
          <w:top w:val="nil"/>
          <w:left w:val="nil"/>
          <w:bottom w:val="nil"/>
          <w:right w:val="nil"/>
          <w:between w:val="nil"/>
        </w:pBdr>
        <w:contextualSpacing/>
        <w:rPr>
          <w:rFonts w:eastAsia="Palatino Linotype" w:cs="Palatino Linotype"/>
          <w:color w:val="000000"/>
          <w:szCs w:val="24"/>
        </w:rPr>
      </w:pPr>
    </w:p>
    <w:p w14:paraId="6A51E2DD" w14:textId="44394B58" w:rsidR="00A970D5" w:rsidRPr="0059734A" w:rsidRDefault="00A970D5" w:rsidP="004E0A52">
      <w:pPr>
        <w:pStyle w:val="Ttulo2"/>
        <w:rPr>
          <w:rFonts w:eastAsia="Palatino Linotype"/>
        </w:rPr>
      </w:pPr>
      <w:r w:rsidRPr="0059734A">
        <w:rPr>
          <w:rFonts w:eastAsia="Palatino Linotype"/>
        </w:rPr>
        <w:t>PRIMERO. De la competencia.</w:t>
      </w:r>
      <w:r w:rsidR="00ED792D" w:rsidRPr="0059734A">
        <w:rPr>
          <w:rFonts w:eastAsia="Palatino Linotype"/>
        </w:rPr>
        <w:t xml:space="preserve"> </w:t>
      </w:r>
    </w:p>
    <w:p w14:paraId="60961826" w14:textId="35737D69" w:rsidR="004F6E50" w:rsidRPr="0059734A" w:rsidRDefault="007E2133" w:rsidP="004E0A52">
      <w:pPr>
        <w:pBdr>
          <w:top w:val="nil"/>
          <w:left w:val="nil"/>
          <w:bottom w:val="nil"/>
          <w:right w:val="nil"/>
          <w:between w:val="nil"/>
        </w:pBdr>
        <w:contextualSpacing/>
        <w:rPr>
          <w:szCs w:val="24"/>
        </w:rPr>
      </w:pPr>
      <w:r w:rsidRPr="0059734A">
        <w:rPr>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A9F0787" w14:textId="77777777" w:rsidR="007E2133" w:rsidRPr="0059734A" w:rsidRDefault="007E2133" w:rsidP="004E0A52">
      <w:pPr>
        <w:pBdr>
          <w:top w:val="nil"/>
          <w:left w:val="nil"/>
          <w:bottom w:val="nil"/>
          <w:right w:val="nil"/>
          <w:between w:val="nil"/>
        </w:pBdr>
        <w:contextualSpacing/>
        <w:rPr>
          <w:rFonts w:eastAsia="Palatino Linotype" w:cs="Palatino Linotype"/>
          <w:color w:val="000000"/>
          <w:szCs w:val="24"/>
        </w:rPr>
      </w:pPr>
    </w:p>
    <w:p w14:paraId="1FA6B1AA" w14:textId="77777777" w:rsidR="007E2133" w:rsidRPr="0059734A" w:rsidRDefault="007E2133" w:rsidP="004E0A52">
      <w:pPr>
        <w:pStyle w:val="Prrafodelista"/>
        <w:autoSpaceDE w:val="0"/>
        <w:autoSpaceDN w:val="0"/>
        <w:adjustRightInd w:val="0"/>
        <w:ind w:left="0"/>
        <w:rPr>
          <w:rFonts w:cs="Arial"/>
          <w:b/>
        </w:rPr>
      </w:pPr>
      <w:r w:rsidRPr="0059734A">
        <w:rPr>
          <w:rFonts w:cs="Arial"/>
          <w:b/>
          <w:sz w:val="28"/>
        </w:rPr>
        <w:t>SEGUNDO</w:t>
      </w:r>
      <w:r w:rsidRPr="0059734A">
        <w:rPr>
          <w:rFonts w:cs="Arial"/>
          <w:b/>
        </w:rPr>
        <w:t xml:space="preserve">. </w:t>
      </w:r>
      <w:r w:rsidRPr="0059734A">
        <w:rPr>
          <w:rFonts w:cs="Arial"/>
          <w:b/>
          <w:sz w:val="28"/>
          <w:szCs w:val="28"/>
        </w:rPr>
        <w:t>Sobre los alcances del recurso de revisión.</w:t>
      </w:r>
      <w:r w:rsidRPr="0059734A">
        <w:rPr>
          <w:rFonts w:cs="Arial"/>
          <w:b/>
        </w:rPr>
        <w:t xml:space="preserve"> </w:t>
      </w:r>
    </w:p>
    <w:p w14:paraId="58FA7FC7" w14:textId="77777777" w:rsidR="007E2133" w:rsidRPr="0059734A" w:rsidRDefault="007E2133" w:rsidP="004E0A52">
      <w:pPr>
        <w:pStyle w:val="Prrafodelista"/>
        <w:autoSpaceDE w:val="0"/>
        <w:autoSpaceDN w:val="0"/>
        <w:adjustRightInd w:val="0"/>
        <w:ind w:left="0"/>
        <w:rPr>
          <w:rFonts w:cs="Arial"/>
        </w:rPr>
      </w:pPr>
      <w:r w:rsidRPr="0059734A">
        <w:rPr>
          <w:rFonts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04D7E7" w14:textId="77777777" w:rsidR="007E2133" w:rsidRPr="0059734A" w:rsidRDefault="007E2133" w:rsidP="004E0A52">
      <w:pPr>
        <w:pStyle w:val="Prrafodelista"/>
        <w:autoSpaceDE w:val="0"/>
        <w:autoSpaceDN w:val="0"/>
        <w:adjustRightInd w:val="0"/>
        <w:ind w:left="0"/>
        <w:rPr>
          <w:rFonts w:cs="Arial"/>
        </w:rPr>
      </w:pPr>
    </w:p>
    <w:p w14:paraId="5DDB6DE4" w14:textId="77777777" w:rsidR="007E2133" w:rsidRPr="0059734A" w:rsidRDefault="007E2133" w:rsidP="004E0A52">
      <w:pPr>
        <w:pStyle w:val="Prrafodelista"/>
        <w:autoSpaceDE w:val="0"/>
        <w:autoSpaceDN w:val="0"/>
        <w:adjustRightInd w:val="0"/>
        <w:ind w:left="0"/>
        <w:rPr>
          <w:rFonts w:cs="Arial"/>
          <w:b/>
          <w:sz w:val="28"/>
          <w:szCs w:val="28"/>
        </w:rPr>
      </w:pPr>
      <w:r w:rsidRPr="0059734A">
        <w:rPr>
          <w:rFonts w:cs="Arial"/>
          <w:b/>
          <w:sz w:val="28"/>
        </w:rPr>
        <w:t>TERCERO</w:t>
      </w:r>
      <w:r w:rsidRPr="0059734A">
        <w:rPr>
          <w:rFonts w:cs="Arial"/>
          <w:b/>
        </w:rPr>
        <w:t xml:space="preserve">. </w:t>
      </w:r>
      <w:r w:rsidRPr="0059734A">
        <w:rPr>
          <w:rFonts w:cs="Arial"/>
          <w:b/>
          <w:sz w:val="28"/>
          <w:szCs w:val="28"/>
        </w:rPr>
        <w:t>De las causas de improcedencia.</w:t>
      </w:r>
    </w:p>
    <w:p w14:paraId="4613ADC7" w14:textId="77777777" w:rsidR="007E2133" w:rsidRPr="0059734A" w:rsidRDefault="007E2133" w:rsidP="004E0A52">
      <w:pPr>
        <w:pStyle w:val="Prrafodelista"/>
        <w:autoSpaceDE w:val="0"/>
        <w:autoSpaceDN w:val="0"/>
        <w:adjustRightInd w:val="0"/>
        <w:ind w:left="0"/>
        <w:rPr>
          <w:rFonts w:cs="Arial"/>
        </w:rPr>
      </w:pPr>
      <w:r w:rsidRPr="0059734A">
        <w:rPr>
          <w:rFonts w:cs="Arial"/>
        </w:rPr>
        <w:t xml:space="preserve">En el procedimiento de acceso a la información y de los medios de impugnación de la materia, se advierten diversos supuestos de </w:t>
      </w:r>
      <w:proofErr w:type="spellStart"/>
      <w:r w:rsidRPr="0059734A">
        <w:rPr>
          <w:rFonts w:cs="Arial"/>
        </w:rPr>
        <w:t>procedibilidad</w:t>
      </w:r>
      <w:proofErr w:type="spellEnd"/>
      <w:r w:rsidRPr="0059734A">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FE7EFC" w14:textId="77777777" w:rsidR="007E2133" w:rsidRPr="0059734A" w:rsidRDefault="007E2133" w:rsidP="004E0A52">
      <w:pPr>
        <w:pStyle w:val="Prrafodelista"/>
        <w:autoSpaceDE w:val="0"/>
        <w:autoSpaceDN w:val="0"/>
        <w:adjustRightInd w:val="0"/>
        <w:ind w:left="0"/>
        <w:rPr>
          <w:rFonts w:cs="Arial"/>
        </w:rPr>
      </w:pPr>
      <w:r w:rsidRPr="0059734A">
        <w:rPr>
          <w:rFonts w:cs="Arial"/>
        </w:rPr>
        <w:t xml:space="preserve">Siendo facultad de este Órgano entrar al estudio de las causas de improcedencia que hagan valer las partes o que se adviertan de oficio por este </w:t>
      </w:r>
      <w:proofErr w:type="spellStart"/>
      <w:r w:rsidRPr="0059734A">
        <w:rPr>
          <w:rFonts w:cs="Arial"/>
        </w:rPr>
        <w:t>Resolutor</w:t>
      </w:r>
      <w:proofErr w:type="spellEnd"/>
      <w:r w:rsidRPr="0059734A">
        <w:rPr>
          <w:rFonts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9734A">
        <w:rPr>
          <w:rStyle w:val="Refdenotaalpie"/>
          <w:rFonts w:cs="Arial"/>
        </w:rPr>
        <w:footnoteReference w:id="2"/>
      </w:r>
      <w:r w:rsidRPr="0059734A">
        <w:rPr>
          <w:rFonts w:cs="Arial"/>
        </w:rPr>
        <w:t xml:space="preserve">. Así las cosas, del análisis de los expedientes electrónicos </w:t>
      </w:r>
      <w:r w:rsidRPr="0059734A">
        <w:rPr>
          <w:rFonts w:cs="Arial"/>
        </w:rPr>
        <w:lastRenderedPageBreak/>
        <w:t>no se advierte ninguna causa de improcedencia que se actualice ni mucho menos alguna hecha valer por alguna de las partes, procediendo al estudio del fondo del asunto, en los siguientes términos.</w:t>
      </w:r>
    </w:p>
    <w:p w14:paraId="6D5A85A0" w14:textId="77777777" w:rsidR="007E2133" w:rsidRPr="0059734A" w:rsidRDefault="007E2133" w:rsidP="004E0A52">
      <w:pPr>
        <w:tabs>
          <w:tab w:val="left" w:pos="709"/>
        </w:tabs>
        <w:ind w:right="51"/>
        <w:rPr>
          <w:b/>
          <w:sz w:val="28"/>
          <w:szCs w:val="28"/>
        </w:rPr>
      </w:pPr>
    </w:p>
    <w:p w14:paraId="4011745D" w14:textId="44C54389" w:rsidR="00454915" w:rsidRPr="0059734A" w:rsidRDefault="007E2133" w:rsidP="004E0A52">
      <w:pPr>
        <w:pStyle w:val="Ttulo2"/>
        <w:rPr>
          <w:rFonts w:eastAsia="Palatino Linotype"/>
        </w:rPr>
      </w:pPr>
      <w:r w:rsidRPr="0059734A">
        <w:rPr>
          <w:sz w:val="28"/>
          <w:szCs w:val="28"/>
        </w:rPr>
        <w:t>CUARTO. Estudio y resolución del asunto</w:t>
      </w:r>
    </w:p>
    <w:p w14:paraId="2C91B237" w14:textId="77777777" w:rsidR="00020B85" w:rsidRPr="0059734A" w:rsidRDefault="00020B85" w:rsidP="004E0A52">
      <w:pPr>
        <w:autoSpaceDE w:val="0"/>
        <w:autoSpaceDN w:val="0"/>
        <w:adjustRightInd w:val="0"/>
        <w:rPr>
          <w:rFonts w:eastAsia="Times New Roman" w:cs="Arial"/>
          <w:szCs w:val="24"/>
          <w:lang w:val="es-ES" w:eastAsia="es-ES"/>
        </w:rPr>
      </w:pPr>
      <w:r w:rsidRPr="0059734A">
        <w:rPr>
          <w:rFonts w:eastAsia="Times New Roman" w:cs="Arial"/>
          <w:szCs w:val="24"/>
          <w:lang w:val="es-ES" w:eastAsia="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56C0998" w14:textId="77777777" w:rsidR="007E2133" w:rsidRPr="0059734A" w:rsidRDefault="007E2133" w:rsidP="004E0A52">
      <w:pPr>
        <w:autoSpaceDE w:val="0"/>
        <w:autoSpaceDN w:val="0"/>
        <w:adjustRightInd w:val="0"/>
        <w:rPr>
          <w:rFonts w:eastAsia="Times New Roman" w:cs="Arial"/>
          <w:szCs w:val="24"/>
          <w:lang w:val="es-ES" w:eastAsia="es-ES"/>
        </w:rPr>
      </w:pPr>
    </w:p>
    <w:p w14:paraId="6C6EC3EA" w14:textId="77777777" w:rsidR="00020B85" w:rsidRPr="0059734A" w:rsidRDefault="00020B85" w:rsidP="004E0A52">
      <w:pPr>
        <w:rPr>
          <w:rFonts w:eastAsia="Times New Roman" w:cs="Times New Roman"/>
          <w:szCs w:val="24"/>
          <w:lang w:val="es-MX" w:eastAsia="es-ES"/>
        </w:rPr>
      </w:pPr>
      <w:r w:rsidRPr="0059734A">
        <w:rPr>
          <w:rFonts w:eastAsiaTheme="minorHAnsi" w:cs="Arial"/>
          <w:szCs w:val="24"/>
          <w:lang w:val="es-MX" w:eastAsia="en-US"/>
        </w:rPr>
        <w:lastRenderedPageBreak/>
        <w:t xml:space="preserve">En este tenor, es necesario subrayar que </w:t>
      </w:r>
      <w:r w:rsidRPr="0059734A">
        <w:rPr>
          <w:rFonts w:eastAsia="Times New Roman" w:cs="Times New Roman"/>
          <w:szCs w:val="24"/>
          <w:lang w:val="es-MX"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323F49D" w14:textId="77777777" w:rsidR="007E2133" w:rsidRPr="0059734A" w:rsidRDefault="007E2133" w:rsidP="004E0A52">
      <w:pPr>
        <w:rPr>
          <w:rFonts w:eastAsia="Times New Roman" w:cs="Times New Roman"/>
          <w:szCs w:val="24"/>
          <w:lang w:val="es-MX" w:eastAsia="es-ES"/>
        </w:rPr>
      </w:pPr>
    </w:p>
    <w:p w14:paraId="705EE356"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b/>
          <w:i/>
          <w:sz w:val="22"/>
          <w:lang w:val="es-MX" w:eastAsia="es-ES"/>
        </w:rPr>
        <w:t>“Artículo 4.</w:t>
      </w:r>
      <w:r w:rsidRPr="0059734A">
        <w:rPr>
          <w:rFonts w:eastAsia="Times New Roman" w:cs="Times New Roman"/>
          <w:i/>
          <w:sz w:val="22"/>
          <w:lang w:val="es-MX"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4459D9"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379A31"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Los sujetos obligados deben poner en práctica, políticas y programas de acceso a la información que se apeguen a criterios de publicidad, veracidad, oportunidad, precisión y suficiencia en beneficio de los solicitantes.</w:t>
      </w:r>
    </w:p>
    <w:p w14:paraId="20234B22"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b/>
          <w:i/>
          <w:sz w:val="22"/>
          <w:lang w:val="es-MX" w:eastAsia="es-ES"/>
        </w:rPr>
        <w:t>Artículo 12.</w:t>
      </w:r>
      <w:r w:rsidRPr="0059734A">
        <w:rPr>
          <w:rFonts w:eastAsia="Times New Roman" w:cs="Times New Roman"/>
          <w:i/>
          <w:sz w:val="22"/>
          <w:lang w:val="es-MX" w:eastAsia="es-ES"/>
        </w:rPr>
        <w:t xml:space="preserve"> Quienes generen, recopilen, administren, manejen, procesen, archiven o conserven información pública serán responsables de la misma en los términos de las disposiciones jurídicas aplicables.</w:t>
      </w:r>
    </w:p>
    <w:p w14:paraId="05060F2D"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 xml:space="preserve">Los sujetos obligados sólo proporcionarán la información pública que se les requiera y que obre en sus archivos y en el estado en que ésta se encuentre. La obligación de </w:t>
      </w:r>
      <w:r w:rsidRPr="0059734A">
        <w:rPr>
          <w:rFonts w:eastAsia="Times New Roman" w:cs="Times New Roman"/>
          <w:i/>
          <w:sz w:val="22"/>
          <w:lang w:val="es-MX"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5480F130"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w:t>
      </w:r>
    </w:p>
    <w:p w14:paraId="71B18EFC" w14:textId="77777777" w:rsidR="00020B85" w:rsidRPr="0059734A" w:rsidRDefault="00020B85" w:rsidP="004E0A52">
      <w:pPr>
        <w:ind w:left="851" w:right="851"/>
        <w:rPr>
          <w:rFonts w:eastAsia="Times New Roman" w:cs="Times New Roman"/>
          <w:b/>
          <w:i/>
          <w:sz w:val="22"/>
          <w:lang w:val="es-MX" w:eastAsia="es-ES"/>
        </w:rPr>
      </w:pPr>
      <w:r w:rsidRPr="0059734A">
        <w:rPr>
          <w:rFonts w:eastAsia="Times New Roman" w:cs="Times New Roman"/>
          <w:b/>
          <w:i/>
          <w:sz w:val="22"/>
          <w:lang w:val="es-MX" w:eastAsia="es-ES"/>
        </w:rPr>
        <w:t xml:space="preserve">Artículo 24. </w:t>
      </w:r>
    </w:p>
    <w:p w14:paraId="43C73D80"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w:t>
      </w:r>
    </w:p>
    <w:p w14:paraId="4D8F3D54"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Los sujetos obligados solo proporcionarán la información pública que generen, administren o posean en el ejercicio de sus atribuciones.”</w:t>
      </w:r>
    </w:p>
    <w:p w14:paraId="0B309397"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i/>
          <w:sz w:val="22"/>
          <w:lang w:val="es-MX" w:eastAsia="es-ES"/>
        </w:rPr>
        <w:t>(…)</w:t>
      </w:r>
    </w:p>
    <w:p w14:paraId="619AB3B0" w14:textId="77777777" w:rsidR="00020B85" w:rsidRPr="0059734A" w:rsidRDefault="00020B85" w:rsidP="004E0A52">
      <w:pPr>
        <w:ind w:left="851" w:right="851"/>
        <w:rPr>
          <w:rFonts w:eastAsia="Times New Roman" w:cs="Times New Roman"/>
          <w:i/>
          <w:sz w:val="22"/>
          <w:lang w:val="es-MX" w:eastAsia="es-ES"/>
        </w:rPr>
      </w:pPr>
      <w:r w:rsidRPr="0059734A">
        <w:rPr>
          <w:rFonts w:eastAsia="Times New Roman" w:cs="Times New Roman"/>
          <w:b/>
          <w:i/>
          <w:sz w:val="22"/>
          <w:lang w:val="es-MX" w:eastAsia="es-ES"/>
        </w:rPr>
        <w:t>Artículo 160.</w:t>
      </w:r>
      <w:r w:rsidRPr="0059734A">
        <w:rPr>
          <w:rFonts w:eastAsia="Times New Roman" w:cs="Times New Roman"/>
          <w:i/>
          <w:sz w:val="22"/>
          <w:lang w:val="es-MX" w:eastAsia="es-ES"/>
        </w:rPr>
        <w:t xml:space="preserve"> Los sujetos obligados deberán otorgar acceso a los documentos que se </w:t>
      </w:r>
      <w:r w:rsidRPr="0059734A">
        <w:rPr>
          <w:rFonts w:eastAsia="Times New Roman" w:cs="Times New Roman"/>
          <w:b/>
          <w:i/>
          <w:sz w:val="22"/>
          <w:lang w:val="es-MX" w:eastAsia="es-ES"/>
        </w:rPr>
        <w:t xml:space="preserve"> </w:t>
      </w:r>
      <w:r w:rsidRPr="0059734A">
        <w:rPr>
          <w:rFonts w:eastAsia="Times New Roman" w:cs="Times New Roman"/>
          <w:i/>
          <w:sz w:val="22"/>
          <w:lang w:val="es-MX"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EC4ABF" w14:textId="77777777" w:rsidR="00020B85" w:rsidRPr="0059734A" w:rsidRDefault="00020B85" w:rsidP="004E0A52">
      <w:pPr>
        <w:ind w:left="851" w:right="851"/>
        <w:rPr>
          <w:rFonts w:eastAsia="Times New Roman" w:cs="Times New Roman"/>
          <w:b/>
          <w:i/>
          <w:sz w:val="22"/>
          <w:lang w:val="es-MX" w:eastAsia="es-ES"/>
        </w:rPr>
      </w:pPr>
      <w:r w:rsidRPr="0059734A">
        <w:rPr>
          <w:rFonts w:eastAsia="Times New Roman" w:cs="Times New Roman"/>
          <w:i/>
          <w:sz w:val="22"/>
          <w:lang w:val="es-MX" w:eastAsia="es-ES"/>
        </w:rPr>
        <w:t>En caso que la información solicitada consista en bases de datos se deberá privilegiar la entrega de la misma en formatos abiertos.”</w:t>
      </w:r>
      <w:r w:rsidRPr="0059734A">
        <w:rPr>
          <w:rFonts w:eastAsia="Times New Roman" w:cs="Times New Roman"/>
          <w:b/>
          <w:i/>
          <w:sz w:val="22"/>
          <w:lang w:val="es-MX" w:eastAsia="es-ES"/>
        </w:rPr>
        <w:t>[Sic]</w:t>
      </w:r>
    </w:p>
    <w:p w14:paraId="31FC32C4" w14:textId="77777777" w:rsidR="00020B85" w:rsidRPr="0059734A" w:rsidRDefault="00020B85" w:rsidP="004E0A52">
      <w:pPr>
        <w:rPr>
          <w:rFonts w:eastAsia="Times New Roman" w:cs="Times New Roman"/>
          <w:szCs w:val="24"/>
          <w:lang w:val="es-MX" w:eastAsia="es-ES"/>
        </w:rPr>
      </w:pPr>
    </w:p>
    <w:p w14:paraId="33345794" w14:textId="77777777" w:rsidR="00020B85" w:rsidRPr="0059734A" w:rsidRDefault="00020B85" w:rsidP="004E0A52">
      <w:pPr>
        <w:rPr>
          <w:rFonts w:eastAsia="Times New Roman" w:cs="Times New Roman"/>
          <w:szCs w:val="24"/>
          <w:lang w:val="es-MX" w:eastAsia="es-ES"/>
        </w:rPr>
      </w:pPr>
      <w:r w:rsidRPr="0059734A">
        <w:rPr>
          <w:rFonts w:eastAsia="Times New Roman" w:cs="Times New Roman"/>
          <w:szCs w:val="24"/>
          <w:lang w:val="es-MX" w:eastAsia="es-ES"/>
        </w:rPr>
        <w:t xml:space="preserve">Así que la obligación de los </w:t>
      </w:r>
      <w:r w:rsidRPr="0059734A">
        <w:rPr>
          <w:rFonts w:eastAsia="Times New Roman" w:cs="Times New Roman"/>
          <w:b/>
          <w:szCs w:val="24"/>
          <w:lang w:val="es-MX" w:eastAsia="es-ES"/>
        </w:rPr>
        <w:t>Sujetos Obligados</w:t>
      </w:r>
      <w:r w:rsidRPr="0059734A">
        <w:rPr>
          <w:rFonts w:eastAsia="Times New Roman" w:cs="Times New Roman"/>
          <w:szCs w:val="24"/>
          <w:lang w:val="es-MX"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9734A">
        <w:rPr>
          <w:rFonts w:eastAsia="Times New Roman" w:cs="Times New Roman"/>
          <w:bCs/>
          <w:szCs w:val="24"/>
          <w:lang w:val="es-MX" w:eastAsia="es-ES"/>
        </w:rPr>
        <w:t>de la Ley local en la materia, que se reproduce de la siguiente forma</w:t>
      </w:r>
      <w:r w:rsidRPr="0059734A">
        <w:rPr>
          <w:rFonts w:eastAsia="Times New Roman" w:cs="Times New Roman"/>
          <w:szCs w:val="24"/>
          <w:lang w:val="es-MX" w:eastAsia="es-ES"/>
        </w:rPr>
        <w:t>:</w:t>
      </w:r>
    </w:p>
    <w:p w14:paraId="54031686" w14:textId="77777777" w:rsidR="00020B85" w:rsidRPr="0059734A" w:rsidRDefault="00020B85" w:rsidP="004E0A52">
      <w:pPr>
        <w:rPr>
          <w:rFonts w:eastAsia="Times New Roman" w:cs="Times New Roman"/>
          <w:szCs w:val="24"/>
          <w:lang w:val="es-MX" w:eastAsia="es-ES"/>
        </w:rPr>
      </w:pPr>
    </w:p>
    <w:p w14:paraId="78A9F94F" w14:textId="7A10A274" w:rsidR="00454915" w:rsidRPr="0059734A" w:rsidRDefault="00020B85" w:rsidP="004E0A52">
      <w:pPr>
        <w:pBdr>
          <w:top w:val="nil"/>
          <w:left w:val="nil"/>
          <w:bottom w:val="nil"/>
          <w:right w:val="nil"/>
          <w:between w:val="nil"/>
        </w:pBdr>
        <w:ind w:left="567" w:right="567"/>
        <w:contextualSpacing/>
        <w:rPr>
          <w:rFonts w:eastAsia="Palatino Linotype" w:cs="Palatino Linotype"/>
          <w:color w:val="000000"/>
          <w:szCs w:val="24"/>
        </w:rPr>
      </w:pPr>
      <w:r w:rsidRPr="0059734A">
        <w:rPr>
          <w:rFonts w:eastAsia="Times New Roman" w:cs="Arial"/>
          <w:i/>
          <w:sz w:val="22"/>
          <w:lang w:val="es-MX"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9734A">
        <w:rPr>
          <w:rFonts w:eastAsia="Times New Roman" w:cs="Arial"/>
          <w:b/>
          <w:i/>
          <w:sz w:val="22"/>
          <w:lang w:val="es-MX" w:eastAsia="es-ES"/>
        </w:rPr>
        <w:t>[Sic]</w:t>
      </w:r>
    </w:p>
    <w:p w14:paraId="231554C6" w14:textId="77777777" w:rsidR="004A3367" w:rsidRPr="0059734A" w:rsidRDefault="004A3367" w:rsidP="004E0A52">
      <w:pPr>
        <w:rPr>
          <w:rFonts w:eastAsiaTheme="minorHAnsi" w:cstheme="minorBidi"/>
          <w:sz w:val="22"/>
          <w:lang w:eastAsia="en-US"/>
        </w:rPr>
      </w:pPr>
    </w:p>
    <w:p w14:paraId="7193478D" w14:textId="31DABD28" w:rsidR="00012F8B" w:rsidRPr="0059734A" w:rsidRDefault="0EE28084" w:rsidP="004E0A52">
      <w:pPr>
        <w:rPr>
          <w:rFonts w:eastAsiaTheme="minorEastAsia" w:cstheme="minorBidi"/>
          <w:lang w:val="es-ES" w:eastAsia="en-US"/>
        </w:rPr>
      </w:pPr>
      <w:r w:rsidRPr="0059734A">
        <w:rPr>
          <w:rFonts w:eastAsiaTheme="minorEastAsia" w:cstheme="minorBidi"/>
          <w:lang w:val="es-ES" w:eastAsia="en-US"/>
        </w:rPr>
        <w:t xml:space="preserve">En virtud de lo anterior, es conveniente recordar que el </w:t>
      </w:r>
      <w:r w:rsidR="00DA0841" w:rsidRPr="0059734A">
        <w:rPr>
          <w:rFonts w:eastAsiaTheme="minorEastAsia" w:cstheme="minorBidi"/>
          <w:lang w:val="es-ES" w:eastAsia="en-US"/>
        </w:rPr>
        <w:t xml:space="preserve">hoy </w:t>
      </w:r>
      <w:r w:rsidRPr="0059734A">
        <w:rPr>
          <w:rFonts w:eastAsiaTheme="minorEastAsia" w:cstheme="minorBidi"/>
          <w:lang w:val="es-ES" w:eastAsia="en-US"/>
        </w:rPr>
        <w:t>Recurrente</w:t>
      </w:r>
      <w:r w:rsidR="00DA0841" w:rsidRPr="0059734A">
        <w:rPr>
          <w:rFonts w:eastAsiaTheme="minorEastAsia" w:cstheme="minorBidi"/>
          <w:lang w:val="es-ES" w:eastAsia="en-US"/>
        </w:rPr>
        <w:t xml:space="preserve"> </w:t>
      </w:r>
      <w:r w:rsidR="0084615A" w:rsidRPr="0059734A">
        <w:rPr>
          <w:rFonts w:eastAsiaTheme="minorEastAsia" w:cstheme="minorBidi"/>
          <w:lang w:val="es-ES" w:eastAsia="en-US"/>
        </w:rPr>
        <w:t xml:space="preserve">requirió </w:t>
      </w:r>
      <w:r w:rsidR="00D4457F" w:rsidRPr="0059734A">
        <w:rPr>
          <w:rFonts w:eastAsiaTheme="minorEastAsia" w:cstheme="minorBidi"/>
          <w:lang w:val="es-ES" w:eastAsia="en-US"/>
        </w:rPr>
        <w:t xml:space="preserve">que se le proporcionaran </w:t>
      </w:r>
      <w:r w:rsidR="00883E28" w:rsidRPr="0059734A">
        <w:rPr>
          <w:rFonts w:eastAsiaTheme="minorEastAsia" w:cstheme="minorBidi"/>
          <w:lang w:val="es-ES" w:eastAsia="en-US"/>
        </w:rPr>
        <w:t>lo siguiente:</w:t>
      </w:r>
    </w:p>
    <w:p w14:paraId="5FCCC7E4" w14:textId="77777777" w:rsidR="00883E28" w:rsidRPr="0059734A" w:rsidRDefault="00883E28" w:rsidP="004E0A52">
      <w:pPr>
        <w:rPr>
          <w:rFonts w:eastAsiaTheme="minorEastAsia" w:cstheme="minorBidi"/>
          <w:lang w:val="es-ES" w:eastAsia="en-US"/>
        </w:rPr>
      </w:pPr>
    </w:p>
    <w:p w14:paraId="4DB1CFDC" w14:textId="55DA8DA7" w:rsidR="007E2133" w:rsidRPr="0059734A" w:rsidRDefault="007E2133" w:rsidP="004E0A52">
      <w:pPr>
        <w:rPr>
          <w:rFonts w:eastAsiaTheme="minorEastAsia" w:cstheme="minorBidi"/>
          <w:lang w:val="es-ES" w:eastAsia="en-US"/>
        </w:rPr>
      </w:pPr>
      <w:r w:rsidRPr="0059734A">
        <w:rPr>
          <w:rFonts w:eastAsiaTheme="minorEastAsia" w:cstheme="minorBidi"/>
          <w:lang w:val="es-ES" w:eastAsia="en-US"/>
        </w:rPr>
        <w:t>De los documentos relacionados con la reciente adquisición (compra-venta, arrendamiento, subcontratación, alquiler, subvención) de maquinaria que fue anunciada públicamente por el O.P.D.A.P.A.S. del Municipio de Ixtapaluca a través de sus redes sociales oficiales el pasado 8 de abril de 2025, en versión pública:</w:t>
      </w:r>
    </w:p>
    <w:p w14:paraId="21CBA9FE" w14:textId="77777777" w:rsidR="007E2133" w:rsidRPr="0059734A" w:rsidRDefault="007E2133" w:rsidP="004E0A52">
      <w:pPr>
        <w:rPr>
          <w:rFonts w:eastAsiaTheme="minorEastAsia" w:cstheme="minorBidi"/>
          <w:lang w:val="es-ES" w:eastAsia="en-US"/>
        </w:rPr>
      </w:pPr>
    </w:p>
    <w:p w14:paraId="079A5177" w14:textId="20AB2DDA" w:rsidR="00340B0F" w:rsidRPr="0059734A" w:rsidRDefault="007E2133" w:rsidP="00022208">
      <w:pPr>
        <w:pStyle w:val="Prrafodelista"/>
        <w:numPr>
          <w:ilvl w:val="0"/>
          <w:numId w:val="63"/>
        </w:numPr>
      </w:pPr>
      <w:r w:rsidRPr="0059734A">
        <w:t>Copia del contrato de adquisición correspondiente, con anexos técnicos, términos y condiciones.</w:t>
      </w:r>
    </w:p>
    <w:p w14:paraId="7B20A6A7" w14:textId="7AC015F6" w:rsidR="00340B0F" w:rsidRPr="0059734A" w:rsidRDefault="007E2133" w:rsidP="00022208">
      <w:pPr>
        <w:pStyle w:val="Prrafodelista"/>
        <w:numPr>
          <w:ilvl w:val="0"/>
          <w:numId w:val="63"/>
        </w:numPr>
      </w:pPr>
      <w:r w:rsidRPr="0059734A">
        <w:t>Facturas, órdenes de compra y/o comprobantes de pago expedidos con motivo de dicha adquisición.</w:t>
      </w:r>
    </w:p>
    <w:p w14:paraId="61F92AFB" w14:textId="4EE0D3C7" w:rsidR="00340B0F" w:rsidRPr="0059734A" w:rsidRDefault="007E2133" w:rsidP="00022208">
      <w:pPr>
        <w:pStyle w:val="Prrafodelista"/>
        <w:numPr>
          <w:ilvl w:val="0"/>
          <w:numId w:val="63"/>
        </w:numPr>
      </w:pPr>
      <w:r w:rsidRPr="0059734A">
        <w:t>Especificaciones técnicas de la maquinaria adquirida (marca, modelo, número de serie, cantidad, destino).</w:t>
      </w:r>
    </w:p>
    <w:p w14:paraId="7052072C" w14:textId="762D17FB" w:rsidR="00195E32" w:rsidRPr="0059734A" w:rsidRDefault="007E2133" w:rsidP="00022208">
      <w:pPr>
        <w:pStyle w:val="Prrafodelista"/>
        <w:numPr>
          <w:ilvl w:val="0"/>
          <w:numId w:val="63"/>
        </w:numPr>
      </w:pPr>
      <w:r w:rsidRPr="0059734A">
        <w:t>Justificación administrativa o técnica de la compra (estudios, dictámenes, solicitudes de área usuaria)</w:t>
      </w:r>
      <w:r w:rsidR="000A4AC7" w:rsidRPr="0059734A">
        <w:t>.</w:t>
      </w:r>
    </w:p>
    <w:p w14:paraId="7C5CD0B9" w14:textId="034D0B7C" w:rsidR="000A4AC7" w:rsidRPr="0059734A" w:rsidRDefault="007E2133" w:rsidP="00022208">
      <w:pPr>
        <w:pStyle w:val="Prrafodelista"/>
        <w:numPr>
          <w:ilvl w:val="0"/>
          <w:numId w:val="63"/>
        </w:numPr>
      </w:pPr>
      <w:r w:rsidRPr="0059734A">
        <w:t>Nombre del proveedor o proveedores, incluyendo razón social, RFC y número de proveedor registrado.</w:t>
      </w:r>
    </w:p>
    <w:p w14:paraId="7EBCB7D2" w14:textId="1A29C180" w:rsidR="00D14325" w:rsidRPr="0059734A" w:rsidRDefault="007E2133" w:rsidP="00022208">
      <w:pPr>
        <w:pStyle w:val="Prrafodelista"/>
        <w:numPr>
          <w:ilvl w:val="0"/>
          <w:numId w:val="63"/>
        </w:numPr>
      </w:pPr>
      <w:r w:rsidRPr="0059734A">
        <w:rPr>
          <w:rFonts w:eastAsiaTheme="minorEastAsia" w:cstheme="minorBidi"/>
          <w:lang w:eastAsia="en-US"/>
        </w:rPr>
        <w:lastRenderedPageBreak/>
        <w:t>Fuente de financiamiento de dicha adquisición (recursos municipales, estatales o federales).</w:t>
      </w:r>
    </w:p>
    <w:p w14:paraId="4EF110BC" w14:textId="759F8CCC" w:rsidR="007E2133" w:rsidRPr="0059734A" w:rsidRDefault="007E2133" w:rsidP="00022208">
      <w:pPr>
        <w:pStyle w:val="Prrafodelista"/>
        <w:numPr>
          <w:ilvl w:val="0"/>
          <w:numId w:val="63"/>
        </w:numPr>
      </w:pPr>
      <w:r w:rsidRPr="0059734A">
        <w:t>Actas o minutas del Comité de Adquisiciones u órganos administrativos que hayan autorizado la operación.</w:t>
      </w:r>
    </w:p>
    <w:p w14:paraId="04E969AC" w14:textId="27607ED0" w:rsidR="007E2133" w:rsidRPr="0059734A" w:rsidRDefault="007E2133" w:rsidP="00022208">
      <w:pPr>
        <w:pStyle w:val="Prrafodelista"/>
        <w:numPr>
          <w:ilvl w:val="0"/>
          <w:numId w:val="63"/>
        </w:numPr>
      </w:pPr>
      <w:r w:rsidRPr="0059734A">
        <w:t>Área solicitante o beneficiaria dentro del O.P.D.A.P.A.S.</w:t>
      </w:r>
    </w:p>
    <w:p w14:paraId="51B8ECF4" w14:textId="77777777" w:rsidR="00665519" w:rsidRPr="0059734A" w:rsidRDefault="00665519" w:rsidP="004E0A52"/>
    <w:p w14:paraId="59B39E47" w14:textId="77777777" w:rsidR="00020B85" w:rsidRPr="0059734A" w:rsidRDefault="00020B85" w:rsidP="004E0A52">
      <w:pPr>
        <w:rPr>
          <w:szCs w:val="24"/>
        </w:rPr>
      </w:pPr>
      <w:r w:rsidRPr="0059734A">
        <w:rPr>
          <w:szCs w:val="24"/>
        </w:rPr>
        <w:t xml:space="preserve">Dichas precisiones, con fundamento en los artículos 13 y 181 cuarto párrafo de la Ley en materia, los cuales a la letra rezan: </w:t>
      </w:r>
    </w:p>
    <w:p w14:paraId="3751C4F8" w14:textId="77777777" w:rsidR="00020B85" w:rsidRPr="0059734A" w:rsidRDefault="00020B85" w:rsidP="004E0A52">
      <w:pPr>
        <w:rPr>
          <w:szCs w:val="24"/>
        </w:rPr>
      </w:pPr>
    </w:p>
    <w:p w14:paraId="5ACBE97A" w14:textId="77777777" w:rsidR="00020B85" w:rsidRPr="0059734A" w:rsidRDefault="00020B85" w:rsidP="004E0A52">
      <w:pPr>
        <w:pStyle w:val="Citas"/>
        <w:spacing w:before="0" w:after="0"/>
        <w:ind w:left="567" w:right="567"/>
      </w:pPr>
      <w:r w:rsidRPr="0059734A">
        <w:rPr>
          <w:b/>
          <w:bCs/>
        </w:rPr>
        <w:t xml:space="preserve">“Artículo 13. </w:t>
      </w:r>
      <w:r w:rsidRPr="0059734A">
        <w:t>El Instituto, en el ámbito de sus atribuciones, deberá suplir cualquier deficiencia para garantizar el ejercicio del derecho de acceso a la información.</w:t>
      </w:r>
    </w:p>
    <w:p w14:paraId="56FE3E73" w14:textId="77777777" w:rsidR="00020B85" w:rsidRPr="0059734A" w:rsidRDefault="00020B85" w:rsidP="004E0A52">
      <w:pPr>
        <w:pStyle w:val="Citas"/>
        <w:spacing w:before="0" w:after="0"/>
        <w:ind w:left="567" w:right="567"/>
      </w:pPr>
    </w:p>
    <w:p w14:paraId="5BC8C56F" w14:textId="77777777" w:rsidR="00020B85" w:rsidRPr="0059734A" w:rsidRDefault="00020B85" w:rsidP="004E0A52">
      <w:pPr>
        <w:pStyle w:val="Citas"/>
        <w:spacing w:before="0" w:after="0"/>
        <w:ind w:left="567" w:right="567"/>
        <w:rPr>
          <w:b/>
        </w:rPr>
      </w:pPr>
      <w:r w:rsidRPr="0059734A">
        <w:rPr>
          <w:b/>
        </w:rPr>
        <w:t xml:space="preserve">Artículo 181. … </w:t>
      </w:r>
    </w:p>
    <w:p w14:paraId="020F90BE" w14:textId="72AEB23E" w:rsidR="00020B85" w:rsidRPr="0059734A" w:rsidRDefault="00020B85" w:rsidP="004E0A52">
      <w:pPr>
        <w:pBdr>
          <w:top w:val="nil"/>
          <w:left w:val="nil"/>
          <w:bottom w:val="nil"/>
          <w:right w:val="nil"/>
          <w:between w:val="nil"/>
        </w:pBdr>
        <w:ind w:left="567" w:right="567"/>
        <w:contextualSpacing/>
        <w:rPr>
          <w:rFonts w:eastAsia="Palatino Linotype" w:cs="Palatino Linotype"/>
          <w:i/>
          <w:color w:val="000000"/>
          <w:szCs w:val="24"/>
        </w:rPr>
      </w:pPr>
      <w:r w:rsidRPr="0059734A">
        <w:rPr>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9734A">
        <w:rPr>
          <w:b/>
          <w:i/>
        </w:rPr>
        <w:t>[Sic]</w:t>
      </w:r>
    </w:p>
    <w:p w14:paraId="36613AEA" w14:textId="77777777" w:rsidR="00E7111C" w:rsidRPr="0059734A" w:rsidRDefault="00E7111C" w:rsidP="004E0A52">
      <w:pPr>
        <w:pBdr>
          <w:top w:val="nil"/>
          <w:left w:val="nil"/>
          <w:bottom w:val="nil"/>
          <w:right w:val="nil"/>
          <w:between w:val="nil"/>
        </w:pBdr>
        <w:contextualSpacing/>
        <w:rPr>
          <w:rFonts w:eastAsia="Palatino Linotype" w:cs="Palatino Linotype"/>
          <w:color w:val="000000"/>
          <w:szCs w:val="24"/>
        </w:rPr>
      </w:pPr>
    </w:p>
    <w:p w14:paraId="476DC307" w14:textId="77777777" w:rsidR="00444413" w:rsidRPr="0059734A" w:rsidRDefault="00A970D5"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 xml:space="preserve">A dicha solicitud, el Sujeto Obligado </w:t>
      </w:r>
      <w:r w:rsidR="001C4CBF" w:rsidRPr="0059734A">
        <w:rPr>
          <w:rFonts w:eastAsia="Palatino Linotype" w:cs="Palatino Linotype"/>
          <w:color w:val="000000"/>
          <w:szCs w:val="24"/>
        </w:rPr>
        <w:t>respondió</w:t>
      </w:r>
      <w:r w:rsidR="001B63A6" w:rsidRPr="0059734A">
        <w:rPr>
          <w:rFonts w:eastAsia="Palatino Linotype" w:cs="Palatino Linotype"/>
          <w:color w:val="000000"/>
          <w:szCs w:val="24"/>
        </w:rPr>
        <w:t xml:space="preserve"> </w:t>
      </w:r>
      <w:r w:rsidR="00444413" w:rsidRPr="0059734A">
        <w:rPr>
          <w:rFonts w:eastAsia="Palatino Linotype" w:cs="Palatino Linotype"/>
          <w:color w:val="000000"/>
          <w:szCs w:val="24"/>
        </w:rPr>
        <w:t>mediante</w:t>
      </w:r>
      <w:r w:rsidR="0008143A" w:rsidRPr="0059734A">
        <w:rPr>
          <w:rFonts w:eastAsia="Palatino Linotype" w:cs="Palatino Linotype"/>
          <w:color w:val="000000"/>
          <w:szCs w:val="24"/>
        </w:rPr>
        <w:t xml:space="preserve"> la entrega de</w:t>
      </w:r>
      <w:r w:rsidR="00444413" w:rsidRPr="0059734A">
        <w:rPr>
          <w:rFonts w:eastAsia="Palatino Linotype" w:cs="Palatino Linotype"/>
          <w:color w:val="000000"/>
          <w:szCs w:val="24"/>
        </w:rPr>
        <w:t xml:space="preserve"> </w:t>
      </w:r>
      <w:r w:rsidR="0008143A" w:rsidRPr="0059734A">
        <w:rPr>
          <w:rFonts w:eastAsia="Palatino Linotype" w:cs="Palatino Linotype"/>
          <w:color w:val="000000"/>
          <w:szCs w:val="24"/>
        </w:rPr>
        <w:t>l</w:t>
      </w:r>
      <w:r w:rsidR="00444413" w:rsidRPr="0059734A">
        <w:rPr>
          <w:rFonts w:eastAsia="Palatino Linotype" w:cs="Palatino Linotype"/>
          <w:color w:val="000000"/>
          <w:szCs w:val="24"/>
        </w:rPr>
        <w:t>os siguientes</w:t>
      </w:r>
      <w:r w:rsidR="0008143A" w:rsidRPr="0059734A">
        <w:rPr>
          <w:rFonts w:eastAsia="Palatino Linotype" w:cs="Palatino Linotype"/>
          <w:color w:val="000000"/>
          <w:szCs w:val="24"/>
        </w:rPr>
        <w:t xml:space="preserve"> documento</w:t>
      </w:r>
      <w:r w:rsidR="00444413" w:rsidRPr="0059734A">
        <w:rPr>
          <w:rFonts w:eastAsia="Palatino Linotype" w:cs="Palatino Linotype"/>
          <w:color w:val="000000"/>
          <w:szCs w:val="24"/>
        </w:rPr>
        <w:t>s:</w:t>
      </w:r>
    </w:p>
    <w:p w14:paraId="1A124E8B" w14:textId="77777777" w:rsidR="00444413" w:rsidRPr="0059734A" w:rsidRDefault="00444413" w:rsidP="004E0A52">
      <w:pPr>
        <w:pBdr>
          <w:top w:val="nil"/>
          <w:left w:val="nil"/>
          <w:bottom w:val="nil"/>
          <w:right w:val="nil"/>
          <w:between w:val="nil"/>
        </w:pBdr>
        <w:contextualSpacing/>
        <w:rPr>
          <w:rFonts w:eastAsia="Palatino Linotype" w:cs="Palatino Linotype"/>
          <w:color w:val="000000"/>
          <w:szCs w:val="24"/>
        </w:rPr>
      </w:pPr>
    </w:p>
    <w:p w14:paraId="26F2E6A9" w14:textId="4FFE03B8" w:rsidR="0028375C" w:rsidRPr="0059734A" w:rsidRDefault="007E2133" w:rsidP="00022208">
      <w:pPr>
        <w:pStyle w:val="Prrafodelista"/>
        <w:numPr>
          <w:ilvl w:val="0"/>
          <w:numId w:val="66"/>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
          <w:bCs/>
          <w:color w:val="000000"/>
          <w:lang w:val="es-MX"/>
        </w:rPr>
        <w:t xml:space="preserve">OI </w:t>
      </w:r>
      <w:proofErr w:type="spellStart"/>
      <w:r w:rsidRPr="0059734A">
        <w:rPr>
          <w:rFonts w:eastAsia="Palatino Linotype" w:cs="Palatino Linotype"/>
          <w:b/>
          <w:bCs/>
          <w:color w:val="000000"/>
          <w:lang w:val="es-MX"/>
        </w:rPr>
        <w:t>FINyA</w:t>
      </w:r>
      <w:proofErr w:type="spellEnd"/>
      <w:r w:rsidRPr="0059734A">
        <w:rPr>
          <w:rFonts w:eastAsia="Palatino Linotype" w:cs="Palatino Linotype"/>
          <w:b/>
          <w:bCs/>
          <w:color w:val="000000"/>
          <w:lang w:val="es-MX"/>
        </w:rPr>
        <w:t xml:space="preserve"> </w:t>
      </w:r>
      <w:proofErr w:type="spellStart"/>
      <w:r w:rsidRPr="0059734A">
        <w:rPr>
          <w:rFonts w:eastAsia="Palatino Linotype" w:cs="Palatino Linotype"/>
          <w:b/>
          <w:bCs/>
          <w:color w:val="000000"/>
          <w:lang w:val="es-MX"/>
        </w:rPr>
        <w:t>COyP</w:t>
      </w:r>
      <w:proofErr w:type="spellEnd"/>
      <w:r w:rsidRPr="0059734A">
        <w:rPr>
          <w:rFonts w:eastAsia="Palatino Linotype" w:cs="Palatino Linotype"/>
          <w:b/>
          <w:bCs/>
          <w:color w:val="000000"/>
          <w:lang w:val="es-MX"/>
        </w:rPr>
        <w:t xml:space="preserve"> 170 2025.pdf</w:t>
      </w:r>
      <w:r w:rsidR="00E206A9" w:rsidRPr="0059734A">
        <w:rPr>
          <w:rFonts w:eastAsia="Palatino Linotype" w:cs="Palatino Linotype"/>
          <w:b/>
          <w:bCs/>
          <w:color w:val="000000"/>
          <w:lang w:val="es-MX"/>
        </w:rPr>
        <w:t>:</w:t>
      </w:r>
      <w:r w:rsidR="005B4CD9" w:rsidRPr="0059734A">
        <w:rPr>
          <w:rFonts w:eastAsia="Palatino Linotype" w:cs="Palatino Linotype"/>
          <w:color w:val="000000"/>
          <w:lang w:val="es-MX"/>
        </w:rPr>
        <w:t xml:space="preserve"> </w:t>
      </w:r>
      <w:r w:rsidR="006F7948" w:rsidRPr="0059734A">
        <w:rPr>
          <w:rFonts w:eastAsia="Palatino Linotype" w:cs="Palatino Linotype"/>
          <w:color w:val="000000"/>
          <w:lang w:val="es-MX"/>
        </w:rPr>
        <w:t xml:space="preserve">Consta del oficio número </w:t>
      </w:r>
      <w:r w:rsidRPr="0059734A">
        <w:rPr>
          <w:rFonts w:eastAsia="Palatino Linotype" w:cs="Palatino Linotype"/>
          <w:color w:val="000000"/>
          <w:lang w:val="es-MX"/>
        </w:rPr>
        <w:t>OI/</w:t>
      </w:r>
      <w:proofErr w:type="spellStart"/>
      <w:r w:rsidRPr="0059734A">
        <w:rPr>
          <w:rFonts w:eastAsia="Palatino Linotype" w:cs="Palatino Linotype"/>
          <w:color w:val="000000"/>
          <w:lang w:val="es-MX"/>
        </w:rPr>
        <w:t>FINyA</w:t>
      </w:r>
      <w:proofErr w:type="spellEnd"/>
      <w:r w:rsidRPr="0059734A">
        <w:rPr>
          <w:rFonts w:eastAsia="Palatino Linotype" w:cs="Palatino Linotype"/>
          <w:color w:val="000000"/>
          <w:lang w:val="es-MX"/>
        </w:rPr>
        <w:t>/</w:t>
      </w:r>
      <w:proofErr w:type="spellStart"/>
      <w:r w:rsidRPr="0059734A">
        <w:rPr>
          <w:rFonts w:eastAsia="Palatino Linotype" w:cs="Palatino Linotype"/>
          <w:color w:val="000000"/>
          <w:lang w:val="es-MX"/>
        </w:rPr>
        <w:t>COyP</w:t>
      </w:r>
      <w:proofErr w:type="spellEnd"/>
      <w:r w:rsidRPr="0059734A">
        <w:rPr>
          <w:rFonts w:eastAsia="Palatino Linotype" w:cs="Palatino Linotype"/>
          <w:color w:val="000000"/>
          <w:lang w:val="es-MX"/>
        </w:rPr>
        <w:t>/170/2025</w:t>
      </w:r>
      <w:r w:rsidR="006955D6" w:rsidRPr="0059734A">
        <w:rPr>
          <w:rFonts w:eastAsia="Palatino Linotype" w:cs="Palatino Linotype"/>
          <w:color w:val="000000"/>
          <w:lang w:val="es-MX"/>
        </w:rPr>
        <w:t xml:space="preserve">, de fecha </w:t>
      </w:r>
      <w:r w:rsidRPr="0059734A">
        <w:rPr>
          <w:rFonts w:eastAsia="Palatino Linotype" w:cs="Palatino Linotype"/>
          <w:color w:val="000000"/>
          <w:lang w:val="es-MX"/>
        </w:rPr>
        <w:t xml:space="preserve">dos de junio </w:t>
      </w:r>
      <w:r w:rsidR="006955D6" w:rsidRPr="0059734A">
        <w:rPr>
          <w:rFonts w:eastAsia="Palatino Linotype" w:cs="Palatino Linotype"/>
          <w:color w:val="000000"/>
          <w:lang w:val="es-MX"/>
        </w:rPr>
        <w:t>de dos mil veinticinco,</w:t>
      </w:r>
      <w:r w:rsidR="002D6F19" w:rsidRPr="0059734A">
        <w:rPr>
          <w:rFonts w:eastAsia="Palatino Linotype" w:cs="Palatino Linotype"/>
          <w:color w:val="000000"/>
          <w:lang w:val="es-MX"/>
        </w:rPr>
        <w:t xml:space="preserve"> signado </w:t>
      </w:r>
      <w:r w:rsidR="002D6F19" w:rsidRPr="0059734A">
        <w:rPr>
          <w:rFonts w:eastAsia="Palatino Linotype" w:cs="Palatino Linotype"/>
          <w:color w:val="000000"/>
          <w:lang w:val="es-MX"/>
        </w:rPr>
        <w:lastRenderedPageBreak/>
        <w:t xml:space="preserve">por </w:t>
      </w:r>
      <w:r w:rsidR="009F01A7" w:rsidRPr="0059734A">
        <w:rPr>
          <w:rFonts w:eastAsia="Palatino Linotype" w:cs="Palatino Linotype"/>
          <w:color w:val="000000"/>
          <w:lang w:val="es-MX"/>
        </w:rPr>
        <w:t>el Gerente de Finanzas y Administración OPDAPAS</w:t>
      </w:r>
      <w:r w:rsidR="002D6F19" w:rsidRPr="0059734A">
        <w:rPr>
          <w:rFonts w:eastAsia="Palatino Linotype" w:cs="Palatino Linotype"/>
          <w:color w:val="000000"/>
          <w:lang w:val="es-MX"/>
        </w:rPr>
        <w:t xml:space="preserve">, mediante el cual </w:t>
      </w:r>
      <w:r w:rsidR="006955D6" w:rsidRPr="0059734A">
        <w:rPr>
          <w:rFonts w:eastAsia="Palatino Linotype" w:cs="Palatino Linotype"/>
          <w:color w:val="000000"/>
          <w:lang w:val="es-MX"/>
        </w:rPr>
        <w:t xml:space="preserve"> </w:t>
      </w:r>
      <w:r w:rsidR="00DC5704" w:rsidRPr="0059734A">
        <w:rPr>
          <w:rFonts w:eastAsia="Palatino Linotype" w:cs="Palatino Linotype"/>
          <w:color w:val="000000"/>
          <w:lang w:val="es-MX"/>
        </w:rPr>
        <w:t>refirió que</w:t>
      </w:r>
      <w:r w:rsidR="009F01A7" w:rsidRPr="0059734A">
        <w:rPr>
          <w:rFonts w:eastAsia="Palatino Linotype" w:cs="Palatino Linotype"/>
          <w:color w:val="000000"/>
          <w:lang w:val="es-MX"/>
        </w:rPr>
        <w:t xml:space="preserve"> después de hacer una búsqueda exhaustiva y minuciosa en los archivos físicos y electrónicos de la Dirección a su cargo en los expedientes de la Gerencia, por lo que se entrega la siguiente información:</w:t>
      </w:r>
    </w:p>
    <w:p w14:paraId="634274C2" w14:textId="78AFD13F" w:rsidR="009F01A7" w:rsidRPr="0059734A" w:rsidRDefault="009F01A7" w:rsidP="00022208">
      <w:pPr>
        <w:pStyle w:val="Prrafodelista"/>
        <w:numPr>
          <w:ilvl w:val="0"/>
          <w:numId w:val="65"/>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Cs/>
          <w:color w:val="000000"/>
          <w:lang w:val="es-MX"/>
        </w:rPr>
        <w:t>Especificaciones técnicas de la maquinaria (marca, modelo, número de serie, cantidad, destino</w:t>
      </w:r>
      <w:r w:rsidR="002971E4" w:rsidRPr="0059734A">
        <w:rPr>
          <w:rFonts w:eastAsia="Palatino Linotype" w:cs="Palatino Linotype"/>
          <w:bCs/>
          <w:color w:val="000000"/>
          <w:lang w:val="es-MX"/>
        </w:rPr>
        <w:t>, tal como se muestra en la siguiente imagen:</w:t>
      </w:r>
    </w:p>
    <w:p w14:paraId="06B51BB5" w14:textId="68C6B996" w:rsidR="002971E4" w:rsidRPr="0059734A" w:rsidRDefault="002971E4" w:rsidP="004E0A52">
      <w:pPr>
        <w:pBdr>
          <w:top w:val="nil"/>
          <w:left w:val="nil"/>
          <w:bottom w:val="nil"/>
          <w:right w:val="nil"/>
          <w:between w:val="nil"/>
        </w:pBdr>
        <w:contextualSpacing/>
        <w:jc w:val="center"/>
        <w:rPr>
          <w:rFonts w:eastAsia="Palatino Linotype" w:cs="Palatino Linotype"/>
          <w:b/>
          <w:bCs/>
          <w:color w:val="000000"/>
          <w:lang w:val="es-MX"/>
        </w:rPr>
      </w:pPr>
      <w:r w:rsidRPr="0059734A">
        <w:rPr>
          <w:rFonts w:eastAsia="Palatino Linotype" w:cs="Palatino Linotype"/>
          <w:b/>
          <w:bCs/>
          <w:noProof/>
          <w:color w:val="000000"/>
          <w:lang w:val="es-MX"/>
        </w:rPr>
        <w:drawing>
          <wp:inline distT="0" distB="0" distL="0" distR="0" wp14:anchorId="2ACAA56E" wp14:editId="47B096DB">
            <wp:extent cx="4134485" cy="3914775"/>
            <wp:effectExtent l="190500" t="190500" r="189865" b="2000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3980" cy="3923765"/>
                    </a:xfrm>
                    <a:prstGeom prst="rect">
                      <a:avLst/>
                    </a:prstGeom>
                    <a:ln>
                      <a:noFill/>
                    </a:ln>
                    <a:effectLst>
                      <a:outerShdw blurRad="190500" algn="tl" rotWithShape="0">
                        <a:srgbClr val="000000">
                          <a:alpha val="70000"/>
                        </a:srgbClr>
                      </a:outerShdw>
                    </a:effectLst>
                  </pic:spPr>
                </pic:pic>
              </a:graphicData>
            </a:graphic>
          </wp:inline>
        </w:drawing>
      </w:r>
    </w:p>
    <w:p w14:paraId="04985D4C" w14:textId="3A4C824F" w:rsidR="002971E4" w:rsidRPr="0059734A" w:rsidRDefault="002971E4" w:rsidP="00022208">
      <w:pPr>
        <w:pStyle w:val="Prrafodelista"/>
        <w:numPr>
          <w:ilvl w:val="0"/>
          <w:numId w:val="65"/>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Cs/>
          <w:color w:val="000000"/>
          <w:lang w:val="es-MX"/>
        </w:rPr>
        <w:lastRenderedPageBreak/>
        <w:t>Justificación administrativa</w:t>
      </w:r>
      <w:r w:rsidR="002E6E56" w:rsidRPr="0059734A">
        <w:rPr>
          <w:rFonts w:eastAsia="Palatino Linotype" w:cs="Palatino Linotype"/>
          <w:bCs/>
          <w:color w:val="000000"/>
          <w:lang w:val="es-MX"/>
        </w:rPr>
        <w:t xml:space="preserve"> o técnica de compra (/estudios, dictámenes, solicitudes de área usuaria); refiere que se entrega la copia de la justificación correspondiente.</w:t>
      </w:r>
    </w:p>
    <w:p w14:paraId="4A8592E2" w14:textId="42FFEA6A" w:rsidR="002E6E56" w:rsidRPr="0059734A" w:rsidRDefault="002E6E56" w:rsidP="00022208">
      <w:pPr>
        <w:pStyle w:val="Prrafodelista"/>
        <w:numPr>
          <w:ilvl w:val="0"/>
          <w:numId w:val="65"/>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Cs/>
          <w:color w:val="000000"/>
          <w:lang w:val="es-MX"/>
        </w:rPr>
        <w:t>Nombre del proveedor o proveedores incluyendo razón social, RFC y número de proveedor registrado; para lo cual adjuntó los siguientes datos:</w:t>
      </w:r>
    </w:p>
    <w:p w14:paraId="6ED0BC65" w14:textId="6A8B3E19" w:rsidR="002E6E56" w:rsidRPr="0059734A" w:rsidRDefault="002E6E56" w:rsidP="00022208">
      <w:pPr>
        <w:pStyle w:val="Prrafodelista"/>
        <w:numPr>
          <w:ilvl w:val="0"/>
          <w:numId w:val="67"/>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
          <w:bCs/>
          <w:color w:val="000000"/>
          <w:lang w:val="es-MX"/>
        </w:rPr>
        <w:t>Nombre del proveedor</w:t>
      </w:r>
      <w:r w:rsidR="00297A3B" w:rsidRPr="0059734A">
        <w:rPr>
          <w:rFonts w:eastAsia="Palatino Linotype" w:cs="Palatino Linotype"/>
          <w:b/>
          <w:bCs/>
          <w:color w:val="000000"/>
          <w:lang w:val="es-MX"/>
        </w:rPr>
        <w:t>: HIPERMARKHOME &amp; LIFE S.A DE C.V.</w:t>
      </w:r>
    </w:p>
    <w:p w14:paraId="7ADA41C2" w14:textId="2499CE16" w:rsidR="00297A3B" w:rsidRPr="0059734A" w:rsidRDefault="00297A3B" w:rsidP="00022208">
      <w:pPr>
        <w:pStyle w:val="Prrafodelista"/>
        <w:numPr>
          <w:ilvl w:val="0"/>
          <w:numId w:val="67"/>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
          <w:bCs/>
          <w:color w:val="000000"/>
          <w:lang w:val="es-MX"/>
        </w:rPr>
        <w:t>R.F.C. HHA1107071I2</w:t>
      </w:r>
    </w:p>
    <w:p w14:paraId="3B83EFFE" w14:textId="7E52A693" w:rsidR="00297A3B" w:rsidRPr="0059734A" w:rsidRDefault="00297A3B" w:rsidP="00022208">
      <w:pPr>
        <w:pStyle w:val="Prrafodelista"/>
        <w:numPr>
          <w:ilvl w:val="0"/>
          <w:numId w:val="67"/>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
          <w:bCs/>
          <w:color w:val="000000"/>
          <w:lang w:val="es-MX"/>
        </w:rPr>
        <w:t xml:space="preserve">Para </w:t>
      </w:r>
      <w:r w:rsidR="00102D1D" w:rsidRPr="0059734A">
        <w:rPr>
          <w:rFonts w:eastAsia="Palatino Linotype" w:cs="Palatino Linotype"/>
          <w:b/>
          <w:bCs/>
          <w:color w:val="000000"/>
          <w:lang w:val="es-MX"/>
        </w:rPr>
        <w:t>Licitaciones Públicas Nacionales presenciales no se requiere ser proveedor registrado para asegurar la transparencia e igualdad de oportunidades.</w:t>
      </w:r>
    </w:p>
    <w:p w14:paraId="577BD513" w14:textId="377583FF" w:rsidR="002971E4" w:rsidRPr="0059734A" w:rsidRDefault="002971E4" w:rsidP="00022208">
      <w:pPr>
        <w:pStyle w:val="Prrafodelista"/>
        <w:numPr>
          <w:ilvl w:val="0"/>
          <w:numId w:val="65"/>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Cs/>
          <w:color w:val="000000"/>
          <w:lang w:val="es-MX"/>
        </w:rPr>
        <w:t>Fuentes de financiamiento</w:t>
      </w:r>
      <w:r w:rsidR="002E6E56" w:rsidRPr="0059734A">
        <w:rPr>
          <w:rFonts w:eastAsia="Palatino Linotype" w:cs="Palatino Linotype"/>
          <w:bCs/>
          <w:color w:val="000000"/>
          <w:lang w:val="es-MX"/>
        </w:rPr>
        <w:t xml:space="preserve"> </w:t>
      </w:r>
      <w:r w:rsidR="00102D1D" w:rsidRPr="0059734A">
        <w:rPr>
          <w:rFonts w:eastAsia="Palatino Linotype" w:cs="Palatino Linotype"/>
          <w:bCs/>
          <w:color w:val="000000"/>
          <w:lang w:val="es-MX"/>
        </w:rPr>
        <w:t>de dicha adquisición (recursos municipales, estatales, federales); para lo que refiere lo siguiente:</w:t>
      </w:r>
    </w:p>
    <w:p w14:paraId="32558ED3" w14:textId="389A03D1" w:rsidR="00102D1D" w:rsidRPr="0059734A" w:rsidRDefault="00102D1D" w:rsidP="00022208">
      <w:pPr>
        <w:pStyle w:val="Prrafodelista"/>
        <w:numPr>
          <w:ilvl w:val="0"/>
          <w:numId w:val="68"/>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
          <w:bCs/>
          <w:color w:val="000000"/>
          <w:lang w:val="es-MX"/>
        </w:rPr>
        <w:t>Fuente de financiamiento: Recursos Propios (RP)</w:t>
      </w:r>
    </w:p>
    <w:p w14:paraId="25A97FBD" w14:textId="2524CE56" w:rsidR="002971E4" w:rsidRPr="0059734A" w:rsidRDefault="002971E4" w:rsidP="00022208">
      <w:pPr>
        <w:pStyle w:val="Prrafodelista"/>
        <w:numPr>
          <w:ilvl w:val="0"/>
          <w:numId w:val="65"/>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Cs/>
          <w:color w:val="000000"/>
          <w:lang w:val="es-MX"/>
        </w:rPr>
        <w:t>Área solicitante</w:t>
      </w:r>
      <w:r w:rsidR="00102D1D" w:rsidRPr="0059734A">
        <w:rPr>
          <w:rFonts w:eastAsia="Palatino Linotype" w:cs="Palatino Linotype"/>
          <w:bCs/>
          <w:color w:val="000000"/>
          <w:lang w:val="es-MX"/>
        </w:rPr>
        <w:t xml:space="preserve"> o beneficiaria dentro del O.P.D.A.P.A.S., el sujeto obligado refiere:</w:t>
      </w:r>
    </w:p>
    <w:p w14:paraId="100C8CF1" w14:textId="62D2C1ED" w:rsidR="00102D1D" w:rsidRPr="0059734A" w:rsidRDefault="00102D1D" w:rsidP="00022208">
      <w:pPr>
        <w:pStyle w:val="Prrafodelista"/>
        <w:numPr>
          <w:ilvl w:val="0"/>
          <w:numId w:val="68"/>
        </w:numPr>
        <w:pBdr>
          <w:top w:val="nil"/>
          <w:left w:val="nil"/>
          <w:bottom w:val="nil"/>
          <w:right w:val="nil"/>
          <w:between w:val="nil"/>
        </w:pBdr>
        <w:contextualSpacing/>
        <w:rPr>
          <w:rFonts w:eastAsia="Palatino Linotype" w:cs="Palatino Linotype"/>
          <w:b/>
          <w:bCs/>
          <w:color w:val="000000"/>
          <w:lang w:val="es-MX"/>
        </w:rPr>
      </w:pPr>
      <w:r w:rsidRPr="0059734A">
        <w:rPr>
          <w:rFonts w:eastAsia="Palatino Linotype" w:cs="Palatino Linotype"/>
          <w:b/>
          <w:bCs/>
          <w:color w:val="000000"/>
          <w:lang w:val="es-MX"/>
        </w:rPr>
        <w:t>El área solicitante es Gerencia Técnica de Operaciones del O.P.D.A.P.A.S.</w:t>
      </w:r>
    </w:p>
    <w:p w14:paraId="4A668799" w14:textId="031B6359" w:rsidR="00102D1D" w:rsidRPr="0059734A" w:rsidRDefault="00102D1D" w:rsidP="00022208">
      <w:pPr>
        <w:pStyle w:val="Prrafodelista"/>
        <w:numPr>
          <w:ilvl w:val="0"/>
          <w:numId w:val="65"/>
        </w:numPr>
        <w:pBdr>
          <w:top w:val="nil"/>
          <w:left w:val="nil"/>
          <w:bottom w:val="nil"/>
          <w:right w:val="nil"/>
          <w:between w:val="nil"/>
        </w:pBdr>
        <w:contextualSpacing/>
        <w:rPr>
          <w:rFonts w:eastAsia="Palatino Linotype" w:cs="Palatino Linotype"/>
          <w:bCs/>
          <w:color w:val="000000"/>
          <w:lang w:val="es-MX"/>
        </w:rPr>
      </w:pPr>
      <w:r w:rsidRPr="0059734A">
        <w:rPr>
          <w:rFonts w:eastAsia="Palatino Linotype" w:cs="Palatino Linotype"/>
          <w:bCs/>
          <w:color w:val="000000"/>
          <w:lang w:val="es-MX"/>
        </w:rPr>
        <w:t xml:space="preserve">Aunado a lo anterior, adjunta el Dictamen Técnico, de fecha diecinueve de febrero de dos mil veinticinco, signado por el Gerente Técnico de Operación OPDAPAS Ixtapaluca, tal como se muestra en la siguiente imagen a manera de ejemplo: </w:t>
      </w:r>
    </w:p>
    <w:p w14:paraId="38287E99" w14:textId="1CE64D0B" w:rsidR="00271E8B" w:rsidRPr="0059734A" w:rsidRDefault="00102D1D" w:rsidP="004E0A52">
      <w:pPr>
        <w:pBdr>
          <w:top w:val="nil"/>
          <w:left w:val="nil"/>
          <w:bottom w:val="nil"/>
          <w:right w:val="nil"/>
          <w:between w:val="nil"/>
        </w:pBdr>
        <w:contextualSpacing/>
        <w:jc w:val="center"/>
        <w:rPr>
          <w:rFonts w:eastAsia="Palatino Linotype" w:cs="Palatino Linotype"/>
          <w:bCs/>
          <w:color w:val="000000"/>
          <w:lang w:val="es-MX"/>
        </w:rPr>
      </w:pPr>
      <w:r w:rsidRPr="0059734A">
        <w:rPr>
          <w:rFonts w:eastAsia="Palatino Linotype" w:cs="Palatino Linotype"/>
          <w:bCs/>
          <w:noProof/>
          <w:color w:val="000000"/>
          <w:lang w:val="es-MX"/>
        </w:rPr>
        <w:lastRenderedPageBreak/>
        <w:drawing>
          <wp:inline distT="0" distB="0" distL="0" distR="0" wp14:anchorId="6C6D292A" wp14:editId="547A5E7F">
            <wp:extent cx="5244337" cy="6749575"/>
            <wp:effectExtent l="190500" t="190500" r="185420" b="1847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5702" cy="6764202"/>
                    </a:xfrm>
                    <a:prstGeom prst="rect">
                      <a:avLst/>
                    </a:prstGeom>
                    <a:ln>
                      <a:noFill/>
                    </a:ln>
                    <a:effectLst>
                      <a:outerShdw blurRad="190500" algn="tl" rotWithShape="0">
                        <a:srgbClr val="000000">
                          <a:alpha val="70000"/>
                        </a:srgbClr>
                      </a:outerShdw>
                    </a:effectLst>
                  </pic:spPr>
                </pic:pic>
              </a:graphicData>
            </a:graphic>
          </wp:inline>
        </w:drawing>
      </w:r>
    </w:p>
    <w:p w14:paraId="191B3769" w14:textId="19A32B36" w:rsidR="00A76402" w:rsidRPr="0059734A" w:rsidRDefault="44E9108F" w:rsidP="004E0A52">
      <w:pPr>
        <w:pBdr>
          <w:top w:val="nil"/>
          <w:left w:val="nil"/>
          <w:bottom w:val="nil"/>
          <w:right w:val="nil"/>
          <w:between w:val="nil"/>
        </w:pBdr>
        <w:contextualSpacing/>
        <w:rPr>
          <w:rFonts w:eastAsia="Palatino Linotype" w:cs="Palatino Linotype"/>
          <w:i/>
          <w:color w:val="000000" w:themeColor="text1"/>
          <w:lang w:val="es-ES"/>
        </w:rPr>
      </w:pPr>
      <w:r w:rsidRPr="0059734A">
        <w:rPr>
          <w:rFonts w:eastAsia="Palatino Linotype" w:cs="Palatino Linotype"/>
          <w:color w:val="000000" w:themeColor="text1"/>
          <w:lang w:val="es-ES"/>
        </w:rPr>
        <w:lastRenderedPageBreak/>
        <w:t>Ante la respuesta em</w:t>
      </w:r>
      <w:r w:rsidR="002623AA" w:rsidRPr="0059734A">
        <w:rPr>
          <w:rFonts w:eastAsia="Palatino Linotype" w:cs="Palatino Linotype"/>
          <w:color w:val="000000" w:themeColor="text1"/>
          <w:lang w:val="es-ES"/>
        </w:rPr>
        <w:t>itida por el Sujeto Obligado, el</w:t>
      </w:r>
      <w:r w:rsidRPr="0059734A">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CD01A3" w:rsidRPr="0059734A">
        <w:rPr>
          <w:rFonts w:eastAsia="Palatino Linotype" w:cs="Palatino Linotype"/>
          <w:color w:val="000000" w:themeColor="text1"/>
          <w:lang w:val="es-ES"/>
        </w:rPr>
        <w:t xml:space="preserve">: </w:t>
      </w:r>
      <w:r w:rsidR="00CD01A3" w:rsidRPr="0059734A">
        <w:rPr>
          <w:rFonts w:eastAsia="Palatino Linotype" w:cs="Palatino Linotype"/>
          <w:i/>
          <w:color w:val="000000" w:themeColor="text1"/>
          <w:lang w:val="es-ES"/>
        </w:rPr>
        <w:t xml:space="preserve">“Entrega de información </w:t>
      </w:r>
      <w:r w:rsidR="00CD01A3" w:rsidRPr="0059734A">
        <w:rPr>
          <w:rFonts w:eastAsia="Palatino Linotype" w:cs="Palatino Linotype"/>
          <w:b/>
          <w:i/>
          <w:color w:val="000000" w:themeColor="text1"/>
          <w:u w:val="single"/>
          <w:lang w:val="es-ES"/>
        </w:rPr>
        <w:t>incompleta.</w:t>
      </w:r>
      <w:r w:rsidR="00CD01A3" w:rsidRPr="0059734A">
        <w:rPr>
          <w:rFonts w:eastAsia="Palatino Linotype" w:cs="Palatino Linotype"/>
          <w:i/>
          <w:color w:val="000000" w:themeColor="text1"/>
          <w:lang w:val="es-ES"/>
        </w:rPr>
        <w:t xml:space="preserve">” </w:t>
      </w:r>
      <w:r w:rsidR="00885E47" w:rsidRPr="0059734A">
        <w:rPr>
          <w:rFonts w:eastAsia="Palatino Linotype" w:cs="Palatino Linotype"/>
          <w:color w:val="000000" w:themeColor="text1"/>
          <w:lang w:val="es-ES"/>
        </w:rPr>
        <w:t xml:space="preserve">y </w:t>
      </w:r>
      <w:r w:rsidR="00CD01A3" w:rsidRPr="0059734A">
        <w:rPr>
          <w:rFonts w:eastAsia="Palatino Linotype" w:cs="Palatino Linotype"/>
          <w:color w:val="000000" w:themeColor="text1"/>
          <w:lang w:val="es-ES"/>
        </w:rPr>
        <w:t xml:space="preserve"> como </w:t>
      </w:r>
      <w:r w:rsidR="001B63A6" w:rsidRPr="0059734A">
        <w:rPr>
          <w:rFonts w:eastAsia="Palatino Linotype" w:cs="Palatino Linotype"/>
          <w:color w:val="000000" w:themeColor="text1"/>
          <w:lang w:val="es-ES"/>
        </w:rPr>
        <w:t xml:space="preserve">razones o motivos de inconformidad </w:t>
      </w:r>
      <w:r w:rsidR="00A76402" w:rsidRPr="0059734A">
        <w:rPr>
          <w:rFonts w:eastAsia="Palatino Linotype" w:cs="Palatino Linotype"/>
          <w:color w:val="000000" w:themeColor="text1"/>
          <w:lang w:val="es-ES"/>
        </w:rPr>
        <w:t xml:space="preserve">lo siguiente </w:t>
      </w:r>
      <w:r w:rsidR="00A76402" w:rsidRPr="0059734A">
        <w:rPr>
          <w:rFonts w:eastAsia="Palatino Linotype" w:cs="Palatino Linotype"/>
          <w:i/>
          <w:color w:val="000000" w:themeColor="text1"/>
          <w:lang w:val="es-ES"/>
        </w:rPr>
        <w:t>“</w:t>
      </w:r>
      <w:r w:rsidR="00CD01A3" w:rsidRPr="0059734A">
        <w:rPr>
          <w:rFonts w:eastAsia="Palatino Linotype" w:cs="Palatino Linotype"/>
          <w:b/>
          <w:i/>
          <w:color w:val="000000" w:themeColor="text1"/>
          <w:u w:val="single"/>
          <w:lang w:val="es-ES"/>
        </w:rPr>
        <w:t>No entrega los costos de la compra realizada de la maquinaria.</w:t>
      </w:r>
      <w:r w:rsidR="00A76402" w:rsidRPr="0059734A">
        <w:rPr>
          <w:rFonts w:eastAsia="Palatino Linotype" w:cs="Palatino Linotype"/>
          <w:i/>
          <w:color w:val="000000" w:themeColor="text1"/>
          <w:lang w:val="es-ES"/>
        </w:rPr>
        <w:t>”.</w:t>
      </w:r>
    </w:p>
    <w:p w14:paraId="4A6500B8" w14:textId="77777777" w:rsidR="008F50E6" w:rsidRPr="0059734A" w:rsidRDefault="008F50E6" w:rsidP="004E0A52"/>
    <w:p w14:paraId="021C544C" w14:textId="68C70BD9" w:rsidR="00CD01A3" w:rsidRPr="0059734A" w:rsidRDefault="00CD01A3" w:rsidP="004E0A52">
      <w:pPr>
        <w:tabs>
          <w:tab w:val="left" w:pos="709"/>
        </w:tabs>
        <w:ind w:right="51"/>
        <w:rPr>
          <w:rFonts w:cs="Arial"/>
          <w:szCs w:val="24"/>
        </w:rPr>
      </w:pPr>
      <w:r w:rsidRPr="0059734A">
        <w:rPr>
          <w:szCs w:val="24"/>
        </w:rPr>
        <w:t>Luego entonces, la parte de la solicitud sobre la que no se expresó inconformidad           (</w:t>
      </w:r>
      <w:r w:rsidRPr="0059734A">
        <w:rPr>
          <w:b/>
          <w:bCs/>
          <w:szCs w:val="24"/>
        </w:rPr>
        <w:t xml:space="preserve">puntos </w:t>
      </w:r>
      <w:r w:rsidR="0028375C" w:rsidRPr="0059734A">
        <w:rPr>
          <w:b/>
          <w:bCs/>
          <w:szCs w:val="24"/>
        </w:rPr>
        <w:t>1, 3, 4, 5, 6, 7, y 8</w:t>
      </w:r>
      <w:r w:rsidRPr="0059734A">
        <w:rPr>
          <w:b/>
          <w:bCs/>
          <w:szCs w:val="24"/>
        </w:rPr>
        <w:t>)</w:t>
      </w:r>
      <w:r w:rsidRPr="0059734A">
        <w:rPr>
          <w:szCs w:val="24"/>
        </w:rPr>
        <w:t xml:space="preserve"> debe declararse consentida por el hoy </w:t>
      </w:r>
      <w:r w:rsidRPr="0059734A">
        <w:rPr>
          <w:b/>
          <w:bCs/>
          <w:szCs w:val="24"/>
        </w:rPr>
        <w:t xml:space="preserve">Recurrente, </w:t>
      </w:r>
      <w:r w:rsidRPr="0059734A">
        <w:rPr>
          <w:szCs w:val="24"/>
        </w:rPr>
        <w:t xml:space="preserve">ya que </w:t>
      </w:r>
      <w:r w:rsidRPr="0059734A">
        <w:rPr>
          <w:rFonts w:cs="Arial"/>
          <w:szCs w:val="24"/>
        </w:rPr>
        <w:t xml:space="preserve">no pueden producirse efectos jurídicos tendentes a revocar, confirmar o modificar la parte de la respuesta con relación a la parte de la solicitud que no fue motivo de disenso ya que se infiere un consentimiento del </w:t>
      </w:r>
      <w:r w:rsidRPr="0059734A">
        <w:rPr>
          <w:rFonts w:cs="Arial"/>
          <w:b/>
          <w:szCs w:val="24"/>
        </w:rPr>
        <w:t>Recurrente</w:t>
      </w:r>
      <w:r w:rsidRPr="0059734A">
        <w:rPr>
          <w:rFonts w:cs="Arial"/>
          <w:szCs w:val="24"/>
        </w:rPr>
        <w:t xml:space="preserve"> ante la falta de impugnación eficaz. Sirve de sustento a lo anterior, por analogía, la tesis jurisprudencial, que a la letra dice: </w:t>
      </w:r>
    </w:p>
    <w:p w14:paraId="76EF7720" w14:textId="77777777" w:rsidR="00CD01A3" w:rsidRPr="0059734A" w:rsidRDefault="00CD01A3" w:rsidP="004E0A52">
      <w:pPr>
        <w:tabs>
          <w:tab w:val="left" w:pos="709"/>
        </w:tabs>
        <w:ind w:right="51"/>
        <w:rPr>
          <w:rFonts w:cs="Arial"/>
          <w:szCs w:val="24"/>
        </w:rPr>
      </w:pPr>
    </w:p>
    <w:p w14:paraId="13DA9A1D" w14:textId="77777777" w:rsidR="00CD01A3" w:rsidRPr="0059734A" w:rsidRDefault="00CD01A3" w:rsidP="004E0A52">
      <w:pPr>
        <w:pStyle w:val="Prrafodelista"/>
        <w:ind w:left="851" w:right="851"/>
        <w:rPr>
          <w:i/>
          <w:sz w:val="22"/>
          <w:szCs w:val="22"/>
        </w:rPr>
      </w:pPr>
      <w:r w:rsidRPr="0059734A">
        <w:rPr>
          <w:i/>
          <w:sz w:val="22"/>
          <w:szCs w:val="22"/>
        </w:rPr>
        <w:t>“Época: Novena</w:t>
      </w:r>
    </w:p>
    <w:p w14:paraId="44570E59" w14:textId="77777777" w:rsidR="00CD01A3" w:rsidRPr="0059734A" w:rsidRDefault="00CD01A3" w:rsidP="004E0A52">
      <w:pPr>
        <w:pStyle w:val="Prrafodelista"/>
        <w:ind w:left="851" w:right="851"/>
        <w:rPr>
          <w:i/>
          <w:sz w:val="22"/>
          <w:szCs w:val="22"/>
        </w:rPr>
      </w:pPr>
      <w:r w:rsidRPr="0059734A">
        <w:rPr>
          <w:i/>
          <w:sz w:val="22"/>
          <w:szCs w:val="22"/>
        </w:rPr>
        <w:t>Registro: 176608</w:t>
      </w:r>
    </w:p>
    <w:p w14:paraId="5ACE4592" w14:textId="77777777" w:rsidR="00CD01A3" w:rsidRPr="0059734A" w:rsidRDefault="00CD01A3" w:rsidP="004E0A52">
      <w:pPr>
        <w:pStyle w:val="Prrafodelista"/>
        <w:ind w:left="851" w:right="851"/>
        <w:rPr>
          <w:i/>
          <w:sz w:val="22"/>
          <w:szCs w:val="22"/>
        </w:rPr>
      </w:pPr>
      <w:r w:rsidRPr="0059734A">
        <w:rPr>
          <w:i/>
          <w:sz w:val="22"/>
          <w:szCs w:val="22"/>
        </w:rPr>
        <w:t>Tipo de tesis: Jurisprudencia</w:t>
      </w:r>
    </w:p>
    <w:p w14:paraId="364FD8B1" w14:textId="77777777" w:rsidR="00CD01A3" w:rsidRPr="0059734A" w:rsidRDefault="00CD01A3" w:rsidP="004E0A52">
      <w:pPr>
        <w:pStyle w:val="Prrafodelista"/>
        <w:ind w:left="851" w:right="851"/>
        <w:rPr>
          <w:i/>
          <w:sz w:val="22"/>
          <w:szCs w:val="22"/>
        </w:rPr>
      </w:pPr>
      <w:r w:rsidRPr="0059734A">
        <w:rPr>
          <w:i/>
          <w:sz w:val="22"/>
          <w:szCs w:val="22"/>
        </w:rPr>
        <w:t>Fuente: Semanario Judicial de la Federación y su Gaceta</w:t>
      </w:r>
    </w:p>
    <w:p w14:paraId="3038D24C" w14:textId="77777777" w:rsidR="00CD01A3" w:rsidRPr="0059734A" w:rsidRDefault="00CD01A3" w:rsidP="004E0A52">
      <w:pPr>
        <w:pStyle w:val="Prrafodelista"/>
        <w:ind w:left="851" w:right="851"/>
        <w:rPr>
          <w:i/>
          <w:sz w:val="22"/>
          <w:szCs w:val="22"/>
        </w:rPr>
      </w:pPr>
      <w:r w:rsidRPr="0059734A">
        <w:rPr>
          <w:i/>
          <w:sz w:val="22"/>
          <w:szCs w:val="22"/>
        </w:rPr>
        <w:t>Diciembre de 2005, Tomo XXII</w:t>
      </w:r>
    </w:p>
    <w:p w14:paraId="0EE878D7" w14:textId="77777777" w:rsidR="00CD01A3" w:rsidRPr="0059734A" w:rsidRDefault="00CD01A3" w:rsidP="004E0A52">
      <w:pPr>
        <w:pStyle w:val="Prrafodelista"/>
        <w:ind w:left="851" w:right="851"/>
        <w:rPr>
          <w:i/>
          <w:sz w:val="22"/>
          <w:szCs w:val="22"/>
        </w:rPr>
      </w:pPr>
      <w:r w:rsidRPr="0059734A">
        <w:rPr>
          <w:i/>
          <w:sz w:val="22"/>
          <w:szCs w:val="22"/>
        </w:rPr>
        <w:t>Materia (s): Común</w:t>
      </w:r>
    </w:p>
    <w:p w14:paraId="077091AC" w14:textId="77777777" w:rsidR="00CD01A3" w:rsidRPr="0059734A" w:rsidRDefault="00CD01A3" w:rsidP="004E0A52">
      <w:pPr>
        <w:pStyle w:val="Prrafodelista"/>
        <w:ind w:left="851" w:right="851"/>
        <w:rPr>
          <w:i/>
          <w:sz w:val="22"/>
          <w:szCs w:val="22"/>
        </w:rPr>
      </w:pPr>
      <w:r w:rsidRPr="0059734A">
        <w:rPr>
          <w:i/>
          <w:sz w:val="22"/>
          <w:szCs w:val="22"/>
        </w:rPr>
        <w:t>Tesis: VI. 3o.C. J/60</w:t>
      </w:r>
    </w:p>
    <w:p w14:paraId="0491247E" w14:textId="77777777" w:rsidR="00CD01A3" w:rsidRPr="0059734A" w:rsidRDefault="00CD01A3" w:rsidP="004E0A52">
      <w:pPr>
        <w:pStyle w:val="Prrafodelista"/>
        <w:ind w:left="851" w:right="851"/>
        <w:rPr>
          <w:i/>
          <w:sz w:val="22"/>
          <w:szCs w:val="22"/>
        </w:rPr>
      </w:pPr>
      <w:r w:rsidRPr="0059734A">
        <w:rPr>
          <w:i/>
          <w:sz w:val="22"/>
          <w:szCs w:val="22"/>
        </w:rPr>
        <w:t>Página: 2365</w:t>
      </w:r>
    </w:p>
    <w:p w14:paraId="4F31A14E" w14:textId="77777777" w:rsidR="00CD01A3" w:rsidRPr="0059734A" w:rsidRDefault="00CD01A3" w:rsidP="004E0A52">
      <w:pPr>
        <w:ind w:left="851" w:right="851"/>
        <w:rPr>
          <w:rFonts w:cs="Arial"/>
          <w:i/>
        </w:rPr>
      </w:pPr>
      <w:r w:rsidRPr="0059734A">
        <w:rPr>
          <w:rFonts w:cs="Arial"/>
          <w:i/>
        </w:rPr>
        <w:t xml:space="preserve"> </w:t>
      </w:r>
      <w:r w:rsidRPr="0059734A">
        <w:rPr>
          <w:rFonts w:cs="Arial"/>
          <w:b/>
          <w:i/>
        </w:rPr>
        <w:t>ACTOS CONSENTIDOS. SON LOS QUE NO SE IMPUGNAN MEDIANTE EL RECURSO IDÓNEO</w:t>
      </w:r>
      <w:r w:rsidRPr="0059734A">
        <w:rPr>
          <w:rFonts w:cs="Arial"/>
          <w:i/>
        </w:rPr>
        <w:t xml:space="preserve">. </w:t>
      </w:r>
    </w:p>
    <w:p w14:paraId="3E061BA1" w14:textId="77777777" w:rsidR="00CD01A3" w:rsidRPr="0059734A" w:rsidRDefault="00CD01A3" w:rsidP="004E0A52">
      <w:pPr>
        <w:ind w:left="851" w:right="851"/>
        <w:rPr>
          <w:rFonts w:cs="Arial"/>
          <w:i/>
        </w:rPr>
      </w:pPr>
      <w:r w:rsidRPr="0059734A">
        <w:rPr>
          <w:rFonts w:cs="Arial"/>
          <w:i/>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5ED7B8" w14:textId="77777777" w:rsidR="00CD01A3" w:rsidRPr="0059734A" w:rsidRDefault="00CD01A3" w:rsidP="004E0A52">
      <w:pPr>
        <w:ind w:left="851" w:right="851"/>
        <w:rPr>
          <w:rFonts w:eastAsia="Times New Roman"/>
          <w:i/>
          <w:color w:val="000000"/>
        </w:rPr>
      </w:pPr>
      <w:r w:rsidRPr="0059734A">
        <w:rPr>
          <w:rFonts w:eastAsia="Times New Roman"/>
          <w:i/>
          <w:color w:val="000000"/>
        </w:rPr>
        <w:t>TERCER TRIBUNAL COLEGIADO EN MATERIA CIVIL DEL SEXTO CIRCUITO.</w:t>
      </w:r>
    </w:p>
    <w:p w14:paraId="5086545B" w14:textId="77777777" w:rsidR="00CD01A3" w:rsidRPr="0059734A" w:rsidRDefault="00CD01A3" w:rsidP="004E0A52">
      <w:pPr>
        <w:ind w:left="851" w:right="851"/>
        <w:rPr>
          <w:rFonts w:eastAsia="Times New Roman"/>
          <w:i/>
          <w:color w:val="444444"/>
        </w:rPr>
      </w:pPr>
      <w:r w:rsidRPr="0059734A">
        <w:rPr>
          <w:rFonts w:eastAsia="Times New Roman"/>
          <w:i/>
          <w:color w:val="444444"/>
        </w:rPr>
        <w:t>Amparo en revisión 2/90. Germán Miguel Núñez Rivera. 13 de noviembre de 1990. Unanimidad de votos. Ponente: Juan Manuel Brito Velázquez. Secretaria: Luz del Carmen Herrera Calderón.</w:t>
      </w:r>
    </w:p>
    <w:p w14:paraId="4C5F0ED5" w14:textId="77777777" w:rsidR="00CD01A3" w:rsidRPr="0059734A" w:rsidRDefault="00CD01A3" w:rsidP="004E0A52">
      <w:pPr>
        <w:ind w:left="851" w:right="851"/>
        <w:rPr>
          <w:rFonts w:eastAsia="Times New Roman"/>
          <w:i/>
          <w:color w:val="444444"/>
        </w:rPr>
      </w:pPr>
      <w:r w:rsidRPr="0059734A">
        <w:rPr>
          <w:rFonts w:eastAsia="Times New Roman"/>
          <w:i/>
          <w:color w:val="444444"/>
        </w:rPr>
        <w:t xml:space="preserve">Amparo en revisión 393/90. Amparo </w:t>
      </w:r>
      <w:proofErr w:type="spellStart"/>
      <w:r w:rsidRPr="0059734A">
        <w:rPr>
          <w:rFonts w:eastAsia="Times New Roman"/>
          <w:i/>
          <w:color w:val="444444"/>
        </w:rPr>
        <w:t>Naylor</w:t>
      </w:r>
      <w:proofErr w:type="spellEnd"/>
      <w:r w:rsidRPr="0059734A">
        <w:rPr>
          <w:rFonts w:eastAsia="Times New Roman"/>
          <w:i/>
          <w:color w:val="444444"/>
        </w:rPr>
        <w:t xml:space="preserve"> Hernández y otros. 6 de diciembre de 1990. Unanimidad de votos. Ponente: Juan Manuel Brito Velázquez. Secretaria: María Dolores Olarte Ruvalcaba.</w:t>
      </w:r>
    </w:p>
    <w:p w14:paraId="75C8F12B" w14:textId="77777777" w:rsidR="00CD01A3" w:rsidRPr="0059734A" w:rsidRDefault="00CD01A3" w:rsidP="004E0A52">
      <w:pPr>
        <w:ind w:left="851" w:right="851"/>
        <w:rPr>
          <w:rFonts w:eastAsia="Times New Roman"/>
          <w:i/>
          <w:color w:val="444444"/>
        </w:rPr>
      </w:pPr>
      <w:r w:rsidRPr="0059734A">
        <w:rPr>
          <w:rFonts w:eastAsia="Times New Roman"/>
          <w:i/>
          <w:color w:val="444444"/>
        </w:rPr>
        <w:t>Amparo directo 352/2000. Omar González Morales. 1o. de septiembre de 2000. Unanimidad de votos. Ponente: Teresa Munguía Sánchez. Secretaria: Julieta Esther Fernández Gaona.</w:t>
      </w:r>
    </w:p>
    <w:p w14:paraId="38D8FF20" w14:textId="77777777" w:rsidR="00CD01A3" w:rsidRPr="0059734A" w:rsidRDefault="00CD01A3" w:rsidP="004E0A52">
      <w:pPr>
        <w:ind w:left="851" w:right="851"/>
        <w:rPr>
          <w:rFonts w:eastAsia="Times New Roman"/>
          <w:i/>
          <w:color w:val="444444"/>
        </w:rPr>
      </w:pPr>
      <w:r w:rsidRPr="0059734A">
        <w:rPr>
          <w:rFonts w:eastAsia="Times New Roman"/>
          <w:i/>
          <w:color w:val="444444"/>
        </w:rPr>
        <w:t xml:space="preserve">Amparo directo 366/2005. Virginia </w:t>
      </w:r>
      <w:proofErr w:type="spellStart"/>
      <w:r w:rsidRPr="0059734A">
        <w:rPr>
          <w:rFonts w:eastAsia="Times New Roman"/>
          <w:i/>
          <w:color w:val="444444"/>
        </w:rPr>
        <w:t>Quixihuitl</w:t>
      </w:r>
      <w:proofErr w:type="spellEnd"/>
      <w:r w:rsidRPr="0059734A">
        <w:rPr>
          <w:rFonts w:eastAsia="Times New Roman"/>
          <w:i/>
          <w:color w:val="444444"/>
        </w:rPr>
        <w:t xml:space="preserve"> Burgos y otra. 14 de octubre de 2005. Unanimidad de votos. Ponente: Norma </w:t>
      </w:r>
      <w:proofErr w:type="spellStart"/>
      <w:r w:rsidRPr="0059734A">
        <w:rPr>
          <w:rFonts w:eastAsia="Times New Roman"/>
          <w:i/>
          <w:color w:val="444444"/>
        </w:rPr>
        <w:t>Fiallega</w:t>
      </w:r>
      <w:proofErr w:type="spellEnd"/>
      <w:r w:rsidRPr="0059734A">
        <w:rPr>
          <w:rFonts w:eastAsia="Times New Roman"/>
          <w:i/>
          <w:color w:val="444444"/>
        </w:rPr>
        <w:t xml:space="preserve"> Sánchez. Secretario: Horacio Óscar Rosete Mentado.</w:t>
      </w:r>
    </w:p>
    <w:p w14:paraId="77C035E1" w14:textId="77777777" w:rsidR="00CD01A3" w:rsidRPr="0059734A" w:rsidRDefault="00CD01A3" w:rsidP="004E0A52">
      <w:pPr>
        <w:ind w:left="851" w:right="851"/>
        <w:rPr>
          <w:rFonts w:eastAsia="Times New Roman"/>
          <w:b/>
          <w:i/>
          <w:color w:val="444444"/>
        </w:rPr>
      </w:pPr>
      <w:r w:rsidRPr="0059734A">
        <w:rPr>
          <w:rFonts w:eastAsia="Times New Roman"/>
          <w:i/>
          <w:color w:val="444444"/>
        </w:rPr>
        <w:t xml:space="preserve">Amparo en revisión 353/2005. Francisco Torres Coronel y otro. 4 de noviembre de 2005. Unanimidad de votos. Ponente: Filiberto Méndez Gutiérrez. Secretaria: Carla </w:t>
      </w:r>
      <w:proofErr w:type="spellStart"/>
      <w:r w:rsidRPr="0059734A">
        <w:rPr>
          <w:rFonts w:eastAsia="Times New Roman"/>
          <w:i/>
          <w:color w:val="444444"/>
        </w:rPr>
        <w:t>Isselín</w:t>
      </w:r>
      <w:proofErr w:type="spellEnd"/>
      <w:r w:rsidRPr="0059734A">
        <w:rPr>
          <w:rFonts w:eastAsia="Times New Roman"/>
          <w:i/>
          <w:color w:val="444444"/>
        </w:rPr>
        <w:t xml:space="preserve"> Talavera.” </w:t>
      </w:r>
      <w:r w:rsidRPr="0059734A">
        <w:rPr>
          <w:rFonts w:eastAsia="Times New Roman"/>
          <w:b/>
          <w:i/>
          <w:color w:val="444444"/>
        </w:rPr>
        <w:t>[Sic]</w:t>
      </w:r>
    </w:p>
    <w:p w14:paraId="60DFB892" w14:textId="77777777" w:rsidR="00CD01A3" w:rsidRPr="0059734A" w:rsidRDefault="00CD01A3" w:rsidP="004E0A52">
      <w:pPr>
        <w:rPr>
          <w:rFonts w:cs="Arial"/>
          <w:noProof/>
          <w:color w:val="000000"/>
        </w:rPr>
      </w:pPr>
      <w:r w:rsidRPr="0059734A">
        <w:rPr>
          <w:rFonts w:cs="Arial"/>
          <w:noProof/>
          <w:color w:val="000000"/>
        </w:rPr>
        <w:lastRenderedPageBreak/>
        <w:t xml:space="preserve">De forma complementaria, robustece lo anterior el criterio </w:t>
      </w:r>
      <w:r w:rsidRPr="0059734A">
        <w:rPr>
          <w:rFonts w:cs="Arial"/>
          <w:b/>
          <w:bCs/>
          <w:noProof/>
          <w:color w:val="000000"/>
        </w:rPr>
        <w:t xml:space="preserve">01/20 </w:t>
      </w:r>
      <w:r w:rsidRPr="0059734A">
        <w:rPr>
          <w:rFonts w:cs="Arial"/>
          <w:noProof/>
          <w:color w:val="000000"/>
        </w:rPr>
        <w:t xml:space="preserve">emitido por el Instituto Nacional de Transparencia, Acceso a la Información y Protección de Datos Personales, cuyo rubro y texto señalan a la literalidad lo siguiente: </w:t>
      </w:r>
    </w:p>
    <w:p w14:paraId="70F5FD9E" w14:textId="77777777" w:rsidR="00877529" w:rsidRPr="0059734A" w:rsidRDefault="00877529" w:rsidP="004E0A52">
      <w:pPr>
        <w:rPr>
          <w:rFonts w:cs="Arial"/>
          <w:noProof/>
          <w:color w:val="000000"/>
        </w:rPr>
      </w:pPr>
    </w:p>
    <w:p w14:paraId="01B8AB62" w14:textId="77777777" w:rsidR="00CD01A3" w:rsidRPr="0059734A" w:rsidRDefault="00CD01A3" w:rsidP="004E0A52">
      <w:pPr>
        <w:pStyle w:val="Citas"/>
        <w:spacing w:before="0" w:after="0"/>
        <w:rPr>
          <w:b/>
        </w:rPr>
      </w:pPr>
      <w:r w:rsidRPr="0059734A">
        <w:rPr>
          <w:b/>
        </w:rPr>
        <w:t xml:space="preserve">“ACTOS CONSENTIDOS TÁCITAMENTE. IMPROCEDENCIA DE SU ANÁLISIS. </w:t>
      </w:r>
    </w:p>
    <w:p w14:paraId="2493891F" w14:textId="77777777" w:rsidR="00CD01A3" w:rsidRPr="0059734A" w:rsidRDefault="00CD01A3" w:rsidP="004E0A52">
      <w:pPr>
        <w:pStyle w:val="Citas"/>
        <w:spacing w:before="0" w:after="0"/>
        <w:rPr>
          <w:strike/>
        </w:rPr>
      </w:pPr>
      <w:r w:rsidRPr="0059734A">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B003EC8" w14:textId="77777777" w:rsidR="00CD01A3" w:rsidRPr="0059734A" w:rsidRDefault="00CD01A3" w:rsidP="004E0A52">
      <w:pPr>
        <w:pStyle w:val="Citas"/>
        <w:spacing w:before="0" w:after="0"/>
        <w:rPr>
          <w:b/>
          <w:bCs/>
        </w:rPr>
      </w:pPr>
      <w:r w:rsidRPr="0059734A">
        <w:rPr>
          <w:b/>
          <w:bCs/>
        </w:rPr>
        <w:t>Resoluciones:</w:t>
      </w:r>
    </w:p>
    <w:p w14:paraId="63756B4D" w14:textId="77777777" w:rsidR="00CD01A3" w:rsidRPr="0059734A" w:rsidRDefault="00CD01A3" w:rsidP="004E0A52">
      <w:pPr>
        <w:pStyle w:val="Citas"/>
        <w:spacing w:before="0" w:after="0"/>
      </w:pPr>
      <w:r w:rsidRPr="0059734A">
        <w:rPr>
          <w:b/>
        </w:rPr>
        <w:t xml:space="preserve">RRA 4548/18. </w:t>
      </w:r>
      <w:r w:rsidRPr="0059734A">
        <w:t>Instituto de Seguridad y Servicios Sociales de los Trabajadores del Estado. 12 de septiembre de 2018. Por unanimidad. Comisionado Ponente Oscar Mauricio Guerra Ford.</w:t>
      </w:r>
    </w:p>
    <w:p w14:paraId="2AA25159" w14:textId="77777777" w:rsidR="00CD01A3" w:rsidRPr="0059734A" w:rsidRDefault="00C10DDF" w:rsidP="004E0A52">
      <w:pPr>
        <w:pStyle w:val="Citas"/>
        <w:spacing w:before="0" w:after="0"/>
        <w:rPr>
          <w:sz w:val="20"/>
        </w:rPr>
      </w:pPr>
      <w:hyperlink r:id="rId11" w:history="1">
        <w:r w:rsidR="00CD01A3" w:rsidRPr="0059734A">
          <w:rPr>
            <w:rStyle w:val="Hipervnculo"/>
          </w:rPr>
          <w:t>http://consultas.ifai.org.mx/descargar.php?r=./pdf/resoluciones/2018/&amp;a=RRA%204548.pdf</w:t>
        </w:r>
      </w:hyperlink>
    </w:p>
    <w:p w14:paraId="30179E25" w14:textId="77777777" w:rsidR="00CD01A3" w:rsidRPr="0059734A" w:rsidRDefault="00CD01A3" w:rsidP="004E0A52">
      <w:pPr>
        <w:pStyle w:val="Citas"/>
        <w:spacing w:before="0" w:after="0"/>
        <w:rPr>
          <w:b/>
        </w:rPr>
      </w:pPr>
      <w:r w:rsidRPr="0059734A">
        <w:rPr>
          <w:b/>
        </w:rPr>
        <w:t xml:space="preserve">RRA 5097/18. </w:t>
      </w:r>
      <w:r w:rsidRPr="0059734A">
        <w:t>Secretaría de Hacienda y Crédito Público. 05 de septiembre de 2018. Por unanimidad. Comisionado Ponente Joel Salas Suárez.</w:t>
      </w:r>
    </w:p>
    <w:p w14:paraId="151AD0FA" w14:textId="77777777" w:rsidR="00CD01A3" w:rsidRPr="0059734A" w:rsidRDefault="00C10DDF" w:rsidP="004E0A52">
      <w:pPr>
        <w:pStyle w:val="Citas"/>
        <w:spacing w:before="0" w:after="0"/>
        <w:rPr>
          <w:sz w:val="20"/>
        </w:rPr>
      </w:pPr>
      <w:hyperlink r:id="rId12" w:history="1">
        <w:r w:rsidR="00CD01A3" w:rsidRPr="0059734A">
          <w:rPr>
            <w:rStyle w:val="Hipervnculo"/>
          </w:rPr>
          <w:t>http://consultas.ifai.org.mx/descargar.php?r=./pdf/resoluciones/2018/&amp;a=RRA%205097.pdf</w:t>
        </w:r>
      </w:hyperlink>
    </w:p>
    <w:p w14:paraId="40CFD100" w14:textId="77777777" w:rsidR="00CD01A3" w:rsidRPr="0059734A" w:rsidRDefault="00CD01A3" w:rsidP="004E0A52">
      <w:pPr>
        <w:pStyle w:val="Citas"/>
        <w:spacing w:before="0" w:after="0"/>
        <w:rPr>
          <w:b/>
        </w:rPr>
      </w:pPr>
      <w:r w:rsidRPr="0059734A">
        <w:rPr>
          <w:b/>
        </w:rPr>
        <w:t xml:space="preserve">RRA 14270/19. </w:t>
      </w:r>
      <w:r w:rsidRPr="0059734A">
        <w:t>Registro Agrario Nacional. 22 de enero de 2020. Por unanimidad. Comisionado Ponente Francisco Javier Acuña Llamas.</w:t>
      </w:r>
    </w:p>
    <w:p w14:paraId="7F91C018" w14:textId="77777777" w:rsidR="00CD01A3" w:rsidRPr="0059734A" w:rsidRDefault="00C10DDF" w:rsidP="004E0A52">
      <w:pPr>
        <w:pStyle w:val="Citas"/>
        <w:spacing w:before="0" w:after="0"/>
        <w:rPr>
          <w:sz w:val="24"/>
          <w:szCs w:val="24"/>
          <w:lang w:val="en-US"/>
        </w:rPr>
      </w:pPr>
      <w:hyperlink r:id="rId13" w:history="1">
        <w:r w:rsidR="00CD01A3" w:rsidRPr="0059734A">
          <w:rPr>
            <w:rStyle w:val="Hipervnculo"/>
            <w:lang w:val="en-US"/>
          </w:rPr>
          <w:t>http://consultas.ifai.org.mx/descargar.php?r=./pdf/resoluciones/2019/&amp;a=RRA%2014270.pdf</w:t>
        </w:r>
      </w:hyperlink>
      <w:proofErr w:type="gramStart"/>
      <w:r w:rsidR="00CD01A3" w:rsidRPr="0059734A">
        <w:rPr>
          <w:rStyle w:val="Hipervnculo"/>
          <w:lang w:val="en-US"/>
        </w:rPr>
        <w:t xml:space="preserve">” </w:t>
      </w:r>
      <w:r w:rsidR="00CD01A3" w:rsidRPr="0059734A">
        <w:rPr>
          <w:rStyle w:val="Hipervnculo"/>
          <w:i w:val="0"/>
          <w:iCs/>
          <w:sz w:val="24"/>
          <w:szCs w:val="24"/>
          <w:lang w:val="en-US"/>
        </w:rPr>
        <w:t xml:space="preserve"> </w:t>
      </w:r>
      <w:r w:rsidR="00CD01A3" w:rsidRPr="0059734A">
        <w:rPr>
          <w:rStyle w:val="Hipervnculo"/>
          <w:b/>
          <w:bCs/>
          <w:sz w:val="24"/>
          <w:szCs w:val="24"/>
          <w:lang w:val="en-US"/>
        </w:rPr>
        <w:t>[</w:t>
      </w:r>
      <w:proofErr w:type="gramEnd"/>
      <w:r w:rsidR="00CD01A3" w:rsidRPr="0059734A">
        <w:rPr>
          <w:rStyle w:val="Hipervnculo"/>
          <w:b/>
          <w:bCs/>
          <w:sz w:val="24"/>
          <w:szCs w:val="24"/>
          <w:lang w:val="en-US"/>
        </w:rPr>
        <w:t>Sic]</w:t>
      </w:r>
    </w:p>
    <w:p w14:paraId="1583436B" w14:textId="77777777" w:rsidR="00CD01A3" w:rsidRPr="0059734A" w:rsidRDefault="00CD01A3" w:rsidP="004E0A52">
      <w:pPr>
        <w:pStyle w:val="infoemcitas"/>
        <w:tabs>
          <w:tab w:val="left" w:pos="7655"/>
        </w:tabs>
        <w:spacing w:before="0" w:after="0"/>
        <w:ind w:left="0" w:right="0"/>
        <w:rPr>
          <w:i w:val="0"/>
          <w:sz w:val="24"/>
          <w:szCs w:val="24"/>
          <w:lang w:val="en-US"/>
        </w:rPr>
      </w:pPr>
    </w:p>
    <w:p w14:paraId="67BE2C85" w14:textId="77EE57A4" w:rsidR="00CD01A3" w:rsidRPr="0059734A" w:rsidRDefault="00CD01A3" w:rsidP="004E0A52">
      <w:pPr>
        <w:pStyle w:val="infoemcitas"/>
        <w:tabs>
          <w:tab w:val="left" w:pos="7655"/>
        </w:tabs>
        <w:spacing w:before="0" w:after="0"/>
        <w:ind w:left="0" w:right="0"/>
        <w:rPr>
          <w:rFonts w:cs="Arial"/>
          <w:i w:val="0"/>
          <w:color w:val="000000"/>
          <w:sz w:val="24"/>
          <w:lang w:eastAsia="es-MX"/>
        </w:rPr>
      </w:pPr>
      <w:r w:rsidRPr="0059734A">
        <w:rPr>
          <w:i w:val="0"/>
          <w:sz w:val="24"/>
          <w:szCs w:val="24"/>
        </w:rPr>
        <w:lastRenderedPageBreak/>
        <w:t xml:space="preserve">Así las cosas, hasta aquí lo expuesto, resulta inconcuso que los motivos de inconformidad esgrimidos por el particular encuadran dentro del artículo 179, </w:t>
      </w:r>
      <w:r w:rsidR="00877529" w:rsidRPr="0059734A">
        <w:rPr>
          <w:i w:val="0"/>
          <w:sz w:val="24"/>
          <w:szCs w:val="24"/>
        </w:rPr>
        <w:t>fracción</w:t>
      </w:r>
      <w:r w:rsidRPr="0059734A">
        <w:rPr>
          <w:i w:val="0"/>
          <w:sz w:val="24"/>
          <w:szCs w:val="24"/>
        </w:rPr>
        <w:t xml:space="preserve"> V de la </w:t>
      </w:r>
      <w:r w:rsidRPr="0059734A">
        <w:rPr>
          <w:rFonts w:cs="Arial"/>
          <w:i w:val="0"/>
          <w:color w:val="000000"/>
          <w:sz w:val="24"/>
          <w:lang w:eastAsia="es-MX"/>
        </w:rPr>
        <w:t xml:space="preserve">Ley de Transparencia y Acceso a la Información Pública del Estado de México y Municipios, cuyo contenido literal es el siguiente: </w:t>
      </w:r>
    </w:p>
    <w:p w14:paraId="280F91CF" w14:textId="77777777" w:rsidR="00877529" w:rsidRPr="0059734A" w:rsidRDefault="00877529" w:rsidP="004E0A52">
      <w:pPr>
        <w:pStyle w:val="infoemcitas"/>
        <w:tabs>
          <w:tab w:val="left" w:pos="7655"/>
        </w:tabs>
        <w:spacing w:before="0" w:after="0"/>
        <w:ind w:left="0" w:right="0"/>
        <w:rPr>
          <w:rFonts w:cs="Arial"/>
          <w:i w:val="0"/>
          <w:color w:val="000000"/>
          <w:sz w:val="24"/>
          <w:lang w:eastAsia="es-MX"/>
        </w:rPr>
      </w:pPr>
    </w:p>
    <w:p w14:paraId="05BEE38E" w14:textId="77777777" w:rsidR="00CD01A3" w:rsidRPr="0059734A" w:rsidRDefault="00CD01A3" w:rsidP="004E0A52">
      <w:pPr>
        <w:pStyle w:val="Citas"/>
        <w:spacing w:before="0" w:after="0"/>
      </w:pPr>
      <w:r w:rsidRPr="0059734A">
        <w:t xml:space="preserve"> “Artículo 179. El recurso de revisión es un medio de protección que la Ley otorga a los particulares, para hacer valer su derecho de acceso a la información pública, y procederá en contra de las siguientes causas:</w:t>
      </w:r>
    </w:p>
    <w:p w14:paraId="4E856878" w14:textId="0DA52B56" w:rsidR="00CD01A3" w:rsidRPr="0059734A" w:rsidRDefault="00877529" w:rsidP="004E0A52">
      <w:pPr>
        <w:pStyle w:val="Citas"/>
        <w:spacing w:before="0" w:after="0"/>
      </w:pPr>
      <w:r w:rsidRPr="0059734A">
        <w:t xml:space="preserve"> </w:t>
      </w:r>
      <w:r w:rsidR="00CD01A3" w:rsidRPr="0059734A">
        <w:t>(…)</w:t>
      </w:r>
    </w:p>
    <w:p w14:paraId="6F059557" w14:textId="77777777" w:rsidR="00CD01A3" w:rsidRPr="0059734A" w:rsidRDefault="00CD01A3" w:rsidP="004E0A52">
      <w:pPr>
        <w:pStyle w:val="Citas"/>
        <w:spacing w:before="0" w:after="0"/>
      </w:pPr>
      <w:r w:rsidRPr="0059734A">
        <w:t>V. La entrega de información incompleta</w:t>
      </w:r>
    </w:p>
    <w:p w14:paraId="474A8F67" w14:textId="443F0AF7" w:rsidR="00CD01A3" w:rsidRPr="0059734A" w:rsidRDefault="00CD01A3" w:rsidP="004E0A52">
      <w:pPr>
        <w:ind w:left="851"/>
        <w:rPr>
          <w:i/>
        </w:rPr>
      </w:pPr>
      <w:r w:rsidRPr="0059734A">
        <w:rPr>
          <w:i/>
        </w:rPr>
        <w:t xml:space="preserve">(…)” </w:t>
      </w:r>
      <w:r w:rsidRPr="0059734A">
        <w:rPr>
          <w:b/>
          <w:bCs/>
          <w:i/>
        </w:rPr>
        <w:t>(Sic)</w:t>
      </w:r>
    </w:p>
    <w:p w14:paraId="6EEED45A" w14:textId="77777777" w:rsidR="00CD01A3" w:rsidRPr="0059734A" w:rsidRDefault="00CD01A3" w:rsidP="004E0A52">
      <w:pPr>
        <w:pBdr>
          <w:top w:val="nil"/>
          <w:left w:val="nil"/>
          <w:bottom w:val="nil"/>
          <w:right w:val="nil"/>
          <w:between w:val="nil"/>
        </w:pBdr>
        <w:contextualSpacing/>
        <w:rPr>
          <w:rFonts w:eastAsia="Palatino Linotype" w:cs="Palatino Linotype"/>
          <w:color w:val="000000"/>
          <w:szCs w:val="24"/>
        </w:rPr>
      </w:pPr>
    </w:p>
    <w:p w14:paraId="1782F8C0" w14:textId="04019446" w:rsidR="00936F10" w:rsidRPr="0059734A" w:rsidRDefault="00877529"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Ahora bien, d</w:t>
      </w:r>
      <w:r w:rsidR="002C3E3D" w:rsidRPr="0059734A">
        <w:rPr>
          <w:rFonts w:eastAsia="Palatino Linotype" w:cs="Palatino Linotype"/>
          <w:color w:val="000000"/>
          <w:szCs w:val="24"/>
        </w:rPr>
        <w:t xml:space="preserve">urante la etapa de manifestaciones, el Sujeto Obligado rindió su Informe Justificado mediante la entrega </w:t>
      </w:r>
      <w:r w:rsidR="00E92DE7" w:rsidRPr="0059734A">
        <w:rPr>
          <w:rFonts w:eastAsia="Palatino Linotype" w:cs="Palatino Linotype"/>
          <w:color w:val="000000"/>
          <w:szCs w:val="24"/>
        </w:rPr>
        <w:t>de</w:t>
      </w:r>
      <w:r w:rsidR="00936F10" w:rsidRPr="0059734A">
        <w:rPr>
          <w:rFonts w:eastAsia="Palatino Linotype" w:cs="Palatino Linotype"/>
          <w:color w:val="000000"/>
          <w:szCs w:val="24"/>
        </w:rPr>
        <w:t xml:space="preserve"> </w:t>
      </w:r>
      <w:r w:rsidR="00E92DE7" w:rsidRPr="0059734A">
        <w:rPr>
          <w:rFonts w:eastAsia="Palatino Linotype" w:cs="Palatino Linotype"/>
          <w:color w:val="000000"/>
          <w:szCs w:val="24"/>
        </w:rPr>
        <w:t>l</w:t>
      </w:r>
      <w:r w:rsidR="00936F10" w:rsidRPr="0059734A">
        <w:rPr>
          <w:rFonts w:eastAsia="Palatino Linotype" w:cs="Palatino Linotype"/>
          <w:color w:val="000000"/>
          <w:szCs w:val="24"/>
        </w:rPr>
        <w:t>os siguientes</w:t>
      </w:r>
      <w:r w:rsidR="00E92DE7" w:rsidRPr="0059734A">
        <w:rPr>
          <w:rFonts w:eastAsia="Palatino Linotype" w:cs="Palatino Linotype"/>
          <w:color w:val="000000"/>
          <w:szCs w:val="24"/>
        </w:rPr>
        <w:t xml:space="preserve"> documento</w:t>
      </w:r>
      <w:r w:rsidR="00936F10" w:rsidRPr="0059734A">
        <w:rPr>
          <w:rFonts w:eastAsia="Palatino Linotype" w:cs="Palatino Linotype"/>
          <w:color w:val="000000"/>
          <w:szCs w:val="24"/>
        </w:rPr>
        <w:t>s:</w:t>
      </w:r>
    </w:p>
    <w:p w14:paraId="4F6DF6BA" w14:textId="77777777" w:rsidR="00936F10" w:rsidRPr="0059734A" w:rsidRDefault="00936F10" w:rsidP="004E0A52">
      <w:pPr>
        <w:pBdr>
          <w:top w:val="nil"/>
          <w:left w:val="nil"/>
          <w:bottom w:val="nil"/>
          <w:right w:val="nil"/>
          <w:between w:val="nil"/>
        </w:pBdr>
        <w:contextualSpacing/>
        <w:rPr>
          <w:rFonts w:eastAsia="Palatino Linotype" w:cs="Palatino Linotype"/>
          <w:color w:val="000000"/>
          <w:szCs w:val="24"/>
        </w:rPr>
      </w:pPr>
    </w:p>
    <w:p w14:paraId="64551610" w14:textId="01C2C571" w:rsidR="00936F10" w:rsidRPr="0059734A" w:rsidRDefault="00877529" w:rsidP="00022208">
      <w:pPr>
        <w:pStyle w:val="Prrafodelista"/>
        <w:numPr>
          <w:ilvl w:val="0"/>
          <w:numId w:val="65"/>
        </w:numPr>
        <w:pBdr>
          <w:top w:val="nil"/>
          <w:left w:val="nil"/>
          <w:bottom w:val="nil"/>
          <w:right w:val="nil"/>
          <w:between w:val="nil"/>
        </w:pBdr>
        <w:ind w:left="709"/>
        <w:contextualSpacing/>
        <w:rPr>
          <w:rFonts w:eastAsia="Palatino Linotype" w:cs="Palatino Linotype"/>
          <w:b/>
          <w:color w:val="000000"/>
        </w:rPr>
      </w:pPr>
      <w:r w:rsidRPr="0059734A">
        <w:rPr>
          <w:rFonts w:eastAsia="Palatino Linotype" w:cs="Palatino Linotype"/>
          <w:b/>
          <w:color w:val="000000"/>
        </w:rPr>
        <w:t>INFORME JUSTIFICADO 06440 2025.pdf</w:t>
      </w:r>
      <w:r w:rsidR="0048384C" w:rsidRPr="0059734A">
        <w:rPr>
          <w:rFonts w:eastAsia="Palatino Linotype" w:cs="Palatino Linotype"/>
          <w:b/>
          <w:color w:val="000000"/>
        </w:rPr>
        <w:t>:</w:t>
      </w:r>
      <w:r w:rsidR="002D166D" w:rsidRPr="0059734A">
        <w:rPr>
          <w:rFonts w:eastAsia="Palatino Linotype" w:cs="Palatino Linotype"/>
          <w:bCs/>
          <w:color w:val="000000"/>
        </w:rPr>
        <w:t xml:space="preserve"> </w:t>
      </w:r>
      <w:r w:rsidRPr="0059734A">
        <w:rPr>
          <w:rFonts w:eastAsia="Palatino Linotype" w:cs="Palatino Linotype"/>
          <w:bCs/>
          <w:color w:val="000000"/>
        </w:rPr>
        <w:t>Contiene el Informe Justificado, mediante el cual</w:t>
      </w:r>
      <w:r w:rsidR="00114DB2" w:rsidRPr="0059734A">
        <w:rPr>
          <w:rFonts w:eastAsia="Palatino Linotype" w:cs="Palatino Linotype"/>
          <w:bCs/>
          <w:color w:val="000000"/>
        </w:rPr>
        <w:t>, la Gerencia de Finanzas y Administración mediante oficio número OI/</w:t>
      </w:r>
      <w:proofErr w:type="spellStart"/>
      <w:r w:rsidR="00114DB2" w:rsidRPr="0059734A">
        <w:rPr>
          <w:rFonts w:eastAsia="Palatino Linotype" w:cs="Palatino Linotype"/>
          <w:bCs/>
          <w:color w:val="000000"/>
        </w:rPr>
        <w:t>FINyA</w:t>
      </w:r>
      <w:proofErr w:type="spellEnd"/>
      <w:r w:rsidR="00114DB2" w:rsidRPr="0059734A">
        <w:rPr>
          <w:rFonts w:eastAsia="Palatino Linotype" w:cs="Palatino Linotype"/>
          <w:bCs/>
          <w:color w:val="000000"/>
        </w:rPr>
        <w:t>/</w:t>
      </w:r>
      <w:proofErr w:type="spellStart"/>
      <w:r w:rsidR="00114DB2" w:rsidRPr="0059734A">
        <w:rPr>
          <w:rFonts w:eastAsia="Palatino Linotype" w:cs="Palatino Linotype"/>
          <w:bCs/>
          <w:color w:val="000000"/>
        </w:rPr>
        <w:t>COyP</w:t>
      </w:r>
      <w:proofErr w:type="spellEnd"/>
      <w:r w:rsidR="00114DB2" w:rsidRPr="0059734A">
        <w:rPr>
          <w:rFonts w:eastAsia="Palatino Linotype" w:cs="Palatino Linotype"/>
          <w:bCs/>
          <w:color w:val="000000"/>
        </w:rPr>
        <w:t>/170/2025 dio atención a la solicitud de información, proporcionando el oficio de respuesta, así como los anexos de la información requerida por el ciudadano, dicha información fue puesta disposición mediante plataforma SAIMEX.</w:t>
      </w:r>
    </w:p>
    <w:p w14:paraId="1D1CFD11" w14:textId="472CC561" w:rsidR="005B4288" w:rsidRPr="0059734A" w:rsidRDefault="005B4288"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lastRenderedPageBreak/>
        <w:t xml:space="preserve">Por su parte, el Recurrente no realizó manifestaciones, vertió alegatos ni presentó pruebas que a su derecho convinieran, así como tampoco </w:t>
      </w:r>
      <w:r w:rsidR="003A5A9F" w:rsidRPr="0059734A">
        <w:rPr>
          <w:rFonts w:eastAsia="Palatino Linotype" w:cs="Palatino Linotype"/>
          <w:color w:val="000000"/>
          <w:szCs w:val="24"/>
        </w:rPr>
        <w:t>se pronunció respecto del Informe Justificado rendido por el Sujeto Obligado.</w:t>
      </w:r>
    </w:p>
    <w:p w14:paraId="39AC33CC" w14:textId="77777777" w:rsidR="005B4288" w:rsidRPr="0059734A" w:rsidRDefault="005B4288" w:rsidP="004E0A52">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9734A" w:rsidRDefault="006100FC"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9734A">
        <w:rPr>
          <w:rFonts w:eastAsia="Palatino Linotype" w:cs="Palatino Linotype"/>
          <w:color w:val="000000"/>
          <w:szCs w:val="24"/>
        </w:rPr>
        <w:t xml:space="preserve">es suficiente para </w:t>
      </w:r>
      <w:r w:rsidRPr="0059734A">
        <w:rPr>
          <w:rFonts w:eastAsia="Palatino Linotype" w:cs="Palatino Linotype"/>
          <w:color w:val="000000"/>
          <w:szCs w:val="24"/>
        </w:rPr>
        <w:t>colma</w:t>
      </w:r>
      <w:r w:rsidR="008F3CDB" w:rsidRPr="0059734A">
        <w:rPr>
          <w:rFonts w:eastAsia="Palatino Linotype" w:cs="Palatino Linotype"/>
          <w:color w:val="000000"/>
          <w:szCs w:val="24"/>
        </w:rPr>
        <w:t>r</w:t>
      </w:r>
      <w:r w:rsidRPr="0059734A">
        <w:rPr>
          <w:rFonts w:eastAsia="Palatino Linotype" w:cs="Palatino Linotype"/>
          <w:color w:val="000000"/>
          <w:szCs w:val="24"/>
        </w:rPr>
        <w:t xml:space="preserve"> la</w:t>
      </w:r>
      <w:r w:rsidR="008F3CDB" w:rsidRPr="0059734A">
        <w:rPr>
          <w:rFonts w:eastAsia="Palatino Linotype" w:cs="Palatino Linotype"/>
          <w:color w:val="000000"/>
          <w:szCs w:val="24"/>
        </w:rPr>
        <w:t>s</w:t>
      </w:r>
      <w:r w:rsidRPr="0059734A">
        <w:rPr>
          <w:rFonts w:eastAsia="Palatino Linotype" w:cs="Palatino Linotype"/>
          <w:color w:val="000000"/>
          <w:szCs w:val="24"/>
        </w:rPr>
        <w:t xml:space="preserve"> pretens</w:t>
      </w:r>
      <w:r w:rsidR="008F3CDB" w:rsidRPr="0059734A">
        <w:rPr>
          <w:rFonts w:eastAsia="Palatino Linotype" w:cs="Palatino Linotype"/>
          <w:color w:val="000000"/>
          <w:szCs w:val="24"/>
        </w:rPr>
        <w:t>iones</w:t>
      </w:r>
      <w:r w:rsidRPr="0059734A">
        <w:rPr>
          <w:rFonts w:eastAsia="Palatino Linotype" w:cs="Palatino Linotype"/>
          <w:color w:val="000000"/>
          <w:szCs w:val="24"/>
        </w:rPr>
        <w:t xml:space="preserve"> del Recurrente, así como calificar los motivos de inconformidad del particular. </w:t>
      </w:r>
    </w:p>
    <w:p w14:paraId="7AF7731E" w14:textId="77777777" w:rsidR="006100FC" w:rsidRPr="0059734A" w:rsidRDefault="006100FC" w:rsidP="004E0A52">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9734A" w:rsidRDefault="006100FC"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szCs w:val="24"/>
        </w:rPr>
        <w:t xml:space="preserve">En este sentido, es pertinente enfatizar lo que, respecto al derecho de acceso a la información pública, refiere el artículo </w:t>
      </w:r>
      <w:r w:rsidR="00E00EC1" w:rsidRPr="0059734A">
        <w:rPr>
          <w:rFonts w:eastAsia="Palatino Linotype" w:cs="Palatino Linotype"/>
          <w:color w:val="000000"/>
          <w:szCs w:val="24"/>
        </w:rPr>
        <w:t>5</w:t>
      </w:r>
      <w:r w:rsidRPr="0059734A">
        <w:rPr>
          <w:rFonts w:eastAsia="Palatino Linotype" w:cs="Palatino Linotype"/>
          <w:color w:val="000000"/>
          <w:szCs w:val="24"/>
        </w:rPr>
        <w:t>° de la Constitución Política del Estado Libre y Soberano de México</w:t>
      </w:r>
      <w:r w:rsidR="00E00EC1" w:rsidRPr="0059734A">
        <w:rPr>
          <w:rFonts w:eastAsia="Palatino Linotype" w:cs="Palatino Linotype"/>
          <w:color w:val="000000"/>
          <w:szCs w:val="24"/>
        </w:rPr>
        <w:t>, que</w:t>
      </w:r>
      <w:r w:rsidRPr="0059734A">
        <w:rPr>
          <w:rFonts w:eastAsia="Palatino Linotype" w:cs="Palatino Linotype"/>
          <w:color w:val="000000"/>
          <w:szCs w:val="24"/>
        </w:rPr>
        <w:t xml:space="preserve"> en su parte conducente</w:t>
      </w:r>
      <w:r w:rsidR="00E00EC1" w:rsidRPr="0059734A">
        <w:rPr>
          <w:rFonts w:eastAsia="Palatino Linotype" w:cs="Palatino Linotype"/>
          <w:color w:val="000000"/>
          <w:szCs w:val="24"/>
        </w:rPr>
        <w:t xml:space="preserve"> dispone</w:t>
      </w:r>
      <w:r w:rsidRPr="0059734A">
        <w:rPr>
          <w:rFonts w:eastAsia="Palatino Linotype" w:cs="Palatino Linotype"/>
          <w:color w:val="000000"/>
          <w:szCs w:val="24"/>
        </w:rPr>
        <w:t xml:space="preserve"> lo siguiente:</w:t>
      </w:r>
    </w:p>
    <w:p w14:paraId="5DA101FA" w14:textId="77777777" w:rsidR="006100FC" w:rsidRPr="0059734A" w:rsidRDefault="006100FC" w:rsidP="004E0A52">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9734A" w:rsidRDefault="006100FC" w:rsidP="004E0A52">
      <w:pPr>
        <w:pStyle w:val="Fundamentos"/>
      </w:pPr>
      <w:r w:rsidRPr="0059734A">
        <w:rPr>
          <w:b/>
          <w:bCs/>
        </w:rPr>
        <w:t>Artículo 5.</w:t>
      </w:r>
      <w:r w:rsidRPr="0059734A">
        <w:t xml:space="preserve"> […]</w:t>
      </w:r>
    </w:p>
    <w:p w14:paraId="1839D29E" w14:textId="77777777" w:rsidR="006100FC" w:rsidRPr="0059734A" w:rsidRDefault="006100FC" w:rsidP="004E0A52">
      <w:pPr>
        <w:pStyle w:val="Fundamentos"/>
      </w:pPr>
    </w:p>
    <w:p w14:paraId="7D51A6D3" w14:textId="77777777" w:rsidR="006100FC" w:rsidRPr="0059734A" w:rsidRDefault="006100FC" w:rsidP="004E0A52">
      <w:pPr>
        <w:pStyle w:val="Fundamentos"/>
      </w:pPr>
      <w:r w:rsidRPr="0059734A">
        <w:t xml:space="preserve">El derecho a la información será garantizado por el Estado. La ley establecerá las previsiones que permitan asegurar la protección, el respeto y la difusión de este derecho. </w:t>
      </w:r>
    </w:p>
    <w:p w14:paraId="4079EC08" w14:textId="77777777" w:rsidR="006100FC" w:rsidRPr="0059734A" w:rsidRDefault="006100FC" w:rsidP="004E0A52">
      <w:pPr>
        <w:pStyle w:val="Fundamentos"/>
      </w:pPr>
    </w:p>
    <w:p w14:paraId="2060C0A8" w14:textId="77777777" w:rsidR="006100FC" w:rsidRPr="0059734A" w:rsidRDefault="006100FC" w:rsidP="004E0A52">
      <w:pPr>
        <w:pStyle w:val="Fundamentos"/>
      </w:pPr>
      <w:r w:rsidRPr="0059734A">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9734A" w:rsidRDefault="006100FC" w:rsidP="004E0A52">
      <w:pPr>
        <w:pStyle w:val="Fundamentos"/>
      </w:pPr>
    </w:p>
    <w:p w14:paraId="31D381A6" w14:textId="77777777" w:rsidR="006100FC" w:rsidRPr="0059734A" w:rsidRDefault="006100FC" w:rsidP="004E0A52">
      <w:pPr>
        <w:pStyle w:val="Fundamentos"/>
      </w:pPr>
      <w:r w:rsidRPr="0059734A">
        <w:t>Este derecho se regirá por los principios y bases siguientes:</w:t>
      </w:r>
    </w:p>
    <w:p w14:paraId="1A21896F" w14:textId="77777777" w:rsidR="006100FC" w:rsidRPr="0059734A" w:rsidRDefault="006100FC" w:rsidP="004E0A52">
      <w:pPr>
        <w:pStyle w:val="Fundamentos"/>
      </w:pPr>
    </w:p>
    <w:p w14:paraId="13A22FC8" w14:textId="77777777" w:rsidR="006100FC" w:rsidRPr="0059734A" w:rsidRDefault="006100FC" w:rsidP="004E0A52">
      <w:pPr>
        <w:pStyle w:val="Fundamentos"/>
      </w:pPr>
      <w:r w:rsidRPr="0059734A">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59734A">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9734A" w:rsidRDefault="006100FC" w:rsidP="004E0A52">
      <w:pPr>
        <w:pStyle w:val="Fundamentos"/>
      </w:pPr>
      <w:r w:rsidRPr="0059734A">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9734A" w:rsidRDefault="006100FC" w:rsidP="004E0A52">
      <w:pPr>
        <w:pStyle w:val="Fundamentos"/>
        <w:rPr>
          <w:lang w:val="es-ES"/>
        </w:rPr>
      </w:pPr>
      <w:r w:rsidRPr="0059734A">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59734A" w:rsidRDefault="006100FC" w:rsidP="004E0A52">
      <w:pPr>
        <w:pStyle w:val="Fundamentos"/>
      </w:pPr>
      <w:r w:rsidRPr="0059734A">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9734A" w:rsidRDefault="006100FC" w:rsidP="004E0A52">
      <w:pPr>
        <w:pStyle w:val="Fundamentos"/>
      </w:pPr>
      <w:r w:rsidRPr="0059734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9734A" w:rsidRDefault="006100FC" w:rsidP="004E0A52">
      <w:pPr>
        <w:pStyle w:val="Fundamentos"/>
      </w:pPr>
      <w:r w:rsidRPr="0059734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9734A" w:rsidRDefault="006100FC" w:rsidP="004E0A52">
      <w:pPr>
        <w:pStyle w:val="Fundamentos"/>
        <w:rPr>
          <w:lang w:val="es-ES"/>
        </w:rPr>
      </w:pPr>
      <w:r w:rsidRPr="0059734A">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9734A" w:rsidRDefault="006100FC" w:rsidP="004E0A52">
      <w:pPr>
        <w:pBdr>
          <w:top w:val="nil"/>
          <w:left w:val="nil"/>
          <w:bottom w:val="nil"/>
          <w:right w:val="nil"/>
          <w:between w:val="nil"/>
        </w:pBdr>
        <w:contextualSpacing/>
        <w:rPr>
          <w:rFonts w:eastAsia="Palatino Linotype" w:cs="Palatino Linotype"/>
          <w:color w:val="000000"/>
          <w:szCs w:val="24"/>
        </w:rPr>
      </w:pPr>
    </w:p>
    <w:p w14:paraId="060994B3" w14:textId="77777777" w:rsidR="00243958" w:rsidRPr="0059734A" w:rsidRDefault="00243958" w:rsidP="004E0A52">
      <w:pPr>
        <w:tabs>
          <w:tab w:val="left" w:pos="709"/>
        </w:tabs>
        <w:contextualSpacing/>
        <w:rPr>
          <w:rFonts w:cs="Arial"/>
        </w:rPr>
      </w:pPr>
      <w:r w:rsidRPr="0059734A">
        <w:rPr>
          <w:rFonts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w:t>
      </w:r>
      <w:r w:rsidRPr="0059734A">
        <w:rPr>
          <w:rFonts w:cs="Arial"/>
        </w:rPr>
        <w:lastRenderedPageBreak/>
        <w:t>de sus atribuciones; por consiguiente, la información pública se encuentra a disposición de cualquier persona, lo que implica que es deber de los Sujetos Obligados, garantizar el derecho de acceso a la información pública.</w:t>
      </w:r>
    </w:p>
    <w:p w14:paraId="389A5837" w14:textId="77777777" w:rsidR="00243958" w:rsidRPr="0059734A" w:rsidRDefault="00243958" w:rsidP="004E0A52">
      <w:pPr>
        <w:tabs>
          <w:tab w:val="left" w:pos="709"/>
        </w:tabs>
        <w:contextualSpacing/>
        <w:rPr>
          <w:rFonts w:cs="Arial"/>
        </w:rPr>
      </w:pPr>
    </w:p>
    <w:p w14:paraId="143710DF" w14:textId="77777777" w:rsidR="00243958" w:rsidRPr="0059734A" w:rsidRDefault="00243958" w:rsidP="004E0A52">
      <w:pPr>
        <w:tabs>
          <w:tab w:val="left" w:pos="709"/>
        </w:tabs>
        <w:contextualSpacing/>
        <w:rPr>
          <w:rFonts w:cs="Arial"/>
        </w:rPr>
      </w:pPr>
      <w:r w:rsidRPr="0059734A">
        <w:rPr>
          <w:rFonts w:cs="Arial"/>
        </w:rPr>
        <w:t xml:space="preserve">En esta misma tesitura, el derecho de acceso a la información pública, consiste en que la información solicitada conste en un soporte documental en cualquiera de sus formas, a saber: </w:t>
      </w:r>
      <w:r w:rsidRPr="0059734A">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9734A">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F8EFB27" w14:textId="77777777" w:rsidR="00243958" w:rsidRPr="0059734A" w:rsidRDefault="00243958" w:rsidP="004E0A52">
      <w:pPr>
        <w:pStyle w:val="Sinespaciado"/>
        <w:rPr>
          <w:lang w:val="es-ES_tradnl"/>
        </w:rPr>
      </w:pPr>
    </w:p>
    <w:p w14:paraId="4B45CD3A" w14:textId="77777777" w:rsidR="00243958" w:rsidRPr="0059734A" w:rsidRDefault="00243958" w:rsidP="004E0A52">
      <w:pPr>
        <w:ind w:left="567" w:right="616"/>
        <w:rPr>
          <w:rFonts w:cs="Arial"/>
          <w:i/>
          <w:sz w:val="22"/>
        </w:rPr>
      </w:pPr>
      <w:r w:rsidRPr="0059734A">
        <w:rPr>
          <w:rFonts w:cs="Arial"/>
          <w:i/>
          <w:sz w:val="22"/>
        </w:rPr>
        <w:t>“</w:t>
      </w:r>
      <w:r w:rsidRPr="0059734A">
        <w:rPr>
          <w:rFonts w:cs="Arial"/>
          <w:b/>
          <w:i/>
          <w:sz w:val="22"/>
        </w:rPr>
        <w:t xml:space="preserve">Artículo 3. </w:t>
      </w:r>
      <w:r w:rsidRPr="0059734A">
        <w:rPr>
          <w:rFonts w:cs="Arial"/>
          <w:i/>
          <w:sz w:val="22"/>
        </w:rPr>
        <w:t>Para los efectos de la presente Ley se entenderá por:</w:t>
      </w:r>
    </w:p>
    <w:p w14:paraId="4FDEFD8A" w14:textId="77777777" w:rsidR="00243958" w:rsidRPr="0059734A" w:rsidRDefault="00243958" w:rsidP="004E0A52">
      <w:pPr>
        <w:ind w:left="567" w:right="616"/>
        <w:rPr>
          <w:rFonts w:cs="Arial"/>
          <w:i/>
          <w:sz w:val="22"/>
        </w:rPr>
      </w:pPr>
      <w:r w:rsidRPr="0059734A">
        <w:rPr>
          <w:rFonts w:cs="Arial"/>
          <w:i/>
          <w:sz w:val="22"/>
        </w:rPr>
        <w:t>(…)</w:t>
      </w:r>
    </w:p>
    <w:p w14:paraId="38B17E4F" w14:textId="77777777" w:rsidR="00243958" w:rsidRPr="0059734A" w:rsidRDefault="00243958" w:rsidP="004E0A52">
      <w:pPr>
        <w:ind w:left="567" w:right="616"/>
        <w:rPr>
          <w:rFonts w:cs="Arial"/>
          <w:i/>
          <w:sz w:val="22"/>
        </w:rPr>
      </w:pPr>
      <w:r w:rsidRPr="0059734A">
        <w:rPr>
          <w:rFonts w:cs="Arial"/>
          <w:b/>
          <w:i/>
          <w:sz w:val="22"/>
        </w:rPr>
        <w:t>XI. Documento:</w:t>
      </w:r>
      <w:r w:rsidRPr="0059734A">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59734A">
        <w:rPr>
          <w:rFonts w:cs="Arial"/>
          <w:b/>
          <w:i/>
          <w:sz w:val="22"/>
          <w:u w:val="single"/>
        </w:rPr>
        <w:t>registro que documente el ejercicio de las facultades, funciones y competencias de los sujetos obligados</w:t>
      </w:r>
      <w:r w:rsidRPr="0059734A">
        <w:rPr>
          <w:rFonts w:cs="Arial"/>
          <w:i/>
          <w:sz w:val="22"/>
          <w:u w:val="single"/>
        </w:rPr>
        <w:t>,</w:t>
      </w:r>
      <w:r w:rsidRPr="0059734A">
        <w:rPr>
          <w:rFonts w:cs="Arial"/>
          <w:i/>
          <w:sz w:val="22"/>
        </w:rPr>
        <w:t xml:space="preserve"> sus servidores públicos e integrantes, </w:t>
      </w:r>
      <w:r w:rsidRPr="0059734A">
        <w:rPr>
          <w:rFonts w:cs="Arial"/>
          <w:b/>
          <w:i/>
          <w:sz w:val="22"/>
          <w:u w:val="single"/>
        </w:rPr>
        <w:t>sin importar su fuente o fecha de elaboración.</w:t>
      </w:r>
      <w:r w:rsidRPr="0059734A">
        <w:rPr>
          <w:rFonts w:cs="Arial"/>
          <w:i/>
          <w:sz w:val="22"/>
        </w:rPr>
        <w:t xml:space="preserve"> Los documentos podrán estar en cualquier medio, sea escrito, impreso, sonoro, visual, electrónico, informático u holográfico;</w:t>
      </w:r>
    </w:p>
    <w:p w14:paraId="0C477B1D" w14:textId="77777777" w:rsidR="00243958" w:rsidRPr="0059734A" w:rsidRDefault="00243958" w:rsidP="004E0A52">
      <w:pPr>
        <w:ind w:left="567" w:right="616"/>
        <w:rPr>
          <w:rFonts w:cs="Arial"/>
          <w:i/>
          <w:sz w:val="22"/>
        </w:rPr>
      </w:pPr>
      <w:r w:rsidRPr="0059734A">
        <w:rPr>
          <w:rFonts w:cs="Arial"/>
          <w:i/>
          <w:sz w:val="22"/>
        </w:rPr>
        <w:t>(…)”</w:t>
      </w:r>
    </w:p>
    <w:p w14:paraId="2D4AB5EB" w14:textId="77777777" w:rsidR="00243958" w:rsidRPr="0059734A" w:rsidRDefault="00243958" w:rsidP="004E0A52">
      <w:pPr>
        <w:rPr>
          <w:sz w:val="14"/>
        </w:rPr>
      </w:pPr>
    </w:p>
    <w:p w14:paraId="2631BC8F" w14:textId="77777777" w:rsidR="00243958" w:rsidRPr="0059734A" w:rsidRDefault="00243958" w:rsidP="004E0A52"/>
    <w:p w14:paraId="5D1B78AA" w14:textId="77777777" w:rsidR="00243958" w:rsidRPr="0059734A" w:rsidRDefault="00243958" w:rsidP="004E0A52">
      <w:pPr>
        <w:ind w:right="49"/>
        <w:contextualSpacing/>
        <w:rPr>
          <w:rFonts w:cs="Arial"/>
        </w:rPr>
      </w:pPr>
      <w:r w:rsidRPr="0059734A">
        <w:rPr>
          <w:rFonts w:cs="Arial"/>
        </w:rPr>
        <w:t xml:space="preserve">Además, </w:t>
      </w:r>
      <w:r w:rsidRPr="0059734A">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1F0ECE0" w14:textId="77777777" w:rsidR="00243958" w:rsidRPr="0059734A" w:rsidRDefault="00243958" w:rsidP="004E0A52">
      <w:pPr>
        <w:ind w:right="49"/>
        <w:contextualSpacing/>
        <w:rPr>
          <w:rFonts w:cs="Arial"/>
        </w:rPr>
      </w:pPr>
    </w:p>
    <w:p w14:paraId="12BBFC0F" w14:textId="77777777" w:rsidR="00243958" w:rsidRPr="0059734A" w:rsidRDefault="00243958" w:rsidP="004E0A52">
      <w:pPr>
        <w:ind w:right="49"/>
        <w:contextualSpacing/>
        <w:rPr>
          <w:rFonts w:eastAsia="MS Mincho" w:cs="Tahoma"/>
        </w:rPr>
      </w:pPr>
      <w:r w:rsidRPr="0059734A">
        <w:rPr>
          <w:rFonts w:cs="Arial"/>
        </w:rPr>
        <w:t xml:space="preserve">De la misma forma, </w:t>
      </w:r>
      <w:r w:rsidRPr="0059734A">
        <w:rPr>
          <w:rFonts w:eastAsia="MS Mincho"/>
        </w:rPr>
        <w:t>de acuerdo al contenido del artículo 160,</w:t>
      </w:r>
      <w:r w:rsidRPr="0059734A">
        <w:rPr>
          <w:rFonts w:cs="Arial"/>
        </w:rPr>
        <w:t xml:space="preserve"> de la Ley </w:t>
      </w:r>
      <w:r w:rsidRPr="0059734A">
        <w:rPr>
          <w:rFonts w:eastAsia="MS Mincho" w:cs="Tahoma"/>
        </w:rPr>
        <w:t>General de Transparencia y Acceso a la Información Pública que a la letra dispone:</w:t>
      </w:r>
    </w:p>
    <w:p w14:paraId="50C18525" w14:textId="77777777" w:rsidR="00243958" w:rsidRPr="0059734A" w:rsidRDefault="00243958" w:rsidP="004E0A52"/>
    <w:p w14:paraId="2B1DC80A" w14:textId="77777777" w:rsidR="00243958" w:rsidRPr="0059734A" w:rsidRDefault="00243958" w:rsidP="004E0A52">
      <w:pPr>
        <w:ind w:left="567" w:right="616"/>
        <w:contextualSpacing/>
        <w:rPr>
          <w:rFonts w:cs="Arial"/>
          <w:i/>
          <w:sz w:val="22"/>
          <w:lang w:eastAsia="gl-ES"/>
        </w:rPr>
      </w:pPr>
      <w:r w:rsidRPr="0059734A">
        <w:rPr>
          <w:rFonts w:cs="Arial"/>
          <w:b/>
          <w:i/>
          <w:sz w:val="22"/>
          <w:lang w:eastAsia="gl-ES"/>
        </w:rPr>
        <w:t>Artículo 160</w:t>
      </w:r>
      <w:r w:rsidRPr="0059734A">
        <w:rPr>
          <w:rFonts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8FFB2E" w14:textId="77777777" w:rsidR="00243958" w:rsidRPr="0059734A" w:rsidRDefault="00243958" w:rsidP="004E0A52">
      <w:pPr>
        <w:ind w:left="851" w:right="616"/>
        <w:contextualSpacing/>
        <w:rPr>
          <w:rFonts w:cs="Arial"/>
          <w:i/>
          <w:sz w:val="22"/>
          <w:lang w:eastAsia="gl-ES"/>
        </w:rPr>
      </w:pPr>
    </w:p>
    <w:p w14:paraId="1EA3DB7F" w14:textId="77777777" w:rsidR="00243958" w:rsidRPr="0059734A" w:rsidRDefault="00243958" w:rsidP="004E0A52">
      <w:pPr>
        <w:ind w:left="851" w:right="616"/>
        <w:contextualSpacing/>
        <w:rPr>
          <w:rFonts w:cs="Arial"/>
          <w:i/>
          <w:sz w:val="14"/>
          <w:lang w:eastAsia="gl-ES"/>
        </w:rPr>
      </w:pPr>
    </w:p>
    <w:p w14:paraId="0F284B11" w14:textId="77777777" w:rsidR="00243958" w:rsidRPr="0059734A" w:rsidRDefault="00243958" w:rsidP="004E0A52">
      <w:pPr>
        <w:rPr>
          <w:rFonts w:cs="Arial"/>
          <w:color w:val="222222"/>
          <w:szCs w:val="19"/>
        </w:rPr>
      </w:pPr>
      <w:r w:rsidRPr="0059734A">
        <w:rPr>
          <w:color w:val="000000"/>
        </w:rPr>
        <w:lastRenderedPageBreak/>
        <w:t xml:space="preserve">Sirve como apoyo </w:t>
      </w:r>
      <w:r w:rsidRPr="0059734A">
        <w:rPr>
          <w:rFonts w:cs="Arial"/>
          <w:color w:val="222222"/>
          <w:szCs w:val="19"/>
        </w:rPr>
        <w:t>a lo anterior, el criterio 09-10, emitido por el Pleno del entonces Instituto Federal de Acceso a la Información y Protección de Datos, que a la letra dice:</w:t>
      </w:r>
    </w:p>
    <w:p w14:paraId="17D479EF" w14:textId="77777777" w:rsidR="00243958" w:rsidRPr="0059734A" w:rsidRDefault="00243958" w:rsidP="004E0A52">
      <w:pPr>
        <w:pStyle w:val="Sinespaciado"/>
        <w:rPr>
          <w:lang w:val="es-ES_tradnl" w:eastAsia="es-MX"/>
        </w:rPr>
      </w:pPr>
    </w:p>
    <w:p w14:paraId="4D56867D" w14:textId="77777777" w:rsidR="00243958" w:rsidRPr="0059734A" w:rsidRDefault="00243958" w:rsidP="004E0A52">
      <w:pPr>
        <w:shd w:val="clear" w:color="auto" w:fill="FFFFFF"/>
        <w:tabs>
          <w:tab w:val="left" w:pos="8647"/>
        </w:tabs>
        <w:ind w:left="567" w:right="616"/>
        <w:rPr>
          <w:rFonts w:cs="Arial"/>
          <w:i/>
          <w:iCs/>
          <w:color w:val="222222"/>
          <w:sz w:val="22"/>
        </w:rPr>
      </w:pPr>
      <w:r w:rsidRPr="0059734A">
        <w:rPr>
          <w:rFonts w:cs="Arial"/>
          <w:b/>
          <w:bCs/>
          <w:i/>
          <w:iCs/>
          <w:color w:val="222222"/>
          <w:sz w:val="22"/>
        </w:rPr>
        <w:t>“Las dependencias y entidades no están obligadas a generar documentos ad hoc para responder una solicitud de acceso a la información. </w:t>
      </w:r>
      <w:r w:rsidRPr="0059734A">
        <w:rPr>
          <w:rFonts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87FB32C" w14:textId="77777777" w:rsidR="00243958" w:rsidRPr="0059734A" w:rsidRDefault="00243958" w:rsidP="004E0A52">
      <w:pPr>
        <w:rPr>
          <w:rFonts w:eastAsia="Palatino Linotype" w:cs="Palatino Linotype"/>
          <w:szCs w:val="24"/>
        </w:rPr>
      </w:pPr>
    </w:p>
    <w:p w14:paraId="577AEEBE" w14:textId="58656918" w:rsidR="006100FC" w:rsidRPr="0059734A" w:rsidRDefault="006100FC" w:rsidP="004E0A52">
      <w:pPr>
        <w:rPr>
          <w:rFonts w:eastAsia="Palatino Linotype" w:cs="Palatino Linotype"/>
          <w:szCs w:val="24"/>
        </w:rPr>
      </w:pPr>
      <w:r w:rsidRPr="0059734A">
        <w:rPr>
          <w:rFonts w:eastAsia="Palatino Linotype" w:cs="Palatino Linotype"/>
          <w:szCs w:val="24"/>
        </w:rPr>
        <w:t>En ese orden de ideas, la Ley de Transparencia y Acceso a la Información Pública del Estado de México y Mun</w:t>
      </w:r>
      <w:r w:rsidR="001B63A6" w:rsidRPr="0059734A">
        <w:rPr>
          <w:rFonts w:eastAsia="Palatino Linotype" w:cs="Palatino Linotype"/>
          <w:szCs w:val="24"/>
        </w:rPr>
        <w:t>icipios, prevé en su artículo 23</w:t>
      </w:r>
      <w:r w:rsidRPr="0059734A">
        <w:rPr>
          <w:rFonts w:eastAsia="Palatino Linotype" w:cs="Palatino Linotype"/>
          <w:szCs w:val="24"/>
        </w:rPr>
        <w:t xml:space="preserve"> fracción I</w:t>
      </w:r>
      <w:r w:rsidR="0021631C" w:rsidRPr="0059734A">
        <w:rPr>
          <w:rFonts w:eastAsia="Palatino Linotype" w:cs="Palatino Linotype"/>
          <w:szCs w:val="24"/>
        </w:rPr>
        <w:t>V</w:t>
      </w:r>
      <w:r w:rsidRPr="0059734A">
        <w:rPr>
          <w:rFonts w:eastAsia="Palatino Linotype" w:cs="Palatino Linotype"/>
          <w:szCs w:val="24"/>
        </w:rPr>
        <w:t>, lo siguiente:</w:t>
      </w:r>
    </w:p>
    <w:p w14:paraId="2225C7E4" w14:textId="77777777" w:rsidR="006100FC" w:rsidRPr="0059734A" w:rsidRDefault="006100FC" w:rsidP="004E0A52">
      <w:pPr>
        <w:rPr>
          <w:rFonts w:eastAsia="Palatino Linotype" w:cs="Palatino Linotype"/>
          <w:szCs w:val="24"/>
        </w:rPr>
      </w:pPr>
    </w:p>
    <w:p w14:paraId="1E7239A4" w14:textId="77777777" w:rsidR="006100FC" w:rsidRPr="0059734A" w:rsidRDefault="006100FC" w:rsidP="004E0A52">
      <w:pPr>
        <w:pStyle w:val="Fundamentos"/>
      </w:pPr>
      <w:r w:rsidRPr="0059734A">
        <w:rPr>
          <w:b/>
        </w:rPr>
        <w:t>Artículo 23.</w:t>
      </w:r>
      <w:r w:rsidRPr="0059734A">
        <w:t xml:space="preserve"> Son sujetos obligados a transparentar y permitir el acceso a su información y proteger los datos personales que obren en su poder:</w:t>
      </w:r>
    </w:p>
    <w:p w14:paraId="1F1A0AD1" w14:textId="527CCDE8" w:rsidR="006100FC" w:rsidRPr="0059734A" w:rsidRDefault="005E625F" w:rsidP="004E0A52">
      <w:pPr>
        <w:pStyle w:val="Fundamentos"/>
      </w:pPr>
      <w:r w:rsidRPr="0059734A">
        <w:t>[…]</w:t>
      </w:r>
    </w:p>
    <w:p w14:paraId="451DBD48" w14:textId="7234E42F" w:rsidR="006100FC" w:rsidRPr="0059734A" w:rsidRDefault="00456D44" w:rsidP="004E0A52">
      <w:pPr>
        <w:pStyle w:val="Fundamentos"/>
      </w:pPr>
      <w:r w:rsidRPr="0059734A">
        <w:rPr>
          <w:b/>
          <w:bCs/>
        </w:rPr>
        <w:t>I</w:t>
      </w:r>
      <w:r w:rsidR="0021631C" w:rsidRPr="0059734A">
        <w:rPr>
          <w:b/>
          <w:bCs/>
        </w:rPr>
        <w:t>V</w:t>
      </w:r>
      <w:r w:rsidR="006100FC" w:rsidRPr="0059734A">
        <w:rPr>
          <w:b/>
          <w:bCs/>
        </w:rPr>
        <w:t xml:space="preserve">. </w:t>
      </w:r>
      <w:r w:rsidRPr="0059734A">
        <w:t xml:space="preserve">Los </w:t>
      </w:r>
      <w:r w:rsidR="00206600" w:rsidRPr="0059734A">
        <w:t>ayuntamientos y las dependencias, organismos, órganos y entidades de la administración municipal</w:t>
      </w:r>
      <w:r w:rsidR="006100FC" w:rsidRPr="0059734A">
        <w:t>;</w:t>
      </w:r>
    </w:p>
    <w:p w14:paraId="20F34654" w14:textId="77777777" w:rsidR="006100FC" w:rsidRPr="0059734A" w:rsidRDefault="006100FC" w:rsidP="004E0A52">
      <w:pPr>
        <w:pStyle w:val="Fundamentos"/>
      </w:pPr>
      <w:r w:rsidRPr="0059734A">
        <w:t>[…]</w:t>
      </w:r>
    </w:p>
    <w:p w14:paraId="2FDDCFD2" w14:textId="77777777" w:rsidR="006100FC" w:rsidRPr="0059734A" w:rsidRDefault="006100FC" w:rsidP="004E0A52">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9734A" w:rsidRDefault="006100FC" w:rsidP="004E0A52">
      <w:r w:rsidRPr="0059734A">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59734A">
        <w:lastRenderedPageBreak/>
        <w:t>Ciudad de México, o Municipales, con el fin de que los particulares conozcan toda aquella información que es considerada como pública.</w:t>
      </w:r>
    </w:p>
    <w:p w14:paraId="3B7CDEA8" w14:textId="77777777" w:rsidR="00737EBC" w:rsidRPr="0059734A" w:rsidRDefault="00737EBC" w:rsidP="004E0A52"/>
    <w:p w14:paraId="1A72A4E3" w14:textId="77777777" w:rsidR="00020B85" w:rsidRPr="0059734A" w:rsidRDefault="00020B85" w:rsidP="004E0A52">
      <w:pPr>
        <w:rPr>
          <w:bCs/>
          <w:szCs w:val="24"/>
        </w:rPr>
      </w:pPr>
      <w:r w:rsidRPr="0059734A">
        <w:rPr>
          <w:iCs/>
          <w:szCs w:val="24"/>
        </w:rPr>
        <w:t>En virtud de lo anterior,</w:t>
      </w:r>
      <w:r w:rsidRPr="0059734A">
        <w:rPr>
          <w:szCs w:val="24"/>
        </w:rPr>
        <w:t xml:space="preserve"> con relación a los requerimientos formulados por el particular, </w:t>
      </w:r>
      <w:r w:rsidRPr="0059734A">
        <w:rPr>
          <w:bCs/>
          <w:szCs w:val="24"/>
        </w:rPr>
        <w:t xml:space="preserve">resulta oportuno traer a colación las siguientes imágenes ilustrativas, correspondientes al organigrama del </w:t>
      </w:r>
      <w:r w:rsidRPr="0059734A">
        <w:rPr>
          <w:b/>
          <w:bCs/>
          <w:szCs w:val="24"/>
        </w:rPr>
        <w:t>Sujeto Obligado:</w:t>
      </w:r>
    </w:p>
    <w:p w14:paraId="3B2C4D37" w14:textId="7ACC2BC6" w:rsidR="00020B85" w:rsidRPr="0059734A" w:rsidRDefault="00BA4FF9" w:rsidP="004E0A52">
      <w:pPr>
        <w:pStyle w:val="Citas"/>
        <w:spacing w:before="0" w:after="0"/>
        <w:ind w:left="0" w:right="0"/>
        <w:jc w:val="center"/>
        <w:rPr>
          <w:i w:val="0"/>
          <w:sz w:val="24"/>
          <w:szCs w:val="24"/>
        </w:rPr>
      </w:pPr>
      <w:r w:rsidRPr="0059734A">
        <w:rPr>
          <w:i w:val="0"/>
          <w:noProof/>
          <w:sz w:val="24"/>
          <w:szCs w:val="24"/>
          <w:lang w:eastAsia="es-MX"/>
        </w:rPr>
        <w:drawing>
          <wp:inline distT="0" distB="0" distL="0" distR="0" wp14:anchorId="0706758F" wp14:editId="474E2BF7">
            <wp:extent cx="5075555" cy="4791075"/>
            <wp:effectExtent l="190500" t="190500" r="182245" b="2000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14746"/>
                    <a:stretch/>
                  </pic:blipFill>
                  <pic:spPr bwMode="auto">
                    <a:xfrm>
                      <a:off x="0" y="0"/>
                      <a:ext cx="5092417" cy="480699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15A92BA" w14:textId="0ED999B7" w:rsidR="00020B85" w:rsidRPr="0059734A" w:rsidRDefault="00020B85" w:rsidP="004E0A52">
      <w:pPr>
        <w:pStyle w:val="Citas"/>
        <w:spacing w:before="0" w:after="0"/>
        <w:ind w:left="0" w:right="0"/>
        <w:rPr>
          <w:i w:val="0"/>
          <w:sz w:val="24"/>
          <w:szCs w:val="24"/>
        </w:rPr>
      </w:pPr>
      <w:r w:rsidRPr="0059734A">
        <w:rPr>
          <w:i w:val="0"/>
          <w:sz w:val="24"/>
          <w:szCs w:val="24"/>
        </w:rPr>
        <w:lastRenderedPageBreak/>
        <w:t xml:space="preserve">De lo expuesto con anterioridad, se desprende que </w:t>
      </w:r>
      <w:r w:rsidRPr="0059734A">
        <w:rPr>
          <w:b/>
          <w:i w:val="0"/>
          <w:sz w:val="24"/>
          <w:szCs w:val="24"/>
        </w:rPr>
        <w:t xml:space="preserve">El Sujeto Obligado </w:t>
      </w:r>
      <w:r w:rsidRPr="0059734A">
        <w:rPr>
          <w:i w:val="0"/>
          <w:sz w:val="24"/>
          <w:szCs w:val="24"/>
        </w:rPr>
        <w:t xml:space="preserve">se auxilia de diversas Direcciones, Subdirecciones, Departamentos y Unidades Administrativas para cumplir con sus fines y objetivos, resultando de nuestro más amplio interés la </w:t>
      </w:r>
      <w:r w:rsidR="00BA4FF9" w:rsidRPr="0059734A">
        <w:rPr>
          <w:i w:val="0"/>
          <w:sz w:val="24"/>
          <w:szCs w:val="24"/>
        </w:rPr>
        <w:t>Gerencia de Finanzas y Administración</w:t>
      </w:r>
      <w:r w:rsidRPr="0059734A">
        <w:rPr>
          <w:i w:val="0"/>
          <w:sz w:val="24"/>
          <w:szCs w:val="24"/>
        </w:rPr>
        <w:t xml:space="preserve">.  </w:t>
      </w:r>
    </w:p>
    <w:p w14:paraId="2A97A5DE" w14:textId="77777777" w:rsidR="00383772" w:rsidRPr="0059734A" w:rsidRDefault="00383772" w:rsidP="004E0A52">
      <w:pPr>
        <w:pStyle w:val="Citas"/>
        <w:spacing w:before="0" w:after="0"/>
        <w:ind w:left="0" w:right="0"/>
        <w:rPr>
          <w:i w:val="0"/>
          <w:sz w:val="24"/>
          <w:szCs w:val="24"/>
        </w:rPr>
      </w:pPr>
    </w:p>
    <w:p w14:paraId="4ABBB087" w14:textId="7A0013DD" w:rsidR="00020B85" w:rsidRPr="0059734A" w:rsidRDefault="00020B85" w:rsidP="004E0A52">
      <w:pPr>
        <w:pStyle w:val="Citas"/>
        <w:spacing w:before="0" w:after="0"/>
        <w:ind w:left="0" w:right="0"/>
        <w:rPr>
          <w:i w:val="0"/>
          <w:iCs/>
          <w:sz w:val="24"/>
          <w:szCs w:val="24"/>
        </w:rPr>
      </w:pPr>
      <w:r w:rsidRPr="0059734A">
        <w:rPr>
          <w:i w:val="0"/>
          <w:iCs/>
          <w:sz w:val="24"/>
          <w:szCs w:val="24"/>
        </w:rPr>
        <w:t xml:space="preserve">En virtud de lo anterior, para delimitar las fronteras conceptuales de las unidades administrativas en cita, </w:t>
      </w:r>
      <w:r w:rsidRPr="0059734A">
        <w:rPr>
          <w:i w:val="0"/>
          <w:sz w:val="24"/>
          <w:szCs w:val="24"/>
        </w:rPr>
        <w:t xml:space="preserve">se traen a colación </w:t>
      </w:r>
      <w:r w:rsidR="00BA4FF9" w:rsidRPr="0059734A">
        <w:rPr>
          <w:i w:val="0"/>
          <w:sz w:val="24"/>
          <w:szCs w:val="24"/>
        </w:rPr>
        <w:t>lo establecido en el Manual General de Organización del Organismo Público Descentralizado para la Prestación de los Servicios de agua Potable, Alcantarillado y Saneamiento del Municipio de Ixtapaluca 2022-2024</w:t>
      </w:r>
      <w:r w:rsidRPr="0059734A">
        <w:rPr>
          <w:i w:val="0"/>
          <w:sz w:val="24"/>
          <w:szCs w:val="24"/>
        </w:rPr>
        <w:t xml:space="preserve">; así como los </w:t>
      </w:r>
      <w:r w:rsidRPr="0059734A">
        <w:rPr>
          <w:i w:val="0"/>
          <w:iCs/>
          <w:sz w:val="24"/>
          <w:szCs w:val="24"/>
        </w:rPr>
        <w:t xml:space="preserve">artículos 45, 47, 49 y 220K de la Ley del trabajo de los servidores públicos del Estado y municipios, porciones normativas que disponen a la literalidad lo siguiente: </w:t>
      </w:r>
    </w:p>
    <w:p w14:paraId="16C2F591" w14:textId="77777777" w:rsidR="00383772" w:rsidRPr="0059734A" w:rsidRDefault="00383772" w:rsidP="004E0A52">
      <w:pPr>
        <w:pStyle w:val="Citas"/>
        <w:spacing w:before="0" w:after="0"/>
        <w:ind w:left="0" w:right="0"/>
        <w:rPr>
          <w:i w:val="0"/>
          <w:iCs/>
          <w:sz w:val="24"/>
          <w:szCs w:val="24"/>
        </w:rPr>
      </w:pPr>
    </w:p>
    <w:p w14:paraId="1D700569" w14:textId="74E18EA0" w:rsidR="00020B85" w:rsidRPr="0059734A" w:rsidRDefault="00BA4FF9" w:rsidP="004E0A52">
      <w:pPr>
        <w:pStyle w:val="Citas"/>
        <w:spacing w:before="0" w:after="0"/>
        <w:jc w:val="center"/>
        <w:rPr>
          <w:b/>
          <w:bCs/>
          <w:i w:val="0"/>
          <w:sz w:val="24"/>
          <w:szCs w:val="24"/>
        </w:rPr>
      </w:pPr>
      <w:r w:rsidRPr="0059734A">
        <w:rPr>
          <w:b/>
          <w:bCs/>
          <w:i w:val="0"/>
          <w:sz w:val="24"/>
          <w:szCs w:val="24"/>
        </w:rPr>
        <w:t>Manual General de Organización del Organismo Público Descentralizado para la Prestación de los Servicios de agua Potable, Alcantarillado y Saneamiento del Municipio de Ixtapaluca 2022-2024</w:t>
      </w:r>
    </w:p>
    <w:p w14:paraId="563964D1" w14:textId="77777777" w:rsidR="000A0F62" w:rsidRPr="0059734A" w:rsidRDefault="000A0F62" w:rsidP="004E0A52">
      <w:pPr>
        <w:pStyle w:val="Citas"/>
        <w:spacing w:before="0" w:after="0"/>
        <w:jc w:val="center"/>
        <w:rPr>
          <w:b/>
          <w:bCs/>
        </w:rPr>
      </w:pPr>
    </w:p>
    <w:p w14:paraId="73B7B11F" w14:textId="77777777" w:rsidR="00BA4FF9" w:rsidRPr="0059734A" w:rsidRDefault="00020B85" w:rsidP="004E0A52">
      <w:pPr>
        <w:pStyle w:val="Citas"/>
        <w:spacing w:before="0" w:after="0"/>
      </w:pPr>
      <w:r w:rsidRPr="0059734A">
        <w:t>“</w:t>
      </w:r>
      <w:r w:rsidR="00BA4FF9" w:rsidRPr="0059734A">
        <w:rPr>
          <w:b/>
        </w:rPr>
        <w:t>VI. ESTRUCTURA ORGANIZACIONAL</w:t>
      </w:r>
    </w:p>
    <w:p w14:paraId="6912E786" w14:textId="77777777" w:rsidR="00BA4FF9" w:rsidRPr="0059734A" w:rsidRDefault="00BA4FF9" w:rsidP="004E0A52">
      <w:pPr>
        <w:pStyle w:val="Citas"/>
        <w:spacing w:before="0" w:after="0"/>
      </w:pPr>
      <w:r w:rsidRPr="0059734A">
        <w:t>1. Dirección General.</w:t>
      </w:r>
    </w:p>
    <w:p w14:paraId="1548E3DD" w14:textId="77777777" w:rsidR="00BA4FF9" w:rsidRPr="0059734A" w:rsidRDefault="00BA4FF9" w:rsidP="004E0A52">
      <w:pPr>
        <w:pStyle w:val="Citas"/>
        <w:spacing w:before="0" w:after="0"/>
      </w:pPr>
      <w:r w:rsidRPr="0059734A">
        <w:t>1.1. Subdirección.</w:t>
      </w:r>
    </w:p>
    <w:p w14:paraId="285A4325" w14:textId="77777777" w:rsidR="00BA4FF9" w:rsidRPr="0059734A" w:rsidRDefault="00BA4FF9" w:rsidP="004E0A52">
      <w:pPr>
        <w:pStyle w:val="Citas"/>
        <w:spacing w:before="0" w:after="0"/>
      </w:pPr>
      <w:r w:rsidRPr="0059734A">
        <w:t>1.1.1. Unidad de Archivo.</w:t>
      </w:r>
    </w:p>
    <w:p w14:paraId="29CE9C36" w14:textId="77777777" w:rsidR="00BA4FF9" w:rsidRPr="0059734A" w:rsidRDefault="00BA4FF9" w:rsidP="004E0A52">
      <w:pPr>
        <w:pStyle w:val="Citas"/>
        <w:spacing w:before="0" w:after="0"/>
      </w:pPr>
      <w:r w:rsidRPr="0059734A">
        <w:t>1.1.2. Coordinación de Innovación Tecnológica.</w:t>
      </w:r>
    </w:p>
    <w:p w14:paraId="764B9F2D" w14:textId="77777777" w:rsidR="00BA4FF9" w:rsidRPr="0059734A" w:rsidRDefault="00BA4FF9" w:rsidP="004E0A52">
      <w:pPr>
        <w:pStyle w:val="Citas"/>
        <w:spacing w:before="0" w:after="0"/>
      </w:pPr>
      <w:r w:rsidRPr="0059734A">
        <w:t>1.1.3. Coordinación de Patrimonio.</w:t>
      </w:r>
    </w:p>
    <w:p w14:paraId="4E268033" w14:textId="77777777" w:rsidR="00BA4FF9" w:rsidRPr="0059734A" w:rsidRDefault="00BA4FF9" w:rsidP="004E0A52">
      <w:pPr>
        <w:pStyle w:val="Citas"/>
        <w:spacing w:before="0" w:after="0"/>
      </w:pPr>
      <w:r w:rsidRPr="0059734A">
        <w:t>1.1.4. Coordinación de Cultura del Agua.</w:t>
      </w:r>
    </w:p>
    <w:p w14:paraId="3611124C" w14:textId="77777777" w:rsidR="00BA4FF9" w:rsidRPr="0059734A" w:rsidRDefault="00BA4FF9" w:rsidP="004E0A52">
      <w:pPr>
        <w:pStyle w:val="Citas"/>
        <w:spacing w:before="0" w:after="0"/>
      </w:pPr>
      <w:r w:rsidRPr="0059734A">
        <w:lastRenderedPageBreak/>
        <w:t>1.1.5. Coordinación Jurídica.</w:t>
      </w:r>
    </w:p>
    <w:p w14:paraId="47F7CB6B" w14:textId="77777777" w:rsidR="00BA4FF9" w:rsidRPr="0059734A" w:rsidRDefault="00BA4FF9" w:rsidP="004E0A52">
      <w:pPr>
        <w:pStyle w:val="Citas"/>
        <w:spacing w:before="0" w:after="0"/>
      </w:pPr>
      <w:r w:rsidRPr="0059734A">
        <w:t>1.1.6. Gerencia de Construcción.</w:t>
      </w:r>
    </w:p>
    <w:p w14:paraId="0843B199" w14:textId="77777777" w:rsidR="00BA4FF9" w:rsidRPr="0059734A" w:rsidRDefault="00BA4FF9" w:rsidP="004E0A52">
      <w:pPr>
        <w:pStyle w:val="Citas"/>
        <w:spacing w:before="0" w:after="0"/>
      </w:pPr>
      <w:r w:rsidRPr="0059734A">
        <w:t>1.1.6.1. Coordinación de Control y Supervisión de Obra.</w:t>
      </w:r>
    </w:p>
    <w:p w14:paraId="2800F960" w14:textId="77777777" w:rsidR="00BA4FF9" w:rsidRPr="0059734A" w:rsidRDefault="00BA4FF9" w:rsidP="004E0A52">
      <w:pPr>
        <w:pStyle w:val="Citas"/>
        <w:spacing w:before="0" w:after="0"/>
      </w:pPr>
      <w:r w:rsidRPr="0059734A">
        <w:t>1.1.6.2. Coordinación de Estudios y Proyectos.</w:t>
      </w:r>
    </w:p>
    <w:p w14:paraId="486B9398" w14:textId="77777777" w:rsidR="00BA4FF9" w:rsidRPr="0059734A" w:rsidRDefault="00BA4FF9" w:rsidP="004E0A52">
      <w:pPr>
        <w:pStyle w:val="Citas"/>
        <w:spacing w:before="0" w:after="0"/>
      </w:pPr>
      <w:r w:rsidRPr="0059734A">
        <w:t>1.1.7. Gerencia Técnica de Operación.</w:t>
      </w:r>
    </w:p>
    <w:p w14:paraId="6209FF24" w14:textId="77777777" w:rsidR="00BA4FF9" w:rsidRPr="0059734A" w:rsidRDefault="00BA4FF9" w:rsidP="004E0A52">
      <w:pPr>
        <w:pStyle w:val="Citas"/>
        <w:spacing w:before="0" w:after="0"/>
      </w:pPr>
      <w:r w:rsidRPr="0059734A">
        <w:t>1.1.7.1. Coordinación de Agua Potable.</w:t>
      </w:r>
    </w:p>
    <w:p w14:paraId="348DE883" w14:textId="77777777" w:rsidR="00BA4FF9" w:rsidRPr="0059734A" w:rsidRDefault="00BA4FF9" w:rsidP="004E0A52">
      <w:pPr>
        <w:pStyle w:val="Citas"/>
        <w:spacing w:before="0" w:after="0"/>
      </w:pPr>
      <w:r w:rsidRPr="0059734A">
        <w:t>1.1.7.1.1. Departamento de Líneas y Tanques.</w:t>
      </w:r>
    </w:p>
    <w:p w14:paraId="431DBAAA" w14:textId="77777777" w:rsidR="00BA4FF9" w:rsidRPr="0059734A" w:rsidRDefault="00BA4FF9" w:rsidP="004E0A52">
      <w:pPr>
        <w:pStyle w:val="Citas"/>
        <w:spacing w:before="0" w:after="0"/>
      </w:pPr>
      <w:r w:rsidRPr="0059734A">
        <w:t>1.1.7.1.2. Departamento de Cloración y Calidad del Agua.</w:t>
      </w:r>
    </w:p>
    <w:p w14:paraId="668ED3C3" w14:textId="77777777" w:rsidR="00BA4FF9" w:rsidRPr="0059734A" w:rsidRDefault="00BA4FF9" w:rsidP="004E0A52">
      <w:pPr>
        <w:pStyle w:val="Citas"/>
        <w:spacing w:before="0" w:after="0"/>
      </w:pPr>
      <w:r w:rsidRPr="0059734A">
        <w:t>1.1.7.2. Coordinación de Mantenimiento Electromecánico.</w:t>
      </w:r>
    </w:p>
    <w:p w14:paraId="105ECF09" w14:textId="77777777" w:rsidR="00BA4FF9" w:rsidRPr="0059734A" w:rsidRDefault="00BA4FF9" w:rsidP="004E0A52">
      <w:pPr>
        <w:pStyle w:val="Citas"/>
        <w:spacing w:before="0" w:after="0"/>
      </w:pPr>
      <w:r w:rsidRPr="0059734A">
        <w:t>1.1.7.3. Coordinación de Drenaje y Alcantarillado.</w:t>
      </w:r>
    </w:p>
    <w:p w14:paraId="527FAF54" w14:textId="49C3048D" w:rsidR="00BA4FF9" w:rsidRPr="0059734A" w:rsidRDefault="00BA4FF9" w:rsidP="004E0A52">
      <w:pPr>
        <w:pStyle w:val="Citas"/>
        <w:spacing w:before="0" w:after="0"/>
      </w:pPr>
      <w:r w:rsidRPr="0059734A">
        <w:t>1.1.7.3.1. Departamento de Aguas Residuales y Plantas de Tratamiento.</w:t>
      </w:r>
    </w:p>
    <w:p w14:paraId="077615CA" w14:textId="77777777" w:rsidR="00BA4FF9" w:rsidRPr="0059734A" w:rsidRDefault="00BA4FF9" w:rsidP="004E0A52">
      <w:pPr>
        <w:pStyle w:val="Citas"/>
        <w:spacing w:before="0" w:after="0"/>
        <w:rPr>
          <w:b/>
          <w:u w:val="single"/>
        </w:rPr>
      </w:pPr>
      <w:r w:rsidRPr="0059734A">
        <w:rPr>
          <w:b/>
          <w:u w:val="single"/>
        </w:rPr>
        <w:t>1.1.8. Gerencia de Finanzas y Administración.</w:t>
      </w:r>
    </w:p>
    <w:p w14:paraId="582EABEA" w14:textId="77777777" w:rsidR="00BA4FF9" w:rsidRPr="0059734A" w:rsidRDefault="00BA4FF9" w:rsidP="004E0A52">
      <w:pPr>
        <w:pStyle w:val="Citas"/>
        <w:spacing w:before="0" w:after="0"/>
      </w:pPr>
      <w:r w:rsidRPr="0059734A">
        <w:t>1.1.8.1. Coordinación de Administración.</w:t>
      </w:r>
    </w:p>
    <w:p w14:paraId="61707642" w14:textId="4AFF7AEC" w:rsidR="00BA4FF9" w:rsidRPr="0059734A" w:rsidRDefault="00BA4FF9" w:rsidP="004E0A52">
      <w:pPr>
        <w:pStyle w:val="Citas"/>
        <w:spacing w:before="0" w:after="0"/>
      </w:pPr>
      <w:r w:rsidRPr="0059734A">
        <w:t>1.1.8.1.1. Departamento de Recursos Materiales y Servicios Generales.</w:t>
      </w:r>
    </w:p>
    <w:p w14:paraId="32759DC4" w14:textId="77777777" w:rsidR="00BA4FF9" w:rsidRPr="0059734A" w:rsidRDefault="00BA4FF9" w:rsidP="004E0A52">
      <w:pPr>
        <w:pStyle w:val="Citas"/>
        <w:spacing w:before="0" w:after="0"/>
      </w:pPr>
      <w:r w:rsidRPr="0059734A">
        <w:t>1.1.8.1.2. Departamento de Atención a Usuarios.</w:t>
      </w:r>
    </w:p>
    <w:p w14:paraId="65322F3C" w14:textId="77777777" w:rsidR="00BA4FF9" w:rsidRPr="0059734A" w:rsidRDefault="00BA4FF9" w:rsidP="004E0A52">
      <w:pPr>
        <w:pStyle w:val="Citas"/>
        <w:spacing w:before="0" w:after="0"/>
      </w:pPr>
      <w:r w:rsidRPr="0059734A">
        <w:t>1.1.8.2. Coordinación de Contabilidad y Presupuesto.</w:t>
      </w:r>
    </w:p>
    <w:p w14:paraId="0EB66367" w14:textId="461B7D0F" w:rsidR="00020B85" w:rsidRPr="0059734A" w:rsidRDefault="00BA4FF9" w:rsidP="004E0A52">
      <w:pPr>
        <w:pStyle w:val="Citas"/>
        <w:spacing w:before="0" w:after="0"/>
      </w:pPr>
      <w:r w:rsidRPr="0059734A">
        <w:t>1.1.8.3. Coordinación de Ingresos.</w:t>
      </w:r>
    </w:p>
    <w:p w14:paraId="715118DD" w14:textId="77777777" w:rsidR="00BA4FF9" w:rsidRPr="0059734A" w:rsidRDefault="00BA4FF9" w:rsidP="004E0A52">
      <w:pPr>
        <w:pStyle w:val="Citas"/>
        <w:spacing w:before="0" w:after="0"/>
        <w:rPr>
          <w:bCs/>
        </w:rPr>
      </w:pPr>
      <w:r w:rsidRPr="0059734A">
        <w:rPr>
          <w:bCs/>
        </w:rPr>
        <w:t>1.1.8.3.1. Departamento de Doméstico.</w:t>
      </w:r>
    </w:p>
    <w:p w14:paraId="4F33DA4F" w14:textId="77777777" w:rsidR="00BA4FF9" w:rsidRPr="0059734A" w:rsidRDefault="00BA4FF9" w:rsidP="004E0A52">
      <w:pPr>
        <w:pStyle w:val="Citas"/>
        <w:spacing w:before="0" w:after="0"/>
        <w:rPr>
          <w:bCs/>
        </w:rPr>
      </w:pPr>
      <w:r w:rsidRPr="0059734A">
        <w:rPr>
          <w:bCs/>
        </w:rPr>
        <w:t>1.1.8.3.2. Departamento Comercial.</w:t>
      </w:r>
    </w:p>
    <w:p w14:paraId="134AE4A4" w14:textId="77777777" w:rsidR="00BA4FF9" w:rsidRPr="0059734A" w:rsidRDefault="00BA4FF9" w:rsidP="004E0A52">
      <w:pPr>
        <w:pStyle w:val="Citas"/>
        <w:spacing w:before="0" w:after="0"/>
        <w:rPr>
          <w:bCs/>
        </w:rPr>
      </w:pPr>
      <w:r w:rsidRPr="0059734A">
        <w:rPr>
          <w:bCs/>
        </w:rPr>
        <w:t>1.1.8.4. Coordinación de Recursos Humanos.</w:t>
      </w:r>
    </w:p>
    <w:p w14:paraId="0B89E22B" w14:textId="1FB44293" w:rsidR="00BA4FF9" w:rsidRPr="0059734A" w:rsidRDefault="00BA4FF9" w:rsidP="004E0A52">
      <w:pPr>
        <w:pStyle w:val="Citas"/>
        <w:spacing w:before="0" w:after="0"/>
        <w:rPr>
          <w:bCs/>
        </w:rPr>
      </w:pPr>
      <w:r w:rsidRPr="0059734A">
        <w:rPr>
          <w:bCs/>
        </w:rPr>
        <w:t>1.1.8.4.1. Departamento de Capacitación y Desarrollo del Personal.</w:t>
      </w:r>
    </w:p>
    <w:p w14:paraId="43B63DF9" w14:textId="77777777" w:rsidR="00BA4FF9" w:rsidRPr="0059734A" w:rsidRDefault="00BA4FF9" w:rsidP="004E0A52">
      <w:pPr>
        <w:pStyle w:val="Citas"/>
        <w:spacing w:before="0" w:after="0"/>
        <w:rPr>
          <w:bCs/>
        </w:rPr>
      </w:pPr>
      <w:r w:rsidRPr="0059734A">
        <w:rPr>
          <w:bCs/>
        </w:rPr>
        <w:t>1.1.8.5. Unidad de Transparencia.</w:t>
      </w:r>
    </w:p>
    <w:p w14:paraId="5992719C" w14:textId="59A93F5E" w:rsidR="00BA4FF9" w:rsidRPr="0059734A" w:rsidRDefault="00BA4FF9" w:rsidP="004E0A52">
      <w:pPr>
        <w:pStyle w:val="Citas"/>
        <w:spacing w:before="0" w:after="0"/>
        <w:rPr>
          <w:bCs/>
        </w:rPr>
      </w:pPr>
      <w:r w:rsidRPr="0059734A">
        <w:rPr>
          <w:bCs/>
        </w:rPr>
        <w:t>1.1.8.6. Unidad de Información Planeación, Programación y Evaluación.</w:t>
      </w:r>
    </w:p>
    <w:p w14:paraId="06100C69" w14:textId="77777777" w:rsidR="00020B85" w:rsidRPr="0059734A" w:rsidRDefault="00020B85" w:rsidP="004E0A52">
      <w:pPr>
        <w:pStyle w:val="Citas"/>
        <w:spacing w:before="0" w:after="0"/>
      </w:pPr>
      <w:r w:rsidRPr="0059734A">
        <w:t>(…)</w:t>
      </w:r>
    </w:p>
    <w:p w14:paraId="4CF0EF9C" w14:textId="21DB0534" w:rsidR="00BA4FF9" w:rsidRPr="0059734A" w:rsidRDefault="00BA4FF9" w:rsidP="004E0A52">
      <w:pPr>
        <w:pStyle w:val="Citas"/>
        <w:spacing w:before="0" w:after="0"/>
        <w:rPr>
          <w:b/>
        </w:rPr>
      </w:pPr>
      <w:r w:rsidRPr="0059734A">
        <w:rPr>
          <w:b/>
        </w:rPr>
        <w:t>IX.XIX. Gerente de Finanzas y Administración.</w:t>
      </w:r>
    </w:p>
    <w:p w14:paraId="4AD628C6" w14:textId="77777777" w:rsidR="00BA4FF9" w:rsidRPr="0059734A" w:rsidRDefault="00BA4FF9" w:rsidP="004E0A52">
      <w:pPr>
        <w:pStyle w:val="Citas"/>
        <w:spacing w:before="0" w:after="0"/>
        <w:rPr>
          <w:b/>
        </w:rPr>
      </w:pPr>
      <w:r w:rsidRPr="0059734A">
        <w:rPr>
          <w:b/>
        </w:rPr>
        <w:lastRenderedPageBreak/>
        <w:t>A. Objetivo:</w:t>
      </w:r>
    </w:p>
    <w:p w14:paraId="4585BAE6" w14:textId="50FEEDDE" w:rsidR="00BA4FF9" w:rsidRPr="0059734A" w:rsidRDefault="00BA4FF9" w:rsidP="004E0A52">
      <w:pPr>
        <w:pStyle w:val="Citas"/>
        <w:spacing w:before="0" w:after="0"/>
      </w:pPr>
      <w:r w:rsidRPr="0059734A">
        <w:t>Elaborar, instrumentar y dar seguimiento a la política financiera del Organismo Público Descentralizado para la Prestación de Servicios de Agua Potable, Alcantarillado y Saneamiento del Municipio de Ixtapaluca., así como formular los presupuestos anuales o periódicos de ingresos, egresos y de inversión, supervisar la contabilidad y efectuar el control presupuestal.</w:t>
      </w:r>
    </w:p>
    <w:p w14:paraId="365FEF3C" w14:textId="77777777" w:rsidR="00BA4FF9" w:rsidRPr="0059734A" w:rsidRDefault="00BA4FF9" w:rsidP="004E0A52">
      <w:pPr>
        <w:pStyle w:val="Citas"/>
        <w:spacing w:before="0" w:after="0"/>
        <w:rPr>
          <w:b/>
        </w:rPr>
      </w:pPr>
      <w:r w:rsidRPr="0059734A">
        <w:rPr>
          <w:b/>
        </w:rPr>
        <w:t>B. Funciones:</w:t>
      </w:r>
    </w:p>
    <w:p w14:paraId="01E307BA" w14:textId="65796A0D" w:rsidR="00BA4FF9" w:rsidRPr="0059734A" w:rsidRDefault="00BA4FF9" w:rsidP="004E0A52">
      <w:pPr>
        <w:pStyle w:val="Citas"/>
        <w:spacing w:before="0" w:after="0"/>
      </w:pPr>
      <w:r w:rsidRPr="0059734A">
        <w:t>• Administrar y evaluar la hacienda del organismo, a fin de garantizar su óptimo rendimiento en el cumplimiento de los fines y obligaciones del gobierno y la administración, así como comprobar el correcto ejercicio, destino y aplicación de los recursos, con apego a la Ley de Ingresos y al Presupuesto de Egresos para el ejercicio fiscal de que se trate.</w:t>
      </w:r>
    </w:p>
    <w:p w14:paraId="3BD74908" w14:textId="77777777" w:rsidR="00BA4FF9" w:rsidRPr="0059734A" w:rsidRDefault="00BA4FF9" w:rsidP="004E0A52">
      <w:pPr>
        <w:pStyle w:val="Citas"/>
        <w:spacing w:before="0" w:after="0"/>
      </w:pPr>
      <w:r w:rsidRPr="0059734A">
        <w:t>• Definir la política económica y financiera del organismo.</w:t>
      </w:r>
    </w:p>
    <w:p w14:paraId="41A49044" w14:textId="124F2A97" w:rsidR="00BA4FF9" w:rsidRPr="0059734A" w:rsidRDefault="00BA4FF9" w:rsidP="004E0A52">
      <w:pPr>
        <w:pStyle w:val="Citas"/>
        <w:spacing w:before="0" w:after="0"/>
      </w:pPr>
      <w:r w:rsidRPr="0059734A">
        <w:t>• Gestionar y controlar los recursos financieros, materiales y servicios de las unidades y/o acciones móviles conforme a las normas y lineamientos establecidos.</w:t>
      </w:r>
    </w:p>
    <w:p w14:paraId="5578E411" w14:textId="0FEA16BC" w:rsidR="00BA4FF9" w:rsidRPr="0059734A" w:rsidRDefault="00BA4FF9" w:rsidP="004E0A52">
      <w:pPr>
        <w:pStyle w:val="Citas"/>
        <w:spacing w:before="0" w:after="0"/>
      </w:pPr>
      <w:r w:rsidRPr="0059734A">
        <w:t>• Efectuar los pagos de salarios, gastos y demás erogaciones conforme al Presupuesto de Egresos autorizado y los procedimientos internos de control.</w:t>
      </w:r>
    </w:p>
    <w:p w14:paraId="304AC5A9" w14:textId="0D81ACB5" w:rsidR="00BA4FF9" w:rsidRPr="0059734A" w:rsidRDefault="00BA4FF9" w:rsidP="004E0A52">
      <w:pPr>
        <w:pStyle w:val="Citas"/>
        <w:spacing w:before="0" w:after="0"/>
      </w:pPr>
      <w:r w:rsidRPr="0059734A">
        <w:t>• Mantener al día los asuntos económicos relacionados con las finanzas del Organismo.</w:t>
      </w:r>
    </w:p>
    <w:p w14:paraId="3F8DC13B" w14:textId="77777777" w:rsidR="00BA4FF9" w:rsidRPr="0059734A" w:rsidRDefault="00BA4FF9" w:rsidP="004E0A52">
      <w:pPr>
        <w:pStyle w:val="Citas"/>
        <w:spacing w:before="0" w:after="0"/>
      </w:pPr>
      <w:r w:rsidRPr="0059734A">
        <w:t>• Llevar control de los cheques a pagar, recibos de pago y otros.</w:t>
      </w:r>
    </w:p>
    <w:p w14:paraId="3C3AD04C" w14:textId="77777777" w:rsidR="00BA4FF9" w:rsidRPr="0059734A" w:rsidRDefault="00BA4FF9" w:rsidP="004E0A52">
      <w:pPr>
        <w:pStyle w:val="Citas"/>
        <w:spacing w:before="0" w:after="0"/>
      </w:pPr>
      <w:r w:rsidRPr="0059734A">
        <w:t>• Registrar directamente los movimientos de entrada y salida de dinero.</w:t>
      </w:r>
    </w:p>
    <w:p w14:paraId="6FF15AE1" w14:textId="3E5CD445" w:rsidR="00BA4FF9" w:rsidRPr="0059734A" w:rsidRDefault="00BA4FF9" w:rsidP="004E0A52">
      <w:pPr>
        <w:pStyle w:val="Citas"/>
        <w:spacing w:before="0" w:after="0"/>
      </w:pPr>
      <w:r w:rsidRPr="0059734A">
        <w:t>• Contribuir a generar los convenios para la ejecución del Programa Anual de Evaluación.</w:t>
      </w:r>
    </w:p>
    <w:p w14:paraId="240B96E3" w14:textId="4160615B" w:rsidR="00BA4FF9" w:rsidRPr="0059734A" w:rsidRDefault="00BA4FF9" w:rsidP="004E0A52">
      <w:pPr>
        <w:pStyle w:val="Citas"/>
        <w:spacing w:before="0" w:after="0"/>
      </w:pPr>
      <w:r w:rsidRPr="0059734A">
        <w:t>• Las que confiere el Artículo 95 de la Ley Orgánica Municipal del Estado de México.</w:t>
      </w:r>
    </w:p>
    <w:p w14:paraId="375E405A" w14:textId="08AF054B" w:rsidR="00BA4FF9" w:rsidRPr="0059734A" w:rsidRDefault="00BA4FF9" w:rsidP="004E0A52">
      <w:pPr>
        <w:pStyle w:val="Citas"/>
        <w:spacing w:before="0" w:after="0"/>
      </w:pPr>
      <w:r w:rsidRPr="0059734A">
        <w:lastRenderedPageBreak/>
        <w:t>• Restringir, en coordinación con la Gerencia Técnica de Operación las descargas, a las redes de drenaje, sobre las aguas residuales que no cumplan con los parámetros establecidos.</w:t>
      </w:r>
    </w:p>
    <w:p w14:paraId="35D7823B" w14:textId="77777777" w:rsidR="00BA4FF9" w:rsidRPr="0059734A" w:rsidRDefault="00BA4FF9" w:rsidP="004E0A52">
      <w:pPr>
        <w:pStyle w:val="Citas"/>
        <w:spacing w:before="0" w:after="0"/>
      </w:pPr>
      <w:r w:rsidRPr="0059734A">
        <w:t>• Coadyuvar con las acciones del Sistema de Gestión de la Calidad y la Norma</w:t>
      </w:r>
    </w:p>
    <w:p w14:paraId="06E9CB13" w14:textId="2E65A1C5" w:rsidR="00BA4FF9" w:rsidRPr="0059734A" w:rsidRDefault="00BA4FF9" w:rsidP="004E0A52">
      <w:pPr>
        <w:pStyle w:val="Citas"/>
        <w:spacing w:before="0" w:after="0"/>
      </w:pPr>
      <w:r w:rsidRPr="0059734A">
        <w:t>Mexicana para la Igualdad Laboral entre Hombres y Mujeres dentro del Organismo.</w:t>
      </w:r>
    </w:p>
    <w:p w14:paraId="4D23BDF5" w14:textId="7DF8A550" w:rsidR="00243958" w:rsidRPr="0059734A" w:rsidRDefault="00BA4FF9" w:rsidP="004E0A52">
      <w:pPr>
        <w:pStyle w:val="Citas"/>
        <w:spacing w:before="0" w:after="0"/>
      </w:pPr>
      <w:r w:rsidRPr="0059734A">
        <w:t>• Las demás que confieran expresamente las leyes y disposiciones reglamentarias aplicables.</w:t>
      </w:r>
    </w:p>
    <w:p w14:paraId="539D1B0E" w14:textId="77777777" w:rsidR="00243958" w:rsidRPr="0059734A" w:rsidRDefault="00243958" w:rsidP="004E0A52">
      <w:pPr>
        <w:autoSpaceDE w:val="0"/>
        <w:autoSpaceDN w:val="0"/>
        <w:adjustRightInd w:val="0"/>
        <w:rPr>
          <w:rFonts w:cs="Arial"/>
          <w:szCs w:val="24"/>
        </w:rPr>
      </w:pPr>
    </w:p>
    <w:p w14:paraId="51CEF3BA" w14:textId="6ED2F4E5" w:rsidR="00383772" w:rsidRPr="0059734A" w:rsidRDefault="00020B85" w:rsidP="004E0A52">
      <w:pPr>
        <w:autoSpaceDE w:val="0"/>
        <w:autoSpaceDN w:val="0"/>
        <w:adjustRightInd w:val="0"/>
        <w:rPr>
          <w:rFonts w:cs="Arial"/>
          <w:szCs w:val="24"/>
        </w:rPr>
      </w:pPr>
      <w:r w:rsidRPr="0059734A">
        <w:rPr>
          <w:rFonts w:cs="Arial"/>
          <w:szCs w:val="24"/>
        </w:rPr>
        <w:t xml:space="preserve">De manera complementaria, resulta oportuno traer a colación los artículos 24 </w:t>
      </w:r>
      <w:r w:rsidR="000A0F62" w:rsidRPr="0059734A">
        <w:rPr>
          <w:rFonts w:cs="Arial"/>
          <w:szCs w:val="24"/>
        </w:rPr>
        <w:t>fracción XII, 92 fracciones XXXI,</w:t>
      </w:r>
      <w:r w:rsidRPr="0059734A">
        <w:rPr>
          <w:rFonts w:cs="Arial"/>
          <w:szCs w:val="24"/>
        </w:rPr>
        <w:t xml:space="preserve"> de la Ley de Transparencia y Acceso a la Información Pública del Estado de México y Municipios, cuyo contenido literal es el siguiente:</w:t>
      </w:r>
    </w:p>
    <w:p w14:paraId="10F90645" w14:textId="77777777" w:rsidR="00383772" w:rsidRPr="0059734A" w:rsidRDefault="00383772" w:rsidP="004E0A52">
      <w:pPr>
        <w:autoSpaceDE w:val="0"/>
        <w:autoSpaceDN w:val="0"/>
        <w:adjustRightInd w:val="0"/>
        <w:rPr>
          <w:rFonts w:cs="Arial"/>
          <w:szCs w:val="24"/>
        </w:rPr>
      </w:pPr>
    </w:p>
    <w:p w14:paraId="72939C2E" w14:textId="77777777" w:rsidR="00020B85" w:rsidRPr="0059734A" w:rsidRDefault="00020B85" w:rsidP="004E0A52">
      <w:pPr>
        <w:pStyle w:val="Default"/>
        <w:spacing w:line="360" w:lineRule="auto"/>
        <w:ind w:left="851" w:right="851"/>
        <w:jc w:val="both"/>
        <w:rPr>
          <w:rFonts w:ascii="Palatino Linotype" w:hAnsi="Palatino Linotype"/>
          <w:b/>
          <w:bCs/>
          <w:i/>
          <w:sz w:val="22"/>
          <w:szCs w:val="22"/>
        </w:rPr>
      </w:pPr>
      <w:r w:rsidRPr="0059734A">
        <w:rPr>
          <w:rFonts w:ascii="Palatino Linotype" w:hAnsi="Palatino Linotype"/>
          <w:b/>
          <w:bCs/>
          <w:i/>
          <w:sz w:val="22"/>
          <w:szCs w:val="22"/>
        </w:rPr>
        <w:t xml:space="preserve">“Artículo 24. </w:t>
      </w:r>
      <w:r w:rsidRPr="0059734A">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3DB799D" w14:textId="77777777" w:rsidR="00020B85" w:rsidRPr="0059734A" w:rsidRDefault="00020B85" w:rsidP="004E0A52">
      <w:pPr>
        <w:pStyle w:val="Default"/>
        <w:spacing w:line="360" w:lineRule="auto"/>
        <w:ind w:left="851" w:right="851"/>
        <w:jc w:val="both"/>
        <w:rPr>
          <w:rFonts w:ascii="Palatino Linotype" w:hAnsi="Palatino Linotype"/>
          <w:b/>
          <w:bCs/>
          <w:i/>
          <w:sz w:val="22"/>
          <w:szCs w:val="22"/>
        </w:rPr>
      </w:pPr>
      <w:r w:rsidRPr="0059734A">
        <w:rPr>
          <w:rFonts w:ascii="Palatino Linotype" w:hAnsi="Palatino Linotype"/>
          <w:b/>
          <w:bCs/>
          <w:i/>
          <w:sz w:val="22"/>
          <w:szCs w:val="22"/>
        </w:rPr>
        <w:t xml:space="preserve">XII. </w:t>
      </w:r>
      <w:r w:rsidRPr="0059734A">
        <w:rPr>
          <w:rFonts w:ascii="Palatino Linotype" w:hAnsi="Palatino Linotype"/>
          <w:b/>
          <w:i/>
          <w:sz w:val="22"/>
          <w:szCs w:val="22"/>
          <w:u w:val="single"/>
        </w:rPr>
        <w:t>Publicar y mantener actualizada la información relativa a las obligaciones generales de transparencia</w:t>
      </w:r>
      <w:r w:rsidRPr="0059734A">
        <w:rPr>
          <w:rFonts w:ascii="Palatino Linotype" w:hAnsi="Palatino Linotype"/>
          <w:i/>
          <w:sz w:val="22"/>
          <w:szCs w:val="22"/>
        </w:rPr>
        <w:t xml:space="preserve"> previstas en la presente Ley o determinadas así por el Instituto, y en general aquella que sea de interés público;</w:t>
      </w:r>
    </w:p>
    <w:p w14:paraId="70070C27" w14:textId="77777777" w:rsidR="00243958" w:rsidRPr="0059734A" w:rsidRDefault="00243958" w:rsidP="004E0A52">
      <w:pPr>
        <w:pStyle w:val="Default"/>
        <w:spacing w:line="360" w:lineRule="auto"/>
        <w:ind w:left="851" w:right="851"/>
        <w:jc w:val="both"/>
        <w:rPr>
          <w:rFonts w:ascii="Palatino Linotype" w:hAnsi="Palatino Linotype"/>
          <w:b/>
          <w:bCs/>
          <w:i/>
          <w:sz w:val="22"/>
          <w:szCs w:val="22"/>
        </w:rPr>
      </w:pPr>
    </w:p>
    <w:p w14:paraId="35D53AE7" w14:textId="77777777" w:rsidR="00020B85" w:rsidRPr="0059734A" w:rsidRDefault="00020B85" w:rsidP="004E0A52">
      <w:pPr>
        <w:pStyle w:val="Default"/>
        <w:spacing w:line="360" w:lineRule="auto"/>
        <w:ind w:left="851" w:right="851"/>
        <w:jc w:val="both"/>
        <w:rPr>
          <w:rFonts w:ascii="Palatino Linotype" w:hAnsi="Palatino Linotype"/>
          <w:i/>
          <w:sz w:val="22"/>
          <w:szCs w:val="22"/>
        </w:rPr>
      </w:pPr>
      <w:r w:rsidRPr="0059734A">
        <w:rPr>
          <w:rFonts w:ascii="Palatino Linotype" w:hAnsi="Palatino Linotype"/>
          <w:b/>
          <w:bCs/>
          <w:i/>
          <w:sz w:val="22"/>
          <w:szCs w:val="22"/>
        </w:rPr>
        <w:t xml:space="preserve">Artículo 92. </w:t>
      </w:r>
      <w:r w:rsidRPr="0059734A">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2BE1FFB" w14:textId="39233BFA" w:rsidR="00020B85" w:rsidRPr="0059734A" w:rsidRDefault="00383772" w:rsidP="004E0A52">
      <w:pPr>
        <w:pStyle w:val="Citas"/>
        <w:spacing w:before="0" w:after="0"/>
      </w:pPr>
      <w:r w:rsidRPr="0059734A">
        <w:lastRenderedPageBreak/>
        <w:t xml:space="preserve"> </w:t>
      </w:r>
      <w:r w:rsidR="00020B85" w:rsidRPr="0059734A">
        <w:t>(…)</w:t>
      </w:r>
    </w:p>
    <w:p w14:paraId="4BA03384" w14:textId="2103A5E5" w:rsidR="00020B85" w:rsidRPr="0059734A" w:rsidRDefault="000A0F62" w:rsidP="004E0A52">
      <w:pPr>
        <w:pStyle w:val="Citas"/>
        <w:spacing w:before="0" w:after="0"/>
      </w:pPr>
      <w:r w:rsidRPr="0059734A">
        <w:t xml:space="preserve">XXXII. Las concesiones, </w:t>
      </w:r>
      <w:r w:rsidRPr="0059734A">
        <w:rPr>
          <w:b/>
          <w:u w:val="single"/>
        </w:rPr>
        <w:t>contratos</w:t>
      </w:r>
      <w:r w:rsidRPr="0059734A">
        <w:t>, convenios, permisos, licencias o autorizaciones otorgados, especificando los titulares de aquéllos, debiendo publicarse su objeto, nombre o razón social del titular, vigencia, tipo, términos, condiciones,</w:t>
      </w:r>
      <w:r w:rsidRPr="0059734A">
        <w:rPr>
          <w:b/>
          <w:u w:val="single"/>
        </w:rPr>
        <w:t xml:space="preserve"> monto</w:t>
      </w:r>
      <w:r w:rsidRPr="0059734A">
        <w:t xml:space="preserve"> y modificaciones, así como si el procedimiento involucra el aprovechamiento de bienes, servicios y/o recursos públicos;</w:t>
      </w:r>
      <w:r w:rsidR="00020B85" w:rsidRPr="0059734A">
        <w:t xml:space="preserve">” </w:t>
      </w:r>
      <w:r w:rsidR="00020B85" w:rsidRPr="0059734A">
        <w:rPr>
          <w:b/>
          <w:bCs/>
        </w:rPr>
        <w:t>(Sic)</w:t>
      </w:r>
    </w:p>
    <w:p w14:paraId="5BE52C76" w14:textId="77777777" w:rsidR="00020B85" w:rsidRPr="0059734A" w:rsidRDefault="00020B85" w:rsidP="004E0A52">
      <w:pPr>
        <w:autoSpaceDE w:val="0"/>
        <w:autoSpaceDN w:val="0"/>
        <w:adjustRightInd w:val="0"/>
        <w:rPr>
          <w:rFonts w:cs="Arial"/>
          <w:szCs w:val="24"/>
        </w:rPr>
      </w:pPr>
    </w:p>
    <w:p w14:paraId="01E79F16" w14:textId="5DDAC184" w:rsidR="00020B85" w:rsidRPr="0059734A" w:rsidRDefault="00020B85" w:rsidP="004E0A52">
      <w:pPr>
        <w:contextualSpacing/>
        <w:rPr>
          <w:rFonts w:eastAsia="MS Mincho" w:cs="Times New Roman"/>
          <w:szCs w:val="24"/>
        </w:rPr>
      </w:pPr>
      <w:r w:rsidRPr="0059734A">
        <w:rPr>
          <w:rFonts w:eastAsia="MS Mincho" w:cs="Tahoma"/>
          <w:szCs w:val="24"/>
        </w:rPr>
        <w:t xml:space="preserve">Así, la Ley de Transparencia y Acceso a la Información Pública del Estado de México y Municipios </w:t>
      </w:r>
      <w:r w:rsidRPr="0059734A">
        <w:rPr>
          <w:rFonts w:eastAsia="Arial Unicode MS" w:cs="Arial"/>
          <w:szCs w:val="24"/>
        </w:rPr>
        <w:t>en el artículo 92</w:t>
      </w:r>
      <w:r w:rsidR="000A0F62" w:rsidRPr="0059734A">
        <w:rPr>
          <w:rFonts w:eastAsia="Arial Unicode MS" w:cs="Arial"/>
          <w:szCs w:val="24"/>
        </w:rPr>
        <w:t xml:space="preserve"> fracciones XXX</w:t>
      </w:r>
      <w:r w:rsidRPr="0059734A">
        <w:rPr>
          <w:rFonts w:eastAsia="Arial Unicode MS" w:cs="Arial"/>
          <w:szCs w:val="24"/>
        </w:rPr>
        <w:t xml:space="preserve">I señala que la información requerida relativa </w:t>
      </w:r>
      <w:r w:rsidR="000A0F62" w:rsidRPr="0059734A">
        <w:rPr>
          <w:rFonts w:eastAsia="Arial Unicode MS" w:cs="Arial"/>
          <w:szCs w:val="24"/>
        </w:rPr>
        <w:t xml:space="preserve">a los contratos, costos, </w:t>
      </w:r>
      <w:r w:rsidRPr="0059734A">
        <w:rPr>
          <w:rFonts w:eastAsia="Arial Unicode MS" w:cs="Arial"/>
          <w:szCs w:val="24"/>
        </w:rPr>
        <w:t xml:space="preserve">se tratan de una obligación de transparencia común. </w:t>
      </w:r>
      <w:r w:rsidRPr="0059734A">
        <w:rPr>
          <w:rFonts w:eastAsia="Times New Roman" w:cs="Arial"/>
          <w:szCs w:val="24"/>
        </w:rPr>
        <w:t xml:space="preserve">Esto es, información que por su naturaleza es pública y que los sujetos obligados deben poner a disposición del público de manera permanente y por tanto deberán mantenerla actualizada en los respectivos medios electrónicos, </w:t>
      </w:r>
      <w:r w:rsidRPr="0059734A">
        <w:rPr>
          <w:rFonts w:eastAsia="MS Mincho" w:cs="Times New Roman"/>
          <w:szCs w:val="24"/>
        </w:rPr>
        <w:t xml:space="preserve">de acuerdo con sus facultades, atribuciones, funciones u objeto social. </w:t>
      </w:r>
    </w:p>
    <w:p w14:paraId="2DCEB7E8" w14:textId="77777777" w:rsidR="00020B85" w:rsidRPr="0059734A" w:rsidRDefault="00020B85" w:rsidP="004E0A52">
      <w:pPr>
        <w:rPr>
          <w:rFonts w:cs="Arial"/>
          <w:szCs w:val="24"/>
        </w:rPr>
      </w:pPr>
    </w:p>
    <w:p w14:paraId="6E71F980" w14:textId="77777777" w:rsidR="00020B85" w:rsidRPr="0059734A" w:rsidRDefault="00020B85" w:rsidP="004E0A52">
      <w:pPr>
        <w:rPr>
          <w:rFonts w:cs="Arial"/>
          <w:szCs w:val="24"/>
        </w:rPr>
      </w:pPr>
      <w:r w:rsidRPr="0059734A">
        <w:rPr>
          <w:rFonts w:cs="Arial"/>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445A3DA" w14:textId="77777777" w:rsidR="00020B85" w:rsidRPr="0059734A" w:rsidRDefault="00020B85" w:rsidP="004E0A52">
      <w:pPr>
        <w:rPr>
          <w:rFonts w:cs="Arial"/>
          <w:szCs w:val="24"/>
        </w:rPr>
      </w:pPr>
    </w:p>
    <w:p w14:paraId="257D9984" w14:textId="77777777" w:rsidR="00020B85" w:rsidRPr="0059734A" w:rsidRDefault="00020B85" w:rsidP="004E0A52">
      <w:pPr>
        <w:pStyle w:val="Citas"/>
        <w:spacing w:before="0" w:after="0"/>
      </w:pPr>
      <w:r w:rsidRPr="0059734A">
        <w:t xml:space="preserve">“Artículo 18. Los sujetos obligados deberán documentar todo acto que derive del ejercicio de sus facultades, competencias o funciones, considerando desde su origen la eventual publicidad y reutilización de la información que generen. </w:t>
      </w:r>
    </w:p>
    <w:p w14:paraId="5E7713B9" w14:textId="77777777" w:rsidR="00020B85" w:rsidRPr="0059734A" w:rsidRDefault="00020B85" w:rsidP="004E0A52">
      <w:pPr>
        <w:pStyle w:val="Citas"/>
        <w:spacing w:before="0" w:after="0"/>
      </w:pPr>
      <w:r w:rsidRPr="0059734A">
        <w:lastRenderedPageBreak/>
        <w:t xml:space="preserve">Artículo 19. Se presume que la información debe existir si se refiere a las facultades, competencias y funciones que los ordenamientos jurídicos aplicables otorgan a los sujetos obligados. </w:t>
      </w:r>
    </w:p>
    <w:p w14:paraId="193C97F2" w14:textId="77777777" w:rsidR="00020B85" w:rsidRPr="0059734A" w:rsidRDefault="00020B85" w:rsidP="004E0A52">
      <w:pPr>
        <w:pStyle w:val="Citas"/>
        <w:spacing w:before="0" w:after="0"/>
      </w:pPr>
      <w:r w:rsidRPr="0059734A">
        <w:t xml:space="preserve">En los casos en que ciertas facultades, competencias o funciones no se hayan ejercido, se debe motivar la respuesta en función de las causas que motiven tal circunstancia. </w:t>
      </w:r>
    </w:p>
    <w:p w14:paraId="449DDC6E" w14:textId="77777777" w:rsidR="00020B85" w:rsidRPr="0059734A" w:rsidRDefault="00020B85" w:rsidP="004E0A52">
      <w:pPr>
        <w:pStyle w:val="Citas"/>
        <w:spacing w:before="0" w:after="0"/>
        <w:rPr>
          <w:b/>
          <w:bCs/>
          <w:sz w:val="24"/>
          <w:szCs w:val="24"/>
        </w:rPr>
      </w:pPr>
      <w:r w:rsidRPr="0059734A">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9734A">
        <w:rPr>
          <w:b/>
          <w:bCs/>
        </w:rPr>
        <w:t>(Sic)</w:t>
      </w:r>
    </w:p>
    <w:p w14:paraId="008DD5C0" w14:textId="77777777" w:rsidR="004E0A52" w:rsidRPr="0059734A" w:rsidRDefault="004E0A52" w:rsidP="004E0A52">
      <w:pPr>
        <w:rPr>
          <w:rFonts w:eastAsia="Palatino Linotype" w:cs="Palatino Linotype"/>
          <w:szCs w:val="24"/>
        </w:rPr>
      </w:pPr>
    </w:p>
    <w:p w14:paraId="75EDB0FF" w14:textId="54BFCCC6" w:rsidR="004E0A52" w:rsidRPr="0059734A" w:rsidRDefault="004E0A52" w:rsidP="004E0A52">
      <w:pPr>
        <w:rPr>
          <w:rFonts w:eastAsia="Palatino Linotype" w:cs="Palatino Linotype"/>
          <w:szCs w:val="24"/>
        </w:rPr>
      </w:pPr>
      <w:r w:rsidRPr="0059734A">
        <w:rPr>
          <w:rFonts w:eastAsia="Palatino Linotype" w:cs="Palatino Linotype"/>
          <w:szCs w:val="24"/>
        </w:rPr>
        <w:t>Respecto el requerimiento del “</w:t>
      </w:r>
      <w:r w:rsidR="00AE2402" w:rsidRPr="0059734A">
        <w:rPr>
          <w:rFonts w:eastAsia="Palatino Linotype" w:cs="Palatino Linotype"/>
          <w:i/>
          <w:szCs w:val="24"/>
        </w:rPr>
        <w:t>pago por concepto de adquisición de la maquinaria</w:t>
      </w:r>
      <w:r w:rsidRPr="0059734A">
        <w:rPr>
          <w:rFonts w:eastAsia="Palatino Linotype" w:cs="Palatino Linotype"/>
          <w:szCs w:val="24"/>
        </w:rPr>
        <w:t xml:space="preserve">”, se debe establecer que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59734A">
        <w:rPr>
          <w:rFonts w:eastAsia="Palatino Linotype" w:cs="Palatino Linotype"/>
          <w:szCs w:val="24"/>
        </w:rPr>
        <w:t>Presupuestación</w:t>
      </w:r>
      <w:proofErr w:type="spellEnd"/>
      <w:r w:rsidRPr="0059734A">
        <w:rPr>
          <w:rFonts w:eastAsia="Palatino Linotype" w:cs="Palatino Linotype"/>
          <w:szCs w:val="24"/>
        </w:rPr>
        <w:t xml:space="preserve"> y Evaluación en la Administración Pública”</w:t>
      </w:r>
      <w:r w:rsidRPr="0059734A">
        <w:rPr>
          <w:rFonts w:eastAsia="Palatino Linotype" w:cs="Palatino Linotype"/>
          <w:szCs w:val="24"/>
          <w:vertAlign w:val="superscript"/>
        </w:rPr>
        <w:footnoteReference w:id="3"/>
      </w:r>
      <w:r w:rsidRPr="0059734A">
        <w:rPr>
          <w:rFonts w:eastAsia="Palatino Linotype" w:cs="Palatino Linotype"/>
          <w:szCs w:val="24"/>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0F84C23" w14:textId="77777777" w:rsidR="004E0A52" w:rsidRPr="0059734A" w:rsidRDefault="004E0A52" w:rsidP="004E0A52">
      <w:pPr>
        <w:rPr>
          <w:rFonts w:eastAsia="Palatino Linotype" w:cs="Palatino Linotype"/>
          <w:szCs w:val="24"/>
        </w:rPr>
      </w:pPr>
    </w:p>
    <w:p w14:paraId="3AAC0B6A" w14:textId="77777777" w:rsidR="004E0A52" w:rsidRPr="0059734A" w:rsidRDefault="004E0A52" w:rsidP="004E0A52">
      <w:pPr>
        <w:ind w:left="567" w:right="616" w:hanging="9"/>
        <w:rPr>
          <w:rFonts w:eastAsia="Palatino Linotype" w:cs="Palatino Linotype"/>
          <w:i/>
        </w:rPr>
      </w:pPr>
      <w:r w:rsidRPr="0059734A">
        <w:rPr>
          <w:rFonts w:eastAsia="Palatino Linotype" w:cs="Palatino Linotype"/>
          <w:b/>
          <w:i/>
        </w:rPr>
        <w:t xml:space="preserve">“REGISTRO CONTABLE </w:t>
      </w:r>
      <w:r w:rsidRPr="0059734A">
        <w:rPr>
          <w:rFonts w:eastAsia="Palatino Linotype" w:cs="Palatino Linotype"/>
          <w:i/>
        </w:rPr>
        <w:t>Asiento que se realiza en los libros de contabilidad de las actividades relacionadas con el ingreso y egresos de un ente económico.”</w:t>
      </w:r>
    </w:p>
    <w:p w14:paraId="753EC72F" w14:textId="77777777" w:rsidR="004E0A52" w:rsidRPr="0059734A" w:rsidRDefault="004E0A52" w:rsidP="004E0A52">
      <w:pPr>
        <w:ind w:left="567" w:right="616" w:hanging="9"/>
        <w:rPr>
          <w:rFonts w:eastAsia="Palatino Linotype" w:cs="Palatino Linotype"/>
          <w:i/>
        </w:rPr>
      </w:pPr>
    </w:p>
    <w:p w14:paraId="046C4293" w14:textId="77777777" w:rsidR="004E0A52" w:rsidRPr="0059734A" w:rsidRDefault="004E0A52" w:rsidP="004E0A52">
      <w:pPr>
        <w:ind w:left="567" w:right="616" w:hanging="9"/>
        <w:rPr>
          <w:rFonts w:eastAsia="Palatino Linotype" w:cs="Palatino Linotype"/>
          <w:b/>
          <w:i/>
        </w:rPr>
      </w:pPr>
      <w:r w:rsidRPr="0059734A">
        <w:rPr>
          <w:rFonts w:eastAsia="Palatino Linotype" w:cs="Palatino Linotype"/>
          <w:b/>
          <w:i/>
        </w:rPr>
        <w:t xml:space="preserve">“REGISTRO PRESUPUESTARIO </w:t>
      </w:r>
      <w:r w:rsidRPr="0059734A">
        <w:rPr>
          <w:rFonts w:eastAsia="Palatino Linotype" w:cs="Palatino Linotype"/>
          <w:i/>
        </w:rPr>
        <w:t>Asiento contable de las erogaciones realizadas por las dependencias y entidades con relación a la asignación, modificación y ejercicio de los recursos presupuestarios que se les hayan autorizado.”</w:t>
      </w:r>
    </w:p>
    <w:p w14:paraId="4842B57A" w14:textId="77777777" w:rsidR="004E0A52" w:rsidRPr="0059734A" w:rsidRDefault="004E0A52" w:rsidP="004E0A52">
      <w:pPr>
        <w:ind w:right="51"/>
        <w:rPr>
          <w:rFonts w:eastAsia="Palatino Linotype" w:cs="Palatino Linotype"/>
          <w:szCs w:val="24"/>
        </w:rPr>
      </w:pPr>
    </w:p>
    <w:p w14:paraId="4238EC60" w14:textId="77777777" w:rsidR="004E0A52" w:rsidRPr="0059734A" w:rsidRDefault="004E0A52" w:rsidP="004E0A52">
      <w:pPr>
        <w:ind w:right="51"/>
        <w:rPr>
          <w:rFonts w:eastAsia="Palatino Linotype" w:cs="Palatino Linotype"/>
          <w:szCs w:val="24"/>
        </w:rPr>
      </w:pPr>
      <w:r w:rsidRPr="0059734A">
        <w:rPr>
          <w:rFonts w:eastAsia="Palatino Linotype" w:cs="Palatino Linotype"/>
          <w:szCs w:val="24"/>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CD0FDA9" w14:textId="77777777" w:rsidR="004E0A52" w:rsidRPr="0059734A" w:rsidRDefault="004E0A52" w:rsidP="004E0A52">
      <w:pPr>
        <w:rPr>
          <w:rFonts w:eastAsia="Palatino Linotype" w:cs="Palatino Linotype"/>
          <w:szCs w:val="24"/>
        </w:rPr>
      </w:pPr>
    </w:p>
    <w:p w14:paraId="18A00D9F" w14:textId="77777777" w:rsidR="004E0A52" w:rsidRPr="0059734A" w:rsidRDefault="004E0A52" w:rsidP="004E0A52">
      <w:pPr>
        <w:rPr>
          <w:rFonts w:eastAsia="Palatino Linotype" w:cs="Palatino Linotype"/>
          <w:szCs w:val="24"/>
        </w:rPr>
      </w:pPr>
      <w:r w:rsidRPr="0059734A">
        <w:rPr>
          <w:rFonts w:eastAsia="Palatino Linotype" w:cs="Palatino Linotype"/>
          <w:szCs w:val="24"/>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F373C57" w14:textId="77777777" w:rsidR="004E0A52" w:rsidRPr="0059734A" w:rsidRDefault="004E0A52" w:rsidP="004E0A52">
      <w:pPr>
        <w:rPr>
          <w:rFonts w:eastAsia="Palatino Linotype" w:cs="Palatino Linotype"/>
          <w:szCs w:val="24"/>
        </w:rPr>
      </w:pPr>
    </w:p>
    <w:p w14:paraId="1512BC8F" w14:textId="77777777" w:rsidR="004E0A52" w:rsidRPr="0059734A" w:rsidRDefault="004E0A52" w:rsidP="004E0A52">
      <w:pPr>
        <w:rPr>
          <w:rFonts w:eastAsia="Palatino Linotype" w:cs="Palatino Linotype"/>
          <w:szCs w:val="24"/>
        </w:rPr>
      </w:pPr>
      <w:r w:rsidRPr="0059734A">
        <w:rPr>
          <w:rFonts w:eastAsia="Palatino Linotype" w:cs="Palatino Linotype"/>
          <w:szCs w:val="24"/>
        </w:rPr>
        <w:t xml:space="preserve">Correlativo a lo anterior, es preciso referir una definición de </w:t>
      </w:r>
      <w:r w:rsidRPr="0059734A">
        <w:rPr>
          <w:rFonts w:eastAsia="Palatino Linotype" w:cs="Palatino Linotype"/>
          <w:i/>
          <w:szCs w:val="24"/>
        </w:rPr>
        <w:t>póliza contable</w:t>
      </w:r>
      <w:r w:rsidRPr="0059734A">
        <w:rPr>
          <w:rFonts w:eastAsia="Palatino Linotype" w:cs="Palatino Linotype"/>
          <w:szCs w:val="24"/>
        </w:rPr>
        <w:t>, la cual, primeramente, no está definida en el Código Financiero del Estado de México y Municipios; no obstante, el ya mencionado Glosario la define como:</w:t>
      </w:r>
    </w:p>
    <w:p w14:paraId="673B8208" w14:textId="77777777" w:rsidR="004E0A52" w:rsidRPr="0059734A" w:rsidRDefault="004E0A52" w:rsidP="004E0A52">
      <w:pPr>
        <w:rPr>
          <w:rFonts w:eastAsia="Palatino Linotype" w:cs="Palatino Linotype"/>
          <w:szCs w:val="24"/>
        </w:rPr>
      </w:pPr>
    </w:p>
    <w:p w14:paraId="0AD88375" w14:textId="77777777" w:rsidR="004E0A52" w:rsidRPr="0059734A" w:rsidRDefault="004E0A52" w:rsidP="004E0A52">
      <w:pPr>
        <w:ind w:left="567" w:right="616"/>
        <w:rPr>
          <w:rFonts w:eastAsia="Palatino Linotype" w:cs="Palatino Linotype"/>
          <w:b/>
          <w:i/>
        </w:rPr>
      </w:pPr>
      <w:r w:rsidRPr="0059734A">
        <w:rPr>
          <w:rFonts w:eastAsia="Palatino Linotype" w:cs="Palatino Linotype"/>
          <w:i/>
        </w:rPr>
        <w:t>“</w:t>
      </w:r>
      <w:r w:rsidRPr="0059734A">
        <w:rPr>
          <w:rFonts w:eastAsia="Palatino Linotype" w:cs="Palatino Linotype"/>
          <w:b/>
          <w:i/>
        </w:rPr>
        <w:t xml:space="preserve">PÓLIZA CONTABLE </w:t>
      </w:r>
      <w:r w:rsidRPr="0059734A">
        <w:rPr>
          <w:rFonts w:eastAsia="Palatino Linotype" w:cs="Palatino Linotype"/>
          <w:i/>
        </w:rPr>
        <w:t xml:space="preserve">Documento en el cual se asientan en forma individual todas y cada una de las operaciones desarrolladas por una institución, así como la información necesaria para la identificación de dichas operaciones.” </w:t>
      </w:r>
    </w:p>
    <w:p w14:paraId="2F37DA40" w14:textId="77777777" w:rsidR="004E0A52" w:rsidRPr="0059734A" w:rsidRDefault="004E0A52" w:rsidP="004E0A52">
      <w:pPr>
        <w:rPr>
          <w:rFonts w:eastAsia="Palatino Linotype" w:cs="Palatino Linotype"/>
          <w:szCs w:val="24"/>
        </w:rPr>
      </w:pPr>
    </w:p>
    <w:p w14:paraId="0CBC8C50" w14:textId="77777777" w:rsidR="004E0A52" w:rsidRPr="0059734A" w:rsidRDefault="004E0A52" w:rsidP="004E0A52">
      <w:pPr>
        <w:rPr>
          <w:rFonts w:eastAsia="Palatino Linotype" w:cs="Palatino Linotype"/>
          <w:i/>
          <w:szCs w:val="24"/>
        </w:rPr>
      </w:pPr>
      <w:r w:rsidRPr="0059734A">
        <w:rPr>
          <w:rFonts w:eastAsia="Palatino Linotype" w:cs="Palatino Linotype"/>
          <w:szCs w:val="24"/>
        </w:rPr>
        <w:t xml:space="preserve">Así, se advierte que la </w:t>
      </w:r>
      <w:r w:rsidRPr="0059734A">
        <w:rPr>
          <w:rFonts w:eastAsia="Palatino Linotype" w:cs="Palatino Linotype"/>
          <w:i/>
          <w:szCs w:val="24"/>
        </w:rPr>
        <w:t>póliza contable</w:t>
      </w:r>
      <w:r w:rsidRPr="0059734A">
        <w:rPr>
          <w:rFonts w:eastAsia="Palatino Linotype" w:cs="Palatino Linotype"/>
          <w:szCs w:val="24"/>
        </w:rPr>
        <w:t xml:space="preserve"> constituye un registro contable y presupuestal con el que cuentan los Municipios para el registro de operaciones relacionadas con </w:t>
      </w:r>
      <w:r w:rsidRPr="0059734A">
        <w:rPr>
          <w:rFonts w:eastAsia="Palatino Linotype" w:cs="Palatino Linotype"/>
          <w:b/>
          <w:szCs w:val="24"/>
          <w:u w:val="single"/>
        </w:rPr>
        <w:t>ingresos y egresos</w:t>
      </w:r>
      <w:r w:rsidRPr="0059734A">
        <w:rPr>
          <w:rFonts w:eastAsia="Palatino Linotype" w:cs="Palatino Linotype"/>
          <w:szCs w:val="24"/>
        </w:rPr>
        <w:t xml:space="preserve"> y se anexan los documentos o comprobantes que justifiquen las anotaciones y cantidades en ellas registradas, lo que permite la identificación plena de dichas operaciones.</w:t>
      </w:r>
    </w:p>
    <w:p w14:paraId="1745AE46" w14:textId="77777777" w:rsidR="004E0A52" w:rsidRPr="0059734A" w:rsidRDefault="004E0A52" w:rsidP="004E0A52">
      <w:pPr>
        <w:rPr>
          <w:rFonts w:eastAsia="Palatino Linotype" w:cs="Palatino Linotype"/>
          <w:szCs w:val="24"/>
        </w:rPr>
      </w:pPr>
    </w:p>
    <w:p w14:paraId="385FA258" w14:textId="77777777" w:rsidR="004E0A52" w:rsidRPr="0059734A" w:rsidRDefault="004E0A52" w:rsidP="004E0A52">
      <w:pPr>
        <w:rPr>
          <w:rFonts w:eastAsia="Palatino Linotype" w:cs="Palatino Linotype"/>
          <w:szCs w:val="24"/>
        </w:rPr>
      </w:pPr>
      <w:r w:rsidRPr="0059734A">
        <w:rPr>
          <w:rFonts w:eastAsia="Palatino Linotype" w:cs="Palatino Linotype"/>
          <w:szCs w:val="24"/>
        </w:rPr>
        <w:t xml:space="preserve">En este sentido, este Instituto advierte de manera enunciativa mas no limitativa que existen diversos tipos de pólizas contables de acuerdo a las operaciones realizadas, dentro de las cuales, encontramos las </w:t>
      </w:r>
      <w:r w:rsidRPr="0059734A">
        <w:rPr>
          <w:rFonts w:eastAsia="Palatino Linotype" w:cs="Palatino Linotype"/>
          <w:b/>
          <w:i/>
          <w:szCs w:val="24"/>
        </w:rPr>
        <w:t>pólizas de egresos</w:t>
      </w:r>
      <w:r w:rsidRPr="0059734A">
        <w:rPr>
          <w:rFonts w:eastAsia="Palatino Linotype" w:cs="Palatino Linotype"/>
          <w:i/>
          <w:szCs w:val="24"/>
        </w:rPr>
        <w:t xml:space="preserve"> e ingresos</w:t>
      </w:r>
      <w:r w:rsidRPr="0059734A">
        <w:rPr>
          <w:rFonts w:eastAsia="Palatino Linotype" w:cs="Palatino Linotype"/>
          <w:szCs w:val="24"/>
        </w:rPr>
        <w:t xml:space="preserve">, </w:t>
      </w:r>
      <w:r w:rsidRPr="0059734A">
        <w:rPr>
          <w:rFonts w:eastAsia="Palatino Linotype" w:cs="Palatino Linotype"/>
          <w:b/>
          <w:szCs w:val="24"/>
        </w:rPr>
        <w:t xml:space="preserve">las primeras son aquellas en las cuales </w:t>
      </w:r>
      <w:r w:rsidRPr="0059734A">
        <w:rPr>
          <w:rFonts w:eastAsia="Palatino Linotype" w:cs="Palatino Linotype"/>
          <w:b/>
          <w:szCs w:val="24"/>
          <w:u w:val="single"/>
        </w:rPr>
        <w:t>se anotan diariamente las operaciones que representan gastos, es decir, salidas de dinero</w:t>
      </w:r>
      <w:r w:rsidRPr="0059734A">
        <w:rPr>
          <w:rFonts w:eastAsia="Palatino Linotype" w:cs="Palatino Linotype"/>
          <w:szCs w:val="24"/>
        </w:rPr>
        <w:t xml:space="preserve"> para el </w:t>
      </w:r>
      <w:r w:rsidRPr="0059734A">
        <w:rPr>
          <w:rFonts w:eastAsia="Palatino Linotype" w:cs="Palatino Linotype"/>
          <w:b/>
          <w:szCs w:val="24"/>
        </w:rPr>
        <w:t xml:space="preserve">Sujeto Obligado </w:t>
      </w:r>
      <w:r w:rsidRPr="0059734A">
        <w:rPr>
          <w:rFonts w:eastAsia="Palatino Linotype" w:cs="Palatino Linotype"/>
          <w:szCs w:val="24"/>
        </w:rPr>
        <w:t xml:space="preserve"> siendo estás el soporte documental que podría colmar las pretensiones del recurrente</w:t>
      </w:r>
      <w:r w:rsidRPr="0059734A">
        <w:rPr>
          <w:rFonts w:eastAsia="Palatino Linotype" w:cs="Palatino Linotype"/>
          <w:b/>
          <w:szCs w:val="24"/>
        </w:rPr>
        <w:t xml:space="preserve">, </w:t>
      </w:r>
      <w:r w:rsidRPr="0059734A">
        <w:rPr>
          <w:rFonts w:eastAsia="Palatino Linotype" w:cs="Palatino Linotype"/>
          <w:szCs w:val="24"/>
        </w:rPr>
        <w:t>pues</w:t>
      </w:r>
      <w:r w:rsidRPr="0059734A">
        <w:rPr>
          <w:rFonts w:eastAsia="Palatino Linotype" w:cs="Palatino Linotype"/>
          <w:b/>
          <w:szCs w:val="24"/>
        </w:rPr>
        <w:t xml:space="preserve"> </w:t>
      </w:r>
      <w:r w:rsidRPr="0059734A">
        <w:rPr>
          <w:rFonts w:eastAsia="Palatino Linotype" w:cs="Palatino Linotype"/>
          <w:szCs w:val="24"/>
        </w:rPr>
        <w:t xml:space="preserve">además, </w:t>
      </w:r>
      <w:r w:rsidRPr="0059734A">
        <w:rPr>
          <w:rFonts w:eastAsia="Palatino Linotype" w:cs="Palatino Linotype"/>
          <w:b/>
          <w:szCs w:val="24"/>
        </w:rPr>
        <w:t>deben encontrarse acompañadas de las documentales que sirven de soporte de dicho movimiento</w:t>
      </w:r>
      <w:r w:rsidRPr="0059734A">
        <w:rPr>
          <w:rFonts w:eastAsia="Palatino Linotype" w:cs="Palatino Linotype"/>
          <w:szCs w:val="24"/>
        </w:rPr>
        <w:t>, en atención a las segundas, registran todas la entradas de dinero independientemente de la modalidad, ya sea en efectivo, transferencia, cheque o pagaré, mediante la expedición de facturas.</w:t>
      </w:r>
    </w:p>
    <w:p w14:paraId="47E3D62C" w14:textId="77777777" w:rsidR="004E0A52" w:rsidRPr="0059734A" w:rsidRDefault="004E0A52" w:rsidP="004E0A52">
      <w:pPr>
        <w:ind w:right="51"/>
        <w:rPr>
          <w:rFonts w:eastAsia="Palatino Linotype" w:cs="Palatino Linotype"/>
          <w:szCs w:val="24"/>
        </w:rPr>
      </w:pPr>
    </w:p>
    <w:p w14:paraId="0A9C2569" w14:textId="77777777" w:rsidR="004E0A52" w:rsidRPr="0059734A" w:rsidRDefault="004E0A52" w:rsidP="004E0A52">
      <w:pPr>
        <w:ind w:right="51"/>
        <w:rPr>
          <w:rFonts w:eastAsia="Palatino Linotype" w:cs="Palatino Linotype"/>
          <w:szCs w:val="24"/>
        </w:rPr>
      </w:pPr>
      <w:r w:rsidRPr="0059734A">
        <w:rPr>
          <w:rFonts w:eastAsia="Palatino Linotype" w:cs="Palatino Linotype"/>
          <w:szCs w:val="24"/>
        </w:rPr>
        <w:lastRenderedPageBreak/>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por lo que si bien el Sujeto Obligado manifiesta que dicha información forma parte de la integración del tercer y cuarto trimestre del año en curso este Instituto advierte que dicha información debe constar en los archivos del Sujeto Obligado. </w:t>
      </w:r>
    </w:p>
    <w:p w14:paraId="2353F54D" w14:textId="77777777" w:rsidR="004E0A52" w:rsidRPr="0059734A" w:rsidRDefault="004E0A52" w:rsidP="004E0A52">
      <w:pPr>
        <w:contextualSpacing/>
        <w:rPr>
          <w:rFonts w:cs="Tahoma"/>
          <w:bCs/>
          <w:szCs w:val="24"/>
        </w:rPr>
      </w:pPr>
    </w:p>
    <w:p w14:paraId="66F661BD" w14:textId="77777777" w:rsidR="004E0A52" w:rsidRPr="0059734A" w:rsidRDefault="004E0A52" w:rsidP="004E0A52">
      <w:pPr>
        <w:rPr>
          <w:szCs w:val="24"/>
        </w:rPr>
      </w:pPr>
      <w:r w:rsidRPr="0059734A">
        <w:rPr>
          <w:szCs w:val="24"/>
        </w:rPr>
        <w:t xml:space="preserve">Entonces </w:t>
      </w:r>
      <w:r w:rsidRPr="0059734A">
        <w:rPr>
          <w:rFonts w:cs="Arial"/>
          <w:szCs w:val="24"/>
          <w:u w:val="single"/>
        </w:rPr>
        <w:t>la entrega de la información</w:t>
      </w:r>
      <w:r w:rsidRPr="0059734A">
        <w:rPr>
          <w:szCs w:val="24"/>
          <w:u w:val="single"/>
        </w:rPr>
        <w:t xml:space="preserve"> no afectaría a la veracidad o análisis de la información  en cumplimiento con el tercer y cuarto informe trimestral entregado al OSFEM pues los documentos requeridos son definitivos. </w:t>
      </w:r>
      <w:r w:rsidRPr="0059734A">
        <w:rPr>
          <w:szCs w:val="24"/>
        </w:rPr>
        <w:t>Por lo que resulta prudente tomar en consideración lo plasmado en el criterio 09/2004 emitido por la Suprema Corte de Justicia de la Nación, cuya literalidad es la siguiente:</w:t>
      </w:r>
    </w:p>
    <w:p w14:paraId="029E8AF6" w14:textId="77777777" w:rsidR="004E0A52" w:rsidRPr="0059734A" w:rsidRDefault="004E0A52" w:rsidP="004E0A52">
      <w:pPr>
        <w:rPr>
          <w:szCs w:val="24"/>
          <w:u w:val="single"/>
        </w:rPr>
      </w:pPr>
    </w:p>
    <w:p w14:paraId="1510768A" w14:textId="77777777" w:rsidR="004E0A52" w:rsidRPr="0059734A" w:rsidRDefault="004E0A52" w:rsidP="004E0A52">
      <w:pPr>
        <w:tabs>
          <w:tab w:val="left" w:pos="4962"/>
        </w:tabs>
        <w:ind w:left="708" w:right="539"/>
        <w:rPr>
          <w:i/>
        </w:rPr>
      </w:pPr>
      <w:r w:rsidRPr="0059734A">
        <w:rPr>
          <w:i/>
        </w:rPr>
        <w:t>"</w:t>
      </w:r>
      <w:r w:rsidRPr="0059734A">
        <w:rPr>
          <w:b/>
          <w:i/>
        </w:rPr>
        <w:t>INFORMACIÓN SUJETA A REVISIÓN. SI YA CONSTA EN UN DOCUMENTO DEFINITIVO, DEBE PERMITIRSE EL ACCESO A ÉSTE</w:t>
      </w:r>
      <w:r w:rsidRPr="0059734A">
        <w:rPr>
          <w:i/>
        </w:rPr>
        <w:t xml:space="preserve">. Para el otorgamiento del acceso a la información que consta en un documento definitivo, no obsta que el mismo se encuentre sujeto a un proceso de revisión, pues la información existe y se encuentra plasmada en un documento que está bajo el </w:t>
      </w:r>
      <w:r w:rsidRPr="0059734A">
        <w:rPr>
          <w:i/>
        </w:rPr>
        <w:lastRenderedPageBreak/>
        <w:t>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w:t>
      </w:r>
    </w:p>
    <w:p w14:paraId="33A04EAC" w14:textId="77777777" w:rsidR="004E0A52" w:rsidRPr="0059734A" w:rsidRDefault="004E0A52" w:rsidP="004E0A52">
      <w:pPr>
        <w:rPr>
          <w:szCs w:val="24"/>
        </w:rPr>
      </w:pPr>
    </w:p>
    <w:p w14:paraId="27F6DB5A" w14:textId="77777777" w:rsidR="004E0A52" w:rsidRPr="0059734A" w:rsidRDefault="004E0A52" w:rsidP="004E0A52">
      <w:pPr>
        <w:rPr>
          <w:szCs w:val="24"/>
        </w:rPr>
      </w:pPr>
      <w:r w:rsidRPr="0059734A">
        <w:rPr>
          <w:szCs w:val="24"/>
        </w:rPr>
        <w:t>Ahora bien, la Resolución Miscelánea Fiscal para el 2025, establece que la factura es lo mismo, que un Comprobante Fiscal Digital por Internet, por lo que, se puede considerar como el documento que comprueba la realización de una transacción comercial, entre un comprador y un vendedor, mediante el cual, el primero queda obligado a realizar un pago, mientras que el segundo, a entregar o brindar un producto o servicio.</w:t>
      </w:r>
    </w:p>
    <w:p w14:paraId="4449CE62" w14:textId="77777777" w:rsidR="004E0A52" w:rsidRPr="0059734A" w:rsidRDefault="004E0A52" w:rsidP="004E0A52">
      <w:pPr>
        <w:rPr>
          <w:szCs w:val="24"/>
        </w:rPr>
      </w:pPr>
    </w:p>
    <w:p w14:paraId="5E7F5267" w14:textId="77777777" w:rsidR="004E0A52" w:rsidRPr="0059734A" w:rsidRDefault="004E0A52" w:rsidP="004E0A52">
      <w:pPr>
        <w:rPr>
          <w:szCs w:val="24"/>
        </w:rPr>
      </w:pPr>
      <w:r w:rsidRPr="0059734A">
        <w:rPr>
          <w:szCs w:val="24"/>
        </w:rPr>
        <w:t>Por su parte, la Ley de Transparencia y Acceso a la Información Pública del Estado de México y Municipios prevé, en su artículo 92, fracción XXV que dentro de la información pública de oficio, se encuentra la información financiera sobre el presupuesto asignado, así como los informes del ejercicio trimestral del gasto, en términos de la Ley General de Contabilidad Gubernamental y demás disposiciones jurídicas aplicables; lo cual permite advertir, que la información solicitada, tiene el carácter de información pública dado que se relaciona con información financiera.</w:t>
      </w:r>
    </w:p>
    <w:p w14:paraId="55891A39" w14:textId="77777777" w:rsidR="004E0A52" w:rsidRPr="0059734A" w:rsidRDefault="004E0A52" w:rsidP="004E0A52">
      <w:pPr>
        <w:rPr>
          <w:szCs w:val="24"/>
        </w:rPr>
      </w:pPr>
    </w:p>
    <w:p w14:paraId="07BFF0A0" w14:textId="77777777" w:rsidR="004E0A52" w:rsidRPr="0059734A" w:rsidRDefault="004E0A52" w:rsidP="004E0A52">
      <w:pPr>
        <w:rPr>
          <w:szCs w:val="24"/>
        </w:rPr>
      </w:pPr>
      <w:r w:rsidRPr="0059734A">
        <w:rPr>
          <w:szCs w:val="24"/>
        </w:rPr>
        <w:lastRenderedPageBreak/>
        <w:t xml:space="preserve">Cabe señalar que, dentro de los documentos comprobatorios de las pólizas de egresos, se vinculan con </w:t>
      </w:r>
      <w:r w:rsidRPr="0059734A">
        <w:rPr>
          <w:b/>
          <w:bCs/>
          <w:szCs w:val="24"/>
        </w:rPr>
        <w:t>los procesos de contratación pública o adquisición</w:t>
      </w:r>
      <w:r w:rsidRPr="0059734A">
        <w:rPr>
          <w:szCs w:val="24"/>
        </w:rPr>
        <w:t xml:space="preserve">, al respecto se debe tener en consideración que, respecto a la contratación pública López Olvera, Miguel Alejandro </w:t>
      </w:r>
      <w:proofErr w:type="spellStart"/>
      <w:r w:rsidRPr="0059734A">
        <w:rPr>
          <w:szCs w:val="24"/>
        </w:rPr>
        <w:t>Cancino</w:t>
      </w:r>
      <w:proofErr w:type="spellEnd"/>
      <w:r w:rsidRPr="0059734A">
        <w:rPr>
          <w:szCs w:val="24"/>
        </w:rPr>
        <w:t xml:space="preserve"> Gómez, Rodolfo. (2020). “La Contratación Pública y el Sistema Nacional Anticorrupción”. (p. 4) la </w:t>
      </w:r>
      <w:r w:rsidRPr="0059734A">
        <w:rPr>
          <w:b/>
          <w:szCs w:val="24"/>
        </w:rPr>
        <w:t>contratación pública</w:t>
      </w:r>
      <w:r w:rsidRPr="0059734A">
        <w:rPr>
          <w:szCs w:val="24"/>
        </w:rPr>
        <w:t xml:space="preserve">, es el procedimiento de carácter administrativo, por medio del cual, un ente público selecciona y posteriormente, celebra un acuerdo de voluntades, con una persona física o jurídica colectiva, para que ésta, entregue o arrende un bien, </w:t>
      </w:r>
      <w:r w:rsidRPr="0059734A">
        <w:rPr>
          <w:b/>
          <w:szCs w:val="24"/>
        </w:rPr>
        <w:t>preste algún servicio público</w:t>
      </w:r>
      <w:r w:rsidRPr="0059734A">
        <w:rPr>
          <w:szCs w:val="24"/>
        </w:rPr>
        <w:t xml:space="preserve"> o lleve a cabo la ejecución de una obra pública, con recursos públicos del Estado y en beneficio de la colectividad.</w:t>
      </w:r>
    </w:p>
    <w:p w14:paraId="697EDD86" w14:textId="77777777" w:rsidR="004E0A52" w:rsidRPr="0059734A" w:rsidRDefault="004E0A52" w:rsidP="004E0A52">
      <w:pPr>
        <w:rPr>
          <w:szCs w:val="24"/>
        </w:rPr>
      </w:pPr>
    </w:p>
    <w:p w14:paraId="43054EBF" w14:textId="77777777" w:rsidR="004E0A52" w:rsidRPr="0059734A" w:rsidRDefault="004E0A52" w:rsidP="004E0A52">
      <w:pPr>
        <w:rPr>
          <w:szCs w:val="24"/>
        </w:rPr>
      </w:pPr>
      <w:r w:rsidRPr="0059734A">
        <w:rPr>
          <w:szCs w:val="24"/>
        </w:rP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rsidRPr="0059734A">
        <w:rPr>
          <w:szCs w:val="24"/>
        </w:rPr>
        <w:t>presupuestación</w:t>
      </w:r>
      <w:proofErr w:type="spellEnd"/>
      <w:r w:rsidRPr="0059734A">
        <w:rPr>
          <w:szCs w:val="24"/>
        </w:rPr>
        <w:t xml:space="preserve">, ejecución y control de la adquisición (bienes muebles e inmuebles), arrendamiento (bienes muebles e inmuebles), y la </w:t>
      </w:r>
      <w:r w:rsidRPr="0059734A">
        <w:rPr>
          <w:b/>
          <w:szCs w:val="24"/>
        </w:rPr>
        <w:t>contratación de servicios</w:t>
      </w:r>
      <w:r w:rsidRPr="0059734A">
        <w:rPr>
          <w:szCs w:val="24"/>
        </w:rPr>
        <w:t xml:space="preserve"> de cualquier naturaleza. </w:t>
      </w:r>
    </w:p>
    <w:p w14:paraId="3DAAD2E6" w14:textId="77777777" w:rsidR="004E0A52" w:rsidRPr="0059734A" w:rsidRDefault="004E0A52" w:rsidP="004E0A52">
      <w:pPr>
        <w:rPr>
          <w:szCs w:val="24"/>
        </w:rPr>
      </w:pPr>
    </w:p>
    <w:p w14:paraId="5D698F67" w14:textId="77777777" w:rsidR="004E0A52" w:rsidRPr="0059734A" w:rsidRDefault="004E0A52" w:rsidP="004E0A52">
      <w:pPr>
        <w:rPr>
          <w:szCs w:val="24"/>
        </w:rPr>
      </w:pPr>
      <w:r w:rsidRPr="0059734A">
        <w:rPr>
          <w:szCs w:val="24"/>
        </w:rPr>
        <w:t xml:space="preserve">De lo anterior, conforme a los artículos 26 y 27 de dicho ordenamiento jurídico, las adquisiciones, arrendamientos y </w:t>
      </w:r>
      <w:r w:rsidRPr="0059734A">
        <w:rPr>
          <w:b/>
          <w:szCs w:val="24"/>
        </w:rPr>
        <w:t>servicios</w:t>
      </w:r>
      <w:r w:rsidRPr="0059734A">
        <w:rPr>
          <w:szCs w:val="24"/>
        </w:rPr>
        <w:t xml:space="preserve">, se adjudicará a través de procedimientos de licitación pública, invitación restringida y adjudicación directa. En ese orden de ideas, conforme al artículo 65 de la Ley de Contratación Pública del Estado de México y Municipios, la adjudicación de un procedimiento de adquisición y arrendamiento de bienes y </w:t>
      </w:r>
      <w:r w:rsidRPr="0059734A">
        <w:rPr>
          <w:b/>
          <w:szCs w:val="24"/>
        </w:rPr>
        <w:t>contratación de servicios</w:t>
      </w:r>
      <w:r w:rsidRPr="0059734A">
        <w:rPr>
          <w:szCs w:val="24"/>
        </w:rPr>
        <w:t xml:space="preserve"> se realizará mediante la suscripción de un </w:t>
      </w:r>
      <w:r w:rsidRPr="0059734A">
        <w:rPr>
          <w:b/>
          <w:szCs w:val="24"/>
        </w:rPr>
        <w:t>contrato,</w:t>
      </w:r>
      <w:r w:rsidRPr="0059734A">
        <w:rPr>
          <w:szCs w:val="24"/>
        </w:rPr>
        <w:t xml:space="preserve"> </w:t>
      </w:r>
      <w:r w:rsidRPr="0059734A">
        <w:rPr>
          <w:szCs w:val="24"/>
        </w:rPr>
        <w:lastRenderedPageBreak/>
        <w:t>entre el Ayuntamiento y la persona a la cual haya ganado el procedimiento respectivo, dentro de los diez días hábiles siguientes a la notificación del fallo.</w:t>
      </w:r>
    </w:p>
    <w:p w14:paraId="35AF580E" w14:textId="77777777" w:rsidR="004E0A52" w:rsidRPr="0059734A" w:rsidRDefault="004E0A52" w:rsidP="004E0A52">
      <w:pPr>
        <w:rPr>
          <w:szCs w:val="24"/>
        </w:rPr>
      </w:pPr>
    </w:p>
    <w:p w14:paraId="22D1F1AC" w14:textId="77777777" w:rsidR="004E0A52" w:rsidRPr="0059734A" w:rsidRDefault="004E0A52" w:rsidP="004E0A52">
      <w:pPr>
        <w:rPr>
          <w:b/>
          <w:szCs w:val="24"/>
        </w:rPr>
      </w:pPr>
      <w:r w:rsidRPr="0059734A">
        <w:rPr>
          <w:szCs w:val="24"/>
        </w:rPr>
        <w:t xml:space="preserve">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w:t>
      </w:r>
      <w:r w:rsidRPr="0059734A">
        <w:rPr>
          <w:b/>
          <w:szCs w:val="24"/>
        </w:rPr>
        <w:t>así como el importe total.</w:t>
      </w:r>
    </w:p>
    <w:p w14:paraId="6B310C21" w14:textId="77777777" w:rsidR="004E0A52" w:rsidRPr="0059734A" w:rsidRDefault="004E0A52" w:rsidP="004E0A52">
      <w:pPr>
        <w:rPr>
          <w:szCs w:val="24"/>
        </w:rPr>
      </w:pPr>
    </w:p>
    <w:p w14:paraId="53AB341D" w14:textId="77777777" w:rsidR="004E0A52" w:rsidRPr="0059734A" w:rsidRDefault="004E0A52" w:rsidP="004E0A52">
      <w:pPr>
        <w:rPr>
          <w:color w:val="0D0D0D"/>
          <w:szCs w:val="24"/>
        </w:rPr>
      </w:pPr>
      <w:r w:rsidRPr="0059734A">
        <w:rPr>
          <w:color w:val="0D0D0D"/>
          <w:szCs w:val="24"/>
        </w:rPr>
        <w:t xml:space="preserve">Ahora bien, por lo que hace a las facturas de los contratos celebrados, </w:t>
      </w:r>
      <w:r w:rsidRPr="0059734A">
        <w:rPr>
          <w:szCs w:val="24"/>
        </w:rPr>
        <w:t xml:space="preserve">el artículo 4°, fracción XVIII, de la Ley General de Contabilidad Gubernamental, establece que la información financiera consiste en información presupuestaria y contable que se expresa en unidades monetarias las </w:t>
      </w:r>
      <w:r w:rsidRPr="0059734A">
        <w:rPr>
          <w:b/>
          <w:szCs w:val="24"/>
        </w:rPr>
        <w:t>transacciones que realiza un ente público y los eventos económicos identificables y cuantificable</w:t>
      </w:r>
      <w:r w:rsidRPr="0059734A">
        <w:rPr>
          <w:szCs w:val="24"/>
        </w:rPr>
        <w:t xml:space="preserve"> la cual puede representarse por reportes, informes, estados y notas que expresan su situación financiera, los resultados de su operación y los cambios en su patrimonio. </w:t>
      </w:r>
    </w:p>
    <w:p w14:paraId="69FB2C8D" w14:textId="77777777" w:rsidR="004E0A52" w:rsidRPr="0059734A" w:rsidRDefault="004E0A52" w:rsidP="004E0A52">
      <w:pPr>
        <w:rPr>
          <w:szCs w:val="24"/>
        </w:rPr>
      </w:pPr>
    </w:p>
    <w:p w14:paraId="63E90C44" w14:textId="77777777" w:rsidR="004E0A52" w:rsidRPr="0059734A" w:rsidRDefault="004E0A52" w:rsidP="004E0A52">
      <w:pPr>
        <w:rPr>
          <w:szCs w:val="24"/>
        </w:rPr>
      </w:pPr>
      <w:r w:rsidRPr="0059734A">
        <w:rPr>
          <w:szCs w:val="24"/>
        </w:rPr>
        <w:t xml:space="preserve">En esa misma tesitura, los artículos 16, 18, 19, fracción V, y 34 de la Ley General en comento, establece que los entes públicos deben contar con un sistema de contabilidad gubernamental en el cual se registran operaciones presupuestarias y contables derivadas de la gestión pública, así como otros flujos económicos, los cuales serán expresados en términos monetarios. Dichos registros contables se llevarán con base acumulativa, por lo que la contabilización de las transacciones de gasto se hará conforme a la fecha de su </w:t>
      </w:r>
      <w:r w:rsidRPr="0059734A">
        <w:rPr>
          <w:szCs w:val="24"/>
        </w:rPr>
        <w:lastRenderedPageBreak/>
        <w:t>realización, independientemente de la de su pago, y la del ingreso se registrará cuando exista jurídicamente el derecho de cobro.</w:t>
      </w:r>
    </w:p>
    <w:p w14:paraId="7E886DE2" w14:textId="77777777" w:rsidR="004E0A52" w:rsidRPr="0059734A" w:rsidRDefault="004E0A52" w:rsidP="004E0A52">
      <w:pPr>
        <w:rPr>
          <w:szCs w:val="24"/>
        </w:rPr>
      </w:pPr>
    </w:p>
    <w:p w14:paraId="52EC677E" w14:textId="77777777" w:rsidR="004E0A52" w:rsidRPr="0059734A" w:rsidRDefault="004E0A52" w:rsidP="004E0A52">
      <w:pPr>
        <w:rPr>
          <w:color w:val="0D0D0D"/>
          <w:szCs w:val="24"/>
        </w:rPr>
      </w:pPr>
      <w:r w:rsidRPr="0059734A">
        <w:rPr>
          <w:color w:val="0D0D0D"/>
          <w:szCs w:val="24"/>
        </w:rPr>
        <w:t xml:space="preserve">En ese contexto, la Guía técnica 05 “La contabilidad y la cuenta pública municipal”,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 De este modo, de acuerdo a la naturaleza de información solicitada, </w:t>
      </w:r>
      <w:r w:rsidRPr="0059734A">
        <w:rPr>
          <w:szCs w:val="24"/>
        </w:rPr>
        <w:t xml:space="preserve">resulta necesario traer a colación, la Resolución Miscelánea Fiscal para el 2025, establece que la </w:t>
      </w:r>
      <w:r w:rsidRPr="0059734A">
        <w:rPr>
          <w:b/>
          <w:szCs w:val="24"/>
        </w:rPr>
        <w:t>factura</w:t>
      </w:r>
      <w:r w:rsidRPr="0059734A">
        <w:rPr>
          <w:szCs w:val="24"/>
        </w:rPr>
        <w:t xml:space="preserve"> es lo mismo, que un Comprobante Fiscal Digital por Internet, por lo que, se puede considerar como el documento que comprueba la realización de una </w:t>
      </w:r>
      <w:r w:rsidRPr="0059734A">
        <w:rPr>
          <w:b/>
          <w:szCs w:val="24"/>
        </w:rPr>
        <w:t>transacción comercial</w:t>
      </w:r>
      <w:r w:rsidRPr="0059734A">
        <w:rPr>
          <w:szCs w:val="24"/>
        </w:rPr>
        <w:t xml:space="preserve">, entre un comprador y un vendedor, mediante el cual, el primero queda obligado a realizar un pago, mientras que el segundo, a entregar o brindar un producto o </w:t>
      </w:r>
      <w:r w:rsidRPr="0059734A">
        <w:rPr>
          <w:b/>
          <w:szCs w:val="24"/>
        </w:rPr>
        <w:t>servicio</w:t>
      </w:r>
      <w:r w:rsidRPr="0059734A">
        <w:rPr>
          <w:szCs w:val="24"/>
        </w:rPr>
        <w:t xml:space="preserve">. </w:t>
      </w:r>
    </w:p>
    <w:p w14:paraId="524B384B" w14:textId="77777777" w:rsidR="004E0A52" w:rsidRPr="0059734A" w:rsidRDefault="004E0A52" w:rsidP="004E0A52">
      <w:pPr>
        <w:rPr>
          <w:szCs w:val="24"/>
        </w:rPr>
      </w:pPr>
    </w:p>
    <w:p w14:paraId="2ABB8830" w14:textId="08B8DE2E" w:rsidR="004E0A52" w:rsidRPr="0059734A" w:rsidRDefault="004E0A52" w:rsidP="004E0A52">
      <w:pPr>
        <w:widowControl w:val="0"/>
        <w:rPr>
          <w:color w:val="000000"/>
          <w:szCs w:val="24"/>
        </w:rPr>
      </w:pPr>
      <w:r w:rsidRPr="0059734A">
        <w:rPr>
          <w:color w:val="000000"/>
          <w:szCs w:val="24"/>
        </w:rPr>
        <w:t xml:space="preserve">Así mismo,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w:t>
      </w:r>
      <w:r w:rsidRPr="0059734A">
        <w:rPr>
          <w:b/>
          <w:color w:val="000000"/>
          <w:szCs w:val="24"/>
        </w:rPr>
        <w:t>que incluye la versión pública del pago correspondiente que puede obrar en las facturas, órdenes de compra y/o comprobantes de pago de pago.</w:t>
      </w:r>
      <w:r w:rsidRPr="0059734A">
        <w:rPr>
          <w:color w:val="000000"/>
          <w:szCs w:val="24"/>
        </w:rPr>
        <w:t xml:space="preserve"> </w:t>
      </w:r>
    </w:p>
    <w:p w14:paraId="4FE89374" w14:textId="77777777" w:rsidR="004E0A52" w:rsidRPr="0059734A" w:rsidRDefault="004E0A52" w:rsidP="004E0A52">
      <w:pPr>
        <w:widowControl w:val="0"/>
        <w:rPr>
          <w:color w:val="000000"/>
          <w:szCs w:val="24"/>
        </w:rPr>
      </w:pPr>
    </w:p>
    <w:p w14:paraId="146AE252" w14:textId="06F76044" w:rsidR="004E0A52" w:rsidRPr="0059734A" w:rsidRDefault="004E0A52" w:rsidP="004E0A52">
      <w:pPr>
        <w:rPr>
          <w:szCs w:val="24"/>
        </w:rPr>
      </w:pPr>
      <w:r w:rsidRPr="0059734A">
        <w:rPr>
          <w:szCs w:val="24"/>
        </w:rPr>
        <w:lastRenderedPageBreak/>
        <w:t>Por lo que resulta dable ordenar el soporte documental que dé cuenta del pago por concepto de adquisición de la maquinaria referida en respuesta, al ocho de abril de dos mil veinticinco.</w:t>
      </w:r>
    </w:p>
    <w:p w14:paraId="286DB94F" w14:textId="77777777" w:rsidR="004E0A52" w:rsidRPr="0059734A" w:rsidRDefault="004E0A52" w:rsidP="004E0A52">
      <w:pPr>
        <w:widowControl w:val="0"/>
        <w:rPr>
          <w:b/>
          <w:color w:val="000000"/>
          <w:szCs w:val="24"/>
        </w:rPr>
      </w:pPr>
    </w:p>
    <w:p w14:paraId="6BAF63FD" w14:textId="77777777" w:rsidR="00383772" w:rsidRPr="0059734A" w:rsidRDefault="00383772" w:rsidP="004E0A52">
      <w:pPr>
        <w:autoSpaceDE w:val="0"/>
        <w:autoSpaceDN w:val="0"/>
        <w:adjustRightInd w:val="0"/>
        <w:rPr>
          <w:b/>
          <w:sz w:val="28"/>
          <w:szCs w:val="28"/>
        </w:rPr>
      </w:pPr>
    </w:p>
    <w:p w14:paraId="21BDBA87" w14:textId="77777777" w:rsidR="00383772" w:rsidRPr="0059734A" w:rsidRDefault="00383772" w:rsidP="004E0A52">
      <w:pPr>
        <w:autoSpaceDE w:val="0"/>
        <w:autoSpaceDN w:val="0"/>
        <w:adjustRightInd w:val="0"/>
        <w:rPr>
          <w:b/>
          <w:sz w:val="28"/>
          <w:szCs w:val="28"/>
        </w:rPr>
      </w:pPr>
      <w:r w:rsidRPr="0059734A">
        <w:rPr>
          <w:b/>
          <w:sz w:val="28"/>
          <w:szCs w:val="28"/>
        </w:rPr>
        <w:t xml:space="preserve">De la Versión Pública </w:t>
      </w:r>
    </w:p>
    <w:p w14:paraId="6E146FC4" w14:textId="77777777" w:rsidR="004E0A52" w:rsidRPr="0059734A" w:rsidRDefault="004E0A52" w:rsidP="004E0A52">
      <w:pPr>
        <w:rPr>
          <w:rFonts w:eastAsia="Palatino Linotype" w:cs="Palatino Linotype"/>
          <w:szCs w:val="24"/>
        </w:rPr>
      </w:pPr>
    </w:p>
    <w:p w14:paraId="031C3DA5" w14:textId="77777777" w:rsidR="004E0A52" w:rsidRPr="0059734A" w:rsidRDefault="004E0A52" w:rsidP="004E0A52">
      <w:pPr>
        <w:rPr>
          <w:rFonts w:eastAsia="Palatino Linotype" w:cs="Palatino Linotype"/>
          <w:szCs w:val="24"/>
        </w:rPr>
      </w:pPr>
      <w:r w:rsidRPr="0059734A">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81DE62F" w14:textId="77777777" w:rsidR="004E0A52" w:rsidRPr="0059734A" w:rsidRDefault="004E0A52" w:rsidP="004E0A52">
      <w:pPr>
        <w:rPr>
          <w:rFonts w:eastAsia="Palatino Linotype" w:cs="Palatino Linotype"/>
          <w:szCs w:val="24"/>
        </w:rPr>
      </w:pPr>
    </w:p>
    <w:p w14:paraId="6D759F7B"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Artículo 3.</w:t>
      </w:r>
      <w:r w:rsidRPr="0059734A">
        <w:rPr>
          <w:rFonts w:eastAsia="Palatino Linotype" w:cs="Palatino Linotype"/>
          <w:i/>
        </w:rPr>
        <w:t xml:space="preserve"> Para los efectos de la presente Ley se entenderá por:</w:t>
      </w:r>
    </w:p>
    <w:p w14:paraId="547428E5"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w:t>
      </w:r>
    </w:p>
    <w:p w14:paraId="0751C9AA"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IX. Datos personales:</w:t>
      </w:r>
      <w:r w:rsidRPr="0059734A">
        <w:rPr>
          <w:rFonts w:eastAsia="Palatino Linotype" w:cs="Palatino Linotype"/>
          <w:i/>
        </w:rPr>
        <w:t xml:space="preserve"> La información concerniente a una persona, identificada o identificable según lo dispuesto por la Ley de Protección de Datos Personales del Estado de México; </w:t>
      </w:r>
    </w:p>
    <w:p w14:paraId="67B22485"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XX.</w:t>
      </w:r>
      <w:r w:rsidRPr="0059734A">
        <w:rPr>
          <w:rFonts w:eastAsia="Palatino Linotype" w:cs="Palatino Linotype"/>
          <w:i/>
        </w:rPr>
        <w:t xml:space="preserve"> </w:t>
      </w:r>
      <w:r w:rsidRPr="0059734A">
        <w:rPr>
          <w:rFonts w:eastAsia="Palatino Linotype" w:cs="Palatino Linotype"/>
          <w:b/>
          <w:i/>
        </w:rPr>
        <w:t>Información clasificada:</w:t>
      </w:r>
      <w:r w:rsidRPr="0059734A">
        <w:rPr>
          <w:rFonts w:eastAsia="Palatino Linotype" w:cs="Palatino Linotype"/>
          <w:i/>
        </w:rPr>
        <w:t xml:space="preserve"> Aquella considerada por la presente Ley como reservada o confidencial;</w:t>
      </w:r>
    </w:p>
    <w:p w14:paraId="382FF123"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XXI.</w:t>
      </w:r>
      <w:r w:rsidRPr="0059734A">
        <w:rPr>
          <w:rFonts w:eastAsia="Palatino Linotype" w:cs="Palatino Linotype"/>
          <w:i/>
        </w:rPr>
        <w:t xml:space="preserve"> </w:t>
      </w:r>
      <w:r w:rsidRPr="0059734A">
        <w:rPr>
          <w:rFonts w:eastAsia="Palatino Linotype" w:cs="Palatino Linotype"/>
          <w:b/>
          <w:i/>
        </w:rPr>
        <w:t>Información confidencial:</w:t>
      </w:r>
      <w:r w:rsidRPr="0059734A">
        <w:rPr>
          <w:rFonts w:eastAsia="Palatino Linotype" w:cs="Palatino Linotype"/>
          <w:i/>
        </w:rPr>
        <w:t xml:space="preserve"> Se considera como información confidencial los secretos bancario, fiduciario, industrial, comercial, fiscal, bursátil y postal, cuya </w:t>
      </w:r>
      <w:r w:rsidRPr="0059734A">
        <w:rPr>
          <w:rFonts w:eastAsia="Palatino Linotype" w:cs="Palatino Linotype"/>
          <w:i/>
        </w:rPr>
        <w:lastRenderedPageBreak/>
        <w:t>titularidad corresponda a particulares, sujetos de derecho internacional o a sujetos obligados cuando no involucren el ejercicio de recursos públicos;</w:t>
      </w:r>
    </w:p>
    <w:p w14:paraId="224297FE"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w:t>
      </w:r>
    </w:p>
    <w:p w14:paraId="6FCDC1AA"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XLV.</w:t>
      </w:r>
      <w:r w:rsidRPr="0059734A">
        <w:rPr>
          <w:rFonts w:eastAsia="Palatino Linotype" w:cs="Palatino Linotype"/>
          <w:i/>
        </w:rPr>
        <w:t xml:space="preserve"> </w:t>
      </w:r>
      <w:r w:rsidRPr="0059734A">
        <w:rPr>
          <w:rFonts w:eastAsia="Palatino Linotype" w:cs="Palatino Linotype"/>
          <w:b/>
          <w:i/>
        </w:rPr>
        <w:t>Versión pública:</w:t>
      </w:r>
      <w:r w:rsidRPr="0059734A">
        <w:rPr>
          <w:rFonts w:eastAsia="Palatino Linotype" w:cs="Palatino Linotype"/>
          <w:i/>
        </w:rPr>
        <w:t xml:space="preserve"> Documento en el que se elimine, suprime o borra la información clasificada como reservada o confidencial para permitir su acceso.</w:t>
      </w:r>
    </w:p>
    <w:p w14:paraId="438B8128"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w:t>
      </w:r>
    </w:p>
    <w:p w14:paraId="59E6B2AC" w14:textId="77777777" w:rsidR="004E0A52" w:rsidRPr="0059734A" w:rsidRDefault="004E0A52" w:rsidP="004E0A52">
      <w:pPr>
        <w:ind w:left="567" w:right="567"/>
        <w:rPr>
          <w:rFonts w:eastAsia="Palatino Linotype" w:cs="Palatino Linotype"/>
          <w:i/>
        </w:rPr>
      </w:pPr>
    </w:p>
    <w:p w14:paraId="026153D8"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 xml:space="preserve">Artículo 91. </w:t>
      </w:r>
      <w:r w:rsidRPr="0059734A">
        <w:rPr>
          <w:rFonts w:eastAsia="Palatino Linotype" w:cs="Palatino Linotype"/>
          <w:i/>
        </w:rPr>
        <w:t>El acceso a la información pública será restringido excepcionalmente, cuando ésta sea clasificada como reservada o confidencial.</w:t>
      </w:r>
    </w:p>
    <w:p w14:paraId="6ADA3366" w14:textId="77777777" w:rsidR="004E0A52" w:rsidRPr="0059734A" w:rsidRDefault="004E0A52" w:rsidP="004E0A52">
      <w:pPr>
        <w:ind w:left="567" w:right="567"/>
        <w:rPr>
          <w:rFonts w:eastAsia="Palatino Linotype" w:cs="Palatino Linotype"/>
          <w:i/>
        </w:rPr>
      </w:pPr>
    </w:p>
    <w:p w14:paraId="4FF2B728"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Artículo 132.</w:t>
      </w:r>
      <w:r w:rsidRPr="0059734A">
        <w:rPr>
          <w:rFonts w:eastAsia="Palatino Linotype" w:cs="Palatino Linotype"/>
          <w:i/>
        </w:rPr>
        <w:t xml:space="preserve"> </w:t>
      </w:r>
      <w:r w:rsidRPr="0059734A">
        <w:rPr>
          <w:rFonts w:eastAsia="Palatino Linotype" w:cs="Palatino Linotype"/>
          <w:i/>
          <w:u w:val="single"/>
        </w:rPr>
        <w:t>La clasificación de la información se llevará a cabo en el momento en que</w:t>
      </w:r>
      <w:r w:rsidRPr="0059734A">
        <w:rPr>
          <w:rFonts w:eastAsia="Palatino Linotype" w:cs="Palatino Linotype"/>
          <w:i/>
        </w:rPr>
        <w:t>:</w:t>
      </w:r>
    </w:p>
    <w:p w14:paraId="2D69680D"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I.</w:t>
      </w:r>
      <w:r w:rsidRPr="0059734A">
        <w:rPr>
          <w:rFonts w:eastAsia="Palatino Linotype" w:cs="Palatino Linotype"/>
          <w:i/>
        </w:rPr>
        <w:t xml:space="preserve"> Se reciba una solicitud de acceso a la información;</w:t>
      </w:r>
    </w:p>
    <w:p w14:paraId="3FC9917D"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II.</w:t>
      </w:r>
      <w:r w:rsidRPr="0059734A">
        <w:rPr>
          <w:rFonts w:eastAsia="Palatino Linotype" w:cs="Palatino Linotype"/>
          <w:i/>
        </w:rPr>
        <w:t xml:space="preserve"> </w:t>
      </w:r>
      <w:r w:rsidRPr="0059734A">
        <w:rPr>
          <w:rFonts w:eastAsia="Palatino Linotype" w:cs="Palatino Linotype"/>
          <w:i/>
          <w:u w:val="single"/>
        </w:rPr>
        <w:t>Se determine mediante resolución de autoridad competente; o</w:t>
      </w:r>
    </w:p>
    <w:p w14:paraId="32DF4F4A" w14:textId="77777777" w:rsidR="004E0A52" w:rsidRPr="0059734A" w:rsidRDefault="004E0A52" w:rsidP="004E0A52">
      <w:pPr>
        <w:ind w:left="567" w:right="567"/>
        <w:rPr>
          <w:rFonts w:eastAsia="Palatino Linotype" w:cs="Palatino Linotype"/>
          <w:i/>
          <w:u w:val="single"/>
        </w:rPr>
      </w:pPr>
      <w:r w:rsidRPr="0059734A">
        <w:rPr>
          <w:rFonts w:eastAsia="Palatino Linotype" w:cs="Palatino Linotype"/>
          <w:b/>
          <w:i/>
        </w:rPr>
        <w:t>III.</w:t>
      </w:r>
      <w:r w:rsidRPr="0059734A">
        <w:rPr>
          <w:rFonts w:eastAsia="Palatino Linotype" w:cs="Palatino Linotype"/>
          <w:i/>
        </w:rPr>
        <w:t xml:space="preserve"> </w:t>
      </w:r>
      <w:r w:rsidRPr="0059734A">
        <w:rPr>
          <w:rFonts w:eastAsia="Palatino Linotype" w:cs="Palatino Linotype"/>
          <w:i/>
          <w:u w:val="single"/>
        </w:rPr>
        <w:t>Se generen versiones públicas para dar cumplimiento a las obligaciones de transparencia previstas en esta Ley.</w:t>
      </w:r>
    </w:p>
    <w:p w14:paraId="3BF18C6B"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w:t>
      </w:r>
    </w:p>
    <w:p w14:paraId="3CA4CA1A" w14:textId="77777777" w:rsidR="004E0A52" w:rsidRPr="0059734A" w:rsidRDefault="004E0A52" w:rsidP="004E0A52">
      <w:pPr>
        <w:rPr>
          <w:rFonts w:eastAsia="Palatino Linotype" w:cs="Palatino Linotype"/>
          <w:i/>
        </w:rPr>
      </w:pPr>
    </w:p>
    <w:p w14:paraId="18EA0A22" w14:textId="77777777" w:rsidR="004E0A52" w:rsidRPr="0059734A" w:rsidRDefault="004E0A52" w:rsidP="004E0A52">
      <w:pPr>
        <w:rPr>
          <w:rFonts w:eastAsia="Palatino Linotype" w:cs="Palatino Linotype"/>
          <w:szCs w:val="24"/>
        </w:rPr>
      </w:pPr>
      <w:r w:rsidRPr="0059734A">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938727" w14:textId="77777777" w:rsidR="004E0A52" w:rsidRPr="0059734A" w:rsidRDefault="004E0A52" w:rsidP="004E0A52">
      <w:pPr>
        <w:rPr>
          <w:rFonts w:eastAsia="Palatino Linotype" w:cs="Palatino Linotype"/>
          <w:szCs w:val="24"/>
        </w:rPr>
      </w:pPr>
    </w:p>
    <w:p w14:paraId="67B4C3F9" w14:textId="77777777" w:rsidR="004E0A52" w:rsidRPr="0059734A" w:rsidRDefault="004E0A52" w:rsidP="004E0A52">
      <w:pPr>
        <w:rPr>
          <w:rFonts w:eastAsia="Palatino Linotype" w:cs="Palatino Linotype"/>
          <w:szCs w:val="24"/>
        </w:rPr>
      </w:pPr>
      <w:r w:rsidRPr="0059734A">
        <w:rPr>
          <w:rFonts w:eastAsia="Palatino Linotype" w:cs="Palatino Linotype"/>
          <w:szCs w:val="24"/>
        </w:rPr>
        <w:lastRenderedPageBreak/>
        <w:t xml:space="preserve">Por otro lado, los </w:t>
      </w:r>
      <w:r w:rsidRPr="0059734A">
        <w:rPr>
          <w:rFonts w:eastAsia="Palatino Linotype" w:cs="Palatino Linotype"/>
          <w:iCs/>
          <w:szCs w:val="24"/>
        </w:rPr>
        <w:t>Lineamientos Generales en Materia de Clasificación y Desclasificación de la Información, así como para la elaboración de Versiones Públicas</w:t>
      </w:r>
      <w:r w:rsidRPr="0059734A">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CCF1B60" w14:textId="77777777" w:rsidR="004E0A52" w:rsidRPr="0059734A" w:rsidRDefault="004E0A52" w:rsidP="004E0A52">
      <w:pPr>
        <w:rPr>
          <w:color w:val="000000"/>
          <w:szCs w:val="24"/>
        </w:rPr>
      </w:pPr>
    </w:p>
    <w:p w14:paraId="5059E546" w14:textId="77777777" w:rsidR="004E0A52" w:rsidRPr="0059734A" w:rsidRDefault="004E0A52" w:rsidP="004E0A52">
      <w:pPr>
        <w:rPr>
          <w:color w:val="000000"/>
          <w:szCs w:val="24"/>
        </w:rPr>
      </w:pPr>
      <w:r w:rsidRPr="0059734A">
        <w:rPr>
          <w:color w:val="000000"/>
          <w:szCs w:val="24"/>
        </w:rPr>
        <w:t>Cabe precisar que la información que se ordena puede tener datos personales confidenciales e incluso información que sea reservada, por tanto, para la elaboración de las versiones públicas, se deberá tomar en consideración la posibilidad de testar parcialmente la información, conforme al análisis a los siguientes:</w:t>
      </w:r>
    </w:p>
    <w:p w14:paraId="6EF33590" w14:textId="77777777" w:rsidR="004E0A52" w:rsidRPr="0059734A" w:rsidRDefault="004E0A52" w:rsidP="004E0A52">
      <w:pPr>
        <w:rPr>
          <w:color w:val="000000"/>
          <w:szCs w:val="24"/>
        </w:rPr>
      </w:pPr>
    </w:p>
    <w:p w14:paraId="23BD9F80" w14:textId="77777777" w:rsidR="004E0A52" w:rsidRPr="0059734A" w:rsidRDefault="004E0A52" w:rsidP="00022208">
      <w:pPr>
        <w:numPr>
          <w:ilvl w:val="0"/>
          <w:numId w:val="75"/>
        </w:numPr>
        <w:ind w:left="714" w:hanging="357"/>
        <w:rPr>
          <w:b/>
          <w:bCs/>
          <w:color w:val="000000"/>
          <w:szCs w:val="24"/>
        </w:rPr>
      </w:pPr>
      <w:bookmarkStart w:id="1" w:name="_heading=h.c7th8vnlnine" w:colFirst="0" w:colLast="0"/>
      <w:bookmarkEnd w:id="1"/>
      <w:r w:rsidRPr="0059734A">
        <w:rPr>
          <w:b/>
          <w:bCs/>
          <w:color w:val="000000"/>
          <w:szCs w:val="24"/>
        </w:rPr>
        <w:t>Clave Única de Registro de Población (CURP);</w:t>
      </w:r>
    </w:p>
    <w:p w14:paraId="3C9CA8A6" w14:textId="77777777" w:rsidR="004E0A52" w:rsidRPr="0059734A" w:rsidRDefault="004E0A52" w:rsidP="00022208">
      <w:pPr>
        <w:numPr>
          <w:ilvl w:val="0"/>
          <w:numId w:val="75"/>
        </w:numPr>
        <w:ind w:left="714" w:hanging="357"/>
        <w:rPr>
          <w:b/>
          <w:bCs/>
          <w:color w:val="000000"/>
          <w:szCs w:val="24"/>
        </w:rPr>
      </w:pPr>
      <w:r w:rsidRPr="0059734A">
        <w:rPr>
          <w:b/>
          <w:bCs/>
          <w:color w:val="000000"/>
          <w:szCs w:val="24"/>
        </w:rPr>
        <w:t>Registro Federal de Contribuyentes del servidor público (RFC); y de proveedores</w:t>
      </w:r>
    </w:p>
    <w:p w14:paraId="60FEB627" w14:textId="77777777" w:rsidR="004E0A52" w:rsidRPr="0059734A" w:rsidRDefault="004E0A52" w:rsidP="00022208">
      <w:pPr>
        <w:numPr>
          <w:ilvl w:val="0"/>
          <w:numId w:val="75"/>
        </w:numPr>
        <w:pBdr>
          <w:top w:val="nil"/>
          <w:left w:val="nil"/>
          <w:bottom w:val="nil"/>
          <w:right w:val="nil"/>
          <w:between w:val="nil"/>
        </w:pBdr>
        <w:ind w:left="714" w:hanging="357"/>
        <w:rPr>
          <w:b/>
          <w:bCs/>
          <w:color w:val="000000"/>
          <w:szCs w:val="24"/>
        </w:rPr>
      </w:pPr>
      <w:r w:rsidRPr="0059734A">
        <w:rPr>
          <w:b/>
          <w:bCs/>
          <w:color w:val="000000"/>
          <w:szCs w:val="24"/>
        </w:rPr>
        <w:t>Sellos digitales del emisor y del Servicio de Administración Tributaria, y</w:t>
      </w:r>
    </w:p>
    <w:p w14:paraId="269EEBCF" w14:textId="77777777" w:rsidR="004E0A52" w:rsidRPr="0059734A" w:rsidRDefault="004E0A52" w:rsidP="00022208">
      <w:pPr>
        <w:numPr>
          <w:ilvl w:val="0"/>
          <w:numId w:val="75"/>
        </w:numPr>
        <w:ind w:left="714" w:hanging="357"/>
        <w:rPr>
          <w:color w:val="000000"/>
          <w:szCs w:val="24"/>
        </w:rPr>
      </w:pPr>
      <w:r w:rsidRPr="0059734A">
        <w:rPr>
          <w:b/>
          <w:bCs/>
          <w:color w:val="000000"/>
          <w:szCs w:val="24"/>
        </w:rPr>
        <w:t>Datos Bancarios de Particulares.</w:t>
      </w:r>
    </w:p>
    <w:p w14:paraId="39C91E6B" w14:textId="77777777" w:rsidR="004E0A52" w:rsidRPr="0059734A" w:rsidRDefault="004E0A52" w:rsidP="00022208">
      <w:pPr>
        <w:numPr>
          <w:ilvl w:val="0"/>
          <w:numId w:val="75"/>
        </w:numPr>
        <w:pBdr>
          <w:top w:val="nil"/>
          <w:left w:val="nil"/>
          <w:bottom w:val="nil"/>
          <w:right w:val="nil"/>
          <w:between w:val="nil"/>
        </w:pBdr>
        <w:ind w:left="714" w:hanging="357"/>
        <w:rPr>
          <w:b/>
          <w:bCs/>
          <w:color w:val="000000"/>
          <w:szCs w:val="24"/>
        </w:rPr>
      </w:pPr>
      <w:r w:rsidRPr="0059734A">
        <w:rPr>
          <w:b/>
          <w:bCs/>
          <w:color w:val="000000"/>
          <w:szCs w:val="24"/>
        </w:rPr>
        <w:t>Nombres de personas que no son servidores públicos ni proveedores.</w:t>
      </w:r>
    </w:p>
    <w:p w14:paraId="73A0CDE1" w14:textId="77777777" w:rsidR="004E0A52" w:rsidRPr="0059734A" w:rsidRDefault="004E0A52" w:rsidP="004E0A52">
      <w:pPr>
        <w:ind w:right="-28"/>
        <w:rPr>
          <w:color w:val="000000"/>
          <w:szCs w:val="24"/>
        </w:rPr>
      </w:pPr>
    </w:p>
    <w:p w14:paraId="7B0716DD" w14:textId="77777777" w:rsidR="004E0A52" w:rsidRPr="0059734A" w:rsidRDefault="004E0A52" w:rsidP="004E0A52">
      <w:pPr>
        <w:ind w:right="-28"/>
        <w:rPr>
          <w:color w:val="000000"/>
          <w:szCs w:val="24"/>
        </w:rPr>
      </w:pPr>
      <w:r w:rsidRPr="0059734A">
        <w:rPr>
          <w:color w:val="000000"/>
          <w:szCs w:val="24"/>
        </w:rPr>
        <w:t xml:space="preserve">De lo anterior, resulta procedente analizar si dichos datos son públicos o privados; en principio, cabe mencionar que el artículo 143, fracción I, de la Ley previamente citada, </w:t>
      </w:r>
      <w:r w:rsidRPr="0059734A">
        <w:rPr>
          <w:color w:val="000000"/>
          <w:szCs w:val="24"/>
        </w:rPr>
        <w:lastRenderedPageBreak/>
        <w:t>establece que la información privada y los datos personales, concernientes a una persona física o jurídica colectiva identificada o identificable son confidenciales.</w:t>
      </w:r>
    </w:p>
    <w:p w14:paraId="5A050C4D" w14:textId="77777777" w:rsidR="004E0A52" w:rsidRPr="0059734A" w:rsidRDefault="004E0A52" w:rsidP="004E0A52">
      <w:pPr>
        <w:rPr>
          <w:color w:val="000000"/>
          <w:szCs w:val="24"/>
        </w:rPr>
      </w:pPr>
      <w:r w:rsidRPr="0059734A">
        <w:rPr>
          <w:color w:val="000000"/>
          <w:szCs w:val="24"/>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0BCBB81" w14:textId="77777777" w:rsidR="004E0A52" w:rsidRPr="0059734A" w:rsidRDefault="004E0A52" w:rsidP="004E0A52">
      <w:pPr>
        <w:rPr>
          <w:color w:val="000000"/>
          <w:szCs w:val="24"/>
        </w:rPr>
      </w:pPr>
    </w:p>
    <w:p w14:paraId="13723023" w14:textId="77777777" w:rsidR="004E0A52" w:rsidRPr="0059734A" w:rsidRDefault="004E0A52" w:rsidP="004E0A52">
      <w:pPr>
        <w:rPr>
          <w:color w:val="000000"/>
          <w:szCs w:val="24"/>
        </w:rPr>
      </w:pPr>
      <w:r w:rsidRPr="0059734A">
        <w:rPr>
          <w:color w:val="000000"/>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F54642C" w14:textId="77777777" w:rsidR="004E0A52" w:rsidRPr="0059734A" w:rsidRDefault="004E0A52" w:rsidP="004E0A52">
      <w:pPr>
        <w:rPr>
          <w:color w:val="000000"/>
          <w:szCs w:val="24"/>
        </w:rPr>
      </w:pPr>
    </w:p>
    <w:p w14:paraId="6393EBE3" w14:textId="77777777" w:rsidR="004E0A52" w:rsidRPr="0059734A" w:rsidRDefault="004E0A52" w:rsidP="004E0A52">
      <w:pPr>
        <w:rPr>
          <w:color w:val="000000"/>
          <w:szCs w:val="24"/>
        </w:rPr>
      </w:pPr>
      <w:r w:rsidRPr="0059734A">
        <w:rPr>
          <w:color w:val="000000"/>
          <w:szCs w:val="24"/>
        </w:rPr>
        <w:t xml:space="preserve">En este sentido, un dato personal es cualquier información que pueda hacer a una persona física o jurídica colectiva identificada e identificable; por lo que, bajo dicha circunstancia, se analizarán si los datos mencionados, deben ser considerados </w:t>
      </w:r>
      <w:r w:rsidRPr="0059734A">
        <w:rPr>
          <w:color w:val="000000"/>
          <w:szCs w:val="24"/>
        </w:rPr>
        <w:lastRenderedPageBreak/>
        <w:t>confidenciales, en términos del artículo 143, fracción I, de la Ley de Transparencia y Acceso a la Información Pública del Estado de México y Municipios, o públicos.</w:t>
      </w:r>
    </w:p>
    <w:p w14:paraId="3CCD3FB4" w14:textId="77777777" w:rsidR="004E0A52" w:rsidRPr="0059734A" w:rsidRDefault="004E0A52" w:rsidP="004E0A52">
      <w:pPr>
        <w:rPr>
          <w:color w:val="000000"/>
          <w:szCs w:val="24"/>
        </w:rPr>
      </w:pPr>
    </w:p>
    <w:p w14:paraId="2911A6DF" w14:textId="77777777" w:rsidR="004E0A52" w:rsidRPr="0059734A" w:rsidRDefault="004E0A52" w:rsidP="00022208">
      <w:pPr>
        <w:numPr>
          <w:ilvl w:val="0"/>
          <w:numId w:val="70"/>
        </w:numPr>
        <w:pBdr>
          <w:top w:val="nil"/>
          <w:left w:val="nil"/>
          <w:bottom w:val="nil"/>
          <w:right w:val="nil"/>
          <w:between w:val="nil"/>
        </w:pBdr>
        <w:rPr>
          <w:b/>
          <w:bCs/>
          <w:color w:val="000000"/>
          <w:szCs w:val="24"/>
        </w:rPr>
      </w:pPr>
      <w:r w:rsidRPr="0059734A">
        <w:rPr>
          <w:b/>
          <w:bCs/>
          <w:color w:val="000000"/>
          <w:szCs w:val="24"/>
        </w:rPr>
        <w:t>Clave Única de Registro de Población (CURP)</w:t>
      </w:r>
    </w:p>
    <w:p w14:paraId="253B819F" w14:textId="77777777" w:rsidR="004E0A52" w:rsidRPr="0059734A" w:rsidRDefault="004E0A52" w:rsidP="004E0A52">
      <w:pPr>
        <w:rPr>
          <w:color w:val="000000"/>
          <w:szCs w:val="24"/>
        </w:rPr>
      </w:pPr>
    </w:p>
    <w:p w14:paraId="76E8649C" w14:textId="77777777" w:rsidR="004E0A52" w:rsidRPr="0059734A" w:rsidRDefault="004E0A52" w:rsidP="004E0A52">
      <w:pPr>
        <w:rPr>
          <w:color w:val="000000"/>
          <w:szCs w:val="24"/>
        </w:rPr>
      </w:pPr>
      <w:r w:rsidRPr="0059734A">
        <w:rPr>
          <w:color w:val="000000"/>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C68A92F" w14:textId="77777777" w:rsidR="004E0A52" w:rsidRPr="0059734A" w:rsidRDefault="004E0A52" w:rsidP="004E0A52">
      <w:pPr>
        <w:rPr>
          <w:color w:val="000000"/>
          <w:szCs w:val="24"/>
        </w:rPr>
      </w:pPr>
    </w:p>
    <w:p w14:paraId="662F5B4B" w14:textId="77777777" w:rsidR="004E0A52" w:rsidRPr="0059734A" w:rsidRDefault="004E0A52" w:rsidP="004E0A52">
      <w:pPr>
        <w:rPr>
          <w:color w:val="000000"/>
          <w:szCs w:val="24"/>
        </w:rPr>
      </w:pPr>
      <w:r w:rsidRPr="0059734A">
        <w:rPr>
          <w:color w:val="000000"/>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1CE49AD" w14:textId="77777777" w:rsidR="004E0A52" w:rsidRPr="0059734A" w:rsidRDefault="004E0A52" w:rsidP="004E0A52">
      <w:pPr>
        <w:rPr>
          <w:color w:val="000000"/>
          <w:szCs w:val="24"/>
        </w:rPr>
      </w:pPr>
    </w:p>
    <w:p w14:paraId="21ED4E3D" w14:textId="77777777" w:rsidR="004E0A52" w:rsidRPr="0059734A" w:rsidRDefault="004E0A52" w:rsidP="004E0A52">
      <w:pPr>
        <w:rPr>
          <w:color w:val="000000"/>
          <w:szCs w:val="24"/>
        </w:rPr>
      </w:pPr>
      <w:r w:rsidRPr="0059734A">
        <w:rPr>
          <w:color w:val="000000"/>
          <w:szCs w:val="24"/>
        </w:rPr>
        <w:t xml:space="preserve">En ese orden de ideas, la Secretaría de Gobernación en las direcciones </w:t>
      </w:r>
      <w:hyperlink r:id="rId15">
        <w:r w:rsidRPr="0059734A">
          <w:rPr>
            <w:color w:val="0563C1"/>
            <w:szCs w:val="24"/>
            <w:u w:val="single"/>
          </w:rPr>
          <w:t>https://consultas.curp.gob.mx/CurpSP/html/informacionecurpPS.html</w:t>
        </w:r>
      </w:hyperlink>
      <w:r w:rsidRPr="0059734A">
        <w:rPr>
          <w:color w:val="000000"/>
          <w:szCs w:val="24"/>
        </w:rPr>
        <w:t xml:space="preserve"> y </w:t>
      </w:r>
      <w:hyperlink r:id="rId16">
        <w:r w:rsidRPr="0059734A">
          <w:rPr>
            <w:color w:val="0563C1"/>
            <w:szCs w:val="24"/>
            <w:u w:val="single"/>
          </w:rPr>
          <w:t>https://www.gob.mx/segob/renapo/acciones-y-programas/clave-unica-de-registro-de-poblacion-curp-142226</w:t>
        </w:r>
      </w:hyperlink>
      <w:r w:rsidRPr="0059734A">
        <w:rPr>
          <w:color w:val="000000"/>
          <w:szCs w:val="24"/>
        </w:rPr>
        <w:t xml:space="preserve"> (consultadas el seis de junio de dos mil veintidós), estableció que la Clave Única del Registro de Población, es un instrumento de registro que se asigna a todas las personas que viven en el territorio nacional, así como a los mexicanos que </w:t>
      </w:r>
      <w:r w:rsidRPr="0059734A">
        <w:rPr>
          <w:color w:val="000000"/>
          <w:szCs w:val="24"/>
        </w:rPr>
        <w:lastRenderedPageBreak/>
        <w:t xml:space="preserve">residen en el extranjero y se compone de dieciocho elementos, representados por letras y números, que </w:t>
      </w:r>
      <w:r w:rsidRPr="0059734A">
        <w:rPr>
          <w:b/>
          <w:bCs/>
          <w:color w:val="000000"/>
          <w:szCs w:val="24"/>
        </w:rPr>
        <w:t>se generan a partir de los datos contenidos en el documento probatorio de la identidad</w:t>
      </w:r>
      <w:r w:rsidRPr="0059734A">
        <w:rPr>
          <w:color w:val="000000"/>
          <w:szCs w:val="24"/>
        </w:rPr>
        <w:t xml:space="preserve"> </w:t>
      </w:r>
      <w:r w:rsidRPr="0059734A">
        <w:rPr>
          <w:b/>
          <w:bCs/>
          <w:color w:val="000000"/>
          <w:szCs w:val="24"/>
        </w:rPr>
        <w:t xml:space="preserve">del interesado </w:t>
      </w:r>
      <w:r w:rsidRPr="0059734A">
        <w:rPr>
          <w:color w:val="000000"/>
          <w:szCs w:val="24"/>
        </w:rPr>
        <w:t>(acta de nacimiento, carta de naturalización o documento migratorio) de la siguiente forma:</w:t>
      </w:r>
    </w:p>
    <w:p w14:paraId="035ADA9D" w14:textId="77777777" w:rsidR="004E0A52" w:rsidRPr="0059734A" w:rsidRDefault="004E0A52" w:rsidP="004E0A52">
      <w:pPr>
        <w:rPr>
          <w:color w:val="000000"/>
          <w:szCs w:val="24"/>
        </w:rPr>
      </w:pPr>
    </w:p>
    <w:p w14:paraId="27DF2C37" w14:textId="77777777" w:rsidR="004E0A52" w:rsidRPr="0059734A" w:rsidRDefault="004E0A52" w:rsidP="00022208">
      <w:pPr>
        <w:numPr>
          <w:ilvl w:val="0"/>
          <w:numId w:val="69"/>
        </w:numPr>
        <w:rPr>
          <w:color w:val="000000"/>
          <w:szCs w:val="24"/>
        </w:rPr>
      </w:pPr>
      <w:r w:rsidRPr="0059734A">
        <w:rPr>
          <w:color w:val="000000"/>
          <w:szCs w:val="24"/>
        </w:rPr>
        <w:t>El primero y segundo apellidos, así como al nombre de pila;</w:t>
      </w:r>
    </w:p>
    <w:p w14:paraId="37AFFA58" w14:textId="77777777" w:rsidR="004E0A52" w:rsidRPr="0059734A" w:rsidRDefault="004E0A52" w:rsidP="00022208">
      <w:pPr>
        <w:numPr>
          <w:ilvl w:val="0"/>
          <w:numId w:val="69"/>
        </w:numPr>
        <w:rPr>
          <w:color w:val="000000"/>
          <w:szCs w:val="24"/>
        </w:rPr>
      </w:pPr>
      <w:r w:rsidRPr="0059734A">
        <w:rPr>
          <w:color w:val="000000"/>
          <w:szCs w:val="24"/>
        </w:rPr>
        <w:t>La fecha de nacimiento;</w:t>
      </w:r>
    </w:p>
    <w:p w14:paraId="7523DCEE" w14:textId="77777777" w:rsidR="004E0A52" w:rsidRPr="0059734A" w:rsidRDefault="004E0A52" w:rsidP="00022208">
      <w:pPr>
        <w:numPr>
          <w:ilvl w:val="0"/>
          <w:numId w:val="69"/>
        </w:numPr>
        <w:rPr>
          <w:color w:val="000000"/>
          <w:szCs w:val="24"/>
        </w:rPr>
      </w:pPr>
      <w:r w:rsidRPr="0059734A">
        <w:rPr>
          <w:color w:val="000000"/>
          <w:szCs w:val="24"/>
        </w:rPr>
        <w:t>El sexo, y</w:t>
      </w:r>
    </w:p>
    <w:p w14:paraId="7BDF83EE" w14:textId="77777777" w:rsidR="004E0A52" w:rsidRPr="0059734A" w:rsidRDefault="004E0A52" w:rsidP="00022208">
      <w:pPr>
        <w:numPr>
          <w:ilvl w:val="0"/>
          <w:numId w:val="69"/>
        </w:numPr>
        <w:rPr>
          <w:color w:val="000000"/>
          <w:szCs w:val="24"/>
        </w:rPr>
      </w:pPr>
      <w:r w:rsidRPr="0059734A">
        <w:rPr>
          <w:color w:val="000000"/>
          <w:szCs w:val="24"/>
        </w:rPr>
        <w:t>La entidad federativa de nacimiento.</w:t>
      </w:r>
    </w:p>
    <w:p w14:paraId="48D529D6" w14:textId="77777777" w:rsidR="004E0A52" w:rsidRPr="0059734A" w:rsidRDefault="004E0A52" w:rsidP="004E0A52">
      <w:pPr>
        <w:rPr>
          <w:color w:val="000000"/>
          <w:szCs w:val="24"/>
        </w:rPr>
      </w:pPr>
    </w:p>
    <w:p w14:paraId="34B2D1A2" w14:textId="77777777" w:rsidR="004E0A52" w:rsidRPr="0059734A" w:rsidRDefault="004E0A52" w:rsidP="004E0A52">
      <w:pPr>
        <w:rPr>
          <w:color w:val="000000"/>
          <w:szCs w:val="24"/>
        </w:rPr>
      </w:pPr>
      <w:r w:rsidRPr="0059734A">
        <w:rPr>
          <w:color w:val="000000"/>
          <w:szCs w:val="24"/>
        </w:rPr>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B20F3FD" w14:textId="77777777" w:rsidR="004E0A52" w:rsidRPr="0059734A" w:rsidRDefault="004E0A52" w:rsidP="004E0A52">
      <w:pPr>
        <w:rPr>
          <w:color w:val="000000"/>
          <w:szCs w:val="24"/>
        </w:rPr>
      </w:pPr>
    </w:p>
    <w:p w14:paraId="4A3D1D55" w14:textId="77777777" w:rsidR="004E0A52" w:rsidRPr="0059734A" w:rsidRDefault="004E0A52" w:rsidP="004E0A52">
      <w:pPr>
        <w:rPr>
          <w:color w:val="000000"/>
          <w:szCs w:val="24"/>
        </w:rPr>
      </w:pPr>
      <w:r w:rsidRPr="0059734A">
        <w:rPr>
          <w:color w:val="000000"/>
          <w:szCs w:val="24"/>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4F8171E8" w14:textId="77777777" w:rsidR="004E0A52" w:rsidRPr="0059734A" w:rsidRDefault="004E0A52" w:rsidP="004E0A52">
      <w:pPr>
        <w:rPr>
          <w:color w:val="000000"/>
          <w:szCs w:val="24"/>
        </w:rPr>
      </w:pPr>
    </w:p>
    <w:p w14:paraId="259B195A" w14:textId="77777777" w:rsidR="004E0A52" w:rsidRPr="0059734A" w:rsidRDefault="004E0A52" w:rsidP="004E0A52">
      <w:pPr>
        <w:ind w:left="567" w:right="567"/>
        <w:rPr>
          <w:i/>
          <w:iCs/>
          <w:color w:val="000000"/>
        </w:rPr>
      </w:pPr>
      <w:r w:rsidRPr="0059734A">
        <w:rPr>
          <w:b/>
          <w:bCs/>
          <w:i/>
          <w:iCs/>
          <w:color w:val="000000"/>
        </w:rPr>
        <w:t xml:space="preserve">“Clave Única de Registro de Población (CURP). </w:t>
      </w:r>
      <w:r w:rsidRPr="0059734A">
        <w:rPr>
          <w:i/>
          <w:iCs/>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A285282" w14:textId="77777777" w:rsidR="004E0A52" w:rsidRPr="0059734A" w:rsidRDefault="004E0A52" w:rsidP="004E0A52">
      <w:pPr>
        <w:rPr>
          <w:color w:val="000000"/>
        </w:rPr>
      </w:pPr>
    </w:p>
    <w:p w14:paraId="07F223A4" w14:textId="77777777" w:rsidR="004E0A52" w:rsidRPr="0059734A" w:rsidRDefault="004E0A52" w:rsidP="004E0A52">
      <w:pPr>
        <w:rPr>
          <w:color w:val="000000"/>
          <w:szCs w:val="24"/>
        </w:rPr>
      </w:pPr>
      <w:r w:rsidRPr="0059734A">
        <w:rPr>
          <w:color w:val="000000"/>
          <w:szCs w:val="24"/>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6F4DF8F5" w14:textId="77777777" w:rsidR="004E0A52" w:rsidRPr="0059734A" w:rsidRDefault="004E0A52" w:rsidP="004E0A52">
      <w:pPr>
        <w:rPr>
          <w:color w:val="000000"/>
          <w:szCs w:val="24"/>
        </w:rPr>
      </w:pPr>
    </w:p>
    <w:p w14:paraId="1D54B98E" w14:textId="77777777" w:rsidR="004E0A52" w:rsidRPr="0059734A" w:rsidRDefault="004E0A52" w:rsidP="00022208">
      <w:pPr>
        <w:numPr>
          <w:ilvl w:val="0"/>
          <w:numId w:val="71"/>
        </w:numPr>
        <w:rPr>
          <w:b/>
          <w:bCs/>
          <w:color w:val="000000"/>
          <w:szCs w:val="24"/>
        </w:rPr>
      </w:pPr>
      <w:r w:rsidRPr="0059734A">
        <w:rPr>
          <w:b/>
          <w:bCs/>
          <w:color w:val="000000"/>
          <w:szCs w:val="24"/>
        </w:rPr>
        <w:t>Registro Federal de Contribuyentes (RFC) y de Proveedores</w:t>
      </w:r>
    </w:p>
    <w:p w14:paraId="565F3B73" w14:textId="77777777" w:rsidR="004E0A52" w:rsidRPr="0059734A" w:rsidRDefault="004E0A52" w:rsidP="004E0A52">
      <w:pPr>
        <w:rPr>
          <w:color w:val="000000"/>
          <w:szCs w:val="24"/>
        </w:rPr>
      </w:pPr>
      <w:r w:rsidRPr="0059734A">
        <w:rPr>
          <w:color w:val="000000"/>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E7893D4" w14:textId="77777777" w:rsidR="004E0A52" w:rsidRPr="0059734A" w:rsidRDefault="004E0A52" w:rsidP="004E0A52">
      <w:pPr>
        <w:rPr>
          <w:color w:val="000000"/>
          <w:szCs w:val="24"/>
        </w:rPr>
      </w:pPr>
    </w:p>
    <w:p w14:paraId="12CBF8D2" w14:textId="77777777" w:rsidR="004E0A52" w:rsidRPr="0059734A" w:rsidRDefault="004E0A52" w:rsidP="004E0A52">
      <w:pPr>
        <w:rPr>
          <w:color w:val="000000"/>
          <w:szCs w:val="24"/>
        </w:rPr>
      </w:pPr>
      <w:r w:rsidRPr="0059734A">
        <w:rPr>
          <w:color w:val="000000"/>
          <w:szCs w:val="24"/>
        </w:rPr>
        <w:t xml:space="preserve">De acuerdo a lo establecido en el artículo en comento, esta clave se compone de trece caracteres alfanuméricos, con datos obtenidos de los apellidos, nombre(s), fecha de </w:t>
      </w:r>
      <w:r w:rsidRPr="0059734A">
        <w:rPr>
          <w:color w:val="000000"/>
          <w:szCs w:val="24"/>
        </w:rPr>
        <w:lastRenderedPageBreak/>
        <w:t xml:space="preserve">nacimiento del titular, más una </w:t>
      </w:r>
      <w:proofErr w:type="spellStart"/>
      <w:r w:rsidRPr="0059734A">
        <w:rPr>
          <w:color w:val="000000"/>
          <w:szCs w:val="24"/>
        </w:rPr>
        <w:t>homoclave</w:t>
      </w:r>
      <w:proofErr w:type="spellEnd"/>
      <w:r w:rsidRPr="0059734A">
        <w:rPr>
          <w:color w:val="000000"/>
          <w:szCs w:val="24"/>
        </w:rPr>
        <w:t xml:space="preserve"> que establece el sistema automático del Servicio de Administración Tributaria.</w:t>
      </w:r>
    </w:p>
    <w:p w14:paraId="36154ABC" w14:textId="77777777" w:rsidR="004E0A52" w:rsidRPr="0059734A" w:rsidRDefault="004E0A52" w:rsidP="004E0A52">
      <w:pPr>
        <w:rPr>
          <w:color w:val="000000"/>
          <w:szCs w:val="24"/>
        </w:rPr>
      </w:pPr>
    </w:p>
    <w:p w14:paraId="69E0DBD8" w14:textId="77777777" w:rsidR="004E0A52" w:rsidRPr="0059734A" w:rsidRDefault="004E0A52" w:rsidP="004E0A52">
      <w:pPr>
        <w:rPr>
          <w:color w:val="000000"/>
          <w:szCs w:val="24"/>
        </w:rPr>
      </w:pPr>
      <w:r w:rsidRPr="0059734A">
        <w:rPr>
          <w:color w:val="000000"/>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25EED98" w14:textId="77777777" w:rsidR="004E0A52" w:rsidRPr="0059734A" w:rsidRDefault="004E0A52" w:rsidP="004E0A52">
      <w:pPr>
        <w:rPr>
          <w:color w:val="000000"/>
          <w:szCs w:val="24"/>
        </w:rPr>
      </w:pPr>
    </w:p>
    <w:p w14:paraId="3ECDD149" w14:textId="77777777" w:rsidR="004E0A52" w:rsidRPr="0059734A" w:rsidRDefault="004E0A52" w:rsidP="004E0A52">
      <w:pPr>
        <w:rPr>
          <w:color w:val="000000"/>
          <w:szCs w:val="24"/>
        </w:rPr>
      </w:pPr>
      <w:r w:rsidRPr="0059734A">
        <w:rPr>
          <w:color w:val="000000"/>
          <w:szCs w:val="24"/>
        </w:rPr>
        <w:t xml:space="preserve">Así, el Registro Federal de Contribuyentes, es un dato personal, ya que hace a las personas físicas </w:t>
      </w:r>
      <w:r w:rsidRPr="0059734A">
        <w:rPr>
          <w:szCs w:val="24"/>
        </w:rPr>
        <w:t>identificadas</w:t>
      </w:r>
      <w:r w:rsidRPr="0059734A">
        <w:rPr>
          <w:color w:val="000000"/>
          <w:szCs w:val="24"/>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59734A">
        <w:rPr>
          <w:szCs w:val="24"/>
        </w:rPr>
        <w:t>involucradas</w:t>
      </w:r>
      <w:proofErr w:type="gramEnd"/>
      <w:r w:rsidRPr="0059734A">
        <w:rPr>
          <w:color w:val="000000"/>
          <w:szCs w:val="24"/>
        </w:rPr>
        <w:t xml:space="preserve">, en el pago de estos, en el presente caso, del pago del Impuesto Sobre el Producto del Trabajo. </w:t>
      </w:r>
    </w:p>
    <w:p w14:paraId="78E2BB1A" w14:textId="77777777" w:rsidR="004E0A52" w:rsidRPr="0059734A" w:rsidRDefault="004E0A52" w:rsidP="004E0A52">
      <w:pPr>
        <w:rPr>
          <w:color w:val="000000"/>
          <w:szCs w:val="24"/>
        </w:rPr>
      </w:pPr>
    </w:p>
    <w:p w14:paraId="2D30CFA1" w14:textId="77777777" w:rsidR="004E0A52" w:rsidRPr="0059734A" w:rsidRDefault="004E0A52" w:rsidP="004E0A52">
      <w:pPr>
        <w:rPr>
          <w:color w:val="000000"/>
          <w:szCs w:val="24"/>
        </w:rPr>
      </w:pPr>
      <w:r w:rsidRPr="0059734A">
        <w:rPr>
          <w:color w:val="000000"/>
          <w:szCs w:val="24"/>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3FBA5F4" w14:textId="77777777" w:rsidR="004E0A52" w:rsidRPr="0059734A" w:rsidRDefault="004E0A52" w:rsidP="004E0A52">
      <w:pPr>
        <w:rPr>
          <w:color w:val="000000"/>
          <w:szCs w:val="24"/>
        </w:rPr>
      </w:pPr>
    </w:p>
    <w:p w14:paraId="449A1EA4" w14:textId="77777777" w:rsidR="004E0A52" w:rsidRPr="0059734A" w:rsidRDefault="004E0A52" w:rsidP="004E0A52">
      <w:pPr>
        <w:ind w:left="567" w:right="567"/>
        <w:rPr>
          <w:i/>
          <w:iCs/>
          <w:color w:val="000000"/>
        </w:rPr>
      </w:pPr>
      <w:r w:rsidRPr="0059734A">
        <w:rPr>
          <w:b/>
          <w:bCs/>
          <w:i/>
          <w:iCs/>
          <w:color w:val="000000"/>
        </w:rPr>
        <w:lastRenderedPageBreak/>
        <w:t>“Registro Federal de Contribuyentes (RFC) de personas físicas.</w:t>
      </w:r>
      <w:r w:rsidRPr="0059734A">
        <w:rPr>
          <w:i/>
          <w:iCs/>
          <w:color w:val="000000"/>
        </w:rPr>
        <w:t xml:space="preserve"> El RFC es una clave de carácter fiscal, única e irrepetible, que permite identificar al titular, su edad y fecha de nacimiento, por lo que es un dato personal de carácter confidencial.”</w:t>
      </w:r>
    </w:p>
    <w:p w14:paraId="67965A89" w14:textId="77777777" w:rsidR="004E0A52" w:rsidRPr="0059734A" w:rsidRDefault="004E0A52" w:rsidP="004E0A52">
      <w:pPr>
        <w:rPr>
          <w:color w:val="000000"/>
          <w:szCs w:val="24"/>
        </w:rPr>
      </w:pPr>
    </w:p>
    <w:p w14:paraId="0E1C1543" w14:textId="77777777" w:rsidR="004E0A52" w:rsidRPr="0059734A" w:rsidRDefault="004E0A52" w:rsidP="004E0A52">
      <w:pPr>
        <w:rPr>
          <w:color w:val="000000"/>
          <w:szCs w:val="24"/>
        </w:rPr>
      </w:pPr>
      <w:r w:rsidRPr="0059734A">
        <w:rPr>
          <w:color w:val="000000"/>
          <w:szCs w:val="24"/>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668567F" w14:textId="77777777" w:rsidR="004E0A52" w:rsidRPr="0059734A" w:rsidRDefault="004E0A52" w:rsidP="004E0A52">
      <w:pPr>
        <w:rPr>
          <w:color w:val="000000"/>
          <w:szCs w:val="24"/>
        </w:rPr>
      </w:pPr>
    </w:p>
    <w:p w14:paraId="4BCB37F4" w14:textId="77777777" w:rsidR="004E0A52" w:rsidRPr="0059734A" w:rsidRDefault="004E0A52" w:rsidP="004E0A52">
      <w:pPr>
        <w:rPr>
          <w:color w:val="000000"/>
          <w:szCs w:val="24"/>
        </w:rPr>
      </w:pPr>
      <w:r w:rsidRPr="0059734A">
        <w:rPr>
          <w:color w:val="000000"/>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E2E621B" w14:textId="77777777" w:rsidR="004E0A52" w:rsidRPr="0059734A" w:rsidRDefault="004E0A52" w:rsidP="004E0A52">
      <w:pPr>
        <w:rPr>
          <w:color w:val="000000"/>
          <w:szCs w:val="24"/>
        </w:rPr>
      </w:pPr>
    </w:p>
    <w:p w14:paraId="6476972C" w14:textId="77777777" w:rsidR="004E0A52" w:rsidRPr="0059734A" w:rsidRDefault="004E0A52" w:rsidP="004E0A52">
      <w:pPr>
        <w:rPr>
          <w:color w:val="000000"/>
          <w:szCs w:val="24"/>
        </w:rPr>
      </w:pPr>
      <w:r w:rsidRPr="0059734A">
        <w:rPr>
          <w:color w:val="000000"/>
          <w:szCs w:val="24"/>
        </w:rPr>
        <w:t>Ahora bien, si fuera el caso de que el Código QR diera cuenta del RFC de una persona jurídico-colectiva proveedor de una institución pública y el pago de los conceptos se realizó con recursos públicos; lo anterior se respalda con el Criterio 1/2014, del entonces Instituto Nacional de Transparencia, Acceso a la Información y Protección de Datos Personales (INAI).</w:t>
      </w:r>
    </w:p>
    <w:p w14:paraId="581A3EDB" w14:textId="77777777" w:rsidR="004E0A52" w:rsidRPr="0059734A" w:rsidRDefault="004E0A52" w:rsidP="004E0A52">
      <w:pPr>
        <w:rPr>
          <w:color w:val="000000"/>
          <w:szCs w:val="24"/>
        </w:rPr>
      </w:pPr>
    </w:p>
    <w:p w14:paraId="34926C5F" w14:textId="77777777" w:rsidR="004E0A52" w:rsidRPr="0059734A" w:rsidRDefault="004E0A52" w:rsidP="004E0A52">
      <w:pPr>
        <w:ind w:left="567" w:right="709"/>
        <w:rPr>
          <w:i/>
          <w:iCs/>
          <w:color w:val="000000"/>
        </w:rPr>
      </w:pPr>
      <w:r w:rsidRPr="0059734A">
        <w:rPr>
          <w:b/>
          <w:bCs/>
          <w:i/>
          <w:iCs/>
          <w:color w:val="000000"/>
        </w:rPr>
        <w:t xml:space="preserve">“Denominación o razón social, y Registro Federal de Contribuyentes de personas morales, no constituyen información confidencial. </w:t>
      </w:r>
      <w:r w:rsidRPr="0059734A">
        <w:rPr>
          <w:i/>
          <w:iCs/>
          <w:color w:val="000000"/>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705435E0" w14:textId="77777777" w:rsidR="004E0A52" w:rsidRPr="0059734A" w:rsidRDefault="004E0A52" w:rsidP="004E0A52">
      <w:pPr>
        <w:rPr>
          <w:b/>
          <w:bCs/>
          <w:color w:val="000000"/>
          <w:szCs w:val="24"/>
          <w:u w:val="single"/>
        </w:rPr>
      </w:pPr>
      <w:r w:rsidRPr="0059734A">
        <w:rPr>
          <w:color w:val="000000"/>
          <w:szCs w:val="24"/>
        </w:rPr>
        <w:br/>
      </w:r>
      <w:r w:rsidRPr="0059734A">
        <w:rPr>
          <w:b/>
          <w:bCs/>
          <w:color w:val="000000"/>
          <w:szCs w:val="24"/>
          <w:u w:val="single"/>
        </w:rPr>
        <w:t xml:space="preserve">Por lo que el RFC de los proveedores de algún servicio o producto, deberá ser público ya que no actualiza el supuesto jurídico. </w:t>
      </w:r>
    </w:p>
    <w:p w14:paraId="69A3C982" w14:textId="77777777" w:rsidR="004E0A52" w:rsidRPr="0059734A" w:rsidRDefault="004E0A52" w:rsidP="004E0A52">
      <w:pPr>
        <w:tabs>
          <w:tab w:val="center" w:pos="4522"/>
        </w:tabs>
        <w:rPr>
          <w:color w:val="000000"/>
          <w:szCs w:val="24"/>
        </w:rPr>
      </w:pPr>
    </w:p>
    <w:p w14:paraId="4B76793C" w14:textId="77777777" w:rsidR="004E0A52" w:rsidRPr="0059734A" w:rsidRDefault="004E0A52" w:rsidP="00022208">
      <w:pPr>
        <w:numPr>
          <w:ilvl w:val="0"/>
          <w:numId w:val="72"/>
        </w:numPr>
        <w:rPr>
          <w:szCs w:val="24"/>
        </w:rPr>
      </w:pPr>
      <w:r w:rsidRPr="0059734A">
        <w:rPr>
          <w:b/>
          <w:bCs/>
          <w:szCs w:val="24"/>
        </w:rPr>
        <w:t>Sellos digitales del emisor y del Servicio de Administración Tributaria y cadena original del complemento de certificación digital del organismo previamente señalado</w:t>
      </w:r>
    </w:p>
    <w:p w14:paraId="1B15DA0D" w14:textId="77777777" w:rsidR="004E0A52" w:rsidRPr="0059734A" w:rsidRDefault="004E0A52" w:rsidP="004E0A52">
      <w:pPr>
        <w:ind w:left="720"/>
        <w:rPr>
          <w:b/>
          <w:bCs/>
          <w:szCs w:val="24"/>
        </w:rPr>
      </w:pPr>
    </w:p>
    <w:p w14:paraId="305AE3BD" w14:textId="77777777" w:rsidR="004E0A52" w:rsidRPr="0059734A" w:rsidRDefault="004E0A52" w:rsidP="004E0A52">
      <w:pPr>
        <w:rPr>
          <w:szCs w:val="24"/>
        </w:rPr>
      </w:pPr>
      <w:r w:rsidRPr="0059734A">
        <w:rPr>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se encuentra encriptada como se verá a continuación.</w:t>
      </w:r>
    </w:p>
    <w:p w14:paraId="29DF9A49" w14:textId="77777777" w:rsidR="004E0A52" w:rsidRPr="0059734A" w:rsidRDefault="004E0A52" w:rsidP="004E0A52">
      <w:pPr>
        <w:rPr>
          <w:szCs w:val="24"/>
        </w:rPr>
      </w:pPr>
      <w:r w:rsidRPr="0059734A">
        <w:rPr>
          <w:szCs w:val="24"/>
        </w:rPr>
        <w:t> </w:t>
      </w:r>
    </w:p>
    <w:p w14:paraId="022EA715" w14:textId="77777777" w:rsidR="004E0A52" w:rsidRPr="0059734A" w:rsidRDefault="004E0A52" w:rsidP="004E0A52">
      <w:pPr>
        <w:rPr>
          <w:szCs w:val="24"/>
        </w:rPr>
      </w:pPr>
      <w:r w:rsidRPr="0059734A">
        <w:rPr>
          <w:szCs w:val="24"/>
        </w:rPr>
        <w:t>Las cadenas originales y sellos que se agregan a las facturas</w:t>
      </w:r>
      <w:r w:rsidRPr="0059734A">
        <w:rPr>
          <w:b/>
          <w:bCs/>
          <w:szCs w:val="24"/>
        </w:rPr>
        <w:t>,</w:t>
      </w:r>
      <w:r w:rsidRPr="0059734A">
        <w:rPr>
          <w:szCs w:val="24"/>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01EA40C3" w14:textId="77777777" w:rsidR="004E0A52" w:rsidRPr="0059734A" w:rsidRDefault="004E0A52" w:rsidP="004E0A52">
      <w:pPr>
        <w:rPr>
          <w:szCs w:val="24"/>
        </w:rPr>
      </w:pPr>
    </w:p>
    <w:p w14:paraId="52CC8BD2" w14:textId="77777777" w:rsidR="004E0A52" w:rsidRPr="0059734A" w:rsidRDefault="004E0A52" w:rsidP="004E0A52">
      <w:pPr>
        <w:ind w:left="567" w:right="539"/>
        <w:rPr>
          <w:i/>
          <w:iCs/>
        </w:rPr>
      </w:pPr>
      <w:r w:rsidRPr="0059734A">
        <w:rPr>
          <w:i/>
          <w:iCs/>
        </w:rPr>
        <w:t>“…</w:t>
      </w:r>
    </w:p>
    <w:p w14:paraId="0C1CE42A" w14:textId="77777777" w:rsidR="004E0A52" w:rsidRPr="0059734A" w:rsidRDefault="004E0A52" w:rsidP="004E0A52">
      <w:pPr>
        <w:ind w:left="567" w:right="539"/>
        <w:rPr>
          <w:i/>
          <w:iCs/>
        </w:rPr>
      </w:pPr>
      <w:r w:rsidRPr="0059734A">
        <w:rPr>
          <w:i/>
          <w:iCs/>
        </w:rPr>
        <w:t>Elementos utilizados en la generación de Sellos Digitales:</w:t>
      </w:r>
    </w:p>
    <w:p w14:paraId="4B69E6D0" w14:textId="77777777" w:rsidR="004E0A52" w:rsidRPr="0059734A" w:rsidRDefault="004E0A52" w:rsidP="004E0A52">
      <w:pPr>
        <w:ind w:left="567" w:right="539"/>
        <w:rPr>
          <w:i/>
          <w:iCs/>
        </w:rPr>
      </w:pPr>
    </w:p>
    <w:p w14:paraId="38C8A54F" w14:textId="77777777" w:rsidR="004E0A52" w:rsidRPr="0059734A" w:rsidRDefault="004E0A52" w:rsidP="004E0A52">
      <w:pPr>
        <w:ind w:left="567" w:right="539"/>
        <w:rPr>
          <w:i/>
          <w:iCs/>
        </w:rPr>
      </w:pPr>
      <w:r w:rsidRPr="0059734A">
        <w:rPr>
          <w:i/>
          <w:iCs/>
        </w:rPr>
        <w:lastRenderedPageBreak/>
        <w:t>•</w:t>
      </w:r>
      <w:r w:rsidRPr="0059734A">
        <w:rPr>
          <w:i/>
          <w:iCs/>
        </w:rPr>
        <w:tab/>
        <w:t>Cadena Original, el elemento a sellar, en este caso de un comprobante fiscal digital a través de Internet.</w:t>
      </w:r>
    </w:p>
    <w:p w14:paraId="047AA92F" w14:textId="77777777" w:rsidR="004E0A52" w:rsidRPr="0059734A" w:rsidRDefault="004E0A52" w:rsidP="004E0A52">
      <w:pPr>
        <w:ind w:left="567" w:right="539"/>
        <w:rPr>
          <w:i/>
          <w:iCs/>
        </w:rPr>
      </w:pPr>
      <w:r w:rsidRPr="0059734A">
        <w:rPr>
          <w:i/>
          <w:iCs/>
        </w:rPr>
        <w:t>•</w:t>
      </w:r>
      <w:r w:rsidRPr="0059734A">
        <w:rPr>
          <w:i/>
          <w:iCs/>
        </w:rPr>
        <w:tab/>
        <w:t>Certificado de Sello Digital y su correspondiente clave privada.</w:t>
      </w:r>
    </w:p>
    <w:p w14:paraId="70B92F9C" w14:textId="77777777" w:rsidR="004E0A52" w:rsidRPr="0059734A" w:rsidRDefault="004E0A52" w:rsidP="004E0A52">
      <w:pPr>
        <w:ind w:left="567" w:right="539"/>
        <w:rPr>
          <w:i/>
          <w:iCs/>
        </w:rPr>
      </w:pPr>
      <w:r w:rsidRPr="0059734A">
        <w:rPr>
          <w:i/>
          <w:iCs/>
        </w:rPr>
        <w:t>•</w:t>
      </w:r>
      <w:r w:rsidRPr="0059734A">
        <w:rPr>
          <w:i/>
          <w:iCs/>
        </w:rPr>
        <w:tab/>
        <w:t>Algoritmos de criptografía de clave pública para firma electrónica avanzada.</w:t>
      </w:r>
    </w:p>
    <w:p w14:paraId="0B647514" w14:textId="77777777" w:rsidR="004E0A52" w:rsidRPr="0059734A" w:rsidRDefault="004E0A52" w:rsidP="004E0A52">
      <w:pPr>
        <w:ind w:left="567" w:right="539"/>
        <w:rPr>
          <w:i/>
          <w:iCs/>
        </w:rPr>
      </w:pPr>
      <w:r w:rsidRPr="0059734A">
        <w:rPr>
          <w:i/>
          <w:iCs/>
        </w:rPr>
        <w:t>•</w:t>
      </w:r>
      <w:r w:rsidRPr="0059734A">
        <w:rPr>
          <w:i/>
          <w:iCs/>
        </w:rPr>
        <w:tab/>
        <w:t>Especificaciones de conversión de la firma electrónica avanzada a Base 64.</w:t>
      </w:r>
    </w:p>
    <w:p w14:paraId="27EC280E" w14:textId="77777777" w:rsidR="004E0A52" w:rsidRPr="0059734A" w:rsidRDefault="004E0A52" w:rsidP="004E0A52">
      <w:pPr>
        <w:ind w:left="567" w:right="539"/>
        <w:rPr>
          <w:i/>
          <w:iCs/>
        </w:rPr>
      </w:pPr>
      <w:r w:rsidRPr="0059734A">
        <w:rPr>
          <w:i/>
          <w:iCs/>
        </w:rPr>
        <w:t>Para la generación de sellos digitales se utiliza criptografía de clave pública aplicada a una cadena original.</w:t>
      </w:r>
    </w:p>
    <w:p w14:paraId="29C965DF" w14:textId="77777777" w:rsidR="004E0A52" w:rsidRPr="0059734A" w:rsidRDefault="004E0A52" w:rsidP="004E0A52">
      <w:pPr>
        <w:ind w:left="567" w:right="539"/>
        <w:rPr>
          <w:i/>
          <w:iCs/>
        </w:rPr>
      </w:pPr>
    </w:p>
    <w:p w14:paraId="2E55EC1D" w14:textId="77777777" w:rsidR="004E0A52" w:rsidRPr="0059734A" w:rsidRDefault="004E0A52" w:rsidP="004E0A52">
      <w:pPr>
        <w:ind w:left="567" w:right="539"/>
        <w:rPr>
          <w:i/>
          <w:iCs/>
        </w:rPr>
      </w:pPr>
      <w:r w:rsidRPr="0059734A">
        <w:rPr>
          <w:i/>
          <w:iCs/>
        </w:rPr>
        <w:t>Criptografía de la Clave Pública</w:t>
      </w:r>
    </w:p>
    <w:p w14:paraId="314FCEAE" w14:textId="77777777" w:rsidR="004E0A52" w:rsidRPr="0059734A" w:rsidRDefault="004E0A52" w:rsidP="004E0A52">
      <w:pPr>
        <w:ind w:left="567" w:right="539"/>
        <w:rPr>
          <w:i/>
          <w:iCs/>
        </w:rPr>
      </w:pPr>
    </w:p>
    <w:p w14:paraId="5DB8C140" w14:textId="77777777" w:rsidR="004E0A52" w:rsidRPr="0059734A" w:rsidRDefault="004E0A52" w:rsidP="004E0A52">
      <w:pPr>
        <w:ind w:left="567" w:right="539"/>
        <w:rPr>
          <w:i/>
          <w:iCs/>
        </w:rPr>
      </w:pPr>
      <w:r w:rsidRPr="0059734A">
        <w:rPr>
          <w:i/>
          <w:iCs/>
        </w:rPr>
        <w:t xml:space="preserve">La criptografía de Clave Pública se basa en la generación de una pareja de números muy grandes relacionados íntimamente entre sí, de tal manera que una operación de </w:t>
      </w:r>
      <w:proofErr w:type="spellStart"/>
      <w:r w:rsidRPr="0059734A">
        <w:rPr>
          <w:i/>
          <w:iCs/>
        </w:rPr>
        <w:t>encripción</w:t>
      </w:r>
      <w:proofErr w:type="spellEnd"/>
      <w:r w:rsidRPr="0059734A">
        <w:rPr>
          <w:i/>
          <w:iCs/>
        </w:rPr>
        <w:t xml:space="preserve"> sobre un mensaje tomando como clave de </w:t>
      </w:r>
      <w:proofErr w:type="spellStart"/>
      <w:r w:rsidRPr="0059734A">
        <w:rPr>
          <w:i/>
          <w:iCs/>
        </w:rPr>
        <w:t>encripción</w:t>
      </w:r>
      <w:proofErr w:type="spellEnd"/>
      <w:r w:rsidRPr="0059734A">
        <w:rPr>
          <w:i/>
          <w:iCs/>
        </w:rPr>
        <w:t xml:space="preserve"> a uno de los dos números, produce un mensaje alterado en su significado que solo puede ser devuelto a su estado original mediante la operación de </w:t>
      </w:r>
      <w:proofErr w:type="spellStart"/>
      <w:r w:rsidRPr="0059734A">
        <w:rPr>
          <w:i/>
          <w:iCs/>
        </w:rPr>
        <w:t>desencripción</w:t>
      </w:r>
      <w:proofErr w:type="spellEnd"/>
      <w:r w:rsidRPr="0059734A">
        <w:rPr>
          <w:i/>
          <w:iCs/>
        </w:rPr>
        <w:t xml:space="preserve"> correspondiente tomando como clave de </w:t>
      </w:r>
      <w:proofErr w:type="spellStart"/>
      <w:r w:rsidRPr="0059734A">
        <w:rPr>
          <w:i/>
          <w:iCs/>
        </w:rPr>
        <w:t>desencripción</w:t>
      </w:r>
      <w:proofErr w:type="spellEnd"/>
      <w:r w:rsidRPr="0059734A">
        <w:rPr>
          <w:i/>
          <w:iCs/>
        </w:rPr>
        <w:t xml:space="preserve"> al otro número de la pareja.</w:t>
      </w:r>
    </w:p>
    <w:p w14:paraId="13DA9E80" w14:textId="77777777" w:rsidR="004E0A52" w:rsidRPr="0059734A" w:rsidRDefault="004E0A52" w:rsidP="004E0A52">
      <w:pPr>
        <w:ind w:left="567" w:right="539"/>
        <w:rPr>
          <w:i/>
          <w:iCs/>
        </w:rPr>
      </w:pPr>
      <w:r w:rsidRPr="0059734A">
        <w:rPr>
          <w:i/>
          <w:iCs/>
        </w:rPr>
        <w:t>…”</w:t>
      </w:r>
    </w:p>
    <w:p w14:paraId="44FF5DB4" w14:textId="77777777" w:rsidR="004E0A52" w:rsidRPr="0059734A" w:rsidRDefault="004E0A52" w:rsidP="004E0A52">
      <w:pPr>
        <w:rPr>
          <w:szCs w:val="24"/>
        </w:rPr>
      </w:pPr>
      <w:r w:rsidRPr="0059734A">
        <w:rPr>
          <w:szCs w:val="24"/>
        </w:rPr>
        <w:t> </w:t>
      </w:r>
    </w:p>
    <w:p w14:paraId="13BAADFE" w14:textId="77777777" w:rsidR="004E0A52" w:rsidRPr="0059734A" w:rsidRDefault="004E0A52" w:rsidP="004E0A52">
      <w:pPr>
        <w:rPr>
          <w:szCs w:val="24"/>
        </w:rPr>
      </w:pPr>
      <w:r w:rsidRPr="0059734A">
        <w:rPr>
          <w:szCs w:val="24"/>
        </w:rPr>
        <w:t xml:space="preserve">Es decir, por sí solos las cadenas originales y los sellos originales no contienen datos personales confidenciales, por lo que se considera que no actualizan el supuesto de confidencialidad previsto en el artículo 143, fracción I, de la Ley de Transparencia y Acceso a la Información Pública del Estado de México y Municipios y, por el contrario, </w:t>
      </w:r>
      <w:r w:rsidRPr="0059734A">
        <w:rPr>
          <w:szCs w:val="24"/>
        </w:rPr>
        <w:lastRenderedPageBreak/>
        <w:t>son información que permite corroborar la legitimidad de la factura, de ser el caso, por lo que guardan el carácter de público.</w:t>
      </w:r>
    </w:p>
    <w:p w14:paraId="7BB19674" w14:textId="77777777" w:rsidR="004E0A52" w:rsidRPr="0059734A" w:rsidRDefault="004E0A52" w:rsidP="004E0A52">
      <w:pPr>
        <w:rPr>
          <w:szCs w:val="24"/>
        </w:rPr>
      </w:pPr>
    </w:p>
    <w:p w14:paraId="1927A0F6" w14:textId="12C32D38" w:rsidR="004E0A52" w:rsidRPr="0059734A" w:rsidRDefault="004E0A52" w:rsidP="004E0A52">
      <w:pPr>
        <w:rPr>
          <w:szCs w:val="24"/>
        </w:rPr>
      </w:pPr>
      <w:r w:rsidRPr="0059734A">
        <w:rPr>
          <w:szCs w:val="24"/>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2056BA10" w14:textId="77777777" w:rsidR="004E0A52" w:rsidRPr="0059734A" w:rsidRDefault="004E0A52" w:rsidP="00022208">
      <w:pPr>
        <w:numPr>
          <w:ilvl w:val="0"/>
          <w:numId w:val="73"/>
        </w:numPr>
        <w:rPr>
          <w:color w:val="000000"/>
          <w:szCs w:val="24"/>
        </w:rPr>
      </w:pPr>
      <w:r w:rsidRPr="0059734A">
        <w:rPr>
          <w:b/>
          <w:bCs/>
          <w:color w:val="000000"/>
          <w:szCs w:val="24"/>
        </w:rPr>
        <w:t>Datos Bancarios de Particulares.</w:t>
      </w:r>
    </w:p>
    <w:p w14:paraId="3A2CB03C" w14:textId="77777777" w:rsidR="004E0A52" w:rsidRPr="0059734A" w:rsidRDefault="004E0A52" w:rsidP="004E0A52">
      <w:pPr>
        <w:rPr>
          <w:color w:val="000000"/>
          <w:szCs w:val="24"/>
        </w:rPr>
      </w:pPr>
      <w:r w:rsidRPr="0059734A">
        <w:rPr>
          <w:color w:val="000000"/>
          <w:szCs w:val="24"/>
        </w:rPr>
        <w:t xml:space="preserve">Al respecto, se estima que dichos datos se relacionan con hechos y actos de carácter económico, pues los mismos darían cuenta, de la relación que tiene una institución financiero con un particular, inclusive dichos datos pudieran conformarse de las cuentas bancarias con las que cuenta un Particular, o bien, la </w:t>
      </w:r>
      <w:proofErr w:type="spellStart"/>
      <w:r w:rsidRPr="0059734A">
        <w:rPr>
          <w:color w:val="000000"/>
          <w:szCs w:val="24"/>
        </w:rPr>
        <w:t>clabe</w:t>
      </w:r>
      <w:proofErr w:type="spellEnd"/>
      <w:r w:rsidRPr="0059734A">
        <w:rPr>
          <w:color w:val="000000"/>
          <w:szCs w:val="24"/>
        </w:rPr>
        <w:t xml:space="preserve"> interbancaria; además, que con dicha información se podría obtener los recursos enviados a las órdenes de cargo, pago de nómina o a las transferencias electrónicas </w:t>
      </w:r>
      <w:r w:rsidRPr="0059734A">
        <w:rPr>
          <w:szCs w:val="24"/>
        </w:rPr>
        <w:t>de fondos</w:t>
      </w:r>
      <w:r w:rsidRPr="0059734A">
        <w:rPr>
          <w:color w:val="000000"/>
          <w:szCs w:val="24"/>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5F71BF04" w14:textId="77777777" w:rsidR="004E0A52" w:rsidRPr="0059734A" w:rsidRDefault="004E0A52" w:rsidP="004E0A52">
      <w:pPr>
        <w:rPr>
          <w:color w:val="000000"/>
          <w:szCs w:val="24"/>
        </w:rPr>
      </w:pPr>
      <w:r w:rsidRPr="0059734A">
        <w:rPr>
          <w:color w:val="000000"/>
          <w:szCs w:val="24"/>
        </w:rPr>
        <w:t xml:space="preserve"> </w:t>
      </w:r>
    </w:p>
    <w:p w14:paraId="29B9F8C3" w14:textId="77777777" w:rsidR="004E0A52" w:rsidRPr="0059734A" w:rsidRDefault="004E0A52" w:rsidP="004E0A52">
      <w:pPr>
        <w:rPr>
          <w:color w:val="000000"/>
          <w:szCs w:val="24"/>
        </w:rPr>
      </w:pPr>
      <w:r w:rsidRPr="0059734A">
        <w:rPr>
          <w:color w:val="000000"/>
          <w:szCs w:val="24"/>
        </w:rPr>
        <w:t>A mayor abundamiento, resulta necesario traer a colación el Criterio 10/17 emitido por el Instituto Nacional de Transparencia, Acceso a la Información y Protección de Datos Personales, mismo que establece lo siguiente:</w:t>
      </w:r>
    </w:p>
    <w:p w14:paraId="64AA6F8C" w14:textId="77777777" w:rsidR="004E0A52" w:rsidRPr="0059734A" w:rsidRDefault="004E0A52" w:rsidP="004E0A52">
      <w:pPr>
        <w:rPr>
          <w:color w:val="000000"/>
          <w:szCs w:val="24"/>
        </w:rPr>
      </w:pPr>
    </w:p>
    <w:p w14:paraId="5E89116D" w14:textId="77777777" w:rsidR="004E0A52" w:rsidRPr="0059734A" w:rsidRDefault="004E0A52" w:rsidP="004E0A52">
      <w:pPr>
        <w:ind w:left="567" w:right="709"/>
        <w:rPr>
          <w:i/>
          <w:iCs/>
          <w:color w:val="000000"/>
        </w:rPr>
      </w:pPr>
      <w:r w:rsidRPr="0059734A">
        <w:rPr>
          <w:i/>
          <w:iCs/>
          <w:color w:val="000000"/>
        </w:rPr>
        <w:lastRenderedPageBreak/>
        <w:t>“</w:t>
      </w:r>
      <w:r w:rsidRPr="0059734A">
        <w:rPr>
          <w:b/>
          <w:bCs/>
          <w:i/>
          <w:iCs/>
          <w:color w:val="000000"/>
        </w:rPr>
        <w:t>Cuentas bancarias y/o CLABE interbancaria de personas físicas y morales privadas.</w:t>
      </w:r>
      <w:r w:rsidRPr="0059734A">
        <w:rPr>
          <w:i/>
          <w:iCs/>
          <w:color w:val="00000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B6E7277" w14:textId="77777777" w:rsidR="004E0A52" w:rsidRPr="0059734A" w:rsidRDefault="004E0A52" w:rsidP="004E0A52">
      <w:pPr>
        <w:rPr>
          <w:color w:val="000000"/>
          <w:szCs w:val="24"/>
        </w:rPr>
      </w:pPr>
    </w:p>
    <w:p w14:paraId="672A2056" w14:textId="77777777" w:rsidR="004E0A52" w:rsidRPr="0059734A" w:rsidRDefault="004E0A52" w:rsidP="004E0A52">
      <w:pPr>
        <w:rPr>
          <w:color w:val="000000"/>
          <w:szCs w:val="24"/>
        </w:rPr>
      </w:pPr>
      <w:r w:rsidRPr="0059734A">
        <w:rPr>
          <w:color w:val="000000"/>
          <w:szCs w:val="24"/>
        </w:rPr>
        <w:t xml:space="preserve">Por lo cual, se puede colegir que dichos datos no guardan relación con el servicio público ni con los recursos públicos, pues </w:t>
      </w:r>
      <w:r w:rsidRPr="0059734A">
        <w:rPr>
          <w:szCs w:val="24"/>
        </w:rPr>
        <w:t>sólo</w:t>
      </w:r>
      <w:r w:rsidRPr="0059734A">
        <w:rPr>
          <w:color w:val="000000"/>
          <w:szCs w:val="24"/>
        </w:rPr>
        <w:t xml:space="preserve"> corresponde a información, que le atañe a la institución financiera y al cliente; por lo que este número constituye información confidencial al pertenecer exclusivamente al ámbito de la vida privada del Particular y procede su clasificación de conformidad con el artículo 143, fracción I, de la Ley de Transparencia y Acceso a la Información Pública del Estado de México y Municipios.</w:t>
      </w:r>
    </w:p>
    <w:p w14:paraId="56276CAA" w14:textId="77777777" w:rsidR="004E0A52" w:rsidRPr="0059734A" w:rsidRDefault="004E0A52" w:rsidP="004E0A52">
      <w:pPr>
        <w:rPr>
          <w:color w:val="000000"/>
          <w:szCs w:val="24"/>
        </w:rPr>
      </w:pPr>
    </w:p>
    <w:p w14:paraId="4180A567" w14:textId="77777777" w:rsidR="004E0A52" w:rsidRPr="0059734A" w:rsidRDefault="004E0A52" w:rsidP="00022208">
      <w:pPr>
        <w:numPr>
          <w:ilvl w:val="0"/>
          <w:numId w:val="74"/>
        </w:numPr>
        <w:pBdr>
          <w:top w:val="nil"/>
          <w:left w:val="nil"/>
          <w:bottom w:val="nil"/>
          <w:right w:val="nil"/>
          <w:between w:val="nil"/>
        </w:pBdr>
        <w:rPr>
          <w:b/>
          <w:bCs/>
          <w:color w:val="000000"/>
          <w:szCs w:val="24"/>
        </w:rPr>
      </w:pPr>
      <w:r w:rsidRPr="0059734A">
        <w:rPr>
          <w:b/>
          <w:bCs/>
          <w:color w:val="000000"/>
          <w:szCs w:val="24"/>
        </w:rPr>
        <w:t>Nombres de personas que no son servidores públicos ni proveedores.</w:t>
      </w:r>
    </w:p>
    <w:p w14:paraId="7F562C9E" w14:textId="77777777" w:rsidR="004E0A52" w:rsidRPr="0059734A" w:rsidRDefault="004E0A52" w:rsidP="004E0A52">
      <w:pPr>
        <w:ind w:right="-93"/>
        <w:rPr>
          <w:b/>
          <w:bCs/>
          <w:szCs w:val="24"/>
        </w:rPr>
      </w:pPr>
      <w:r w:rsidRPr="0059734A">
        <w:rPr>
          <w:szCs w:val="24"/>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59734A">
        <w:rPr>
          <w:i/>
          <w:iCs/>
          <w:szCs w:val="24"/>
        </w:rPr>
        <w:lastRenderedPageBreak/>
        <w:t>per se</w:t>
      </w:r>
      <w:r w:rsidRPr="0059734A">
        <w:rPr>
          <w:szCs w:val="24"/>
        </w:rPr>
        <w:t xml:space="preserve"> es un elemento que hace a una persona física identificada o identificable, por lo que, </w:t>
      </w:r>
      <w:r w:rsidRPr="0059734A">
        <w:rPr>
          <w:b/>
          <w:bCs/>
          <w:szCs w:val="24"/>
        </w:rPr>
        <w:t>se considera un dato personal.</w:t>
      </w:r>
    </w:p>
    <w:p w14:paraId="27FA9F30" w14:textId="77777777" w:rsidR="004E0A52" w:rsidRPr="0059734A" w:rsidRDefault="004E0A52" w:rsidP="004E0A52">
      <w:pPr>
        <w:rPr>
          <w:szCs w:val="24"/>
        </w:rPr>
      </w:pPr>
    </w:p>
    <w:p w14:paraId="54B9BC98" w14:textId="77777777" w:rsidR="004E0A52" w:rsidRPr="0059734A" w:rsidRDefault="004E0A52" w:rsidP="004E0A52">
      <w:pPr>
        <w:rPr>
          <w:szCs w:val="24"/>
        </w:rPr>
      </w:pPr>
      <w:r w:rsidRPr="0059734A">
        <w:rPr>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79863329" w14:textId="77777777" w:rsidR="004E0A52" w:rsidRPr="0059734A" w:rsidRDefault="004E0A52" w:rsidP="004E0A52">
      <w:pPr>
        <w:rPr>
          <w:szCs w:val="24"/>
        </w:rPr>
      </w:pPr>
    </w:p>
    <w:p w14:paraId="7484E9FC" w14:textId="77777777" w:rsidR="004E0A52" w:rsidRPr="0059734A" w:rsidRDefault="004E0A52" w:rsidP="004E0A52">
      <w:pPr>
        <w:ind w:left="567" w:right="567"/>
        <w:rPr>
          <w:i/>
          <w:iCs/>
          <w:szCs w:val="24"/>
        </w:rPr>
      </w:pPr>
      <w:r w:rsidRPr="0059734A">
        <w:rPr>
          <w:b/>
          <w:bCs/>
          <w:i/>
          <w:iCs/>
        </w:rPr>
        <w:t>“Nombre del titular de una licencia que no involucre el aprovechamiento de bienes, servicios y/o recursos públicos, constituye un dato personal susceptible de clasificar como confidencial.</w:t>
      </w:r>
      <w:r w:rsidRPr="0059734A">
        <w:rPr>
          <w:i/>
          <w:iC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w:t>
      </w:r>
      <w:r w:rsidRPr="0059734A">
        <w:rPr>
          <w:i/>
          <w:iCs/>
        </w:rPr>
        <w:lastRenderedPageBreak/>
        <w:t>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r w:rsidRPr="0059734A">
        <w:rPr>
          <w:i/>
          <w:iCs/>
          <w:szCs w:val="24"/>
        </w:rPr>
        <w:t>.”</w:t>
      </w:r>
    </w:p>
    <w:p w14:paraId="2A114F6D" w14:textId="77777777" w:rsidR="004E0A52" w:rsidRPr="0059734A" w:rsidRDefault="004E0A52" w:rsidP="004E0A52">
      <w:pPr>
        <w:ind w:right="-93"/>
        <w:rPr>
          <w:szCs w:val="24"/>
        </w:rPr>
      </w:pPr>
    </w:p>
    <w:p w14:paraId="7520CB35" w14:textId="77777777" w:rsidR="004E0A52" w:rsidRPr="0059734A" w:rsidRDefault="004E0A52" w:rsidP="004E0A52">
      <w:pPr>
        <w:rPr>
          <w:rFonts w:eastAsia="Palatino Linotype" w:cs="Palatino Linotype"/>
          <w:szCs w:val="24"/>
        </w:rPr>
      </w:pPr>
      <w:r w:rsidRPr="0059734A">
        <w:rPr>
          <w:szCs w:val="24"/>
        </w:rPr>
        <w:t>Con base en lo anterior, procede su eliminación de las versiones públicas, pues actualiza el supuesto previsto en el artículo 143 fracción I de la Ley de Transparencia y Acceso a la Información Pública del Estado de México y Municipios. E</w:t>
      </w:r>
      <w:r w:rsidRPr="0059734A">
        <w:rPr>
          <w:rFonts w:eastAsia="Palatino Linotype" w:cs="Palatino Linotype"/>
          <w:szCs w:val="24"/>
        </w:rPr>
        <w:t>ntorno a lo que aquí nos interesa, los Lineamientos Quincuagésimo sexto, Quincuagésimo séptimo y Quincuagésimo octavo, establecen lo siguiente:</w:t>
      </w:r>
    </w:p>
    <w:p w14:paraId="2C659BEA" w14:textId="77777777" w:rsidR="004E0A52" w:rsidRPr="0059734A" w:rsidRDefault="004E0A52" w:rsidP="004E0A52">
      <w:pPr>
        <w:rPr>
          <w:szCs w:val="24"/>
        </w:rPr>
      </w:pPr>
    </w:p>
    <w:p w14:paraId="06209C74"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Quincuagésimo sexto.</w:t>
      </w:r>
      <w:r w:rsidRPr="0059734A">
        <w:rPr>
          <w:rFonts w:eastAsia="Palatino Linotype" w:cs="Palatino Linotype"/>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C1ECCB5" w14:textId="77777777" w:rsidR="004E0A52" w:rsidRPr="0059734A" w:rsidRDefault="004E0A52" w:rsidP="004E0A52">
      <w:pPr>
        <w:ind w:left="567" w:right="567"/>
        <w:rPr>
          <w:rFonts w:eastAsia="Palatino Linotype" w:cs="Palatino Linotype"/>
          <w:i/>
        </w:rPr>
      </w:pPr>
    </w:p>
    <w:p w14:paraId="34A008EE"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lastRenderedPageBreak/>
        <w:t>Quincuagésimo séptimo.</w:t>
      </w:r>
      <w:r w:rsidRPr="0059734A">
        <w:rPr>
          <w:rFonts w:eastAsia="Palatino Linotype" w:cs="Palatino Linotype"/>
          <w:i/>
        </w:rPr>
        <w:t xml:space="preserve"> Se considera, en principio, como información pública y no podrá omitirse de las versiones públicas la siguiente:</w:t>
      </w:r>
    </w:p>
    <w:p w14:paraId="7A836FBE"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 xml:space="preserve"> </w:t>
      </w:r>
    </w:p>
    <w:p w14:paraId="1F62D1B3"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 xml:space="preserve">I. La relativa a las Obligaciones de Transparencia que contempla el Título V de la Ley General y las demás disposiciones legales aplicables; </w:t>
      </w:r>
    </w:p>
    <w:p w14:paraId="2D13754E"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 xml:space="preserve">II. El nombre de los integrantes de los sujetos obligados en los documentos, y sus firmas autógrafas o digitales, cuando sean utilizados en el ejercicio de las facultades conferidas para el desempeño del servicio público, y </w:t>
      </w:r>
    </w:p>
    <w:p w14:paraId="5E87EA6E"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F39678A" w14:textId="77777777" w:rsidR="004E0A52" w:rsidRPr="0059734A" w:rsidRDefault="004E0A52" w:rsidP="004E0A52">
      <w:pPr>
        <w:ind w:left="567" w:right="567"/>
        <w:rPr>
          <w:rFonts w:eastAsia="Palatino Linotype" w:cs="Palatino Linotype"/>
          <w:i/>
        </w:rPr>
      </w:pPr>
    </w:p>
    <w:p w14:paraId="7845C9FC" w14:textId="77777777" w:rsidR="004E0A52" w:rsidRPr="0059734A" w:rsidRDefault="004E0A52" w:rsidP="004E0A52">
      <w:pPr>
        <w:ind w:left="567" w:right="567"/>
        <w:rPr>
          <w:rFonts w:eastAsia="Palatino Linotype" w:cs="Palatino Linotype"/>
          <w:i/>
        </w:rPr>
      </w:pPr>
      <w:r w:rsidRPr="0059734A">
        <w:rPr>
          <w:rFonts w:eastAsia="Palatino Linotype" w:cs="Palatino Linotype"/>
          <w:i/>
        </w:rPr>
        <w:t xml:space="preserve">Lo anterior, siempre y cuando no se acredite alguna causal de clasificación, prevista en las leyes o en los tratados internacionales suscritos por el Estado mexicano. </w:t>
      </w:r>
    </w:p>
    <w:p w14:paraId="2862B2DF" w14:textId="77777777" w:rsidR="004E0A52" w:rsidRPr="0059734A" w:rsidRDefault="004E0A52" w:rsidP="004E0A52">
      <w:pPr>
        <w:ind w:left="567" w:right="567"/>
        <w:rPr>
          <w:rFonts w:eastAsia="Palatino Linotype" w:cs="Palatino Linotype"/>
          <w:i/>
        </w:rPr>
      </w:pPr>
    </w:p>
    <w:p w14:paraId="6D74E542" w14:textId="77777777" w:rsidR="004E0A52" w:rsidRPr="0059734A" w:rsidRDefault="004E0A52" w:rsidP="004E0A52">
      <w:pPr>
        <w:ind w:left="567" w:right="567"/>
        <w:rPr>
          <w:rFonts w:eastAsia="Palatino Linotype" w:cs="Palatino Linotype"/>
          <w:i/>
        </w:rPr>
      </w:pPr>
      <w:r w:rsidRPr="0059734A">
        <w:rPr>
          <w:rFonts w:eastAsia="Palatino Linotype" w:cs="Palatino Linotype"/>
          <w:b/>
          <w:i/>
        </w:rPr>
        <w:t>Quincuagésimo octavo.</w:t>
      </w:r>
      <w:r w:rsidRPr="0059734A">
        <w:rPr>
          <w:rFonts w:eastAsia="Palatino Linotype" w:cs="Palatino Linotype"/>
          <w:i/>
        </w:rPr>
        <w:t xml:space="preserve"> Los sujetos obligados garantizarán que los sistemas o medios empleados para eliminar la información en las versiones públicas sean irreversibles, de tal forma que no permitan la recuperación o la visualización de la misma.</w:t>
      </w:r>
    </w:p>
    <w:p w14:paraId="388C036C" w14:textId="77777777" w:rsidR="004E0A52" w:rsidRPr="0059734A" w:rsidRDefault="004E0A52" w:rsidP="004E0A52">
      <w:pPr>
        <w:rPr>
          <w:rFonts w:eastAsia="Palatino Linotype" w:cs="Palatino Linotype"/>
          <w:i/>
          <w:szCs w:val="24"/>
        </w:rPr>
      </w:pPr>
    </w:p>
    <w:p w14:paraId="6E6C162E" w14:textId="77777777" w:rsidR="004E0A52" w:rsidRPr="0059734A" w:rsidRDefault="004E0A52" w:rsidP="004E0A52">
      <w:pPr>
        <w:rPr>
          <w:rFonts w:eastAsia="Palatino Linotype" w:cs="Palatino Linotype"/>
          <w:szCs w:val="24"/>
        </w:rPr>
      </w:pPr>
      <w:r w:rsidRPr="0059734A">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59734A">
        <w:rPr>
          <w:rFonts w:eastAsia="Palatino Linotype" w:cs="Palatino Linotype"/>
          <w:szCs w:val="24"/>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439BDBA5" w14:textId="77777777" w:rsidR="004E0A52" w:rsidRPr="0059734A" w:rsidRDefault="004E0A52" w:rsidP="004E0A52">
      <w:pPr>
        <w:rPr>
          <w:rFonts w:eastAsia="Palatino Linotype" w:cs="Palatino Linotype"/>
          <w:szCs w:val="24"/>
        </w:rPr>
      </w:pPr>
    </w:p>
    <w:p w14:paraId="4D462960" w14:textId="77777777" w:rsidR="004E0A52" w:rsidRPr="0059734A" w:rsidRDefault="004E0A52" w:rsidP="004E0A52">
      <w:pPr>
        <w:rPr>
          <w:rFonts w:cs="Arial"/>
          <w:szCs w:val="24"/>
        </w:rPr>
      </w:pPr>
      <w:r w:rsidRPr="0059734A">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7AE18F3" w14:textId="77777777" w:rsidR="004E0A52" w:rsidRPr="0059734A" w:rsidRDefault="004E0A52" w:rsidP="004E0A52">
      <w:pPr>
        <w:rPr>
          <w:rFonts w:cs="Arial"/>
          <w:szCs w:val="24"/>
        </w:rPr>
      </w:pPr>
    </w:p>
    <w:p w14:paraId="0CFFEA49" w14:textId="77777777" w:rsidR="004E0A52" w:rsidRPr="0059734A" w:rsidRDefault="004E0A52" w:rsidP="004E0A52">
      <w:pPr>
        <w:rPr>
          <w:rFonts w:cs="Arial"/>
          <w:szCs w:val="24"/>
        </w:rPr>
      </w:pPr>
      <w:r w:rsidRPr="0059734A">
        <w:rPr>
          <w:rFonts w:cs="Arial"/>
          <w:szCs w:val="24"/>
        </w:rPr>
        <w:t xml:space="preserve">Por tanto, la fundamentación y motivación consiste en la obligación que tiene todo ente público de expresar los preceptos jurídicos aplicables al asunto motivo del acto y las </w:t>
      </w:r>
      <w:r w:rsidRPr="0059734A">
        <w:rPr>
          <w:rFonts w:cs="Arial"/>
          <w:szCs w:val="24"/>
        </w:rPr>
        <w:lastRenderedPageBreak/>
        <w:t>razones o argumentos de su actuar. Al respecto, el máximo tribunal del país ha establecido jurisprudencia respecto a qué debe entenderse por fundamentación y motivación, en los siguientes términos:</w:t>
      </w:r>
    </w:p>
    <w:p w14:paraId="511B28C3" w14:textId="77777777" w:rsidR="004E0A52" w:rsidRPr="0059734A" w:rsidRDefault="004E0A52" w:rsidP="004E0A52">
      <w:pPr>
        <w:rPr>
          <w:rFonts w:cs="Arial"/>
          <w:szCs w:val="24"/>
        </w:rPr>
      </w:pPr>
    </w:p>
    <w:p w14:paraId="50CBBB59" w14:textId="77777777" w:rsidR="004E0A52" w:rsidRPr="0059734A" w:rsidRDefault="004E0A52" w:rsidP="004E0A52">
      <w:pPr>
        <w:ind w:left="567" w:right="567"/>
        <w:rPr>
          <w:rFonts w:cs="Arial"/>
          <w:i/>
        </w:rPr>
      </w:pPr>
      <w:r w:rsidRPr="0059734A">
        <w:rPr>
          <w:rFonts w:cs="Arial"/>
          <w:b/>
          <w:i/>
        </w:rPr>
        <w:t>FUNDAMENTACIÓN Y MOTIVACIÓN</w:t>
      </w:r>
      <w:r w:rsidRPr="0059734A">
        <w:rPr>
          <w:rFonts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9F7A8FE" w14:textId="77777777" w:rsidR="004E0A52" w:rsidRPr="0059734A" w:rsidRDefault="004E0A52" w:rsidP="004E0A52">
      <w:pPr>
        <w:ind w:left="567" w:right="567"/>
        <w:rPr>
          <w:rFonts w:cs="Arial"/>
          <w:i/>
        </w:rPr>
      </w:pPr>
    </w:p>
    <w:p w14:paraId="32DF3474" w14:textId="77777777" w:rsidR="004E0A52" w:rsidRPr="0059734A" w:rsidRDefault="004E0A52" w:rsidP="004E0A52">
      <w:pPr>
        <w:rPr>
          <w:rFonts w:cs="Arial"/>
          <w:szCs w:val="24"/>
        </w:rPr>
      </w:pPr>
      <w:r w:rsidRPr="0059734A">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7EC07EE" w14:textId="77777777" w:rsidR="004E0A52" w:rsidRPr="0059734A" w:rsidRDefault="004E0A52" w:rsidP="004E0A52">
      <w:pPr>
        <w:rPr>
          <w:rFonts w:cs="Arial"/>
          <w:szCs w:val="24"/>
        </w:rPr>
      </w:pPr>
    </w:p>
    <w:p w14:paraId="74F8FB5E" w14:textId="77777777" w:rsidR="004E0A52" w:rsidRPr="0059734A" w:rsidRDefault="004E0A52" w:rsidP="004E0A52">
      <w:pPr>
        <w:rPr>
          <w:rFonts w:cs="Arial"/>
          <w:szCs w:val="24"/>
        </w:rPr>
      </w:pPr>
      <w:r w:rsidRPr="0059734A">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D1ADE2E" w14:textId="77777777" w:rsidR="004E0A52" w:rsidRPr="0059734A" w:rsidRDefault="004E0A52" w:rsidP="004E0A52">
      <w:pPr>
        <w:rPr>
          <w:rFonts w:cs="Arial"/>
          <w:szCs w:val="24"/>
        </w:rPr>
      </w:pPr>
    </w:p>
    <w:p w14:paraId="0ED0310C" w14:textId="77777777" w:rsidR="004E0A52" w:rsidRPr="0059734A" w:rsidRDefault="004E0A52" w:rsidP="004E0A52">
      <w:pPr>
        <w:ind w:left="567" w:right="567"/>
        <w:rPr>
          <w:rFonts w:cs="Arial"/>
          <w:i/>
        </w:rPr>
      </w:pPr>
      <w:r w:rsidRPr="0059734A">
        <w:rPr>
          <w:rFonts w:cs="Arial"/>
          <w:b/>
          <w:i/>
        </w:rPr>
        <w:t>FUNDAMENTACIÓN Y MOTIVACIÓN. EL ASPECTO FORMAL DE LA GARANTÍA Y SU FINALIDAD SE TRADUCEN EN EXPLICAR, JUSTIFICAR, POSIBILITAR LA DEFENSA Y COMUNICAR LA DECISIÓN.</w:t>
      </w:r>
      <w:r w:rsidRPr="0059734A">
        <w:rPr>
          <w:rFonts w:cs="Arial"/>
          <w:i/>
        </w:rPr>
        <w:t xml:space="preserve"> El contenido formal de la garantía de legalidad prevista en el artículo 16 constitucional </w:t>
      </w:r>
      <w:r w:rsidRPr="0059734A">
        <w:rPr>
          <w:rFonts w:cs="Arial"/>
          <w:i/>
        </w:rPr>
        <w:lastRenderedPageBreak/>
        <w:t>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3F6626A" w14:textId="77777777" w:rsidR="004E0A52" w:rsidRPr="0059734A" w:rsidRDefault="004E0A52" w:rsidP="004E0A52">
      <w:pPr>
        <w:rPr>
          <w:rFonts w:cs="Arial"/>
        </w:rPr>
      </w:pPr>
    </w:p>
    <w:p w14:paraId="7E2A5A2A" w14:textId="77777777" w:rsidR="004E0A52" w:rsidRPr="0059734A" w:rsidRDefault="004E0A52" w:rsidP="004E0A52">
      <w:pPr>
        <w:rPr>
          <w:rFonts w:cs="Arial"/>
          <w:szCs w:val="24"/>
        </w:rPr>
      </w:pPr>
      <w:r w:rsidRPr="0059734A">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9D1FF69" w14:textId="77777777" w:rsidR="004E0A52" w:rsidRPr="0059734A" w:rsidRDefault="004E0A52" w:rsidP="004E0A52">
      <w:pPr>
        <w:rPr>
          <w:rFonts w:cs="Arial"/>
          <w:szCs w:val="24"/>
        </w:rPr>
      </w:pPr>
    </w:p>
    <w:p w14:paraId="63126E13" w14:textId="643507BA" w:rsidR="00383772" w:rsidRPr="0059734A" w:rsidRDefault="004E0A52" w:rsidP="004E0A52">
      <w:pPr>
        <w:rPr>
          <w:rFonts w:cs="Arial"/>
          <w:szCs w:val="24"/>
        </w:rPr>
      </w:pPr>
      <w:r w:rsidRPr="0059734A">
        <w:rPr>
          <w:rFonts w:cs="Arial"/>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B21B76" w14:textId="77777777" w:rsidR="00383772" w:rsidRPr="0059734A" w:rsidRDefault="00383772" w:rsidP="004E0A52">
      <w:pPr>
        <w:tabs>
          <w:tab w:val="left" w:pos="709"/>
        </w:tabs>
        <w:ind w:right="51"/>
        <w:rPr>
          <w:iCs/>
          <w:szCs w:val="24"/>
        </w:rPr>
      </w:pPr>
    </w:p>
    <w:p w14:paraId="5515CC42" w14:textId="7F4F0CF9" w:rsidR="00383772" w:rsidRPr="0059734A" w:rsidRDefault="00383772" w:rsidP="004E0A52">
      <w:pPr>
        <w:tabs>
          <w:tab w:val="left" w:pos="709"/>
        </w:tabs>
        <w:ind w:right="51"/>
        <w:rPr>
          <w:bCs/>
          <w:szCs w:val="24"/>
        </w:rPr>
      </w:pPr>
      <w:r w:rsidRPr="0059734A">
        <w:rPr>
          <w:iCs/>
          <w:szCs w:val="24"/>
        </w:rPr>
        <w:t xml:space="preserve">En mérito de lo expuesto </w:t>
      </w:r>
      <w:r w:rsidRPr="0059734A">
        <w:rPr>
          <w:szCs w:val="24"/>
        </w:rPr>
        <w:t xml:space="preserve">en líneas anteriores, resultan parcialmente fundados los motivos de inconformidad vertidos por </w:t>
      </w:r>
      <w:r w:rsidRPr="0059734A">
        <w:rPr>
          <w:b/>
          <w:szCs w:val="24"/>
        </w:rPr>
        <w:t xml:space="preserve">El Recurrente, </w:t>
      </w:r>
      <w:r w:rsidRPr="0059734A">
        <w:rPr>
          <w:szCs w:val="24"/>
        </w:rPr>
        <w:t xml:space="preserve">por ello con fundamento en el artículo 186 fracción III de la Ley de Transparencia y Acceso a la Información Pública del Estado de México y Municipios, se </w:t>
      </w:r>
      <w:r w:rsidRPr="0059734A">
        <w:rPr>
          <w:b/>
          <w:szCs w:val="24"/>
        </w:rPr>
        <w:t xml:space="preserve">MODIFICA </w:t>
      </w:r>
      <w:r w:rsidRPr="0059734A">
        <w:rPr>
          <w:bCs/>
          <w:szCs w:val="24"/>
        </w:rPr>
        <w:t xml:space="preserve">la respuesta a la solicitud de información </w:t>
      </w:r>
      <w:r w:rsidR="004E0A52" w:rsidRPr="0059734A">
        <w:rPr>
          <w:b/>
          <w:szCs w:val="24"/>
        </w:rPr>
        <w:t>00011/OASIXTAPAL/IP/2025</w:t>
      </w:r>
      <w:r w:rsidRPr="0059734A">
        <w:rPr>
          <w:b/>
          <w:szCs w:val="24"/>
        </w:rPr>
        <w:t xml:space="preserve"> </w:t>
      </w:r>
      <w:r w:rsidRPr="0059734A">
        <w:rPr>
          <w:bCs/>
          <w:szCs w:val="24"/>
        </w:rPr>
        <w:t xml:space="preserve">que ha sido materia del presente fallo. </w:t>
      </w:r>
    </w:p>
    <w:p w14:paraId="4DDDAC91" w14:textId="77777777" w:rsidR="00383772" w:rsidRPr="0059734A" w:rsidRDefault="00383772" w:rsidP="004E0A52">
      <w:pPr>
        <w:pStyle w:val="Prrafodelista"/>
        <w:ind w:left="0"/>
      </w:pPr>
    </w:p>
    <w:p w14:paraId="6B8C603A" w14:textId="7DD46544" w:rsidR="00383772" w:rsidRPr="0059734A" w:rsidRDefault="00383772" w:rsidP="004E0A52">
      <w:pPr>
        <w:pStyle w:val="Prrafodelista"/>
        <w:ind w:left="0"/>
      </w:pPr>
      <w:r w:rsidRPr="0059734A">
        <w:t xml:space="preserve">Por lo antes expuesto y fundado es de resolverse y, </w:t>
      </w:r>
    </w:p>
    <w:p w14:paraId="4C321071" w14:textId="77777777" w:rsidR="00383772" w:rsidRPr="0059734A" w:rsidRDefault="00383772" w:rsidP="004E0A52">
      <w:pPr>
        <w:pStyle w:val="Prrafodelista"/>
        <w:ind w:left="0"/>
      </w:pPr>
    </w:p>
    <w:p w14:paraId="0354776D" w14:textId="77777777" w:rsidR="00383772" w:rsidRPr="0059734A" w:rsidRDefault="00383772" w:rsidP="004E0A52">
      <w:pPr>
        <w:jc w:val="center"/>
        <w:rPr>
          <w:rFonts w:eastAsia="Times New Roman"/>
          <w:b/>
          <w:bCs/>
          <w:spacing w:val="60"/>
          <w:sz w:val="28"/>
          <w:szCs w:val="24"/>
        </w:rPr>
      </w:pPr>
      <w:r w:rsidRPr="0059734A">
        <w:rPr>
          <w:rFonts w:eastAsia="Times New Roman"/>
          <w:b/>
          <w:bCs/>
          <w:spacing w:val="60"/>
          <w:sz w:val="28"/>
          <w:szCs w:val="24"/>
        </w:rPr>
        <w:t>SE    RESUELVE</w:t>
      </w:r>
    </w:p>
    <w:p w14:paraId="583DD504" w14:textId="77777777" w:rsidR="00383772" w:rsidRPr="0059734A" w:rsidRDefault="00383772" w:rsidP="004E0A52">
      <w:pPr>
        <w:jc w:val="center"/>
        <w:rPr>
          <w:rFonts w:eastAsia="Times New Roman"/>
          <w:b/>
          <w:bCs/>
          <w:spacing w:val="60"/>
          <w:szCs w:val="24"/>
        </w:rPr>
      </w:pPr>
    </w:p>
    <w:p w14:paraId="5A7648DE" w14:textId="08E5C099" w:rsidR="00383772" w:rsidRPr="0059734A" w:rsidRDefault="00383772" w:rsidP="004E0A52">
      <w:pPr>
        <w:rPr>
          <w:rFonts w:cs="Arial"/>
          <w:szCs w:val="24"/>
        </w:rPr>
      </w:pPr>
      <w:r w:rsidRPr="0059734A">
        <w:rPr>
          <w:rFonts w:cs="Arial"/>
          <w:b/>
          <w:szCs w:val="24"/>
        </w:rPr>
        <w:lastRenderedPageBreak/>
        <w:t>PRIMERO.</w:t>
      </w:r>
      <w:r w:rsidRPr="0059734A">
        <w:rPr>
          <w:rFonts w:cs="Arial"/>
          <w:szCs w:val="24"/>
        </w:rPr>
        <w:t xml:space="preserve"> Se </w:t>
      </w:r>
      <w:r w:rsidRPr="0059734A">
        <w:rPr>
          <w:rFonts w:cs="Arial"/>
          <w:b/>
          <w:szCs w:val="24"/>
        </w:rPr>
        <w:t xml:space="preserve">MODIFICA </w:t>
      </w:r>
      <w:r w:rsidRPr="0059734A">
        <w:rPr>
          <w:rFonts w:cs="Arial"/>
          <w:bCs/>
          <w:szCs w:val="24"/>
        </w:rPr>
        <w:t xml:space="preserve">la respuesta a la solicitud de información número </w:t>
      </w:r>
      <w:r w:rsidR="004E0A52" w:rsidRPr="0059734A">
        <w:rPr>
          <w:b/>
          <w:szCs w:val="24"/>
        </w:rPr>
        <w:t>00011/OASIXTAPAL/IP/2025</w:t>
      </w:r>
      <w:r w:rsidRPr="0059734A">
        <w:rPr>
          <w:b/>
          <w:szCs w:val="24"/>
        </w:rPr>
        <w:t xml:space="preserve"> </w:t>
      </w:r>
      <w:r w:rsidRPr="0059734A">
        <w:rPr>
          <w:rFonts w:cs="Arial"/>
          <w:szCs w:val="24"/>
        </w:rPr>
        <w:t>por resultar parcialmente fundados</w:t>
      </w:r>
      <w:r w:rsidRPr="0059734A">
        <w:rPr>
          <w:rFonts w:cs="Arial"/>
        </w:rPr>
        <w:t xml:space="preserve"> los motivos de inconformidad que arguye </w:t>
      </w:r>
      <w:r w:rsidRPr="0059734A">
        <w:rPr>
          <w:rFonts w:cs="Arial"/>
          <w:b/>
        </w:rPr>
        <w:t xml:space="preserve">EL RECURRENTE, </w:t>
      </w:r>
      <w:r w:rsidRPr="0059734A">
        <w:rPr>
          <w:rFonts w:cs="Arial"/>
        </w:rPr>
        <w:t xml:space="preserve">en términos del </w:t>
      </w:r>
      <w:r w:rsidRPr="0059734A">
        <w:rPr>
          <w:rFonts w:cs="Arial"/>
          <w:b/>
        </w:rPr>
        <w:t xml:space="preserve">Considerando CUARTO </w:t>
      </w:r>
      <w:r w:rsidRPr="0059734A">
        <w:rPr>
          <w:rFonts w:cs="Arial"/>
        </w:rPr>
        <w:t>de la presente resolución.</w:t>
      </w:r>
    </w:p>
    <w:p w14:paraId="06D6564E" w14:textId="77777777" w:rsidR="00383772" w:rsidRPr="0059734A" w:rsidRDefault="00383772" w:rsidP="004E0A52">
      <w:pPr>
        <w:rPr>
          <w:rFonts w:cs="Arial"/>
        </w:rPr>
      </w:pPr>
      <w:r w:rsidRPr="0059734A">
        <w:rPr>
          <w:rFonts w:cs="Arial"/>
          <w:szCs w:val="24"/>
        </w:rPr>
        <w:t xml:space="preserve"> </w:t>
      </w:r>
    </w:p>
    <w:p w14:paraId="67B996CC" w14:textId="77777777" w:rsidR="00383772" w:rsidRPr="0059734A" w:rsidRDefault="00383772" w:rsidP="004E0A52">
      <w:pPr>
        <w:autoSpaceDE w:val="0"/>
        <w:autoSpaceDN w:val="0"/>
        <w:adjustRightInd w:val="0"/>
        <w:ind w:right="49"/>
        <w:rPr>
          <w:rFonts w:cs="Arial"/>
          <w:szCs w:val="24"/>
        </w:rPr>
      </w:pPr>
      <w:r w:rsidRPr="0059734A">
        <w:rPr>
          <w:rFonts w:cs="Arial"/>
          <w:b/>
          <w:szCs w:val="24"/>
        </w:rPr>
        <w:t>SEGUNDO.</w:t>
      </w:r>
      <w:r w:rsidRPr="0059734A">
        <w:rPr>
          <w:rFonts w:cs="Arial"/>
          <w:szCs w:val="24"/>
        </w:rPr>
        <w:t xml:space="preserve"> Se </w:t>
      </w:r>
      <w:r w:rsidRPr="0059734A">
        <w:rPr>
          <w:rFonts w:cs="Arial"/>
          <w:b/>
          <w:szCs w:val="24"/>
        </w:rPr>
        <w:t>ORDENA</w:t>
      </w:r>
      <w:r w:rsidRPr="0059734A">
        <w:rPr>
          <w:rFonts w:cs="Arial"/>
          <w:szCs w:val="24"/>
        </w:rPr>
        <w:t xml:space="preserve"> al </w:t>
      </w:r>
      <w:r w:rsidRPr="0059734A">
        <w:rPr>
          <w:rFonts w:cs="Arial"/>
          <w:b/>
          <w:szCs w:val="24"/>
        </w:rPr>
        <w:t>SUJETO OBLIGADO</w:t>
      </w:r>
      <w:r w:rsidRPr="0059734A">
        <w:rPr>
          <w:rFonts w:cs="Arial"/>
          <w:szCs w:val="24"/>
        </w:rPr>
        <w:t xml:space="preserve"> realizar una búsqueda exhaustiva y razonable a fin de entregar al</w:t>
      </w:r>
      <w:r w:rsidRPr="0059734A">
        <w:rPr>
          <w:rFonts w:cs="Arial"/>
          <w:b/>
          <w:bCs/>
          <w:szCs w:val="24"/>
        </w:rPr>
        <w:t xml:space="preserve"> </w:t>
      </w:r>
      <w:r w:rsidRPr="0059734A">
        <w:rPr>
          <w:rFonts w:cs="Arial"/>
          <w:b/>
          <w:szCs w:val="24"/>
        </w:rPr>
        <w:t xml:space="preserve">RECURRENTE, </w:t>
      </w:r>
      <w:r w:rsidRPr="0059734A">
        <w:rPr>
          <w:rFonts w:cs="Arial"/>
          <w:szCs w:val="24"/>
        </w:rPr>
        <w:t xml:space="preserve">a través del Sistema de Acceso a la Información Mexiquense </w:t>
      </w:r>
      <w:r w:rsidRPr="0059734A">
        <w:rPr>
          <w:rFonts w:cs="Arial"/>
          <w:b/>
          <w:szCs w:val="24"/>
        </w:rPr>
        <w:t xml:space="preserve">(SAIMEX), </w:t>
      </w:r>
      <w:r w:rsidRPr="0059734A">
        <w:rPr>
          <w:rFonts w:cs="Arial"/>
          <w:bCs/>
          <w:szCs w:val="24"/>
        </w:rPr>
        <w:t xml:space="preserve">en versión pública de ser procedente </w:t>
      </w:r>
      <w:r w:rsidRPr="0059734A">
        <w:rPr>
          <w:rFonts w:cs="Arial"/>
          <w:szCs w:val="24"/>
        </w:rPr>
        <w:t xml:space="preserve">de lo siguiente: </w:t>
      </w:r>
    </w:p>
    <w:p w14:paraId="7DA82070" w14:textId="77777777" w:rsidR="00022208" w:rsidRPr="0059734A" w:rsidRDefault="00022208" w:rsidP="004E0A52">
      <w:pPr>
        <w:autoSpaceDE w:val="0"/>
        <w:autoSpaceDN w:val="0"/>
        <w:adjustRightInd w:val="0"/>
        <w:ind w:right="49"/>
        <w:rPr>
          <w:rFonts w:cs="Arial"/>
          <w:szCs w:val="24"/>
        </w:rPr>
      </w:pPr>
    </w:p>
    <w:p w14:paraId="4AFEEEB5" w14:textId="5680062F" w:rsidR="00383772" w:rsidRPr="0059734A" w:rsidRDefault="00022208" w:rsidP="00022208">
      <w:pPr>
        <w:pStyle w:val="Prrafodelista"/>
        <w:numPr>
          <w:ilvl w:val="0"/>
          <w:numId w:val="64"/>
        </w:numPr>
        <w:ind w:right="49"/>
        <w:rPr>
          <w:rFonts w:eastAsia="Palatino Linotype" w:cs="Palatino Linotype"/>
          <w:bCs/>
        </w:rPr>
      </w:pPr>
      <w:r w:rsidRPr="0059734A">
        <w:t>Soporte documental que dé cuenta del pago por concepto de adquisición de la maquinaria referida en respuesta, al ocho de abril de dos mil veinticinco.</w:t>
      </w:r>
    </w:p>
    <w:p w14:paraId="52A06E44" w14:textId="47DE9B79" w:rsidR="00383772" w:rsidRPr="0059734A" w:rsidRDefault="00383772" w:rsidP="004E0A52">
      <w:pPr>
        <w:pStyle w:val="Citas"/>
        <w:spacing w:before="0" w:after="0"/>
        <w:ind w:left="360" w:right="0"/>
      </w:pPr>
    </w:p>
    <w:p w14:paraId="6FB31751" w14:textId="77777777" w:rsidR="00383772" w:rsidRPr="0059734A" w:rsidRDefault="00383772" w:rsidP="004E0A52">
      <w:pPr>
        <w:pStyle w:val="Sinespaciado"/>
        <w:spacing w:line="360" w:lineRule="auto"/>
        <w:ind w:left="720"/>
        <w:jc w:val="both"/>
        <w:rPr>
          <w:rFonts w:ascii="Palatino Linotype" w:hAnsi="Palatino Linotype" w:cs="Arial"/>
          <w:i/>
        </w:rPr>
      </w:pPr>
      <w:r w:rsidRPr="0059734A">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4927EDA" w14:textId="77777777" w:rsidR="00383772" w:rsidRPr="0059734A" w:rsidRDefault="00383772" w:rsidP="004E0A52">
      <w:pPr>
        <w:rPr>
          <w:rFonts w:cs="Arial"/>
          <w:b/>
          <w:sz w:val="28"/>
        </w:rPr>
      </w:pPr>
    </w:p>
    <w:p w14:paraId="431957EC" w14:textId="77777777" w:rsidR="00383772" w:rsidRPr="0059734A" w:rsidRDefault="00383772" w:rsidP="004E0A52">
      <w:pPr>
        <w:rPr>
          <w:rFonts w:cs="Tahoma"/>
          <w:bCs/>
          <w:szCs w:val="24"/>
        </w:rPr>
      </w:pPr>
      <w:r w:rsidRPr="0059734A">
        <w:rPr>
          <w:rFonts w:cs="Arial"/>
          <w:b/>
          <w:szCs w:val="24"/>
        </w:rPr>
        <w:t>TERCERO.</w:t>
      </w:r>
      <w:r w:rsidRPr="0059734A">
        <w:rPr>
          <w:rFonts w:cs="Arial"/>
          <w:szCs w:val="24"/>
        </w:rPr>
        <w:t xml:space="preserve"> </w:t>
      </w:r>
      <w:r w:rsidRPr="0059734A">
        <w:rPr>
          <w:rFonts w:cs="Tahoma"/>
          <w:b/>
          <w:szCs w:val="24"/>
        </w:rPr>
        <w:t xml:space="preserve">NOTIFÍQUESE </w:t>
      </w:r>
      <w:r w:rsidRPr="0059734A">
        <w:rPr>
          <w:rFonts w:cs="Arial"/>
          <w:szCs w:val="24"/>
        </w:rPr>
        <w:t xml:space="preserve">a través del Sistema de Acceso a la Información Mexiquense </w:t>
      </w:r>
      <w:r w:rsidRPr="0059734A">
        <w:rPr>
          <w:rFonts w:cs="Arial"/>
          <w:b/>
          <w:szCs w:val="24"/>
        </w:rPr>
        <w:t>(SAIMEX)</w:t>
      </w:r>
      <w:r w:rsidRPr="0059734A">
        <w:rPr>
          <w:rFonts w:cs="Arial"/>
          <w:szCs w:val="24"/>
        </w:rPr>
        <w:t xml:space="preserve">, </w:t>
      </w:r>
      <w:r w:rsidRPr="0059734A">
        <w:rPr>
          <w:rFonts w:cs="Tahoma"/>
          <w:szCs w:val="24"/>
        </w:rPr>
        <w:t xml:space="preserve">la presente Resolución al Titular de la Unidad de Transparencia del </w:t>
      </w:r>
      <w:r w:rsidRPr="0059734A">
        <w:rPr>
          <w:rFonts w:cs="Tahoma"/>
          <w:b/>
          <w:szCs w:val="24"/>
        </w:rPr>
        <w:t>Sujeto Obligado</w:t>
      </w:r>
      <w:r w:rsidRPr="0059734A">
        <w:rPr>
          <w:rFonts w:cs="Tahoma"/>
          <w:szCs w:val="24"/>
        </w:rPr>
        <w:t xml:space="preserve">, para que conforme al artículo 186 último párrafo, 189 segundo párrafo y 194 de la Ley de Transparencia y Acceso a la Información Pública del Estado de México y </w:t>
      </w:r>
      <w:r w:rsidRPr="0059734A">
        <w:rPr>
          <w:rFonts w:cs="Tahoma"/>
          <w:szCs w:val="24"/>
        </w:rPr>
        <w:lastRenderedPageBreak/>
        <w:t xml:space="preserve">Municipios; dé cumplimiento a lo ordenado dentro del plazo de diez días hábiles, e informe a este Instituto en un plazo de tres días hábiles siguientes sobre el cumplimiento dado a la presente y, </w:t>
      </w:r>
      <w:r w:rsidRPr="0059734A">
        <w:rPr>
          <w:rFonts w:eastAsia="Palatino Linotype" w:cs="Palatino Linotype"/>
          <w:bCs/>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AD89C1" w14:textId="77777777" w:rsidR="00383772" w:rsidRPr="0059734A" w:rsidRDefault="00383772" w:rsidP="004E0A52">
      <w:pPr>
        <w:autoSpaceDE w:val="0"/>
        <w:autoSpaceDN w:val="0"/>
        <w:adjustRightInd w:val="0"/>
        <w:rPr>
          <w:rFonts w:cs="Arial"/>
          <w:b/>
          <w:szCs w:val="24"/>
        </w:rPr>
      </w:pPr>
    </w:p>
    <w:p w14:paraId="3E4ED3B3" w14:textId="77777777" w:rsidR="00383772" w:rsidRPr="0059734A" w:rsidRDefault="00383772" w:rsidP="004E0A52">
      <w:pPr>
        <w:autoSpaceDE w:val="0"/>
        <w:autoSpaceDN w:val="0"/>
        <w:adjustRightInd w:val="0"/>
        <w:rPr>
          <w:rFonts w:cs="Arial"/>
          <w:szCs w:val="24"/>
        </w:rPr>
      </w:pPr>
      <w:r w:rsidRPr="0059734A">
        <w:rPr>
          <w:rFonts w:cs="Arial"/>
          <w:b/>
          <w:szCs w:val="24"/>
        </w:rPr>
        <w:t xml:space="preserve">CUARTO. </w:t>
      </w:r>
      <w:r w:rsidRPr="0059734A">
        <w:rPr>
          <w:rFonts w:cs="Arial"/>
          <w:szCs w:val="24"/>
        </w:rPr>
        <w:t xml:space="preserve">De conformidad con el artículo 198 de la Ley de Transparencia y Acceso a la Información Pública del Estado de México y Municipios, de considerarlo procedente, el </w:t>
      </w:r>
      <w:r w:rsidRPr="0059734A">
        <w:rPr>
          <w:rFonts w:cs="Arial"/>
          <w:b/>
          <w:szCs w:val="24"/>
        </w:rPr>
        <w:t>Sujeto Obligado</w:t>
      </w:r>
      <w:r w:rsidRPr="0059734A">
        <w:rPr>
          <w:rFonts w:cs="Arial"/>
          <w:szCs w:val="24"/>
        </w:rPr>
        <w:t xml:space="preserve"> de manera fundada y motivada, podrá solicitar una ampliación de plazo para el cumplimiento de la presente resolución.</w:t>
      </w:r>
    </w:p>
    <w:p w14:paraId="711C4122" w14:textId="77777777" w:rsidR="00383772" w:rsidRPr="0059734A" w:rsidRDefault="00383772" w:rsidP="004E0A52">
      <w:pPr>
        <w:autoSpaceDE w:val="0"/>
        <w:autoSpaceDN w:val="0"/>
        <w:adjustRightInd w:val="0"/>
        <w:rPr>
          <w:rFonts w:cs="Arial"/>
          <w:szCs w:val="24"/>
        </w:rPr>
      </w:pPr>
    </w:p>
    <w:p w14:paraId="6470D6D4" w14:textId="0556ADCE" w:rsidR="0040171F" w:rsidRPr="0059734A" w:rsidRDefault="00383772" w:rsidP="004E0A52">
      <w:pPr>
        <w:pBdr>
          <w:top w:val="nil"/>
          <w:left w:val="nil"/>
          <w:bottom w:val="nil"/>
          <w:right w:val="nil"/>
          <w:between w:val="nil"/>
        </w:pBdr>
        <w:rPr>
          <w:rFonts w:eastAsia="Palatino Linotype" w:cs="Palatino Linotype"/>
          <w:color w:val="000000"/>
          <w:szCs w:val="24"/>
          <w:lang w:val="es-MX"/>
        </w:rPr>
      </w:pPr>
      <w:r w:rsidRPr="0059734A">
        <w:rPr>
          <w:b/>
          <w:szCs w:val="24"/>
        </w:rPr>
        <w:t xml:space="preserve">QUINTO. </w:t>
      </w:r>
      <w:r w:rsidRPr="0059734A">
        <w:rPr>
          <w:rFonts w:cs="Arial"/>
          <w:b/>
          <w:szCs w:val="24"/>
        </w:rPr>
        <w:t>NOTIFÍQUESE</w:t>
      </w:r>
      <w:r w:rsidRPr="0059734A">
        <w:rPr>
          <w:rFonts w:cs="Arial"/>
          <w:szCs w:val="24"/>
        </w:rPr>
        <w:t xml:space="preserve"> a través del Sistema de Acceso a la Información Mexiquense (SAIMEX), al </w:t>
      </w:r>
      <w:r w:rsidRPr="0059734A">
        <w:rPr>
          <w:rFonts w:cs="Arial"/>
          <w:b/>
          <w:szCs w:val="24"/>
        </w:rPr>
        <w:t>RECURRENTE</w:t>
      </w:r>
      <w:r w:rsidRPr="0059734A">
        <w:rPr>
          <w:rFonts w:cs="Arial"/>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DCD32A" w14:textId="77777777" w:rsidR="0040171F" w:rsidRPr="0059734A" w:rsidRDefault="0040171F" w:rsidP="004E0A52">
      <w:pPr>
        <w:contextualSpacing/>
        <w:rPr>
          <w:lang w:val="es-MX"/>
        </w:rPr>
      </w:pPr>
    </w:p>
    <w:p w14:paraId="5D1F988D" w14:textId="77777777" w:rsidR="00AE2402" w:rsidRPr="0059734A" w:rsidRDefault="00AE2402" w:rsidP="004E0A52">
      <w:pPr>
        <w:contextualSpacing/>
        <w:rPr>
          <w:lang w:val="es-MX"/>
        </w:rPr>
      </w:pPr>
    </w:p>
    <w:p w14:paraId="202C4426" w14:textId="77777777" w:rsidR="00AE2402" w:rsidRPr="0059734A" w:rsidRDefault="00AE2402" w:rsidP="004E0A52">
      <w:pPr>
        <w:contextualSpacing/>
        <w:rPr>
          <w:lang w:val="es-MX"/>
        </w:rPr>
      </w:pPr>
    </w:p>
    <w:p w14:paraId="5D3F20FF" w14:textId="77777777" w:rsidR="00AE2402" w:rsidRPr="0059734A" w:rsidRDefault="00AE2402" w:rsidP="004E0A52">
      <w:pPr>
        <w:contextualSpacing/>
        <w:rPr>
          <w:lang w:val="es-MX"/>
        </w:rPr>
      </w:pPr>
    </w:p>
    <w:p w14:paraId="59E1C382" w14:textId="77777777" w:rsidR="00AE2402" w:rsidRPr="0059734A" w:rsidRDefault="00AE2402" w:rsidP="004E0A52">
      <w:pPr>
        <w:contextualSpacing/>
        <w:rPr>
          <w:lang w:val="es-MX"/>
        </w:rPr>
      </w:pPr>
    </w:p>
    <w:p w14:paraId="20573BFF" w14:textId="2F7114D7" w:rsidR="00A970D5" w:rsidRPr="0059734A" w:rsidRDefault="0059734A" w:rsidP="004E0A52">
      <w:pPr>
        <w:pBdr>
          <w:top w:val="nil"/>
          <w:left w:val="nil"/>
          <w:bottom w:val="nil"/>
          <w:right w:val="nil"/>
          <w:between w:val="nil"/>
        </w:pBdr>
        <w:contextualSpacing/>
        <w:rPr>
          <w:rFonts w:eastAsia="Palatino Linotype" w:cs="Palatino Linotype"/>
          <w:color w:val="000000"/>
          <w:szCs w:val="24"/>
        </w:rPr>
      </w:pPr>
      <w:r w:rsidRPr="0059734A">
        <w:rPr>
          <w:rFonts w:eastAsia="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A970D5" w:rsidRPr="0059734A">
        <w:rPr>
          <w:rFonts w:eastAsia="Palatino Linotype" w:cs="Palatino Linotype"/>
          <w:color w:val="000000"/>
          <w:szCs w:val="24"/>
        </w:rPr>
        <w:t>.</w:t>
      </w:r>
      <w:r w:rsidR="001957CF" w:rsidRPr="0059734A">
        <w:rPr>
          <w:rFonts w:eastAsia="Palatino Linotype" w:cs="Palatino Linotype"/>
          <w:color w:val="000000"/>
          <w:szCs w:val="24"/>
        </w:rPr>
        <w:t>--------------</w:t>
      </w:r>
      <w:r w:rsidR="00C6512A" w:rsidRPr="0059734A">
        <w:rPr>
          <w:rFonts w:eastAsia="Palatino Linotype" w:cs="Palatino Linotype"/>
          <w:color w:val="000000"/>
          <w:szCs w:val="24"/>
        </w:rPr>
        <w:t>---------</w:t>
      </w:r>
      <w:r w:rsidR="00337FA1" w:rsidRPr="0059734A">
        <w:rPr>
          <w:rFonts w:eastAsia="Palatino Linotype" w:cs="Palatino Linotype"/>
          <w:color w:val="000000"/>
          <w:szCs w:val="24"/>
        </w:rPr>
        <w:t>-----</w:t>
      </w:r>
      <w:r w:rsidR="0075725A" w:rsidRPr="0059734A">
        <w:rPr>
          <w:rFonts w:eastAsia="Palatino Linotype" w:cs="Palatino Linotype"/>
          <w:color w:val="000000"/>
          <w:szCs w:val="24"/>
        </w:rPr>
        <w:t>--------------------------------------------------------------------------------------------------------------------------------------------------------------------------------------------------------------------------------------------------------------------------------------------------------------------------------------------------------------------------------------------------------------------------------------------------------------------------------------------------------------------------------------------------------------</w:t>
      </w:r>
      <w:r w:rsidR="00AE2402" w:rsidRPr="0059734A">
        <w:rPr>
          <w:rFonts w:eastAsia="Palatino Linotype" w:cs="Palatino Linotype"/>
          <w:color w:val="000000"/>
          <w:szCs w:val="24"/>
        </w:rPr>
        <w:t xml:space="preserve"> ---------------------------------------------------------------------------------------------------------------------------------------------------------------------------------------------------------------------------------------------------------------------------------------------------------------------------------------------------------------------------------------------------------------------------------------------------------------------------------------------------------------------------------------------------------------------------------------------------------------------------------------------------------------------------------------------------------------------------------------------------------------------------------------------------------------------------------------------------------------------------------------------------------------------------------------------------------------------------------------------------------------------------------------------------------------------------------------</w:t>
      </w:r>
      <w:r w:rsidR="006A7F0F" w:rsidRPr="0059734A">
        <w:rPr>
          <w:rFonts w:eastAsia="Palatino Linotype" w:cs="Palatino Linotype"/>
          <w:color w:val="000000"/>
          <w:szCs w:val="24"/>
        </w:rPr>
        <w:t>------------------------------------------</w:t>
      </w:r>
      <w:r w:rsidR="00AE2402" w:rsidRPr="0059734A">
        <w:rPr>
          <w:rFonts w:eastAsia="Palatino Linotype" w:cs="Palatino Linotype"/>
          <w:color w:val="000000"/>
          <w:szCs w:val="24"/>
        </w:rPr>
        <w:t>------</w:t>
      </w:r>
    </w:p>
    <w:p w14:paraId="4DA57669" w14:textId="68AD6BD6" w:rsidR="00A970D5" w:rsidRPr="004B7011" w:rsidRDefault="44E9108F" w:rsidP="004E0A52">
      <w:pPr>
        <w:pBdr>
          <w:top w:val="nil"/>
          <w:left w:val="nil"/>
          <w:bottom w:val="nil"/>
          <w:right w:val="nil"/>
          <w:between w:val="nil"/>
        </w:pBdr>
        <w:contextualSpacing/>
        <w:rPr>
          <w:rFonts w:eastAsia="Palatino Linotype" w:cs="Palatino Linotype"/>
          <w:color w:val="000000"/>
          <w:sz w:val="20"/>
          <w:szCs w:val="20"/>
          <w:lang w:val="es-ES"/>
        </w:rPr>
      </w:pPr>
      <w:r w:rsidRPr="0059734A">
        <w:rPr>
          <w:rFonts w:eastAsia="Palatino Linotype" w:cs="Palatino Linotype"/>
          <w:color w:val="000000" w:themeColor="text1"/>
          <w:sz w:val="20"/>
          <w:szCs w:val="20"/>
          <w:lang w:val="es-ES"/>
        </w:rPr>
        <w:t>JMV/CCR/</w:t>
      </w:r>
      <w:proofErr w:type="spellStart"/>
      <w:r w:rsidR="00D84CC0" w:rsidRPr="0059734A">
        <w:rPr>
          <w:rFonts w:eastAsia="Palatino Linotype" w:cs="Palatino Linotype"/>
          <w:color w:val="000000" w:themeColor="text1"/>
          <w:sz w:val="20"/>
          <w:szCs w:val="20"/>
          <w:lang w:val="es-ES"/>
        </w:rPr>
        <w:t>fjjc</w:t>
      </w:r>
      <w:proofErr w:type="spellEnd"/>
    </w:p>
    <w:p w14:paraId="607C2072"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4E0A52">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4E0A52"/>
    <w:sectPr w:rsidR="00D718B8" w:rsidRPr="004B7011" w:rsidSect="004F5285">
      <w:headerReference w:type="even" r:id="rId17"/>
      <w:headerReference w:type="default" r:id="rId18"/>
      <w:footerReference w:type="default" r:id="rId19"/>
      <w:headerReference w:type="first" r:id="rId20"/>
      <w:footerReference w:type="first" r:id="rId2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37C5C" w14:textId="77777777" w:rsidR="00C10DDF" w:rsidRDefault="00C10DDF" w:rsidP="00F2498E">
      <w:pPr>
        <w:spacing w:line="240" w:lineRule="auto"/>
      </w:pPr>
      <w:r>
        <w:separator/>
      </w:r>
    </w:p>
  </w:endnote>
  <w:endnote w:type="continuationSeparator" w:id="0">
    <w:p w14:paraId="2C7CBDD0" w14:textId="77777777" w:rsidR="00C10DDF" w:rsidRDefault="00C10DDF" w:rsidP="00F2498E">
      <w:pPr>
        <w:spacing w:line="240" w:lineRule="auto"/>
      </w:pPr>
      <w:r>
        <w:continuationSeparator/>
      </w:r>
    </w:p>
  </w:endnote>
  <w:endnote w:type="continuationNotice" w:id="1">
    <w:p w14:paraId="0999AAE1" w14:textId="77777777" w:rsidR="00C10DDF" w:rsidRDefault="00C10D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498A017" w:rsidR="00114DB2" w:rsidRPr="00871A91" w:rsidRDefault="00114D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338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338D">
      <w:rPr>
        <w:rFonts w:ascii="Palatino Linotype" w:hAnsi="Palatino Linotype"/>
        <w:b/>
        <w:bCs/>
        <w:noProof/>
        <w:sz w:val="20"/>
      </w:rPr>
      <w:t>64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3D6FAC0" w:rsidR="00114DB2" w:rsidRPr="00871A91" w:rsidRDefault="00114D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338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338D">
      <w:rPr>
        <w:rFonts w:ascii="Palatino Linotype" w:hAnsi="Palatino Linotype"/>
        <w:b/>
        <w:bCs/>
        <w:noProof/>
        <w:sz w:val="20"/>
      </w:rPr>
      <w:t>64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E59FC" w14:textId="77777777" w:rsidR="00C10DDF" w:rsidRDefault="00C10DDF" w:rsidP="00F2498E">
      <w:pPr>
        <w:spacing w:line="240" w:lineRule="auto"/>
      </w:pPr>
      <w:r>
        <w:separator/>
      </w:r>
    </w:p>
  </w:footnote>
  <w:footnote w:type="continuationSeparator" w:id="0">
    <w:p w14:paraId="696824E3" w14:textId="77777777" w:rsidR="00C10DDF" w:rsidRDefault="00C10DDF" w:rsidP="00F2498E">
      <w:pPr>
        <w:spacing w:line="240" w:lineRule="auto"/>
      </w:pPr>
      <w:r>
        <w:continuationSeparator/>
      </w:r>
    </w:p>
  </w:footnote>
  <w:footnote w:type="continuationNotice" w:id="1">
    <w:p w14:paraId="7622B5B0" w14:textId="77777777" w:rsidR="00C10DDF" w:rsidRDefault="00C10DDF">
      <w:pPr>
        <w:spacing w:line="240" w:lineRule="auto"/>
      </w:pPr>
    </w:p>
  </w:footnote>
  <w:footnote w:id="2">
    <w:p w14:paraId="5EBCB4B6" w14:textId="77777777" w:rsidR="00114DB2" w:rsidRPr="005552A8" w:rsidRDefault="00114DB2" w:rsidP="007E2133">
      <w:pPr>
        <w:rPr>
          <w:b/>
          <w:bCs/>
          <w:i/>
          <w:sz w:val="16"/>
          <w:szCs w:val="16"/>
        </w:rPr>
      </w:pPr>
      <w:r>
        <w:rPr>
          <w:rStyle w:val="Refdenotaalpie"/>
        </w:rPr>
        <w:footnoteRef/>
      </w:r>
      <w:r>
        <w:t xml:space="preserve"> </w:t>
      </w:r>
      <w:r w:rsidRPr="005552A8">
        <w:rPr>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86D9113" w14:textId="77777777" w:rsidR="00114DB2" w:rsidRPr="005552A8" w:rsidRDefault="00114DB2" w:rsidP="007E2133">
      <w:pPr>
        <w:rPr>
          <w:i/>
          <w:sz w:val="16"/>
          <w:szCs w:val="16"/>
        </w:rPr>
      </w:pPr>
      <w:r w:rsidRPr="005552A8">
        <w:rPr>
          <w:i/>
          <w:sz w:val="16"/>
          <w:szCs w:val="16"/>
        </w:rPr>
        <w:t>Del examen de compatibilidad de los artículos</w:t>
      </w:r>
      <w:r w:rsidRPr="005552A8">
        <w:rPr>
          <w:rStyle w:val="apple-converted-space"/>
          <w:i/>
          <w:sz w:val="16"/>
          <w:szCs w:val="16"/>
        </w:rPr>
        <w:t> </w:t>
      </w:r>
      <w:hyperlink r:id="rId1" w:history="1">
        <w:r w:rsidRPr="005552A8">
          <w:rPr>
            <w:rStyle w:val="Hipervnculo"/>
            <w:i/>
            <w:sz w:val="16"/>
            <w:szCs w:val="16"/>
          </w:rPr>
          <w:t>73 y 74 de la Ley de Amparo</w:t>
        </w:r>
      </w:hyperlink>
      <w:r w:rsidRPr="005552A8">
        <w:rPr>
          <w:rStyle w:val="apple-converted-space"/>
          <w:i/>
          <w:sz w:val="16"/>
          <w:szCs w:val="16"/>
        </w:rPr>
        <w:t> </w:t>
      </w:r>
      <w:r w:rsidRPr="005552A8">
        <w:rPr>
          <w:i/>
          <w:sz w:val="16"/>
          <w:szCs w:val="16"/>
        </w:rPr>
        <w:t>con el artículo</w:t>
      </w:r>
      <w:r w:rsidRPr="005552A8">
        <w:rPr>
          <w:rStyle w:val="apple-converted-space"/>
          <w:i/>
          <w:sz w:val="16"/>
          <w:szCs w:val="16"/>
        </w:rPr>
        <w:t> </w:t>
      </w:r>
      <w:hyperlink r:id="rId2" w:history="1">
        <w:r w:rsidRPr="005552A8">
          <w:rPr>
            <w:rStyle w:val="Hipervnculo"/>
            <w:i/>
            <w:sz w:val="16"/>
            <w:szCs w:val="16"/>
          </w:rPr>
          <w:t>25.1 de la Convención Americana sobre Derechos Humanos</w:t>
        </w:r>
      </w:hyperlink>
      <w:r w:rsidRPr="005552A8">
        <w:rPr>
          <w:rStyle w:val="apple-converted-space"/>
          <w:i/>
          <w:sz w:val="16"/>
          <w:szCs w:val="16"/>
        </w:rPr>
        <w:t> </w:t>
      </w:r>
      <w:r w:rsidRPr="005552A8">
        <w:rPr>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i/>
          <w:sz w:val="16"/>
          <w:szCs w:val="16"/>
        </w:rPr>
        <w:t>concesoria</w:t>
      </w:r>
      <w:proofErr w:type="spellEnd"/>
      <w:r w:rsidRPr="005552A8">
        <w:rPr>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7646556" w14:textId="77777777" w:rsidR="004E0A52" w:rsidRDefault="004E0A52" w:rsidP="004E0A52">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Consultable en: </w:t>
      </w:r>
    </w:p>
    <w:p w14:paraId="61909485" w14:textId="77777777" w:rsidR="004E0A52" w:rsidRDefault="00C10DDF" w:rsidP="004E0A52">
      <w:pPr>
        <w:pBdr>
          <w:top w:val="nil"/>
          <w:left w:val="nil"/>
          <w:bottom w:val="nil"/>
          <w:right w:val="nil"/>
          <w:between w:val="nil"/>
        </w:pBdr>
        <w:rPr>
          <w:rFonts w:eastAsia="Palatino Linotype" w:cs="Palatino Linotype"/>
          <w:color w:val="000000"/>
          <w:sz w:val="16"/>
          <w:szCs w:val="16"/>
        </w:rPr>
      </w:pPr>
      <w:hyperlink r:id="rId3">
        <w:r w:rsidR="004E0A52">
          <w:rPr>
            <w:rFonts w:eastAsia="Palatino Linotype" w:cs="Palatino Linotype"/>
            <w:color w:val="0000FF"/>
            <w:sz w:val="16"/>
            <w:szCs w:val="16"/>
            <w:u w:val="single"/>
          </w:rPr>
          <w:t>https://www.indetec.gob.mx/delivery?srv=0&amp;sl=3&amp;path=/biblioteca/Especiales/386_Glosario_Terminos_Proceso_Planeacion.pdf</w:t>
        </w:r>
      </w:hyperlink>
      <w:r w:rsidR="004E0A52">
        <w:rPr>
          <w:rFonts w:eastAsia="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14DB2" w:rsidRDefault="00C10DDF">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14DB2" w:rsidRPr="00B17577" w14:paraId="37B9EBDE" w14:textId="77777777" w:rsidTr="003938ED">
      <w:trPr>
        <w:trHeight w:val="227"/>
      </w:trPr>
      <w:tc>
        <w:tcPr>
          <w:tcW w:w="5103" w:type="dxa"/>
          <w:hideMark/>
        </w:tcPr>
        <w:p w14:paraId="4964FBC5" w14:textId="54CDA645" w:rsidR="00114DB2" w:rsidRPr="00096248" w:rsidRDefault="00114DB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4CDBC15" w:rsidR="00114DB2" w:rsidRPr="00096248" w:rsidRDefault="00114DB2" w:rsidP="002A5A2E">
          <w:pPr>
            <w:spacing w:after="120" w:line="240" w:lineRule="auto"/>
            <w:ind w:right="71"/>
            <w:jc w:val="right"/>
            <w:rPr>
              <w:rFonts w:cs="Arial"/>
              <w:b/>
              <w:szCs w:val="24"/>
            </w:rPr>
          </w:pPr>
          <w:r>
            <w:rPr>
              <w:rFonts w:cs="Arial"/>
              <w:b/>
              <w:bCs/>
              <w:szCs w:val="24"/>
            </w:rPr>
            <w:t>06440/INFOEM/IP/RR/2025</w:t>
          </w:r>
        </w:p>
      </w:tc>
    </w:tr>
    <w:tr w:rsidR="00114DB2" w14:paraId="7591D3C9" w14:textId="77777777" w:rsidTr="003938ED">
      <w:trPr>
        <w:trHeight w:val="242"/>
      </w:trPr>
      <w:tc>
        <w:tcPr>
          <w:tcW w:w="5103" w:type="dxa"/>
          <w:hideMark/>
        </w:tcPr>
        <w:p w14:paraId="729A65A8" w14:textId="77777777" w:rsidR="00114DB2" w:rsidRPr="00096248" w:rsidRDefault="00114DB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719FC6E" w:rsidR="00114DB2" w:rsidRPr="00096248" w:rsidRDefault="00114DB2" w:rsidP="00011C4D">
          <w:pPr>
            <w:spacing w:after="120" w:line="240" w:lineRule="auto"/>
            <w:ind w:left="-81" w:right="71"/>
            <w:jc w:val="right"/>
            <w:rPr>
              <w:rFonts w:cs="Arial"/>
              <w:szCs w:val="24"/>
            </w:rPr>
          </w:pPr>
          <w:r w:rsidRPr="00BB636A">
            <w:rPr>
              <w:rFonts w:cs="Arial"/>
              <w:szCs w:val="24"/>
            </w:rPr>
            <w:t>El Organismo Descentralizado de Agua Potable Alcantarillado y Saneamiento del Municipio de Ixtapaluca denominado por sus siglas, O.D.A.P.A.S.</w:t>
          </w:r>
        </w:p>
      </w:tc>
    </w:tr>
    <w:tr w:rsidR="00114DB2" w:rsidRPr="00F63239" w14:paraId="037E914D" w14:textId="77777777" w:rsidTr="003938ED">
      <w:trPr>
        <w:trHeight w:val="342"/>
      </w:trPr>
      <w:tc>
        <w:tcPr>
          <w:tcW w:w="5103" w:type="dxa"/>
          <w:hideMark/>
        </w:tcPr>
        <w:p w14:paraId="7676B68F" w14:textId="64D69EAF" w:rsidR="00114DB2" w:rsidRPr="00096248" w:rsidRDefault="00114DB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14DB2" w:rsidRDefault="00114DB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14DB2" w:rsidRPr="00711916" w:rsidRDefault="00114DB2" w:rsidP="00011C4D">
          <w:pPr>
            <w:spacing w:after="120" w:line="240" w:lineRule="auto"/>
            <w:ind w:left="-486" w:right="71" w:firstLine="567"/>
            <w:jc w:val="right"/>
            <w:rPr>
              <w:rFonts w:cs="Arial"/>
              <w:sz w:val="2"/>
              <w:szCs w:val="2"/>
            </w:rPr>
          </w:pPr>
        </w:p>
      </w:tc>
    </w:tr>
  </w:tbl>
  <w:p w14:paraId="2998DBFD" w14:textId="25A9F426" w:rsidR="00114DB2" w:rsidRPr="00871A91" w:rsidRDefault="00C10DDF">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14D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14DB2" w14:paraId="0F9FE9B6" w14:textId="77777777" w:rsidTr="70652167">
      <w:trPr>
        <w:trHeight w:val="227"/>
      </w:trPr>
      <w:tc>
        <w:tcPr>
          <w:tcW w:w="5103" w:type="dxa"/>
          <w:hideMark/>
        </w:tcPr>
        <w:p w14:paraId="6D1D9D71" w14:textId="11150E5A" w:rsidR="00114DB2" w:rsidRPr="00663A37" w:rsidRDefault="00114DB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F69C6E4" w:rsidR="00114DB2" w:rsidRPr="00C81ECD" w:rsidRDefault="00114DB2" w:rsidP="002A5A2E">
          <w:pPr>
            <w:spacing w:after="120" w:line="240" w:lineRule="auto"/>
            <w:ind w:left="-486" w:right="68" w:firstLine="558"/>
            <w:jc w:val="right"/>
            <w:rPr>
              <w:rFonts w:cs="Arial"/>
              <w:b/>
              <w:szCs w:val="24"/>
            </w:rPr>
          </w:pPr>
          <w:r>
            <w:rPr>
              <w:rFonts w:cs="Arial"/>
              <w:b/>
              <w:bCs/>
              <w:szCs w:val="24"/>
            </w:rPr>
            <w:t>06440/INFOEM/IP/RR/2025</w:t>
          </w:r>
        </w:p>
      </w:tc>
    </w:tr>
    <w:tr w:rsidR="00114DB2" w:rsidRPr="001F57CD" w14:paraId="1377D264" w14:textId="77777777" w:rsidTr="70652167">
      <w:trPr>
        <w:trHeight w:val="196"/>
      </w:trPr>
      <w:tc>
        <w:tcPr>
          <w:tcW w:w="5103" w:type="dxa"/>
          <w:hideMark/>
        </w:tcPr>
        <w:p w14:paraId="04D597A1" w14:textId="77777777" w:rsidR="00114DB2" w:rsidRPr="00663A37" w:rsidRDefault="00114DB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3116367" w:rsidR="00114DB2" w:rsidRPr="00663A37" w:rsidRDefault="00B4338D" w:rsidP="70652167">
          <w:pPr>
            <w:spacing w:after="120" w:line="240" w:lineRule="auto"/>
            <w:ind w:right="68"/>
            <w:jc w:val="right"/>
            <w:rPr>
              <w:rFonts w:cs="Arial"/>
              <w:lang w:val="es-ES"/>
            </w:rPr>
          </w:pPr>
          <w:proofErr w:type="spellStart"/>
          <w:r>
            <w:rPr>
              <w:rFonts w:cs="Arial"/>
              <w:lang w:val="es-ES"/>
            </w:rPr>
            <w:t>xxxxxxxxxxxxxxxxx</w:t>
          </w:r>
          <w:proofErr w:type="spellEnd"/>
        </w:p>
      </w:tc>
    </w:tr>
    <w:tr w:rsidR="00114DB2" w14:paraId="4DC11993" w14:textId="77777777" w:rsidTr="70652167">
      <w:trPr>
        <w:trHeight w:val="242"/>
      </w:trPr>
      <w:tc>
        <w:tcPr>
          <w:tcW w:w="5103" w:type="dxa"/>
          <w:hideMark/>
        </w:tcPr>
        <w:p w14:paraId="76CEF1B5" w14:textId="77777777" w:rsidR="00114DB2" w:rsidRPr="00663A37" w:rsidRDefault="00114DB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34E713E" w:rsidR="00114DB2" w:rsidRPr="00663A37" w:rsidRDefault="00114DB2" w:rsidP="00771E23">
          <w:pPr>
            <w:spacing w:after="120" w:line="240" w:lineRule="auto"/>
            <w:ind w:left="-70" w:right="68"/>
            <w:jc w:val="right"/>
            <w:rPr>
              <w:rFonts w:cs="Arial"/>
              <w:szCs w:val="24"/>
            </w:rPr>
          </w:pPr>
          <w:r w:rsidRPr="00BB636A">
            <w:rPr>
              <w:rFonts w:cs="Arial"/>
              <w:szCs w:val="24"/>
            </w:rPr>
            <w:t>El Organismo Descentralizado de Agua Potable Alcantarillado y Saneamiento del Municipio de Ixtapaluca denominado por sus siglas, O.D.A.P.A.S.</w:t>
          </w:r>
        </w:p>
      </w:tc>
    </w:tr>
    <w:tr w:rsidR="00114DB2" w14:paraId="5C2B511D" w14:textId="77777777" w:rsidTr="70652167">
      <w:trPr>
        <w:trHeight w:val="342"/>
      </w:trPr>
      <w:tc>
        <w:tcPr>
          <w:tcW w:w="5103" w:type="dxa"/>
          <w:hideMark/>
        </w:tcPr>
        <w:p w14:paraId="03FEF68C" w14:textId="45E91CF4" w:rsidR="00114DB2" w:rsidRPr="00663A37" w:rsidRDefault="00114DB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14DB2" w:rsidRPr="00663A37" w:rsidRDefault="00114DB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14DB2" w:rsidRPr="00871A91" w:rsidRDefault="00C10DDF">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114D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699"/>
    <w:multiLevelType w:val="hybridMultilevel"/>
    <w:tmpl w:val="49F49DA8"/>
    <w:lvl w:ilvl="0" w:tplc="080A0005">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8481B"/>
    <w:multiLevelType w:val="hybridMultilevel"/>
    <w:tmpl w:val="A8A8A11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8" w15:restartNumberingAfterBreak="0">
    <w:nsid w:val="714D68C9"/>
    <w:multiLevelType w:val="hybridMultilevel"/>
    <w:tmpl w:val="4A7AB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CE539AA"/>
    <w:multiLevelType w:val="hybridMultilevel"/>
    <w:tmpl w:val="B54C9A30"/>
    <w:lvl w:ilvl="0" w:tplc="080A0005">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7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0"/>
  </w:num>
  <w:num w:numId="3">
    <w:abstractNumId w:val="17"/>
  </w:num>
  <w:num w:numId="4">
    <w:abstractNumId w:val="62"/>
  </w:num>
  <w:num w:numId="5">
    <w:abstractNumId w:val="6"/>
  </w:num>
  <w:num w:numId="6">
    <w:abstractNumId w:val="54"/>
  </w:num>
  <w:num w:numId="7">
    <w:abstractNumId w:val="14"/>
  </w:num>
  <w:num w:numId="8">
    <w:abstractNumId w:val="4"/>
  </w:num>
  <w:num w:numId="9">
    <w:abstractNumId w:val="28"/>
  </w:num>
  <w:num w:numId="10">
    <w:abstractNumId w:val="29"/>
  </w:num>
  <w:num w:numId="11">
    <w:abstractNumId w:val="69"/>
  </w:num>
  <w:num w:numId="12">
    <w:abstractNumId w:val="60"/>
  </w:num>
  <w:num w:numId="13">
    <w:abstractNumId w:val="40"/>
  </w:num>
  <w:num w:numId="14">
    <w:abstractNumId w:val="49"/>
  </w:num>
  <w:num w:numId="15">
    <w:abstractNumId w:val="25"/>
  </w:num>
  <w:num w:numId="16">
    <w:abstractNumId w:val="38"/>
  </w:num>
  <w:num w:numId="17">
    <w:abstractNumId w:val="22"/>
  </w:num>
  <w:num w:numId="18">
    <w:abstractNumId w:val="9"/>
  </w:num>
  <w:num w:numId="19">
    <w:abstractNumId w:val="10"/>
  </w:num>
  <w:num w:numId="20">
    <w:abstractNumId w:val="18"/>
  </w:num>
  <w:num w:numId="21">
    <w:abstractNumId w:val="33"/>
  </w:num>
  <w:num w:numId="22">
    <w:abstractNumId w:val="3"/>
  </w:num>
  <w:num w:numId="23">
    <w:abstractNumId w:val="45"/>
  </w:num>
  <w:num w:numId="24">
    <w:abstractNumId w:val="53"/>
  </w:num>
  <w:num w:numId="25">
    <w:abstractNumId w:val="61"/>
  </w:num>
  <w:num w:numId="26">
    <w:abstractNumId w:val="27"/>
  </w:num>
  <w:num w:numId="27">
    <w:abstractNumId w:val="56"/>
  </w:num>
  <w:num w:numId="28">
    <w:abstractNumId w:val="36"/>
  </w:num>
  <w:num w:numId="29">
    <w:abstractNumId w:val="31"/>
  </w:num>
  <w:num w:numId="30">
    <w:abstractNumId w:val="23"/>
  </w:num>
  <w:num w:numId="31">
    <w:abstractNumId w:val="47"/>
  </w:num>
  <w:num w:numId="32">
    <w:abstractNumId w:val="52"/>
  </w:num>
  <w:num w:numId="33">
    <w:abstractNumId w:val="8"/>
  </w:num>
  <w:num w:numId="34">
    <w:abstractNumId w:val="65"/>
  </w:num>
  <w:num w:numId="35">
    <w:abstractNumId w:val="71"/>
  </w:num>
  <w:num w:numId="36">
    <w:abstractNumId w:val="59"/>
  </w:num>
  <w:num w:numId="37">
    <w:abstractNumId w:val="11"/>
  </w:num>
  <w:num w:numId="38">
    <w:abstractNumId w:val="57"/>
  </w:num>
  <w:num w:numId="39">
    <w:abstractNumId w:val="12"/>
  </w:num>
  <w:num w:numId="40">
    <w:abstractNumId w:val="55"/>
  </w:num>
  <w:num w:numId="41">
    <w:abstractNumId w:val="64"/>
  </w:num>
  <w:num w:numId="42">
    <w:abstractNumId w:val="1"/>
  </w:num>
  <w:num w:numId="43">
    <w:abstractNumId w:val="2"/>
  </w:num>
  <w:num w:numId="44">
    <w:abstractNumId w:val="37"/>
  </w:num>
  <w:num w:numId="45">
    <w:abstractNumId w:val="26"/>
  </w:num>
  <w:num w:numId="46">
    <w:abstractNumId w:val="66"/>
  </w:num>
  <w:num w:numId="47">
    <w:abstractNumId w:val="35"/>
  </w:num>
  <w:num w:numId="48">
    <w:abstractNumId w:val="74"/>
  </w:num>
  <w:num w:numId="49">
    <w:abstractNumId w:val="13"/>
  </w:num>
  <w:num w:numId="50">
    <w:abstractNumId w:val="48"/>
  </w:num>
  <w:num w:numId="51">
    <w:abstractNumId w:val="46"/>
  </w:num>
  <w:num w:numId="52">
    <w:abstractNumId w:val="7"/>
  </w:num>
  <w:num w:numId="53">
    <w:abstractNumId w:val="5"/>
  </w:num>
  <w:num w:numId="54">
    <w:abstractNumId w:val="43"/>
  </w:num>
  <w:num w:numId="55">
    <w:abstractNumId w:val="16"/>
  </w:num>
  <w:num w:numId="56">
    <w:abstractNumId w:val="20"/>
  </w:num>
  <w:num w:numId="57">
    <w:abstractNumId w:val="42"/>
  </w:num>
  <w:num w:numId="58">
    <w:abstractNumId w:val="32"/>
  </w:num>
  <w:num w:numId="59">
    <w:abstractNumId w:val="67"/>
  </w:num>
  <w:num w:numId="60">
    <w:abstractNumId w:val="41"/>
  </w:num>
  <w:num w:numId="61">
    <w:abstractNumId w:val="58"/>
  </w:num>
  <w:num w:numId="62">
    <w:abstractNumId w:val="30"/>
  </w:num>
  <w:num w:numId="63">
    <w:abstractNumId w:val="15"/>
  </w:num>
  <w:num w:numId="64">
    <w:abstractNumId w:val="51"/>
  </w:num>
  <w:num w:numId="65">
    <w:abstractNumId w:val="19"/>
  </w:num>
  <w:num w:numId="66">
    <w:abstractNumId w:val="68"/>
  </w:num>
  <w:num w:numId="67">
    <w:abstractNumId w:val="0"/>
  </w:num>
  <w:num w:numId="68">
    <w:abstractNumId w:val="73"/>
  </w:num>
  <w:num w:numId="69">
    <w:abstractNumId w:val="39"/>
  </w:num>
  <w:num w:numId="70">
    <w:abstractNumId w:val="34"/>
  </w:num>
  <w:num w:numId="71">
    <w:abstractNumId w:val="63"/>
  </w:num>
  <w:num w:numId="72">
    <w:abstractNumId w:val="70"/>
  </w:num>
  <w:num w:numId="73">
    <w:abstractNumId w:val="72"/>
  </w:num>
  <w:num w:numId="74">
    <w:abstractNumId w:val="21"/>
  </w:num>
  <w:num w:numId="75">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0B85"/>
    <w:rsid w:val="00021122"/>
    <w:rsid w:val="00021165"/>
    <w:rsid w:val="00021A08"/>
    <w:rsid w:val="000221D0"/>
    <w:rsid w:val="00022208"/>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0F62"/>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0D75"/>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0EC4"/>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2D1D"/>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DB2"/>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140"/>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958"/>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63D4"/>
    <w:rsid w:val="00277BEF"/>
    <w:rsid w:val="00277F0F"/>
    <w:rsid w:val="00280398"/>
    <w:rsid w:val="00280AE4"/>
    <w:rsid w:val="00280E39"/>
    <w:rsid w:val="00281167"/>
    <w:rsid w:val="002811E3"/>
    <w:rsid w:val="002813B2"/>
    <w:rsid w:val="00281AC0"/>
    <w:rsid w:val="00282431"/>
    <w:rsid w:val="00282CAE"/>
    <w:rsid w:val="00282E9E"/>
    <w:rsid w:val="0028375C"/>
    <w:rsid w:val="00283965"/>
    <w:rsid w:val="00283BBD"/>
    <w:rsid w:val="00283D5E"/>
    <w:rsid w:val="00284245"/>
    <w:rsid w:val="0028431F"/>
    <w:rsid w:val="00285028"/>
    <w:rsid w:val="00285034"/>
    <w:rsid w:val="00285A72"/>
    <w:rsid w:val="00285A94"/>
    <w:rsid w:val="00287A3E"/>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1E4"/>
    <w:rsid w:val="00297212"/>
    <w:rsid w:val="002972E8"/>
    <w:rsid w:val="00297791"/>
    <w:rsid w:val="00297A3B"/>
    <w:rsid w:val="002A02E8"/>
    <w:rsid w:val="002A0A88"/>
    <w:rsid w:val="002A1797"/>
    <w:rsid w:val="002A1DA3"/>
    <w:rsid w:val="002A3211"/>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6E56"/>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6876"/>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72"/>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A52"/>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6E50"/>
    <w:rsid w:val="004F7010"/>
    <w:rsid w:val="004F76B0"/>
    <w:rsid w:val="004F78C4"/>
    <w:rsid w:val="004F7CBE"/>
    <w:rsid w:val="00500A2D"/>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34A"/>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667"/>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A7F0F"/>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133"/>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3B4"/>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529"/>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69BE"/>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11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1A7"/>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C2F"/>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44F4"/>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402"/>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8D"/>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4FF9"/>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6A"/>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0DDF"/>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37B"/>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1A3"/>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CC0"/>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11C"/>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92D"/>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paragraph" w:customStyle="1" w:styleId="Citas">
    <w:name w:val="Citas"/>
    <w:basedOn w:val="Normal"/>
    <w:qFormat/>
    <w:rsid w:val="00020B85"/>
    <w:pPr>
      <w:spacing w:before="240" w:after="160"/>
      <w:ind w:left="851" w:right="851"/>
    </w:pPr>
    <w:rPr>
      <w:rFonts w:eastAsiaTheme="minorHAnsi" w:cs="Arial"/>
      <w:i/>
      <w:sz w:val="22"/>
      <w:lang w:val="es-MX" w:eastAsia="en-US"/>
    </w:rPr>
  </w:style>
  <w:style w:type="paragraph" w:customStyle="1" w:styleId="infoemcitas">
    <w:name w:val="infoem citas"/>
    <w:basedOn w:val="Normal"/>
    <w:qFormat/>
    <w:rsid w:val="00CD01A3"/>
    <w:pPr>
      <w:spacing w:before="240" w:after="160"/>
      <w:ind w:left="851" w:right="851"/>
    </w:pPr>
    <w:rPr>
      <w:rFonts w:eastAsiaTheme="minorHAnsi" w:cstheme="minorBidi"/>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44646872">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8621">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69286874">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9/&amp;a=RRA%201427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C621-9FDD-4414-95A9-6A553587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64</Pages>
  <Words>13642</Words>
  <Characters>75037</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2026-02-06T19:43:00Z</cp:lastPrinted>
  <dcterms:created xsi:type="dcterms:W3CDTF">2026-01-27T23:13:00Z</dcterms:created>
  <dcterms:modified xsi:type="dcterms:W3CDTF">2026-03-11T19:21:00Z</dcterms:modified>
</cp:coreProperties>
</file>