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15A" w:rsidRPr="00277E46" w:rsidRDefault="00A96809" w:rsidP="00277E46">
      <w:pPr>
        <w:tabs>
          <w:tab w:val="left" w:pos="3465"/>
        </w:tabs>
        <w:spacing w:line="360" w:lineRule="auto"/>
        <w:jc w:val="both"/>
        <w:rPr>
          <w:rFonts w:ascii="Palatino Linotype" w:eastAsia="Palatino Linotype" w:hAnsi="Palatino Linotype" w:cs="Palatino Linotype"/>
          <w:b/>
          <w:color w:val="000000" w:themeColor="text1"/>
        </w:rPr>
      </w:pPr>
      <w:bookmarkStart w:id="0" w:name="_GoBack"/>
      <w:bookmarkEnd w:id="0"/>
      <w:r w:rsidRPr="00277E46">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277E46">
        <w:rPr>
          <w:rFonts w:ascii="Palatino Linotype" w:eastAsia="Palatino Linotype" w:hAnsi="Palatino Linotype" w:cs="Palatino Linotype"/>
          <w:b/>
          <w:color w:val="000000" w:themeColor="text1"/>
        </w:rPr>
        <w:t>de fecha catorce (14) de enero de dos mil veintiséis.</w:t>
      </w:r>
    </w:p>
    <w:p w:rsidR="00AF415A" w:rsidRPr="00277E46" w:rsidRDefault="00AF415A" w:rsidP="00277E46">
      <w:pPr>
        <w:tabs>
          <w:tab w:val="left" w:pos="3465"/>
        </w:tabs>
        <w:spacing w:line="360" w:lineRule="auto"/>
        <w:jc w:val="both"/>
        <w:rPr>
          <w:rFonts w:ascii="Palatino Linotype" w:eastAsia="Palatino Linotype" w:hAnsi="Palatino Linotype" w:cs="Palatino Linotype"/>
          <w:color w:val="000000" w:themeColor="text1"/>
        </w:rPr>
      </w:pPr>
    </w:p>
    <w:p w:rsidR="00AF415A" w:rsidRPr="00277E46" w:rsidRDefault="00A96809" w:rsidP="00277E46">
      <w:pPr>
        <w:spacing w:line="360" w:lineRule="auto"/>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b/>
          <w:bCs/>
          <w:color w:val="000000" w:themeColor="text1"/>
        </w:rPr>
        <w:t xml:space="preserve">VISTAS </w:t>
      </w:r>
      <w:r w:rsidRPr="00277E46">
        <w:rPr>
          <w:rFonts w:ascii="Palatino Linotype" w:eastAsia="Palatino Linotype" w:hAnsi="Palatino Linotype" w:cs="Palatino Linotype"/>
          <w:color w:val="000000" w:themeColor="text1"/>
        </w:rPr>
        <w:t xml:space="preserve">las constancias para resolver el Recurso de Revisión </w:t>
      </w:r>
      <w:r w:rsidRPr="00277E46">
        <w:rPr>
          <w:rFonts w:ascii="Palatino Linotype" w:eastAsia="Palatino Linotype" w:hAnsi="Palatino Linotype" w:cs="Palatino Linotype"/>
          <w:b/>
          <w:bCs/>
          <w:color w:val="000000" w:themeColor="text1"/>
        </w:rPr>
        <w:t>07778/INFOEM/IP/RR/2025</w:t>
      </w:r>
      <w:r w:rsidR="00785652" w:rsidRPr="00277E46">
        <w:rPr>
          <w:rFonts w:ascii="Palatino Linotype" w:eastAsia="Palatino Linotype" w:hAnsi="Palatino Linotype" w:cs="Palatino Linotype"/>
          <w:color w:val="000000" w:themeColor="text1"/>
        </w:rPr>
        <w:t xml:space="preserve">, promovido </w:t>
      </w:r>
      <w:r w:rsidR="00785652" w:rsidRPr="00277E46">
        <w:rPr>
          <w:rFonts w:ascii="Palatino Linotype" w:eastAsia="Palatino Linotype" w:hAnsi="Palatino Linotype" w:cs="Palatino Linotype"/>
          <w:b/>
          <w:color w:val="000000" w:themeColor="text1"/>
        </w:rPr>
        <w:t xml:space="preserve">por una persona que no proporcionó datos de identificación, </w:t>
      </w:r>
      <w:r w:rsidR="00785652" w:rsidRPr="00277E46">
        <w:rPr>
          <w:rFonts w:ascii="Palatino Linotype" w:eastAsia="Palatino Linotype" w:hAnsi="Palatino Linotype" w:cs="Palatino Linotype"/>
          <w:color w:val="000000" w:themeColor="text1"/>
        </w:rPr>
        <w:t xml:space="preserve">a quien en lo sucesivo denominaremos </w:t>
      </w:r>
      <w:r w:rsidRPr="00277E46">
        <w:rPr>
          <w:rFonts w:ascii="Palatino Linotype" w:eastAsia="Palatino Linotype" w:hAnsi="Palatino Linotype" w:cs="Palatino Linotype"/>
          <w:b/>
          <w:bCs/>
          <w:color w:val="000000" w:themeColor="text1"/>
        </w:rPr>
        <w:t>EL RECURRENTE</w:t>
      </w:r>
      <w:r w:rsidRPr="00277E46">
        <w:rPr>
          <w:rFonts w:ascii="Palatino Linotype" w:eastAsia="Palatino Linotype" w:hAnsi="Palatino Linotype" w:cs="Palatino Linotype"/>
          <w:color w:val="000000" w:themeColor="text1"/>
        </w:rPr>
        <w:t xml:space="preserve">, en contra de la respuesta otorgada a la solicitud de información </w:t>
      </w:r>
      <w:r w:rsidRPr="00277E46">
        <w:rPr>
          <w:rFonts w:ascii="Palatino Linotype" w:eastAsia="Palatino Linotype" w:hAnsi="Palatino Linotype" w:cs="Palatino Linotype"/>
          <w:b/>
          <w:bCs/>
          <w:color w:val="000000" w:themeColor="text1"/>
        </w:rPr>
        <w:t>02818/TOLUCA/IP/2025</w:t>
      </w:r>
      <w:r w:rsidRPr="00277E46">
        <w:rPr>
          <w:rFonts w:ascii="Palatino Linotype" w:eastAsia="Palatino Linotype" w:hAnsi="Palatino Linotype" w:cs="Palatino Linotype"/>
          <w:color w:val="000000" w:themeColor="text1"/>
        </w:rPr>
        <w:t xml:space="preserve">, por parte del </w:t>
      </w:r>
      <w:r w:rsidRPr="00277E46">
        <w:rPr>
          <w:rFonts w:ascii="Palatino Linotype" w:eastAsia="Palatino Linotype" w:hAnsi="Palatino Linotype" w:cs="Palatino Linotype"/>
          <w:b/>
          <w:bCs/>
          <w:color w:val="000000" w:themeColor="text1"/>
        </w:rPr>
        <w:t xml:space="preserve">Ayuntamiento de Toluca, </w:t>
      </w:r>
      <w:r w:rsidRPr="00277E46">
        <w:rPr>
          <w:rFonts w:ascii="Palatino Linotype" w:eastAsia="Palatino Linotype" w:hAnsi="Palatino Linotype" w:cs="Palatino Linotype"/>
          <w:color w:val="000000" w:themeColor="text1"/>
        </w:rPr>
        <w:t xml:space="preserve">en adelante el </w:t>
      </w:r>
      <w:r w:rsidRPr="00277E46">
        <w:rPr>
          <w:rFonts w:ascii="Palatino Linotype" w:eastAsia="Palatino Linotype" w:hAnsi="Palatino Linotype" w:cs="Palatino Linotype"/>
          <w:b/>
          <w:bCs/>
          <w:color w:val="000000" w:themeColor="text1"/>
        </w:rPr>
        <w:t>SUJETO OBLIGADO</w:t>
      </w:r>
      <w:r w:rsidRPr="00277E46">
        <w:rPr>
          <w:rFonts w:ascii="Palatino Linotype" w:eastAsia="Palatino Linotype" w:hAnsi="Palatino Linotype" w:cs="Palatino Linotype"/>
          <w:color w:val="000000" w:themeColor="text1"/>
        </w:rPr>
        <w:t>, se emite la presente resolución con base en los siguientes:</w:t>
      </w:r>
    </w:p>
    <w:p w:rsidR="00AF415A" w:rsidRPr="00277E46" w:rsidRDefault="00AF415A" w:rsidP="00277E46">
      <w:pPr>
        <w:spacing w:line="360" w:lineRule="auto"/>
        <w:jc w:val="both"/>
        <w:rPr>
          <w:rFonts w:ascii="Palatino Linotype" w:eastAsia="Palatino Linotype" w:hAnsi="Palatino Linotype" w:cs="Palatino Linotype"/>
          <w:color w:val="000000" w:themeColor="text1"/>
        </w:rPr>
      </w:pPr>
    </w:p>
    <w:p w:rsidR="00AF415A" w:rsidRPr="00277E46" w:rsidRDefault="00A96809" w:rsidP="00277E46">
      <w:pPr>
        <w:pStyle w:val="Ttulo1"/>
        <w:spacing w:before="0" w:line="360" w:lineRule="auto"/>
        <w:jc w:val="center"/>
        <w:rPr>
          <w:rFonts w:ascii="Palatino Linotype" w:eastAsia="Palatino Linotype" w:hAnsi="Palatino Linotype" w:cs="Palatino Linotype"/>
          <w:b/>
          <w:bCs/>
          <w:color w:val="000000" w:themeColor="text1"/>
          <w:sz w:val="24"/>
          <w:szCs w:val="24"/>
        </w:rPr>
      </w:pPr>
      <w:bookmarkStart w:id="1" w:name="_heading=h.gjdgxs" w:colFirst="0" w:colLast="0"/>
      <w:bookmarkEnd w:id="1"/>
      <w:r w:rsidRPr="00277E46">
        <w:rPr>
          <w:rFonts w:ascii="Palatino Linotype" w:eastAsia="Palatino Linotype" w:hAnsi="Palatino Linotype" w:cs="Palatino Linotype"/>
          <w:b/>
          <w:bCs/>
          <w:color w:val="000000" w:themeColor="text1"/>
          <w:sz w:val="24"/>
          <w:szCs w:val="24"/>
        </w:rPr>
        <w:t>A N T E C E D E N T E S</w:t>
      </w:r>
    </w:p>
    <w:p w:rsidR="00AF415A" w:rsidRPr="00277E46" w:rsidRDefault="00AF415A" w:rsidP="00277E46">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u w:val="single"/>
        </w:rPr>
      </w:pPr>
    </w:p>
    <w:p w:rsidR="00AF415A" w:rsidRPr="00277E46" w:rsidRDefault="00A96809" w:rsidP="00277E46">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El </w:t>
      </w:r>
      <w:r w:rsidRPr="00277E46">
        <w:rPr>
          <w:rFonts w:ascii="Palatino Linotype" w:eastAsia="Palatino Linotype" w:hAnsi="Palatino Linotype" w:cs="Palatino Linotype"/>
          <w:b/>
          <w:bCs/>
          <w:color w:val="000000" w:themeColor="text1"/>
        </w:rPr>
        <w:t>quince de mayo de dos mil veinticinco</w:t>
      </w:r>
      <w:r w:rsidRPr="00277E46">
        <w:rPr>
          <w:rFonts w:ascii="Palatino Linotype" w:eastAsia="Palatino Linotype" w:hAnsi="Palatino Linotype" w:cs="Palatino Linotype"/>
          <w:color w:val="000000" w:themeColor="text1"/>
        </w:rPr>
        <w:t>,</w:t>
      </w:r>
      <w:r w:rsidRPr="00277E46">
        <w:rPr>
          <w:rFonts w:ascii="Palatino Linotype" w:eastAsia="Palatino Linotype" w:hAnsi="Palatino Linotype" w:cs="Palatino Linotype"/>
          <w:b/>
          <w:bCs/>
          <w:color w:val="000000" w:themeColor="text1"/>
        </w:rPr>
        <w:t xml:space="preserve"> </w:t>
      </w:r>
      <w:r w:rsidRPr="00277E46">
        <w:rPr>
          <w:rFonts w:ascii="Palatino Linotype" w:eastAsia="Palatino Linotype" w:hAnsi="Palatino Linotype" w:cs="Palatino Linotype"/>
          <w:color w:val="000000" w:themeColor="text1"/>
        </w:rPr>
        <w:t xml:space="preserve">se presentó ante el Sujeto Obligado vía Sistema de Acceso a la Información Mexiquense, en adelante SAIMEX, la siguiente </w:t>
      </w:r>
      <w:r w:rsidRPr="00277E46">
        <w:rPr>
          <w:rFonts w:ascii="Palatino Linotype" w:eastAsia="Palatino Linotype" w:hAnsi="Palatino Linotype" w:cs="Palatino Linotype"/>
          <w:b/>
          <w:bCs/>
          <w:color w:val="000000" w:themeColor="text1"/>
        </w:rPr>
        <w:t>solicitud de información pública</w:t>
      </w:r>
      <w:r w:rsidRPr="00277E46">
        <w:rPr>
          <w:rFonts w:ascii="Palatino Linotype" w:eastAsia="Palatino Linotype" w:hAnsi="Palatino Linotype" w:cs="Palatino Linotype"/>
          <w:color w:val="000000" w:themeColor="text1"/>
        </w:rPr>
        <w:t>:</w:t>
      </w:r>
    </w:p>
    <w:p w:rsidR="00AF415A" w:rsidRPr="00277E46" w:rsidRDefault="00AF415A" w:rsidP="00277E46">
      <w:pPr>
        <w:pBdr>
          <w:top w:val="nil"/>
          <w:left w:val="nil"/>
          <w:bottom w:val="nil"/>
          <w:right w:val="nil"/>
          <w:between w:val="nil"/>
        </w:pBdr>
        <w:jc w:val="both"/>
        <w:rPr>
          <w:rFonts w:ascii="Palatino Linotype" w:eastAsia="Palatino Linotype" w:hAnsi="Palatino Linotype" w:cs="Palatino Linotype"/>
          <w:color w:val="000000" w:themeColor="text1"/>
        </w:rPr>
      </w:pPr>
    </w:p>
    <w:p w:rsidR="00AF415A" w:rsidRPr="00277E46" w:rsidRDefault="00A96809" w:rsidP="00277E46">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 xml:space="preserve"> “Se solicitan los permisos para conducir de los servidores publicos que tengan bajo su resguardo los vehiculos que son propiedad del ayuntamiento” (Sic)</w:t>
      </w:r>
    </w:p>
    <w:p w:rsidR="00AF415A" w:rsidRDefault="00AF415A" w:rsidP="00277E46">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A92401" w:rsidRPr="00277E46" w:rsidRDefault="00A92401" w:rsidP="00277E46">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AF415A" w:rsidRPr="00277E46" w:rsidRDefault="00A96809" w:rsidP="00277E46">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Se eligió como modalidad de entrega de la información: A través del </w:t>
      </w:r>
      <w:r w:rsidRPr="00277E46">
        <w:rPr>
          <w:rFonts w:ascii="Palatino Linotype" w:eastAsia="Palatino Linotype" w:hAnsi="Palatino Linotype" w:cs="Palatino Linotype"/>
          <w:b/>
          <w:bCs/>
          <w:color w:val="000000" w:themeColor="text1"/>
        </w:rPr>
        <w:t>SAIMEX.</w:t>
      </w:r>
    </w:p>
    <w:p w:rsidR="00AF415A" w:rsidRPr="00277E46" w:rsidRDefault="00AF415A" w:rsidP="00277E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AF415A" w:rsidRPr="00277E46" w:rsidRDefault="00A96809" w:rsidP="00277E46">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El</w:t>
      </w:r>
      <w:r w:rsidRPr="00277E46">
        <w:rPr>
          <w:rFonts w:ascii="Palatino Linotype" w:eastAsia="Palatino Linotype" w:hAnsi="Palatino Linotype" w:cs="Palatino Linotype"/>
          <w:b/>
          <w:bCs/>
          <w:color w:val="000000" w:themeColor="text1"/>
        </w:rPr>
        <w:t xml:space="preserve"> cuatro de junio de dos mil veinticinco</w:t>
      </w:r>
      <w:r w:rsidRPr="00277E46">
        <w:rPr>
          <w:rFonts w:ascii="Palatino Linotype" w:eastAsia="Palatino Linotype" w:hAnsi="Palatino Linotype" w:cs="Palatino Linotype"/>
          <w:color w:val="000000" w:themeColor="text1"/>
        </w:rPr>
        <w:t>, el Sujeto Obligado</w:t>
      </w:r>
      <w:r w:rsidRPr="00277E46">
        <w:rPr>
          <w:rFonts w:ascii="Palatino Linotype" w:eastAsia="Palatino Linotype" w:hAnsi="Palatino Linotype" w:cs="Palatino Linotype"/>
          <w:b/>
          <w:bCs/>
          <w:color w:val="000000" w:themeColor="text1"/>
        </w:rPr>
        <w:t>,</w:t>
      </w:r>
      <w:r w:rsidRPr="00277E46">
        <w:rPr>
          <w:rFonts w:ascii="Palatino Linotype" w:eastAsia="Palatino Linotype" w:hAnsi="Palatino Linotype" w:cs="Palatino Linotype"/>
          <w:color w:val="000000" w:themeColor="text1"/>
        </w:rPr>
        <w:t xml:space="preserve"> dio </w:t>
      </w:r>
      <w:r w:rsidRPr="00277E46">
        <w:rPr>
          <w:rFonts w:ascii="Palatino Linotype" w:eastAsia="Palatino Linotype" w:hAnsi="Palatino Linotype" w:cs="Palatino Linotype"/>
          <w:b/>
          <w:bCs/>
          <w:color w:val="000000" w:themeColor="text1"/>
        </w:rPr>
        <w:t>respuesta</w:t>
      </w:r>
      <w:r w:rsidRPr="00277E46">
        <w:rPr>
          <w:rFonts w:ascii="Palatino Linotype" w:eastAsia="Palatino Linotype" w:hAnsi="Palatino Linotype" w:cs="Palatino Linotype"/>
          <w:color w:val="000000" w:themeColor="text1"/>
        </w:rPr>
        <w:t xml:space="preserve"> a través de los siguientes archivos electrónicos</w:t>
      </w:r>
      <w:r w:rsidRPr="00277E46">
        <w:rPr>
          <w:rFonts w:ascii="Palatino Linotype" w:eastAsia="Palatino Linotype" w:hAnsi="Palatino Linotype" w:cs="Palatino Linotype"/>
          <w:b/>
          <w:bCs/>
          <w:i/>
          <w:iCs/>
          <w:color w:val="000000" w:themeColor="text1"/>
        </w:rPr>
        <w:t>:</w:t>
      </w:r>
    </w:p>
    <w:p w:rsidR="00AF415A" w:rsidRPr="00277E46" w:rsidRDefault="00AF415A" w:rsidP="00277E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AF415A" w:rsidRPr="00277E46" w:rsidRDefault="00A96809" w:rsidP="00277E46">
      <w:pPr>
        <w:pBdr>
          <w:top w:val="nil"/>
          <w:left w:val="nil"/>
          <w:bottom w:val="nil"/>
          <w:right w:val="nil"/>
          <w:between w:val="nil"/>
        </w:pBdr>
        <w:tabs>
          <w:tab w:val="left" w:pos="567"/>
        </w:tabs>
        <w:jc w:val="both"/>
        <w:rPr>
          <w:rFonts w:ascii="Palatino Linotype" w:eastAsia="Palatino Linotype" w:hAnsi="Palatino Linotype" w:cs="Palatino Linotype"/>
          <w:b/>
          <w:bCs/>
          <w:i/>
          <w:iCs/>
          <w:color w:val="000000" w:themeColor="text1"/>
        </w:rPr>
      </w:pPr>
      <w:r w:rsidRPr="00277E46">
        <w:rPr>
          <w:rFonts w:ascii="Palatino Linotype" w:eastAsia="Palatino Linotype" w:hAnsi="Palatino Linotype" w:cs="Palatino Linotype"/>
          <w:b/>
          <w:bCs/>
          <w:i/>
          <w:iCs/>
          <w:color w:val="000000" w:themeColor="text1"/>
        </w:rPr>
        <w:lastRenderedPageBreak/>
        <w:t>Respsol 02818-2025.pdf</w:t>
      </w:r>
    </w:p>
    <w:p w:rsidR="00AF415A" w:rsidRPr="00277E46" w:rsidRDefault="00A96809" w:rsidP="00277E46">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Oficio Número: 200F10300/399/2025 de fecha 22 de mayo de 2025, firmado por la Coordinadora de Administración y Finanzas del Instituto Municipal de la Mujer, a través del cual refiere:</w:t>
      </w:r>
    </w:p>
    <w:p w:rsidR="00AF415A" w:rsidRPr="00277E46" w:rsidRDefault="00AF415A" w:rsidP="00277E46">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p>
    <w:p w:rsidR="00AF415A" w:rsidRPr="00277E46" w:rsidRDefault="00A96809" w:rsidP="00277E46">
      <w:pPr>
        <w:pBdr>
          <w:top w:val="nil"/>
          <w:left w:val="nil"/>
          <w:bottom w:val="nil"/>
          <w:right w:val="nil"/>
          <w:between w:val="nil"/>
        </w:pBdr>
        <w:tabs>
          <w:tab w:val="left" w:pos="567"/>
        </w:tabs>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 xml:space="preserve">“Se informa que el Instituto Municipal de la Mujer de Toluca </w:t>
      </w:r>
      <w:r w:rsidRPr="00277E46">
        <w:rPr>
          <w:rFonts w:ascii="Palatino Linotype" w:eastAsia="Palatino Linotype" w:hAnsi="Palatino Linotype" w:cs="Palatino Linotype"/>
          <w:b/>
          <w:bCs/>
          <w:i/>
          <w:iCs/>
          <w:color w:val="000000" w:themeColor="text1"/>
        </w:rPr>
        <w:t>no cuenta con servidores públicos que posean permisos para conducir, ya que la totalidad del personal que tiene o ha tenido bajo su resguardo unidades vehiculares oficiales son personas mayores de edad, quienes cuentan con licencias de manejo vigentes emitidas por la autoridad correspondiente</w:t>
      </w:r>
      <w:r w:rsidRPr="00277E46">
        <w:rPr>
          <w:rFonts w:ascii="Palatino Linotype" w:eastAsia="Palatino Linotype" w:hAnsi="Palatino Linotype" w:cs="Palatino Linotype"/>
          <w:i/>
          <w:iCs/>
          <w:color w:val="000000" w:themeColor="text1"/>
        </w:rPr>
        <w:t xml:space="preserve">. </w:t>
      </w:r>
    </w:p>
    <w:p w:rsidR="00AF415A" w:rsidRPr="00277E46" w:rsidRDefault="00AF415A" w:rsidP="00277E46">
      <w:pPr>
        <w:pBdr>
          <w:top w:val="nil"/>
          <w:left w:val="nil"/>
          <w:bottom w:val="nil"/>
          <w:right w:val="nil"/>
          <w:between w:val="nil"/>
        </w:pBdr>
        <w:tabs>
          <w:tab w:val="left" w:pos="567"/>
        </w:tabs>
        <w:jc w:val="both"/>
        <w:rPr>
          <w:rFonts w:ascii="Palatino Linotype" w:eastAsia="Palatino Linotype" w:hAnsi="Palatino Linotype" w:cs="Palatino Linotype"/>
          <w:i/>
          <w:iCs/>
          <w:color w:val="000000" w:themeColor="text1"/>
        </w:rPr>
      </w:pPr>
    </w:p>
    <w:p w:rsidR="00AF415A" w:rsidRPr="00277E46" w:rsidRDefault="00A96809" w:rsidP="00277E46">
      <w:pPr>
        <w:pBdr>
          <w:top w:val="nil"/>
          <w:left w:val="nil"/>
          <w:bottom w:val="nil"/>
          <w:right w:val="nil"/>
          <w:between w:val="nil"/>
        </w:pBdr>
        <w:tabs>
          <w:tab w:val="left" w:pos="567"/>
        </w:tabs>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Lo anterior se sustenta en lo dispuesto por el Artículo 46 del Reglamento de Tránsito del Estado de México, el cual establece que el Permiso Provisional de Práctica "A" está dirigido exclusivamente personas menores de edad (desde los 15 años) y requiere, entre otros documentos, acta de nacimiento y carta responsiva firmada por padre, madre o tutor. Este tipo de permiso no aplica para mayores de edad ni para personal con funciones de conducción vehicular oficial, quienes deben contar con licencia de manejo.” (Sic)</w:t>
      </w:r>
    </w:p>
    <w:p w:rsidR="00AF415A" w:rsidRPr="00277E46" w:rsidRDefault="00AF415A" w:rsidP="00277E46">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p>
    <w:p w:rsidR="00AF415A" w:rsidRPr="00277E46" w:rsidRDefault="00A96809" w:rsidP="00277E46">
      <w:pPr>
        <w:pBdr>
          <w:top w:val="nil"/>
          <w:left w:val="nil"/>
          <w:bottom w:val="nil"/>
          <w:right w:val="nil"/>
          <w:between w:val="nil"/>
        </w:pBdr>
        <w:tabs>
          <w:tab w:val="left" w:pos="567"/>
        </w:tabs>
        <w:jc w:val="both"/>
        <w:rPr>
          <w:rFonts w:ascii="Palatino Linotype" w:eastAsia="Palatino Linotype" w:hAnsi="Palatino Linotype" w:cs="Palatino Linotype"/>
          <w:b/>
          <w:bCs/>
          <w:i/>
          <w:iCs/>
          <w:color w:val="000000" w:themeColor="text1"/>
        </w:rPr>
      </w:pPr>
      <w:r w:rsidRPr="00277E46">
        <w:rPr>
          <w:rFonts w:ascii="Palatino Linotype" w:eastAsia="Palatino Linotype" w:hAnsi="Palatino Linotype" w:cs="Palatino Linotype"/>
          <w:b/>
          <w:bCs/>
          <w:i/>
          <w:iCs/>
          <w:color w:val="000000" w:themeColor="text1"/>
        </w:rPr>
        <w:t>S. 02818.pdf</w:t>
      </w:r>
    </w:p>
    <w:p w:rsidR="00AF415A" w:rsidRPr="00277E46" w:rsidRDefault="00A96809" w:rsidP="00277E46">
      <w:pPr>
        <w:pBdr>
          <w:top w:val="nil"/>
          <w:left w:val="nil"/>
          <w:bottom w:val="nil"/>
          <w:right w:val="nil"/>
          <w:between w:val="nil"/>
        </w:pBdr>
        <w:tabs>
          <w:tab w:val="left" w:pos="567"/>
        </w:tabs>
        <w:jc w:val="both"/>
        <w:rPr>
          <w:rFonts w:ascii="Palatino Linotype" w:eastAsia="Palatino Linotype" w:hAnsi="Palatino Linotype" w:cs="Palatino Linotype"/>
          <w:b/>
          <w:bCs/>
          <w:color w:val="000000" w:themeColor="text1"/>
        </w:rPr>
      </w:pPr>
      <w:r w:rsidRPr="00277E46">
        <w:rPr>
          <w:rFonts w:ascii="Palatino Linotype" w:eastAsia="Palatino Linotype" w:hAnsi="Palatino Linotype" w:cs="Palatino Linotype"/>
          <w:color w:val="000000" w:themeColor="text1"/>
        </w:rPr>
        <w:t xml:space="preserve">Oficio de fecha 04 de junio de 2025, firmado por el Titular de la Unidad de Transparencia a través del cual refiere la </w:t>
      </w:r>
      <w:r w:rsidRPr="00277E46">
        <w:rPr>
          <w:rFonts w:ascii="Palatino Linotype" w:eastAsia="Palatino Linotype" w:hAnsi="Palatino Linotype" w:cs="Palatino Linotype"/>
          <w:b/>
          <w:bCs/>
          <w:color w:val="000000" w:themeColor="text1"/>
        </w:rPr>
        <w:t>Dirección General de Administración</w:t>
      </w:r>
      <w:r w:rsidRPr="00277E46">
        <w:rPr>
          <w:rFonts w:ascii="Palatino Linotype" w:eastAsia="Palatino Linotype" w:hAnsi="Palatino Linotype" w:cs="Palatino Linotype"/>
          <w:color w:val="000000" w:themeColor="text1"/>
        </w:rPr>
        <w:t xml:space="preserve"> y Servidora Pública Habilitada, informó que el </w:t>
      </w:r>
      <w:r w:rsidRPr="00277E46">
        <w:rPr>
          <w:rFonts w:ascii="Palatino Linotype" w:eastAsia="Palatino Linotype" w:hAnsi="Palatino Linotype" w:cs="Palatino Linotype"/>
          <w:b/>
          <w:bCs/>
          <w:color w:val="000000" w:themeColor="text1"/>
        </w:rPr>
        <w:t>departamento de Control Patrimonial</w:t>
      </w:r>
      <w:r w:rsidRPr="00277E46">
        <w:rPr>
          <w:rFonts w:ascii="Palatino Linotype" w:eastAsia="Palatino Linotype" w:hAnsi="Palatino Linotype" w:cs="Palatino Linotype"/>
          <w:color w:val="000000" w:themeColor="text1"/>
        </w:rPr>
        <w:t xml:space="preserve">, después de una búsqueda exhaustiva y razonable en los archivos, informa que </w:t>
      </w:r>
      <w:r w:rsidRPr="00277E46">
        <w:rPr>
          <w:rFonts w:ascii="Palatino Linotype" w:eastAsia="Palatino Linotype" w:hAnsi="Palatino Linotype" w:cs="Palatino Linotype"/>
          <w:b/>
          <w:bCs/>
          <w:color w:val="000000" w:themeColor="text1"/>
        </w:rPr>
        <w:t>no obra antecedente documental que contenga la información solicitada.</w:t>
      </w:r>
    </w:p>
    <w:p w:rsidR="00AF415A" w:rsidRPr="00277E46" w:rsidRDefault="00AF415A" w:rsidP="00277E46">
      <w:pPr>
        <w:pBdr>
          <w:top w:val="nil"/>
          <w:left w:val="nil"/>
          <w:bottom w:val="nil"/>
          <w:right w:val="nil"/>
          <w:between w:val="nil"/>
        </w:pBdr>
        <w:tabs>
          <w:tab w:val="left" w:pos="567"/>
        </w:tabs>
        <w:jc w:val="both"/>
        <w:rPr>
          <w:rFonts w:ascii="Palatino Linotype" w:eastAsia="Palatino Linotype" w:hAnsi="Palatino Linotype" w:cs="Palatino Linotype"/>
          <w:b/>
          <w:bCs/>
          <w:color w:val="000000" w:themeColor="text1"/>
        </w:rPr>
      </w:pPr>
    </w:p>
    <w:p w:rsidR="00AF415A" w:rsidRPr="00277E46" w:rsidRDefault="00A96809" w:rsidP="00277E46">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El</w:t>
      </w:r>
      <w:r w:rsidRPr="00277E46">
        <w:rPr>
          <w:rFonts w:ascii="Palatino Linotype" w:eastAsia="Palatino Linotype" w:hAnsi="Palatino Linotype" w:cs="Palatino Linotype"/>
          <w:b/>
          <w:bCs/>
          <w:color w:val="000000" w:themeColor="text1"/>
        </w:rPr>
        <w:t xml:space="preserve"> veinticinco de junio de dos mil veinticinco</w:t>
      </w:r>
      <w:r w:rsidRPr="00277E46">
        <w:rPr>
          <w:rFonts w:ascii="Palatino Linotype" w:eastAsia="Palatino Linotype" w:hAnsi="Palatino Linotype" w:cs="Palatino Linotype"/>
          <w:color w:val="000000" w:themeColor="text1"/>
        </w:rPr>
        <w:t xml:space="preserve">, el particular interpuso el </w:t>
      </w:r>
      <w:r w:rsidRPr="00277E46">
        <w:rPr>
          <w:rFonts w:ascii="Palatino Linotype" w:eastAsia="Palatino Linotype" w:hAnsi="Palatino Linotype" w:cs="Palatino Linotype"/>
          <w:b/>
          <w:bCs/>
          <w:color w:val="000000" w:themeColor="text1"/>
        </w:rPr>
        <w:t>recurso de revisión</w:t>
      </w:r>
      <w:r w:rsidRPr="00277E46">
        <w:rPr>
          <w:rFonts w:ascii="Palatino Linotype" w:eastAsia="Palatino Linotype" w:hAnsi="Palatino Linotype" w:cs="Palatino Linotype"/>
          <w:color w:val="000000" w:themeColor="text1"/>
        </w:rPr>
        <w:t xml:space="preserve"> al que se le asignó el folio </w:t>
      </w:r>
      <w:r w:rsidRPr="00277E46">
        <w:rPr>
          <w:rFonts w:ascii="Palatino Linotype" w:eastAsia="Palatino Linotype" w:hAnsi="Palatino Linotype" w:cs="Palatino Linotype"/>
          <w:b/>
          <w:bCs/>
          <w:color w:val="000000" w:themeColor="text1"/>
        </w:rPr>
        <w:t xml:space="preserve">07778/INFOEM/IP/RR/2025 </w:t>
      </w:r>
      <w:r w:rsidRPr="00277E46">
        <w:rPr>
          <w:rFonts w:ascii="Palatino Linotype" w:eastAsia="Palatino Linotype" w:hAnsi="Palatino Linotype" w:cs="Palatino Linotype"/>
          <w:color w:val="000000" w:themeColor="text1"/>
        </w:rPr>
        <w:t>en contra de la respuesta emitida por el sujeto obligado, realizando las siguientes manifestaciones como acto impugnado y razones o motivos de inconformidad:</w:t>
      </w:r>
    </w:p>
    <w:p w:rsidR="00AF415A" w:rsidRPr="00277E46" w:rsidRDefault="00AF415A" w:rsidP="00277E46">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p>
    <w:p w:rsidR="00AF415A" w:rsidRPr="00A92401" w:rsidRDefault="00A92401" w:rsidP="00A92401">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b/>
          <w:bCs/>
          <w:color w:val="000000" w:themeColor="text1"/>
        </w:rPr>
      </w:pPr>
      <w:bookmarkStart w:id="2" w:name="_heading=h.30j0zll" w:colFirst="0" w:colLast="0"/>
      <w:bookmarkEnd w:id="2"/>
      <w:r w:rsidRPr="00A92401">
        <w:rPr>
          <w:rFonts w:ascii="Palatino Linotype" w:eastAsia="Palatino Linotype" w:hAnsi="Palatino Linotype" w:cs="Palatino Linotype"/>
          <w:b/>
          <w:bCs/>
          <w:color w:val="000000" w:themeColor="text1"/>
        </w:rPr>
        <w:t xml:space="preserve">ACTO IMPUGNADO: </w:t>
      </w:r>
    </w:p>
    <w:p w:rsidR="00AF415A" w:rsidRPr="00277E46" w:rsidRDefault="00A96809" w:rsidP="00277E46">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“no entgan la informaicón solicitad no se pidio un permiso de menores de edad sino el docuemnto que sea el permiso para los servidores públicos que tienen vehiculo oficial no se han los gracioso” (Sic)</w:t>
      </w:r>
    </w:p>
    <w:p w:rsidR="00AF415A" w:rsidRDefault="00AF415A" w:rsidP="00277E46">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A92401" w:rsidRPr="00277E46" w:rsidRDefault="00A92401" w:rsidP="00277E46">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AF415A" w:rsidRPr="00A92401" w:rsidRDefault="00A92401" w:rsidP="00A92401">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b/>
          <w:bCs/>
          <w:color w:val="000000" w:themeColor="text1"/>
        </w:rPr>
      </w:pPr>
      <w:bookmarkStart w:id="3" w:name="_heading=h.1fob9te" w:colFirst="0" w:colLast="0"/>
      <w:bookmarkEnd w:id="3"/>
      <w:r w:rsidRPr="00A92401">
        <w:rPr>
          <w:rFonts w:ascii="Palatino Linotype" w:eastAsia="Palatino Linotype" w:hAnsi="Palatino Linotype" w:cs="Palatino Linotype"/>
          <w:b/>
          <w:bCs/>
          <w:color w:val="000000" w:themeColor="text1"/>
        </w:rPr>
        <w:lastRenderedPageBreak/>
        <w:t xml:space="preserve">RAZONES O MOTIVOS DE INCONFORMIDAD: </w:t>
      </w:r>
    </w:p>
    <w:p w:rsidR="00AF415A" w:rsidRPr="00277E46" w:rsidRDefault="00A96809" w:rsidP="00277E46">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“se solicita la expresión doceumntal de lo solicitado” (Sic)</w:t>
      </w:r>
    </w:p>
    <w:p w:rsidR="00AF415A" w:rsidRPr="00277E46" w:rsidRDefault="00AF415A" w:rsidP="00277E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iCs/>
          <w:color w:val="000000" w:themeColor="text1"/>
          <w:u w:val="single"/>
        </w:rPr>
      </w:pPr>
    </w:p>
    <w:p w:rsidR="00AF415A" w:rsidRPr="00277E46" w:rsidRDefault="00A92401" w:rsidP="00277E46">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La Comisionada p</w:t>
      </w:r>
      <w:r w:rsidR="00A96809" w:rsidRPr="00277E46">
        <w:rPr>
          <w:rFonts w:ascii="Palatino Linotype" w:eastAsia="Palatino Linotype" w:hAnsi="Palatino Linotype" w:cs="Palatino Linotype"/>
          <w:color w:val="000000" w:themeColor="text1"/>
        </w:rPr>
        <w:t xml:space="preserve">onente con fundamento en lo dispuesto por el artículo 185, fracción II, de la ley de la materia, a través del </w:t>
      </w:r>
      <w:r w:rsidR="00A96809" w:rsidRPr="00277E46">
        <w:rPr>
          <w:rFonts w:ascii="Palatino Linotype" w:eastAsia="Palatino Linotype" w:hAnsi="Palatino Linotype" w:cs="Palatino Linotype"/>
          <w:b/>
          <w:bCs/>
          <w:color w:val="000000" w:themeColor="text1"/>
        </w:rPr>
        <w:t xml:space="preserve">acuerdo de admisión </w:t>
      </w:r>
      <w:r w:rsidR="00A96809" w:rsidRPr="00277E46">
        <w:rPr>
          <w:rFonts w:ascii="Palatino Linotype" w:eastAsia="Palatino Linotype" w:hAnsi="Palatino Linotype" w:cs="Palatino Linotype"/>
          <w:color w:val="000000" w:themeColor="text1"/>
        </w:rPr>
        <w:t xml:space="preserve">de fecha </w:t>
      </w:r>
      <w:r w:rsidR="00A96809" w:rsidRPr="00277E46">
        <w:rPr>
          <w:rFonts w:ascii="Palatino Linotype" w:eastAsia="Palatino Linotype" w:hAnsi="Palatino Linotype" w:cs="Palatino Linotype"/>
          <w:b/>
          <w:bCs/>
          <w:color w:val="000000" w:themeColor="text1"/>
        </w:rPr>
        <w:t xml:space="preserve">veintiséis de junio de dos mil veinticinco, </w:t>
      </w:r>
      <w:r w:rsidR="00A96809" w:rsidRPr="00277E46">
        <w:rPr>
          <w:rFonts w:ascii="Palatino Linotype" w:eastAsia="Palatino Linotype" w:hAnsi="Palatino Linotype" w:cs="Palatino Linotype"/>
          <w:color w:val="000000" w:themeColor="text1"/>
        </w:rPr>
        <w:t xml:space="preserve">puso a disposición de las partes el expediente electrónico vía SAIMEX a efecto de que en un plazo máximo de siete días manifestara lo que a su derecho conviniera, ofreciera pruebas y alegatos según corresponda al caso concreto, de esta forma para que el </w:t>
      </w:r>
      <w:r w:rsidR="00A96809" w:rsidRPr="00277E46">
        <w:rPr>
          <w:rFonts w:ascii="Palatino Linotype" w:eastAsia="Palatino Linotype" w:hAnsi="Palatino Linotype" w:cs="Palatino Linotype"/>
          <w:b/>
          <w:bCs/>
          <w:color w:val="000000" w:themeColor="text1"/>
        </w:rPr>
        <w:t xml:space="preserve">SUJETO OBLIGADO </w:t>
      </w:r>
      <w:r w:rsidR="00A96809" w:rsidRPr="00277E46">
        <w:rPr>
          <w:rFonts w:ascii="Palatino Linotype" w:eastAsia="Palatino Linotype" w:hAnsi="Palatino Linotype" w:cs="Palatino Linotype"/>
          <w:color w:val="000000" w:themeColor="text1"/>
        </w:rPr>
        <w:t>presentara el Informe Justificado procedente.</w:t>
      </w:r>
    </w:p>
    <w:p w:rsidR="00AF415A" w:rsidRPr="00277E46" w:rsidRDefault="00AF415A" w:rsidP="00277E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AF415A" w:rsidRPr="00277E46" w:rsidRDefault="00A96809" w:rsidP="00277E46">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El Recurrente</w:t>
      </w:r>
      <w:r w:rsidRPr="00277E46">
        <w:rPr>
          <w:rFonts w:ascii="Palatino Linotype" w:eastAsia="Palatino Linotype" w:hAnsi="Palatino Linotype" w:cs="Palatino Linotype"/>
          <w:b/>
          <w:bCs/>
          <w:color w:val="000000" w:themeColor="text1"/>
        </w:rPr>
        <w:t xml:space="preserve"> </w:t>
      </w:r>
      <w:r w:rsidRPr="00277E46">
        <w:rPr>
          <w:rFonts w:ascii="Palatino Linotype" w:eastAsia="Palatino Linotype" w:hAnsi="Palatino Linotype" w:cs="Palatino Linotype"/>
          <w:color w:val="000000" w:themeColor="text1"/>
        </w:rPr>
        <w:t>dejó de realizar manifestaciones que a su derecho conviniera y asistiera. Por su parte, el Sujeto Obligado,</w:t>
      </w:r>
      <w:r w:rsidRPr="00277E46">
        <w:rPr>
          <w:rFonts w:ascii="Palatino Linotype" w:eastAsia="Palatino Linotype" w:hAnsi="Palatino Linotype" w:cs="Palatino Linotype"/>
          <w:b/>
          <w:bCs/>
          <w:color w:val="000000" w:themeColor="text1"/>
        </w:rPr>
        <w:t xml:space="preserve"> </w:t>
      </w:r>
      <w:r w:rsidRPr="00277E46">
        <w:rPr>
          <w:rFonts w:ascii="Palatino Linotype" w:eastAsia="Palatino Linotype" w:hAnsi="Palatino Linotype" w:cs="Palatino Linotype"/>
          <w:color w:val="000000" w:themeColor="text1"/>
        </w:rPr>
        <w:t xml:space="preserve">en fecha </w:t>
      </w:r>
      <w:r w:rsidRPr="00277E46">
        <w:rPr>
          <w:rFonts w:ascii="Palatino Linotype" w:eastAsia="Palatino Linotype" w:hAnsi="Palatino Linotype" w:cs="Palatino Linotype"/>
          <w:b/>
          <w:bCs/>
          <w:color w:val="000000" w:themeColor="text1"/>
        </w:rPr>
        <w:t xml:space="preserve"> cuatro de julio de dos mil veinticinco </w:t>
      </w:r>
      <w:r w:rsidRPr="00277E46">
        <w:rPr>
          <w:rFonts w:ascii="Palatino Linotype" w:eastAsia="Palatino Linotype" w:hAnsi="Palatino Linotype" w:cs="Palatino Linotype"/>
          <w:color w:val="000000" w:themeColor="text1"/>
        </w:rPr>
        <w:t xml:space="preserve">presentó </w:t>
      </w:r>
      <w:r w:rsidRPr="00277E46">
        <w:rPr>
          <w:rFonts w:ascii="Palatino Linotype" w:eastAsia="Palatino Linotype" w:hAnsi="Palatino Linotype" w:cs="Palatino Linotype"/>
          <w:b/>
          <w:bCs/>
          <w:color w:val="000000" w:themeColor="text1"/>
        </w:rPr>
        <w:t>informe justificado</w:t>
      </w:r>
      <w:r w:rsidRPr="00277E46">
        <w:rPr>
          <w:rFonts w:ascii="Palatino Linotype" w:eastAsia="Palatino Linotype" w:hAnsi="Palatino Linotype" w:cs="Palatino Linotype"/>
          <w:color w:val="000000" w:themeColor="text1"/>
        </w:rPr>
        <w:t xml:space="preserve"> a través de los archivos digitales siguientes: </w:t>
      </w:r>
    </w:p>
    <w:p w:rsidR="00AF415A" w:rsidRPr="00277E46" w:rsidRDefault="00AF415A" w:rsidP="00277E46">
      <w:pPr>
        <w:pBdr>
          <w:top w:val="nil"/>
          <w:left w:val="nil"/>
          <w:bottom w:val="nil"/>
          <w:right w:val="nil"/>
          <w:between w:val="nil"/>
        </w:pBdr>
        <w:jc w:val="both"/>
        <w:rPr>
          <w:rFonts w:ascii="Palatino Linotype" w:eastAsia="Palatino Linotype" w:hAnsi="Palatino Linotype" w:cs="Palatino Linotype"/>
          <w:b/>
          <w:bCs/>
          <w:color w:val="000000" w:themeColor="text1"/>
        </w:rPr>
      </w:pPr>
    </w:p>
    <w:p w:rsidR="00AF415A" w:rsidRPr="00277E46" w:rsidRDefault="00A96809" w:rsidP="00277E46">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277E46">
        <w:rPr>
          <w:rFonts w:ascii="Palatino Linotype" w:eastAsia="Palatino Linotype" w:hAnsi="Palatino Linotype" w:cs="Palatino Linotype"/>
          <w:b/>
          <w:bCs/>
          <w:i/>
          <w:iCs/>
          <w:color w:val="000000" w:themeColor="text1"/>
        </w:rPr>
        <w:t>ANEXOS 07778-2025.pdf</w:t>
      </w:r>
    </w:p>
    <w:p w:rsidR="00AF415A" w:rsidRPr="00277E46" w:rsidRDefault="00A96809" w:rsidP="00277E46">
      <w:pPr>
        <w:pBdr>
          <w:top w:val="nil"/>
          <w:left w:val="nil"/>
          <w:bottom w:val="nil"/>
          <w:right w:val="nil"/>
          <w:between w:val="nil"/>
        </w:pBdr>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 Número de Oficio: 206010000/3670/2025 de fecha 03 de julio de 2025, firmado por la </w:t>
      </w:r>
      <w:r w:rsidRPr="00277E46">
        <w:rPr>
          <w:rFonts w:ascii="Palatino Linotype" w:eastAsia="Palatino Linotype" w:hAnsi="Palatino Linotype" w:cs="Palatino Linotype"/>
          <w:b/>
          <w:bCs/>
          <w:color w:val="000000" w:themeColor="text1"/>
        </w:rPr>
        <w:t>Directora General de Administración</w:t>
      </w:r>
      <w:r w:rsidRPr="00277E46">
        <w:rPr>
          <w:rFonts w:ascii="Palatino Linotype" w:eastAsia="Palatino Linotype" w:hAnsi="Palatino Linotype" w:cs="Palatino Linotype"/>
          <w:color w:val="000000" w:themeColor="text1"/>
        </w:rPr>
        <w:t xml:space="preserve"> a través del cual </w:t>
      </w:r>
      <w:r w:rsidRPr="00277E46">
        <w:rPr>
          <w:rFonts w:ascii="Palatino Linotype" w:eastAsia="Palatino Linotype" w:hAnsi="Palatino Linotype" w:cs="Palatino Linotype"/>
          <w:b/>
          <w:bCs/>
          <w:color w:val="000000" w:themeColor="text1"/>
        </w:rPr>
        <w:t>ratifica</w:t>
      </w:r>
      <w:r w:rsidRPr="00277E46">
        <w:rPr>
          <w:rFonts w:ascii="Palatino Linotype" w:eastAsia="Palatino Linotype" w:hAnsi="Palatino Linotype" w:cs="Palatino Linotype"/>
          <w:color w:val="000000" w:themeColor="text1"/>
        </w:rPr>
        <w:t xml:space="preserve"> su respuesta inicial.</w:t>
      </w:r>
    </w:p>
    <w:p w:rsidR="00AF415A" w:rsidRPr="00277E46" w:rsidRDefault="00AF415A" w:rsidP="00277E46">
      <w:pPr>
        <w:pBdr>
          <w:top w:val="nil"/>
          <w:left w:val="nil"/>
          <w:bottom w:val="nil"/>
          <w:right w:val="nil"/>
          <w:between w:val="nil"/>
        </w:pBdr>
        <w:jc w:val="both"/>
        <w:rPr>
          <w:rFonts w:ascii="Palatino Linotype" w:eastAsia="Palatino Linotype" w:hAnsi="Palatino Linotype" w:cs="Palatino Linotype"/>
          <w:color w:val="000000" w:themeColor="text1"/>
        </w:rPr>
      </w:pPr>
    </w:p>
    <w:p w:rsidR="00AF415A" w:rsidRPr="00277E46" w:rsidRDefault="00A96809" w:rsidP="00277E46">
      <w:pPr>
        <w:pBdr>
          <w:top w:val="nil"/>
          <w:left w:val="nil"/>
          <w:bottom w:val="nil"/>
          <w:right w:val="nil"/>
          <w:between w:val="nil"/>
        </w:pBdr>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 Oficio: 200F10000/2014/2025 de fecha 01 de julio de 2025, firmado por la </w:t>
      </w:r>
      <w:r w:rsidRPr="00277E46">
        <w:rPr>
          <w:rFonts w:ascii="Palatino Linotype" w:eastAsia="Palatino Linotype" w:hAnsi="Palatino Linotype" w:cs="Palatino Linotype"/>
          <w:b/>
          <w:bCs/>
          <w:color w:val="000000" w:themeColor="text1"/>
        </w:rPr>
        <w:t>Directora General del Instituto Municipal de la Mujer</w:t>
      </w:r>
      <w:r w:rsidRPr="00277E46">
        <w:rPr>
          <w:rFonts w:ascii="Palatino Linotype" w:eastAsia="Palatino Linotype" w:hAnsi="Palatino Linotype" w:cs="Palatino Linotype"/>
          <w:color w:val="000000" w:themeColor="text1"/>
        </w:rPr>
        <w:t xml:space="preserve">, a través del cual </w:t>
      </w:r>
      <w:r w:rsidRPr="00277E46">
        <w:rPr>
          <w:rFonts w:ascii="Palatino Linotype" w:eastAsia="Palatino Linotype" w:hAnsi="Palatino Linotype" w:cs="Palatino Linotype"/>
          <w:b/>
          <w:bCs/>
          <w:color w:val="000000" w:themeColor="text1"/>
        </w:rPr>
        <w:t>ratifica</w:t>
      </w:r>
      <w:r w:rsidRPr="00277E46">
        <w:rPr>
          <w:rFonts w:ascii="Palatino Linotype" w:eastAsia="Palatino Linotype" w:hAnsi="Palatino Linotype" w:cs="Palatino Linotype"/>
          <w:color w:val="000000" w:themeColor="text1"/>
        </w:rPr>
        <w:t xml:space="preserve"> su respuesta inicial.</w:t>
      </w:r>
    </w:p>
    <w:p w:rsidR="00AF415A" w:rsidRPr="00277E46" w:rsidRDefault="00A96809" w:rsidP="00277E46">
      <w:pPr>
        <w:pBdr>
          <w:top w:val="nil"/>
          <w:left w:val="nil"/>
          <w:bottom w:val="nil"/>
          <w:right w:val="nil"/>
          <w:between w:val="nil"/>
        </w:pBdr>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Anexa oficio remitido en respuesta.</w:t>
      </w:r>
    </w:p>
    <w:p w:rsidR="00AF415A" w:rsidRPr="00277E46" w:rsidRDefault="00AF415A" w:rsidP="00277E46">
      <w:pPr>
        <w:pBdr>
          <w:top w:val="nil"/>
          <w:left w:val="nil"/>
          <w:bottom w:val="nil"/>
          <w:right w:val="nil"/>
          <w:between w:val="nil"/>
        </w:pBdr>
        <w:jc w:val="both"/>
        <w:rPr>
          <w:rFonts w:ascii="Palatino Linotype" w:eastAsia="Palatino Linotype" w:hAnsi="Palatino Linotype" w:cs="Palatino Linotype"/>
          <w:color w:val="000000" w:themeColor="text1"/>
        </w:rPr>
      </w:pPr>
    </w:p>
    <w:p w:rsidR="00AF415A" w:rsidRPr="00277E46" w:rsidRDefault="00A96809" w:rsidP="00277E46">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277E46">
        <w:rPr>
          <w:rFonts w:ascii="Palatino Linotype" w:eastAsia="Palatino Linotype" w:hAnsi="Palatino Linotype" w:cs="Palatino Linotype"/>
          <w:b/>
          <w:bCs/>
          <w:i/>
          <w:iCs/>
          <w:color w:val="000000" w:themeColor="text1"/>
        </w:rPr>
        <w:t>Ratificación 07778.pdf</w:t>
      </w:r>
    </w:p>
    <w:p w:rsidR="00AF415A" w:rsidRPr="00277E46" w:rsidRDefault="00A96809" w:rsidP="00277E46">
      <w:pPr>
        <w:pBdr>
          <w:top w:val="nil"/>
          <w:left w:val="nil"/>
          <w:bottom w:val="nil"/>
          <w:right w:val="nil"/>
          <w:between w:val="nil"/>
        </w:pBdr>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Documento suscrito por el Titular de la Unidad de Transparencia a través del cual </w:t>
      </w:r>
      <w:r w:rsidRPr="00277E46">
        <w:rPr>
          <w:rFonts w:ascii="Palatino Linotype" w:eastAsia="Palatino Linotype" w:hAnsi="Palatino Linotype" w:cs="Palatino Linotype"/>
          <w:b/>
          <w:bCs/>
          <w:color w:val="000000" w:themeColor="text1"/>
        </w:rPr>
        <w:t>ratifica</w:t>
      </w:r>
      <w:r w:rsidRPr="00277E46">
        <w:rPr>
          <w:rFonts w:ascii="Palatino Linotype" w:eastAsia="Palatino Linotype" w:hAnsi="Palatino Linotype" w:cs="Palatino Linotype"/>
          <w:color w:val="000000" w:themeColor="text1"/>
        </w:rPr>
        <w:t xml:space="preserve"> </w:t>
      </w:r>
      <w:r w:rsidRPr="00277E46">
        <w:rPr>
          <w:rFonts w:ascii="Palatino Linotype" w:eastAsia="Palatino Linotype" w:hAnsi="Palatino Linotype" w:cs="Palatino Linotype"/>
          <w:b/>
          <w:bCs/>
          <w:color w:val="000000" w:themeColor="text1"/>
        </w:rPr>
        <w:t>la respuesta</w:t>
      </w:r>
      <w:r w:rsidRPr="00277E46">
        <w:rPr>
          <w:rFonts w:ascii="Palatino Linotype" w:eastAsia="Palatino Linotype" w:hAnsi="Palatino Linotype" w:cs="Palatino Linotype"/>
          <w:color w:val="000000" w:themeColor="text1"/>
        </w:rPr>
        <w:t xml:space="preserve"> emitida por la DIRECCIÓN GENERAL DE ADMINISTRACIÓN e INSTITUTO MUNICIPAL DE LA MUJER DE TOLUCA.</w:t>
      </w:r>
    </w:p>
    <w:p w:rsidR="00AF415A" w:rsidRPr="00277E46" w:rsidRDefault="00AF415A" w:rsidP="00277E46">
      <w:pPr>
        <w:pBdr>
          <w:top w:val="nil"/>
          <w:left w:val="nil"/>
          <w:bottom w:val="nil"/>
          <w:right w:val="nil"/>
          <w:between w:val="nil"/>
        </w:pBdr>
        <w:jc w:val="both"/>
        <w:rPr>
          <w:rFonts w:ascii="Palatino Linotype" w:eastAsia="Palatino Linotype" w:hAnsi="Palatino Linotype" w:cs="Palatino Linotype"/>
          <w:color w:val="000000" w:themeColor="text1"/>
        </w:rPr>
      </w:pPr>
    </w:p>
    <w:p w:rsidR="00AF415A" w:rsidRPr="00277E46" w:rsidRDefault="00AF415A" w:rsidP="00277E46">
      <w:pPr>
        <w:pBdr>
          <w:top w:val="nil"/>
          <w:left w:val="nil"/>
          <w:bottom w:val="nil"/>
          <w:right w:val="nil"/>
          <w:between w:val="nil"/>
        </w:pBdr>
        <w:jc w:val="both"/>
        <w:rPr>
          <w:rFonts w:ascii="Palatino Linotype" w:eastAsia="Palatino Linotype" w:hAnsi="Palatino Linotype" w:cs="Palatino Linotype"/>
          <w:color w:val="000000" w:themeColor="text1"/>
        </w:rPr>
      </w:pPr>
    </w:p>
    <w:p w:rsidR="00AF415A" w:rsidRPr="00277E46" w:rsidRDefault="00A96809" w:rsidP="00277E46">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bookmarkStart w:id="4" w:name="_heading=h.3znysh7" w:colFirst="0" w:colLast="0"/>
      <w:bookmarkEnd w:id="4"/>
      <w:r w:rsidRPr="00277E46">
        <w:rPr>
          <w:rFonts w:ascii="Palatino Linotype" w:eastAsia="Palatino Linotype" w:hAnsi="Palatino Linotype" w:cs="Palatino Linotype"/>
          <w:color w:val="000000" w:themeColor="text1"/>
        </w:rPr>
        <w:t>En fecha</w:t>
      </w:r>
      <w:r w:rsidRPr="00277E46">
        <w:rPr>
          <w:rFonts w:ascii="Palatino Linotype" w:eastAsia="Palatino Linotype" w:hAnsi="Palatino Linotype" w:cs="Palatino Linotype"/>
          <w:b/>
          <w:bCs/>
          <w:color w:val="000000" w:themeColor="text1"/>
        </w:rPr>
        <w:t xml:space="preserve"> veinticinco de agosto de dos mil veinticinco</w:t>
      </w:r>
      <w:r w:rsidRPr="00277E46">
        <w:rPr>
          <w:rFonts w:ascii="Palatino Linotype" w:eastAsia="Palatino Linotype" w:hAnsi="Palatino Linotype" w:cs="Palatino Linotype"/>
          <w:color w:val="000000" w:themeColor="text1"/>
        </w:rPr>
        <w:t>, se acordó ampliar el plazo para resolver el presente Recurso de Revisión.</w:t>
      </w:r>
    </w:p>
    <w:p w:rsidR="00AF415A" w:rsidRPr="00277E46" w:rsidRDefault="00A96809" w:rsidP="00277E46">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277E46">
        <w:rPr>
          <w:rFonts w:ascii="Palatino Linotype" w:eastAsia="Palatino Linotype" w:hAnsi="Palatino Linotype" w:cs="Palatino Linotype"/>
          <w:color w:val="000000" w:themeColor="text1"/>
        </w:rPr>
        <w:lastRenderedPageBreak/>
        <w:t xml:space="preserve">Seguidamente, en fecha </w:t>
      </w:r>
      <w:r w:rsidRPr="00277E46">
        <w:rPr>
          <w:rFonts w:ascii="Palatino Linotype" w:eastAsia="Palatino Linotype" w:hAnsi="Palatino Linotype" w:cs="Palatino Linotype"/>
          <w:b/>
          <w:bCs/>
          <w:color w:val="000000" w:themeColor="text1"/>
        </w:rPr>
        <w:t>doce de enero de dos mil veintiséis</w:t>
      </w:r>
      <w:r w:rsidRPr="00277E46">
        <w:rPr>
          <w:rFonts w:ascii="Palatino Linotype" w:eastAsia="Palatino Linotype" w:hAnsi="Palatino Linotype" w:cs="Palatino Linotype"/>
          <w:color w:val="000000" w:themeColor="text1"/>
        </w:rPr>
        <w:t xml:space="preserve">, la Comisionada Ponente dictó el </w:t>
      </w:r>
      <w:r w:rsidRPr="00277E46">
        <w:rPr>
          <w:rFonts w:ascii="Palatino Linotype" w:eastAsia="Palatino Linotype" w:hAnsi="Palatino Linotype" w:cs="Palatino Linotype"/>
          <w:b/>
          <w:bCs/>
          <w:color w:val="000000" w:themeColor="text1"/>
        </w:rPr>
        <w:t>cierre del periodo de instrucción</w:t>
      </w:r>
      <w:r w:rsidRPr="00277E46">
        <w:rPr>
          <w:rFonts w:ascii="Palatino Linotype" w:eastAsia="Palatino Linotype" w:hAnsi="Palatino Linotype" w:cs="Palatino Linotype"/>
          <w:color w:val="000000" w:themeColor="text1"/>
        </w:rPr>
        <w:t xml:space="preserve"> y, ordenó la resolución que conforme a Derecho proceda:</w:t>
      </w:r>
    </w:p>
    <w:p w:rsidR="00AF415A" w:rsidRPr="00277E46" w:rsidRDefault="00AF415A" w:rsidP="00277E46">
      <w:pPr>
        <w:pBdr>
          <w:top w:val="nil"/>
          <w:left w:val="nil"/>
          <w:bottom w:val="nil"/>
          <w:right w:val="nil"/>
          <w:between w:val="nil"/>
        </w:pBdr>
        <w:rPr>
          <w:rFonts w:ascii="Palatino Linotype" w:eastAsia="Palatino Linotype" w:hAnsi="Palatino Linotype" w:cs="Palatino Linotype"/>
          <w:b/>
          <w:bCs/>
          <w:color w:val="000000" w:themeColor="text1"/>
        </w:rPr>
      </w:pPr>
    </w:p>
    <w:p w:rsidR="00AF415A" w:rsidRPr="00277E46" w:rsidRDefault="00A96809" w:rsidP="00277E46">
      <w:pPr>
        <w:keepNext/>
        <w:keepLines/>
        <w:spacing w:line="360" w:lineRule="auto"/>
        <w:jc w:val="center"/>
        <w:rPr>
          <w:rFonts w:ascii="Palatino Linotype" w:eastAsia="Palatino Linotype" w:hAnsi="Palatino Linotype" w:cs="Palatino Linotype"/>
          <w:b/>
          <w:bCs/>
          <w:color w:val="000000" w:themeColor="text1"/>
        </w:rPr>
      </w:pPr>
      <w:r w:rsidRPr="00277E46">
        <w:rPr>
          <w:rFonts w:ascii="Palatino Linotype" w:eastAsia="Palatino Linotype" w:hAnsi="Palatino Linotype" w:cs="Palatino Linotype"/>
          <w:b/>
          <w:bCs/>
          <w:color w:val="000000" w:themeColor="text1"/>
        </w:rPr>
        <w:t xml:space="preserve">C O N S I D E R A N D O </w:t>
      </w:r>
    </w:p>
    <w:p w:rsidR="00AF415A" w:rsidRPr="00277E46" w:rsidRDefault="00AF415A" w:rsidP="00277E46">
      <w:pPr>
        <w:spacing w:line="360" w:lineRule="auto"/>
        <w:rPr>
          <w:rFonts w:ascii="Palatino Linotype" w:eastAsia="Palatino Linotype" w:hAnsi="Palatino Linotype" w:cs="Palatino Linotype"/>
          <w:color w:val="000000" w:themeColor="text1"/>
        </w:rPr>
      </w:pPr>
    </w:p>
    <w:p w:rsidR="00AF415A" w:rsidRPr="00277E46" w:rsidRDefault="00A96809" w:rsidP="00277E46">
      <w:pPr>
        <w:keepNext/>
        <w:keepLines/>
        <w:spacing w:line="360" w:lineRule="auto"/>
        <w:rPr>
          <w:rFonts w:ascii="Palatino Linotype" w:eastAsia="Palatino Linotype" w:hAnsi="Palatino Linotype" w:cs="Palatino Linotype"/>
          <w:b/>
          <w:bCs/>
          <w:color w:val="000000" w:themeColor="text1"/>
        </w:rPr>
      </w:pPr>
      <w:r w:rsidRPr="00277E46">
        <w:rPr>
          <w:rFonts w:ascii="Palatino Linotype" w:eastAsia="Palatino Linotype" w:hAnsi="Palatino Linotype" w:cs="Palatino Linotype"/>
          <w:b/>
          <w:bCs/>
          <w:color w:val="000000" w:themeColor="text1"/>
        </w:rPr>
        <w:t>PRIMERO. De la competencia</w:t>
      </w:r>
    </w:p>
    <w:p w:rsidR="00AF415A" w:rsidRPr="00277E46" w:rsidRDefault="00A96809" w:rsidP="00277E46">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AF415A" w:rsidRPr="00277E46" w:rsidRDefault="00AF415A" w:rsidP="00277E46">
      <w:pPr>
        <w:tabs>
          <w:tab w:val="left" w:pos="426"/>
        </w:tabs>
        <w:spacing w:line="360" w:lineRule="auto"/>
        <w:jc w:val="both"/>
        <w:rPr>
          <w:rFonts w:ascii="Palatino Linotype" w:eastAsia="Palatino Linotype" w:hAnsi="Palatino Linotype" w:cs="Palatino Linotype"/>
          <w:color w:val="000000" w:themeColor="text1"/>
        </w:rPr>
      </w:pPr>
    </w:p>
    <w:p w:rsidR="00AF415A" w:rsidRPr="00277E46" w:rsidRDefault="00A96809" w:rsidP="00277E46">
      <w:pPr>
        <w:keepNext/>
        <w:keepLines/>
        <w:spacing w:line="360" w:lineRule="auto"/>
        <w:rPr>
          <w:rFonts w:ascii="Palatino Linotype" w:eastAsia="Palatino Linotype" w:hAnsi="Palatino Linotype" w:cs="Palatino Linotype"/>
          <w:b/>
          <w:bCs/>
          <w:color w:val="000000" w:themeColor="text1"/>
        </w:rPr>
      </w:pPr>
      <w:r w:rsidRPr="00277E46">
        <w:rPr>
          <w:rFonts w:ascii="Palatino Linotype" w:eastAsia="Palatino Linotype" w:hAnsi="Palatino Linotype" w:cs="Palatino Linotype"/>
          <w:b/>
          <w:bCs/>
          <w:color w:val="000000" w:themeColor="text1"/>
        </w:rPr>
        <w:t>SEGUNDO. De la oportunidad y procedencia.</w:t>
      </w:r>
    </w:p>
    <w:p w:rsidR="00AF415A" w:rsidRPr="00277E46" w:rsidRDefault="00A96809" w:rsidP="00277E46">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El medio de impugnación fue presentado a través del </w:t>
      </w:r>
      <w:r w:rsidRPr="00277E46">
        <w:rPr>
          <w:rFonts w:ascii="Palatino Linotype" w:eastAsia="Palatino Linotype" w:hAnsi="Palatino Linotype" w:cs="Palatino Linotype"/>
          <w:b/>
          <w:bCs/>
          <w:color w:val="000000" w:themeColor="text1"/>
        </w:rPr>
        <w:t>SAIMEX,</w:t>
      </w:r>
      <w:r w:rsidRPr="00277E46">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277E46">
        <w:rPr>
          <w:rFonts w:ascii="Palatino Linotype" w:eastAsia="Palatino Linotype" w:hAnsi="Palatino Linotype" w:cs="Palatino Linotype"/>
          <w:b/>
          <w:bCs/>
          <w:color w:val="000000" w:themeColor="text1"/>
        </w:rPr>
        <w:t>SUJETO OBLIGADO</w:t>
      </w:r>
      <w:r w:rsidRPr="00277E46">
        <w:rPr>
          <w:rFonts w:ascii="Palatino Linotype" w:eastAsia="Palatino Linotype" w:hAnsi="Palatino Linotype" w:cs="Palatino Linotype"/>
          <w:color w:val="000000" w:themeColor="text1"/>
        </w:rPr>
        <w:t xml:space="preserve"> entregó respuesta el </w:t>
      </w:r>
      <w:r w:rsidRPr="00277E46">
        <w:rPr>
          <w:rFonts w:ascii="Palatino Linotype" w:eastAsia="Palatino Linotype" w:hAnsi="Palatino Linotype" w:cs="Palatino Linotype"/>
          <w:b/>
          <w:bCs/>
          <w:color w:val="000000" w:themeColor="text1"/>
        </w:rPr>
        <w:t>cuatro de junio de dos mil veinticinco</w:t>
      </w:r>
      <w:r w:rsidRPr="00277E46">
        <w:rPr>
          <w:rFonts w:ascii="Palatino Linotype" w:eastAsia="Palatino Linotype" w:hAnsi="Palatino Linotype" w:cs="Palatino Linotype"/>
          <w:color w:val="000000" w:themeColor="text1"/>
        </w:rPr>
        <w:t xml:space="preserve">, de tal forma que el plazo para interponer el recurso transcurrió del </w:t>
      </w:r>
      <w:r w:rsidRPr="00277E46">
        <w:rPr>
          <w:rFonts w:ascii="Palatino Linotype" w:eastAsia="Palatino Linotype" w:hAnsi="Palatino Linotype" w:cs="Palatino Linotype"/>
          <w:b/>
          <w:bCs/>
          <w:color w:val="000000" w:themeColor="text1"/>
        </w:rPr>
        <w:t xml:space="preserve">cinco al veinticinco de junio de dos mil veinticinco, </w:t>
      </w:r>
      <w:r w:rsidRPr="00277E46">
        <w:rPr>
          <w:rFonts w:ascii="Palatino Linotype" w:eastAsia="Palatino Linotype" w:hAnsi="Palatino Linotype" w:cs="Palatino Linotype"/>
          <w:color w:val="000000" w:themeColor="text1"/>
        </w:rPr>
        <w:t xml:space="preserve">en consecuencia, si el </w:t>
      </w:r>
      <w:r w:rsidRPr="00277E46">
        <w:rPr>
          <w:rFonts w:ascii="Palatino Linotype" w:eastAsia="Palatino Linotype" w:hAnsi="Palatino Linotype" w:cs="Palatino Linotype"/>
          <w:b/>
          <w:bCs/>
          <w:color w:val="000000" w:themeColor="text1"/>
        </w:rPr>
        <w:t>PARTICULAR</w:t>
      </w:r>
      <w:r w:rsidRPr="00277E46">
        <w:rPr>
          <w:rFonts w:ascii="Palatino Linotype" w:eastAsia="Palatino Linotype" w:hAnsi="Palatino Linotype" w:cs="Palatino Linotype"/>
          <w:color w:val="000000" w:themeColor="text1"/>
        </w:rPr>
        <w:t xml:space="preserve"> presentó su inconformidad el </w:t>
      </w:r>
      <w:r w:rsidRPr="00277E46">
        <w:rPr>
          <w:rFonts w:ascii="Palatino Linotype" w:eastAsia="Palatino Linotype" w:hAnsi="Palatino Linotype" w:cs="Palatino Linotype"/>
          <w:b/>
          <w:bCs/>
          <w:color w:val="000000" w:themeColor="text1"/>
        </w:rPr>
        <w:t xml:space="preserve">veinticinco de junio de </w:t>
      </w:r>
      <w:r w:rsidRPr="00277E46">
        <w:rPr>
          <w:rFonts w:ascii="Palatino Linotype" w:eastAsia="Palatino Linotype" w:hAnsi="Palatino Linotype" w:cs="Palatino Linotype"/>
          <w:b/>
          <w:bCs/>
          <w:color w:val="000000" w:themeColor="text1"/>
        </w:rPr>
        <w:lastRenderedPageBreak/>
        <w:t>dos mil veinticinco</w:t>
      </w:r>
      <w:r w:rsidRPr="00277E46">
        <w:rPr>
          <w:rFonts w:ascii="Palatino Linotype" w:eastAsia="Palatino Linotype" w:hAnsi="Palatino Linotype" w:cs="Palatino Linotype"/>
          <w:color w:val="000000" w:themeColor="text1"/>
        </w:rPr>
        <w:t xml:space="preserve">, este  se encuentra dentro de los márgenes temporales previstos en el artículo 178 de la </w:t>
      </w:r>
      <w:r w:rsidRPr="00277E46">
        <w:rPr>
          <w:rFonts w:ascii="Palatino Linotype" w:eastAsia="Palatino Linotype" w:hAnsi="Palatino Linotype" w:cs="Palatino Linotype"/>
          <w:b/>
          <w:bCs/>
          <w:color w:val="000000" w:themeColor="text1"/>
        </w:rPr>
        <w:t xml:space="preserve">Ley de Transparencia y Acceso a la Información Pública del Estado de México y Municipios </w:t>
      </w:r>
      <w:r w:rsidRPr="00277E46">
        <w:rPr>
          <w:rFonts w:ascii="Palatino Linotype" w:eastAsia="Palatino Linotype" w:hAnsi="Palatino Linotype" w:cs="Palatino Linotype"/>
          <w:color w:val="000000" w:themeColor="text1"/>
        </w:rPr>
        <w:t xml:space="preserve">vigente. </w:t>
      </w:r>
    </w:p>
    <w:p w:rsidR="00AF415A" w:rsidRPr="00277E46" w:rsidRDefault="00AF415A" w:rsidP="00277E46">
      <w:pPr>
        <w:spacing w:line="360" w:lineRule="auto"/>
        <w:jc w:val="both"/>
        <w:rPr>
          <w:rFonts w:ascii="Palatino Linotype" w:eastAsia="Palatino Linotype" w:hAnsi="Palatino Linotype" w:cs="Palatino Linotype"/>
          <w:color w:val="000000" w:themeColor="text1"/>
        </w:rPr>
      </w:pPr>
      <w:bookmarkStart w:id="5" w:name="_heading=h.2et92p0" w:colFirst="0" w:colLast="0"/>
      <w:bookmarkEnd w:id="5"/>
    </w:p>
    <w:p w:rsidR="00AF415A" w:rsidRPr="00277E46" w:rsidRDefault="00A96809" w:rsidP="00277E46">
      <w:pPr>
        <w:pStyle w:val="Ttulo2"/>
        <w:rPr>
          <w:rFonts w:ascii="Palatino Linotype" w:eastAsia="Palatino Linotype" w:hAnsi="Palatino Linotype" w:cs="Palatino Linotype"/>
          <w:b/>
          <w:bCs/>
          <w:i/>
          <w:iCs/>
          <w:color w:val="000000" w:themeColor="text1"/>
          <w:sz w:val="24"/>
          <w:szCs w:val="24"/>
        </w:rPr>
      </w:pPr>
      <w:r w:rsidRPr="00277E46">
        <w:rPr>
          <w:rFonts w:ascii="Palatino Linotype" w:eastAsia="Palatino Linotype" w:hAnsi="Palatino Linotype" w:cs="Palatino Linotype"/>
          <w:b/>
          <w:bCs/>
          <w:color w:val="000000" w:themeColor="text1"/>
          <w:sz w:val="24"/>
          <w:szCs w:val="24"/>
        </w:rPr>
        <w:t xml:space="preserve">TERCERO. Del planteamiento de la </w:t>
      </w:r>
      <w:r w:rsidRPr="00277E46">
        <w:rPr>
          <w:rFonts w:ascii="Palatino Linotype" w:eastAsia="Palatino Linotype" w:hAnsi="Palatino Linotype" w:cs="Palatino Linotype"/>
          <w:b/>
          <w:bCs/>
          <w:i/>
          <w:iCs/>
          <w:color w:val="000000" w:themeColor="text1"/>
          <w:sz w:val="24"/>
          <w:szCs w:val="24"/>
        </w:rPr>
        <w:t>Litis.</w:t>
      </w:r>
    </w:p>
    <w:p w:rsidR="00AF415A" w:rsidRPr="00277E46" w:rsidRDefault="00A96809" w:rsidP="00277E46">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Se solicitó tener acceso, a la información que a continuación se simplifica:</w:t>
      </w:r>
    </w:p>
    <w:p w:rsidR="00AF415A" w:rsidRPr="00277E46" w:rsidRDefault="00A96809" w:rsidP="00277E46">
      <w:pPr>
        <w:numPr>
          <w:ilvl w:val="0"/>
          <w:numId w:val="5"/>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Permisos para conducir de los servidores públicos que tengan bajo su resguardo los vehículos que son propiedad del ayuntamiento.</w:t>
      </w:r>
    </w:p>
    <w:p w:rsidR="00AF415A" w:rsidRPr="00277E46" w:rsidRDefault="00AF415A" w:rsidP="00277E46">
      <w:pPr>
        <w:pBdr>
          <w:top w:val="nil"/>
          <w:left w:val="nil"/>
          <w:bottom w:val="nil"/>
          <w:right w:val="nil"/>
          <w:between w:val="nil"/>
        </w:pBdr>
        <w:jc w:val="both"/>
        <w:rPr>
          <w:rFonts w:ascii="Palatino Linotype" w:eastAsia="Palatino Linotype" w:hAnsi="Palatino Linotype" w:cs="Palatino Linotype"/>
          <w:color w:val="000000" w:themeColor="text1"/>
        </w:rPr>
      </w:pPr>
    </w:p>
    <w:p w:rsidR="00AF415A" w:rsidRPr="00277E46" w:rsidRDefault="00A96809" w:rsidP="00277E46">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En respuesta, el Sujeto Obligado</w:t>
      </w:r>
      <w:r w:rsidRPr="00277E46">
        <w:rPr>
          <w:rFonts w:ascii="Palatino Linotype" w:eastAsia="Palatino Linotype" w:hAnsi="Palatino Linotype" w:cs="Palatino Linotype"/>
          <w:b/>
          <w:bCs/>
          <w:color w:val="000000" w:themeColor="text1"/>
        </w:rPr>
        <w:t xml:space="preserve"> </w:t>
      </w:r>
      <w:r w:rsidRPr="00277E46">
        <w:rPr>
          <w:rFonts w:ascii="Palatino Linotype" w:eastAsia="Palatino Linotype" w:hAnsi="Palatino Linotype" w:cs="Palatino Linotype"/>
          <w:color w:val="000000" w:themeColor="text1"/>
        </w:rPr>
        <w:t>remitió los archivos ya descritos en el anterior párrafo 2, inconforme con la respuesta, se interpuso recurso de revisión argumentando sustancialmente la falta de entrega de información solicitada.</w:t>
      </w:r>
    </w:p>
    <w:p w:rsidR="00AF415A" w:rsidRPr="00277E46" w:rsidRDefault="00AF415A" w:rsidP="00277E46">
      <w:pPr>
        <w:jc w:val="both"/>
        <w:rPr>
          <w:rFonts w:ascii="Palatino Linotype" w:eastAsia="Palatino Linotype" w:hAnsi="Palatino Linotype" w:cs="Palatino Linotype"/>
          <w:i/>
          <w:iCs/>
          <w:color w:val="000000" w:themeColor="text1"/>
        </w:rPr>
      </w:pPr>
    </w:p>
    <w:p w:rsidR="00AF415A" w:rsidRPr="00277E46" w:rsidRDefault="00A96809" w:rsidP="00277E46">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En dichas condiciones, la controversia a resolver en el presente proveído, corresponde a determinar si se actualiza la causal de procedencia prevista en el artículo </w:t>
      </w:r>
      <w:r w:rsidRPr="00277E46">
        <w:rPr>
          <w:rFonts w:ascii="Palatino Linotype" w:eastAsia="Palatino Linotype" w:hAnsi="Palatino Linotype" w:cs="Palatino Linotype"/>
          <w:b/>
          <w:bCs/>
          <w:color w:val="000000" w:themeColor="text1"/>
        </w:rPr>
        <w:t>179, fracción I, de la Ley de Transparencia y Acceso a la Información Pública del Estado de México y Municipios</w:t>
      </w:r>
      <w:r w:rsidRPr="00277E46">
        <w:rPr>
          <w:rFonts w:ascii="Palatino Linotype" w:eastAsia="Palatino Linotype" w:hAnsi="Palatino Linotype" w:cs="Palatino Linotype"/>
          <w:color w:val="000000" w:themeColor="text1"/>
        </w:rPr>
        <w:t xml:space="preserve">; fracción que determina las hipótesis relativa a </w:t>
      </w:r>
      <w:r w:rsidRPr="00277E46">
        <w:rPr>
          <w:rFonts w:ascii="Palatino Linotype" w:eastAsia="Palatino Linotype" w:hAnsi="Palatino Linotype" w:cs="Palatino Linotype"/>
          <w:b/>
          <w:bCs/>
          <w:color w:val="000000" w:themeColor="text1"/>
        </w:rPr>
        <w:t>la negativa a la información solicitada</w:t>
      </w:r>
      <w:r w:rsidRPr="00277E46">
        <w:rPr>
          <w:rFonts w:ascii="Palatino Linotype" w:eastAsia="Palatino Linotype" w:hAnsi="Palatino Linotype" w:cs="Palatino Linotype"/>
          <w:color w:val="000000" w:themeColor="text1"/>
        </w:rPr>
        <w:t>; contexto del cual se dolió el Recurrente al momento de interponer su inconformidad. De modo tal que el presente recurso de revisión se abocará en determinar si el Sujeto Obligado con su respuesta ciertamente actualiza la causal de procedencia</w:t>
      </w:r>
      <w:r w:rsidRPr="00277E46">
        <w:rPr>
          <w:rFonts w:ascii="Palatino Linotype" w:eastAsia="Palatino Linotype" w:hAnsi="Palatino Linotype" w:cs="Palatino Linotype"/>
          <w:b/>
          <w:bCs/>
          <w:color w:val="000000" w:themeColor="text1"/>
        </w:rPr>
        <w:t xml:space="preserve"> </w:t>
      </w:r>
      <w:r w:rsidRPr="00277E46">
        <w:rPr>
          <w:rFonts w:ascii="Palatino Linotype" w:eastAsia="Palatino Linotype" w:hAnsi="Palatino Linotype" w:cs="Palatino Linotype"/>
          <w:color w:val="000000" w:themeColor="text1"/>
        </w:rPr>
        <w:t>señalada.</w:t>
      </w:r>
    </w:p>
    <w:p w:rsidR="00AF415A" w:rsidRPr="00277E46" w:rsidRDefault="00AF415A" w:rsidP="00277E46">
      <w:pPr>
        <w:spacing w:line="360" w:lineRule="auto"/>
        <w:rPr>
          <w:rFonts w:ascii="Palatino Linotype" w:eastAsia="Palatino Linotype" w:hAnsi="Palatino Linotype" w:cs="Palatino Linotype"/>
          <w:color w:val="000000" w:themeColor="text1"/>
        </w:rPr>
      </w:pPr>
    </w:p>
    <w:p w:rsidR="00AF415A" w:rsidRPr="00277E46" w:rsidRDefault="00A96809" w:rsidP="00277E46">
      <w:pPr>
        <w:pStyle w:val="Ttulo2"/>
        <w:rPr>
          <w:rFonts w:ascii="Palatino Linotype" w:eastAsia="Palatino Linotype" w:hAnsi="Palatino Linotype" w:cs="Palatino Linotype"/>
          <w:b/>
          <w:bCs/>
          <w:color w:val="000000" w:themeColor="text1"/>
          <w:sz w:val="24"/>
          <w:szCs w:val="24"/>
        </w:rPr>
      </w:pPr>
      <w:bookmarkStart w:id="6" w:name="_heading=h.1t3h5sf" w:colFirst="0" w:colLast="0"/>
      <w:bookmarkEnd w:id="6"/>
      <w:r w:rsidRPr="00277E46">
        <w:rPr>
          <w:rFonts w:ascii="Palatino Linotype" w:eastAsia="Palatino Linotype" w:hAnsi="Palatino Linotype" w:cs="Palatino Linotype"/>
          <w:b/>
          <w:bCs/>
          <w:color w:val="000000" w:themeColor="text1"/>
          <w:sz w:val="24"/>
          <w:szCs w:val="24"/>
        </w:rPr>
        <w:t>CUARTO. Del estudio y resolución del asunto.</w:t>
      </w:r>
    </w:p>
    <w:p w:rsidR="00AF415A" w:rsidRPr="00277E46" w:rsidRDefault="00A96809" w:rsidP="00277E46">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w:t>
      </w:r>
      <w:r w:rsidRPr="00277E46">
        <w:rPr>
          <w:rFonts w:ascii="Palatino Linotype" w:eastAsia="Palatino Linotype" w:hAnsi="Palatino Linotype" w:cs="Palatino Linotype"/>
          <w:color w:val="000000" w:themeColor="text1"/>
        </w:rPr>
        <w:lastRenderedPageBreak/>
        <w:t>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AF415A" w:rsidRPr="00277E46" w:rsidRDefault="00AF415A" w:rsidP="00277E46">
      <w:pPr>
        <w:spacing w:line="360" w:lineRule="auto"/>
        <w:jc w:val="both"/>
        <w:rPr>
          <w:rFonts w:ascii="Palatino Linotype" w:eastAsia="Palatino Linotype" w:hAnsi="Palatino Linotype" w:cs="Palatino Linotype"/>
          <w:color w:val="000000" w:themeColor="text1"/>
        </w:rPr>
      </w:pPr>
    </w:p>
    <w:p w:rsidR="00AF415A" w:rsidRPr="00277E46" w:rsidRDefault="00A96809" w:rsidP="00277E46">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AF415A" w:rsidRPr="00277E46" w:rsidRDefault="00AF415A" w:rsidP="00277E46">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AF415A" w:rsidRPr="00277E46" w:rsidRDefault="00A96809" w:rsidP="00277E46">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AF415A" w:rsidRPr="00277E46" w:rsidRDefault="00AF415A" w:rsidP="00277E46">
      <w:pPr>
        <w:spacing w:line="360" w:lineRule="auto"/>
        <w:jc w:val="both"/>
        <w:rPr>
          <w:rFonts w:ascii="Palatino Linotype" w:eastAsia="Palatino Linotype" w:hAnsi="Palatino Linotype" w:cs="Palatino Linotype"/>
          <w:color w:val="000000" w:themeColor="text1"/>
        </w:rPr>
      </w:pPr>
    </w:p>
    <w:p w:rsidR="00AF415A" w:rsidRPr="00277E46" w:rsidRDefault="00A96809" w:rsidP="00277E46">
      <w:pPr>
        <w:numPr>
          <w:ilvl w:val="0"/>
          <w:numId w:val="3"/>
        </w:numPr>
        <w:pBdr>
          <w:top w:val="nil"/>
          <w:left w:val="nil"/>
          <w:bottom w:val="nil"/>
          <w:right w:val="nil"/>
          <w:between w:val="nil"/>
        </w:pBdr>
        <w:spacing w:line="360" w:lineRule="auto"/>
        <w:ind w:left="0" w:firstLine="0"/>
        <w:rPr>
          <w:rFonts w:ascii="Palatino Linotype" w:eastAsia="Palatino Linotype" w:hAnsi="Palatino Linotype" w:cs="Palatino Linotype"/>
          <w:b/>
          <w:bCs/>
          <w:color w:val="000000" w:themeColor="text1"/>
        </w:rPr>
      </w:pPr>
      <w:r w:rsidRPr="00277E46">
        <w:rPr>
          <w:rFonts w:ascii="Palatino Linotype" w:eastAsia="Palatino Linotype" w:hAnsi="Palatino Linotype" w:cs="Palatino Linotype"/>
          <w:b/>
          <w:bCs/>
          <w:color w:val="000000" w:themeColor="text1"/>
        </w:rPr>
        <w:lastRenderedPageBreak/>
        <w:t>Del Sujeto Obligado.</w:t>
      </w:r>
    </w:p>
    <w:p w:rsidR="00AF415A" w:rsidRPr="00277E46" w:rsidRDefault="00A96809" w:rsidP="00277E46">
      <w:pPr>
        <w:numPr>
          <w:ilvl w:val="0"/>
          <w:numId w:val="2"/>
        </w:numPr>
        <w:spacing w:line="360" w:lineRule="auto"/>
        <w:ind w:left="0" w:firstLine="0"/>
        <w:jc w:val="both"/>
        <w:rPr>
          <w:rFonts w:ascii="Palatino Linotype" w:hAnsi="Palatino Linotype"/>
          <w:color w:val="000000" w:themeColor="text1"/>
        </w:rPr>
      </w:pPr>
      <w:r w:rsidRPr="00277E46">
        <w:rPr>
          <w:rFonts w:ascii="Palatino Linotype" w:eastAsia="Palatino Linotype" w:hAnsi="Palatino Linotype" w:cs="Palatino Linotype"/>
          <w:color w:val="000000" w:themeColor="text1"/>
        </w:rPr>
        <w:t>El ejercicio del gobierno municipal se deposita en un cuerpo colegiado denominado Ayuntamiento. La ejecución de las atribuciones corresponde al Presidente Municipal, quien dirige la Administración Pública Municipal, misma que será centralizada, descentralizada y autónoma, y se auxiliará de diversas dependencias, organismos descentralizados y órganos autónomos, , de conformidad con el artículo 90, del Bando Municipal 2025:</w:t>
      </w:r>
    </w:p>
    <w:p w:rsidR="00AF415A" w:rsidRPr="00277E46" w:rsidRDefault="00A96809" w:rsidP="00277E46">
      <w:pPr>
        <w:jc w:val="center"/>
        <w:rPr>
          <w:rFonts w:ascii="Palatino Linotype" w:eastAsia="Palatino Linotype" w:hAnsi="Palatino Linotype" w:cs="Palatino Linotype"/>
          <w:b/>
          <w:bCs/>
          <w:i/>
          <w:iCs/>
          <w:color w:val="000000" w:themeColor="text1"/>
        </w:rPr>
      </w:pPr>
      <w:r w:rsidRPr="00277E46">
        <w:rPr>
          <w:rFonts w:ascii="Palatino Linotype" w:eastAsia="Palatino Linotype" w:hAnsi="Palatino Linotype" w:cs="Palatino Linotype"/>
          <w:b/>
          <w:bCs/>
          <w:i/>
          <w:iCs/>
          <w:color w:val="000000" w:themeColor="text1"/>
        </w:rPr>
        <w:t>Bando Municipal 2025</w:t>
      </w:r>
    </w:p>
    <w:p w:rsidR="00AF415A" w:rsidRPr="00277E46" w:rsidRDefault="00AF415A" w:rsidP="00277E46">
      <w:pPr>
        <w:jc w:val="center"/>
        <w:rPr>
          <w:rFonts w:ascii="Palatino Linotype" w:eastAsia="Palatino Linotype" w:hAnsi="Palatino Linotype" w:cs="Palatino Linotype"/>
          <w:b/>
          <w:bCs/>
          <w:i/>
          <w:iCs/>
          <w:color w:val="000000" w:themeColor="text1"/>
        </w:rPr>
      </w:pP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b/>
          <w:bCs/>
          <w:i/>
          <w:iCs/>
          <w:color w:val="000000" w:themeColor="text1"/>
        </w:rPr>
        <w:t xml:space="preserve">Artículo 90. </w:t>
      </w:r>
      <w:r w:rsidRPr="00277E46">
        <w:rPr>
          <w:rFonts w:ascii="Palatino Linotype" w:eastAsia="Palatino Linotype" w:hAnsi="Palatino Linotype" w:cs="Palatino Linotype"/>
          <w:i/>
          <w:iCs/>
          <w:color w:val="000000" w:themeColor="text1"/>
        </w:rPr>
        <w:t>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rsidR="00AF415A" w:rsidRPr="00277E46" w:rsidRDefault="00AF415A" w:rsidP="00277E46">
      <w:pPr>
        <w:jc w:val="both"/>
        <w:rPr>
          <w:rFonts w:ascii="Palatino Linotype" w:eastAsia="Palatino Linotype" w:hAnsi="Palatino Linotype" w:cs="Palatino Linotype"/>
          <w:i/>
          <w:iCs/>
          <w:color w:val="000000" w:themeColor="text1"/>
        </w:rPr>
      </w:pPr>
    </w:p>
    <w:p w:rsidR="00AF415A" w:rsidRPr="00277E46" w:rsidRDefault="00A96809" w:rsidP="00277E46">
      <w:pPr>
        <w:jc w:val="both"/>
        <w:rPr>
          <w:rFonts w:ascii="Palatino Linotype" w:eastAsia="Palatino Linotype" w:hAnsi="Palatino Linotype" w:cs="Palatino Linotype"/>
          <w:b/>
          <w:bCs/>
          <w:i/>
          <w:iCs/>
          <w:color w:val="000000" w:themeColor="text1"/>
        </w:rPr>
      </w:pPr>
      <w:r w:rsidRPr="00277E46">
        <w:rPr>
          <w:rFonts w:ascii="Palatino Linotype" w:eastAsia="Palatino Linotype" w:hAnsi="Palatino Linotype" w:cs="Palatino Linotype"/>
          <w:b/>
          <w:bCs/>
          <w:i/>
          <w:iCs/>
          <w:color w:val="000000" w:themeColor="text1"/>
        </w:rPr>
        <w:t xml:space="preserve">I. DEPENDENCIAS: </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 xml:space="preserve">1. Secretaría del Ayuntamiento; </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 xml:space="preserve">2. Tesorería Municipal; </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 xml:space="preserve">3. Órgano Interno de Control; </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 xml:space="preserve">4. Dirección General de Gobierno; </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 xml:space="preserve">5. Dirección General de Seguridad y Protección; </w:t>
      </w:r>
    </w:p>
    <w:p w:rsidR="00AF415A" w:rsidRPr="00277E46" w:rsidRDefault="00A96809" w:rsidP="00277E46">
      <w:pPr>
        <w:jc w:val="both"/>
        <w:rPr>
          <w:rFonts w:ascii="Palatino Linotype" w:eastAsia="Palatino Linotype" w:hAnsi="Palatino Linotype" w:cs="Palatino Linotype"/>
          <w:b/>
          <w:bCs/>
          <w:i/>
          <w:iCs/>
          <w:color w:val="000000" w:themeColor="text1"/>
        </w:rPr>
      </w:pPr>
      <w:r w:rsidRPr="00277E46">
        <w:rPr>
          <w:rFonts w:ascii="Palatino Linotype" w:eastAsia="Palatino Linotype" w:hAnsi="Palatino Linotype" w:cs="Palatino Linotype"/>
          <w:b/>
          <w:bCs/>
          <w:i/>
          <w:iCs/>
          <w:color w:val="000000" w:themeColor="text1"/>
        </w:rPr>
        <w:t xml:space="preserve">6. Dirección General de Administración; </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 xml:space="preserve">7. Dirección General de Medio Ambiente; </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 xml:space="preserve">8. Dirección General de Servicios Públicos; </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 xml:space="preserve">9. Dirección General de Innovación, Planeación y Gestión Urbana; </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 xml:space="preserve">10. Dirección General de Obras Públicas; </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 xml:space="preserve">11. Dirección General de Desarrollo Económico; </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 xml:space="preserve">12. Dirección General de Bienestar; y </w:t>
      </w:r>
    </w:p>
    <w:p w:rsidR="00AF415A" w:rsidRPr="00277E46" w:rsidRDefault="00A96809" w:rsidP="00277E46">
      <w:pPr>
        <w:jc w:val="both"/>
        <w:rPr>
          <w:rFonts w:ascii="Palatino Linotype" w:eastAsia="Palatino Linotype" w:hAnsi="Palatino Linotype" w:cs="Palatino Linotype"/>
          <w:b/>
          <w:bCs/>
          <w:i/>
          <w:iCs/>
          <w:color w:val="000000" w:themeColor="text1"/>
        </w:rPr>
      </w:pPr>
      <w:r w:rsidRPr="00277E46">
        <w:rPr>
          <w:rFonts w:ascii="Palatino Linotype" w:eastAsia="Palatino Linotype" w:hAnsi="Palatino Linotype" w:cs="Palatino Linotype"/>
          <w:b/>
          <w:bCs/>
          <w:i/>
          <w:iCs/>
          <w:color w:val="000000" w:themeColor="text1"/>
        </w:rPr>
        <w:t>13. Dirección General de Educación, Cultura y Turismo.</w:t>
      </w:r>
    </w:p>
    <w:p w:rsidR="00AF415A" w:rsidRPr="00277E46" w:rsidRDefault="00AF415A" w:rsidP="00277E46">
      <w:pPr>
        <w:jc w:val="both"/>
        <w:rPr>
          <w:rFonts w:ascii="Palatino Linotype" w:eastAsia="Palatino Linotype" w:hAnsi="Palatino Linotype" w:cs="Palatino Linotype"/>
          <w:i/>
          <w:iCs/>
          <w:color w:val="000000" w:themeColor="text1"/>
        </w:rPr>
      </w:pPr>
    </w:p>
    <w:p w:rsidR="00AF415A" w:rsidRPr="00277E46" w:rsidRDefault="00A96809" w:rsidP="00277E46">
      <w:pPr>
        <w:jc w:val="both"/>
        <w:rPr>
          <w:rFonts w:ascii="Palatino Linotype" w:eastAsia="Palatino Linotype" w:hAnsi="Palatino Linotype" w:cs="Palatino Linotype"/>
          <w:b/>
          <w:bCs/>
          <w:i/>
          <w:iCs/>
          <w:color w:val="000000" w:themeColor="text1"/>
        </w:rPr>
      </w:pPr>
      <w:r w:rsidRPr="00277E46">
        <w:rPr>
          <w:rFonts w:ascii="Palatino Linotype" w:eastAsia="Palatino Linotype" w:hAnsi="Palatino Linotype" w:cs="Palatino Linotype"/>
          <w:b/>
          <w:bCs/>
          <w:i/>
          <w:iCs/>
          <w:color w:val="000000" w:themeColor="text1"/>
        </w:rPr>
        <w:t xml:space="preserve">II. ORGANISMOS DESCENTRALIZADOS: </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 xml:space="preserve">1. Sistema Municipal para el Desarrollo Integral de la Familia de Toluca; </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 xml:space="preserve">2. Instituto Municipal de Cultura Física y Deporte de Toluca; </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 xml:space="preserve">3. Instituto Municipal de la Mujer de Toluca; y </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lastRenderedPageBreak/>
        <w:t xml:space="preserve">4. Organismo Agua y Saneamiento de Toluca. </w:t>
      </w:r>
    </w:p>
    <w:p w:rsidR="00AF415A" w:rsidRPr="00277E46" w:rsidRDefault="00AF415A" w:rsidP="00277E46">
      <w:pPr>
        <w:jc w:val="both"/>
        <w:rPr>
          <w:rFonts w:ascii="Palatino Linotype" w:eastAsia="Palatino Linotype" w:hAnsi="Palatino Linotype" w:cs="Palatino Linotype"/>
          <w:i/>
          <w:iCs/>
          <w:color w:val="000000" w:themeColor="text1"/>
        </w:rPr>
      </w:pPr>
    </w:p>
    <w:p w:rsidR="00AF415A" w:rsidRPr="00277E46" w:rsidRDefault="00A96809" w:rsidP="00277E46">
      <w:pPr>
        <w:jc w:val="both"/>
        <w:rPr>
          <w:rFonts w:ascii="Palatino Linotype" w:eastAsia="Palatino Linotype" w:hAnsi="Palatino Linotype" w:cs="Palatino Linotype"/>
          <w:b/>
          <w:bCs/>
          <w:i/>
          <w:iCs/>
          <w:color w:val="000000" w:themeColor="text1"/>
        </w:rPr>
      </w:pPr>
      <w:r w:rsidRPr="00277E46">
        <w:rPr>
          <w:rFonts w:ascii="Palatino Linotype" w:eastAsia="Palatino Linotype" w:hAnsi="Palatino Linotype" w:cs="Palatino Linotype"/>
          <w:b/>
          <w:bCs/>
          <w:i/>
          <w:iCs/>
          <w:color w:val="000000" w:themeColor="text1"/>
        </w:rPr>
        <w:t xml:space="preserve">III. ÓRGANO AUTÓNOMO: </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1. Defensoría Municipal de los Derechos Humanos de Toluca.</w:t>
      </w:r>
    </w:p>
    <w:p w:rsidR="00AF415A" w:rsidRPr="00277E46" w:rsidRDefault="00AF415A" w:rsidP="00277E46">
      <w:pPr>
        <w:spacing w:line="360" w:lineRule="auto"/>
        <w:jc w:val="both"/>
        <w:rPr>
          <w:rFonts w:ascii="Palatino Linotype" w:hAnsi="Palatino Linotype"/>
          <w:color w:val="000000" w:themeColor="text1"/>
        </w:rPr>
      </w:pPr>
    </w:p>
    <w:p w:rsidR="00AF415A" w:rsidRPr="00277E46" w:rsidRDefault="00A96809" w:rsidP="00277E46">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La</w:t>
      </w:r>
      <w:r w:rsidRPr="00277E46">
        <w:rPr>
          <w:rFonts w:ascii="Palatino Linotype" w:eastAsia="Palatino Linotype" w:hAnsi="Palatino Linotype" w:cs="Palatino Linotype"/>
          <w:b/>
          <w:bCs/>
          <w:color w:val="000000" w:themeColor="text1"/>
        </w:rPr>
        <w:t xml:space="preserve"> Dirección General de Administración </w:t>
      </w:r>
      <w:r w:rsidRPr="00277E46">
        <w:rPr>
          <w:rFonts w:ascii="Palatino Linotype" w:eastAsia="Palatino Linotype" w:hAnsi="Palatino Linotype" w:cs="Palatino Linotype"/>
          <w:color w:val="000000" w:themeColor="text1"/>
        </w:rPr>
        <w:t xml:space="preserve">es responsable de la gestión integral del capital humano del Ayuntamiento, coordinando el reclutamiento, contratación, capacitación y desarrollo del personal, así como la aplicación de las disposiciones laborales y sindicales. Supervisará la elaboración y distribución de la nómina, garantizando su apego a la normatividad y el presupuesto autorizado. Dirigirá los procesos de adquisición, arrendamiento y contratación de servicios, asegurando la eficiencia y transparencia en el uso de los recursos públicos. </w:t>
      </w:r>
      <w:r w:rsidRPr="00277E46">
        <w:rPr>
          <w:rFonts w:ascii="Palatino Linotype" w:eastAsia="Palatino Linotype" w:hAnsi="Palatino Linotype" w:cs="Palatino Linotype"/>
          <w:b/>
          <w:bCs/>
          <w:color w:val="000000" w:themeColor="text1"/>
        </w:rPr>
        <w:t>Administrará el parque vehicular</w:t>
      </w:r>
      <w:r w:rsidRPr="00277E46">
        <w:rPr>
          <w:rFonts w:ascii="Palatino Linotype" w:eastAsia="Palatino Linotype" w:hAnsi="Palatino Linotype" w:cs="Palatino Linotype"/>
          <w:color w:val="000000" w:themeColor="text1"/>
        </w:rPr>
        <w:t>, los bienes municipales y la logística de eventos públicos e implementará políticas de gobierno digital y normativas para el uso de tecnologías de la información, promoviendo la eficiencia operativa de la administración pública municipal, de conformidad con lo establecido en el artículo 92, fracción VI, del Bando Municipal 2025.</w:t>
      </w:r>
    </w:p>
    <w:p w:rsidR="00AF415A" w:rsidRPr="00277E46" w:rsidRDefault="00AF415A" w:rsidP="00277E46">
      <w:pPr>
        <w:spacing w:line="360" w:lineRule="auto"/>
        <w:jc w:val="both"/>
        <w:rPr>
          <w:rFonts w:ascii="Palatino Linotype" w:eastAsia="Palatino Linotype" w:hAnsi="Palatino Linotype" w:cs="Palatino Linotype"/>
          <w:color w:val="000000" w:themeColor="text1"/>
        </w:rPr>
      </w:pPr>
    </w:p>
    <w:p w:rsidR="00AF415A" w:rsidRPr="00277E46" w:rsidRDefault="00A96809" w:rsidP="00277E46">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Es importante señalar que en la respuesta otorgada se advierte un pronunciamiento del Instituto Municipal de la Mujer; no obstante, tal instituto es un Sujeto Obligado independiente al Ayuntamiento de Toluca, por lo que dicha respuesta no será materia de estudio.</w:t>
      </w:r>
    </w:p>
    <w:p w:rsidR="00AF415A" w:rsidRPr="00277E46" w:rsidRDefault="00AF415A" w:rsidP="00277E46">
      <w:pPr>
        <w:spacing w:line="360" w:lineRule="auto"/>
        <w:jc w:val="both"/>
        <w:rPr>
          <w:rFonts w:ascii="Palatino Linotype" w:eastAsia="Palatino Linotype" w:hAnsi="Palatino Linotype" w:cs="Palatino Linotype"/>
          <w:color w:val="000000" w:themeColor="text1"/>
        </w:rPr>
      </w:pPr>
    </w:p>
    <w:p w:rsidR="00AF415A" w:rsidRPr="00277E46" w:rsidRDefault="00A96809" w:rsidP="00277E46">
      <w:pPr>
        <w:numPr>
          <w:ilvl w:val="0"/>
          <w:numId w:val="2"/>
        </w:numPr>
        <w:spacing w:line="360" w:lineRule="auto"/>
        <w:ind w:left="0" w:firstLine="0"/>
        <w:jc w:val="both"/>
        <w:rPr>
          <w:rFonts w:ascii="Palatino Linotype" w:hAnsi="Palatino Linotype"/>
          <w:color w:val="000000" w:themeColor="text1"/>
        </w:rPr>
      </w:pPr>
      <w:r w:rsidRPr="00277E46">
        <w:rPr>
          <w:rFonts w:ascii="Palatino Linotype" w:eastAsia="Palatino Linotype" w:hAnsi="Palatino Linotype" w:cs="Palatino Linotype"/>
          <w:color w:val="000000" w:themeColor="text1"/>
        </w:rPr>
        <w:t xml:space="preserve">De lo expuesto es de precisar que la respuesta fue emitida por la </w:t>
      </w:r>
      <w:r w:rsidRPr="00277E46">
        <w:rPr>
          <w:rFonts w:ascii="Palatino Linotype" w:eastAsia="Palatino Linotype" w:hAnsi="Palatino Linotype" w:cs="Palatino Linotype"/>
          <w:b/>
          <w:bCs/>
          <w:color w:val="000000" w:themeColor="text1"/>
        </w:rPr>
        <w:t>Dirección General de Administración</w:t>
      </w:r>
      <w:r w:rsidRPr="00277E46">
        <w:rPr>
          <w:rFonts w:ascii="Palatino Linotype" w:eastAsia="Palatino Linotype" w:hAnsi="Palatino Linotype" w:cs="Palatino Linotype"/>
          <w:color w:val="000000" w:themeColor="text1"/>
        </w:rPr>
        <w:t xml:space="preserve">, por lo que podemos advertir que </w:t>
      </w:r>
      <w:r w:rsidRPr="00277E46">
        <w:rPr>
          <w:rFonts w:ascii="Palatino Linotype" w:eastAsia="Palatino Linotype" w:hAnsi="Palatino Linotype" w:cs="Palatino Linotype"/>
          <w:b/>
          <w:bCs/>
          <w:color w:val="000000" w:themeColor="text1"/>
        </w:rPr>
        <w:t xml:space="preserve">EL SUJETO OBLIGADO </w:t>
      </w:r>
      <w:r w:rsidRPr="00277E46">
        <w:rPr>
          <w:rFonts w:ascii="Palatino Linotype" w:eastAsia="Palatino Linotype" w:hAnsi="Palatino Linotype" w:cs="Palatino Linotype"/>
          <w:color w:val="000000" w:themeColor="text1"/>
        </w:rPr>
        <w:t xml:space="preserve">siguió el procedimiento inmerso en la normatividad aplicable, ya que turnó el requerimiento de información a la unidad administrativa competente, vigilando lo establecido por el artículo </w:t>
      </w:r>
      <w:r w:rsidRPr="00277E46">
        <w:rPr>
          <w:rFonts w:ascii="Palatino Linotype" w:eastAsia="Palatino Linotype" w:hAnsi="Palatino Linotype" w:cs="Palatino Linotype"/>
          <w:color w:val="000000" w:themeColor="text1"/>
        </w:rPr>
        <w:lastRenderedPageBreak/>
        <w:t>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b/>
          <w:bCs/>
          <w:i/>
          <w:iCs/>
          <w:color w:val="000000" w:themeColor="text1"/>
        </w:rPr>
        <w:t>XXXIX.</w:t>
      </w:r>
      <w:r w:rsidRPr="00277E46">
        <w:rPr>
          <w:rFonts w:ascii="Palatino Linotype" w:eastAsia="Palatino Linotype" w:hAnsi="Palatino Linotype" w:cs="Palatino Linotype"/>
          <w:i/>
          <w:iCs/>
          <w:color w:val="000000" w:themeColor="text1"/>
        </w:rPr>
        <w:t xml:space="preserve"> </w:t>
      </w:r>
      <w:r w:rsidRPr="00277E46">
        <w:rPr>
          <w:rFonts w:ascii="Palatino Linotype" w:eastAsia="Palatino Linotype" w:hAnsi="Palatino Linotype" w:cs="Palatino Linotype"/>
          <w:b/>
          <w:bCs/>
          <w:i/>
          <w:iCs/>
          <w:color w:val="000000" w:themeColor="text1"/>
        </w:rPr>
        <w:t>Servidor público habilitado</w:t>
      </w:r>
      <w:r w:rsidRPr="00277E46">
        <w:rPr>
          <w:rFonts w:ascii="Palatino Linotype" w:eastAsia="Palatino Linotype" w:hAnsi="Palatino Linotype" w:cs="Palatino Linotype"/>
          <w:i/>
          <w:iCs/>
          <w:color w:val="000000" w:themeColor="text1"/>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AF415A" w:rsidRPr="00277E46" w:rsidRDefault="00AF415A" w:rsidP="00277E46">
      <w:pPr>
        <w:spacing w:line="360" w:lineRule="auto"/>
        <w:jc w:val="both"/>
        <w:rPr>
          <w:rFonts w:ascii="Palatino Linotype" w:eastAsia="Palatino Linotype" w:hAnsi="Palatino Linotype" w:cs="Palatino Linotype"/>
          <w:color w:val="000000" w:themeColor="text1"/>
        </w:rPr>
      </w:pPr>
    </w:p>
    <w:p w:rsidR="00AF415A" w:rsidRPr="00277E46" w:rsidRDefault="00A96809" w:rsidP="00277E46">
      <w:pPr>
        <w:numPr>
          <w:ilvl w:val="0"/>
          <w:numId w:val="2"/>
        </w:numPr>
        <w:spacing w:line="360" w:lineRule="auto"/>
        <w:ind w:left="0" w:firstLine="0"/>
        <w:jc w:val="both"/>
        <w:rPr>
          <w:rFonts w:ascii="Palatino Linotype" w:hAnsi="Palatino Linotype"/>
          <w:color w:val="000000" w:themeColor="text1"/>
        </w:rPr>
      </w:pPr>
      <w:r w:rsidRPr="00277E46">
        <w:rPr>
          <w:rFonts w:ascii="Palatino Linotype" w:eastAsia="Palatino Linotype" w:hAnsi="Palatino Linotype" w:cs="Palatino Linotype"/>
          <w:color w:val="000000" w:themeColor="text1"/>
        </w:rPr>
        <w:t>Así las cosas, se advierte que efectivamente la Unidad de Transparencia cumplió con lo establecido en el artículo 162 de la Ley de Transparencia y Acceso a la Información Pública del Estado de México y Municipios, el cual menciona lo siguiente:</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w:t>
      </w:r>
      <w:r w:rsidRPr="00277E46">
        <w:rPr>
          <w:rFonts w:ascii="Palatino Linotype" w:eastAsia="Palatino Linotype" w:hAnsi="Palatino Linotype" w:cs="Palatino Linotype"/>
          <w:b/>
          <w:bCs/>
          <w:i/>
          <w:iCs/>
          <w:color w:val="000000" w:themeColor="text1"/>
        </w:rPr>
        <w:t>Artículo 162.</w:t>
      </w:r>
      <w:r w:rsidRPr="00277E46">
        <w:rPr>
          <w:rFonts w:ascii="Palatino Linotype" w:eastAsia="Palatino Linotype" w:hAnsi="Palatino Linotype" w:cs="Palatino Linotype"/>
          <w:i/>
          <w:iCs/>
          <w:color w:val="000000" w:themeColor="text1"/>
        </w:rPr>
        <w:t xml:space="preserve"> Las unidades de transparencia deberán garantizar que las solicitudes se turnen a </w:t>
      </w:r>
      <w:r w:rsidRPr="00277E46">
        <w:rPr>
          <w:rFonts w:ascii="Palatino Linotype" w:eastAsia="Palatino Linotype" w:hAnsi="Palatino Linotype" w:cs="Palatino Linotype"/>
          <w:b/>
          <w:bCs/>
          <w:i/>
          <w:iCs/>
          <w:color w:val="000000" w:themeColor="text1"/>
        </w:rPr>
        <w:t>todas las Áreas competentes</w:t>
      </w:r>
      <w:r w:rsidRPr="00277E46">
        <w:rPr>
          <w:rFonts w:ascii="Palatino Linotype" w:eastAsia="Palatino Linotype" w:hAnsi="Palatino Linotype" w:cs="Palatino Linotype"/>
          <w:i/>
          <w:iCs/>
          <w:color w:val="000000" w:themeColor="text1"/>
        </w:rPr>
        <w:t xml:space="preserve"> que cuenten con la información o deban tenerla de acuerdo a sus facultades, competencias y funciones, con el objeto de que realicen una búsqueda exhaustiva y razonable de la información solicitada.”</w:t>
      </w:r>
    </w:p>
    <w:p w:rsidR="00AF415A" w:rsidRPr="00277E46" w:rsidRDefault="00AF415A" w:rsidP="00277E46">
      <w:pPr>
        <w:spacing w:line="360" w:lineRule="auto"/>
        <w:jc w:val="both"/>
        <w:rPr>
          <w:rFonts w:ascii="Palatino Linotype" w:eastAsia="Palatino Linotype" w:hAnsi="Palatino Linotype" w:cs="Palatino Linotype"/>
          <w:color w:val="000000" w:themeColor="text1"/>
        </w:rPr>
      </w:pPr>
    </w:p>
    <w:p w:rsidR="00AF415A" w:rsidRPr="00277E46" w:rsidRDefault="00A96809" w:rsidP="00277E46">
      <w:pPr>
        <w:numPr>
          <w:ilvl w:val="0"/>
          <w:numId w:val="2"/>
        </w:numPr>
        <w:spacing w:line="360" w:lineRule="auto"/>
        <w:ind w:left="0" w:firstLine="0"/>
        <w:jc w:val="both"/>
        <w:rPr>
          <w:rFonts w:ascii="Palatino Linotype" w:hAnsi="Palatino Linotype"/>
          <w:color w:val="000000" w:themeColor="text1"/>
        </w:rPr>
      </w:pPr>
      <w:r w:rsidRPr="00277E46">
        <w:rPr>
          <w:rFonts w:ascii="Palatino Linotype" w:eastAsia="Palatino Linotype" w:hAnsi="Palatino Linotype" w:cs="Palatino Linotype"/>
          <w:color w:val="000000" w:themeColor="text1"/>
        </w:rPr>
        <w:t xml:space="preserve">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lastRenderedPageBreak/>
        <w:t>“</w:t>
      </w:r>
      <w:r w:rsidRPr="00277E46">
        <w:rPr>
          <w:rFonts w:ascii="Palatino Linotype" w:eastAsia="Palatino Linotype" w:hAnsi="Palatino Linotype" w:cs="Palatino Linotype"/>
          <w:b/>
          <w:bCs/>
          <w:i/>
          <w:iCs/>
          <w:color w:val="000000" w:themeColor="text1"/>
        </w:rPr>
        <w:t xml:space="preserve">Artículo 3. </w:t>
      </w:r>
      <w:r w:rsidRPr="00277E46">
        <w:rPr>
          <w:rFonts w:ascii="Palatino Linotype" w:eastAsia="Palatino Linotype" w:hAnsi="Palatino Linotype" w:cs="Palatino Linotype"/>
          <w:i/>
          <w:iCs/>
          <w:color w:val="000000" w:themeColor="text1"/>
        </w:rPr>
        <w:t>Para los efectos de la presente Ley se entenderá por:</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b/>
          <w:bCs/>
          <w:i/>
          <w:iCs/>
          <w:color w:val="000000" w:themeColor="text1"/>
        </w:rPr>
        <w:t>XI. Documento:</w:t>
      </w:r>
      <w:r w:rsidRPr="00277E46">
        <w:rPr>
          <w:rFonts w:ascii="Palatino Linotype" w:eastAsia="Palatino Linotype" w:hAnsi="Palatino Linotype" w:cs="Palatino Linotype"/>
          <w:i/>
          <w:iCs/>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F415A" w:rsidRPr="00277E46" w:rsidRDefault="00A96809" w:rsidP="00277E46">
      <w:pPr>
        <w:spacing w:line="360" w:lineRule="auto"/>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w:t>
      </w:r>
    </w:p>
    <w:p w:rsidR="00AF415A" w:rsidRPr="00277E46" w:rsidRDefault="00AF415A" w:rsidP="00277E46">
      <w:pPr>
        <w:jc w:val="both"/>
        <w:rPr>
          <w:rFonts w:ascii="Palatino Linotype" w:eastAsia="Palatino Linotype" w:hAnsi="Palatino Linotype" w:cs="Palatino Linotype"/>
          <w:color w:val="000000" w:themeColor="text1"/>
        </w:rPr>
      </w:pPr>
    </w:p>
    <w:p w:rsidR="00AF415A" w:rsidRPr="00277E46" w:rsidRDefault="00A96809" w:rsidP="00277E46">
      <w:pPr>
        <w:numPr>
          <w:ilvl w:val="0"/>
          <w:numId w:val="2"/>
        </w:numPr>
        <w:spacing w:line="360" w:lineRule="auto"/>
        <w:ind w:left="0" w:firstLine="0"/>
        <w:jc w:val="both"/>
        <w:rPr>
          <w:rFonts w:ascii="Palatino Linotype" w:hAnsi="Palatino Linotype"/>
          <w:color w:val="000000" w:themeColor="text1"/>
        </w:rPr>
      </w:pPr>
      <w:r w:rsidRPr="00277E46">
        <w:rPr>
          <w:rFonts w:ascii="Palatino Linotype" w:eastAsia="Palatino Linotype" w:hAnsi="Palatino Linotype" w:cs="Palatino Linotype"/>
          <w:color w:val="000000" w:themeColor="text1"/>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AF415A" w:rsidRPr="00277E46" w:rsidRDefault="00A96809" w:rsidP="00277E46">
      <w:pPr>
        <w:jc w:val="both"/>
        <w:rPr>
          <w:rFonts w:ascii="Palatino Linotype" w:eastAsia="Palatino Linotype" w:hAnsi="Palatino Linotype" w:cs="Palatino Linotype"/>
          <w:b/>
          <w:bCs/>
          <w:i/>
          <w:iCs/>
          <w:color w:val="000000" w:themeColor="text1"/>
        </w:rPr>
      </w:pPr>
      <w:r w:rsidRPr="00277E46">
        <w:rPr>
          <w:rFonts w:ascii="Palatino Linotype" w:eastAsia="Palatino Linotype" w:hAnsi="Palatino Linotype" w:cs="Palatino Linotype"/>
          <w:b/>
          <w:bCs/>
          <w:color w:val="000000" w:themeColor="text1"/>
        </w:rPr>
        <w:t>“</w:t>
      </w:r>
      <w:r w:rsidRPr="00277E46">
        <w:rPr>
          <w:rFonts w:ascii="Palatino Linotype" w:eastAsia="Palatino Linotype" w:hAnsi="Palatino Linotype" w:cs="Palatino Linotype"/>
          <w:b/>
          <w:bCs/>
          <w:i/>
          <w:iCs/>
          <w:color w:val="000000" w:themeColor="text1"/>
        </w:rPr>
        <w:t>CRITERIO 0002-11</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b/>
          <w:bCs/>
          <w:i/>
          <w:iCs/>
          <w:color w:val="000000" w:themeColor="text1"/>
        </w:rPr>
        <w:t>INFORMACIÓN PÚBLICA, CONCEPTO DE, EN MATERIA DE TRANSPARENCIA. INTERPRETACIÓN SISTEMÁTICA DE LOS ARTÍCULOS 2°, FRACCIÓN V, XV, Y XVI, 3°, 4°, 11 Y 41.</w:t>
      </w:r>
      <w:r w:rsidRPr="00277E46">
        <w:rPr>
          <w:rFonts w:ascii="Palatino Linotype" w:eastAsia="Palatino Linotype" w:hAnsi="Palatino Linotype" w:cs="Palatino Linotype"/>
          <w:i/>
          <w:iCs/>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En consecuencia el acceso a la información se refiere a que se cumplan cualquiera de los siguientes tres supuestos:</w:t>
      </w:r>
    </w:p>
    <w:p w:rsidR="00AF415A" w:rsidRPr="00277E46" w:rsidRDefault="00A96809" w:rsidP="00277E46">
      <w:pPr>
        <w:jc w:val="both"/>
        <w:rPr>
          <w:rFonts w:ascii="Palatino Linotype" w:eastAsia="Palatino Linotype" w:hAnsi="Palatino Linotype" w:cs="Palatino Linotype"/>
          <w:b/>
          <w:bCs/>
          <w:i/>
          <w:iCs/>
          <w:color w:val="000000" w:themeColor="text1"/>
        </w:rPr>
      </w:pPr>
      <w:r w:rsidRPr="00277E46">
        <w:rPr>
          <w:rFonts w:ascii="Palatino Linotype" w:eastAsia="Palatino Linotype" w:hAnsi="Palatino Linotype" w:cs="Palatino Linotype"/>
          <w:b/>
          <w:bCs/>
          <w:i/>
          <w:iCs/>
          <w:color w:val="000000" w:themeColor="text1"/>
        </w:rPr>
        <w:t xml:space="preserve">1) </w:t>
      </w:r>
      <w:r w:rsidRPr="00277E46">
        <w:rPr>
          <w:rFonts w:ascii="Palatino Linotype" w:eastAsia="Palatino Linotype" w:hAnsi="Palatino Linotype" w:cs="Palatino Linotype"/>
          <w:b/>
          <w:bCs/>
          <w:i/>
          <w:iCs/>
          <w:color w:val="000000" w:themeColor="text1"/>
          <w:u w:val="single"/>
        </w:rPr>
        <w:t>Que se trate de información registrada en cualquier soporte documental, que en ejercicio de las atribuciones conferidas, sea generada por los Sujetos Obligados;</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2) Que se trate de información registrada en cualquier soporte documental, que en ejercicio de las atribuciones conferidas, sea administrada por los Sujetos Obligados, y</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3) Que se trate de información registrada en cualquier soporte documental, que en ejercicio de las atribuciones conferidas, se encuentre en posesión de los Sujetos Obligados.”</w:t>
      </w:r>
    </w:p>
    <w:p w:rsidR="00AF415A" w:rsidRPr="00277E46" w:rsidRDefault="00A96809" w:rsidP="00277E46">
      <w:pPr>
        <w:tabs>
          <w:tab w:val="left" w:pos="851"/>
        </w:tabs>
        <w:spacing w:line="360" w:lineRule="auto"/>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(Énfasis Añadido)</w:t>
      </w:r>
    </w:p>
    <w:p w:rsidR="00AF415A" w:rsidRPr="00277E46" w:rsidRDefault="00AF415A" w:rsidP="00277E46">
      <w:pPr>
        <w:pBdr>
          <w:top w:val="nil"/>
          <w:left w:val="nil"/>
          <w:bottom w:val="nil"/>
          <w:right w:val="nil"/>
          <w:between w:val="nil"/>
        </w:pBdr>
        <w:jc w:val="both"/>
        <w:rPr>
          <w:rFonts w:ascii="Palatino Linotype" w:eastAsia="Palatino Linotype" w:hAnsi="Palatino Linotype" w:cs="Palatino Linotype"/>
          <w:color w:val="000000" w:themeColor="text1"/>
        </w:rPr>
      </w:pPr>
    </w:p>
    <w:p w:rsidR="00AF415A" w:rsidRPr="00277E46" w:rsidRDefault="00A96809" w:rsidP="00277E46">
      <w:pPr>
        <w:numPr>
          <w:ilvl w:val="0"/>
          <w:numId w:val="2"/>
        </w:numPr>
        <w:spacing w:line="360" w:lineRule="auto"/>
        <w:ind w:left="0" w:firstLine="0"/>
        <w:jc w:val="both"/>
        <w:rPr>
          <w:rFonts w:ascii="Palatino Linotype" w:hAnsi="Palatino Linotype"/>
          <w:color w:val="000000" w:themeColor="text1"/>
        </w:rPr>
      </w:pPr>
      <w:r w:rsidRPr="00277E46">
        <w:rPr>
          <w:rFonts w:ascii="Palatino Linotype" w:eastAsia="Palatino Linotype" w:hAnsi="Palatino Linotype" w:cs="Palatino Linotype"/>
          <w:color w:val="000000" w:themeColor="text1"/>
        </w:rPr>
        <w:lastRenderedPageBreak/>
        <w:t>Por su parte los artículos 160 y 166, de la Ley local en la materia, que se reproduce de la siguiente forma:</w:t>
      </w: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w:t>
      </w:r>
      <w:r w:rsidRPr="00277E46">
        <w:rPr>
          <w:rFonts w:ascii="Palatino Linotype" w:eastAsia="Palatino Linotype" w:hAnsi="Palatino Linotype" w:cs="Palatino Linotype"/>
          <w:b/>
          <w:bCs/>
          <w:i/>
          <w:iCs/>
          <w:color w:val="000000" w:themeColor="text1"/>
        </w:rPr>
        <w:t>Artículo 160.</w:t>
      </w:r>
      <w:r w:rsidRPr="00277E46">
        <w:rPr>
          <w:rFonts w:ascii="Palatino Linotype" w:eastAsia="Palatino Linotype" w:hAnsi="Palatino Linotype" w:cs="Palatino Linotype"/>
          <w:i/>
          <w:iCs/>
          <w:color w:val="000000" w:themeColor="text1"/>
        </w:rPr>
        <w:t xml:space="preserve"> </w:t>
      </w:r>
      <w:r w:rsidRPr="00277E46">
        <w:rPr>
          <w:rFonts w:ascii="Palatino Linotype" w:eastAsia="Palatino Linotype" w:hAnsi="Palatino Linotype" w:cs="Palatino Linotype"/>
          <w:i/>
          <w:iCs/>
          <w:color w:val="000000" w:themeColor="text1"/>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277E46">
        <w:rPr>
          <w:rFonts w:ascii="Palatino Linotype" w:eastAsia="Palatino Linotype" w:hAnsi="Palatino Linotype" w:cs="Palatino Linotype"/>
          <w:i/>
          <w:iCs/>
          <w:color w:val="000000" w:themeColor="text1"/>
        </w:rPr>
        <w:t>.</w:t>
      </w:r>
    </w:p>
    <w:p w:rsidR="00AF415A" w:rsidRPr="00277E46" w:rsidRDefault="00AF415A" w:rsidP="00277E46">
      <w:pPr>
        <w:jc w:val="both"/>
        <w:rPr>
          <w:rFonts w:ascii="Palatino Linotype" w:eastAsia="Palatino Linotype" w:hAnsi="Palatino Linotype" w:cs="Palatino Linotype"/>
          <w:i/>
          <w:iCs/>
          <w:color w:val="000000" w:themeColor="text1"/>
        </w:rPr>
      </w:pPr>
    </w:p>
    <w:p w:rsidR="00AF415A" w:rsidRPr="00277E46" w:rsidRDefault="00A96809" w:rsidP="00277E46">
      <w:pP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En caso que la información solicitada consista en bases de datos se deberá privilegiar la entrega de la misma en formatos abiertos.</w:t>
      </w:r>
    </w:p>
    <w:p w:rsidR="00AF415A" w:rsidRPr="00277E46" w:rsidRDefault="00AF415A" w:rsidP="00277E46">
      <w:pPr>
        <w:jc w:val="both"/>
        <w:rPr>
          <w:rFonts w:ascii="Palatino Linotype" w:eastAsia="Palatino Linotype" w:hAnsi="Palatino Linotype" w:cs="Palatino Linotype"/>
          <w:i/>
          <w:iCs/>
          <w:color w:val="000000" w:themeColor="text1"/>
        </w:rPr>
      </w:pPr>
    </w:p>
    <w:p w:rsidR="00AF415A" w:rsidRPr="00277E46" w:rsidRDefault="00A96809" w:rsidP="00277E46">
      <w:pPr>
        <w:jc w:val="both"/>
        <w:rPr>
          <w:rFonts w:ascii="Palatino Linotype" w:eastAsia="Palatino Linotype" w:hAnsi="Palatino Linotype" w:cs="Palatino Linotype"/>
          <w:i/>
          <w:iCs/>
          <w:color w:val="000000" w:themeColor="text1"/>
          <w:u w:val="single"/>
        </w:rPr>
      </w:pPr>
      <w:r w:rsidRPr="00277E46">
        <w:rPr>
          <w:rFonts w:ascii="Palatino Linotype" w:eastAsia="Palatino Linotype" w:hAnsi="Palatino Linotype" w:cs="Palatino Linotype"/>
          <w:b/>
          <w:bCs/>
          <w:i/>
          <w:iCs/>
          <w:color w:val="000000" w:themeColor="text1"/>
        </w:rPr>
        <w:t>Artículo 166.</w:t>
      </w:r>
      <w:r w:rsidRPr="00277E46">
        <w:rPr>
          <w:rFonts w:ascii="Palatino Linotype" w:eastAsia="Palatino Linotype" w:hAnsi="Palatino Linotype" w:cs="Palatino Linotype"/>
          <w:i/>
          <w:iCs/>
          <w:color w:val="000000" w:themeColor="text1"/>
        </w:rPr>
        <w:t xml:space="preserve"> </w:t>
      </w:r>
      <w:r w:rsidRPr="00277E46">
        <w:rPr>
          <w:rFonts w:ascii="Palatino Linotype" w:eastAsia="Palatino Linotype" w:hAnsi="Palatino Linotype" w:cs="Palatino Linotype"/>
          <w:i/>
          <w:iCs/>
          <w:color w:val="000000" w:themeColor="text1"/>
          <w:u w:val="single"/>
        </w:rPr>
        <w:t>La obligación de acceso a la información pública se tendrá por cumplida cuando el solicitante tenga a su disposición la información requerida, o cuando realice la consulta de la misma en el lugar en el que ésta se localice.</w:t>
      </w:r>
    </w:p>
    <w:p w:rsidR="00AF415A" w:rsidRPr="00277E46" w:rsidRDefault="00A96809" w:rsidP="00277E46">
      <w:pPr>
        <w:spacing w:line="360" w:lineRule="auto"/>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(Énfasis añadido)</w:t>
      </w:r>
    </w:p>
    <w:p w:rsidR="00AF415A" w:rsidRPr="00277E46" w:rsidRDefault="00AF415A" w:rsidP="00277E46">
      <w:pPr>
        <w:jc w:val="both"/>
        <w:rPr>
          <w:rFonts w:ascii="Palatino Linotype" w:eastAsia="Palatino Linotype" w:hAnsi="Palatino Linotype" w:cs="Palatino Linotype"/>
          <w:color w:val="000000" w:themeColor="text1"/>
        </w:rPr>
      </w:pPr>
    </w:p>
    <w:p w:rsidR="00AF415A" w:rsidRPr="00277E46" w:rsidRDefault="00A96809" w:rsidP="00277E46">
      <w:pPr>
        <w:numPr>
          <w:ilvl w:val="0"/>
          <w:numId w:val="2"/>
        </w:numPr>
        <w:spacing w:line="360" w:lineRule="auto"/>
        <w:ind w:left="0" w:firstLine="0"/>
        <w:jc w:val="both"/>
        <w:rPr>
          <w:rFonts w:ascii="Palatino Linotype" w:hAnsi="Palatino Linotype"/>
          <w:color w:val="000000" w:themeColor="text1"/>
        </w:rPr>
      </w:pPr>
      <w:r w:rsidRPr="00277E46">
        <w:rPr>
          <w:rFonts w:ascii="Palatino Linotype" w:eastAsia="Palatino Linotype" w:hAnsi="Palatino Linotype" w:cs="Palatino Linotype"/>
          <w:color w:val="000000" w:themeColor="text1"/>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AF415A" w:rsidRPr="00277E46" w:rsidRDefault="00AF415A" w:rsidP="00277E46">
      <w:pPr>
        <w:spacing w:line="360" w:lineRule="auto"/>
        <w:jc w:val="both"/>
        <w:rPr>
          <w:rFonts w:ascii="Palatino Linotype" w:eastAsia="Palatino Linotype" w:hAnsi="Palatino Linotype" w:cs="Palatino Linotype"/>
          <w:i/>
          <w:iCs/>
          <w:color w:val="000000" w:themeColor="text1"/>
          <w:u w:val="single"/>
        </w:rPr>
      </w:pPr>
    </w:p>
    <w:p w:rsidR="00AF415A" w:rsidRPr="00277E46" w:rsidRDefault="00A96809" w:rsidP="00277E46">
      <w:pPr>
        <w:numPr>
          <w:ilvl w:val="0"/>
          <w:numId w:val="2"/>
        </w:numPr>
        <w:spacing w:line="360" w:lineRule="auto"/>
        <w:ind w:left="0" w:firstLine="0"/>
        <w:jc w:val="both"/>
        <w:rPr>
          <w:rFonts w:ascii="Palatino Linotype" w:eastAsia="Palatino Linotype" w:hAnsi="Palatino Linotype" w:cs="Palatino Linotype"/>
          <w:i/>
          <w:iCs/>
          <w:color w:val="000000" w:themeColor="text1"/>
          <w:u w:val="single"/>
        </w:rPr>
      </w:pPr>
      <w:r w:rsidRPr="00277E46">
        <w:rPr>
          <w:rFonts w:ascii="Palatino Linotype" w:eastAsia="Palatino Linotype" w:hAnsi="Palatino Linotype" w:cs="Palatino Linotype"/>
          <w:color w:val="000000" w:themeColor="text1"/>
        </w:rPr>
        <w:t xml:space="preserve">Ahora bien, es de recordar que el particular solicitó, los </w:t>
      </w:r>
      <w:r w:rsidRPr="00277E46">
        <w:rPr>
          <w:rFonts w:ascii="Palatino Linotype" w:eastAsia="Palatino Linotype" w:hAnsi="Palatino Linotype" w:cs="Palatino Linotype"/>
          <w:i/>
          <w:iCs/>
          <w:color w:val="000000" w:themeColor="text1"/>
          <w:u w:val="single"/>
        </w:rPr>
        <w:t>permisos para conducir de los servidores públicos que tengan bajo su resguardo los vehículos que son propiedad del ayuntamiento</w:t>
      </w:r>
      <w:r w:rsidRPr="00277E46">
        <w:rPr>
          <w:rFonts w:ascii="Palatino Linotype" w:eastAsia="Palatino Linotype" w:hAnsi="Palatino Linotype" w:cs="Palatino Linotype"/>
          <w:color w:val="000000" w:themeColor="text1"/>
        </w:rPr>
        <w:t xml:space="preserve">, posteriormente el Sujeto Obligado emitió respuesta a través de la </w:t>
      </w:r>
      <w:r w:rsidRPr="00277E46">
        <w:rPr>
          <w:rFonts w:ascii="Palatino Linotype" w:eastAsia="Palatino Linotype" w:hAnsi="Palatino Linotype" w:cs="Palatino Linotype"/>
          <w:b/>
          <w:bCs/>
          <w:color w:val="000000" w:themeColor="text1"/>
        </w:rPr>
        <w:t>Dirección General de Administración</w:t>
      </w:r>
      <w:r w:rsidRPr="00277E46">
        <w:rPr>
          <w:rFonts w:ascii="Palatino Linotype" w:eastAsia="Palatino Linotype" w:hAnsi="Palatino Linotype" w:cs="Palatino Linotype"/>
          <w:color w:val="000000" w:themeColor="text1"/>
        </w:rPr>
        <w:t xml:space="preserve">, informando que el </w:t>
      </w:r>
      <w:r w:rsidRPr="00277E46">
        <w:rPr>
          <w:rFonts w:ascii="Palatino Linotype" w:eastAsia="Palatino Linotype" w:hAnsi="Palatino Linotype" w:cs="Palatino Linotype"/>
          <w:b/>
          <w:bCs/>
          <w:color w:val="000000" w:themeColor="text1"/>
        </w:rPr>
        <w:t>departamento de Control Patrimonial</w:t>
      </w:r>
      <w:r w:rsidRPr="00277E46">
        <w:rPr>
          <w:rFonts w:ascii="Palatino Linotype" w:eastAsia="Palatino Linotype" w:hAnsi="Palatino Linotype" w:cs="Palatino Linotype"/>
          <w:color w:val="000000" w:themeColor="text1"/>
        </w:rPr>
        <w:t xml:space="preserve">, después de una búsqueda exhaustiva y razonable en los archivos, indica que </w:t>
      </w:r>
      <w:r w:rsidRPr="00277E46">
        <w:rPr>
          <w:rFonts w:ascii="Palatino Linotype" w:eastAsia="Palatino Linotype" w:hAnsi="Palatino Linotype" w:cs="Palatino Linotype"/>
          <w:b/>
          <w:bCs/>
          <w:color w:val="000000" w:themeColor="text1"/>
        </w:rPr>
        <w:t>no obra antecedente documental que contenga la información solicitada</w:t>
      </w:r>
      <w:r w:rsidRPr="00277E46">
        <w:rPr>
          <w:rFonts w:ascii="Palatino Linotype" w:eastAsia="Palatino Linotype" w:hAnsi="Palatino Linotype" w:cs="Palatino Linotype"/>
          <w:color w:val="000000" w:themeColor="text1"/>
        </w:rPr>
        <w:t xml:space="preserve">, circunstancia de la cual se dolió el particular por la falta de entrega de la información solicitada, refiriendo que se requirió </w:t>
      </w:r>
      <w:r w:rsidRPr="00277E46">
        <w:rPr>
          <w:rFonts w:ascii="Palatino Linotype" w:eastAsia="Palatino Linotype" w:hAnsi="Palatino Linotype" w:cs="Palatino Linotype"/>
          <w:i/>
          <w:iCs/>
          <w:color w:val="000000" w:themeColor="text1"/>
        </w:rPr>
        <w:t xml:space="preserve">el </w:t>
      </w:r>
      <w:r w:rsidRPr="00277E46">
        <w:rPr>
          <w:rFonts w:ascii="Palatino Linotype" w:eastAsia="Palatino Linotype" w:hAnsi="Palatino Linotype" w:cs="Palatino Linotype"/>
          <w:i/>
          <w:iCs/>
          <w:color w:val="000000" w:themeColor="text1"/>
        </w:rPr>
        <w:lastRenderedPageBreak/>
        <w:t>documento que sea el permiso para los servidores públicos que tienen vehículo oficial</w:t>
      </w:r>
      <w:r w:rsidRPr="00277E46">
        <w:rPr>
          <w:rFonts w:ascii="Palatino Linotype" w:eastAsia="Palatino Linotype" w:hAnsi="Palatino Linotype" w:cs="Palatino Linotype"/>
          <w:color w:val="000000" w:themeColor="text1"/>
        </w:rPr>
        <w:t>, acto seguido el Sujeto Obligado ratificó su respuesta primigenia.</w:t>
      </w:r>
    </w:p>
    <w:p w:rsidR="00AF415A" w:rsidRPr="00277E46" w:rsidRDefault="00A96809" w:rsidP="00277E46">
      <w:pPr>
        <w:spacing w:line="360" w:lineRule="auto"/>
        <w:jc w:val="both"/>
        <w:rPr>
          <w:rFonts w:ascii="Palatino Linotype" w:eastAsia="Palatino Linotype" w:hAnsi="Palatino Linotype" w:cs="Palatino Linotype"/>
          <w:i/>
          <w:iCs/>
          <w:color w:val="000000" w:themeColor="text1"/>
          <w:u w:val="single"/>
        </w:rPr>
      </w:pPr>
      <w:r w:rsidRPr="00277E46">
        <w:rPr>
          <w:rFonts w:ascii="Palatino Linotype" w:eastAsia="Palatino Linotype" w:hAnsi="Palatino Linotype" w:cs="Palatino Linotype"/>
          <w:color w:val="000000" w:themeColor="text1"/>
        </w:rPr>
        <w:t xml:space="preserve"> </w:t>
      </w:r>
    </w:p>
    <w:p w:rsidR="00AF415A" w:rsidRPr="00277E46" w:rsidRDefault="00A96809" w:rsidP="00277E46">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Ahora bien, de la literalidad de la solicitud de información se advierte que el solicitante requiere </w:t>
      </w:r>
      <w:r w:rsidRPr="00277E46">
        <w:rPr>
          <w:rFonts w:ascii="Palatino Linotype" w:eastAsia="Palatino Linotype" w:hAnsi="Palatino Linotype" w:cs="Palatino Linotype"/>
          <w:i/>
          <w:iCs/>
          <w:color w:val="000000" w:themeColor="text1"/>
        </w:rPr>
        <w:t>Permisos para conducir</w:t>
      </w:r>
      <w:r w:rsidRPr="00277E46">
        <w:rPr>
          <w:rFonts w:ascii="Palatino Linotype" w:eastAsia="Palatino Linotype" w:hAnsi="Palatino Linotype" w:cs="Palatino Linotype"/>
          <w:color w:val="000000" w:themeColor="text1"/>
        </w:rPr>
        <w:t xml:space="preserve">; no obstante, del motivo de inconformidad refiere que lo que solicita es </w:t>
      </w:r>
      <w:r w:rsidRPr="00277E46">
        <w:rPr>
          <w:rFonts w:ascii="Palatino Linotype" w:eastAsia="Palatino Linotype" w:hAnsi="Palatino Linotype" w:cs="Palatino Linotype"/>
          <w:i/>
          <w:iCs/>
          <w:color w:val="000000" w:themeColor="text1"/>
        </w:rPr>
        <w:t>el documento que otorga el permiso para los servidores públicos que tienen vehículo oficial</w:t>
      </w:r>
      <w:r w:rsidRPr="00277E46">
        <w:rPr>
          <w:rFonts w:ascii="Palatino Linotype" w:eastAsia="Palatino Linotype" w:hAnsi="Palatino Linotype" w:cs="Palatino Linotype"/>
          <w:color w:val="000000" w:themeColor="text1"/>
        </w:rPr>
        <w:t xml:space="preserve">; por lo que, se precisa que este Organismo aplica la suplencia de la queja a favor del recurrente, ya que al no ser expertos en la materia, la expresión documental referida puede no ser clara, por lo que este Instituto señala que la información a la que se refiere el recurrente, es relativa a: </w:t>
      </w:r>
      <w:r w:rsidRPr="00277E46">
        <w:rPr>
          <w:rFonts w:ascii="Palatino Linotype" w:eastAsia="Palatino Linotype" w:hAnsi="Palatino Linotype" w:cs="Palatino Linotype"/>
          <w:i/>
          <w:iCs/>
          <w:color w:val="000000" w:themeColor="text1"/>
          <w:u w:val="single"/>
        </w:rPr>
        <w:t>el documento que acredite el resguardo de vehículos oficiales.</w:t>
      </w:r>
    </w:p>
    <w:p w:rsidR="00AF415A" w:rsidRPr="00277E46" w:rsidRDefault="00AF415A" w:rsidP="00277E46">
      <w:pPr>
        <w:spacing w:line="360" w:lineRule="auto"/>
        <w:jc w:val="both"/>
        <w:rPr>
          <w:rFonts w:ascii="Palatino Linotype" w:eastAsia="Palatino Linotype" w:hAnsi="Palatino Linotype" w:cs="Palatino Linotype"/>
          <w:color w:val="000000" w:themeColor="text1"/>
        </w:rPr>
      </w:pPr>
    </w:p>
    <w:p w:rsidR="00AF415A" w:rsidRPr="00277E46" w:rsidRDefault="00A96809" w:rsidP="00277E46">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Por lo anterior es de referir lo establecido en el artículo 11, de la Ley de Bienes del Estado de México y de sus Municipios:</w:t>
      </w:r>
    </w:p>
    <w:p w:rsidR="00AF415A" w:rsidRPr="00277E46" w:rsidRDefault="00A96809" w:rsidP="00277E46">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 xml:space="preserve">Artículo 11.- Corresponde a cada una de las dependencias, organismos auxiliares y entidades de la administración pública estatal y municipal: </w:t>
      </w:r>
    </w:p>
    <w:p w:rsidR="00AF415A" w:rsidRPr="00277E46" w:rsidRDefault="00AF415A" w:rsidP="00277E46">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AF415A" w:rsidRPr="00277E46" w:rsidRDefault="00A96809" w:rsidP="00277E46">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277E46">
        <w:rPr>
          <w:rFonts w:ascii="Palatino Linotype" w:eastAsia="Palatino Linotype" w:hAnsi="Palatino Linotype" w:cs="Palatino Linotype"/>
          <w:b/>
          <w:bCs/>
          <w:i/>
          <w:iCs/>
          <w:color w:val="000000" w:themeColor="text1"/>
        </w:rPr>
        <w:t>I. Administrar, controlar y utilizar adecuadamente los bienes muebles e inmuebles que detenten o tengan asignados;</w:t>
      </w:r>
    </w:p>
    <w:p w:rsidR="00AF415A" w:rsidRPr="00277E46" w:rsidRDefault="00A96809" w:rsidP="00277E46">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w:t>
      </w:r>
    </w:p>
    <w:p w:rsidR="00AF415A" w:rsidRPr="00277E46" w:rsidRDefault="00AF415A" w:rsidP="00277E46">
      <w:pPr>
        <w:spacing w:line="360" w:lineRule="auto"/>
        <w:jc w:val="both"/>
        <w:rPr>
          <w:rFonts w:ascii="Palatino Linotype" w:eastAsia="Palatino Linotype" w:hAnsi="Palatino Linotype" w:cs="Palatino Linotype"/>
          <w:color w:val="000000" w:themeColor="text1"/>
        </w:rPr>
      </w:pPr>
    </w:p>
    <w:p w:rsidR="00AF415A" w:rsidRPr="00277E46" w:rsidRDefault="00A96809" w:rsidP="00277E46">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En este sentido es de referir que el Código Reglamentario Municipal, en su artículo 3.32 señala que la Dirección General de Administración, para el cumplimiento de sus atribuciones, se auxiliará de diversas unidades administrativas, entre ellas, la </w:t>
      </w:r>
      <w:r w:rsidRPr="00277E46">
        <w:rPr>
          <w:rFonts w:ascii="Palatino Linotype" w:eastAsia="Palatino Linotype" w:hAnsi="Palatino Linotype" w:cs="Palatino Linotype"/>
          <w:b/>
          <w:bCs/>
          <w:color w:val="000000" w:themeColor="text1"/>
        </w:rPr>
        <w:t>Dirección de Servicios Generales</w:t>
      </w:r>
      <w:r w:rsidRPr="00277E46">
        <w:rPr>
          <w:rFonts w:ascii="Palatino Linotype" w:eastAsia="Palatino Linotype" w:hAnsi="Palatino Linotype" w:cs="Palatino Linotype"/>
          <w:color w:val="000000" w:themeColor="text1"/>
        </w:rPr>
        <w:t xml:space="preserve">, misma que a su vez, cuenta con </w:t>
      </w:r>
      <w:r w:rsidRPr="00277E46">
        <w:rPr>
          <w:rFonts w:ascii="Palatino Linotype" w:eastAsia="Palatino Linotype" w:hAnsi="Palatino Linotype" w:cs="Palatino Linotype"/>
          <w:b/>
          <w:bCs/>
          <w:color w:val="000000" w:themeColor="text1"/>
        </w:rPr>
        <w:t>Departamento de Control Patrimonial</w:t>
      </w:r>
      <w:r w:rsidRPr="00277E46">
        <w:rPr>
          <w:rFonts w:ascii="Palatino Linotype" w:eastAsia="Palatino Linotype" w:hAnsi="Palatino Linotype" w:cs="Palatino Linotype"/>
          <w:color w:val="000000" w:themeColor="text1"/>
        </w:rPr>
        <w:t>, unidades administrativas que tienen las atribuciones y funciones referidas en el Manual de Organización de la Dirección General de Administración, siguientes:</w:t>
      </w:r>
    </w:p>
    <w:p w:rsidR="00AF415A" w:rsidRPr="00277E46" w:rsidRDefault="00A96809" w:rsidP="00277E46">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277E46">
        <w:rPr>
          <w:rFonts w:ascii="Palatino Linotype" w:eastAsia="Palatino Linotype" w:hAnsi="Palatino Linotype" w:cs="Palatino Linotype"/>
          <w:b/>
          <w:bCs/>
          <w:i/>
          <w:iCs/>
          <w:color w:val="000000" w:themeColor="text1"/>
        </w:rPr>
        <w:lastRenderedPageBreak/>
        <w:t xml:space="preserve">DE LA DIRECCIÓN DE SERVICIOS GENERALES </w:t>
      </w:r>
    </w:p>
    <w:p w:rsidR="00AF415A" w:rsidRPr="00277E46" w:rsidRDefault="00AF415A" w:rsidP="00277E46">
      <w:pPr>
        <w:pBdr>
          <w:top w:val="nil"/>
          <w:left w:val="nil"/>
          <w:bottom w:val="nil"/>
          <w:right w:val="nil"/>
          <w:between w:val="nil"/>
        </w:pBdr>
        <w:jc w:val="both"/>
        <w:rPr>
          <w:rFonts w:ascii="Palatino Linotype" w:eastAsia="Palatino Linotype" w:hAnsi="Palatino Linotype" w:cs="Palatino Linotype"/>
          <w:b/>
          <w:bCs/>
          <w:i/>
          <w:iCs/>
          <w:color w:val="000000" w:themeColor="text1"/>
        </w:rPr>
      </w:pPr>
    </w:p>
    <w:p w:rsidR="00AF415A" w:rsidRPr="00277E46" w:rsidRDefault="00A96809" w:rsidP="00277E46">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b/>
          <w:bCs/>
          <w:i/>
          <w:iCs/>
          <w:color w:val="000000" w:themeColor="text1"/>
        </w:rPr>
        <w:t xml:space="preserve">Artículo 3.44. </w:t>
      </w:r>
      <w:r w:rsidRPr="00277E46">
        <w:rPr>
          <w:rFonts w:ascii="Palatino Linotype" w:eastAsia="Palatino Linotype" w:hAnsi="Palatino Linotype" w:cs="Palatino Linotype"/>
          <w:i/>
          <w:iCs/>
          <w:color w:val="000000" w:themeColor="text1"/>
        </w:rPr>
        <w:t>La o el titular de la Dirección de Servicios Generales cuenta con las siguientes atribuciones:</w:t>
      </w:r>
    </w:p>
    <w:p w:rsidR="00AF415A" w:rsidRPr="00277E46" w:rsidRDefault="00A96809" w:rsidP="00277E46">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w:t>
      </w:r>
    </w:p>
    <w:p w:rsidR="00AF415A" w:rsidRPr="00277E46" w:rsidRDefault="00A96809" w:rsidP="00277E46">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277E46">
        <w:rPr>
          <w:rFonts w:ascii="Palatino Linotype" w:eastAsia="Palatino Linotype" w:hAnsi="Palatino Linotype" w:cs="Palatino Linotype"/>
          <w:b/>
          <w:bCs/>
          <w:i/>
          <w:iCs/>
          <w:color w:val="000000" w:themeColor="text1"/>
        </w:rPr>
        <w:t>VII. Elaborar y actualizar el resguardo de bienes muebles y vehículos a cargo de los servidores públicos para el desempeño de sus funciones;</w:t>
      </w:r>
    </w:p>
    <w:p w:rsidR="00AF415A" w:rsidRPr="00277E46" w:rsidRDefault="00AF415A" w:rsidP="00277E46">
      <w:pPr>
        <w:pBdr>
          <w:top w:val="nil"/>
          <w:left w:val="nil"/>
          <w:bottom w:val="nil"/>
          <w:right w:val="nil"/>
          <w:between w:val="nil"/>
        </w:pBdr>
        <w:jc w:val="both"/>
        <w:rPr>
          <w:rFonts w:ascii="Palatino Linotype" w:eastAsia="Palatino Linotype" w:hAnsi="Palatino Linotype" w:cs="Palatino Linotype"/>
          <w:b/>
          <w:bCs/>
          <w:i/>
          <w:iCs/>
          <w:color w:val="000000" w:themeColor="text1"/>
        </w:rPr>
      </w:pPr>
    </w:p>
    <w:p w:rsidR="00AF415A" w:rsidRPr="00277E46" w:rsidRDefault="00A96809" w:rsidP="00277E46">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277E46">
        <w:rPr>
          <w:rFonts w:ascii="Palatino Linotype" w:eastAsia="Palatino Linotype" w:hAnsi="Palatino Linotype" w:cs="Palatino Linotype"/>
          <w:b/>
          <w:bCs/>
          <w:i/>
          <w:iCs/>
          <w:color w:val="000000" w:themeColor="text1"/>
        </w:rPr>
        <w:t xml:space="preserve">206013004 Departamento de Control Patrimonial </w:t>
      </w:r>
    </w:p>
    <w:p w:rsidR="00AF415A" w:rsidRPr="00277E46" w:rsidRDefault="00AF415A" w:rsidP="00277E46">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AF415A" w:rsidRPr="00277E46" w:rsidRDefault="00A96809" w:rsidP="00277E46">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b/>
          <w:bCs/>
          <w:i/>
          <w:iCs/>
          <w:color w:val="000000" w:themeColor="text1"/>
        </w:rPr>
        <w:t>Objetivo</w:t>
      </w:r>
      <w:r w:rsidRPr="00277E46">
        <w:rPr>
          <w:rFonts w:ascii="Palatino Linotype" w:eastAsia="Palatino Linotype" w:hAnsi="Palatino Linotype" w:cs="Palatino Linotype"/>
          <w:i/>
          <w:iCs/>
          <w:color w:val="000000" w:themeColor="text1"/>
        </w:rPr>
        <w:t xml:space="preserve">: Registrar y revisar los bienes muebles para mantener integrado y actualizado el Inventario General (bienes, activo biológico y vehículos) del Patrimonio del Ayuntamiento de Toluca por medio de los registros y controles administrativos apegados a la normatividad aplicable. </w:t>
      </w:r>
    </w:p>
    <w:p w:rsidR="00AF415A" w:rsidRPr="00277E46" w:rsidRDefault="00AF415A" w:rsidP="00277E46">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AF415A" w:rsidRPr="00277E46" w:rsidRDefault="00A96809" w:rsidP="00277E46">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277E46">
        <w:rPr>
          <w:rFonts w:ascii="Palatino Linotype" w:eastAsia="Palatino Linotype" w:hAnsi="Palatino Linotype" w:cs="Palatino Linotype"/>
          <w:b/>
          <w:bCs/>
          <w:i/>
          <w:iCs/>
          <w:color w:val="000000" w:themeColor="text1"/>
        </w:rPr>
        <w:t>Funciones:</w:t>
      </w:r>
    </w:p>
    <w:p w:rsidR="00AF415A" w:rsidRPr="00277E46" w:rsidRDefault="00A96809" w:rsidP="00277E46">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277E46">
        <w:rPr>
          <w:rFonts w:ascii="Palatino Linotype" w:eastAsia="Palatino Linotype" w:hAnsi="Palatino Linotype" w:cs="Palatino Linotype"/>
          <w:b/>
          <w:bCs/>
          <w:i/>
          <w:iCs/>
          <w:color w:val="000000" w:themeColor="text1"/>
        </w:rPr>
        <w:t>…</w:t>
      </w:r>
    </w:p>
    <w:p w:rsidR="00AF415A" w:rsidRPr="00277E46" w:rsidRDefault="00A96809" w:rsidP="00277E46">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 xml:space="preserve">7. Asistir a petición de parte a los actos oficiales de Entrega-Recepción para verificar los bienes muebles bajo resguardo de las y los servidores públicos obligados conforme a la normatividad vigente; </w:t>
      </w:r>
    </w:p>
    <w:p w:rsidR="00AF415A" w:rsidRPr="00277E46" w:rsidRDefault="00A96809" w:rsidP="00277E46">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8. Proponer lineamientos, políticas y obligaciones para el adecuado y correcto cuidado de los bienes que se encuentran bajo resguardo y custodia de las y los servidores públicos municipales;</w:t>
      </w:r>
    </w:p>
    <w:p w:rsidR="00AF415A" w:rsidRPr="00277E46" w:rsidRDefault="00A96809" w:rsidP="00277E46">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i/>
          <w:iCs/>
          <w:color w:val="000000" w:themeColor="text1"/>
        </w:rPr>
        <w:t>…</w:t>
      </w:r>
    </w:p>
    <w:p w:rsidR="00AF415A" w:rsidRPr="00277E46" w:rsidRDefault="00AF415A" w:rsidP="00277E46">
      <w:pPr>
        <w:spacing w:line="360" w:lineRule="auto"/>
        <w:jc w:val="both"/>
        <w:rPr>
          <w:rFonts w:ascii="Palatino Linotype" w:eastAsia="Palatino Linotype" w:hAnsi="Palatino Linotype" w:cs="Palatino Linotype"/>
          <w:color w:val="000000" w:themeColor="text1"/>
        </w:rPr>
      </w:pPr>
    </w:p>
    <w:p w:rsidR="00AF415A" w:rsidRPr="00277E46" w:rsidRDefault="00A96809" w:rsidP="00277E46">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De la misma manera, el Manual de Procedimientos de la Dirección de Administración señala que existen diversos procedimientos relativos al resguardo bienes muebles y vehículos, como lo son:</w:t>
      </w:r>
    </w:p>
    <w:p w:rsidR="00AF415A" w:rsidRPr="00277E46" w:rsidRDefault="00AF415A" w:rsidP="00277E46">
      <w:pPr>
        <w:spacing w:line="360" w:lineRule="auto"/>
        <w:jc w:val="both"/>
        <w:rPr>
          <w:rFonts w:ascii="Palatino Linotype" w:eastAsia="Palatino Linotype" w:hAnsi="Palatino Linotype" w:cs="Palatino Linotype"/>
          <w:color w:val="000000" w:themeColor="text1"/>
        </w:rPr>
      </w:pPr>
    </w:p>
    <w:p w:rsidR="00AF415A" w:rsidRPr="00277E46" w:rsidRDefault="00A96809" w:rsidP="00277E46">
      <w:pPr>
        <w:spacing w:line="360" w:lineRule="auto"/>
        <w:jc w:val="center"/>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noProof/>
          <w:color w:val="000000" w:themeColor="text1"/>
          <w:lang w:val="es-MX"/>
        </w:rPr>
        <w:lastRenderedPageBreak/>
        <w:drawing>
          <wp:inline distT="0" distB="0" distL="0" distR="0">
            <wp:extent cx="4633014" cy="316823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633014" cy="3168235"/>
                    </a:xfrm>
                    <a:prstGeom prst="rect">
                      <a:avLst/>
                    </a:prstGeom>
                    <a:ln/>
                  </pic:spPr>
                </pic:pic>
              </a:graphicData>
            </a:graphic>
          </wp:inline>
        </w:drawing>
      </w:r>
    </w:p>
    <w:p w:rsidR="00AF415A" w:rsidRPr="00277E46" w:rsidRDefault="00A96809" w:rsidP="00277E46">
      <w:pPr>
        <w:spacing w:line="360" w:lineRule="auto"/>
        <w:jc w:val="center"/>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noProof/>
          <w:color w:val="000000" w:themeColor="text1"/>
          <w:lang w:val="es-MX"/>
        </w:rPr>
        <w:drawing>
          <wp:inline distT="0" distB="0" distL="0" distR="0">
            <wp:extent cx="4666311" cy="3060256"/>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666311" cy="3060256"/>
                    </a:xfrm>
                    <a:prstGeom prst="rect">
                      <a:avLst/>
                    </a:prstGeom>
                    <a:ln/>
                  </pic:spPr>
                </pic:pic>
              </a:graphicData>
            </a:graphic>
          </wp:inline>
        </w:drawing>
      </w:r>
    </w:p>
    <w:p w:rsidR="00AF415A" w:rsidRPr="00277E46" w:rsidRDefault="00A96809" w:rsidP="00277E46">
      <w:pPr>
        <w:spacing w:line="360" w:lineRule="auto"/>
        <w:jc w:val="center"/>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noProof/>
          <w:color w:val="000000" w:themeColor="text1"/>
          <w:lang w:val="es-MX"/>
        </w:rPr>
        <w:lastRenderedPageBreak/>
        <w:drawing>
          <wp:inline distT="0" distB="0" distL="0" distR="0">
            <wp:extent cx="4186612" cy="2933171"/>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186612" cy="2933171"/>
                    </a:xfrm>
                    <a:prstGeom prst="rect">
                      <a:avLst/>
                    </a:prstGeom>
                    <a:ln/>
                  </pic:spPr>
                </pic:pic>
              </a:graphicData>
            </a:graphic>
          </wp:inline>
        </w:drawing>
      </w:r>
    </w:p>
    <w:p w:rsidR="00AF415A" w:rsidRDefault="00A96809" w:rsidP="00277E46">
      <w:pPr>
        <w:spacing w:line="360" w:lineRule="auto"/>
        <w:jc w:val="center"/>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noProof/>
          <w:color w:val="000000" w:themeColor="text1"/>
          <w:lang w:val="es-MX"/>
        </w:rPr>
        <w:drawing>
          <wp:inline distT="0" distB="0" distL="0" distR="0">
            <wp:extent cx="4243826" cy="3541126"/>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243826" cy="3541126"/>
                    </a:xfrm>
                    <a:prstGeom prst="rect">
                      <a:avLst/>
                    </a:prstGeom>
                    <a:ln/>
                  </pic:spPr>
                </pic:pic>
              </a:graphicData>
            </a:graphic>
          </wp:inline>
        </w:drawing>
      </w:r>
    </w:p>
    <w:p w:rsidR="00A92401" w:rsidRPr="00277E46" w:rsidRDefault="00A92401" w:rsidP="00277E46">
      <w:pPr>
        <w:spacing w:line="360" w:lineRule="auto"/>
        <w:jc w:val="center"/>
        <w:rPr>
          <w:rFonts w:ascii="Palatino Linotype" w:eastAsia="Palatino Linotype" w:hAnsi="Palatino Linotype" w:cs="Palatino Linotype"/>
          <w:color w:val="000000" w:themeColor="text1"/>
        </w:rPr>
      </w:pPr>
    </w:p>
    <w:p w:rsidR="00AF415A" w:rsidRPr="00277E46" w:rsidRDefault="00A96809" w:rsidP="00277E46">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De lo expuesto es de referir que la </w:t>
      </w:r>
      <w:r w:rsidRPr="00277E46">
        <w:rPr>
          <w:rFonts w:ascii="Palatino Linotype" w:eastAsia="Palatino Linotype" w:hAnsi="Palatino Linotype" w:cs="Palatino Linotype"/>
          <w:b/>
          <w:bCs/>
          <w:color w:val="000000" w:themeColor="text1"/>
        </w:rPr>
        <w:t>Dirección de Servicios Generales</w:t>
      </w:r>
      <w:r w:rsidRPr="00277E46">
        <w:rPr>
          <w:rFonts w:ascii="Palatino Linotype" w:eastAsia="Palatino Linotype" w:hAnsi="Palatino Linotype" w:cs="Palatino Linotype"/>
          <w:color w:val="000000" w:themeColor="text1"/>
        </w:rPr>
        <w:t xml:space="preserve"> tiene la atribución de </w:t>
      </w:r>
      <w:r w:rsidRPr="00277E46">
        <w:rPr>
          <w:rFonts w:ascii="Palatino Linotype" w:eastAsia="Palatino Linotype" w:hAnsi="Palatino Linotype" w:cs="Palatino Linotype"/>
          <w:b/>
          <w:bCs/>
          <w:i/>
          <w:iCs/>
          <w:color w:val="000000" w:themeColor="text1"/>
        </w:rPr>
        <w:t xml:space="preserve">Elaborar y actualizar el resguardo de bienes muebles y vehículos a cargo de </w:t>
      </w:r>
      <w:r w:rsidRPr="00277E46">
        <w:rPr>
          <w:rFonts w:ascii="Palatino Linotype" w:eastAsia="Palatino Linotype" w:hAnsi="Palatino Linotype" w:cs="Palatino Linotype"/>
          <w:b/>
          <w:bCs/>
          <w:i/>
          <w:iCs/>
          <w:color w:val="000000" w:themeColor="text1"/>
        </w:rPr>
        <w:lastRenderedPageBreak/>
        <w:t>los servidores públicos para el desempeño de sus funciones;</w:t>
      </w:r>
      <w:r w:rsidRPr="00277E46">
        <w:rPr>
          <w:rFonts w:ascii="Palatino Linotype" w:eastAsia="Palatino Linotype" w:hAnsi="Palatino Linotype" w:cs="Palatino Linotype"/>
          <w:color w:val="000000" w:themeColor="text1"/>
        </w:rPr>
        <w:t xml:space="preserve"> el </w:t>
      </w:r>
      <w:r w:rsidRPr="00277E46">
        <w:rPr>
          <w:rFonts w:ascii="Palatino Linotype" w:eastAsia="Palatino Linotype" w:hAnsi="Palatino Linotype" w:cs="Palatino Linotype"/>
          <w:b/>
          <w:bCs/>
          <w:color w:val="000000" w:themeColor="text1"/>
        </w:rPr>
        <w:t>Departamento de Control Patrimonial</w:t>
      </w:r>
      <w:r w:rsidRPr="00277E46">
        <w:rPr>
          <w:rFonts w:ascii="Palatino Linotype" w:eastAsia="Palatino Linotype" w:hAnsi="Palatino Linotype" w:cs="Palatino Linotype"/>
          <w:color w:val="000000" w:themeColor="text1"/>
        </w:rPr>
        <w:t xml:space="preserve">, es  la unidad administrativa </w:t>
      </w:r>
      <w:r w:rsidRPr="00277E46">
        <w:rPr>
          <w:rFonts w:ascii="Palatino Linotype" w:eastAsia="Palatino Linotype" w:hAnsi="Palatino Linotype" w:cs="Palatino Linotype"/>
          <w:b/>
          <w:bCs/>
          <w:i/>
          <w:iCs/>
          <w:color w:val="000000" w:themeColor="text1"/>
        </w:rPr>
        <w:t>responsable del alta de vehículos</w:t>
      </w:r>
      <w:r w:rsidRPr="00277E46">
        <w:rPr>
          <w:rFonts w:ascii="Palatino Linotype" w:eastAsia="Palatino Linotype" w:hAnsi="Palatino Linotype" w:cs="Palatino Linotype"/>
          <w:color w:val="000000" w:themeColor="text1"/>
        </w:rPr>
        <w:t xml:space="preserve">, para lo cual se debe </w:t>
      </w:r>
      <w:r w:rsidRPr="00277E46">
        <w:rPr>
          <w:rFonts w:ascii="Palatino Linotype" w:eastAsia="Palatino Linotype" w:hAnsi="Palatino Linotype" w:cs="Palatino Linotype"/>
          <w:i/>
          <w:iCs/>
          <w:color w:val="000000" w:themeColor="text1"/>
        </w:rPr>
        <w:t>requisita el formado denominado resguardo</w:t>
      </w:r>
      <w:r w:rsidRPr="00277E46">
        <w:rPr>
          <w:rFonts w:ascii="Palatino Linotype" w:eastAsia="Palatino Linotype" w:hAnsi="Palatino Linotype" w:cs="Palatino Linotype"/>
          <w:color w:val="000000" w:themeColor="text1"/>
        </w:rPr>
        <w:t xml:space="preserve"> mismo que debe estar firmado por el servidor públicos responsable del resguardo, tal como se muestra en el diagrama de flujo del procedimiento denominado “alta de bienes muebles y vehículos oficiales”:</w:t>
      </w:r>
    </w:p>
    <w:p w:rsidR="00AF415A" w:rsidRPr="00277E46" w:rsidRDefault="00AF415A" w:rsidP="00277E46">
      <w:pPr>
        <w:spacing w:line="360" w:lineRule="auto"/>
        <w:jc w:val="both"/>
        <w:rPr>
          <w:rFonts w:ascii="Palatino Linotype" w:eastAsia="Palatino Linotype" w:hAnsi="Palatino Linotype" w:cs="Palatino Linotype"/>
          <w:color w:val="000000" w:themeColor="text1"/>
        </w:rPr>
      </w:pPr>
    </w:p>
    <w:p w:rsidR="00AF415A" w:rsidRDefault="00A96809" w:rsidP="00277E46">
      <w:pPr>
        <w:spacing w:line="360" w:lineRule="auto"/>
        <w:jc w:val="center"/>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noProof/>
          <w:color w:val="000000" w:themeColor="text1"/>
          <w:lang w:val="es-MX"/>
        </w:rPr>
        <w:drawing>
          <wp:inline distT="0" distB="0" distL="0" distR="0">
            <wp:extent cx="4572638" cy="422969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572638" cy="4229690"/>
                    </a:xfrm>
                    <a:prstGeom prst="rect">
                      <a:avLst/>
                    </a:prstGeom>
                    <a:ln/>
                  </pic:spPr>
                </pic:pic>
              </a:graphicData>
            </a:graphic>
          </wp:inline>
        </w:drawing>
      </w:r>
    </w:p>
    <w:p w:rsidR="00A92401" w:rsidRPr="00277E46" w:rsidRDefault="00A92401" w:rsidP="00277E46">
      <w:pPr>
        <w:spacing w:line="360" w:lineRule="auto"/>
        <w:jc w:val="center"/>
        <w:rPr>
          <w:rFonts w:ascii="Palatino Linotype" w:eastAsia="Palatino Linotype" w:hAnsi="Palatino Linotype" w:cs="Palatino Linotype"/>
          <w:color w:val="000000" w:themeColor="text1"/>
        </w:rPr>
      </w:pPr>
    </w:p>
    <w:p w:rsidR="00AF415A" w:rsidRPr="00277E46" w:rsidRDefault="00A96809" w:rsidP="00277E46">
      <w:pPr>
        <w:numPr>
          <w:ilvl w:val="0"/>
          <w:numId w:val="2"/>
        </w:numPr>
        <w:spacing w:line="360" w:lineRule="auto"/>
        <w:ind w:left="0" w:firstLine="0"/>
        <w:jc w:val="both"/>
        <w:rPr>
          <w:rFonts w:ascii="Palatino Linotype" w:eastAsia="Palatino Linotype" w:hAnsi="Palatino Linotype" w:cs="Palatino Linotype"/>
          <w:b/>
          <w:bCs/>
          <w:color w:val="000000" w:themeColor="text1"/>
        </w:rPr>
      </w:pPr>
      <w:r w:rsidRPr="00277E46">
        <w:rPr>
          <w:rFonts w:ascii="Palatino Linotype" w:eastAsia="Palatino Linotype" w:hAnsi="Palatino Linotype" w:cs="Palatino Linotype"/>
          <w:color w:val="000000" w:themeColor="text1"/>
        </w:rPr>
        <w:t xml:space="preserve">Asimismo, los Lineamientos dirigidos a asegurar que el Sistema de Contabilidad Gubernamental facilite el Registro y Control de los Inventarios de los Bienes Muebles e Inmuebles de los Entes Públicos, refieren que para el alta de bienes en el </w:t>
      </w:r>
      <w:r w:rsidRPr="00277E46">
        <w:rPr>
          <w:rFonts w:ascii="Palatino Linotype" w:eastAsia="Palatino Linotype" w:hAnsi="Palatino Linotype" w:cs="Palatino Linotype"/>
          <w:color w:val="000000" w:themeColor="text1"/>
        </w:rPr>
        <w:lastRenderedPageBreak/>
        <w:t xml:space="preserve">inventario de bienes muebles e inmuebles, se deben generar números de inventario, rotularse y </w:t>
      </w:r>
      <w:r w:rsidRPr="00277E46">
        <w:rPr>
          <w:rFonts w:ascii="Palatino Linotype" w:eastAsia="Palatino Linotype" w:hAnsi="Palatino Linotype" w:cs="Palatino Linotype"/>
          <w:b/>
          <w:bCs/>
          <w:color w:val="000000" w:themeColor="text1"/>
        </w:rPr>
        <w:t>elaborar el resguardo</w:t>
      </w:r>
      <w:r w:rsidRPr="00277E46">
        <w:rPr>
          <w:rFonts w:ascii="Palatino Linotype" w:eastAsia="Palatino Linotype" w:hAnsi="Palatino Linotype" w:cs="Palatino Linotype"/>
          <w:color w:val="000000" w:themeColor="text1"/>
        </w:rPr>
        <w:t xml:space="preserve"> y que </w:t>
      </w:r>
      <w:r w:rsidRPr="00277E46">
        <w:rPr>
          <w:rFonts w:ascii="Palatino Linotype" w:eastAsia="Palatino Linotype" w:hAnsi="Palatino Linotype" w:cs="Palatino Linotype"/>
          <w:color w:val="000000" w:themeColor="text1"/>
          <w:u w:val="single"/>
        </w:rPr>
        <w:t>deberá asignarse destino al bien, identificando al responsable de su custodia, quien tendrá el cargo patrimonial por su tenencia</w:t>
      </w:r>
      <w:r w:rsidRPr="00277E46">
        <w:rPr>
          <w:rFonts w:ascii="Palatino Linotype" w:eastAsia="Palatino Linotype" w:hAnsi="Palatino Linotype" w:cs="Palatino Linotype"/>
          <w:color w:val="000000" w:themeColor="text1"/>
        </w:rPr>
        <w:t>.</w:t>
      </w:r>
    </w:p>
    <w:p w:rsidR="00AF415A" w:rsidRPr="00277E46" w:rsidRDefault="00AF415A" w:rsidP="00277E46">
      <w:pPr>
        <w:spacing w:line="360" w:lineRule="auto"/>
        <w:jc w:val="both"/>
        <w:rPr>
          <w:rFonts w:ascii="Palatino Linotype" w:eastAsia="Palatino Linotype" w:hAnsi="Palatino Linotype" w:cs="Palatino Linotype"/>
          <w:b/>
          <w:bCs/>
          <w:color w:val="000000" w:themeColor="text1"/>
        </w:rPr>
      </w:pPr>
    </w:p>
    <w:p w:rsidR="00AF415A" w:rsidRPr="00277E46" w:rsidRDefault="00A96809" w:rsidP="00277E46">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En razón de lo expuesto y como ha quedado demostrado, se presume que la información debe existir al referirse a las facultades, competencias y funciones que los ordenamientos jurídicos aplicables otorgan a los sujetos obligados.</w:t>
      </w:r>
    </w:p>
    <w:p w:rsidR="00AF415A" w:rsidRPr="00277E46" w:rsidRDefault="00AF415A" w:rsidP="00277E46">
      <w:pPr>
        <w:spacing w:line="360" w:lineRule="auto"/>
        <w:jc w:val="both"/>
        <w:rPr>
          <w:rFonts w:ascii="Palatino Linotype" w:eastAsia="Palatino Linotype" w:hAnsi="Palatino Linotype" w:cs="Palatino Linotype"/>
          <w:color w:val="000000" w:themeColor="text1"/>
        </w:rPr>
      </w:pPr>
    </w:p>
    <w:p w:rsidR="00AF415A" w:rsidRPr="00277E46" w:rsidRDefault="00A96809" w:rsidP="00277E46">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Es de recordar que el </w:t>
      </w:r>
      <w:r w:rsidRPr="00277E46">
        <w:rPr>
          <w:rFonts w:ascii="Palatino Linotype" w:eastAsia="Palatino Linotype" w:hAnsi="Palatino Linotype" w:cs="Palatino Linotype"/>
          <w:b/>
          <w:bCs/>
          <w:color w:val="000000" w:themeColor="text1"/>
        </w:rPr>
        <w:t>SUJETO OBLIGADO</w:t>
      </w:r>
      <w:r w:rsidRPr="00277E46">
        <w:rPr>
          <w:rFonts w:ascii="Palatino Linotype" w:eastAsia="Palatino Linotype" w:hAnsi="Palatino Linotype" w:cs="Palatino Linotype"/>
          <w:color w:val="000000" w:themeColor="text1"/>
        </w:rPr>
        <w:t xml:space="preserve"> </w:t>
      </w:r>
      <w:r w:rsidRPr="00277E46">
        <w:rPr>
          <w:rFonts w:ascii="Palatino Linotype" w:eastAsia="Palatino Linotype" w:hAnsi="Palatino Linotype" w:cs="Palatino Linotype"/>
          <w:b/>
          <w:bCs/>
          <w:color w:val="000000" w:themeColor="text1"/>
        </w:rPr>
        <w:t>no remitió información alguna sobre el requerimiento realizado</w:t>
      </w:r>
      <w:r w:rsidRPr="00277E46">
        <w:rPr>
          <w:rFonts w:ascii="Palatino Linotype" w:eastAsia="Palatino Linotype" w:hAnsi="Palatino Linotype" w:cs="Palatino Linotype"/>
          <w:color w:val="000000" w:themeColor="text1"/>
        </w:rPr>
        <w:t xml:space="preserve">, por lo que deberá realizar una búsqueda exhaustiva y razonable en la unidad administrativa competente, con la finalidad de entregar la que resulta de interés para </w:t>
      </w:r>
      <w:r w:rsidRPr="00277E46">
        <w:rPr>
          <w:rFonts w:ascii="Palatino Linotype" w:eastAsia="Palatino Linotype" w:hAnsi="Palatino Linotype" w:cs="Palatino Linotype"/>
          <w:b/>
          <w:bCs/>
          <w:color w:val="000000" w:themeColor="text1"/>
        </w:rPr>
        <w:t>EL RECURRENTE</w:t>
      </w:r>
      <w:r w:rsidRPr="00277E46">
        <w:rPr>
          <w:rFonts w:ascii="Palatino Linotype" w:eastAsia="Palatino Linotype" w:hAnsi="Palatino Linotype" w:cs="Palatino Linotype"/>
          <w:color w:val="000000" w:themeColor="text1"/>
        </w:rPr>
        <w:t>.</w:t>
      </w:r>
    </w:p>
    <w:p w:rsidR="00AF415A" w:rsidRPr="00277E46" w:rsidRDefault="00AF415A" w:rsidP="00277E46">
      <w:pPr>
        <w:spacing w:line="360" w:lineRule="auto"/>
        <w:jc w:val="both"/>
        <w:rPr>
          <w:rFonts w:ascii="Palatino Linotype" w:eastAsia="Palatino Linotype" w:hAnsi="Palatino Linotype" w:cs="Palatino Linotype"/>
          <w:color w:val="000000" w:themeColor="text1"/>
        </w:rPr>
      </w:pPr>
    </w:p>
    <w:p w:rsidR="00AF415A" w:rsidRPr="00277E46" w:rsidRDefault="00A96809" w:rsidP="00277E46">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Resultando aplicable el Criterio orientador 02/17 emitido por el Pleno del Instituto Nacional de Transparencia y Acceso a la Información y Protección de Datos Personales, de título y texto siguientes:</w:t>
      </w:r>
    </w:p>
    <w:p w:rsidR="00AF415A" w:rsidRPr="00277E46" w:rsidRDefault="00A96809" w:rsidP="00277E46">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277E46">
        <w:rPr>
          <w:rFonts w:ascii="Palatino Linotype" w:eastAsia="Palatino Linotype" w:hAnsi="Palatino Linotype" w:cs="Palatino Linotype"/>
          <w:b/>
          <w:bCs/>
          <w:i/>
          <w:iCs/>
          <w:color w:val="000000" w:themeColor="text1"/>
        </w:rPr>
        <w:t xml:space="preserve"> “Congruencia y exhaustividad. Sus alcances para garantizar el derecho de acceso a la información. </w:t>
      </w:r>
      <w:r w:rsidRPr="00277E46">
        <w:rPr>
          <w:rFonts w:ascii="Palatino Linotype" w:eastAsia="Palatino Linotype" w:hAnsi="Palatino Linotype" w:cs="Palatino Linotype"/>
          <w:i/>
          <w:iCs/>
          <w:color w:val="000000" w:themeColor="text1"/>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277E46">
        <w:rPr>
          <w:rFonts w:ascii="Palatino Linotype" w:eastAsia="Palatino Linotype" w:hAnsi="Palatino Linotype" w:cs="Palatino Linotype"/>
          <w:b/>
          <w:bCs/>
          <w:i/>
          <w:iCs/>
          <w:color w:val="000000" w:themeColor="text1"/>
        </w:rPr>
        <w:t>la congruencia implica que exista concordancia entre el requerimiento formulado por el particular y la respuesta proporcionada por el sujeto obligado</w:t>
      </w:r>
      <w:r w:rsidRPr="00277E46">
        <w:rPr>
          <w:rFonts w:ascii="Palatino Linotype" w:eastAsia="Palatino Linotype" w:hAnsi="Palatino Linotype" w:cs="Palatino Linotype"/>
          <w:i/>
          <w:iCs/>
          <w:color w:val="000000" w:themeColor="text1"/>
        </w:rPr>
        <w:t xml:space="preserve">; mientras que </w:t>
      </w:r>
      <w:r w:rsidRPr="00277E46">
        <w:rPr>
          <w:rFonts w:ascii="Palatino Linotype" w:eastAsia="Palatino Linotype" w:hAnsi="Palatino Linotype" w:cs="Palatino Linotype"/>
          <w:b/>
          <w:bCs/>
          <w:i/>
          <w:iCs/>
          <w:color w:val="000000" w:themeColor="text1"/>
        </w:rPr>
        <w:t>la exhaustividad significa que dicha respuesta se refiera expresamente a cada uno de los puntos solicitados</w:t>
      </w:r>
      <w:r w:rsidRPr="00277E46">
        <w:rPr>
          <w:rFonts w:ascii="Palatino Linotype" w:eastAsia="Palatino Linotype" w:hAnsi="Palatino Linotype" w:cs="Palatino Linotype"/>
          <w:i/>
          <w:iCs/>
          <w:color w:val="000000" w:themeColor="text1"/>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AF415A" w:rsidRPr="00277E46" w:rsidRDefault="00AF415A" w:rsidP="00277E46">
      <w:pPr>
        <w:spacing w:line="360" w:lineRule="auto"/>
        <w:jc w:val="both"/>
        <w:rPr>
          <w:rFonts w:ascii="Palatino Linotype" w:eastAsia="Palatino Linotype" w:hAnsi="Palatino Linotype" w:cs="Palatino Linotype"/>
          <w:i/>
          <w:iCs/>
          <w:color w:val="000000" w:themeColor="text1"/>
        </w:rPr>
      </w:pPr>
    </w:p>
    <w:p w:rsidR="00AF415A" w:rsidRPr="00277E46" w:rsidRDefault="00A96809" w:rsidP="00277E46">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lastRenderedPageBreak/>
        <w:t xml:space="preserve">Bajo ese contexto, y toda vez que el Sujeto Obligado </w:t>
      </w:r>
      <w:r w:rsidRPr="00277E46">
        <w:rPr>
          <w:rFonts w:ascii="Palatino Linotype" w:eastAsia="Palatino Linotype" w:hAnsi="Palatino Linotype" w:cs="Palatino Linotype"/>
          <w:b/>
          <w:bCs/>
          <w:color w:val="000000" w:themeColor="text1"/>
        </w:rPr>
        <w:t>no</w:t>
      </w:r>
      <w:r w:rsidRPr="00277E46">
        <w:rPr>
          <w:rFonts w:ascii="Palatino Linotype" w:eastAsia="Palatino Linotype" w:hAnsi="Palatino Linotype" w:cs="Palatino Linotype"/>
          <w:color w:val="000000" w:themeColor="text1"/>
        </w:rPr>
        <w:t xml:space="preserve"> </w:t>
      </w:r>
      <w:r w:rsidRPr="00277E46">
        <w:rPr>
          <w:rFonts w:ascii="Palatino Linotype" w:eastAsia="Palatino Linotype" w:hAnsi="Palatino Linotype" w:cs="Palatino Linotype"/>
          <w:b/>
          <w:bCs/>
          <w:color w:val="000000" w:themeColor="text1"/>
        </w:rPr>
        <w:t>proporcionó la información requerida</w:t>
      </w:r>
      <w:r w:rsidRPr="00277E46">
        <w:rPr>
          <w:rFonts w:ascii="Palatino Linotype" w:eastAsia="Palatino Linotype" w:hAnsi="Palatino Linotype" w:cs="Palatino Linotype"/>
          <w:color w:val="000000" w:themeColor="text1"/>
        </w:rPr>
        <w:t xml:space="preserve">, este Órgano Garante considera </w:t>
      </w:r>
      <w:r w:rsidRPr="00277E46">
        <w:rPr>
          <w:rFonts w:ascii="Palatino Linotype" w:eastAsia="Palatino Linotype" w:hAnsi="Palatino Linotype" w:cs="Palatino Linotype"/>
          <w:b/>
          <w:bCs/>
          <w:color w:val="000000" w:themeColor="text1"/>
        </w:rPr>
        <w:t>FUNDADAS</w:t>
      </w:r>
      <w:r w:rsidRPr="00277E46">
        <w:rPr>
          <w:rFonts w:ascii="Palatino Linotype" w:eastAsia="Palatino Linotype" w:hAnsi="Palatino Linotype" w:cs="Palatino Linotype"/>
          <w:color w:val="000000" w:themeColor="text1"/>
        </w:rPr>
        <w:t xml:space="preserve"> las razones o motivos de inconformidad que plantea el</w:t>
      </w:r>
      <w:r w:rsidRPr="00277E46">
        <w:rPr>
          <w:rFonts w:ascii="Palatino Linotype" w:eastAsia="Palatino Linotype" w:hAnsi="Palatino Linotype" w:cs="Palatino Linotype"/>
          <w:b/>
          <w:bCs/>
          <w:color w:val="000000" w:themeColor="text1"/>
        </w:rPr>
        <w:t xml:space="preserve"> RECURRENTE </w:t>
      </w:r>
      <w:r w:rsidRPr="00277E46">
        <w:rPr>
          <w:rFonts w:ascii="Palatino Linotype" w:eastAsia="Palatino Linotype" w:hAnsi="Palatino Linotype" w:cs="Palatino Linotype"/>
          <w:color w:val="000000" w:themeColor="text1"/>
        </w:rPr>
        <w:t xml:space="preserve">en el Recurso de Revisión </w:t>
      </w:r>
      <w:r w:rsidRPr="00277E46">
        <w:rPr>
          <w:rFonts w:ascii="Palatino Linotype" w:eastAsia="Palatino Linotype" w:hAnsi="Palatino Linotype" w:cs="Palatino Linotype"/>
          <w:b/>
          <w:bCs/>
          <w:color w:val="000000" w:themeColor="text1"/>
        </w:rPr>
        <w:t>07778/INFOEM/IP/RR/2025</w:t>
      </w:r>
      <w:r w:rsidRPr="00277E46">
        <w:rPr>
          <w:rFonts w:ascii="Palatino Linotype" w:eastAsia="Palatino Linotype" w:hAnsi="Palatino Linotype" w:cs="Palatino Linotype"/>
          <w:color w:val="000000" w:themeColor="text1"/>
        </w:rPr>
        <w:t xml:space="preserve">, determinando </w:t>
      </w:r>
      <w:r w:rsidRPr="00277E46">
        <w:rPr>
          <w:rFonts w:ascii="Palatino Linotype" w:eastAsia="Palatino Linotype" w:hAnsi="Palatino Linotype" w:cs="Palatino Linotype"/>
          <w:b/>
          <w:bCs/>
          <w:color w:val="000000" w:themeColor="text1"/>
        </w:rPr>
        <w:t xml:space="preserve">REVOCAR </w:t>
      </w:r>
      <w:r w:rsidRPr="00277E46">
        <w:rPr>
          <w:rFonts w:ascii="Palatino Linotype" w:eastAsia="Palatino Linotype" w:hAnsi="Palatino Linotype" w:cs="Palatino Linotype"/>
          <w:color w:val="000000" w:themeColor="text1"/>
        </w:rPr>
        <w:t xml:space="preserve">la respuesta y </w:t>
      </w:r>
      <w:r w:rsidRPr="00277E46">
        <w:rPr>
          <w:rFonts w:ascii="Palatino Linotype" w:eastAsia="Palatino Linotype" w:hAnsi="Palatino Linotype" w:cs="Palatino Linotype"/>
          <w:b/>
          <w:bCs/>
          <w:color w:val="000000" w:themeColor="text1"/>
        </w:rPr>
        <w:t xml:space="preserve">ORDENAR </w:t>
      </w:r>
      <w:r w:rsidRPr="00277E46">
        <w:rPr>
          <w:rFonts w:ascii="Palatino Linotype" w:eastAsia="Palatino Linotype" w:hAnsi="Palatino Linotype" w:cs="Palatino Linotype"/>
          <w:color w:val="000000" w:themeColor="text1"/>
        </w:rPr>
        <w:t xml:space="preserve">la entrega, vía Sistema de Acceso a la Información Mexiquense, previa búsqueda exhaustiva y razonable, de ser el caso en versión pública, </w:t>
      </w:r>
      <w:r w:rsidRPr="00277E46">
        <w:rPr>
          <w:rFonts w:ascii="Palatino Linotype" w:eastAsia="Palatino Linotype" w:hAnsi="Palatino Linotype" w:cs="Palatino Linotype"/>
          <w:b/>
          <w:bCs/>
          <w:color w:val="000000" w:themeColor="text1"/>
        </w:rPr>
        <w:t>el documento en el que conste o se advierta el resguardo de los vehículos oficiales de su propiedad, al 15 de mayo de 2025.</w:t>
      </w:r>
    </w:p>
    <w:p w:rsidR="00AF415A" w:rsidRPr="00277E46" w:rsidRDefault="00AF415A" w:rsidP="00277E46">
      <w:pPr>
        <w:keepNext/>
        <w:keepLines/>
        <w:spacing w:after="160" w:line="360" w:lineRule="auto"/>
        <w:rPr>
          <w:rFonts w:ascii="Palatino Linotype" w:eastAsia="Palatino Linotype" w:hAnsi="Palatino Linotype" w:cs="Palatino Linotype"/>
          <w:i/>
          <w:iCs/>
          <w:color w:val="000000" w:themeColor="text1"/>
        </w:rPr>
      </w:pPr>
    </w:p>
    <w:p w:rsidR="00AF415A" w:rsidRPr="00277E46" w:rsidRDefault="00A96809" w:rsidP="00277E46">
      <w:pPr>
        <w:keepNext/>
        <w:keepLines/>
        <w:spacing w:after="160" w:line="360" w:lineRule="auto"/>
        <w:rPr>
          <w:rFonts w:ascii="Palatino Linotype" w:eastAsia="Palatino Linotype" w:hAnsi="Palatino Linotype" w:cs="Palatino Linotype"/>
          <w:b/>
          <w:bCs/>
          <w:color w:val="000000" w:themeColor="text1"/>
        </w:rPr>
      </w:pPr>
      <w:r w:rsidRPr="00277E46">
        <w:rPr>
          <w:rFonts w:ascii="Palatino Linotype" w:eastAsia="Palatino Linotype" w:hAnsi="Palatino Linotype" w:cs="Palatino Linotype"/>
          <w:b/>
          <w:bCs/>
          <w:color w:val="000000" w:themeColor="text1"/>
        </w:rPr>
        <w:t>QUINTO. De la versión pública.</w:t>
      </w:r>
    </w:p>
    <w:p w:rsidR="00AF415A" w:rsidRPr="00277E46" w:rsidRDefault="00A96809" w:rsidP="00277E46">
      <w:pPr>
        <w:keepNext/>
        <w:keepLines/>
        <w:numPr>
          <w:ilvl w:val="0"/>
          <w:numId w:val="4"/>
        </w:numPr>
        <w:tabs>
          <w:tab w:val="left" w:pos="284"/>
        </w:tabs>
        <w:spacing w:after="160" w:line="360" w:lineRule="auto"/>
        <w:ind w:left="0" w:firstLine="0"/>
        <w:rPr>
          <w:rFonts w:ascii="Palatino Linotype" w:eastAsia="Palatino Linotype" w:hAnsi="Palatino Linotype" w:cs="Palatino Linotype"/>
          <w:b/>
          <w:bCs/>
          <w:color w:val="000000" w:themeColor="text1"/>
        </w:rPr>
      </w:pPr>
      <w:r w:rsidRPr="00277E46">
        <w:rPr>
          <w:rFonts w:ascii="Palatino Linotype" w:eastAsia="Palatino Linotype" w:hAnsi="Palatino Linotype" w:cs="Palatino Linotype"/>
          <w:b/>
          <w:bCs/>
          <w:color w:val="000000" w:themeColor="text1"/>
        </w:rPr>
        <w:t xml:space="preserve">Nociones generales. </w:t>
      </w:r>
    </w:p>
    <w:p w:rsidR="00AF415A" w:rsidRPr="00277E46" w:rsidRDefault="00A96809" w:rsidP="00277E46">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Debido a la información solicitada por el </w:t>
      </w:r>
      <w:r w:rsidRPr="00277E46">
        <w:rPr>
          <w:rFonts w:ascii="Palatino Linotype" w:eastAsia="Palatino Linotype" w:hAnsi="Palatino Linotype" w:cs="Palatino Linotype"/>
          <w:b/>
          <w:bCs/>
          <w:color w:val="000000" w:themeColor="text1"/>
        </w:rPr>
        <w:t>RECURRENTE</w:t>
      </w:r>
      <w:r w:rsidRPr="00277E46">
        <w:rPr>
          <w:rFonts w:ascii="Palatino Linotype" w:eastAsia="Palatino Linotype" w:hAnsi="Palatino Linotype" w:cs="Palatino Linotype"/>
          <w:color w:val="000000" w:themeColor="text1"/>
        </w:rPr>
        <w:t xml:space="preserve">, en el caso de obrar datos personales susceptibles de protegerse, así como información susceptible de clasificarse como confidencial, el </w:t>
      </w:r>
      <w:r w:rsidRPr="00277E46">
        <w:rPr>
          <w:rFonts w:ascii="Palatino Linotype" w:eastAsia="Palatino Linotype" w:hAnsi="Palatino Linotype" w:cs="Palatino Linotype"/>
          <w:b/>
          <w:bCs/>
          <w:color w:val="000000" w:themeColor="text1"/>
        </w:rPr>
        <w:t xml:space="preserve">SUJETO OBLIGADO </w:t>
      </w:r>
      <w:r w:rsidRPr="00277E46">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AF415A" w:rsidRPr="00277E46" w:rsidRDefault="00AF415A" w:rsidP="00277E46">
      <w:pPr>
        <w:tabs>
          <w:tab w:val="left" w:pos="0"/>
          <w:tab w:val="left" w:pos="284"/>
        </w:tabs>
        <w:spacing w:line="360" w:lineRule="auto"/>
        <w:jc w:val="both"/>
        <w:rPr>
          <w:rFonts w:ascii="Palatino Linotype" w:eastAsia="Palatino Linotype" w:hAnsi="Palatino Linotype" w:cs="Palatino Linotype"/>
          <w:color w:val="000000" w:themeColor="text1"/>
          <w:highlight w:val="yellow"/>
        </w:rPr>
      </w:pPr>
    </w:p>
    <w:p w:rsidR="00AF415A" w:rsidRPr="00277E46" w:rsidRDefault="00A96809" w:rsidP="00277E46">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No pasa desapercibido para este Órgano Garante que los sujetos obligados</w:t>
      </w:r>
      <w:r w:rsidRPr="00277E46">
        <w:rPr>
          <w:rFonts w:ascii="Palatino Linotype" w:eastAsia="Palatino Linotype" w:hAnsi="Palatino Linotype" w:cs="Palatino Linotype"/>
          <w:b/>
          <w:bCs/>
          <w:color w:val="000000" w:themeColor="text1"/>
        </w:rPr>
        <w:t xml:space="preserve"> </w:t>
      </w:r>
      <w:r w:rsidRPr="00277E46">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AF415A" w:rsidRPr="00277E46" w:rsidRDefault="00AF415A" w:rsidP="00277E46">
      <w:pPr>
        <w:tabs>
          <w:tab w:val="left" w:pos="284"/>
        </w:tabs>
        <w:spacing w:after="160" w:line="360" w:lineRule="auto"/>
        <w:jc w:val="both"/>
        <w:rPr>
          <w:rFonts w:ascii="Palatino Linotype" w:eastAsia="Palatino Linotype" w:hAnsi="Palatino Linotype" w:cs="Palatino Linotype"/>
          <w:color w:val="000000" w:themeColor="text1"/>
        </w:rPr>
      </w:pPr>
    </w:p>
    <w:tbl>
      <w:tblPr>
        <w:tblStyle w:val="a"/>
        <w:tblW w:w="977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087"/>
      </w:tblGrid>
      <w:tr w:rsidR="00277E46" w:rsidRPr="00277E46" w:rsidTr="00A92401">
        <w:tc>
          <w:tcPr>
            <w:tcW w:w="2689" w:type="dxa"/>
          </w:tcPr>
          <w:p w:rsidR="00AF415A" w:rsidRPr="00277E46" w:rsidRDefault="00A96809" w:rsidP="00277E46">
            <w:pPr>
              <w:tabs>
                <w:tab w:val="left" w:pos="284"/>
              </w:tabs>
              <w:spacing w:line="360" w:lineRule="auto"/>
              <w:rPr>
                <w:rFonts w:ascii="Palatino Linotype" w:eastAsia="Palatino Linotype" w:hAnsi="Palatino Linotype" w:cs="Palatino Linotype"/>
                <w:b/>
                <w:bCs/>
                <w:color w:val="000000" w:themeColor="text1"/>
              </w:rPr>
            </w:pPr>
            <w:r w:rsidRPr="00277E46">
              <w:rPr>
                <w:rFonts w:ascii="Palatino Linotype" w:eastAsia="Palatino Linotype" w:hAnsi="Palatino Linotype" w:cs="Palatino Linotype"/>
                <w:b/>
                <w:bCs/>
                <w:color w:val="000000" w:themeColor="text1"/>
              </w:rPr>
              <w:lastRenderedPageBreak/>
              <w:t>a) Requisitos previos.</w:t>
            </w:r>
          </w:p>
        </w:tc>
        <w:tc>
          <w:tcPr>
            <w:tcW w:w="7087" w:type="dxa"/>
          </w:tcPr>
          <w:p w:rsidR="00AF415A" w:rsidRPr="00277E46" w:rsidRDefault="00A96809" w:rsidP="00277E46">
            <w:pPr>
              <w:tabs>
                <w:tab w:val="left" w:pos="284"/>
              </w:tabs>
              <w:spacing w:line="360" w:lineRule="auto"/>
              <w:jc w:val="both"/>
              <w:rPr>
                <w:rFonts w:ascii="Palatino Linotype" w:eastAsia="Palatino Linotype" w:hAnsi="Palatino Linotype" w:cs="Palatino Linotype"/>
                <w:b/>
                <w:bCs/>
                <w:color w:val="000000" w:themeColor="text1"/>
              </w:rPr>
            </w:pPr>
            <w:r w:rsidRPr="00277E46">
              <w:rPr>
                <w:rFonts w:ascii="Palatino Linotype" w:eastAsia="Palatino Linotype" w:hAnsi="Palatino Linotype" w:cs="Palatino Linotype"/>
                <w:b/>
                <w:bCs/>
                <w:color w:val="000000" w:themeColor="text1"/>
              </w:rPr>
              <w:t xml:space="preserve">Los artículos 100 y 122 de la Ley Estatal y de la Ley General, vigente a la fecha de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rsidR="00AF415A" w:rsidRPr="00277E46" w:rsidRDefault="00A96809" w:rsidP="00277E46">
            <w:pPr>
              <w:tabs>
                <w:tab w:val="left" w:pos="284"/>
              </w:tabs>
              <w:spacing w:line="360" w:lineRule="auto"/>
              <w:jc w:val="both"/>
              <w:rPr>
                <w:rFonts w:ascii="Palatino Linotype" w:eastAsia="Palatino Linotype" w:hAnsi="Palatino Linotype" w:cs="Palatino Linotype"/>
                <w:b/>
                <w:bCs/>
                <w:color w:val="000000" w:themeColor="text1"/>
              </w:rPr>
            </w:pPr>
            <w:r w:rsidRPr="00277E46">
              <w:rPr>
                <w:rFonts w:ascii="Palatino Linotype" w:eastAsia="Palatino Linotype" w:hAnsi="Palatino Linotype" w:cs="Palatino Linotype"/>
                <w:b/>
                <w:bCs/>
                <w:color w:val="000000" w:themeColor="text1"/>
              </w:rPr>
              <w:t>Al hacerlo tienen que precisar de qué información se trata, señalando el supuesto de clasificación (confidencialidad o reserva).</w:t>
            </w:r>
          </w:p>
          <w:p w:rsidR="00AF415A" w:rsidRPr="00277E46" w:rsidRDefault="00A96809" w:rsidP="00277E46">
            <w:pPr>
              <w:tabs>
                <w:tab w:val="left" w:pos="284"/>
              </w:tabs>
              <w:spacing w:line="360" w:lineRule="auto"/>
              <w:jc w:val="both"/>
              <w:rPr>
                <w:rFonts w:ascii="Palatino Linotype" w:eastAsia="Palatino Linotype" w:hAnsi="Palatino Linotype" w:cs="Palatino Linotype"/>
                <w:b/>
                <w:bCs/>
                <w:color w:val="000000" w:themeColor="text1"/>
              </w:rPr>
            </w:pPr>
            <w:r w:rsidRPr="00277E46">
              <w:rPr>
                <w:rFonts w:ascii="Palatino Linotype" w:eastAsia="Palatino Linotype" w:hAnsi="Palatino Linotype" w:cs="Palatino Linotype"/>
                <w:b/>
                <w:bCs/>
                <w:color w:val="000000" w:themeColor="text1"/>
              </w:rPr>
              <w:t>Además, se debe señalar el procedimiento, de los tres que establecen los artículos 132 y 106 de la Ley Estatal y General, respectivamente.</w:t>
            </w:r>
          </w:p>
          <w:p w:rsidR="00AF415A" w:rsidRPr="00277E46" w:rsidRDefault="00A96809" w:rsidP="00277E46">
            <w:pPr>
              <w:tabs>
                <w:tab w:val="left" w:pos="284"/>
              </w:tabs>
              <w:spacing w:line="360" w:lineRule="auto"/>
              <w:jc w:val="both"/>
              <w:rPr>
                <w:rFonts w:ascii="Palatino Linotype" w:eastAsia="Palatino Linotype" w:hAnsi="Palatino Linotype" w:cs="Palatino Linotype"/>
                <w:b/>
                <w:bCs/>
                <w:color w:val="000000" w:themeColor="text1"/>
              </w:rPr>
            </w:pPr>
            <w:r w:rsidRPr="00277E46">
              <w:rPr>
                <w:rFonts w:ascii="Palatino Linotype" w:eastAsia="Palatino Linotype" w:hAnsi="Palatino Linotype" w:cs="Palatino Linotype"/>
                <w:b/>
                <w:bCs/>
                <w:color w:val="000000" w:themeColor="text1"/>
              </w:rPr>
              <w:t xml:space="preserve">El último de estos requisitos previos consiste en que no se pueden emitir acuerdos de carácter general ni particular, esto es, </w:t>
            </w:r>
            <w:r w:rsidRPr="00277E46">
              <w:rPr>
                <w:rFonts w:ascii="Palatino Linotype" w:eastAsia="Palatino Linotype" w:hAnsi="Palatino Linotype" w:cs="Palatino Linotype"/>
                <w:b/>
                <w:bCs/>
                <w:color w:val="000000" w:themeColor="text1"/>
                <w:u w:val="single"/>
              </w:rPr>
              <w:t>no se puede hacer un acuerdo para clasificar de manera general todos los documentos de un expediente o área, sin</w:t>
            </w:r>
            <w:r w:rsidRPr="00277E46">
              <w:rPr>
                <w:rFonts w:ascii="Palatino Linotype" w:eastAsia="Palatino Linotype" w:hAnsi="Palatino Linotype" w:cs="Palatino Linotype"/>
                <w:b/>
                <w:bCs/>
                <w:color w:val="000000" w:themeColor="text1"/>
              </w:rPr>
              <w:t xml:space="preserve"> individualizar su análisis y tampoco se puede hacer un acuerdo por cada dato que se vaya a clasificar dentro de un documento con diez datos, por ejemplo, susceptibles de ser clasificados.</w:t>
            </w:r>
          </w:p>
        </w:tc>
      </w:tr>
      <w:tr w:rsidR="00277E46" w:rsidRPr="00277E46" w:rsidTr="00A92401">
        <w:tc>
          <w:tcPr>
            <w:tcW w:w="2689" w:type="dxa"/>
          </w:tcPr>
          <w:p w:rsidR="00AF415A" w:rsidRPr="00277E46" w:rsidRDefault="00A96809" w:rsidP="00277E46">
            <w:pPr>
              <w:tabs>
                <w:tab w:val="left" w:pos="284"/>
              </w:tabs>
              <w:spacing w:line="360" w:lineRule="auto"/>
              <w:rPr>
                <w:rFonts w:ascii="Palatino Linotype" w:eastAsia="Palatino Linotype" w:hAnsi="Palatino Linotype" w:cs="Palatino Linotype"/>
                <w:b/>
                <w:bCs/>
                <w:color w:val="000000" w:themeColor="text1"/>
              </w:rPr>
            </w:pPr>
            <w:r w:rsidRPr="00277E46">
              <w:rPr>
                <w:rFonts w:ascii="Palatino Linotype" w:eastAsia="Palatino Linotype" w:hAnsi="Palatino Linotype" w:cs="Palatino Linotype"/>
                <w:b/>
                <w:bCs/>
                <w:color w:val="000000" w:themeColor="text1"/>
              </w:rPr>
              <w:t>b) Supuestos de clasificación.</w:t>
            </w:r>
          </w:p>
        </w:tc>
        <w:tc>
          <w:tcPr>
            <w:tcW w:w="7087" w:type="dxa"/>
          </w:tcPr>
          <w:p w:rsidR="00AF415A" w:rsidRPr="00277E46" w:rsidRDefault="00A96809" w:rsidP="00277E46">
            <w:pPr>
              <w:tabs>
                <w:tab w:val="left" w:pos="284"/>
              </w:tabs>
              <w:spacing w:line="360" w:lineRule="auto"/>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AF415A" w:rsidRPr="00277E46" w:rsidRDefault="00A96809" w:rsidP="00277E46">
            <w:pPr>
              <w:tabs>
                <w:tab w:val="left" w:pos="284"/>
              </w:tabs>
              <w:spacing w:line="360" w:lineRule="auto"/>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Los artículos 116 y 143 de la Ley Estatal y de la Ley General, vigente a la fecha de la solicitud de información, respectivamente, </w:t>
            </w:r>
            <w:r w:rsidRPr="00277E46">
              <w:rPr>
                <w:rFonts w:ascii="Palatino Linotype" w:eastAsia="Palatino Linotype" w:hAnsi="Palatino Linotype" w:cs="Palatino Linotype"/>
                <w:color w:val="000000" w:themeColor="text1"/>
              </w:rPr>
              <w:lastRenderedPageBreak/>
              <w:t>señalan los supuestos para que la información pueda ser clasificada como confidencial. Mientras que los artículos 105 y 130 de la Ley Estatal y de la Ley General, vigente a la fecha de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AF415A" w:rsidRPr="00277E46" w:rsidRDefault="00A96809" w:rsidP="00277E46">
            <w:pPr>
              <w:tabs>
                <w:tab w:val="left" w:pos="284"/>
              </w:tabs>
              <w:spacing w:line="360" w:lineRule="auto"/>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El </w:t>
            </w:r>
            <w:r w:rsidRPr="00277E46">
              <w:rPr>
                <w:rFonts w:ascii="Palatino Linotype" w:eastAsia="Palatino Linotype" w:hAnsi="Palatino Linotype" w:cs="Palatino Linotype"/>
                <w:b/>
                <w:bCs/>
                <w:color w:val="000000" w:themeColor="text1"/>
              </w:rPr>
              <w:t>Sujeto Obligado</w:t>
            </w:r>
            <w:r w:rsidRPr="00277E46">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77E46" w:rsidRPr="00277E46" w:rsidTr="00A92401">
        <w:tc>
          <w:tcPr>
            <w:tcW w:w="2689" w:type="dxa"/>
          </w:tcPr>
          <w:p w:rsidR="00AF415A" w:rsidRPr="00277E46" w:rsidRDefault="00A96809" w:rsidP="00277E46">
            <w:pPr>
              <w:tabs>
                <w:tab w:val="left" w:pos="284"/>
              </w:tabs>
              <w:spacing w:line="360" w:lineRule="auto"/>
              <w:rPr>
                <w:rFonts w:ascii="Palatino Linotype" w:eastAsia="Palatino Linotype" w:hAnsi="Palatino Linotype" w:cs="Palatino Linotype"/>
                <w:b/>
                <w:bCs/>
                <w:color w:val="000000" w:themeColor="text1"/>
              </w:rPr>
            </w:pPr>
            <w:r w:rsidRPr="00277E46">
              <w:rPr>
                <w:rFonts w:ascii="Palatino Linotype" w:eastAsia="Palatino Linotype" w:hAnsi="Palatino Linotype" w:cs="Palatino Linotype"/>
                <w:b/>
                <w:bCs/>
                <w:color w:val="000000" w:themeColor="text1"/>
              </w:rPr>
              <w:lastRenderedPageBreak/>
              <w:t>c) Formalidades para emitir el acuerdo de clasificación.</w:t>
            </w:r>
          </w:p>
        </w:tc>
        <w:tc>
          <w:tcPr>
            <w:tcW w:w="7087" w:type="dxa"/>
          </w:tcPr>
          <w:p w:rsidR="00AF415A" w:rsidRPr="00277E46" w:rsidRDefault="00A96809" w:rsidP="00277E46">
            <w:pPr>
              <w:tabs>
                <w:tab w:val="left" w:pos="284"/>
              </w:tabs>
              <w:spacing w:line="360" w:lineRule="auto"/>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AF415A" w:rsidRPr="00277E46" w:rsidRDefault="00A96809" w:rsidP="00277E46">
            <w:pPr>
              <w:tabs>
                <w:tab w:val="left" w:pos="284"/>
              </w:tabs>
              <w:spacing w:line="360" w:lineRule="auto"/>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Es necesario que </w:t>
            </w:r>
            <w:r w:rsidRPr="00277E46">
              <w:rPr>
                <w:rFonts w:ascii="Palatino Linotype" w:eastAsia="Palatino Linotype" w:hAnsi="Palatino Linotype" w:cs="Palatino Linotype"/>
                <w:b/>
                <w:bCs/>
                <w:color w:val="000000" w:themeColor="text1"/>
                <w:u w:val="single"/>
              </w:rPr>
              <w:t>el acto reúna con los requisitos elementales</w:t>
            </w:r>
            <w:r w:rsidRPr="00277E46">
              <w:rPr>
                <w:rFonts w:ascii="Palatino Linotype" w:eastAsia="Palatino Linotype" w:hAnsi="Palatino Linotype" w:cs="Palatino Linotype"/>
                <w:color w:val="000000" w:themeColor="text1"/>
              </w:rPr>
              <w:t>, entre ellos, que la autoridad que va a emitir el acto de autoridad sea la legalmente facultada para ello.</w:t>
            </w:r>
          </w:p>
          <w:p w:rsidR="00AF415A" w:rsidRPr="00277E46" w:rsidRDefault="00A96809" w:rsidP="00277E46">
            <w:pPr>
              <w:tabs>
                <w:tab w:val="left" w:pos="284"/>
              </w:tabs>
              <w:spacing w:line="360" w:lineRule="auto"/>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La decisión de aprobar, modificar o revocar la clasificación deberá de asentarse en un documento que registre la determinación a la que se llegue después de un análisis </w:t>
            </w:r>
            <w:r w:rsidRPr="00277E46">
              <w:rPr>
                <w:rFonts w:ascii="Palatino Linotype" w:eastAsia="Palatino Linotype" w:hAnsi="Palatino Linotype" w:cs="Palatino Linotype"/>
                <w:color w:val="000000" w:themeColor="text1"/>
              </w:rPr>
              <w:lastRenderedPageBreak/>
              <w:t>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77E46" w:rsidRPr="00277E46" w:rsidTr="00A92401">
        <w:tc>
          <w:tcPr>
            <w:tcW w:w="2689" w:type="dxa"/>
          </w:tcPr>
          <w:p w:rsidR="00AF415A" w:rsidRPr="00277E46" w:rsidRDefault="00AF415A" w:rsidP="00277E46">
            <w:pPr>
              <w:tabs>
                <w:tab w:val="left" w:pos="284"/>
              </w:tabs>
              <w:spacing w:line="360" w:lineRule="auto"/>
              <w:rPr>
                <w:rFonts w:ascii="Palatino Linotype" w:eastAsia="Palatino Linotype" w:hAnsi="Palatino Linotype" w:cs="Palatino Linotype"/>
                <w:b/>
                <w:bCs/>
                <w:color w:val="000000" w:themeColor="text1"/>
              </w:rPr>
            </w:pPr>
          </w:p>
          <w:p w:rsidR="00AF415A" w:rsidRPr="00277E46" w:rsidRDefault="00A96809" w:rsidP="00277E46">
            <w:pPr>
              <w:tabs>
                <w:tab w:val="left" w:pos="284"/>
              </w:tabs>
              <w:spacing w:line="360" w:lineRule="auto"/>
              <w:jc w:val="both"/>
              <w:rPr>
                <w:rFonts w:ascii="Palatino Linotype" w:eastAsia="Palatino Linotype" w:hAnsi="Palatino Linotype" w:cs="Palatino Linotype"/>
                <w:b/>
                <w:bCs/>
                <w:color w:val="000000" w:themeColor="text1"/>
              </w:rPr>
            </w:pPr>
            <w:r w:rsidRPr="00277E46">
              <w:rPr>
                <w:rFonts w:ascii="Palatino Linotype" w:eastAsia="Palatino Linotype" w:hAnsi="Palatino Linotype" w:cs="Palatino Linotype"/>
                <w:b/>
                <w:bCs/>
                <w:color w:val="000000" w:themeColor="text1"/>
              </w:rPr>
              <w:t xml:space="preserve">d) Requisitos de fondo del acuerdo de clasificación. </w:t>
            </w:r>
          </w:p>
        </w:tc>
        <w:tc>
          <w:tcPr>
            <w:tcW w:w="7087" w:type="dxa"/>
          </w:tcPr>
          <w:p w:rsidR="00AF415A" w:rsidRPr="00277E46" w:rsidRDefault="00A96809" w:rsidP="00277E46">
            <w:pPr>
              <w:tabs>
                <w:tab w:val="left" w:pos="284"/>
              </w:tabs>
              <w:spacing w:line="360" w:lineRule="auto"/>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77E46">
              <w:rPr>
                <w:rFonts w:ascii="Palatino Linotype" w:eastAsia="Palatino Linotype" w:hAnsi="Palatino Linotype" w:cs="Palatino Linotype"/>
                <w:b/>
                <w:bCs/>
                <w:color w:val="000000" w:themeColor="text1"/>
              </w:rPr>
              <w:t>Sujetos Obligados</w:t>
            </w:r>
            <w:r w:rsidRPr="00277E46">
              <w:rPr>
                <w:rFonts w:ascii="Palatino Linotype" w:eastAsia="Palatino Linotype" w:hAnsi="Palatino Linotype" w:cs="Palatino Linotype"/>
                <w:color w:val="000000" w:themeColor="text1"/>
              </w:rPr>
              <w:t xml:space="preserve">, por lo que deberán fundar y motivar debidamente la clasificación. </w:t>
            </w:r>
          </w:p>
          <w:p w:rsidR="00AF415A" w:rsidRPr="00277E46" w:rsidRDefault="00A96809" w:rsidP="00277E46">
            <w:pPr>
              <w:tabs>
                <w:tab w:val="left" w:pos="284"/>
              </w:tabs>
              <w:spacing w:line="360" w:lineRule="auto"/>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De lo anterior, se desprende que para una correcta </w:t>
            </w:r>
            <w:r w:rsidRPr="00277E46">
              <w:rPr>
                <w:rFonts w:ascii="Palatino Linotype" w:eastAsia="Palatino Linotype" w:hAnsi="Palatino Linotype" w:cs="Palatino Linotype"/>
                <w:b/>
                <w:bCs/>
                <w:color w:val="000000" w:themeColor="text1"/>
              </w:rPr>
              <w:t>clasificación total o parcial</w:t>
            </w:r>
            <w:r w:rsidRPr="00277E46">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AF415A" w:rsidRPr="00277E46" w:rsidRDefault="00A96809" w:rsidP="00277E46">
            <w:pPr>
              <w:tabs>
                <w:tab w:val="left" w:pos="284"/>
              </w:tabs>
              <w:spacing w:line="360" w:lineRule="auto"/>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Así, en un acto de autoridad se cumple con la debida fundamentación cuando se cita el precepto legal aplicable al caso concreto y la debida motivación cuando se expresan las razones, </w:t>
            </w:r>
            <w:r w:rsidRPr="00277E46">
              <w:rPr>
                <w:rFonts w:ascii="Palatino Linotype" w:eastAsia="Palatino Linotype" w:hAnsi="Palatino Linotype" w:cs="Palatino Linotype"/>
                <w:color w:val="000000" w:themeColor="text1"/>
              </w:rPr>
              <w:lastRenderedPageBreak/>
              <w:t>motivos o circunstancias que tomó en cuenta la autoridad para adecuar el hecho a los fundamentos de derecho. De este modo, la persona que se sienta afectada pueda impugnar la decisión, permitiéndole una real y auténtica defensa.</w:t>
            </w:r>
          </w:p>
          <w:p w:rsidR="00AF415A" w:rsidRPr="00277E46" w:rsidRDefault="00A96809" w:rsidP="00277E46">
            <w:pPr>
              <w:tabs>
                <w:tab w:val="left" w:pos="284"/>
              </w:tabs>
              <w:spacing w:line="360" w:lineRule="auto"/>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AF415A" w:rsidRPr="00277E46" w:rsidRDefault="00A96809" w:rsidP="00277E46">
            <w:pPr>
              <w:tabs>
                <w:tab w:val="left" w:pos="284"/>
              </w:tabs>
              <w:spacing w:line="360" w:lineRule="auto"/>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Ahora bien, </w:t>
            </w:r>
            <w:r w:rsidRPr="00277E46">
              <w:rPr>
                <w:rFonts w:ascii="Palatino Linotype" w:eastAsia="Palatino Linotype" w:hAnsi="Palatino Linotype" w:cs="Palatino Linotype"/>
                <w:b/>
                <w:bCs/>
                <w:color w:val="000000" w:themeColor="text1"/>
                <w:u w:val="single"/>
              </w:rPr>
              <w:t>para cada caso además de fundar y motivar</w:t>
            </w:r>
            <w:r w:rsidRPr="00277E46">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F415A" w:rsidRPr="00277E46" w:rsidTr="00A92401">
        <w:tc>
          <w:tcPr>
            <w:tcW w:w="2689" w:type="dxa"/>
          </w:tcPr>
          <w:p w:rsidR="00AF415A" w:rsidRPr="00277E46" w:rsidRDefault="00A96809" w:rsidP="00277E46">
            <w:pPr>
              <w:tabs>
                <w:tab w:val="left" w:pos="284"/>
              </w:tabs>
              <w:spacing w:line="360" w:lineRule="auto"/>
              <w:jc w:val="both"/>
              <w:rPr>
                <w:rFonts w:ascii="Palatino Linotype" w:eastAsia="Palatino Linotype" w:hAnsi="Palatino Linotype" w:cs="Palatino Linotype"/>
                <w:b/>
                <w:bCs/>
                <w:color w:val="000000" w:themeColor="text1"/>
              </w:rPr>
            </w:pPr>
            <w:r w:rsidRPr="00277E46">
              <w:rPr>
                <w:rFonts w:ascii="Palatino Linotype" w:eastAsia="Palatino Linotype" w:hAnsi="Palatino Linotype" w:cs="Palatino Linotype"/>
                <w:b/>
                <w:bCs/>
                <w:color w:val="000000" w:themeColor="text1"/>
              </w:rPr>
              <w:lastRenderedPageBreak/>
              <w:t xml:space="preserve">e) Condiciones especiales de la clasificación de la información como confidencial. </w:t>
            </w:r>
          </w:p>
        </w:tc>
        <w:tc>
          <w:tcPr>
            <w:tcW w:w="7087" w:type="dxa"/>
          </w:tcPr>
          <w:p w:rsidR="00AF415A" w:rsidRPr="00277E46" w:rsidRDefault="00A96809" w:rsidP="00277E46">
            <w:pPr>
              <w:tabs>
                <w:tab w:val="left" w:pos="284"/>
              </w:tabs>
              <w:spacing w:line="360" w:lineRule="auto"/>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Los artículos 148 y 120 de la Ley Estatal y de la Ley General, vigente a la fecha de la solicitud de información, respectivamente, establecen que aun tratándose de datos personales, se podrán proporcionar, incluso sin solicitar el consentimiento de su titular. </w:t>
            </w:r>
          </w:p>
          <w:p w:rsidR="00AF415A" w:rsidRPr="00277E46" w:rsidRDefault="00A96809" w:rsidP="00277E46">
            <w:pPr>
              <w:tabs>
                <w:tab w:val="left" w:pos="284"/>
              </w:tabs>
              <w:spacing w:line="360" w:lineRule="auto"/>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w:t>
            </w:r>
            <w:r w:rsidRPr="00277E46">
              <w:rPr>
                <w:rFonts w:ascii="Palatino Linotype" w:eastAsia="Palatino Linotype" w:hAnsi="Palatino Linotype" w:cs="Palatino Linotype"/>
                <w:color w:val="000000" w:themeColor="text1"/>
              </w:rPr>
              <w:lastRenderedPageBreak/>
              <w:t xml:space="preserve">Justicia de la Nación, los servidores públicos nos encontramos sujetos a un régimen menor de protección. </w:t>
            </w:r>
          </w:p>
          <w:p w:rsidR="00AF415A" w:rsidRPr="00277E46" w:rsidRDefault="00A96809" w:rsidP="00277E46">
            <w:pPr>
              <w:tabs>
                <w:tab w:val="left" w:pos="284"/>
              </w:tabs>
              <w:spacing w:line="360" w:lineRule="auto"/>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AF415A" w:rsidRPr="00277E46" w:rsidRDefault="00AF415A" w:rsidP="00277E46">
      <w:pPr>
        <w:tabs>
          <w:tab w:val="left" w:pos="284"/>
        </w:tabs>
        <w:spacing w:line="360" w:lineRule="auto"/>
        <w:rPr>
          <w:rFonts w:ascii="Palatino Linotype" w:eastAsia="Palatino Linotype" w:hAnsi="Palatino Linotype" w:cs="Palatino Linotype"/>
          <w:color w:val="000000" w:themeColor="text1"/>
        </w:rPr>
      </w:pPr>
    </w:p>
    <w:p w:rsidR="00AF415A" w:rsidRPr="00277E46" w:rsidRDefault="00AF415A" w:rsidP="00277E46">
      <w:pPr>
        <w:rPr>
          <w:rFonts w:ascii="Palatino Linotype" w:eastAsia="Palatino Linotype" w:hAnsi="Palatino Linotype" w:cs="Palatino Linotype"/>
          <w:color w:val="000000" w:themeColor="text1"/>
        </w:rPr>
      </w:pPr>
    </w:p>
    <w:p w:rsidR="00AF415A" w:rsidRPr="00277E46" w:rsidRDefault="00A96809" w:rsidP="00277E46">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En ese sentido, el </w:t>
      </w:r>
      <w:r w:rsidRPr="00277E46">
        <w:rPr>
          <w:rFonts w:ascii="Palatino Linotype" w:eastAsia="Palatino Linotype" w:hAnsi="Palatino Linotype" w:cs="Palatino Linotype"/>
          <w:b/>
          <w:bCs/>
          <w:color w:val="000000" w:themeColor="text1"/>
        </w:rPr>
        <w:t>SUJETO OBLIGADO</w:t>
      </w:r>
      <w:r w:rsidRPr="00277E46">
        <w:rPr>
          <w:rFonts w:ascii="Palatino Linotype" w:eastAsia="Palatino Linotype" w:hAnsi="Palatino Linotype" w:cs="Palatino Linotype"/>
          <w:color w:val="000000" w:themeColor="text1"/>
        </w:rPr>
        <w:t xml:space="preserve"> deberá de emitir el Acuerdo del Comité de Transparencia, mediante el cual de manera fundada y motivada establezca las razones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AF415A" w:rsidRPr="00277E46" w:rsidRDefault="00AF415A" w:rsidP="00277E46">
      <w:pPr>
        <w:tabs>
          <w:tab w:val="left" w:pos="284"/>
        </w:tabs>
        <w:spacing w:line="360" w:lineRule="auto"/>
        <w:jc w:val="both"/>
        <w:rPr>
          <w:rFonts w:ascii="Palatino Linotype" w:eastAsia="Palatino Linotype" w:hAnsi="Palatino Linotype" w:cs="Palatino Linotype"/>
          <w:color w:val="000000" w:themeColor="text1"/>
        </w:rPr>
      </w:pPr>
    </w:p>
    <w:p w:rsidR="00AF415A" w:rsidRPr="00277E46" w:rsidRDefault="00A96809" w:rsidP="00277E46">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Derivado de lo establecido en párrafos anteriores, si el </w:t>
      </w:r>
      <w:r w:rsidRPr="00277E46">
        <w:rPr>
          <w:rFonts w:ascii="Palatino Linotype" w:eastAsia="Palatino Linotype" w:hAnsi="Palatino Linotype" w:cs="Palatino Linotype"/>
          <w:b/>
          <w:bCs/>
          <w:color w:val="000000" w:themeColor="text1"/>
        </w:rPr>
        <w:t>SUJETO OBLIGADO</w:t>
      </w:r>
      <w:r w:rsidRPr="00277E46">
        <w:rPr>
          <w:rFonts w:ascii="Palatino Linotype" w:eastAsia="Palatino Linotype" w:hAnsi="Palatino Linotype" w:cs="Palatino Linotype"/>
          <w:color w:val="000000" w:themeColor="text1"/>
        </w:rPr>
        <w:t xml:space="preserve"> incumple con estas formalidades y entrega la información sin proteger los datos personales o testando datos considerados como públicos incumple con lo que estipulan las disposiciones legales establecidas, asimismo que si entrega un documento testado sin el debido acuerdo de clasificación.</w:t>
      </w:r>
    </w:p>
    <w:p w:rsidR="00AF415A" w:rsidRPr="00277E46" w:rsidRDefault="00AF415A" w:rsidP="00277E46">
      <w:pPr>
        <w:spacing w:line="360" w:lineRule="auto"/>
        <w:jc w:val="both"/>
        <w:rPr>
          <w:rFonts w:ascii="Palatino Linotype" w:hAnsi="Palatino Linotype"/>
          <w:color w:val="000000" w:themeColor="text1"/>
        </w:rPr>
      </w:pPr>
    </w:p>
    <w:p w:rsidR="00AF415A" w:rsidRPr="00277E46" w:rsidRDefault="00A96809" w:rsidP="00277E46">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lastRenderedPageBreak/>
        <w:t>Por lo expuesto, y con fundamento en lo prescrito en los artículos 5, párrafos cuadragésimo cuarto, cuadragésimo quinto y cuadragésimo sexto, fracciones IV y V, de la Constitución Política del Estado Libre y Soberano de México; 2, fracción II; 29, 36 fracciones I y II; 176, 178, 179, 181 y 185 de la Ley de Transparencia y Acceso a la Información Pública del Estado de México y Municipios, este Pleno:</w:t>
      </w:r>
    </w:p>
    <w:p w:rsidR="00AF415A" w:rsidRPr="00277E46" w:rsidRDefault="00AF415A" w:rsidP="00277E46">
      <w:pPr>
        <w:rPr>
          <w:rFonts w:ascii="Palatino Linotype" w:eastAsia="Palatino Linotype" w:hAnsi="Palatino Linotype" w:cs="Palatino Linotype"/>
          <w:color w:val="000000" w:themeColor="text1"/>
        </w:rPr>
      </w:pPr>
    </w:p>
    <w:p w:rsidR="00AF415A" w:rsidRPr="00277E46" w:rsidRDefault="00A96809" w:rsidP="00277E46">
      <w:pPr>
        <w:spacing w:line="360" w:lineRule="auto"/>
        <w:jc w:val="center"/>
        <w:rPr>
          <w:rFonts w:ascii="Palatino Linotype" w:eastAsia="Palatino Linotype" w:hAnsi="Palatino Linotype" w:cs="Palatino Linotype"/>
          <w:b/>
          <w:bCs/>
          <w:color w:val="000000" w:themeColor="text1"/>
        </w:rPr>
      </w:pPr>
      <w:r w:rsidRPr="00277E46">
        <w:rPr>
          <w:rFonts w:ascii="Palatino Linotype" w:eastAsia="Palatino Linotype" w:hAnsi="Palatino Linotype" w:cs="Palatino Linotype"/>
          <w:b/>
          <w:bCs/>
          <w:color w:val="000000" w:themeColor="text1"/>
        </w:rPr>
        <w:t>R E S U E L V E</w:t>
      </w:r>
    </w:p>
    <w:p w:rsidR="00AF415A" w:rsidRPr="00277E46" w:rsidRDefault="00AF415A" w:rsidP="00277E46">
      <w:pPr>
        <w:spacing w:line="360" w:lineRule="auto"/>
        <w:jc w:val="center"/>
        <w:rPr>
          <w:rFonts w:ascii="Palatino Linotype" w:eastAsia="Palatino Linotype" w:hAnsi="Palatino Linotype" w:cs="Palatino Linotype"/>
          <w:b/>
          <w:bCs/>
          <w:color w:val="000000" w:themeColor="text1"/>
        </w:rPr>
      </w:pPr>
    </w:p>
    <w:p w:rsidR="00AF415A" w:rsidRPr="00277E46" w:rsidRDefault="00A96809" w:rsidP="00277E46">
      <w:pPr>
        <w:spacing w:line="360" w:lineRule="auto"/>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b/>
          <w:bCs/>
          <w:color w:val="000000" w:themeColor="text1"/>
        </w:rPr>
        <w:t>PRIMERO</w:t>
      </w:r>
      <w:r w:rsidRPr="00277E46">
        <w:rPr>
          <w:rFonts w:ascii="Palatino Linotype" w:eastAsia="Palatino Linotype" w:hAnsi="Palatino Linotype" w:cs="Palatino Linotype"/>
          <w:color w:val="000000" w:themeColor="text1"/>
        </w:rPr>
        <w:t xml:space="preserve">. Resultan </w:t>
      </w:r>
      <w:r w:rsidRPr="00277E46">
        <w:rPr>
          <w:rFonts w:ascii="Palatino Linotype" w:eastAsia="Palatino Linotype" w:hAnsi="Palatino Linotype" w:cs="Palatino Linotype"/>
          <w:b/>
          <w:bCs/>
          <w:color w:val="000000" w:themeColor="text1"/>
        </w:rPr>
        <w:t>FUNDADAS</w:t>
      </w:r>
      <w:r w:rsidRPr="00277E46">
        <w:rPr>
          <w:rFonts w:ascii="Palatino Linotype" w:eastAsia="Palatino Linotype" w:hAnsi="Palatino Linotype" w:cs="Palatino Linotype"/>
          <w:color w:val="000000" w:themeColor="text1"/>
        </w:rPr>
        <w:t xml:space="preserve"> las razones o motivos de inconformidad hechos valer en el Recurso de Revisión </w:t>
      </w:r>
      <w:r w:rsidRPr="00277E46">
        <w:rPr>
          <w:rFonts w:ascii="Palatino Linotype" w:eastAsia="Palatino Linotype" w:hAnsi="Palatino Linotype" w:cs="Palatino Linotype"/>
          <w:b/>
          <w:bCs/>
          <w:color w:val="000000" w:themeColor="text1"/>
        </w:rPr>
        <w:t>07778/INFOEM/IP/RR/2025</w:t>
      </w:r>
      <w:r w:rsidRPr="00277E46">
        <w:rPr>
          <w:rFonts w:ascii="Palatino Linotype" w:eastAsia="Palatino Linotype" w:hAnsi="Palatino Linotype" w:cs="Palatino Linotype"/>
          <w:color w:val="000000" w:themeColor="text1"/>
        </w:rPr>
        <w:t>,</w:t>
      </w:r>
      <w:r w:rsidRPr="00277E46">
        <w:rPr>
          <w:rFonts w:ascii="Palatino Linotype" w:eastAsia="Palatino Linotype" w:hAnsi="Palatino Linotype" w:cs="Palatino Linotype"/>
          <w:b/>
          <w:bCs/>
          <w:color w:val="000000" w:themeColor="text1"/>
        </w:rPr>
        <w:t xml:space="preserve"> </w:t>
      </w:r>
      <w:r w:rsidRPr="00277E46">
        <w:rPr>
          <w:rFonts w:ascii="Palatino Linotype" w:eastAsia="Palatino Linotype" w:hAnsi="Palatino Linotype" w:cs="Palatino Linotype"/>
          <w:color w:val="000000" w:themeColor="text1"/>
        </w:rPr>
        <w:t xml:space="preserve">en términos de los Considerandos </w:t>
      </w:r>
      <w:r w:rsidRPr="00277E46">
        <w:rPr>
          <w:rFonts w:ascii="Palatino Linotype" w:eastAsia="Palatino Linotype" w:hAnsi="Palatino Linotype" w:cs="Palatino Linotype"/>
          <w:b/>
          <w:bCs/>
          <w:color w:val="000000" w:themeColor="text1"/>
        </w:rPr>
        <w:t xml:space="preserve">Cuarto </w:t>
      </w:r>
      <w:r w:rsidRPr="00277E46">
        <w:rPr>
          <w:rFonts w:ascii="Palatino Linotype" w:eastAsia="Palatino Linotype" w:hAnsi="Palatino Linotype" w:cs="Palatino Linotype"/>
          <w:color w:val="000000" w:themeColor="text1"/>
        </w:rPr>
        <w:t>y</w:t>
      </w:r>
      <w:r w:rsidRPr="00277E46">
        <w:rPr>
          <w:rFonts w:ascii="Palatino Linotype" w:eastAsia="Palatino Linotype" w:hAnsi="Palatino Linotype" w:cs="Palatino Linotype"/>
          <w:b/>
          <w:bCs/>
          <w:color w:val="000000" w:themeColor="text1"/>
        </w:rPr>
        <w:t xml:space="preserve"> Quinto </w:t>
      </w:r>
      <w:r w:rsidRPr="00277E46">
        <w:rPr>
          <w:rFonts w:ascii="Palatino Linotype" w:eastAsia="Palatino Linotype" w:hAnsi="Palatino Linotype" w:cs="Palatino Linotype"/>
          <w:color w:val="000000" w:themeColor="text1"/>
        </w:rPr>
        <w:t xml:space="preserve">de la presente Resolución. </w:t>
      </w:r>
    </w:p>
    <w:p w:rsidR="00AF415A" w:rsidRPr="00277E46" w:rsidRDefault="00AF415A" w:rsidP="00277E46">
      <w:pPr>
        <w:spacing w:line="360" w:lineRule="auto"/>
        <w:jc w:val="both"/>
        <w:rPr>
          <w:rFonts w:ascii="Palatino Linotype" w:eastAsia="Palatino Linotype" w:hAnsi="Palatino Linotype" w:cs="Palatino Linotype"/>
          <w:color w:val="000000" w:themeColor="text1"/>
        </w:rPr>
      </w:pPr>
    </w:p>
    <w:p w:rsidR="00AF415A" w:rsidRPr="00277E46" w:rsidRDefault="00A96809" w:rsidP="00277E46">
      <w:pPr>
        <w:spacing w:line="360" w:lineRule="auto"/>
        <w:jc w:val="both"/>
        <w:rPr>
          <w:rFonts w:ascii="Palatino Linotype" w:eastAsia="Palatino Linotype" w:hAnsi="Palatino Linotype" w:cs="Palatino Linotype"/>
          <w:color w:val="000000" w:themeColor="text1"/>
        </w:rPr>
      </w:pPr>
      <w:bookmarkStart w:id="7" w:name="_heading=h.vihmelcub0eb" w:colFirst="0" w:colLast="0"/>
      <w:bookmarkEnd w:id="7"/>
      <w:r w:rsidRPr="00277E46">
        <w:rPr>
          <w:rFonts w:ascii="Palatino Linotype" w:eastAsia="Palatino Linotype" w:hAnsi="Palatino Linotype" w:cs="Palatino Linotype"/>
          <w:b/>
          <w:bCs/>
          <w:color w:val="000000" w:themeColor="text1"/>
        </w:rPr>
        <w:t xml:space="preserve">SEGUNDO. </w:t>
      </w:r>
      <w:r w:rsidRPr="00277E46">
        <w:rPr>
          <w:rFonts w:ascii="Palatino Linotype" w:eastAsia="Palatino Linotype" w:hAnsi="Palatino Linotype" w:cs="Palatino Linotype"/>
          <w:color w:val="000000" w:themeColor="text1"/>
        </w:rPr>
        <w:t xml:space="preserve">Se </w:t>
      </w:r>
      <w:r w:rsidRPr="00277E46">
        <w:rPr>
          <w:rFonts w:ascii="Palatino Linotype" w:eastAsia="Palatino Linotype" w:hAnsi="Palatino Linotype" w:cs="Palatino Linotype"/>
          <w:b/>
          <w:bCs/>
          <w:color w:val="000000" w:themeColor="text1"/>
        </w:rPr>
        <w:t xml:space="preserve">REVOCA </w:t>
      </w:r>
      <w:r w:rsidRPr="00277E46">
        <w:rPr>
          <w:rFonts w:ascii="Palatino Linotype" w:eastAsia="Palatino Linotype" w:hAnsi="Palatino Linotype" w:cs="Palatino Linotype"/>
          <w:color w:val="000000" w:themeColor="text1"/>
        </w:rPr>
        <w:t xml:space="preserve">la respuesta emitida por el </w:t>
      </w:r>
      <w:r w:rsidRPr="00277E46">
        <w:rPr>
          <w:rFonts w:ascii="Palatino Linotype" w:eastAsia="Palatino Linotype" w:hAnsi="Palatino Linotype" w:cs="Palatino Linotype"/>
          <w:b/>
          <w:bCs/>
          <w:color w:val="000000" w:themeColor="text1"/>
        </w:rPr>
        <w:t xml:space="preserve">Ayuntamiento de Toluca </w:t>
      </w:r>
      <w:r w:rsidRPr="00277E46">
        <w:rPr>
          <w:rFonts w:ascii="Palatino Linotype" w:eastAsia="Palatino Linotype" w:hAnsi="Palatino Linotype" w:cs="Palatino Linotype"/>
          <w:color w:val="000000" w:themeColor="text1"/>
        </w:rPr>
        <w:t xml:space="preserve">y se </w:t>
      </w:r>
      <w:r w:rsidRPr="00277E46">
        <w:rPr>
          <w:rFonts w:ascii="Palatino Linotype" w:eastAsia="Palatino Linotype" w:hAnsi="Palatino Linotype" w:cs="Palatino Linotype"/>
          <w:b/>
          <w:bCs/>
          <w:color w:val="000000" w:themeColor="text1"/>
        </w:rPr>
        <w:t>ORDENA</w:t>
      </w:r>
      <w:r w:rsidRPr="00277E46">
        <w:rPr>
          <w:rFonts w:ascii="Palatino Linotype" w:eastAsia="Palatino Linotype" w:hAnsi="Palatino Linotype" w:cs="Palatino Linotype"/>
          <w:color w:val="000000" w:themeColor="text1"/>
        </w:rPr>
        <w:t xml:space="preserve"> entregar a través del Sistema de Acceso a la Información Mexiquense (SAIMEX), previa búsqueda exhaustiva y razonable, de ser procedente en versión pública, la siguiente información:</w:t>
      </w:r>
    </w:p>
    <w:p w:rsidR="00AF415A" w:rsidRPr="00277E46" w:rsidRDefault="00AF415A" w:rsidP="00277E46">
      <w:pPr>
        <w:spacing w:line="360" w:lineRule="auto"/>
        <w:jc w:val="both"/>
        <w:rPr>
          <w:rFonts w:ascii="Palatino Linotype" w:eastAsia="Palatino Linotype" w:hAnsi="Palatino Linotype" w:cs="Palatino Linotype"/>
          <w:color w:val="000000" w:themeColor="text1"/>
        </w:rPr>
      </w:pPr>
    </w:p>
    <w:p w:rsidR="00AF415A" w:rsidRPr="00277E46" w:rsidRDefault="00A96809" w:rsidP="00277E46">
      <w:pPr>
        <w:numPr>
          <w:ilvl w:val="0"/>
          <w:numId w:val="6"/>
        </w:numPr>
        <w:pBdr>
          <w:top w:val="nil"/>
          <w:left w:val="nil"/>
          <w:bottom w:val="nil"/>
          <w:right w:val="nil"/>
          <w:between w:val="nil"/>
        </w:pBdr>
        <w:ind w:left="0" w:firstLine="0"/>
        <w:jc w:val="both"/>
        <w:rPr>
          <w:rFonts w:ascii="Palatino Linotype" w:eastAsia="Palatino Linotype" w:hAnsi="Palatino Linotype" w:cs="Palatino Linotype"/>
          <w:b/>
          <w:bCs/>
          <w:color w:val="000000" w:themeColor="text1"/>
        </w:rPr>
      </w:pPr>
      <w:r w:rsidRPr="00277E46">
        <w:rPr>
          <w:rFonts w:ascii="Palatino Linotype" w:eastAsia="Palatino Linotype" w:hAnsi="Palatino Linotype" w:cs="Palatino Linotype"/>
          <w:b/>
          <w:bCs/>
          <w:color w:val="000000" w:themeColor="text1"/>
        </w:rPr>
        <w:t>El documento en el que conste o se advierta el resguardo de los vehículos oficiales al 15 de mayo de 2025.</w:t>
      </w:r>
    </w:p>
    <w:p w:rsidR="00AF415A" w:rsidRPr="00277E46" w:rsidRDefault="00AF415A" w:rsidP="00277E46">
      <w:pPr>
        <w:pBdr>
          <w:top w:val="nil"/>
          <w:left w:val="nil"/>
          <w:bottom w:val="nil"/>
          <w:right w:val="nil"/>
          <w:between w:val="nil"/>
        </w:pBdr>
        <w:jc w:val="both"/>
        <w:rPr>
          <w:rFonts w:ascii="Palatino Linotype" w:eastAsia="Palatino Linotype" w:hAnsi="Palatino Linotype" w:cs="Palatino Linotype"/>
          <w:b/>
          <w:bCs/>
          <w:color w:val="000000" w:themeColor="text1"/>
        </w:rPr>
      </w:pPr>
    </w:p>
    <w:p w:rsidR="00AF415A" w:rsidRPr="00277E46" w:rsidRDefault="00AF415A" w:rsidP="00277E46">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rsidR="00AF415A" w:rsidRPr="00277E46" w:rsidRDefault="00A96809" w:rsidP="00277E46">
      <w:pPr>
        <w:spacing w:line="360" w:lineRule="auto"/>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color w:val="000000" w:themeColor="text1"/>
        </w:rPr>
        <w:t xml:space="preserve">Para efectos de lo anterior, en su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w:t>
      </w:r>
      <w:r w:rsidRPr="00277E46">
        <w:rPr>
          <w:rFonts w:ascii="Palatino Linotype" w:eastAsia="Palatino Linotype" w:hAnsi="Palatino Linotype" w:cs="Palatino Linotype"/>
          <w:color w:val="000000" w:themeColor="text1"/>
        </w:rPr>
        <w:lastRenderedPageBreak/>
        <w:t>soporte documental respectivo objeto de las versiones públicas que se formulen y se pongan a disposición del</w:t>
      </w:r>
      <w:r w:rsidRPr="00277E46">
        <w:rPr>
          <w:rFonts w:ascii="Palatino Linotype" w:eastAsia="Palatino Linotype" w:hAnsi="Palatino Linotype" w:cs="Palatino Linotype"/>
          <w:b/>
          <w:bCs/>
          <w:color w:val="000000" w:themeColor="text1"/>
        </w:rPr>
        <w:t xml:space="preserve"> Recurrente</w:t>
      </w:r>
      <w:r w:rsidRPr="00277E46">
        <w:rPr>
          <w:rFonts w:ascii="Palatino Linotype" w:eastAsia="Palatino Linotype" w:hAnsi="Palatino Linotype" w:cs="Palatino Linotype"/>
          <w:color w:val="000000" w:themeColor="text1"/>
        </w:rPr>
        <w:t>.</w:t>
      </w:r>
    </w:p>
    <w:p w:rsidR="00AF415A" w:rsidRPr="00277E46" w:rsidRDefault="00AF415A" w:rsidP="00277E46">
      <w:pPr>
        <w:spacing w:line="360" w:lineRule="auto"/>
        <w:jc w:val="both"/>
        <w:rPr>
          <w:rFonts w:ascii="Palatino Linotype" w:eastAsia="Palatino Linotype" w:hAnsi="Palatino Linotype" w:cs="Palatino Linotype"/>
          <w:b/>
          <w:bCs/>
          <w:color w:val="000000" w:themeColor="text1"/>
        </w:rPr>
      </w:pPr>
    </w:p>
    <w:p w:rsidR="00AF415A" w:rsidRPr="00277E46" w:rsidRDefault="00A96809" w:rsidP="00277E46">
      <w:pPr>
        <w:spacing w:line="360" w:lineRule="auto"/>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b/>
          <w:bCs/>
          <w:color w:val="000000" w:themeColor="text1"/>
        </w:rPr>
        <w:t xml:space="preserve">TERCERO. Notifíquese </w:t>
      </w:r>
      <w:r w:rsidRPr="00277E46">
        <w:rPr>
          <w:rFonts w:ascii="Palatino Linotype" w:eastAsia="Palatino Linotype" w:hAnsi="Palatino Linotype" w:cs="Palatino Linotype"/>
          <w:color w:val="000000" w:themeColor="text1"/>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277E46">
        <w:rPr>
          <w:rFonts w:ascii="Palatino Linotype" w:eastAsia="Palatino Linotype" w:hAnsi="Palatino Linotype" w:cs="Palatino Linotype"/>
          <w:b/>
          <w:bCs/>
          <w:color w:val="000000" w:themeColor="text1"/>
        </w:rPr>
        <w:t>dé cumplimiento a lo ordenado dentro del plazo de diez días hábiles</w:t>
      </w:r>
      <w:r w:rsidRPr="00277E46">
        <w:rPr>
          <w:rFonts w:ascii="Palatino Linotype" w:eastAsia="Palatino Linotype" w:hAnsi="Palatino Linotype" w:cs="Palatino Linotype"/>
          <w:color w:val="000000" w:themeColor="text1"/>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AF415A" w:rsidRPr="00277E46" w:rsidRDefault="00AF415A" w:rsidP="00277E46">
      <w:pPr>
        <w:spacing w:line="360" w:lineRule="auto"/>
        <w:jc w:val="both"/>
        <w:rPr>
          <w:rFonts w:ascii="Palatino Linotype" w:eastAsia="Palatino Linotype" w:hAnsi="Palatino Linotype" w:cs="Palatino Linotype"/>
          <w:color w:val="000000" w:themeColor="text1"/>
        </w:rPr>
      </w:pPr>
    </w:p>
    <w:p w:rsidR="00AF415A" w:rsidRPr="00277E46" w:rsidRDefault="00A96809" w:rsidP="00277E46">
      <w:pPr>
        <w:spacing w:line="360" w:lineRule="auto"/>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b/>
          <w:bCs/>
          <w:color w:val="000000" w:themeColor="text1"/>
        </w:rPr>
        <w:t xml:space="preserve">CUARTO. </w:t>
      </w:r>
      <w:r w:rsidRPr="00277E46">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277E46">
        <w:rPr>
          <w:rFonts w:ascii="Palatino Linotype" w:eastAsia="Palatino Linotype" w:hAnsi="Palatino Linotype" w:cs="Palatino Linotype"/>
          <w:b/>
          <w:bCs/>
          <w:color w:val="000000" w:themeColor="text1"/>
        </w:rPr>
        <w:t>Sujeto Obligado</w:t>
      </w:r>
      <w:r w:rsidRPr="00277E46">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AF415A" w:rsidRPr="00277E46" w:rsidRDefault="00AF415A" w:rsidP="00277E46">
      <w:pPr>
        <w:spacing w:line="360" w:lineRule="auto"/>
        <w:jc w:val="both"/>
        <w:rPr>
          <w:rFonts w:ascii="Palatino Linotype" w:eastAsia="Palatino Linotype" w:hAnsi="Palatino Linotype" w:cs="Palatino Linotype"/>
          <w:color w:val="000000" w:themeColor="text1"/>
        </w:rPr>
      </w:pPr>
    </w:p>
    <w:p w:rsidR="00AF415A" w:rsidRPr="00277E46" w:rsidRDefault="00A96809" w:rsidP="00277E46">
      <w:pPr>
        <w:tabs>
          <w:tab w:val="left" w:pos="8080"/>
        </w:tabs>
        <w:spacing w:line="360" w:lineRule="auto"/>
        <w:jc w:val="both"/>
        <w:rPr>
          <w:rFonts w:ascii="Palatino Linotype" w:eastAsia="Palatino Linotype" w:hAnsi="Palatino Linotype" w:cs="Palatino Linotype"/>
          <w:color w:val="000000" w:themeColor="text1"/>
        </w:rPr>
      </w:pPr>
      <w:bookmarkStart w:id="8" w:name="_heading=h.xhr981y4g39w" w:colFirst="0" w:colLast="0"/>
      <w:bookmarkEnd w:id="8"/>
      <w:r w:rsidRPr="00277E46">
        <w:rPr>
          <w:rFonts w:ascii="Palatino Linotype" w:eastAsia="Palatino Linotype" w:hAnsi="Palatino Linotype" w:cs="Palatino Linotype"/>
          <w:b/>
          <w:bCs/>
          <w:color w:val="000000" w:themeColor="text1"/>
        </w:rPr>
        <w:t xml:space="preserve">QUINTO. </w:t>
      </w:r>
      <w:r w:rsidRPr="00277E46">
        <w:rPr>
          <w:rFonts w:ascii="Palatino Linotype" w:eastAsia="Palatino Linotype" w:hAnsi="Palatino Linotype" w:cs="Palatino Linotype"/>
          <w:color w:val="000000" w:themeColor="text1"/>
        </w:rPr>
        <w:t xml:space="preserve">Notifíquese al Recurrente la presente resolución, vía </w:t>
      </w:r>
      <w:r w:rsidRPr="00277E46">
        <w:rPr>
          <w:rFonts w:ascii="Palatino Linotype" w:eastAsia="Palatino Linotype" w:hAnsi="Palatino Linotype" w:cs="Palatino Linotype"/>
          <w:b/>
          <w:bCs/>
          <w:color w:val="000000" w:themeColor="text1"/>
        </w:rPr>
        <w:t>SAIMEX</w:t>
      </w:r>
      <w:r w:rsidRPr="00277E46">
        <w:rPr>
          <w:rFonts w:ascii="Palatino Linotype" w:eastAsia="Palatino Linotype" w:hAnsi="Palatino Linotype" w:cs="Palatino Linotype"/>
          <w:color w:val="000000" w:themeColor="text1"/>
        </w:rPr>
        <w:t>.</w:t>
      </w:r>
    </w:p>
    <w:p w:rsidR="00AF415A" w:rsidRPr="00277E46" w:rsidRDefault="00AF415A" w:rsidP="00277E46">
      <w:pPr>
        <w:tabs>
          <w:tab w:val="left" w:pos="8080"/>
        </w:tabs>
        <w:spacing w:line="360" w:lineRule="auto"/>
        <w:jc w:val="both"/>
        <w:rPr>
          <w:rFonts w:ascii="Palatino Linotype" w:eastAsia="Palatino Linotype" w:hAnsi="Palatino Linotype" w:cs="Palatino Linotype"/>
          <w:color w:val="000000" w:themeColor="text1"/>
        </w:rPr>
      </w:pPr>
    </w:p>
    <w:p w:rsidR="00AF415A" w:rsidRPr="00277E46" w:rsidRDefault="00A96809" w:rsidP="00277E46">
      <w:pPr>
        <w:shd w:val="clear" w:color="auto" w:fill="FFFFFF"/>
        <w:spacing w:line="360" w:lineRule="auto"/>
        <w:jc w:val="both"/>
        <w:rPr>
          <w:rFonts w:ascii="Palatino Linotype" w:eastAsia="Palatino Linotype" w:hAnsi="Palatino Linotype" w:cs="Palatino Linotype"/>
          <w:color w:val="000000" w:themeColor="text1"/>
        </w:rPr>
      </w:pPr>
      <w:r w:rsidRPr="00277E46">
        <w:rPr>
          <w:rFonts w:ascii="Palatino Linotype" w:eastAsia="Palatino Linotype" w:hAnsi="Palatino Linotype" w:cs="Palatino Linotype"/>
          <w:b/>
          <w:bCs/>
          <w:color w:val="000000" w:themeColor="text1"/>
        </w:rPr>
        <w:t xml:space="preserve">SEXTO. </w:t>
      </w:r>
      <w:r w:rsidRPr="00277E46">
        <w:rPr>
          <w:rFonts w:ascii="Palatino Linotype" w:eastAsia="Palatino Linotype" w:hAnsi="Palatino Linotype" w:cs="Palatino Linotype"/>
          <w:color w:val="000000" w:themeColor="text1"/>
        </w:rPr>
        <w:t>Se hace del conocimiento del</w:t>
      </w:r>
      <w:r w:rsidRPr="00277E46">
        <w:rPr>
          <w:rFonts w:ascii="Palatino Linotype" w:eastAsia="Palatino Linotype" w:hAnsi="Palatino Linotype" w:cs="Palatino Linotype"/>
          <w:b/>
          <w:bCs/>
          <w:color w:val="000000" w:themeColor="text1"/>
        </w:rPr>
        <w:t xml:space="preserve"> Recurrente </w:t>
      </w:r>
      <w:r w:rsidRPr="00277E46">
        <w:rPr>
          <w:rFonts w:ascii="Palatino Linotype" w:eastAsia="Palatino Linotype" w:hAnsi="Palatino Linotype" w:cs="Palatino Linotype"/>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277E46" w:rsidRPr="00444783" w:rsidRDefault="005A6E2C" w:rsidP="00277E46">
      <w:pPr>
        <w:tabs>
          <w:tab w:val="left" w:pos="5387"/>
        </w:tabs>
        <w:spacing w:line="360" w:lineRule="auto"/>
        <w:ind w:right="49"/>
        <w:jc w:val="both"/>
        <w:rPr>
          <w:rFonts w:ascii="Palatino Linotype" w:eastAsia="Palatino Linotype" w:hAnsi="Palatino Linotype" w:cs="Palatino Linotype"/>
        </w:rPr>
      </w:pPr>
      <w:bookmarkStart w:id="9" w:name="_heading=h.umwzv6bq3ggs" w:colFirst="0" w:colLast="0"/>
      <w:bookmarkEnd w:id="9"/>
      <w:r>
        <w:rPr>
          <w:rFonts w:ascii="Palatino Linotype" w:eastAsia="Palatino Linotype" w:hAnsi="Palatino Linotype" w:cs="Palatino Linotype"/>
        </w:rPr>
        <w:lastRenderedPageBreak/>
        <w:t>ASÍ LO RESUELVE, POR MAYORÍA</w:t>
      </w:r>
      <w:r w:rsidR="00277E46" w:rsidRPr="00575AE2">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themeColor="text1"/>
        </w:rPr>
        <w:t>EMITIENDO VOTO DISIDENTE</w:t>
      </w:r>
      <w:r w:rsidR="00277E46" w:rsidRPr="00575AE2">
        <w:rPr>
          <w:rFonts w:ascii="Palatino Linotype" w:eastAsia="Palatino Linotype" w:hAnsi="Palatino Linotype" w:cs="Palatino Linotype"/>
        </w:rPr>
        <w:t xml:space="preserve">; EN LA </w:t>
      </w:r>
      <w:r w:rsidR="00277E46">
        <w:rPr>
          <w:rFonts w:ascii="Palatino Linotype" w:eastAsia="Palatino Linotype" w:hAnsi="Palatino Linotype" w:cs="Palatino Linotype"/>
        </w:rPr>
        <w:t xml:space="preserve">PRIMERA </w:t>
      </w:r>
      <w:r w:rsidR="00277E46" w:rsidRPr="00575AE2">
        <w:rPr>
          <w:rFonts w:ascii="Palatino Linotype" w:eastAsia="Palatino Linotype" w:hAnsi="Palatino Linotype" w:cs="Palatino Linotype"/>
        </w:rPr>
        <w:t>SESIÓN ORDINARIA, CELEBRADA EL</w:t>
      </w:r>
      <w:r w:rsidR="00277E46">
        <w:rPr>
          <w:rFonts w:ascii="Palatino Linotype" w:eastAsia="Palatino Linotype" w:hAnsi="Palatino Linotype" w:cs="Palatino Linotype"/>
        </w:rPr>
        <w:t xml:space="preserve"> CATORCE (14)</w:t>
      </w:r>
      <w:r w:rsidR="00277E46" w:rsidRPr="00575AE2">
        <w:rPr>
          <w:rFonts w:ascii="Palatino Linotype" w:eastAsia="Palatino Linotype" w:hAnsi="Palatino Linotype" w:cs="Palatino Linotype"/>
        </w:rPr>
        <w:t xml:space="preserve"> DE </w:t>
      </w:r>
      <w:r w:rsidR="00277E46">
        <w:rPr>
          <w:rFonts w:ascii="Palatino Linotype" w:eastAsia="Palatino Linotype" w:hAnsi="Palatino Linotype" w:cs="Palatino Linotype"/>
        </w:rPr>
        <w:t>ENERO D</w:t>
      </w:r>
      <w:r w:rsidR="00277E46" w:rsidRPr="00575AE2">
        <w:rPr>
          <w:rFonts w:ascii="Palatino Linotype" w:eastAsia="Palatino Linotype" w:hAnsi="Palatino Linotype" w:cs="Palatino Linotype"/>
        </w:rPr>
        <w:t>E DOS MIL VEINTI</w:t>
      </w:r>
      <w:r w:rsidR="00277E46">
        <w:rPr>
          <w:rFonts w:ascii="Palatino Linotype" w:eastAsia="Palatino Linotype" w:hAnsi="Palatino Linotype" w:cs="Palatino Linotype"/>
        </w:rPr>
        <w:t>SÉIS,</w:t>
      </w:r>
      <w:r w:rsidR="00277E46" w:rsidRPr="00575AE2">
        <w:rPr>
          <w:rFonts w:ascii="Palatino Linotype" w:eastAsia="Palatino Linotype" w:hAnsi="Palatino Linotype" w:cs="Palatino Linotype"/>
        </w:rPr>
        <w:t xml:space="preserve"> ANTE EL SECRETARIO TÉCNICO DEL PLENO ALEXIS TAPIA RAMÍREZ.</w:t>
      </w:r>
    </w:p>
    <w:p w:rsidR="00AF415A" w:rsidRPr="00277E46" w:rsidRDefault="00A96809" w:rsidP="00277E46">
      <w:pPr>
        <w:rPr>
          <w:rFonts w:ascii="Palatino Linotype" w:eastAsia="Palatino Linotype" w:hAnsi="Palatino Linotype" w:cs="Palatino Linotype"/>
          <w:color w:val="000000" w:themeColor="text1"/>
        </w:rPr>
      </w:pPr>
      <w:r w:rsidRPr="00277E46">
        <w:rPr>
          <w:rFonts w:ascii="Palatino Linotype" w:hAnsi="Palatino Linotype"/>
          <w:color w:val="000000" w:themeColor="text1"/>
        </w:rPr>
        <w:br w:type="page"/>
      </w:r>
    </w:p>
    <w:p w:rsidR="00AF415A" w:rsidRPr="00277E46" w:rsidRDefault="00AF415A" w:rsidP="00277E46">
      <w:pPr>
        <w:spacing w:before="240" w:after="240" w:line="360" w:lineRule="auto"/>
        <w:jc w:val="both"/>
        <w:rPr>
          <w:rFonts w:ascii="Palatino Linotype" w:eastAsia="Palatino Linotype" w:hAnsi="Palatino Linotype" w:cs="Palatino Linotype"/>
          <w:color w:val="000000" w:themeColor="text1"/>
        </w:rPr>
      </w:pPr>
    </w:p>
    <w:p w:rsidR="00AF415A" w:rsidRPr="00277E46" w:rsidRDefault="00AF415A" w:rsidP="00277E46">
      <w:pPr>
        <w:rPr>
          <w:rFonts w:ascii="Palatino Linotype" w:eastAsia="Palatino Linotype" w:hAnsi="Palatino Linotype" w:cs="Palatino Linotype"/>
          <w:color w:val="000000" w:themeColor="text1"/>
        </w:rPr>
      </w:pPr>
    </w:p>
    <w:p w:rsidR="00AF415A" w:rsidRPr="00277E46" w:rsidRDefault="00AF415A" w:rsidP="00277E46">
      <w:pPr>
        <w:spacing w:line="360" w:lineRule="auto"/>
        <w:rPr>
          <w:rFonts w:ascii="Palatino Linotype" w:eastAsia="Palatino Linotype" w:hAnsi="Palatino Linotype" w:cs="Palatino Linotype"/>
          <w:color w:val="000000" w:themeColor="text1"/>
        </w:rPr>
      </w:pPr>
    </w:p>
    <w:p w:rsidR="00AF415A" w:rsidRPr="00277E46" w:rsidRDefault="00AF415A" w:rsidP="00277E46">
      <w:pPr>
        <w:spacing w:line="360" w:lineRule="auto"/>
        <w:rPr>
          <w:rFonts w:ascii="Palatino Linotype" w:eastAsia="Palatino Linotype" w:hAnsi="Palatino Linotype" w:cs="Palatino Linotype"/>
          <w:color w:val="000000" w:themeColor="text1"/>
        </w:rPr>
      </w:pPr>
    </w:p>
    <w:p w:rsidR="00AF415A" w:rsidRPr="00277E46" w:rsidRDefault="00AF415A" w:rsidP="00277E46">
      <w:pPr>
        <w:spacing w:line="360" w:lineRule="auto"/>
        <w:rPr>
          <w:rFonts w:ascii="Palatino Linotype" w:eastAsia="Palatino Linotype" w:hAnsi="Palatino Linotype" w:cs="Palatino Linotype"/>
          <w:color w:val="000000" w:themeColor="text1"/>
        </w:rPr>
      </w:pPr>
    </w:p>
    <w:p w:rsidR="00AF415A" w:rsidRPr="00277E46" w:rsidRDefault="00A96809" w:rsidP="00277E46">
      <w:pPr>
        <w:tabs>
          <w:tab w:val="left" w:pos="3374"/>
        </w:tabs>
        <w:spacing w:line="360" w:lineRule="auto"/>
        <w:rPr>
          <w:rFonts w:ascii="Palatino Linotype" w:eastAsia="Palatino Linotype" w:hAnsi="Palatino Linotype" w:cs="Palatino Linotype"/>
          <w:color w:val="000000" w:themeColor="text1"/>
        </w:rPr>
      </w:pPr>
      <w:bookmarkStart w:id="10" w:name="_heading=h.lnxbz9" w:colFirst="0" w:colLast="0"/>
      <w:bookmarkEnd w:id="10"/>
      <w:r w:rsidRPr="00277E46">
        <w:rPr>
          <w:rFonts w:ascii="Palatino Linotype" w:eastAsia="Palatino Linotype" w:hAnsi="Palatino Linotype" w:cs="Palatino Linotype"/>
          <w:color w:val="000000" w:themeColor="text1"/>
        </w:rPr>
        <w:tab/>
      </w:r>
    </w:p>
    <w:sectPr w:rsidR="00AF415A" w:rsidRPr="00277E46" w:rsidSect="00A92401">
      <w:headerReference w:type="even" r:id="rId13"/>
      <w:headerReference w:type="default" r:id="rId14"/>
      <w:footerReference w:type="default" r:id="rId15"/>
      <w:headerReference w:type="first" r:id="rId16"/>
      <w:footerReference w:type="first" r:id="rId17"/>
      <w:pgSz w:w="12240" w:h="15840"/>
      <w:pgMar w:top="2268" w:right="900"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BDC" w:rsidRDefault="00097BDC">
      <w:r>
        <w:separator/>
      </w:r>
    </w:p>
  </w:endnote>
  <w:endnote w:type="continuationSeparator" w:id="0">
    <w:p w:rsidR="00097BDC" w:rsidRDefault="00097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3FEAAE94-9215-4E84-A1EB-AEF7F2FD72AA}"/>
    <w:embedBold r:id="rId2" w:fontKey="{1D8E51E1-A103-4D69-A681-39F6703FD839}"/>
  </w:font>
  <w:font w:name="Palatino Linotype">
    <w:panose1 w:val="02040502050505030304"/>
    <w:charset w:val="00"/>
    <w:family w:val="roman"/>
    <w:pitch w:val="variable"/>
    <w:sig w:usb0="E0000287" w:usb1="40000013" w:usb2="00000000" w:usb3="00000000" w:csb0="0000019F" w:csb1="00000000"/>
    <w:embedRegular r:id="rId3" w:fontKey="{BADCF493-EDF3-4432-9714-BE3409F27060}"/>
    <w:embedBold r:id="rId4" w:fontKey="{426618E7-BEA9-4FC9-9857-6F27582FE98E}"/>
    <w:embedItalic r:id="rId5" w:fontKey="{3A9D78E0-0AE3-4DBE-8167-8821DA4BD1DE}"/>
    <w:embedBoldItalic r:id="rId6" w:fontKey="{CC1967CD-25C8-4866-B68C-89EACCD99D94}"/>
  </w:font>
  <w:font w:name="Calibri">
    <w:panose1 w:val="020F0502020204030204"/>
    <w:charset w:val="00"/>
    <w:family w:val="swiss"/>
    <w:pitch w:val="variable"/>
    <w:sig w:usb0="E4002EFF" w:usb1="C200247B" w:usb2="00000009" w:usb3="00000000" w:csb0="000001FF" w:csb1="00000000"/>
    <w:embedRegular r:id="rId7" w:fontKey="{D5DFEB31-B916-447F-A446-AE5643E744E9}"/>
    <w:embedBold r:id="rId8" w:fontKey="{4873C254-782C-412A-8B22-72BE82CC2F90}"/>
    <w:embedItalic r:id="rId9" w:fontKey="{C0188E5D-DBA9-4043-AEF5-B34991D9915A}"/>
  </w:font>
  <w:font w:name="Calibri Light">
    <w:panose1 w:val="020F0302020204030204"/>
    <w:charset w:val="00"/>
    <w:family w:val="swiss"/>
    <w:pitch w:val="variable"/>
    <w:sig w:usb0="E4002EFF" w:usb1="C200247B" w:usb2="00000009" w:usb3="00000000" w:csb0="000001FF" w:csb1="00000000"/>
    <w:embedRegular r:id="rId10" w:fontKey="{6907397B-02FB-4A4A-80C5-4D6CAE20544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1" w:fontKey="{DF2010E7-35C2-429D-821F-EA9C15E6B1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15A" w:rsidRPr="00A92401" w:rsidRDefault="00A96809">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A92401">
      <w:rPr>
        <w:rFonts w:ascii="Palatino Linotype" w:eastAsia="Palatino Linotype" w:hAnsi="Palatino Linotype" w:cs="Palatino Linotype"/>
        <w:color w:val="000000"/>
        <w:sz w:val="22"/>
        <w:szCs w:val="20"/>
      </w:rPr>
      <w:t xml:space="preserve">Página </w:t>
    </w:r>
    <w:r w:rsidRPr="00A92401">
      <w:rPr>
        <w:rFonts w:ascii="Palatino Linotype" w:eastAsia="Palatino Linotype" w:hAnsi="Palatino Linotype" w:cs="Palatino Linotype"/>
        <w:color w:val="000000"/>
        <w:sz w:val="22"/>
        <w:szCs w:val="20"/>
      </w:rPr>
      <w:fldChar w:fldCharType="begin"/>
    </w:r>
    <w:r w:rsidRPr="00A92401">
      <w:rPr>
        <w:rFonts w:ascii="Palatino Linotype" w:eastAsia="Palatino Linotype" w:hAnsi="Palatino Linotype" w:cs="Palatino Linotype"/>
        <w:color w:val="000000"/>
        <w:sz w:val="22"/>
        <w:szCs w:val="20"/>
      </w:rPr>
      <w:instrText>PAGE</w:instrText>
    </w:r>
    <w:r w:rsidRPr="00A92401">
      <w:rPr>
        <w:rFonts w:ascii="Palatino Linotype" w:eastAsia="Palatino Linotype" w:hAnsi="Palatino Linotype" w:cs="Palatino Linotype"/>
        <w:color w:val="000000"/>
        <w:sz w:val="22"/>
        <w:szCs w:val="20"/>
      </w:rPr>
      <w:fldChar w:fldCharType="separate"/>
    </w:r>
    <w:r w:rsidR="00A92401">
      <w:rPr>
        <w:rFonts w:ascii="Palatino Linotype" w:eastAsia="Palatino Linotype" w:hAnsi="Palatino Linotype" w:cs="Palatino Linotype"/>
        <w:noProof/>
        <w:color w:val="000000"/>
        <w:sz w:val="22"/>
        <w:szCs w:val="20"/>
      </w:rPr>
      <w:t>21</w:t>
    </w:r>
    <w:r w:rsidRPr="00A92401">
      <w:rPr>
        <w:rFonts w:ascii="Palatino Linotype" w:eastAsia="Palatino Linotype" w:hAnsi="Palatino Linotype" w:cs="Palatino Linotype"/>
        <w:color w:val="000000"/>
        <w:sz w:val="22"/>
        <w:szCs w:val="20"/>
      </w:rPr>
      <w:fldChar w:fldCharType="end"/>
    </w:r>
    <w:r w:rsidRPr="00A92401">
      <w:rPr>
        <w:rFonts w:ascii="Palatino Linotype" w:eastAsia="Palatino Linotype" w:hAnsi="Palatino Linotype" w:cs="Palatino Linotype"/>
        <w:color w:val="000000"/>
        <w:sz w:val="22"/>
        <w:szCs w:val="20"/>
      </w:rPr>
      <w:t xml:space="preserve"> de </w:t>
    </w:r>
    <w:r w:rsidRPr="00A92401">
      <w:rPr>
        <w:rFonts w:ascii="Palatino Linotype" w:eastAsia="Palatino Linotype" w:hAnsi="Palatino Linotype" w:cs="Palatino Linotype"/>
        <w:color w:val="000000"/>
        <w:sz w:val="22"/>
        <w:szCs w:val="20"/>
      </w:rPr>
      <w:fldChar w:fldCharType="begin"/>
    </w:r>
    <w:r w:rsidRPr="00A92401">
      <w:rPr>
        <w:rFonts w:ascii="Palatino Linotype" w:eastAsia="Palatino Linotype" w:hAnsi="Palatino Linotype" w:cs="Palatino Linotype"/>
        <w:color w:val="000000"/>
        <w:sz w:val="22"/>
        <w:szCs w:val="20"/>
      </w:rPr>
      <w:instrText>NUMPAGES</w:instrText>
    </w:r>
    <w:r w:rsidRPr="00A92401">
      <w:rPr>
        <w:rFonts w:ascii="Palatino Linotype" w:eastAsia="Palatino Linotype" w:hAnsi="Palatino Linotype" w:cs="Palatino Linotype"/>
        <w:color w:val="000000"/>
        <w:sz w:val="22"/>
        <w:szCs w:val="20"/>
      </w:rPr>
      <w:fldChar w:fldCharType="separate"/>
    </w:r>
    <w:r w:rsidR="00A92401">
      <w:rPr>
        <w:rFonts w:ascii="Palatino Linotype" w:eastAsia="Palatino Linotype" w:hAnsi="Palatino Linotype" w:cs="Palatino Linotype"/>
        <w:noProof/>
        <w:color w:val="000000"/>
        <w:sz w:val="22"/>
        <w:szCs w:val="20"/>
      </w:rPr>
      <w:t>27</w:t>
    </w:r>
    <w:r w:rsidRPr="00A92401">
      <w:rPr>
        <w:rFonts w:ascii="Palatino Linotype" w:eastAsia="Palatino Linotype" w:hAnsi="Palatino Linotype" w:cs="Palatino Linotype"/>
        <w:color w:val="000000"/>
        <w:sz w:val="22"/>
        <w:szCs w:val="20"/>
      </w:rPr>
      <w:fldChar w:fldCharType="end"/>
    </w:r>
  </w:p>
  <w:p w:rsidR="00AF415A" w:rsidRDefault="00AF415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15A" w:rsidRPr="00A92401" w:rsidRDefault="00A96809">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A92401">
      <w:rPr>
        <w:rFonts w:ascii="Palatino Linotype" w:eastAsia="Palatino Linotype" w:hAnsi="Palatino Linotype" w:cs="Palatino Linotype"/>
        <w:color w:val="000000"/>
        <w:sz w:val="22"/>
        <w:szCs w:val="20"/>
      </w:rPr>
      <w:t xml:space="preserve">Página </w:t>
    </w:r>
    <w:r w:rsidRPr="00A92401">
      <w:rPr>
        <w:rFonts w:ascii="Palatino Linotype" w:eastAsia="Palatino Linotype" w:hAnsi="Palatino Linotype" w:cs="Palatino Linotype"/>
        <w:color w:val="000000"/>
        <w:sz w:val="22"/>
        <w:szCs w:val="20"/>
      </w:rPr>
      <w:fldChar w:fldCharType="begin"/>
    </w:r>
    <w:r w:rsidRPr="00A92401">
      <w:rPr>
        <w:rFonts w:ascii="Palatino Linotype" w:eastAsia="Palatino Linotype" w:hAnsi="Palatino Linotype" w:cs="Palatino Linotype"/>
        <w:color w:val="000000"/>
        <w:sz w:val="22"/>
        <w:szCs w:val="20"/>
      </w:rPr>
      <w:instrText>PAGE</w:instrText>
    </w:r>
    <w:r w:rsidRPr="00A92401">
      <w:rPr>
        <w:rFonts w:ascii="Palatino Linotype" w:eastAsia="Palatino Linotype" w:hAnsi="Palatino Linotype" w:cs="Palatino Linotype"/>
        <w:color w:val="000000"/>
        <w:sz w:val="22"/>
        <w:szCs w:val="20"/>
      </w:rPr>
      <w:fldChar w:fldCharType="separate"/>
    </w:r>
    <w:r w:rsidR="00A92401">
      <w:rPr>
        <w:rFonts w:ascii="Palatino Linotype" w:eastAsia="Palatino Linotype" w:hAnsi="Palatino Linotype" w:cs="Palatino Linotype"/>
        <w:noProof/>
        <w:color w:val="000000"/>
        <w:sz w:val="22"/>
        <w:szCs w:val="20"/>
      </w:rPr>
      <w:t>1</w:t>
    </w:r>
    <w:r w:rsidRPr="00A92401">
      <w:rPr>
        <w:rFonts w:ascii="Palatino Linotype" w:eastAsia="Palatino Linotype" w:hAnsi="Palatino Linotype" w:cs="Palatino Linotype"/>
        <w:color w:val="000000"/>
        <w:sz w:val="22"/>
        <w:szCs w:val="20"/>
      </w:rPr>
      <w:fldChar w:fldCharType="end"/>
    </w:r>
    <w:r w:rsidRPr="00A92401">
      <w:rPr>
        <w:rFonts w:ascii="Palatino Linotype" w:eastAsia="Palatino Linotype" w:hAnsi="Palatino Linotype" w:cs="Palatino Linotype"/>
        <w:color w:val="000000"/>
        <w:sz w:val="22"/>
        <w:szCs w:val="20"/>
      </w:rPr>
      <w:t xml:space="preserve"> de </w:t>
    </w:r>
    <w:r w:rsidRPr="00A92401">
      <w:rPr>
        <w:rFonts w:ascii="Palatino Linotype" w:eastAsia="Palatino Linotype" w:hAnsi="Palatino Linotype" w:cs="Palatino Linotype"/>
        <w:color w:val="000000"/>
        <w:sz w:val="22"/>
        <w:szCs w:val="20"/>
      </w:rPr>
      <w:fldChar w:fldCharType="begin"/>
    </w:r>
    <w:r w:rsidRPr="00A92401">
      <w:rPr>
        <w:rFonts w:ascii="Palatino Linotype" w:eastAsia="Palatino Linotype" w:hAnsi="Palatino Linotype" w:cs="Palatino Linotype"/>
        <w:color w:val="000000"/>
        <w:sz w:val="22"/>
        <w:szCs w:val="20"/>
      </w:rPr>
      <w:instrText>NUMPAGES</w:instrText>
    </w:r>
    <w:r w:rsidRPr="00A92401">
      <w:rPr>
        <w:rFonts w:ascii="Palatino Linotype" w:eastAsia="Palatino Linotype" w:hAnsi="Palatino Linotype" w:cs="Palatino Linotype"/>
        <w:color w:val="000000"/>
        <w:sz w:val="22"/>
        <w:szCs w:val="20"/>
      </w:rPr>
      <w:fldChar w:fldCharType="separate"/>
    </w:r>
    <w:r w:rsidR="00A92401">
      <w:rPr>
        <w:rFonts w:ascii="Palatino Linotype" w:eastAsia="Palatino Linotype" w:hAnsi="Palatino Linotype" w:cs="Palatino Linotype"/>
        <w:noProof/>
        <w:color w:val="000000"/>
        <w:sz w:val="22"/>
        <w:szCs w:val="20"/>
      </w:rPr>
      <w:t>27</w:t>
    </w:r>
    <w:r w:rsidRPr="00A92401">
      <w:rPr>
        <w:rFonts w:ascii="Palatino Linotype" w:eastAsia="Palatino Linotype" w:hAnsi="Palatino Linotype" w:cs="Palatino Linotype"/>
        <w:color w:val="000000"/>
        <w:sz w:val="22"/>
        <w:szCs w:val="20"/>
      </w:rPr>
      <w:fldChar w:fldCharType="end"/>
    </w:r>
  </w:p>
  <w:p w:rsidR="00AF415A" w:rsidRDefault="00AF415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BDC" w:rsidRDefault="00097BDC">
      <w:r>
        <w:separator/>
      </w:r>
    </w:p>
  </w:footnote>
  <w:footnote w:type="continuationSeparator" w:id="0">
    <w:p w:rsidR="00097BDC" w:rsidRDefault="00097B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15A" w:rsidRDefault="00097BDC">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087" w:type="dxa"/>
      <w:tblInd w:w="3544" w:type="dxa"/>
      <w:tblLayout w:type="fixed"/>
      <w:tblLook w:val="0400" w:firstRow="0" w:lastRow="0" w:firstColumn="0" w:lastColumn="0" w:noHBand="0" w:noVBand="1"/>
    </w:tblPr>
    <w:tblGrid>
      <w:gridCol w:w="2835"/>
      <w:gridCol w:w="4252"/>
    </w:tblGrid>
    <w:tr w:rsidR="00AF415A" w:rsidTr="00A92401">
      <w:trPr>
        <w:trHeight w:val="227"/>
      </w:trPr>
      <w:tc>
        <w:tcPr>
          <w:tcW w:w="2835" w:type="dxa"/>
        </w:tcPr>
        <w:p w:rsidR="00AF415A" w:rsidRPr="00277E46" w:rsidRDefault="00A96809" w:rsidP="00277E46">
          <w:pPr>
            <w:jc w:val="right"/>
            <w:rPr>
              <w:rFonts w:ascii="Palatino Linotype" w:eastAsia="Palatino Linotype" w:hAnsi="Palatino Linotype" w:cs="Palatino Linotype"/>
              <w:b/>
              <w:bCs/>
            </w:rPr>
          </w:pPr>
          <w:r w:rsidRPr="00277E46">
            <w:rPr>
              <w:rFonts w:ascii="Palatino Linotype" w:eastAsia="Palatino Linotype" w:hAnsi="Palatino Linotype" w:cs="Palatino Linotype"/>
              <w:b/>
              <w:bCs/>
            </w:rPr>
            <w:t>Recurso de Revisión:</w:t>
          </w:r>
        </w:p>
      </w:tc>
      <w:tc>
        <w:tcPr>
          <w:tcW w:w="4252" w:type="dxa"/>
        </w:tcPr>
        <w:p w:rsidR="00AF415A" w:rsidRPr="00277E46" w:rsidRDefault="00A96809" w:rsidP="00277E46">
          <w:pPr>
            <w:pBdr>
              <w:top w:val="nil"/>
              <w:left w:val="nil"/>
              <w:bottom w:val="nil"/>
              <w:right w:val="nil"/>
              <w:between w:val="nil"/>
            </w:pBdr>
            <w:tabs>
              <w:tab w:val="right" w:pos="8838"/>
            </w:tabs>
            <w:ind w:right="-1285"/>
            <w:rPr>
              <w:rFonts w:ascii="Palatino Linotype" w:eastAsia="Palatino Linotype" w:hAnsi="Palatino Linotype" w:cs="Palatino Linotype"/>
              <w:color w:val="000000"/>
              <w:highlight w:val="green"/>
            </w:rPr>
          </w:pPr>
          <w:r w:rsidRPr="00277E46">
            <w:rPr>
              <w:rFonts w:ascii="Palatino Linotype" w:eastAsia="Palatino Linotype" w:hAnsi="Palatino Linotype" w:cs="Palatino Linotype"/>
              <w:color w:val="000000"/>
            </w:rPr>
            <w:t>7778/INFOEM/IP/RR/2025</w:t>
          </w:r>
        </w:p>
      </w:tc>
    </w:tr>
    <w:tr w:rsidR="00AF415A" w:rsidTr="00A92401">
      <w:trPr>
        <w:trHeight w:val="342"/>
      </w:trPr>
      <w:tc>
        <w:tcPr>
          <w:tcW w:w="2835" w:type="dxa"/>
        </w:tcPr>
        <w:p w:rsidR="00AF415A" w:rsidRPr="00277E46" w:rsidRDefault="00A96809" w:rsidP="00277E46">
          <w:pPr>
            <w:jc w:val="right"/>
            <w:rPr>
              <w:rFonts w:ascii="Palatino Linotype" w:eastAsia="Palatino Linotype" w:hAnsi="Palatino Linotype" w:cs="Palatino Linotype"/>
              <w:b/>
              <w:bCs/>
            </w:rPr>
          </w:pPr>
          <w:r w:rsidRPr="00277E46">
            <w:rPr>
              <w:rFonts w:ascii="Palatino Linotype" w:eastAsia="Palatino Linotype" w:hAnsi="Palatino Linotype" w:cs="Palatino Linotype"/>
              <w:b/>
              <w:bCs/>
            </w:rPr>
            <w:t>Sujeto Obligado:</w:t>
          </w:r>
        </w:p>
      </w:tc>
      <w:tc>
        <w:tcPr>
          <w:tcW w:w="4252" w:type="dxa"/>
        </w:tcPr>
        <w:p w:rsidR="00AF415A" w:rsidRPr="00277E46" w:rsidRDefault="00A96809" w:rsidP="00277E46">
          <w:pPr>
            <w:pBdr>
              <w:top w:val="nil"/>
              <w:left w:val="nil"/>
              <w:bottom w:val="nil"/>
              <w:right w:val="nil"/>
              <w:between w:val="nil"/>
            </w:pBdr>
            <w:tabs>
              <w:tab w:val="right" w:pos="8838"/>
            </w:tabs>
            <w:jc w:val="both"/>
            <w:rPr>
              <w:rFonts w:ascii="Palatino Linotype" w:eastAsia="Palatino Linotype" w:hAnsi="Palatino Linotype" w:cs="Palatino Linotype"/>
              <w:color w:val="000000"/>
              <w:highlight w:val="green"/>
            </w:rPr>
          </w:pPr>
          <w:r w:rsidRPr="00277E46">
            <w:rPr>
              <w:rFonts w:ascii="Palatino Linotype" w:eastAsia="Palatino Linotype" w:hAnsi="Palatino Linotype" w:cs="Palatino Linotype"/>
              <w:color w:val="000000"/>
            </w:rPr>
            <w:t>Ayuntamiento de Toluca</w:t>
          </w:r>
        </w:p>
      </w:tc>
    </w:tr>
    <w:tr w:rsidR="00AF415A" w:rsidTr="00A92401">
      <w:trPr>
        <w:trHeight w:val="342"/>
      </w:trPr>
      <w:tc>
        <w:tcPr>
          <w:tcW w:w="2835" w:type="dxa"/>
        </w:tcPr>
        <w:p w:rsidR="00AF415A" w:rsidRPr="00277E46" w:rsidRDefault="00A96809" w:rsidP="00277E46">
          <w:pPr>
            <w:jc w:val="right"/>
            <w:rPr>
              <w:rFonts w:ascii="Palatino Linotype" w:eastAsia="Palatino Linotype" w:hAnsi="Palatino Linotype" w:cs="Palatino Linotype"/>
              <w:b/>
              <w:bCs/>
            </w:rPr>
          </w:pPr>
          <w:r w:rsidRPr="00277E46">
            <w:rPr>
              <w:rFonts w:ascii="Palatino Linotype" w:eastAsia="Palatino Linotype" w:hAnsi="Palatino Linotype" w:cs="Palatino Linotype"/>
              <w:b/>
              <w:bCs/>
            </w:rPr>
            <w:t>Comisionada Ponente:</w:t>
          </w:r>
        </w:p>
      </w:tc>
      <w:tc>
        <w:tcPr>
          <w:tcW w:w="4252" w:type="dxa"/>
        </w:tcPr>
        <w:p w:rsidR="00AF415A" w:rsidRPr="00277E46" w:rsidRDefault="00A96809" w:rsidP="00277E46">
          <w:pPr>
            <w:pBdr>
              <w:top w:val="nil"/>
              <w:left w:val="nil"/>
              <w:bottom w:val="nil"/>
              <w:right w:val="nil"/>
              <w:between w:val="nil"/>
            </w:pBdr>
            <w:tabs>
              <w:tab w:val="right" w:pos="8838"/>
            </w:tabs>
            <w:ind w:right="-1285"/>
            <w:rPr>
              <w:rFonts w:ascii="Palatino Linotype" w:eastAsia="Palatino Linotype" w:hAnsi="Palatino Linotype" w:cs="Palatino Linotype"/>
              <w:color w:val="000000"/>
            </w:rPr>
          </w:pPr>
          <w:r w:rsidRPr="00277E46">
            <w:rPr>
              <w:rFonts w:ascii="Palatino Linotype" w:eastAsia="Palatino Linotype" w:hAnsi="Palatino Linotype" w:cs="Palatino Linotype"/>
              <w:color w:val="000000"/>
            </w:rPr>
            <w:t>María del Rosario Mejía Ayala</w:t>
          </w:r>
        </w:p>
      </w:tc>
    </w:tr>
  </w:tbl>
  <w:p w:rsidR="00AF415A" w:rsidRDefault="00097BDC">
    <w:pPr>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70.05pt;margin-top:-116.2pt;width:609.4pt;height:793.75pt;z-index:-251659776;mso-position-horizontal-relative:margin;mso-position-vertical-relative:margin">
          <v:imagedata r:id="rId1" o:title="image6"/>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087" w:type="dxa"/>
      <w:tblInd w:w="3544" w:type="dxa"/>
      <w:tblLayout w:type="fixed"/>
      <w:tblLook w:val="0400" w:firstRow="0" w:lastRow="0" w:firstColumn="0" w:lastColumn="0" w:noHBand="0" w:noVBand="1"/>
    </w:tblPr>
    <w:tblGrid>
      <w:gridCol w:w="2835"/>
      <w:gridCol w:w="4252"/>
    </w:tblGrid>
    <w:tr w:rsidR="00AF415A" w:rsidTr="00A92401">
      <w:trPr>
        <w:trHeight w:val="227"/>
      </w:trPr>
      <w:tc>
        <w:tcPr>
          <w:tcW w:w="2835" w:type="dxa"/>
        </w:tcPr>
        <w:p w:rsidR="00AF415A" w:rsidRPr="00277E46" w:rsidRDefault="00A96809">
          <w:pPr>
            <w:jc w:val="right"/>
            <w:rPr>
              <w:rFonts w:ascii="Palatino Linotype" w:eastAsia="Palatino Linotype" w:hAnsi="Palatino Linotype" w:cs="Palatino Linotype"/>
              <w:b/>
              <w:bCs/>
            </w:rPr>
          </w:pPr>
          <w:r w:rsidRPr="00277E46">
            <w:rPr>
              <w:rFonts w:ascii="Palatino Linotype" w:eastAsia="Palatino Linotype" w:hAnsi="Palatino Linotype" w:cs="Palatino Linotype"/>
              <w:b/>
              <w:bCs/>
            </w:rPr>
            <w:t>Recurso de Revisión:</w:t>
          </w:r>
        </w:p>
      </w:tc>
      <w:tc>
        <w:tcPr>
          <w:tcW w:w="4252" w:type="dxa"/>
        </w:tcPr>
        <w:p w:rsidR="00AF415A" w:rsidRPr="00277E46" w:rsidRDefault="00A96809">
          <w:pPr>
            <w:pBdr>
              <w:top w:val="nil"/>
              <w:left w:val="nil"/>
              <w:bottom w:val="nil"/>
              <w:right w:val="nil"/>
              <w:between w:val="nil"/>
            </w:pBdr>
            <w:tabs>
              <w:tab w:val="right" w:pos="8838"/>
            </w:tabs>
            <w:ind w:right="-1285"/>
            <w:rPr>
              <w:rFonts w:ascii="Palatino Linotype" w:eastAsia="Palatino Linotype" w:hAnsi="Palatino Linotype" w:cs="Palatino Linotype"/>
              <w:color w:val="000000"/>
              <w:highlight w:val="green"/>
            </w:rPr>
          </w:pPr>
          <w:r w:rsidRPr="00277E46">
            <w:rPr>
              <w:rFonts w:ascii="Palatino Linotype" w:eastAsia="Palatino Linotype" w:hAnsi="Palatino Linotype" w:cs="Palatino Linotype"/>
              <w:color w:val="000000"/>
            </w:rPr>
            <w:t>7778/INFOEM/IP/RR/2025</w:t>
          </w:r>
        </w:p>
      </w:tc>
    </w:tr>
    <w:tr w:rsidR="00AF415A" w:rsidTr="00A92401">
      <w:trPr>
        <w:trHeight w:val="242"/>
      </w:trPr>
      <w:tc>
        <w:tcPr>
          <w:tcW w:w="2835" w:type="dxa"/>
        </w:tcPr>
        <w:p w:rsidR="00AF415A" w:rsidRPr="00277E46" w:rsidRDefault="00A96809">
          <w:pPr>
            <w:jc w:val="right"/>
            <w:rPr>
              <w:rFonts w:ascii="Palatino Linotype" w:eastAsia="Palatino Linotype" w:hAnsi="Palatino Linotype" w:cs="Palatino Linotype"/>
              <w:b/>
              <w:bCs/>
            </w:rPr>
          </w:pPr>
          <w:r w:rsidRPr="00277E46">
            <w:rPr>
              <w:rFonts w:ascii="Palatino Linotype" w:eastAsia="Palatino Linotype" w:hAnsi="Palatino Linotype" w:cs="Palatino Linotype"/>
              <w:b/>
              <w:bCs/>
            </w:rPr>
            <w:t>Recurrente:</w:t>
          </w:r>
        </w:p>
      </w:tc>
      <w:tc>
        <w:tcPr>
          <w:tcW w:w="4252" w:type="dxa"/>
        </w:tcPr>
        <w:p w:rsidR="00AF415A" w:rsidRPr="00277E46" w:rsidRDefault="00AF415A"/>
      </w:tc>
    </w:tr>
    <w:tr w:rsidR="00AF415A" w:rsidTr="00A92401">
      <w:trPr>
        <w:trHeight w:val="342"/>
      </w:trPr>
      <w:tc>
        <w:tcPr>
          <w:tcW w:w="2835" w:type="dxa"/>
        </w:tcPr>
        <w:p w:rsidR="00AF415A" w:rsidRPr="00277E46" w:rsidRDefault="00A96809">
          <w:pPr>
            <w:jc w:val="right"/>
            <w:rPr>
              <w:rFonts w:ascii="Palatino Linotype" w:eastAsia="Palatino Linotype" w:hAnsi="Palatino Linotype" w:cs="Palatino Linotype"/>
              <w:b/>
              <w:bCs/>
            </w:rPr>
          </w:pPr>
          <w:r w:rsidRPr="00277E46">
            <w:rPr>
              <w:rFonts w:ascii="Palatino Linotype" w:eastAsia="Palatino Linotype" w:hAnsi="Palatino Linotype" w:cs="Palatino Linotype"/>
              <w:b/>
              <w:bCs/>
            </w:rPr>
            <w:t>Sujeto Obligado:</w:t>
          </w:r>
        </w:p>
      </w:tc>
      <w:tc>
        <w:tcPr>
          <w:tcW w:w="4252" w:type="dxa"/>
        </w:tcPr>
        <w:p w:rsidR="00AF415A" w:rsidRPr="00277E46" w:rsidRDefault="00A96809">
          <w:pPr>
            <w:pBdr>
              <w:top w:val="nil"/>
              <w:left w:val="nil"/>
              <w:bottom w:val="nil"/>
              <w:right w:val="nil"/>
              <w:between w:val="nil"/>
            </w:pBdr>
            <w:tabs>
              <w:tab w:val="right" w:pos="8838"/>
            </w:tabs>
            <w:jc w:val="both"/>
            <w:rPr>
              <w:rFonts w:ascii="Palatino Linotype" w:eastAsia="Palatino Linotype" w:hAnsi="Palatino Linotype" w:cs="Palatino Linotype"/>
              <w:color w:val="000000"/>
              <w:highlight w:val="green"/>
            </w:rPr>
          </w:pPr>
          <w:r w:rsidRPr="00277E46">
            <w:rPr>
              <w:rFonts w:ascii="Palatino Linotype" w:eastAsia="Palatino Linotype" w:hAnsi="Palatino Linotype" w:cs="Palatino Linotype"/>
              <w:color w:val="000000"/>
            </w:rPr>
            <w:t>Ayuntamiento de Toluca</w:t>
          </w:r>
        </w:p>
      </w:tc>
    </w:tr>
    <w:tr w:rsidR="00AF415A" w:rsidTr="00A92401">
      <w:trPr>
        <w:trHeight w:val="342"/>
      </w:trPr>
      <w:tc>
        <w:tcPr>
          <w:tcW w:w="2835" w:type="dxa"/>
        </w:tcPr>
        <w:p w:rsidR="00AF415A" w:rsidRPr="00277E46" w:rsidRDefault="00A96809">
          <w:pPr>
            <w:jc w:val="right"/>
            <w:rPr>
              <w:rFonts w:ascii="Palatino Linotype" w:eastAsia="Palatino Linotype" w:hAnsi="Palatino Linotype" w:cs="Palatino Linotype"/>
              <w:b/>
              <w:bCs/>
            </w:rPr>
          </w:pPr>
          <w:r w:rsidRPr="00277E46">
            <w:rPr>
              <w:rFonts w:ascii="Palatino Linotype" w:eastAsia="Palatino Linotype" w:hAnsi="Palatino Linotype" w:cs="Palatino Linotype"/>
              <w:b/>
              <w:bCs/>
            </w:rPr>
            <w:t>Comisionada Ponente:</w:t>
          </w:r>
        </w:p>
      </w:tc>
      <w:tc>
        <w:tcPr>
          <w:tcW w:w="4252" w:type="dxa"/>
        </w:tcPr>
        <w:p w:rsidR="00AF415A" w:rsidRPr="00277E46" w:rsidRDefault="00A96809">
          <w:pPr>
            <w:pBdr>
              <w:top w:val="nil"/>
              <w:left w:val="nil"/>
              <w:bottom w:val="nil"/>
              <w:right w:val="nil"/>
              <w:between w:val="nil"/>
            </w:pBdr>
            <w:tabs>
              <w:tab w:val="right" w:pos="8838"/>
            </w:tabs>
            <w:ind w:right="-1285"/>
            <w:rPr>
              <w:rFonts w:ascii="Palatino Linotype" w:eastAsia="Palatino Linotype" w:hAnsi="Palatino Linotype" w:cs="Palatino Linotype"/>
              <w:color w:val="000000"/>
            </w:rPr>
          </w:pPr>
          <w:r w:rsidRPr="00277E46">
            <w:rPr>
              <w:rFonts w:ascii="Palatino Linotype" w:eastAsia="Palatino Linotype" w:hAnsi="Palatino Linotype" w:cs="Palatino Linotype"/>
              <w:color w:val="000000"/>
            </w:rPr>
            <w:t>María del Rosario Mejía Ayala</w:t>
          </w:r>
        </w:p>
      </w:tc>
    </w:tr>
  </w:tbl>
  <w:p w:rsidR="00AF415A" w:rsidRDefault="00097BDC">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66.05pt;margin-top:-115.9pt;width:609.4pt;height:793.75pt;z-index:-251658752;mso-position-horizontal-relative:margin;mso-position-vertical-relative:margin">
          <v:imagedata r:id="rId1" o:title="image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07E2C"/>
    <w:multiLevelType w:val="hybridMultilevel"/>
    <w:tmpl w:val="BF3E48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B636E7"/>
    <w:multiLevelType w:val="multilevel"/>
    <w:tmpl w:val="E7D68194"/>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15:restartNumberingAfterBreak="0">
    <w:nsid w:val="35A25291"/>
    <w:multiLevelType w:val="multilevel"/>
    <w:tmpl w:val="B2C4995C"/>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 w15:restartNumberingAfterBreak="0">
    <w:nsid w:val="54CE17D2"/>
    <w:multiLevelType w:val="multilevel"/>
    <w:tmpl w:val="0518E85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 w15:restartNumberingAfterBreak="0">
    <w:nsid w:val="55B5474B"/>
    <w:multiLevelType w:val="multilevel"/>
    <w:tmpl w:val="91D66158"/>
    <w:lvl w:ilvl="0">
      <w:start w:val="1"/>
      <w:numFmt w:val="bullet"/>
      <w:pStyle w:val="Listaconvietas2"/>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5" w15:restartNumberingAfterBreak="0">
    <w:nsid w:val="6DC571FC"/>
    <w:multiLevelType w:val="multilevel"/>
    <w:tmpl w:val="20AA6A8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B04181B"/>
    <w:multiLevelType w:val="multilevel"/>
    <w:tmpl w:val="CEE0FB62"/>
    <w:lvl w:ilvl="0">
      <w:start w:val="1"/>
      <w:numFmt w:val="decimal"/>
      <w:lvlText w:val="%1."/>
      <w:lvlJc w:val="left"/>
      <w:pPr>
        <w:ind w:left="2629" w:hanging="360"/>
      </w:pPr>
      <w:rPr>
        <w:rFonts w:ascii="Palatino Linotype" w:eastAsia="Palatino Linotype" w:hAnsi="Palatino Linotype" w:cs="Palatino Linotype"/>
        <w:b/>
        <w:bCs/>
        <w:i w:val="0"/>
        <w:iCs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bC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6"/>
  </w:num>
  <w:num w:numId="3">
    <w:abstractNumId w:val="4"/>
  </w:num>
  <w:num w:numId="4">
    <w:abstractNumId w:val="5"/>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15A"/>
    <w:rsid w:val="00097BDC"/>
    <w:rsid w:val="00097F2F"/>
    <w:rsid w:val="00277E46"/>
    <w:rsid w:val="005A6E2C"/>
    <w:rsid w:val="00785652"/>
    <w:rsid w:val="00A92401"/>
    <w:rsid w:val="00A96809"/>
    <w:rsid w:val="00AA0AEF"/>
    <w:rsid w:val="00AF415A"/>
    <w:rsid w:val="00DD29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AAD2B23-AFAA-4068-BF3D-5A98AC49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table" w:customStyle="1" w:styleId="13">
    <w:name w:val="13"/>
    <w:basedOn w:val="TableNormal10"/>
    <w:tblPr>
      <w:tblStyleRowBandSize w:val="1"/>
      <w:tblStyleColBandSize w:val="1"/>
      <w:tblCellMar>
        <w:left w:w="70" w:type="dxa"/>
        <w:right w:w="70" w:type="dxa"/>
      </w:tblCellMar>
    </w:tblPr>
  </w:style>
  <w:style w:type="table" w:customStyle="1" w:styleId="12">
    <w:name w:val="12"/>
    <w:basedOn w:val="TableNormal10"/>
    <w:tblPr>
      <w:tblStyleRowBandSize w:val="1"/>
      <w:tblStyleColBandSize w:val="1"/>
      <w:tblCellMar>
        <w:left w:w="70" w:type="dxa"/>
        <w:right w:w="70" w:type="dxa"/>
      </w:tblCellMar>
    </w:tblPr>
  </w:style>
  <w:style w:type="table" w:customStyle="1" w:styleId="11">
    <w:name w:val="11"/>
    <w:basedOn w:val="TableNormal10"/>
    <w:tblPr>
      <w:tblStyleRowBandSize w:val="1"/>
      <w:tblStyleColBandSize w:val="1"/>
      <w:tblCellMar>
        <w:left w:w="115" w:type="dxa"/>
        <w:right w:w="115" w:type="dxa"/>
      </w:tblCellMar>
    </w:tblPr>
  </w:style>
  <w:style w:type="table" w:customStyle="1" w:styleId="10">
    <w:name w:val="10"/>
    <w:basedOn w:val="TableNormal10"/>
    <w:tblPr>
      <w:tblStyleRowBandSize w:val="1"/>
      <w:tblStyleColBandSize w:val="1"/>
      <w:tblCellMar>
        <w:left w:w="70" w:type="dxa"/>
        <w:right w:w="70" w:type="dxa"/>
      </w:tblCellMar>
    </w:tblPr>
  </w:style>
  <w:style w:type="table" w:customStyle="1" w:styleId="9">
    <w:name w:val="9"/>
    <w:basedOn w:val="TableNormal10"/>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3"/>
      </w:numPr>
      <w:contextualSpacing/>
    </w:pPr>
    <w:rPr>
      <w:rFonts w:ascii="Times New Roman" w:eastAsia="Times New Roman" w:hAnsi="Times New Roman" w:cs="Times New Roman"/>
      <w:sz w:val="20"/>
      <w:szCs w:val="20"/>
    </w:rPr>
  </w:style>
  <w:style w:type="table" w:customStyle="1" w:styleId="8">
    <w:name w:val="8"/>
    <w:basedOn w:val="TableNormal2"/>
    <w:tblPr>
      <w:tblStyleRowBandSize w:val="1"/>
      <w:tblStyleColBandSize w:val="1"/>
      <w:tblCellMar>
        <w:left w:w="115" w:type="dxa"/>
        <w:right w:w="115" w:type="dxa"/>
      </w:tblCellMar>
    </w:tblPr>
  </w:style>
  <w:style w:type="table" w:customStyle="1" w:styleId="7">
    <w:name w:val="7"/>
    <w:basedOn w:val="TableNormal2"/>
    <w:tblPr>
      <w:tblStyleRowBandSize w:val="1"/>
      <w:tblStyleColBandSize w:val="1"/>
      <w:tblCellMar>
        <w:left w:w="115" w:type="dxa"/>
        <w:right w:w="115" w:type="dxa"/>
      </w:tblCellMar>
    </w:tblPr>
  </w:style>
  <w:style w:type="table" w:customStyle="1" w:styleId="6">
    <w:name w:val="6"/>
    <w:basedOn w:val="TableNormal2"/>
    <w:tblPr>
      <w:tblStyleRowBandSize w:val="1"/>
      <w:tblStyleColBandSize w:val="1"/>
      <w:tblCellMar>
        <w:left w:w="70" w:type="dxa"/>
        <w:right w:w="70" w:type="dxa"/>
      </w:tblCellMar>
    </w:tblPr>
  </w:style>
  <w:style w:type="table" w:customStyle="1" w:styleId="5">
    <w:name w:val="5"/>
    <w:basedOn w:val="TableNormal2"/>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rPr>
  </w:style>
  <w:style w:type="paragraph" w:customStyle="1" w:styleId="Citas">
    <w:name w:val="Citas"/>
    <w:basedOn w:val="Normal"/>
    <w:qFormat/>
    <w:rsid w:val="00177B12"/>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infoemcitas">
    <w:name w:val="infoem citas"/>
    <w:basedOn w:val="Normal"/>
    <w:qFormat/>
    <w:rsid w:val="00177B12"/>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tblPr>
      <w:tblStyleRowBandSize w:val="1"/>
      <w:tblStyleColBandSize w:val="1"/>
      <w:tblCellMar>
        <w:left w:w="70" w:type="dxa"/>
        <w:right w:w="70" w:type="dxa"/>
      </w:tblCellMar>
    </w:tblPr>
  </w:style>
  <w:style w:type="paragraph" w:customStyle="1" w:styleId="Default">
    <w:name w:val="Default"/>
    <w:rsid w:val="006B6AB1"/>
    <w:pPr>
      <w:autoSpaceDE w:val="0"/>
      <w:autoSpaceDN w:val="0"/>
      <w:adjustRightInd w:val="0"/>
    </w:pPr>
    <w:rPr>
      <w:rFonts w:ascii="Arial" w:eastAsiaTheme="minorHAnsi" w:hAnsi="Arial" w:cs="Arial"/>
      <w:color w:val="000000"/>
      <w:lang w:val="es-MX" w:eastAsia="en-U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70" w:type="dxa"/>
        <w:bottom w:w="0" w:type="dxa"/>
        <w:right w:w="70" w:type="dxa"/>
      </w:tblCellMar>
    </w:tblPr>
  </w:style>
  <w:style w:type="table" w:customStyle="1" w:styleId="a1">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HF6x9s0lUyYhcEwSUEa3LAU0mQ==">CgMxLjAyCGguZ2pkZ3hzMgloLjMwajB6bGwyCWguMWZvYjl0ZTIJaC4zem55c2g3MgloLjJldDkycDAyCWguMXQzaDVzZjIOaC52aWhtZWxjdWIwZWIyDmgueGhyOTgxeTRnMzl3Mg5oLnVtd3p2NmJxM2dnczIIaC5sbnhiejk4AHIhMXRkNnBUQVVPbEc2UW4xNkl4LXgwekI2U2pKNnVhbUYy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27</Pages>
  <Words>5718</Words>
  <Characters>31451</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37095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7</cp:revision>
  <cp:lastPrinted>2026-01-16T16:26:00Z</cp:lastPrinted>
  <dcterms:created xsi:type="dcterms:W3CDTF">2025-12-16T18:24:00Z</dcterms:created>
  <dcterms:modified xsi:type="dcterms:W3CDTF">2026-01-27T17:00:00Z</dcterms:modified>
</cp:coreProperties>
</file>