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00A7E" w14:textId="77777777" w:rsidR="00694C71" w:rsidRDefault="00694C71">
      <w:pPr>
        <w:widowControl w:val="0"/>
        <w:pBdr>
          <w:top w:val="nil"/>
          <w:left w:val="nil"/>
          <w:bottom w:val="nil"/>
          <w:right w:val="nil"/>
          <w:between w:val="nil"/>
        </w:pBdr>
        <w:spacing w:after="0" w:line="276" w:lineRule="auto"/>
        <w:jc w:val="left"/>
      </w:pPr>
    </w:p>
    <w:p w14:paraId="18DF46B0" w14:textId="77777777" w:rsidR="00694C71" w:rsidRDefault="00694C71">
      <w:pPr>
        <w:tabs>
          <w:tab w:val="left" w:pos="8931"/>
        </w:tabs>
        <w:spacing w:after="0" w:line="360" w:lineRule="auto"/>
      </w:pPr>
    </w:p>
    <w:p w14:paraId="48A78948" w14:textId="77777777" w:rsidR="00694C71" w:rsidRDefault="00186DE5">
      <w:pPr>
        <w:keepNext/>
        <w:keepLines/>
        <w:pBdr>
          <w:top w:val="nil"/>
          <w:left w:val="nil"/>
          <w:bottom w:val="nil"/>
          <w:right w:val="nil"/>
          <w:between w:val="nil"/>
        </w:pBdr>
        <w:spacing w:after="0" w:line="360" w:lineRule="auto"/>
        <w:jc w:val="center"/>
        <w:rPr>
          <w:color w:val="000000"/>
        </w:rPr>
      </w:pPr>
      <w:r>
        <w:rPr>
          <w:color w:val="000000"/>
        </w:rPr>
        <w:t>RESOLUCIÓN DEL RECURSO DE REVISIÓN 09551/INFOEM/IP/RR/2025</w:t>
      </w:r>
    </w:p>
    <w:p w14:paraId="5E4A6399" w14:textId="77777777" w:rsidR="00694C71" w:rsidRDefault="00694C71">
      <w:pPr>
        <w:spacing w:after="0" w:line="360" w:lineRule="auto"/>
      </w:pPr>
    </w:p>
    <w:sdt>
      <w:sdtPr>
        <w:id w:val="1032145117"/>
        <w:docPartObj>
          <w:docPartGallery w:val="Table of Contents"/>
          <w:docPartUnique/>
        </w:docPartObj>
      </w:sdtPr>
      <w:sdtContent>
        <w:p w14:paraId="66DBD99E" w14:textId="77777777" w:rsidR="00694C71" w:rsidRDefault="00186DE5">
          <w:pPr>
            <w:pBdr>
              <w:top w:val="nil"/>
              <w:left w:val="nil"/>
              <w:bottom w:val="nil"/>
              <w:right w:val="nil"/>
              <w:between w:val="nil"/>
            </w:pBdr>
            <w:tabs>
              <w:tab w:val="right" w:pos="8921"/>
            </w:tabs>
            <w:spacing w:after="0" w:line="36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pxc5x4yd3jl4">
            <w:r>
              <w:rPr>
                <w:color w:val="000000"/>
              </w:rPr>
              <w:t>A N T E C E D E N T E S</w:t>
            </w:r>
            <w:r>
              <w:rPr>
                <w:color w:val="000000"/>
              </w:rPr>
              <w:tab/>
              <w:t>2</w:t>
            </w:r>
          </w:hyperlink>
        </w:p>
        <w:p w14:paraId="1B3877F7"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n0090dxjo7t7">
            <w:r>
              <w:rPr>
                <w:color w:val="000000"/>
              </w:rPr>
              <w:t>I. Presentación de la solicitud de información</w:t>
            </w:r>
            <w:r>
              <w:rPr>
                <w:color w:val="000000"/>
              </w:rPr>
              <w:tab/>
              <w:t>2</w:t>
            </w:r>
          </w:hyperlink>
        </w:p>
        <w:p w14:paraId="605EF1FB"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f8cd4om0b9gx">
            <w:r>
              <w:rPr>
                <w:color w:val="000000"/>
              </w:rPr>
              <w:t>II. Respuesta del Sujeto Obligado</w:t>
            </w:r>
            <w:r>
              <w:rPr>
                <w:color w:val="000000"/>
              </w:rPr>
              <w:tab/>
              <w:t>3</w:t>
            </w:r>
          </w:hyperlink>
        </w:p>
        <w:p w14:paraId="35760D51"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8bkpfi5vzs9h">
            <w:r>
              <w:rPr>
                <w:color w:val="000000"/>
              </w:rPr>
              <w:t>III. Interposición del Recurso de Revisión</w:t>
            </w:r>
            <w:r>
              <w:rPr>
                <w:color w:val="000000"/>
              </w:rPr>
              <w:tab/>
              <w:t>3</w:t>
            </w:r>
          </w:hyperlink>
        </w:p>
        <w:p w14:paraId="0CE99BD2"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ejiqnn6lol8k">
            <w:r>
              <w:rPr>
                <w:color w:val="000000"/>
              </w:rPr>
              <w:t>IV. Trámite del Recurso de Revisión ante este Instituto</w:t>
            </w:r>
            <w:r>
              <w:rPr>
                <w:color w:val="000000"/>
              </w:rPr>
              <w:tab/>
              <w:t>4</w:t>
            </w:r>
          </w:hyperlink>
        </w:p>
        <w:p w14:paraId="790B6E06" w14:textId="77777777" w:rsidR="00694C71" w:rsidRDefault="00186DE5">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bipym22er99">
            <w:r>
              <w:rPr>
                <w:color w:val="000000"/>
              </w:rPr>
              <w:t>C O N S I D E R A N D O S</w:t>
            </w:r>
            <w:r>
              <w:rPr>
                <w:color w:val="000000"/>
              </w:rPr>
              <w:tab/>
              <w:t>6</w:t>
            </w:r>
          </w:hyperlink>
        </w:p>
        <w:p w14:paraId="4688D8DC"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30j0zll">
            <w:r>
              <w:rPr>
                <w:color w:val="000000"/>
              </w:rPr>
              <w:t>PRIMERO. Competencia</w:t>
            </w:r>
            <w:r>
              <w:rPr>
                <w:color w:val="000000"/>
              </w:rPr>
              <w:tab/>
              <w:t>6</w:t>
            </w:r>
          </w:hyperlink>
        </w:p>
        <w:p w14:paraId="0AF4535B"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ktggpqovu0nc">
            <w:r>
              <w:rPr>
                <w:color w:val="000000"/>
              </w:rPr>
              <w:t>SEGUNDO. Causales de improcedencia y sobreseimiento</w:t>
            </w:r>
            <w:r>
              <w:rPr>
                <w:color w:val="000000"/>
              </w:rPr>
              <w:tab/>
              <w:t>6</w:t>
            </w:r>
          </w:hyperlink>
        </w:p>
        <w:p w14:paraId="5A2E7EF5"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6zbhxqy0hszz">
            <w:r>
              <w:rPr>
                <w:color w:val="000000"/>
              </w:rPr>
              <w:t>TERCERO. Determinación de la Controversia</w:t>
            </w:r>
            <w:r>
              <w:rPr>
                <w:color w:val="000000"/>
              </w:rPr>
              <w:tab/>
              <w:t>8</w:t>
            </w:r>
          </w:hyperlink>
        </w:p>
        <w:p w14:paraId="44C95FFC"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1e2kw7prvs4h">
            <w:r>
              <w:rPr>
                <w:color w:val="000000"/>
              </w:rPr>
              <w:t>CUARTO. Marco normativo aplicable en materia de transparencia y acceso a la información pública</w:t>
            </w:r>
            <w:r>
              <w:rPr>
                <w:color w:val="000000"/>
              </w:rPr>
              <w:tab/>
              <w:t>9</w:t>
            </w:r>
          </w:hyperlink>
        </w:p>
        <w:p w14:paraId="7C741E5C"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4qp1t9bm9yvp">
            <w:r>
              <w:rPr>
                <w:color w:val="000000"/>
              </w:rPr>
              <w:t>QUINTO. Estudio de Fondo</w:t>
            </w:r>
            <w:r>
              <w:rPr>
                <w:color w:val="000000"/>
              </w:rPr>
              <w:tab/>
              <w:t>10</w:t>
            </w:r>
          </w:hyperlink>
        </w:p>
        <w:p w14:paraId="0DBDAB22" w14:textId="77777777" w:rsidR="00694C71" w:rsidRDefault="00186DE5">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pa5mjkgth6ib">
            <w:r>
              <w:rPr>
                <w:color w:val="000000"/>
              </w:rPr>
              <w:t>SEXTO. Decisión</w:t>
            </w:r>
            <w:r>
              <w:rPr>
                <w:color w:val="000000"/>
              </w:rPr>
              <w:tab/>
              <w:t>17</w:t>
            </w:r>
          </w:hyperlink>
        </w:p>
        <w:p w14:paraId="405AE6A2" w14:textId="77777777" w:rsidR="00694C71" w:rsidRDefault="00186DE5">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zfvk08qn8zv5">
            <w:r>
              <w:rPr>
                <w:color w:val="000000"/>
              </w:rPr>
              <w:t>R E S U E L V E</w:t>
            </w:r>
            <w:r>
              <w:rPr>
                <w:color w:val="000000"/>
              </w:rPr>
              <w:tab/>
              <w:t>18</w:t>
            </w:r>
          </w:hyperlink>
        </w:p>
        <w:p w14:paraId="7A4E9FED" w14:textId="77777777" w:rsidR="00694C71" w:rsidRDefault="00186DE5">
          <w:pPr>
            <w:spacing w:after="0" w:line="360" w:lineRule="auto"/>
          </w:pPr>
          <w:r>
            <w:fldChar w:fldCharType="end"/>
          </w:r>
        </w:p>
      </w:sdtContent>
    </w:sdt>
    <w:p w14:paraId="355A4773" w14:textId="77777777" w:rsidR="00694C71" w:rsidRDefault="00694C71">
      <w:pPr>
        <w:tabs>
          <w:tab w:val="left" w:pos="8931"/>
        </w:tabs>
        <w:spacing w:after="0" w:line="360" w:lineRule="auto"/>
      </w:pPr>
    </w:p>
    <w:p w14:paraId="6373E675" w14:textId="77777777" w:rsidR="00694C71" w:rsidRDefault="00694C71">
      <w:pPr>
        <w:tabs>
          <w:tab w:val="left" w:pos="8931"/>
        </w:tabs>
        <w:spacing w:after="0" w:line="360" w:lineRule="auto"/>
      </w:pPr>
    </w:p>
    <w:p w14:paraId="705D14FB" w14:textId="77777777" w:rsidR="00694C71" w:rsidRDefault="00694C71">
      <w:pPr>
        <w:tabs>
          <w:tab w:val="left" w:pos="8931"/>
        </w:tabs>
        <w:spacing w:after="0" w:line="360" w:lineRule="auto"/>
      </w:pPr>
    </w:p>
    <w:p w14:paraId="3DFAD267" w14:textId="77777777" w:rsidR="00694C71" w:rsidRDefault="00694C71">
      <w:pPr>
        <w:tabs>
          <w:tab w:val="left" w:pos="8931"/>
        </w:tabs>
        <w:spacing w:after="0" w:line="360" w:lineRule="auto"/>
      </w:pPr>
    </w:p>
    <w:p w14:paraId="5A667E93" w14:textId="77777777" w:rsidR="00694C71" w:rsidRDefault="00694C71">
      <w:pPr>
        <w:tabs>
          <w:tab w:val="left" w:pos="8931"/>
        </w:tabs>
        <w:spacing w:after="0" w:line="360" w:lineRule="auto"/>
      </w:pPr>
    </w:p>
    <w:p w14:paraId="2912C058" w14:textId="77777777" w:rsidR="00694C71" w:rsidRDefault="00694C71">
      <w:pPr>
        <w:tabs>
          <w:tab w:val="left" w:pos="8931"/>
        </w:tabs>
        <w:spacing w:after="0" w:line="360" w:lineRule="auto"/>
      </w:pPr>
    </w:p>
    <w:p w14:paraId="4F69BBDF" w14:textId="77777777" w:rsidR="00694C71" w:rsidRDefault="00694C71">
      <w:pPr>
        <w:tabs>
          <w:tab w:val="left" w:pos="8931"/>
        </w:tabs>
        <w:spacing w:after="0" w:line="360" w:lineRule="auto"/>
      </w:pPr>
    </w:p>
    <w:p w14:paraId="265933ED" w14:textId="77777777" w:rsidR="00694C71" w:rsidRDefault="00694C71">
      <w:pPr>
        <w:tabs>
          <w:tab w:val="left" w:pos="8931"/>
        </w:tabs>
        <w:spacing w:after="0" w:line="360" w:lineRule="auto"/>
      </w:pPr>
    </w:p>
    <w:p w14:paraId="4729E3BD" w14:textId="77777777" w:rsidR="00694C71" w:rsidRDefault="00186DE5">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catorce de enero de dos mil veintiséis. </w:t>
      </w:r>
    </w:p>
    <w:p w14:paraId="2D129EEE" w14:textId="77777777" w:rsidR="00694C71" w:rsidRDefault="00694C71">
      <w:pPr>
        <w:spacing w:after="0" w:line="360" w:lineRule="auto"/>
        <w:rPr>
          <w:b/>
          <w:bCs/>
        </w:rPr>
      </w:pPr>
    </w:p>
    <w:p w14:paraId="3E67DF10" w14:textId="77777777" w:rsidR="00694C71" w:rsidRDefault="00186DE5">
      <w:pPr>
        <w:spacing w:after="0" w:line="360" w:lineRule="auto"/>
        <w:rPr>
          <w:color w:val="0D0D0D"/>
        </w:rPr>
      </w:pPr>
      <w:r>
        <w:rPr>
          <w:b/>
          <w:bCs/>
        </w:rPr>
        <w:t xml:space="preserve">VISTO </w:t>
      </w:r>
      <w:r>
        <w:t xml:space="preserve">el expediente electrónico conformado con motivo del Recurso de Revisión </w:t>
      </w:r>
      <w:r>
        <w:rPr>
          <w:b/>
          <w:bCs/>
        </w:rPr>
        <w:t>09551/INFOEM/IP/RR/2025</w:t>
      </w:r>
      <w:r>
        <w:t xml:space="preserve">, interpuesto por la persona </w:t>
      </w:r>
      <w:r>
        <w:rPr>
          <w:color w:val="0D0D0D"/>
        </w:rPr>
        <w:t xml:space="preserve">Recurrente o Particular, en contra de la respuesta del Sujeto Obligado, </w:t>
      </w:r>
      <w:r>
        <w:rPr>
          <w:b/>
          <w:bCs/>
          <w:color w:val="0D0D0D"/>
        </w:rPr>
        <w:t>Ayuntamiento de Tepotzotlán</w:t>
      </w:r>
      <w:r>
        <w:t>,</w:t>
      </w:r>
      <w:r>
        <w:rPr>
          <w:color w:val="0D0D0D"/>
        </w:rPr>
        <w:t xml:space="preserve"> a la solicitud de acceso a la información pública </w:t>
      </w:r>
      <w:r>
        <w:t>00310/TEPOTZOT/IP/2025</w:t>
      </w:r>
      <w:r>
        <w:rPr>
          <w:color w:val="000000"/>
        </w:rPr>
        <w:t xml:space="preserve">, </w:t>
      </w:r>
      <w:r>
        <w:rPr>
          <w:color w:val="0D0D0D"/>
        </w:rPr>
        <w:t>se emite la presente Resolución, con base en los Antecedentes y Considerandos que se exponen a continuación:</w:t>
      </w:r>
    </w:p>
    <w:p w14:paraId="31E5310B" w14:textId="77777777" w:rsidR="00694C71" w:rsidRDefault="00694C71">
      <w:pPr>
        <w:spacing w:after="0" w:line="360" w:lineRule="auto"/>
        <w:rPr>
          <w:b/>
          <w:bCs/>
        </w:rPr>
      </w:pPr>
    </w:p>
    <w:p w14:paraId="409750BB" w14:textId="77777777" w:rsidR="00694C71" w:rsidRDefault="00186DE5">
      <w:pPr>
        <w:pStyle w:val="Ttulo1"/>
        <w:spacing w:before="0" w:after="0" w:line="360" w:lineRule="auto"/>
        <w:jc w:val="center"/>
        <w:rPr>
          <w:sz w:val="22"/>
          <w:szCs w:val="22"/>
        </w:rPr>
      </w:pPr>
      <w:bookmarkStart w:id="0" w:name="_heading=h.pxc5x4yd3jl4" w:colFirst="0" w:colLast="0"/>
      <w:bookmarkEnd w:id="0"/>
      <w:r>
        <w:rPr>
          <w:sz w:val="22"/>
          <w:szCs w:val="22"/>
        </w:rPr>
        <w:t>A N T E C E D E N T E S</w:t>
      </w:r>
    </w:p>
    <w:p w14:paraId="0800F8B1" w14:textId="77777777" w:rsidR="00694C71" w:rsidRDefault="00694C71">
      <w:pPr>
        <w:spacing w:after="0" w:line="360" w:lineRule="auto"/>
        <w:jc w:val="center"/>
        <w:rPr>
          <w:b/>
          <w:bCs/>
        </w:rPr>
      </w:pPr>
    </w:p>
    <w:p w14:paraId="28516137" w14:textId="77777777" w:rsidR="00694C71" w:rsidRDefault="00186DE5">
      <w:pPr>
        <w:pStyle w:val="Ttulo2"/>
        <w:spacing w:before="0" w:after="0" w:line="360" w:lineRule="auto"/>
        <w:rPr>
          <w:sz w:val="22"/>
          <w:szCs w:val="22"/>
        </w:rPr>
      </w:pPr>
      <w:bookmarkStart w:id="1" w:name="_heading=h.n0090dxjo7t7" w:colFirst="0" w:colLast="0"/>
      <w:bookmarkEnd w:id="1"/>
      <w:r>
        <w:rPr>
          <w:sz w:val="22"/>
          <w:szCs w:val="22"/>
        </w:rPr>
        <w:t>I. Presentación de la solicitud de información</w:t>
      </w:r>
    </w:p>
    <w:p w14:paraId="550B3653" w14:textId="77777777" w:rsidR="00694C71" w:rsidRDefault="00694C71">
      <w:pPr>
        <w:tabs>
          <w:tab w:val="left" w:pos="567"/>
        </w:tabs>
        <w:spacing w:after="0" w:line="360" w:lineRule="auto"/>
      </w:pPr>
    </w:p>
    <w:p w14:paraId="2A2FE299" w14:textId="77777777" w:rsidR="00694C71" w:rsidRDefault="00186DE5">
      <w:pPr>
        <w:spacing w:after="0" w:line="360" w:lineRule="auto"/>
        <w:rPr>
          <w:color w:val="000000"/>
        </w:rPr>
      </w:pPr>
      <w:r>
        <w:rPr>
          <w:color w:val="000000"/>
        </w:rPr>
        <w:t xml:space="preserve">Con fecha dieciséis de junio de dos mil veinticinco, la persona Recurrente presentó una solicitud de acceso a la información pública, a través del Sistema de Acceso a la Información Mexiquense (SAIMEX), ante el Ayuntamiento de Tepotzotlán, en los siguientes términos: </w:t>
      </w:r>
    </w:p>
    <w:p w14:paraId="0A14D643" w14:textId="77777777" w:rsidR="00694C71" w:rsidRDefault="00694C71">
      <w:pPr>
        <w:spacing w:after="0" w:line="360" w:lineRule="auto"/>
      </w:pPr>
    </w:p>
    <w:p w14:paraId="5C6C712D" w14:textId="77777777" w:rsidR="00694C71" w:rsidRDefault="00186DE5">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473EA4F6" w14:textId="77777777" w:rsidR="00694C71" w:rsidRDefault="00186DE5">
      <w:pPr>
        <w:tabs>
          <w:tab w:val="left" w:pos="4667"/>
        </w:tabs>
        <w:spacing w:after="0" w:line="360" w:lineRule="auto"/>
        <w:ind w:left="567" w:right="567"/>
        <w:rPr>
          <w:i/>
          <w:iCs/>
          <w:sz w:val="20"/>
          <w:szCs w:val="20"/>
        </w:rPr>
      </w:pPr>
      <w:r>
        <w:rPr>
          <w:i/>
          <w:iCs/>
          <w:sz w:val="20"/>
          <w:szCs w:val="20"/>
        </w:rPr>
        <w:t xml:space="preserve">Facturas pagadas por la contratación de personal o servicios de apoyo a Desarrollo Urbano del 2025” (Sic) </w:t>
      </w:r>
    </w:p>
    <w:p w14:paraId="494B547F" w14:textId="77777777" w:rsidR="00694C71" w:rsidRDefault="00694C71">
      <w:pPr>
        <w:tabs>
          <w:tab w:val="left" w:pos="4667"/>
        </w:tabs>
        <w:spacing w:after="0" w:line="360" w:lineRule="auto"/>
        <w:ind w:left="567" w:right="567"/>
        <w:rPr>
          <w:b/>
          <w:bCs/>
          <w:i/>
          <w:iCs/>
          <w:sz w:val="20"/>
          <w:szCs w:val="20"/>
        </w:rPr>
      </w:pPr>
    </w:p>
    <w:p w14:paraId="69F571E3" w14:textId="77777777" w:rsidR="00694C71" w:rsidRDefault="00186DE5">
      <w:pPr>
        <w:tabs>
          <w:tab w:val="left" w:pos="4667"/>
        </w:tabs>
        <w:spacing w:after="0" w:line="360" w:lineRule="auto"/>
        <w:ind w:left="567" w:right="567"/>
        <w:rPr>
          <w:b/>
          <w:bCs/>
          <w:i/>
          <w:iCs/>
          <w:sz w:val="20"/>
          <w:szCs w:val="20"/>
        </w:rPr>
      </w:pPr>
      <w:r>
        <w:rPr>
          <w:b/>
          <w:bCs/>
          <w:i/>
          <w:iCs/>
          <w:sz w:val="20"/>
          <w:szCs w:val="20"/>
        </w:rPr>
        <w:t>“MODALIDAD DE ENTREGA</w:t>
      </w:r>
    </w:p>
    <w:p w14:paraId="081F04EF" w14:textId="77777777" w:rsidR="00694C71" w:rsidRDefault="00186DE5">
      <w:pPr>
        <w:spacing w:after="0" w:line="360" w:lineRule="auto"/>
        <w:ind w:left="567" w:right="567"/>
        <w:rPr>
          <w:i/>
          <w:iCs/>
          <w:sz w:val="20"/>
          <w:szCs w:val="20"/>
        </w:rPr>
      </w:pPr>
      <w:r>
        <w:rPr>
          <w:i/>
          <w:iCs/>
          <w:sz w:val="20"/>
          <w:szCs w:val="20"/>
        </w:rPr>
        <w:t>A través del SAIMEX”</w:t>
      </w:r>
    </w:p>
    <w:p w14:paraId="290CF4C8" w14:textId="77777777" w:rsidR="00694C71" w:rsidRDefault="00694C71">
      <w:pPr>
        <w:spacing w:after="0" w:line="360" w:lineRule="auto"/>
        <w:ind w:left="567" w:right="567"/>
        <w:rPr>
          <w:i/>
          <w:iCs/>
          <w:sz w:val="20"/>
          <w:szCs w:val="20"/>
        </w:rPr>
      </w:pPr>
    </w:p>
    <w:p w14:paraId="711759B8" w14:textId="77777777" w:rsidR="00694C71" w:rsidRDefault="00186DE5">
      <w:pPr>
        <w:pStyle w:val="Ttulo2"/>
        <w:spacing w:before="0" w:after="0" w:line="360" w:lineRule="auto"/>
        <w:rPr>
          <w:sz w:val="22"/>
          <w:szCs w:val="22"/>
        </w:rPr>
      </w:pPr>
      <w:bookmarkStart w:id="2" w:name="_heading=h.f8cd4om0b9gx" w:colFirst="0" w:colLast="0"/>
      <w:bookmarkEnd w:id="2"/>
      <w:r>
        <w:rPr>
          <w:sz w:val="22"/>
          <w:szCs w:val="22"/>
        </w:rPr>
        <w:lastRenderedPageBreak/>
        <w:t>II. Respuesta del Sujeto Obligado</w:t>
      </w:r>
    </w:p>
    <w:p w14:paraId="27D9E979" w14:textId="77777777" w:rsidR="00694C71" w:rsidRDefault="00694C71">
      <w:pPr>
        <w:spacing w:after="0" w:line="360" w:lineRule="auto"/>
        <w:rPr>
          <w:b/>
          <w:bCs/>
        </w:rPr>
      </w:pPr>
    </w:p>
    <w:p w14:paraId="6DDE83B9" w14:textId="77777777" w:rsidR="00694C71" w:rsidRDefault="00186DE5">
      <w:pPr>
        <w:spacing w:after="0" w:line="360" w:lineRule="auto"/>
        <w:rPr>
          <w:color w:val="000000"/>
        </w:rPr>
      </w:pPr>
      <w:r>
        <w:rPr>
          <w:color w:val="000000"/>
        </w:rPr>
        <w:t xml:space="preserve">Con fecha diecinueve de julio de dos mil veinticinco, el Sujeto Obligado notificó, a través del Sistema de Acceso a la Información Mexiquense (SAIMEX), la respuesta a la solicitud de acceso a la información pública, mediante la digitalización del oficio número </w:t>
      </w:r>
      <w:proofErr w:type="spellStart"/>
      <w:r>
        <w:rPr>
          <w:color w:val="000000"/>
        </w:rPr>
        <w:t>DAyF</w:t>
      </w:r>
      <w:proofErr w:type="spellEnd"/>
      <w:r>
        <w:rPr>
          <w:color w:val="000000"/>
        </w:rPr>
        <w:t xml:space="preserve">/348/2025 del dieciséis de julio de dos mil veinticinco, suscrito por el Director de Administración y Fianzas precisó que no se localizó evidencia documental relativa a las facturas pagadas por la contratación de personal o servicios de apoyo en la Dirección de Desarrollo Urbano, motivo por el cual no existía información pública que pudiera ser proporcionada.   </w:t>
      </w:r>
    </w:p>
    <w:p w14:paraId="0C7035F7" w14:textId="77777777" w:rsidR="00694C71" w:rsidRDefault="00694C71">
      <w:pPr>
        <w:spacing w:after="0" w:line="360" w:lineRule="auto"/>
        <w:rPr>
          <w:color w:val="000000"/>
        </w:rPr>
      </w:pPr>
    </w:p>
    <w:p w14:paraId="47D2EB9E" w14:textId="77777777" w:rsidR="00694C71" w:rsidRDefault="00186DE5">
      <w:pPr>
        <w:pStyle w:val="Ttulo2"/>
        <w:spacing w:before="0" w:after="0" w:line="360" w:lineRule="auto"/>
        <w:rPr>
          <w:sz w:val="22"/>
          <w:szCs w:val="22"/>
        </w:rPr>
      </w:pPr>
      <w:bookmarkStart w:id="3" w:name="_heading=h.8bkpfi5vzs9h" w:colFirst="0" w:colLast="0"/>
      <w:bookmarkEnd w:id="3"/>
      <w:r>
        <w:rPr>
          <w:sz w:val="22"/>
          <w:szCs w:val="22"/>
        </w:rPr>
        <w:t>III. Interposición del Recurso de Revisión</w:t>
      </w:r>
    </w:p>
    <w:p w14:paraId="01A5F0A8" w14:textId="77777777" w:rsidR="00694C71" w:rsidRDefault="00694C71">
      <w:pPr>
        <w:spacing w:after="0" w:line="360" w:lineRule="auto"/>
        <w:rPr>
          <w:b/>
          <w:bCs/>
        </w:rPr>
      </w:pPr>
    </w:p>
    <w:p w14:paraId="560E11DB" w14:textId="77777777" w:rsidR="00694C71" w:rsidRDefault="00186DE5">
      <w:pPr>
        <w:spacing w:after="0" w:line="360" w:lineRule="auto"/>
        <w:rPr>
          <w:color w:val="000000"/>
        </w:rPr>
      </w:pPr>
      <w:r>
        <w:rPr>
          <w:color w:val="000000"/>
        </w:rPr>
        <w:t>Con fecha catorce de agosto 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74CFDA92" w14:textId="77777777" w:rsidR="00694C71" w:rsidRDefault="00694C71">
      <w:pPr>
        <w:spacing w:after="0" w:line="360" w:lineRule="auto"/>
        <w:rPr>
          <w:color w:val="000000"/>
        </w:rPr>
      </w:pPr>
    </w:p>
    <w:p w14:paraId="6500FA70" w14:textId="77777777" w:rsidR="00694C71" w:rsidRDefault="00186DE5">
      <w:pPr>
        <w:spacing w:after="0" w:line="360" w:lineRule="auto"/>
        <w:ind w:left="567" w:right="567"/>
        <w:rPr>
          <w:i/>
          <w:iCs/>
          <w:color w:val="000000"/>
          <w:sz w:val="20"/>
          <w:szCs w:val="20"/>
        </w:rPr>
      </w:pPr>
      <w:r>
        <w:rPr>
          <w:b/>
          <w:bCs/>
          <w:i/>
          <w:iCs/>
          <w:color w:val="000000"/>
          <w:sz w:val="20"/>
          <w:szCs w:val="20"/>
        </w:rPr>
        <w:t>“ACTO IMPUGNADO</w:t>
      </w:r>
    </w:p>
    <w:p w14:paraId="71948E00" w14:textId="77777777" w:rsidR="00694C71" w:rsidRDefault="00186DE5">
      <w:pPr>
        <w:spacing w:after="0" w:line="360" w:lineRule="auto"/>
        <w:ind w:left="567" w:right="567"/>
        <w:rPr>
          <w:i/>
          <w:iCs/>
          <w:color w:val="000000"/>
          <w:sz w:val="20"/>
          <w:szCs w:val="20"/>
        </w:rPr>
      </w:pPr>
      <w:r>
        <w:rPr>
          <w:i/>
          <w:iCs/>
          <w:color w:val="000000"/>
          <w:sz w:val="20"/>
          <w:szCs w:val="20"/>
        </w:rPr>
        <w:t>Niegan la información, si han contratado personal externo, o en qué se fue el presupuesto para estas contrataciones.”</w:t>
      </w:r>
    </w:p>
    <w:p w14:paraId="6B1884BE" w14:textId="77777777" w:rsidR="00694C71" w:rsidRDefault="00694C71">
      <w:pPr>
        <w:spacing w:after="0" w:line="360" w:lineRule="auto"/>
        <w:ind w:left="567" w:right="567"/>
        <w:rPr>
          <w:i/>
          <w:iCs/>
          <w:color w:val="000000"/>
          <w:sz w:val="20"/>
          <w:szCs w:val="20"/>
        </w:rPr>
      </w:pPr>
    </w:p>
    <w:p w14:paraId="26A958D9" w14:textId="77777777" w:rsidR="00694C71" w:rsidRDefault="00186DE5">
      <w:pPr>
        <w:spacing w:after="0" w:line="360" w:lineRule="auto"/>
        <w:ind w:left="567" w:right="567"/>
        <w:rPr>
          <w:b/>
          <w:bCs/>
          <w:i/>
          <w:iCs/>
          <w:color w:val="000000"/>
          <w:sz w:val="20"/>
          <w:szCs w:val="20"/>
        </w:rPr>
      </w:pPr>
      <w:r>
        <w:rPr>
          <w:b/>
          <w:bCs/>
          <w:i/>
          <w:iCs/>
          <w:color w:val="000000"/>
          <w:sz w:val="20"/>
          <w:szCs w:val="20"/>
        </w:rPr>
        <w:t>“RAZONES O MOTIVOS DE LA INCONFORMIDAD</w:t>
      </w:r>
    </w:p>
    <w:p w14:paraId="49C23EFE" w14:textId="77777777" w:rsidR="00694C71" w:rsidRDefault="00186DE5">
      <w:pPr>
        <w:spacing w:after="0" w:line="360" w:lineRule="auto"/>
        <w:ind w:left="567" w:right="567"/>
        <w:rPr>
          <w:i/>
          <w:iCs/>
          <w:color w:val="000000"/>
          <w:sz w:val="20"/>
          <w:szCs w:val="20"/>
        </w:rPr>
      </w:pPr>
      <w:r>
        <w:rPr>
          <w:i/>
          <w:iCs/>
          <w:color w:val="000000"/>
          <w:sz w:val="20"/>
          <w:szCs w:val="20"/>
        </w:rPr>
        <w:t>Niegan la información pues si usaron el presupuesto para estas contrataciones” (Sic.)</w:t>
      </w:r>
    </w:p>
    <w:p w14:paraId="3BF77F06" w14:textId="77777777" w:rsidR="00694C71" w:rsidRDefault="00694C71">
      <w:pPr>
        <w:spacing w:after="0" w:line="360" w:lineRule="auto"/>
        <w:ind w:right="567"/>
        <w:rPr>
          <w:sz w:val="20"/>
          <w:szCs w:val="20"/>
        </w:rPr>
      </w:pPr>
    </w:p>
    <w:p w14:paraId="20D0E079" w14:textId="77777777" w:rsidR="00694C71" w:rsidRDefault="00186DE5">
      <w:pPr>
        <w:pStyle w:val="Ttulo2"/>
        <w:spacing w:before="0" w:after="0" w:line="360" w:lineRule="auto"/>
        <w:rPr>
          <w:sz w:val="22"/>
          <w:szCs w:val="22"/>
        </w:rPr>
      </w:pPr>
      <w:bookmarkStart w:id="4" w:name="_heading=h.ejiqnn6lol8k" w:colFirst="0" w:colLast="0"/>
      <w:bookmarkEnd w:id="4"/>
      <w:r>
        <w:rPr>
          <w:sz w:val="22"/>
          <w:szCs w:val="22"/>
        </w:rPr>
        <w:t>IV. Trámite del Recurso de Revisión ante este Instituto</w:t>
      </w:r>
    </w:p>
    <w:p w14:paraId="08404CE4" w14:textId="77777777" w:rsidR="00694C71" w:rsidRDefault="00694C71">
      <w:pPr>
        <w:spacing w:after="0" w:line="360" w:lineRule="auto"/>
        <w:rPr>
          <w:b/>
          <w:bCs/>
        </w:rPr>
      </w:pPr>
    </w:p>
    <w:p w14:paraId="25D26C85" w14:textId="77777777" w:rsidR="00694C71" w:rsidRDefault="00186DE5">
      <w:pPr>
        <w:spacing w:after="0" w:line="360" w:lineRule="auto"/>
      </w:pPr>
      <w:r>
        <w:rPr>
          <w:b/>
          <w:bCs/>
        </w:rPr>
        <w:lastRenderedPageBreak/>
        <w:t>a) Turno del Medio de Impugnación.</w:t>
      </w:r>
      <w:r>
        <w:t xml:space="preserve"> El catorce de agosto de dos mil veinticinco, el Sistema de Acceso a la Información Mexiquense (SAIMEX), asignó el número de expediente </w:t>
      </w:r>
      <w:r>
        <w:rPr>
          <w:b/>
          <w:bCs/>
        </w:rPr>
        <w:t>09551/INFOEM/IP/RR/2025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499EBCF" w14:textId="77777777" w:rsidR="00694C71" w:rsidRDefault="00694C71">
      <w:pPr>
        <w:spacing w:after="0" w:line="360" w:lineRule="auto"/>
        <w:rPr>
          <w:b/>
          <w:bCs/>
        </w:rPr>
      </w:pPr>
    </w:p>
    <w:p w14:paraId="6FF80E3B" w14:textId="77777777" w:rsidR="00694C71" w:rsidRDefault="00186DE5">
      <w:pPr>
        <w:spacing w:after="0" w:line="360" w:lineRule="auto"/>
      </w:pPr>
      <w:r>
        <w:rPr>
          <w:b/>
          <w:bCs/>
        </w:rPr>
        <w:t xml:space="preserve">b) Admisión del Recurso de Revisión. </w:t>
      </w:r>
      <w:r>
        <w:t>El diecinueve de agosto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A46E9D1" w14:textId="77777777" w:rsidR="00694C71" w:rsidRDefault="00694C71">
      <w:pPr>
        <w:spacing w:after="0" w:line="360" w:lineRule="auto"/>
        <w:rPr>
          <w:color w:val="000000"/>
        </w:rPr>
      </w:pPr>
    </w:p>
    <w:p w14:paraId="2D84BE7C" w14:textId="77777777" w:rsidR="00694C71" w:rsidRDefault="00186DE5">
      <w:pPr>
        <w:spacing w:after="0" w:line="360" w:lineRule="auto"/>
      </w:pPr>
      <w:r>
        <w:rPr>
          <w:b/>
          <w:bCs/>
        </w:rPr>
        <w:t>c)</w:t>
      </w:r>
      <w:r>
        <w:t xml:space="preserve"> </w:t>
      </w:r>
      <w:r>
        <w:rPr>
          <w:b/>
          <w:bCs/>
        </w:rPr>
        <w:t xml:space="preserve">Informe Justificado y Manifestaciones. </w:t>
      </w:r>
      <w:r>
        <w:t>Las partes fueron omisas en emitir manifestaciones o alegatos.</w:t>
      </w:r>
    </w:p>
    <w:p w14:paraId="588C606E" w14:textId="77777777" w:rsidR="00694C71" w:rsidRDefault="00694C71">
      <w:pPr>
        <w:spacing w:after="0" w:line="360" w:lineRule="auto"/>
      </w:pPr>
    </w:p>
    <w:p w14:paraId="1C5C3D72" w14:textId="77777777" w:rsidR="00694C71" w:rsidRDefault="00186DE5">
      <w:pPr>
        <w:spacing w:after="0" w:line="360" w:lineRule="auto"/>
      </w:pPr>
      <w:r>
        <w:rPr>
          <w:b/>
          <w:bCs/>
        </w:rPr>
        <w:t xml:space="preserve">d) Ampliación de plazo para resolver. </w:t>
      </w:r>
      <w:r>
        <w:t>El diez de diciembre de dos mil veinticinco,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dieciocho del mismo mes y año, mediante el Sistema de Acceso a la Información Mexiquense (SAIMEX).</w:t>
      </w:r>
    </w:p>
    <w:p w14:paraId="19ADFDF5" w14:textId="77777777" w:rsidR="00694C71" w:rsidRDefault="00694C71">
      <w:pPr>
        <w:spacing w:after="0" w:line="360" w:lineRule="auto"/>
      </w:pPr>
    </w:p>
    <w:p w14:paraId="42F454AE" w14:textId="77777777" w:rsidR="00694C71" w:rsidRDefault="00186DE5">
      <w:pPr>
        <w:spacing w:after="0" w:line="360" w:lineRule="auto"/>
      </w:pPr>
      <w:r>
        <w:rPr>
          <w:b/>
          <w:bCs/>
        </w:rPr>
        <w:lastRenderedPageBreak/>
        <w:t>e) Cierre de instrucción.</w:t>
      </w:r>
      <w:r>
        <w:t xml:space="preserve"> </w:t>
      </w:r>
      <w:r>
        <w:rPr>
          <w:color w:val="000000"/>
        </w:rPr>
        <w:t>El diecisiete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 día hábil siguiente, mediante el Sistema de Acceso a la Información Mexiquense (SAIMEX).</w:t>
      </w:r>
    </w:p>
    <w:p w14:paraId="3261654A" w14:textId="77777777" w:rsidR="00694C71" w:rsidRDefault="00694C71">
      <w:pPr>
        <w:spacing w:after="0" w:line="360" w:lineRule="auto"/>
        <w:rPr>
          <w:b/>
          <w:bCs/>
        </w:rPr>
      </w:pPr>
    </w:p>
    <w:p w14:paraId="5D7785B2" w14:textId="77777777" w:rsidR="00694C71" w:rsidRDefault="00186DE5">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4D50F83F" w14:textId="77777777" w:rsidR="00694C71" w:rsidRDefault="00694C71">
      <w:pPr>
        <w:spacing w:after="0" w:line="360" w:lineRule="auto"/>
        <w:rPr>
          <w:color w:val="000000"/>
        </w:rPr>
      </w:pPr>
    </w:p>
    <w:p w14:paraId="36506905" w14:textId="77777777" w:rsidR="00694C71" w:rsidRDefault="00186DE5">
      <w:pPr>
        <w:pStyle w:val="Ttulo1"/>
        <w:spacing w:before="0" w:after="0" w:line="360" w:lineRule="auto"/>
        <w:jc w:val="center"/>
        <w:rPr>
          <w:sz w:val="22"/>
          <w:szCs w:val="22"/>
        </w:rPr>
      </w:pPr>
      <w:bookmarkStart w:id="5" w:name="_heading=h.bipym22er99" w:colFirst="0" w:colLast="0"/>
      <w:bookmarkEnd w:id="5"/>
      <w:r>
        <w:rPr>
          <w:sz w:val="22"/>
          <w:szCs w:val="22"/>
        </w:rPr>
        <w:t>C O N S I D E R A N D O S</w:t>
      </w:r>
    </w:p>
    <w:p w14:paraId="45D9C061" w14:textId="77777777" w:rsidR="00694C71" w:rsidRDefault="00694C71">
      <w:pPr>
        <w:spacing w:after="0" w:line="360" w:lineRule="auto"/>
        <w:jc w:val="center"/>
        <w:rPr>
          <w:b/>
          <w:bCs/>
          <w:color w:val="000000"/>
        </w:rPr>
      </w:pPr>
    </w:p>
    <w:p w14:paraId="4DB621BA" w14:textId="77777777" w:rsidR="00694C71" w:rsidRDefault="00186DE5">
      <w:pPr>
        <w:pStyle w:val="Ttulo2"/>
        <w:spacing w:before="0" w:after="0" w:line="360" w:lineRule="auto"/>
        <w:rPr>
          <w:sz w:val="22"/>
          <w:szCs w:val="22"/>
        </w:rPr>
      </w:pPr>
      <w:bookmarkStart w:id="6" w:name="_heading=h.30j0zll" w:colFirst="0" w:colLast="0"/>
      <w:bookmarkEnd w:id="6"/>
      <w:r>
        <w:rPr>
          <w:sz w:val="22"/>
          <w:szCs w:val="22"/>
        </w:rPr>
        <w:t>PRIMERO. Competencia</w:t>
      </w:r>
    </w:p>
    <w:p w14:paraId="5F38CA44" w14:textId="77777777" w:rsidR="00694C71" w:rsidRDefault="00694C71"/>
    <w:p w14:paraId="20B4698C" w14:textId="77777777" w:rsidR="00694C71" w:rsidRDefault="00186DE5">
      <w:pPr>
        <w:spacing w:after="0" w:line="360" w:lineRule="auto"/>
        <w:rPr>
          <w:b/>
          <w:bCs/>
        </w:rPr>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441E757" w14:textId="77777777" w:rsidR="00694C71" w:rsidRDefault="00694C71">
      <w:pPr>
        <w:spacing w:after="0" w:line="360" w:lineRule="auto"/>
      </w:pPr>
    </w:p>
    <w:p w14:paraId="2F54D963" w14:textId="77777777" w:rsidR="00694C71" w:rsidRDefault="00186DE5">
      <w:pPr>
        <w:pStyle w:val="Ttulo2"/>
        <w:spacing w:before="0" w:after="0" w:line="360" w:lineRule="auto"/>
        <w:rPr>
          <w:sz w:val="22"/>
          <w:szCs w:val="22"/>
        </w:rPr>
      </w:pPr>
      <w:bookmarkStart w:id="7" w:name="_heading=h.ktggpqovu0nc" w:colFirst="0" w:colLast="0"/>
      <w:bookmarkEnd w:id="7"/>
      <w:r>
        <w:rPr>
          <w:sz w:val="22"/>
          <w:szCs w:val="22"/>
        </w:rPr>
        <w:t>SEGUNDO. Causales de improcedencia y sobreseimiento</w:t>
      </w:r>
    </w:p>
    <w:p w14:paraId="65246A34" w14:textId="77777777" w:rsidR="00694C71" w:rsidRDefault="00694C71">
      <w:pPr>
        <w:spacing w:after="0" w:line="360" w:lineRule="auto"/>
        <w:rPr>
          <w:color w:val="000000"/>
        </w:rPr>
      </w:pPr>
    </w:p>
    <w:p w14:paraId="410B326B" w14:textId="77777777" w:rsidR="00694C71" w:rsidRDefault="00186DE5">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659A116E" w14:textId="77777777" w:rsidR="00694C71" w:rsidRDefault="00694C71">
      <w:pPr>
        <w:spacing w:after="0" w:line="360" w:lineRule="auto"/>
        <w:rPr>
          <w:color w:val="000000"/>
        </w:rPr>
      </w:pPr>
    </w:p>
    <w:p w14:paraId="629B8BA4" w14:textId="77777777" w:rsidR="00694C71" w:rsidRDefault="00186DE5">
      <w:pPr>
        <w:spacing w:after="0" w:line="360" w:lineRule="auto"/>
        <w:rPr>
          <w:b/>
          <w:bCs/>
        </w:rPr>
      </w:pPr>
      <w:r>
        <w:rPr>
          <w:b/>
          <w:bCs/>
        </w:rPr>
        <w:t>Causales de improcedencia</w:t>
      </w:r>
    </w:p>
    <w:p w14:paraId="0448F4E3" w14:textId="77777777" w:rsidR="00694C71" w:rsidRDefault="00694C71">
      <w:pPr>
        <w:spacing w:after="0" w:line="360" w:lineRule="auto"/>
      </w:pPr>
    </w:p>
    <w:p w14:paraId="7DE767ED" w14:textId="77777777" w:rsidR="00694C71" w:rsidRDefault="00186DE5">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18AE988" w14:textId="77777777" w:rsidR="00694C71" w:rsidRDefault="00694C71">
      <w:pPr>
        <w:spacing w:after="0" w:line="360" w:lineRule="auto"/>
        <w:rPr>
          <w:color w:val="000000"/>
        </w:rPr>
      </w:pPr>
    </w:p>
    <w:p w14:paraId="392DD8C1" w14:textId="77777777" w:rsidR="00694C71" w:rsidRDefault="00186DE5">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EE12F7E" w14:textId="77777777" w:rsidR="00694C71" w:rsidRDefault="00694C71">
      <w:pPr>
        <w:spacing w:after="0" w:line="360" w:lineRule="auto"/>
        <w:rPr>
          <w:color w:val="000000"/>
        </w:rPr>
      </w:pPr>
    </w:p>
    <w:p w14:paraId="0FE7C447" w14:textId="77777777" w:rsidR="00694C71" w:rsidRDefault="00186DE5">
      <w:pPr>
        <w:spacing w:after="0" w:line="360" w:lineRule="auto"/>
      </w:pPr>
      <w:r>
        <w:lastRenderedPageBreak/>
        <w:t xml:space="preserve">Por lo cual, se actualiza la causal de procedencia del Recurso de Revisión señalada en el artículo 179, fracción III, de la Ley en cita, pues la persona Recurrente se inconformó de la inexistencia de la información.  </w:t>
      </w:r>
    </w:p>
    <w:p w14:paraId="4961808E" w14:textId="77777777" w:rsidR="00694C71" w:rsidRDefault="00694C71">
      <w:pPr>
        <w:spacing w:after="0" w:line="360" w:lineRule="auto"/>
      </w:pPr>
    </w:p>
    <w:p w14:paraId="3C8D9A3B" w14:textId="77777777" w:rsidR="00694C71" w:rsidRDefault="00186DE5">
      <w:pPr>
        <w:spacing w:after="0" w:line="360" w:lineRule="auto"/>
        <w:rPr>
          <w:color w:val="0D0D0D"/>
        </w:rPr>
      </w:pPr>
      <w:r>
        <w:rPr>
          <w:b/>
          <w:bCs/>
          <w:color w:val="0D0D0D"/>
        </w:rPr>
        <w:t>Causales de sobreseimiento</w:t>
      </w:r>
    </w:p>
    <w:p w14:paraId="1F62B0B0" w14:textId="77777777" w:rsidR="00694C71" w:rsidRDefault="00694C71">
      <w:pPr>
        <w:spacing w:after="0" w:line="360" w:lineRule="auto"/>
        <w:rPr>
          <w:color w:val="0D0D0D"/>
        </w:rPr>
      </w:pPr>
    </w:p>
    <w:p w14:paraId="28210EF4" w14:textId="77777777" w:rsidR="00694C71" w:rsidRDefault="00186DE5">
      <w:pPr>
        <w:spacing w:after="0" w:line="360" w:lineRule="auto"/>
        <w:rPr>
          <w:color w:val="0D0D0D"/>
        </w:rPr>
      </w:pPr>
      <w:r>
        <w:rPr>
          <w:color w:val="0D0D0D"/>
        </w:rPr>
        <w:t>Por ser de previo y especial pronunciamiento, este Instituto analiza si se actualiza alguna causal de sobreseimiento.</w:t>
      </w:r>
    </w:p>
    <w:p w14:paraId="17477744" w14:textId="77777777" w:rsidR="00694C71" w:rsidRDefault="00694C71">
      <w:pPr>
        <w:spacing w:after="0" w:line="360" w:lineRule="auto"/>
        <w:rPr>
          <w:color w:val="0D0D0D"/>
        </w:rPr>
      </w:pPr>
    </w:p>
    <w:p w14:paraId="2BB73044" w14:textId="77777777" w:rsidR="00694C71" w:rsidRDefault="00186DE5">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DC35BE6" w14:textId="77777777" w:rsidR="00694C71" w:rsidRDefault="00694C71">
      <w:pPr>
        <w:spacing w:after="0" w:line="360" w:lineRule="auto"/>
        <w:rPr>
          <w:color w:val="000000"/>
        </w:rPr>
      </w:pPr>
    </w:p>
    <w:p w14:paraId="3AA94D10" w14:textId="77777777" w:rsidR="00694C71" w:rsidRDefault="00186DE5">
      <w:pPr>
        <w:spacing w:after="0" w:line="360" w:lineRule="auto"/>
        <w:rPr>
          <w:color w:val="0D0D0D"/>
        </w:rPr>
      </w:pPr>
      <w:r>
        <w:rPr>
          <w:color w:val="0D0D0D"/>
        </w:rPr>
        <w:t xml:space="preserve">Por tales motivos, se considera procedente entrar al fondo del presente asunto. </w:t>
      </w:r>
    </w:p>
    <w:p w14:paraId="0BFE35BC" w14:textId="77777777" w:rsidR="00694C71" w:rsidRDefault="00694C71">
      <w:pPr>
        <w:spacing w:after="0" w:line="360" w:lineRule="auto"/>
        <w:rPr>
          <w:b/>
          <w:bCs/>
          <w:color w:val="000000"/>
        </w:rPr>
      </w:pPr>
    </w:p>
    <w:p w14:paraId="32601562" w14:textId="77777777" w:rsidR="00694C71" w:rsidRDefault="00186DE5">
      <w:pPr>
        <w:pStyle w:val="Ttulo2"/>
        <w:spacing w:before="0" w:after="0" w:line="360" w:lineRule="auto"/>
        <w:rPr>
          <w:sz w:val="22"/>
          <w:szCs w:val="22"/>
        </w:rPr>
      </w:pPr>
      <w:bookmarkStart w:id="8" w:name="_heading=h.6zbhxqy0hszz" w:colFirst="0" w:colLast="0"/>
      <w:bookmarkEnd w:id="8"/>
      <w:r>
        <w:rPr>
          <w:sz w:val="22"/>
          <w:szCs w:val="22"/>
        </w:rPr>
        <w:t>TERCERO. Determinación de la Controversia</w:t>
      </w:r>
    </w:p>
    <w:p w14:paraId="2B213143" w14:textId="77777777" w:rsidR="00694C71" w:rsidRDefault="00694C71">
      <w:pPr>
        <w:spacing w:after="0" w:line="360" w:lineRule="auto"/>
        <w:rPr>
          <w:b/>
          <w:bCs/>
          <w:color w:val="000000"/>
        </w:rPr>
      </w:pPr>
    </w:p>
    <w:p w14:paraId="336B96F4" w14:textId="77777777" w:rsidR="00694C71" w:rsidRDefault="00186DE5">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las facturas pagadas por la contratación </w:t>
      </w:r>
      <w:r>
        <w:rPr>
          <w:color w:val="000000"/>
        </w:rPr>
        <w:t xml:space="preserve">de personal o </w:t>
      </w:r>
      <w:r>
        <w:rPr>
          <w:color w:val="000000"/>
        </w:rPr>
        <w:lastRenderedPageBreak/>
        <w:t xml:space="preserve">servicios de apoyo a la Dirección de Desarrollo Urbano del primero de enero al dieciséis de junio de dos mil veinticinco. </w:t>
      </w:r>
    </w:p>
    <w:p w14:paraId="418AF0A6" w14:textId="77777777" w:rsidR="00694C71" w:rsidRDefault="00694C71">
      <w:pPr>
        <w:spacing w:after="0" w:line="360" w:lineRule="auto"/>
      </w:pPr>
    </w:p>
    <w:p w14:paraId="0A3EDA43" w14:textId="77777777" w:rsidR="00694C71" w:rsidRDefault="00186DE5">
      <w:pPr>
        <w:spacing w:after="0" w:line="360" w:lineRule="auto"/>
        <w:rPr>
          <w:color w:val="000000"/>
        </w:rPr>
      </w:pPr>
      <w:r>
        <w:rPr>
          <w:color w:val="000000"/>
        </w:rPr>
        <w:t>En respuesta, el Sujeto Obligado, a través de la Director de Administración y Finanzas precisó que no se localizó evidencia documental relativa a las facturas pagadas por la contratación de personal o servicios de apoyo en la Dirección de Desarrollo Urbano, motivo por el cual no existía información pública que pudiera ser proporcionada,</w:t>
      </w:r>
      <w:r>
        <w:t xml:space="preserve"> ante dicha situación, la persona Recurrente se inconformó de la declaración de inexistencia de la información, lo cual actualiza la causal de procedencia prevista en la fracción III,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estas fueron omisas en manifestarse. </w:t>
      </w:r>
    </w:p>
    <w:p w14:paraId="2847FA88" w14:textId="77777777" w:rsidR="00694C71" w:rsidRDefault="00694C71">
      <w:pPr>
        <w:spacing w:after="0" w:line="360" w:lineRule="auto"/>
        <w:ind w:right="567"/>
        <w:rPr>
          <w:i/>
          <w:iCs/>
          <w:sz w:val="20"/>
          <w:szCs w:val="20"/>
        </w:rPr>
      </w:pPr>
    </w:p>
    <w:p w14:paraId="6C63041A" w14:textId="77777777" w:rsidR="00694C71" w:rsidRDefault="00186DE5">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2DA14B56" w14:textId="77777777" w:rsidR="00694C71" w:rsidRDefault="00694C71">
      <w:pPr>
        <w:spacing w:after="0" w:line="360" w:lineRule="auto"/>
        <w:rPr>
          <w:b/>
          <w:bCs/>
          <w:color w:val="000000"/>
        </w:rPr>
      </w:pPr>
    </w:p>
    <w:p w14:paraId="1FD3FFAE" w14:textId="77777777" w:rsidR="00694C71" w:rsidRDefault="00186DE5">
      <w:pPr>
        <w:pStyle w:val="Ttulo2"/>
        <w:spacing w:before="0" w:after="0" w:line="360" w:lineRule="auto"/>
        <w:rPr>
          <w:sz w:val="22"/>
          <w:szCs w:val="22"/>
        </w:rPr>
      </w:pPr>
      <w:bookmarkStart w:id="9" w:name="_heading=h.1e2kw7prvs4h" w:colFirst="0" w:colLast="0"/>
      <w:bookmarkEnd w:id="9"/>
      <w:r>
        <w:rPr>
          <w:sz w:val="22"/>
          <w:szCs w:val="22"/>
        </w:rPr>
        <w:t>CUARTO. Marco normativo aplicable en materia de transparencia y acceso a la información pública</w:t>
      </w:r>
    </w:p>
    <w:p w14:paraId="23047D18" w14:textId="77777777" w:rsidR="00694C71" w:rsidRDefault="00694C71">
      <w:pPr>
        <w:spacing w:after="0" w:line="360" w:lineRule="auto"/>
        <w:rPr>
          <w:color w:val="000000"/>
        </w:rPr>
      </w:pPr>
    </w:p>
    <w:p w14:paraId="7E3FD51C" w14:textId="77777777" w:rsidR="00694C71" w:rsidRDefault="00186DE5">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1DF99BE" w14:textId="77777777" w:rsidR="00694C71" w:rsidRDefault="00694C71">
      <w:pPr>
        <w:spacing w:after="0" w:line="360" w:lineRule="auto"/>
        <w:rPr>
          <w:color w:val="000000"/>
        </w:rPr>
      </w:pPr>
    </w:p>
    <w:p w14:paraId="2A19F08E" w14:textId="77777777" w:rsidR="00694C71" w:rsidRDefault="00186DE5">
      <w:pPr>
        <w:spacing w:after="0" w:line="360" w:lineRule="auto"/>
        <w:rPr>
          <w:color w:val="000000"/>
        </w:rPr>
      </w:pPr>
      <w:r>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02E4C08" w14:textId="77777777" w:rsidR="00694C71" w:rsidRDefault="00694C71">
      <w:pPr>
        <w:spacing w:after="0" w:line="360" w:lineRule="auto"/>
        <w:rPr>
          <w:color w:val="000000"/>
        </w:rPr>
      </w:pPr>
    </w:p>
    <w:p w14:paraId="4B279D95" w14:textId="77777777" w:rsidR="00694C71" w:rsidRDefault="00186DE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49D52C54" w14:textId="77777777" w:rsidR="00694C71" w:rsidRDefault="00694C71">
      <w:pPr>
        <w:spacing w:after="0" w:line="360" w:lineRule="auto"/>
        <w:rPr>
          <w:color w:val="000000"/>
        </w:rPr>
      </w:pPr>
    </w:p>
    <w:p w14:paraId="12126C22" w14:textId="77777777" w:rsidR="00694C71" w:rsidRDefault="00186DE5">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67CB111E" w14:textId="77777777" w:rsidR="00694C71" w:rsidRDefault="00694C71">
      <w:pPr>
        <w:spacing w:after="0" w:line="360" w:lineRule="auto"/>
        <w:rPr>
          <w:color w:val="000000"/>
        </w:rPr>
      </w:pPr>
    </w:p>
    <w:p w14:paraId="745C91A6" w14:textId="77777777" w:rsidR="00694C71" w:rsidRDefault="00186DE5">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4C80C6" w14:textId="77777777" w:rsidR="00694C71" w:rsidRDefault="00694C71">
      <w:pPr>
        <w:spacing w:after="0" w:line="360" w:lineRule="auto"/>
        <w:rPr>
          <w:color w:val="000000"/>
        </w:rPr>
      </w:pPr>
    </w:p>
    <w:p w14:paraId="77F4DBF5" w14:textId="77777777" w:rsidR="00694C71" w:rsidRDefault="00186DE5">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A73068" w14:textId="77777777" w:rsidR="00694C71" w:rsidRDefault="00694C71">
      <w:pPr>
        <w:spacing w:after="0" w:line="360" w:lineRule="auto"/>
      </w:pPr>
    </w:p>
    <w:p w14:paraId="33F8B690" w14:textId="77777777" w:rsidR="00694C71" w:rsidRDefault="00186DE5">
      <w:pPr>
        <w:pStyle w:val="Ttulo2"/>
        <w:spacing w:before="0" w:after="0" w:line="360" w:lineRule="auto"/>
        <w:rPr>
          <w:sz w:val="22"/>
          <w:szCs w:val="22"/>
        </w:rPr>
      </w:pPr>
      <w:bookmarkStart w:id="10" w:name="_heading=h.4qp1t9bm9yvp" w:colFirst="0" w:colLast="0"/>
      <w:bookmarkEnd w:id="10"/>
      <w:r>
        <w:rPr>
          <w:sz w:val="22"/>
          <w:szCs w:val="22"/>
        </w:rPr>
        <w:t>QUINTO. Estudio de Fondo</w:t>
      </w:r>
    </w:p>
    <w:p w14:paraId="67806F4D" w14:textId="77777777" w:rsidR="00694C71" w:rsidRDefault="00694C71">
      <w:pPr>
        <w:spacing w:after="0" w:line="360" w:lineRule="auto"/>
        <w:rPr>
          <w:b/>
          <w:bCs/>
          <w:color w:val="000000"/>
        </w:rPr>
      </w:pPr>
    </w:p>
    <w:p w14:paraId="453AD7A1" w14:textId="77777777" w:rsidR="00694C71" w:rsidRDefault="00186DE5">
      <w:pPr>
        <w:spacing w:after="0" w:line="360" w:lineRule="auto"/>
        <w:rPr>
          <w:color w:val="000000"/>
        </w:rPr>
      </w:pPr>
      <w:r>
        <w:rPr>
          <w:color w:val="000000"/>
        </w:rPr>
        <w:lastRenderedPageBreak/>
        <w:t xml:space="preserve">Expuestas las posturas de las partes, se procede al análisis del agravio hecho valer por el Recurrente, concerniente a la inexistencia de la información, por lo cual primeramente es importante contextualizar la solicitud de información. </w:t>
      </w:r>
    </w:p>
    <w:p w14:paraId="7D6F2296" w14:textId="77777777" w:rsidR="00694C71" w:rsidRDefault="00694C71">
      <w:pPr>
        <w:widowControl w:val="0"/>
        <w:spacing w:after="0" w:line="360" w:lineRule="auto"/>
        <w:rPr>
          <w:color w:val="000000"/>
        </w:rPr>
      </w:pPr>
    </w:p>
    <w:p w14:paraId="2B8ED24C" w14:textId="77777777" w:rsidR="00694C71" w:rsidRDefault="00186DE5">
      <w:pPr>
        <w:spacing w:after="0" w:line="360" w:lineRule="auto"/>
        <w:rPr>
          <w:color w:val="000000"/>
        </w:rPr>
      </w:pPr>
      <w:r>
        <w:rPr>
          <w:color w:val="000000"/>
        </w:rPr>
        <w:t xml:space="preserve">Sobre la contratación de personal o servicios de apoyo, López Olvera, Miguel Alejandro </w:t>
      </w:r>
      <w:proofErr w:type="spellStart"/>
      <w:r>
        <w:rPr>
          <w:color w:val="000000"/>
        </w:rPr>
        <w:t>Cancino</w:t>
      </w:r>
      <w:proofErr w:type="spellEnd"/>
      <w:r>
        <w:rPr>
          <w:color w:val="000000"/>
        </w:rPr>
        <w:t xml:space="preserve"> Gómez, Rodolfo. (2020). “La Contratación Pública y el Sistema Nacional Anticorrupción”. (p. 4) </w:t>
      </w:r>
      <w:r>
        <w:rPr>
          <w:b/>
          <w:bCs/>
          <w:color w:val="000000"/>
        </w:rPr>
        <w:t>la contratación pública</w:t>
      </w:r>
      <w:r>
        <w:rPr>
          <w:color w:val="000000"/>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2126868D" w14:textId="77777777" w:rsidR="00694C71" w:rsidRDefault="00694C71">
      <w:pPr>
        <w:spacing w:after="0" w:line="360" w:lineRule="auto"/>
        <w:rPr>
          <w:color w:val="000000"/>
        </w:rPr>
      </w:pPr>
    </w:p>
    <w:p w14:paraId="5E049A00" w14:textId="77777777" w:rsidR="00694C71" w:rsidRDefault="00186DE5">
      <w:pPr>
        <w:spacing w:after="0" w:line="360" w:lineRule="auto"/>
        <w:rPr>
          <w:color w:val="000000"/>
        </w:rPr>
      </w:pPr>
      <w:r>
        <w:rPr>
          <w:color w:val="000000"/>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Pr>
          <w:b/>
          <w:bCs/>
          <w:color w:val="000000"/>
        </w:rPr>
        <w:t>contratación de servicios</w:t>
      </w:r>
      <w:r>
        <w:rPr>
          <w:color w:val="000000"/>
        </w:rPr>
        <w:t xml:space="preserve"> de cualquier naturaleza.</w:t>
      </w:r>
    </w:p>
    <w:p w14:paraId="7194D67A" w14:textId="77777777" w:rsidR="00694C71" w:rsidRDefault="00694C71">
      <w:pPr>
        <w:spacing w:after="0" w:line="360" w:lineRule="auto"/>
        <w:rPr>
          <w:color w:val="000000"/>
        </w:rPr>
      </w:pPr>
    </w:p>
    <w:p w14:paraId="75F4F669" w14:textId="77777777" w:rsidR="00694C71" w:rsidRDefault="00186DE5">
      <w:pPr>
        <w:spacing w:after="0" w:line="360" w:lineRule="auto"/>
        <w:rPr>
          <w:color w:val="000000"/>
        </w:rPr>
      </w:pPr>
      <w:r>
        <w:rPr>
          <w:color w:val="000000"/>
        </w:rPr>
        <w:t xml:space="preserve">En ese contexto, conforme a los artículos 26 y 27 de dicho ordenamiento jurídico, las adquisiciones, arrendamientos y </w:t>
      </w:r>
      <w:r>
        <w:rPr>
          <w:b/>
          <w:bCs/>
          <w:color w:val="000000"/>
        </w:rPr>
        <w:t>servicios</w:t>
      </w:r>
      <w:r>
        <w:rPr>
          <w:color w:val="000000"/>
        </w:rPr>
        <w:t>, se adjudicarán a través de procedimientos de licitación pública, invitación restringida y adjudicación directa.</w:t>
      </w:r>
    </w:p>
    <w:p w14:paraId="519E1028" w14:textId="77777777" w:rsidR="00694C71" w:rsidRDefault="00694C71">
      <w:pPr>
        <w:spacing w:after="0" w:line="360" w:lineRule="auto"/>
        <w:rPr>
          <w:color w:val="000000"/>
        </w:rPr>
      </w:pPr>
    </w:p>
    <w:p w14:paraId="37DEABAB" w14:textId="77777777" w:rsidR="00694C71" w:rsidRDefault="00186DE5">
      <w:pPr>
        <w:spacing w:after="0" w:line="360" w:lineRule="auto"/>
        <w:rPr>
          <w:color w:val="000000"/>
        </w:rPr>
      </w:pPr>
      <w:r>
        <w:rPr>
          <w:color w:val="000000"/>
        </w:rPr>
        <w:t xml:space="preserve">En ese orden de ideas, conforme al artículo 65 de la Ley de Contratación Pública del Estado de México y Municipios, la adjudicación de un procedimiento de </w:t>
      </w:r>
      <w:r>
        <w:rPr>
          <w:b/>
          <w:bCs/>
          <w:color w:val="000000"/>
        </w:rPr>
        <w:t xml:space="preserve">adquisición y arrendamiento de bienes y contratación de servicios se realizará mediante la suscripción </w:t>
      </w:r>
      <w:r>
        <w:rPr>
          <w:b/>
          <w:bCs/>
          <w:color w:val="000000"/>
        </w:rPr>
        <w:lastRenderedPageBreak/>
        <w:t>de un contrato</w:t>
      </w:r>
      <w:r>
        <w:rPr>
          <w:color w:val="000000"/>
        </w:rPr>
        <w:t>, entre el Ayuntamiento y la persona a la cual haya ganado el procedimiento respectivo, dentro de los diez días hábiles siguientes a la notificación del fallo.</w:t>
      </w:r>
    </w:p>
    <w:p w14:paraId="746C907E" w14:textId="77777777" w:rsidR="00694C71" w:rsidRDefault="00694C71">
      <w:pPr>
        <w:spacing w:after="0" w:line="360" w:lineRule="auto"/>
        <w:rPr>
          <w:color w:val="000000"/>
        </w:rPr>
      </w:pPr>
    </w:p>
    <w:p w14:paraId="03F015A8" w14:textId="77777777" w:rsidR="00694C71" w:rsidRDefault="00186DE5">
      <w:pPr>
        <w:spacing w:after="0" w:line="360" w:lineRule="auto"/>
        <w:rPr>
          <w:color w:val="000000"/>
        </w:rPr>
      </w:pPr>
      <w:r>
        <w:rPr>
          <w:color w:val="000000"/>
        </w:rPr>
        <w:t>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14:paraId="2C7B8674" w14:textId="77777777" w:rsidR="00694C71" w:rsidRDefault="00694C71">
      <w:pPr>
        <w:spacing w:after="0" w:line="360" w:lineRule="auto"/>
        <w:rPr>
          <w:color w:val="000000"/>
        </w:rPr>
      </w:pPr>
    </w:p>
    <w:p w14:paraId="19E1E15E" w14:textId="77777777" w:rsidR="00694C71" w:rsidRDefault="00186DE5">
      <w:pPr>
        <w:spacing w:after="0" w:line="360" w:lineRule="auto"/>
        <w:rPr>
          <w:color w:val="000000"/>
        </w:rPr>
      </w:pPr>
      <w:r>
        <w:rPr>
          <w:color w:val="000000"/>
        </w:rPr>
        <w:t>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w:t>
      </w:r>
    </w:p>
    <w:p w14:paraId="098F82BB" w14:textId="77777777" w:rsidR="00694C71" w:rsidRDefault="00694C71">
      <w:pPr>
        <w:spacing w:after="0" w:line="360" w:lineRule="auto"/>
        <w:rPr>
          <w:color w:val="0D0D0D"/>
        </w:rPr>
      </w:pPr>
    </w:p>
    <w:p w14:paraId="61970085" w14:textId="77777777" w:rsidR="00694C71" w:rsidRDefault="00186DE5">
      <w:pPr>
        <w:spacing w:after="0" w:line="360" w:lineRule="auto"/>
        <w:rPr>
          <w:color w:val="000000"/>
        </w:rPr>
      </w:pPr>
      <w:r>
        <w:rPr>
          <w:color w:val="0D0D0D"/>
        </w:rPr>
        <w:t xml:space="preserve">Además, </w:t>
      </w:r>
      <w:r>
        <w:rPr>
          <w:color w:val="000000"/>
        </w:rPr>
        <w:t xml:space="preserve">resulta necesario traer a colación, la Resolución Miscelánea Fiscal para el 2025, establece que la </w:t>
      </w:r>
      <w:r>
        <w:rPr>
          <w:b/>
          <w:bCs/>
          <w:color w:val="000000"/>
        </w:rPr>
        <w:t>factura</w:t>
      </w:r>
      <w:r>
        <w:rPr>
          <w:color w:val="000000"/>
        </w:rPr>
        <w:t xml:space="preserve"> es lo mismo, que un Comprobante Fiscal Digital por Internet, por lo que, se puede considerar como el documento que comprueba la realización de una </w:t>
      </w:r>
      <w:r>
        <w:rPr>
          <w:b/>
          <w:bCs/>
          <w:color w:val="000000"/>
        </w:rPr>
        <w:t>transacción comercial</w:t>
      </w:r>
      <w:r>
        <w:rPr>
          <w:color w:val="000000"/>
        </w:rPr>
        <w:t xml:space="preserve">, entre un comprador y un vendedor, mediante el cual, el primero queda obligado a realizar un pago, mientras que el segundo, a entregar o brindar un </w:t>
      </w:r>
      <w:r>
        <w:rPr>
          <w:b/>
          <w:bCs/>
          <w:color w:val="000000"/>
        </w:rPr>
        <w:t>producto o servicio</w:t>
      </w:r>
      <w:r>
        <w:rPr>
          <w:color w:val="000000"/>
        </w:rPr>
        <w:t>.</w:t>
      </w:r>
      <w:r>
        <w:t xml:space="preserve"> Además, se precisa que dichos documentos deberán contener las imágenes de la documentación comprobatoria y justificativa de los egresos y de las respectivas pólizas, los cuales incluyen los Comprobantes Fiscales Digitales por Internet, facturas o recibos.</w:t>
      </w:r>
    </w:p>
    <w:p w14:paraId="78FBDE2E" w14:textId="77777777" w:rsidR="00694C71" w:rsidRDefault="00694C71">
      <w:pPr>
        <w:spacing w:after="0" w:line="360" w:lineRule="auto"/>
        <w:rPr>
          <w:color w:val="000000"/>
        </w:rPr>
      </w:pPr>
    </w:p>
    <w:p w14:paraId="7187922E" w14:textId="77777777" w:rsidR="00694C71" w:rsidRDefault="00186DE5">
      <w:pPr>
        <w:spacing w:after="0" w:line="360" w:lineRule="auto"/>
        <w:rPr>
          <w:color w:val="000000"/>
        </w:rPr>
      </w:pPr>
      <w:r>
        <w:rPr>
          <w:color w:val="000000"/>
        </w:rPr>
        <w:lastRenderedPageBreak/>
        <w:t xml:space="preserve">Finalmente, respecto al área solicitada este Instituto localizó en el sistema de Información Pública de Oficio Mexiquense del Sujeto Obligado (consultado en la liga electrónica </w:t>
      </w:r>
      <w:hyperlink r:id="rId7" w:anchor="/info-fraccion/3/186/1">
        <w:r>
          <w:rPr>
            <w:color w:val="0000FF"/>
            <w:u w:val="single"/>
          </w:rPr>
          <w:t>https://ipomex.org.mx/ipomex/#/info-fraccion/3/186/1</w:t>
        </w:r>
      </w:hyperlink>
      <w:r>
        <w:rPr>
          <w:color w:val="000000"/>
        </w:rPr>
        <w:t>), el Organigrama de la Administración Pública Municipal 2025-2027 por medio del cual se logró vislumbrar que cuenta con una Dirección de Desarrollo Urbano y Metropolitano, tal como se muestra en la siguiente imagen ilustrativa:</w:t>
      </w:r>
    </w:p>
    <w:p w14:paraId="78FFD822" w14:textId="77777777" w:rsidR="00694C71" w:rsidRDefault="00694C71">
      <w:pPr>
        <w:spacing w:after="0" w:line="360" w:lineRule="auto"/>
        <w:rPr>
          <w:color w:val="000000"/>
        </w:rPr>
      </w:pPr>
    </w:p>
    <w:p w14:paraId="0A138013" w14:textId="77777777" w:rsidR="00694C71" w:rsidRDefault="00186DE5">
      <w:pPr>
        <w:spacing w:after="0" w:line="360" w:lineRule="auto"/>
        <w:rPr>
          <w:color w:val="000000"/>
        </w:rPr>
      </w:pPr>
      <w:r>
        <w:rPr>
          <w:noProof/>
          <w:color w:val="000000"/>
        </w:rPr>
        <w:drawing>
          <wp:inline distT="0" distB="0" distL="0" distR="0" wp14:anchorId="2D7BD09D" wp14:editId="01FEF3F3">
            <wp:extent cx="5671185" cy="2329815"/>
            <wp:effectExtent l="0" t="0" r="0" b="0"/>
            <wp:docPr id="1820775331" name="image2.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Diagrama&#10;&#10;El contenido generado por IA puede ser incorrecto."/>
                    <pic:cNvPicPr preferRelativeResize="0"/>
                  </pic:nvPicPr>
                  <pic:blipFill>
                    <a:blip r:embed="rId8"/>
                    <a:srcRect/>
                    <a:stretch>
                      <a:fillRect/>
                    </a:stretch>
                  </pic:blipFill>
                  <pic:spPr>
                    <a:xfrm>
                      <a:off x="0" y="0"/>
                      <a:ext cx="5671185" cy="2329815"/>
                    </a:xfrm>
                    <a:prstGeom prst="rect">
                      <a:avLst/>
                    </a:prstGeom>
                    <a:ln/>
                  </pic:spPr>
                </pic:pic>
              </a:graphicData>
            </a:graphic>
          </wp:inline>
        </w:drawing>
      </w:r>
      <w:r>
        <w:rPr>
          <w:color w:val="000000"/>
        </w:rPr>
        <w:t xml:space="preserve"> </w:t>
      </w:r>
      <w:r>
        <w:rPr>
          <w:noProof/>
        </w:rPr>
        <mc:AlternateContent>
          <mc:Choice Requires="wpg">
            <w:drawing>
              <wp:anchor distT="0" distB="0" distL="114300" distR="114300" simplePos="0" relativeHeight="251658240" behindDoc="0" locked="0" layoutInCell="1" hidden="0" allowOverlap="1" wp14:anchorId="2CE16DBF" wp14:editId="5F3C0244">
                <wp:simplePos x="0" y="0"/>
                <wp:positionH relativeFrom="column">
                  <wp:posOffset>4570095</wp:posOffset>
                </wp:positionH>
                <wp:positionV relativeFrom="paragraph">
                  <wp:posOffset>1844675</wp:posOffset>
                </wp:positionV>
                <wp:extent cx="579120" cy="480060"/>
                <wp:effectExtent l="0" t="0" r="0" b="0"/>
                <wp:wrapNone/>
                <wp:docPr id="1820775330" name="Rectángulo 1820775330"/>
                <wp:cNvGraphicFramePr/>
                <a:graphic xmlns:a="http://schemas.openxmlformats.org/drawingml/2006/main">
                  <a:graphicData uri="http://schemas.microsoft.com/office/word/2010/wordprocessingShape">
                    <wps:wsp>
                      <wps:cNvSpPr/>
                      <wps:spPr>
                        <a:xfrm>
                          <a:off x="5075490" y="3559020"/>
                          <a:ext cx="541020" cy="441960"/>
                        </a:xfrm>
                        <a:prstGeom prst="rect">
                          <a:avLst/>
                        </a:prstGeom>
                        <a:noFill/>
                        <a:ln w="38100" cap="flat" cmpd="sng">
                          <a:solidFill>
                            <a:srgbClr val="EE0000"/>
                          </a:solidFill>
                          <a:prstDash val="solid"/>
                          <a:round/>
                          <a:headEnd type="none" w="sm" len="sm"/>
                          <a:tailEnd type="none" w="sm" len="sm"/>
                        </a:ln>
                      </wps:spPr>
                      <wps:txbx>
                        <w:txbxContent>
                          <w:p w14:paraId="7E51C8EB" w14:textId="77777777" w:rsidR="00694C71" w:rsidRDefault="00694C71">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4570095</wp:posOffset>
                </wp:positionH>
                <wp:positionV relativeFrom="paragraph">
                  <wp:posOffset>1844675</wp:posOffset>
                </wp:positionV>
                <wp:extent cx="579120" cy="480060"/>
                <wp:effectExtent b="0" l="0" r="0" t="0"/>
                <wp:wrapNone/>
                <wp:docPr id="182077533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79120" cy="480060"/>
                        </a:xfrm>
                        <a:prstGeom prst="rect"/>
                        <a:ln/>
                      </pic:spPr>
                    </pic:pic>
                  </a:graphicData>
                </a:graphic>
              </wp:anchor>
            </w:drawing>
          </mc:Fallback>
        </mc:AlternateContent>
      </w:r>
    </w:p>
    <w:p w14:paraId="292505C9" w14:textId="77777777" w:rsidR="00694C71" w:rsidRDefault="00694C71">
      <w:pPr>
        <w:spacing w:after="0" w:line="360" w:lineRule="auto"/>
        <w:rPr>
          <w:color w:val="000000"/>
        </w:rPr>
      </w:pPr>
    </w:p>
    <w:p w14:paraId="0C5BC24B" w14:textId="77777777" w:rsidR="00694C71" w:rsidRDefault="00186DE5">
      <w:pPr>
        <w:spacing w:after="0" w:line="360" w:lineRule="auto"/>
        <w:rPr>
          <w:color w:val="000000"/>
        </w:rPr>
      </w:pPr>
      <w:r>
        <w:rPr>
          <w:color w:val="000000"/>
        </w:rPr>
        <w:t>Cómo se logra observar, la pretensión del ahora Recurrente es obtener las facturas pagadas por la contratación por la contratación de personal o servicios de apoyo a la Dirección de Desarrollo Urbano del primero de enero al dieciséis de junio de dos mil veinticinco.</w:t>
      </w:r>
    </w:p>
    <w:p w14:paraId="37397BA8" w14:textId="77777777" w:rsidR="00694C71" w:rsidRDefault="00694C71">
      <w:pPr>
        <w:spacing w:after="0" w:line="360" w:lineRule="auto"/>
        <w:rPr>
          <w:color w:val="000000"/>
        </w:rPr>
      </w:pPr>
    </w:p>
    <w:p w14:paraId="3349AFA7" w14:textId="77777777" w:rsidR="00694C71" w:rsidRDefault="00186DE5">
      <w:pPr>
        <w:widowControl w:val="0"/>
        <w:spacing w:after="0" w:line="360" w:lineRule="auto"/>
        <w:rPr>
          <w:color w:val="000000"/>
        </w:rPr>
      </w:pPr>
      <w:r>
        <w:rPr>
          <w:color w:val="000000"/>
        </w:rPr>
        <w:t xml:space="preserve">Conforme a lo anterior, es necesario precisar que de las constancias que obran en el expediente electrónico, se logra advertir que el Sujeto Obligado turnó la solicitud de información a la Dirección de Administración y Finanzas; por lo que, resulta necesario hacer referencia al procedimiento de búsqueda que deben seguir los Sujetos Obligados para localizar la información, el cual se encuentra previsto en el artículo 162 de la Ley de </w:t>
      </w:r>
      <w:r>
        <w:rPr>
          <w:color w:val="000000"/>
        </w:rPr>
        <w:lastRenderedPageBreak/>
        <w:t>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CE4686B" w14:textId="77777777" w:rsidR="00694C71" w:rsidRDefault="00694C71">
      <w:pPr>
        <w:widowControl w:val="0"/>
        <w:spacing w:after="0" w:line="360" w:lineRule="auto"/>
        <w:rPr>
          <w:color w:val="000000"/>
        </w:rPr>
      </w:pPr>
    </w:p>
    <w:p w14:paraId="5186A70A" w14:textId="77777777" w:rsidR="00694C71" w:rsidRDefault="00186DE5">
      <w:pPr>
        <w:spacing w:after="0" w:line="360" w:lineRule="auto"/>
      </w:pPr>
      <w:r>
        <w:t>Ahora bien, los artículos 38, 47 y 48, del Bando Municipal de Tepotzotlán, dos mil veinticinco, en relación con el Manual de Organización de la Dirección de Administración y Finanzas con funciones de Tesorería, establece que, para el ejercicio de sus funciones la Presidenta Municipal se auxiliará de una Dirección de Administración y Finanzas con funciones de Tesorería encargada de la recaudación de los ingresos municipales y responsable de realizar las erogaciones que lleve a cabo el Ayuntamiento, así como, programar los pagos de las facturas; así mismo registrar el pasivo correspondiente dentro del mes con la documentación comprobatoria que acredite la obligación.</w:t>
      </w:r>
    </w:p>
    <w:p w14:paraId="35C30020" w14:textId="77777777" w:rsidR="00694C71" w:rsidRDefault="00694C71">
      <w:pPr>
        <w:widowControl w:val="0"/>
        <w:spacing w:after="0" w:line="360" w:lineRule="auto"/>
        <w:rPr>
          <w:color w:val="000000"/>
        </w:rPr>
      </w:pPr>
    </w:p>
    <w:p w14:paraId="14E8AF22" w14:textId="77777777" w:rsidR="00694C71" w:rsidRDefault="00186DE5">
      <w:pPr>
        <w:widowControl w:val="0"/>
        <w:spacing w:after="0" w:line="360" w:lineRule="auto"/>
        <w:rPr>
          <w:color w:val="000000"/>
        </w:rPr>
      </w:pPr>
      <w:r>
        <w:rPr>
          <w:color w:val="000000"/>
        </w:rPr>
        <w:t xml:space="preserve">Así conforme a lo expuesto en párrafos anteriores, se logra colegir que el Sujeto Obligado cumplió con el procedimiento de búsqueda previamente referido, toda vez que turnó la solicitud al área competente de la información solicitada. </w:t>
      </w:r>
    </w:p>
    <w:p w14:paraId="3D936738" w14:textId="77777777" w:rsidR="00694C71" w:rsidRDefault="00694C71">
      <w:pPr>
        <w:widowControl w:val="0"/>
        <w:spacing w:after="0" w:line="360" w:lineRule="auto"/>
        <w:rPr>
          <w:color w:val="000000"/>
        </w:rPr>
      </w:pPr>
    </w:p>
    <w:p w14:paraId="5AEBAE34" w14:textId="77777777" w:rsidR="00694C71" w:rsidRDefault="00186DE5">
      <w:pPr>
        <w:spacing w:after="0" w:line="360" w:lineRule="auto"/>
        <w:rPr>
          <w:color w:val="000000"/>
        </w:rPr>
      </w:pPr>
      <w:r>
        <w:rPr>
          <w:color w:val="000000"/>
        </w:rPr>
        <w:t xml:space="preserve">En ese contexto, en respuesta, la Dirección de Administración y Fianzas precisó que no se localizó evidencia documental relativa a las facturas pagadas por la contratación de personal o servicios de apoyo en la Dirección de Desarrollo Urbano, motivo por el cual no existía información pública que pudiera ser proporcionada, es decir, aludió que la información era inexistente; sobre el tema, el Criterio SO/014/2017, emitido por el Instituto Nacional de Transparencia, Acceso a la Información Pública y Protección de Datos Personales en el Estado de México y Municipios, a manera de referencia, establece que la inexistencia de la </w:t>
      </w:r>
      <w:r>
        <w:rPr>
          <w:color w:val="000000"/>
        </w:rPr>
        <w:lastRenderedPageBreak/>
        <w:t xml:space="preserve">información, es una cuestión de hecho que se le atribuye a la misma, cuando ésta no se encuentra en los archivos del sujeto obligado. </w:t>
      </w:r>
    </w:p>
    <w:p w14:paraId="1E86D915" w14:textId="77777777" w:rsidR="00694C71" w:rsidRDefault="00694C71">
      <w:pPr>
        <w:tabs>
          <w:tab w:val="left" w:pos="4962"/>
        </w:tabs>
        <w:spacing w:after="0" w:line="360" w:lineRule="auto"/>
        <w:rPr>
          <w:color w:val="000000"/>
        </w:rPr>
      </w:pPr>
    </w:p>
    <w:p w14:paraId="3642CC74" w14:textId="77777777" w:rsidR="00694C71" w:rsidRDefault="00186DE5">
      <w:pPr>
        <w:tabs>
          <w:tab w:val="left" w:pos="4962"/>
        </w:tabs>
        <w:spacing w:after="0" w:line="360" w:lineRule="auto"/>
        <w:rPr>
          <w:color w:val="000000"/>
        </w:rPr>
      </w:pPr>
      <w:r>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3BAA3F1B" w14:textId="77777777" w:rsidR="00694C71" w:rsidRDefault="00694C71">
      <w:pPr>
        <w:spacing w:after="0" w:line="360" w:lineRule="auto"/>
        <w:rPr>
          <w:color w:val="000000"/>
        </w:rPr>
      </w:pPr>
    </w:p>
    <w:p w14:paraId="0D43B4CC" w14:textId="77777777" w:rsidR="00694C71" w:rsidRDefault="00186DE5">
      <w:pPr>
        <w:widowControl w:val="0"/>
        <w:spacing w:after="0" w:line="360" w:lineRule="auto"/>
        <w:rPr>
          <w:color w:val="000000"/>
        </w:rPr>
      </w:pPr>
      <w:r>
        <w:rPr>
          <w:color w:val="000000"/>
        </w:rPr>
        <w:t xml:space="preserve">Así, es posible concluir que la </w:t>
      </w:r>
      <w:r>
        <w:rPr>
          <w:b/>
          <w:bCs/>
          <w:color w:val="000000"/>
        </w:rPr>
        <w:t>inexistencia</w:t>
      </w:r>
      <w:r>
        <w:rPr>
          <w:color w:val="000000"/>
        </w:rPr>
        <w:t xml:space="preserve"> presupone la competencia del sujeto obligado para conocer de la información, pero por alguna circunstancia, la documentación solicitada no obra en sus archivos. Para tal situación, no basta con que los sujetos obligados señalen dicha circunstancia, sino que también debe de señalar las razones por las cuales no cuentan con lo peticionado, es decir, las circunstancias que dan lugar a la inexistencia.</w:t>
      </w:r>
    </w:p>
    <w:p w14:paraId="797B9C3F" w14:textId="77777777" w:rsidR="00694C71" w:rsidRDefault="00694C71">
      <w:pPr>
        <w:widowControl w:val="0"/>
        <w:spacing w:after="0" w:line="360" w:lineRule="auto"/>
        <w:rPr>
          <w:color w:val="000000"/>
        </w:rPr>
      </w:pPr>
    </w:p>
    <w:p w14:paraId="16260830" w14:textId="77777777" w:rsidR="00694C71" w:rsidRDefault="00186DE5">
      <w:pPr>
        <w:spacing w:after="0" w:line="360" w:lineRule="auto"/>
        <w:rPr>
          <w:color w:val="000000"/>
        </w:rPr>
      </w:pPr>
      <w:r>
        <w:rPr>
          <w:color w:val="000000"/>
        </w:rPr>
        <w:t xml:space="preserve">Así, es posible concluir que la </w:t>
      </w:r>
      <w:r>
        <w:rPr>
          <w:b/>
          <w:bCs/>
          <w:color w:val="000000"/>
        </w:rPr>
        <w:t>inexistencia</w:t>
      </w:r>
      <w:r>
        <w:rPr>
          <w:color w:val="000000"/>
        </w:rPr>
        <w:t xml:space="preserve"> presupone la competencia del sujeto obligado para conocer de la información, pero por alguna circunstancia, la documentación solicitada no obra en sus archivos. Para tal situación, no basta con que los sujetos obligados señalen dicha circunstancia, sino que también debe de señalar las razones por las cuales no cuentan con lo peticionado, es decir, las circunstancias que dan lugar a la inexistencia.</w:t>
      </w:r>
    </w:p>
    <w:p w14:paraId="4C14D11C" w14:textId="77777777" w:rsidR="00694C71" w:rsidRDefault="00694C71">
      <w:pPr>
        <w:spacing w:after="0" w:line="360" w:lineRule="auto"/>
        <w:rPr>
          <w:color w:val="000000"/>
        </w:rPr>
      </w:pPr>
    </w:p>
    <w:p w14:paraId="55A6F770" w14:textId="77777777" w:rsidR="00694C71" w:rsidRDefault="00186DE5">
      <w:pPr>
        <w:spacing w:after="0" w:line="360" w:lineRule="auto"/>
        <w:rPr>
          <w:color w:val="000000"/>
        </w:rPr>
      </w:pPr>
      <w:r>
        <w:rPr>
          <w:color w:val="000000"/>
        </w:rPr>
        <w:t xml:space="preserve">En ese contexto, el Sujeto Obligado precisó las razones por las cuales no contaba con lo peticionado, a saber, que durante el periodo requerido no se localizaron las facturas pagadas por la contratación de personal o servicios de apoyo en la Dirección de Desarrollo Urbano y Metropolitano motivo por el cual no podía hacer entrega de la información; además, este Instituto realizó una búsqueda en la página oficial, el Portal de Información Pública de Oficio Mexiquense y las cuentas oficiales de las redes sociales del Sujeto Obligado y no se advirtió </w:t>
      </w:r>
      <w:r>
        <w:rPr>
          <w:color w:val="000000"/>
        </w:rPr>
        <w:lastRenderedPageBreak/>
        <w:t xml:space="preserve">ningún elemento de existencia sobre la contratación de personal o servicios de apoyo a la Dirección de Desarrollo Urbano y Metropolitano durante el periodo solicitado. </w:t>
      </w:r>
    </w:p>
    <w:p w14:paraId="016F5C7B" w14:textId="77777777" w:rsidR="00694C71" w:rsidRDefault="00694C71">
      <w:pPr>
        <w:spacing w:after="0" w:line="360" w:lineRule="auto"/>
        <w:rPr>
          <w:color w:val="000000"/>
        </w:rPr>
      </w:pPr>
    </w:p>
    <w:p w14:paraId="283B9787" w14:textId="77777777" w:rsidR="00694C71" w:rsidRDefault="00186DE5">
      <w:pPr>
        <w:spacing w:after="0" w:line="360" w:lineRule="auto"/>
        <w:rPr>
          <w:color w:val="000000"/>
        </w:rPr>
      </w:pPr>
      <w:r>
        <w:rPr>
          <w:color w:val="000000"/>
        </w:rPr>
        <w:t xml:space="preserve">Así, se logra colegir que la información solicitada por el ahora Recurrente es inexistente, pues el Sujeto Obligado, realizó una búsqueda exhaustiva y razonable en los archivos de la unidad administrativa competente y esta señaló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1130DC68" w14:textId="77777777" w:rsidR="00694C71" w:rsidRDefault="00694C71">
      <w:pPr>
        <w:widowControl w:val="0"/>
        <w:spacing w:after="0" w:line="360" w:lineRule="auto"/>
        <w:rPr>
          <w:color w:val="000000"/>
        </w:rPr>
      </w:pPr>
    </w:p>
    <w:p w14:paraId="1A842FE7" w14:textId="77777777" w:rsidR="00694C71" w:rsidRDefault="00186DE5">
      <w:pPr>
        <w:spacing w:after="0" w:line="360" w:lineRule="auto"/>
        <w:rPr>
          <w:color w:val="000000"/>
        </w:rPr>
      </w:pPr>
      <w:r>
        <w:rPr>
          <w:color w:val="000000"/>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5C2E6FE5" w14:textId="77777777" w:rsidR="00694C71" w:rsidRDefault="00694C71">
      <w:pPr>
        <w:spacing w:after="0" w:line="360" w:lineRule="auto"/>
        <w:rPr>
          <w:color w:val="000000"/>
        </w:rPr>
      </w:pPr>
    </w:p>
    <w:p w14:paraId="7C878482" w14:textId="77777777" w:rsidR="00694C71" w:rsidRDefault="00186DE5">
      <w:pPr>
        <w:spacing w:after="0" w:line="360" w:lineRule="auto"/>
        <w:rPr>
          <w:b/>
          <w:bCs/>
          <w:color w:val="000000"/>
        </w:rPr>
      </w:pPr>
      <w:r>
        <w:rPr>
          <w:color w:val="000000"/>
        </w:rPr>
        <w:t xml:space="preserve">Al respecto, dicho criterio aplica al caso en concreto, ya que, no se localizó algún indicio de que obre en los archivos del Sujeto Obligado, la información solicitada por el Recurrente; por lo cual, da como resultado que el agravio sea </w:t>
      </w:r>
      <w:r>
        <w:rPr>
          <w:b/>
          <w:bCs/>
          <w:color w:val="000000"/>
        </w:rPr>
        <w:t>INFUNDADO.</w:t>
      </w:r>
    </w:p>
    <w:p w14:paraId="75F36F5A" w14:textId="77777777" w:rsidR="00694C71" w:rsidRDefault="00694C71">
      <w:pPr>
        <w:spacing w:after="0" w:line="360" w:lineRule="auto"/>
        <w:rPr>
          <w:b/>
          <w:bCs/>
          <w:color w:val="000000"/>
        </w:rPr>
      </w:pPr>
    </w:p>
    <w:p w14:paraId="1703C0EA" w14:textId="77777777" w:rsidR="00694C71" w:rsidRDefault="00186DE5">
      <w:pPr>
        <w:pStyle w:val="Ttulo2"/>
        <w:spacing w:before="0" w:after="0" w:line="360" w:lineRule="auto"/>
        <w:rPr>
          <w:b w:val="0"/>
          <w:bCs w:val="0"/>
          <w:color w:val="000000"/>
          <w:sz w:val="22"/>
          <w:szCs w:val="22"/>
        </w:rPr>
      </w:pPr>
      <w:bookmarkStart w:id="11" w:name="_heading=h.pa5mjkgth6ib" w:colFirst="0" w:colLast="0"/>
      <w:bookmarkEnd w:id="11"/>
      <w:r>
        <w:rPr>
          <w:color w:val="000000"/>
          <w:sz w:val="22"/>
          <w:szCs w:val="22"/>
        </w:rPr>
        <w:t xml:space="preserve">SEXTO. Decisión </w:t>
      </w:r>
    </w:p>
    <w:p w14:paraId="060C962C" w14:textId="77777777" w:rsidR="00694C71" w:rsidRDefault="00694C71">
      <w:pPr>
        <w:spacing w:after="0" w:line="360" w:lineRule="auto"/>
        <w:rPr>
          <w:b/>
          <w:bCs/>
        </w:rPr>
      </w:pPr>
    </w:p>
    <w:p w14:paraId="2BE9BC33" w14:textId="77777777" w:rsidR="00694C71" w:rsidRDefault="00186DE5">
      <w:pPr>
        <w:spacing w:after="0" w:line="360" w:lineRule="auto"/>
      </w:pPr>
      <w:r>
        <w:lastRenderedPageBreak/>
        <w:t xml:space="preserve">Con fundamento en el artículo 186, fracción II, de la Ley de Transparencia y Acceso a la Información Pública del Estado de México y Municipios, este Instituto considera procedente </w:t>
      </w:r>
      <w:r>
        <w:rPr>
          <w:b/>
          <w:bCs/>
        </w:rPr>
        <w:t xml:space="preserve">CONFIRMAR </w:t>
      </w:r>
      <w:r>
        <w:t xml:space="preserve">la respuesta otorgada por el Sujeto Obligado. </w:t>
      </w:r>
    </w:p>
    <w:p w14:paraId="40E5BC6E" w14:textId="77777777" w:rsidR="00694C71" w:rsidRDefault="00694C71">
      <w:pPr>
        <w:spacing w:after="0" w:line="360" w:lineRule="auto"/>
        <w:ind w:right="-28"/>
        <w:rPr>
          <w:color w:val="000000"/>
        </w:rPr>
      </w:pPr>
    </w:p>
    <w:p w14:paraId="487AA1E0" w14:textId="77777777" w:rsidR="00694C71" w:rsidRDefault="00186DE5">
      <w:pPr>
        <w:spacing w:after="0" w:line="360" w:lineRule="auto"/>
        <w:ind w:right="-28"/>
        <w:rPr>
          <w:b/>
          <w:bCs/>
          <w:color w:val="000000"/>
        </w:rPr>
      </w:pPr>
      <w:r>
        <w:rPr>
          <w:b/>
          <w:bCs/>
          <w:color w:val="000000"/>
        </w:rPr>
        <w:t>Términos de la Resolución para conocimiento del Particular</w:t>
      </w:r>
    </w:p>
    <w:p w14:paraId="23A0E704" w14:textId="77777777" w:rsidR="00694C71" w:rsidRDefault="00694C71">
      <w:pPr>
        <w:spacing w:after="0" w:line="360" w:lineRule="auto"/>
        <w:ind w:right="-28"/>
        <w:rPr>
          <w:color w:val="000000"/>
        </w:rPr>
      </w:pPr>
    </w:p>
    <w:p w14:paraId="6ECB59B8" w14:textId="77777777" w:rsidR="00694C71" w:rsidRDefault="00186DE5">
      <w:pPr>
        <w:widowControl w:val="0"/>
        <w:spacing w:after="0" w:line="360" w:lineRule="auto"/>
        <w:rPr>
          <w:color w:val="000000"/>
        </w:rPr>
      </w:pPr>
      <w:r>
        <w:rPr>
          <w:color w:val="000000"/>
        </w:rPr>
        <w:t>Se le hace del conocimiento al Particular, que, en el presente caso, no se le da la razón, pues desde respuesta el Sujeto Obligado precisó la inexistencia de la información solicitada; aunado a que no se advirtió ningún elemento de la existencia de misma.</w:t>
      </w:r>
    </w:p>
    <w:p w14:paraId="0A3DDCCF" w14:textId="77777777" w:rsidR="00694C71" w:rsidRDefault="00694C71">
      <w:pPr>
        <w:widowControl w:val="0"/>
        <w:spacing w:after="0" w:line="360" w:lineRule="auto"/>
        <w:rPr>
          <w:color w:val="000000"/>
        </w:rPr>
      </w:pPr>
    </w:p>
    <w:p w14:paraId="024CB982" w14:textId="77777777" w:rsidR="00694C71" w:rsidRDefault="00186DE5">
      <w:pPr>
        <w:spacing w:after="0" w:line="360" w:lineRule="auto"/>
        <w:ind w:right="-28"/>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54756E91" w14:textId="77777777" w:rsidR="00694C71" w:rsidRDefault="00694C71">
      <w:pPr>
        <w:widowControl w:val="0"/>
        <w:spacing w:after="0" w:line="360" w:lineRule="auto"/>
      </w:pPr>
    </w:p>
    <w:p w14:paraId="381F8F50" w14:textId="77777777" w:rsidR="00694C71" w:rsidRDefault="00186DE5">
      <w:pPr>
        <w:spacing w:after="0" w:line="360" w:lineRule="auto"/>
        <w:rPr>
          <w:color w:val="000000"/>
        </w:rPr>
      </w:pPr>
      <w:r>
        <w:t>Por</w:t>
      </w:r>
      <w:r>
        <w:rPr>
          <w:color w:val="000000"/>
        </w:rPr>
        <w:t xml:space="preserve"> lo expuesto y fundado, este Pleno:</w:t>
      </w:r>
    </w:p>
    <w:p w14:paraId="2DC9CA5A" w14:textId="77777777" w:rsidR="00694C71" w:rsidRDefault="00694C71">
      <w:pPr>
        <w:spacing w:after="0" w:line="360" w:lineRule="auto"/>
        <w:rPr>
          <w:color w:val="000000"/>
        </w:rPr>
      </w:pPr>
    </w:p>
    <w:p w14:paraId="3164B3D1" w14:textId="77777777" w:rsidR="00694C71" w:rsidRDefault="00186DE5">
      <w:pPr>
        <w:pStyle w:val="Ttulo1"/>
        <w:spacing w:before="0" w:after="0" w:line="360" w:lineRule="auto"/>
        <w:jc w:val="center"/>
        <w:rPr>
          <w:b w:val="0"/>
          <w:bCs w:val="0"/>
          <w:color w:val="000000"/>
          <w:sz w:val="22"/>
          <w:szCs w:val="22"/>
        </w:rPr>
      </w:pPr>
      <w:bookmarkStart w:id="12" w:name="_heading=h.zfvk08qn8zv5" w:colFirst="0" w:colLast="0"/>
      <w:bookmarkEnd w:id="12"/>
      <w:r>
        <w:rPr>
          <w:color w:val="000000"/>
          <w:sz w:val="22"/>
          <w:szCs w:val="22"/>
        </w:rPr>
        <w:t>R E S U E L V E</w:t>
      </w:r>
    </w:p>
    <w:p w14:paraId="7F531996" w14:textId="77777777" w:rsidR="00694C71" w:rsidRDefault="00694C71">
      <w:pPr>
        <w:spacing w:after="0" w:line="360" w:lineRule="auto"/>
        <w:rPr>
          <w:b/>
          <w:bCs/>
          <w:color w:val="000000"/>
        </w:rPr>
      </w:pPr>
    </w:p>
    <w:p w14:paraId="32098654" w14:textId="77777777" w:rsidR="00694C71" w:rsidRDefault="00186DE5">
      <w:pPr>
        <w:spacing w:after="0" w:line="360" w:lineRule="auto"/>
      </w:pPr>
      <w:r>
        <w:rPr>
          <w:b/>
          <w:bCs/>
        </w:rPr>
        <w:t>PRIMERO.</w:t>
      </w:r>
      <w:r>
        <w:t xml:space="preserve"> Se </w:t>
      </w:r>
      <w:r>
        <w:rPr>
          <w:b/>
          <w:bCs/>
        </w:rPr>
        <w:t xml:space="preserve">CONFIRMA </w:t>
      </w:r>
      <w:r>
        <w:t xml:space="preserve">la respuesta entregada por el Sujeto Obligado a la solicitud de acceso a la información </w:t>
      </w:r>
      <w:r>
        <w:rPr>
          <w:color w:val="0D0D0D"/>
        </w:rPr>
        <w:t>con número de folio</w:t>
      </w:r>
      <w:r>
        <w:rPr>
          <w:b/>
          <w:bCs/>
          <w:color w:val="FF0000"/>
        </w:rPr>
        <w:t> </w:t>
      </w:r>
      <w:r>
        <w:rPr>
          <w:color w:val="000000"/>
        </w:rPr>
        <w:t>00310/TEPOTZOT/IP/2025</w:t>
      </w:r>
      <w:r>
        <w:rPr>
          <w:color w:val="0D0D0D"/>
        </w:rPr>
        <w:t xml:space="preserve">, </w:t>
      </w:r>
      <w:r>
        <w:t xml:space="preserve">por resultar </w:t>
      </w:r>
      <w:r>
        <w:rPr>
          <w:b/>
          <w:bCs/>
        </w:rPr>
        <w:t>INFUNDADAS</w:t>
      </w:r>
      <w:r>
        <w:t xml:space="preserve"> las razones o motivos de inconformidad hechas valer por la persona Recurrente, en términos de los Considerandos QUINTO y SEXTO de esta Resolución.</w:t>
      </w:r>
    </w:p>
    <w:p w14:paraId="327321A7" w14:textId="77777777" w:rsidR="00694C71" w:rsidRDefault="00694C71">
      <w:pPr>
        <w:spacing w:after="0" w:line="360" w:lineRule="auto"/>
        <w:rPr>
          <w:b/>
          <w:bCs/>
          <w:color w:val="000000"/>
        </w:rPr>
      </w:pPr>
    </w:p>
    <w:p w14:paraId="05DED50B" w14:textId="77777777" w:rsidR="00694C71" w:rsidRDefault="00186DE5">
      <w:pPr>
        <w:spacing w:after="0" w:line="360" w:lineRule="auto"/>
        <w:rPr>
          <w:b/>
          <w:bCs/>
          <w:color w:val="000000"/>
        </w:rPr>
      </w:pPr>
      <w:r>
        <w:rPr>
          <w:b/>
          <w:bCs/>
          <w:color w:val="000000"/>
        </w:rPr>
        <w:t xml:space="preserve">SEGUNDO. NOTIFÍQUESE POR SAIMEX </w:t>
      </w:r>
      <w:r>
        <w:rPr>
          <w:color w:val="000000"/>
        </w:rPr>
        <w:t>la presente Resolución, al Titular de la Unidad de Transparencia del Sujeto Obligado.</w:t>
      </w:r>
    </w:p>
    <w:p w14:paraId="509FC483" w14:textId="77777777" w:rsidR="00694C71" w:rsidRDefault="00694C71">
      <w:pPr>
        <w:spacing w:after="0" w:line="360" w:lineRule="auto"/>
        <w:rPr>
          <w:b/>
          <w:bCs/>
          <w:i/>
          <w:iCs/>
          <w:color w:val="000000"/>
        </w:rPr>
      </w:pPr>
    </w:p>
    <w:p w14:paraId="1C42B44D" w14:textId="77777777" w:rsidR="00694C71" w:rsidRDefault="00186DE5">
      <w:pPr>
        <w:spacing w:after="0" w:line="360" w:lineRule="auto"/>
        <w:rPr>
          <w:b/>
          <w:bCs/>
          <w:color w:val="000000"/>
        </w:rPr>
      </w:pPr>
      <w:r>
        <w:rPr>
          <w:b/>
          <w:bCs/>
          <w:color w:val="000000"/>
        </w:rPr>
        <w:t xml:space="preserve">TERCERO. NOTIFÍQUESE POR SAIMEX </w:t>
      </w:r>
      <w:r>
        <w:rPr>
          <w:color w:val="000000"/>
        </w:rPr>
        <w:t>a la persona Recurrente, la presente Resolución</w:t>
      </w:r>
      <w:r>
        <w:t>,</w:t>
      </w:r>
      <w:r>
        <w:rPr>
          <w:color w:val="000000"/>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60BB83A" w14:textId="77777777" w:rsidR="00694C71" w:rsidRDefault="00694C71">
      <w:pPr>
        <w:spacing w:after="0" w:line="360" w:lineRule="auto"/>
      </w:pPr>
    </w:p>
    <w:p w14:paraId="4AA76322" w14:textId="77777777" w:rsidR="00694C71" w:rsidRDefault="00186DE5">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14:paraId="1292F5EE" w14:textId="77777777" w:rsidR="00694C71" w:rsidRDefault="00186DE5">
      <w:pPr>
        <w:spacing w:after="0" w:line="360" w:lineRule="auto"/>
      </w:pPr>
      <w:r>
        <w:br w:type="page"/>
      </w:r>
    </w:p>
    <w:p w14:paraId="2AF1787D" w14:textId="77777777" w:rsidR="00694C71" w:rsidRDefault="00694C71">
      <w:pPr>
        <w:spacing w:after="0" w:line="360" w:lineRule="auto"/>
      </w:pPr>
    </w:p>
    <w:p w14:paraId="0CA822C3" w14:textId="77777777" w:rsidR="00694C71" w:rsidRDefault="00694C71">
      <w:pPr>
        <w:spacing w:after="0" w:line="360" w:lineRule="auto"/>
      </w:pPr>
    </w:p>
    <w:p w14:paraId="294A5407" w14:textId="77777777" w:rsidR="00694C71" w:rsidRDefault="00694C71">
      <w:pPr>
        <w:spacing w:after="0" w:line="360" w:lineRule="auto"/>
        <w:rPr>
          <w:color w:val="000000"/>
        </w:rPr>
      </w:pPr>
    </w:p>
    <w:p w14:paraId="23866B6F" w14:textId="77777777" w:rsidR="00694C71" w:rsidRDefault="00694C71">
      <w:pPr>
        <w:spacing w:after="0" w:line="360" w:lineRule="auto"/>
      </w:pPr>
    </w:p>
    <w:p w14:paraId="76D44176" w14:textId="77777777" w:rsidR="00694C71" w:rsidRDefault="00694C71">
      <w:pPr>
        <w:spacing w:after="0" w:line="360" w:lineRule="auto"/>
      </w:pPr>
    </w:p>
    <w:p w14:paraId="47E0384A" w14:textId="77777777" w:rsidR="00694C71" w:rsidRDefault="00694C71">
      <w:pPr>
        <w:spacing w:after="0" w:line="360" w:lineRule="auto"/>
        <w:rPr>
          <w:color w:val="000000"/>
        </w:rPr>
      </w:pPr>
    </w:p>
    <w:p w14:paraId="7FDC426D" w14:textId="77777777" w:rsidR="00694C71" w:rsidRDefault="00694C71">
      <w:pPr>
        <w:spacing w:after="0" w:line="360" w:lineRule="auto"/>
        <w:rPr>
          <w:color w:val="000000"/>
        </w:rPr>
      </w:pPr>
    </w:p>
    <w:p w14:paraId="3FED3DBE" w14:textId="77777777" w:rsidR="00694C71" w:rsidRDefault="00694C71">
      <w:pPr>
        <w:tabs>
          <w:tab w:val="right" w:pos="8931"/>
        </w:tabs>
        <w:spacing w:after="0" w:line="360" w:lineRule="auto"/>
      </w:pPr>
    </w:p>
    <w:p w14:paraId="0B667C77" w14:textId="77777777" w:rsidR="00694C71" w:rsidRDefault="00694C71">
      <w:pPr>
        <w:tabs>
          <w:tab w:val="right" w:pos="8931"/>
        </w:tabs>
        <w:spacing w:after="0" w:line="360" w:lineRule="auto"/>
      </w:pPr>
    </w:p>
    <w:p w14:paraId="75C19DEB" w14:textId="77777777" w:rsidR="00694C71" w:rsidRDefault="00694C71">
      <w:pPr>
        <w:spacing w:after="0" w:line="360" w:lineRule="auto"/>
      </w:pPr>
    </w:p>
    <w:p w14:paraId="1FD44585" w14:textId="77777777" w:rsidR="00694C71" w:rsidRDefault="00694C71">
      <w:pPr>
        <w:spacing w:after="0" w:line="360" w:lineRule="auto"/>
      </w:pPr>
    </w:p>
    <w:sectPr w:rsidR="00694C71">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701"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DBE3D" w14:textId="77777777" w:rsidR="009F72B4" w:rsidRDefault="009F72B4">
      <w:pPr>
        <w:spacing w:after="0" w:line="240" w:lineRule="auto"/>
      </w:pPr>
      <w:r>
        <w:separator/>
      </w:r>
    </w:p>
  </w:endnote>
  <w:endnote w:type="continuationSeparator" w:id="0">
    <w:p w14:paraId="634BC739" w14:textId="77777777" w:rsidR="009F72B4" w:rsidRDefault="009F7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8BBD7CE3-6CA6-4671-B0FA-0454188450AE}"/>
    <w:embedBold r:id="rId2" w:fontKey="{8443408F-C4EE-4E19-AEC2-9FA332246369}"/>
    <w:embedItalic r:id="rId3" w:fontKey="{0FB45185-E721-46DB-87E1-165D7F40788F}"/>
    <w:embedBoldItalic r:id="rId4" w:fontKey="{03E26378-0C83-4BBF-83C6-D9692190D75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B5444BF-5F5A-45F6-8739-249426B5D16F}"/>
  </w:font>
  <w:font w:name="Calibri">
    <w:panose1 w:val="020F0502020204030204"/>
    <w:charset w:val="00"/>
    <w:family w:val="swiss"/>
    <w:pitch w:val="variable"/>
    <w:sig w:usb0="E4002EFF" w:usb1="C200247B" w:usb2="00000009" w:usb3="00000000" w:csb0="000001FF" w:csb1="00000000"/>
    <w:embedRegular r:id="rId6" w:fontKey="{2981D570-49CC-4606-9D09-9CBA55BBCB03}"/>
  </w:font>
  <w:font w:name="Georgia">
    <w:panose1 w:val="02040502050405020303"/>
    <w:charset w:val="00"/>
    <w:family w:val="roman"/>
    <w:pitch w:val="variable"/>
    <w:sig w:usb0="00000287" w:usb1="00000000" w:usb2="00000000" w:usb3="00000000" w:csb0="0000009F" w:csb1="00000000"/>
    <w:embedItalic r:id="rId7" w:fontKey="{8ED7882F-5710-4F91-BBA2-FA64FE2ED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9432B" w14:textId="77777777" w:rsidR="00694C71" w:rsidRDefault="00186D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3798E">
      <w:rPr>
        <w:b/>
        <w:bCs/>
        <w:noProof/>
        <w:color w:val="000000"/>
        <w:sz w:val="24"/>
        <w:szCs w:val="24"/>
      </w:rPr>
      <w:t>18</w:t>
    </w:r>
    <w:r>
      <w:rPr>
        <w:b/>
        <w:bCs/>
        <w:color w:val="000000"/>
        <w:sz w:val="24"/>
        <w:szCs w:val="24"/>
      </w:rPr>
      <w:fldChar w:fldCharType="end"/>
    </w:r>
  </w:p>
  <w:p w14:paraId="6492A84D" w14:textId="77777777" w:rsidR="00694C71" w:rsidRDefault="00694C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57CFF" w14:textId="77777777" w:rsidR="00694C71" w:rsidRDefault="00186D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3798E">
      <w:rPr>
        <w:b/>
        <w:bCs/>
        <w:noProof/>
        <w:color w:val="000000"/>
        <w:sz w:val="24"/>
        <w:szCs w:val="24"/>
      </w:rPr>
      <w:t>17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3798E">
      <w:rPr>
        <w:b/>
        <w:bCs/>
        <w:noProof/>
        <w:color w:val="000000"/>
        <w:sz w:val="24"/>
        <w:szCs w:val="24"/>
      </w:rPr>
      <w:t>18</w:t>
    </w:r>
    <w:r>
      <w:rPr>
        <w:b/>
        <w:bCs/>
        <w:color w:val="000000"/>
        <w:sz w:val="24"/>
        <w:szCs w:val="24"/>
      </w:rPr>
      <w:fldChar w:fldCharType="end"/>
    </w:r>
  </w:p>
  <w:p w14:paraId="4C7907B8" w14:textId="77777777" w:rsidR="00694C71" w:rsidRDefault="00694C7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7FC4" w14:textId="77777777" w:rsidR="00694C71" w:rsidRDefault="00186D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3798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3798E">
      <w:rPr>
        <w:b/>
        <w:bCs/>
        <w:noProof/>
        <w:color w:val="000000"/>
        <w:sz w:val="24"/>
        <w:szCs w:val="24"/>
      </w:rPr>
      <w:t>18</w:t>
    </w:r>
    <w:r>
      <w:rPr>
        <w:b/>
        <w:bCs/>
        <w:color w:val="000000"/>
        <w:sz w:val="24"/>
        <w:szCs w:val="24"/>
      </w:rPr>
      <w:fldChar w:fldCharType="end"/>
    </w:r>
  </w:p>
  <w:p w14:paraId="1A095DB1" w14:textId="77777777" w:rsidR="00694C71" w:rsidRDefault="00694C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EA259" w14:textId="77777777" w:rsidR="009F72B4" w:rsidRDefault="009F72B4">
      <w:pPr>
        <w:spacing w:after="0" w:line="240" w:lineRule="auto"/>
      </w:pPr>
      <w:r>
        <w:separator/>
      </w:r>
    </w:p>
  </w:footnote>
  <w:footnote w:type="continuationSeparator" w:id="0">
    <w:p w14:paraId="26381601" w14:textId="77777777" w:rsidR="009F72B4" w:rsidRDefault="009F7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CAC8" w14:textId="77777777" w:rsidR="00694C71" w:rsidRDefault="00694C71">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94C71" w14:paraId="6DDC7BFD" w14:textId="77777777">
      <w:trPr>
        <w:trHeight w:val="132"/>
      </w:trPr>
      <w:tc>
        <w:tcPr>
          <w:tcW w:w="2691" w:type="dxa"/>
        </w:tcPr>
        <w:p w14:paraId="1AAE2942" w14:textId="77777777" w:rsidR="00694C71" w:rsidRDefault="00186DE5">
          <w:pPr>
            <w:tabs>
              <w:tab w:val="right" w:pos="8838"/>
            </w:tabs>
            <w:ind w:right="-105"/>
            <w:rPr>
              <w:b/>
              <w:bCs/>
            </w:rPr>
          </w:pPr>
          <w:r>
            <w:rPr>
              <w:b/>
              <w:bCs/>
            </w:rPr>
            <w:t>Recurso de Revisión:</w:t>
          </w:r>
        </w:p>
      </w:tc>
      <w:tc>
        <w:tcPr>
          <w:tcW w:w="3405" w:type="dxa"/>
        </w:tcPr>
        <w:p w14:paraId="26719136" w14:textId="77777777" w:rsidR="00694C71" w:rsidRDefault="00186DE5">
          <w:pPr>
            <w:tabs>
              <w:tab w:val="right" w:pos="8838"/>
            </w:tabs>
            <w:ind w:left="-28" w:right="-32"/>
          </w:pPr>
          <w:r>
            <w:t>03846/INFOEM/IP/RR/2020</w:t>
          </w:r>
        </w:p>
      </w:tc>
    </w:tr>
    <w:tr w:rsidR="00694C71" w14:paraId="009C5E5C" w14:textId="77777777">
      <w:trPr>
        <w:trHeight w:val="261"/>
      </w:trPr>
      <w:tc>
        <w:tcPr>
          <w:tcW w:w="2691" w:type="dxa"/>
        </w:tcPr>
        <w:p w14:paraId="3E8D7BAB" w14:textId="77777777" w:rsidR="00694C71" w:rsidRDefault="00186DE5">
          <w:pPr>
            <w:tabs>
              <w:tab w:val="right" w:pos="8838"/>
            </w:tabs>
            <w:ind w:right="-105"/>
            <w:rPr>
              <w:b/>
              <w:bCs/>
            </w:rPr>
          </w:pPr>
          <w:r>
            <w:rPr>
              <w:b/>
              <w:bCs/>
            </w:rPr>
            <w:t>Sujeto Obligado:</w:t>
          </w:r>
        </w:p>
      </w:tc>
      <w:tc>
        <w:tcPr>
          <w:tcW w:w="3405" w:type="dxa"/>
        </w:tcPr>
        <w:p w14:paraId="54CE122E" w14:textId="77777777" w:rsidR="00694C71" w:rsidRDefault="00186DE5">
          <w:pPr>
            <w:tabs>
              <w:tab w:val="right" w:pos="8838"/>
            </w:tabs>
            <w:ind w:right="-32"/>
          </w:pPr>
          <w:r>
            <w:t>Ayuntamiento de Temascalcingo</w:t>
          </w:r>
        </w:p>
      </w:tc>
    </w:tr>
    <w:tr w:rsidR="00694C71" w14:paraId="19DF04DD" w14:textId="77777777">
      <w:trPr>
        <w:trHeight w:val="261"/>
      </w:trPr>
      <w:tc>
        <w:tcPr>
          <w:tcW w:w="2691" w:type="dxa"/>
        </w:tcPr>
        <w:p w14:paraId="09DC9544" w14:textId="77777777" w:rsidR="00694C71" w:rsidRDefault="00186DE5">
          <w:pPr>
            <w:tabs>
              <w:tab w:val="right" w:pos="8838"/>
            </w:tabs>
            <w:ind w:right="-105"/>
            <w:rPr>
              <w:b/>
              <w:bCs/>
            </w:rPr>
          </w:pPr>
          <w:r>
            <w:rPr>
              <w:b/>
              <w:bCs/>
            </w:rPr>
            <w:t>Comisionado Ponente:</w:t>
          </w:r>
        </w:p>
      </w:tc>
      <w:tc>
        <w:tcPr>
          <w:tcW w:w="3405" w:type="dxa"/>
        </w:tcPr>
        <w:p w14:paraId="6E56FAC3" w14:textId="77777777" w:rsidR="00694C71" w:rsidRDefault="00186DE5">
          <w:pPr>
            <w:tabs>
              <w:tab w:val="right" w:pos="8838"/>
            </w:tabs>
            <w:ind w:right="-32"/>
            <w:rPr>
              <w:b/>
              <w:bCs/>
            </w:rPr>
          </w:pPr>
          <w:r>
            <w:t>Luis Gustavo Parra Noriega</w:t>
          </w:r>
        </w:p>
      </w:tc>
    </w:tr>
  </w:tbl>
  <w:p w14:paraId="1BCA5174" w14:textId="77777777" w:rsidR="00694C7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1E48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D0ED" w14:textId="77777777" w:rsidR="00694C71" w:rsidRDefault="00000000">
    <w:pPr>
      <w:widowControl w:val="0"/>
      <w:pBdr>
        <w:top w:val="nil"/>
        <w:left w:val="nil"/>
        <w:bottom w:val="nil"/>
        <w:right w:val="nil"/>
        <w:between w:val="nil"/>
      </w:pBdr>
      <w:spacing w:after="0" w:line="276" w:lineRule="auto"/>
      <w:jc w:val="left"/>
    </w:pPr>
    <w:r>
      <w:rPr>
        <w:color w:val="000000"/>
      </w:rPr>
      <w:pict w14:anchorId="46B64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521"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828"/>
    </w:tblGrid>
    <w:tr w:rsidR="00694C71" w14:paraId="6FDFC70D" w14:textId="77777777">
      <w:trPr>
        <w:trHeight w:val="138"/>
      </w:trPr>
      <w:tc>
        <w:tcPr>
          <w:tcW w:w="2693" w:type="dxa"/>
          <w:vAlign w:val="center"/>
        </w:tcPr>
        <w:p w14:paraId="0DDAD00B" w14:textId="77777777" w:rsidR="00694C71" w:rsidRDefault="00694C71">
          <w:pPr>
            <w:tabs>
              <w:tab w:val="right" w:pos="8838"/>
            </w:tabs>
            <w:ind w:left="-108" w:right="-105"/>
            <w:jc w:val="left"/>
            <w:rPr>
              <w:b/>
              <w:bCs/>
            </w:rPr>
          </w:pPr>
        </w:p>
        <w:p w14:paraId="1E6BF576" w14:textId="77777777" w:rsidR="00694C71" w:rsidRDefault="00694C71">
          <w:pPr>
            <w:tabs>
              <w:tab w:val="right" w:pos="8838"/>
            </w:tabs>
            <w:ind w:left="-108" w:right="-105"/>
            <w:jc w:val="left"/>
            <w:rPr>
              <w:b/>
              <w:bCs/>
            </w:rPr>
          </w:pPr>
        </w:p>
        <w:p w14:paraId="2EB483F0" w14:textId="77777777" w:rsidR="00694C71" w:rsidRDefault="00186DE5">
          <w:pPr>
            <w:tabs>
              <w:tab w:val="right" w:pos="8838"/>
            </w:tabs>
            <w:ind w:left="-108" w:right="-105"/>
            <w:jc w:val="left"/>
            <w:rPr>
              <w:b/>
              <w:bCs/>
            </w:rPr>
          </w:pPr>
          <w:r>
            <w:rPr>
              <w:b/>
              <w:bCs/>
            </w:rPr>
            <w:t>Recurso de Revisión:</w:t>
          </w:r>
        </w:p>
      </w:tc>
      <w:tc>
        <w:tcPr>
          <w:tcW w:w="3828" w:type="dxa"/>
        </w:tcPr>
        <w:p w14:paraId="5E366062" w14:textId="77777777" w:rsidR="00694C71" w:rsidRDefault="00694C71">
          <w:pPr>
            <w:tabs>
              <w:tab w:val="right" w:pos="8838"/>
            </w:tabs>
            <w:ind w:right="57"/>
          </w:pPr>
        </w:p>
        <w:p w14:paraId="671C7367" w14:textId="77777777" w:rsidR="00694C71" w:rsidRDefault="00694C71">
          <w:pPr>
            <w:tabs>
              <w:tab w:val="left" w:pos="3172"/>
              <w:tab w:val="right" w:pos="8838"/>
            </w:tabs>
            <w:ind w:right="57"/>
          </w:pPr>
        </w:p>
        <w:p w14:paraId="49843486" w14:textId="77777777" w:rsidR="00694C71" w:rsidRDefault="00186DE5">
          <w:pPr>
            <w:tabs>
              <w:tab w:val="left" w:pos="3172"/>
              <w:tab w:val="right" w:pos="8838"/>
            </w:tabs>
            <w:ind w:right="57"/>
          </w:pPr>
          <w:r>
            <w:t>09551/INFOEM/IP/RR/2025</w:t>
          </w:r>
        </w:p>
      </w:tc>
    </w:tr>
    <w:tr w:rsidR="00694C71" w14:paraId="290A311F" w14:textId="77777777">
      <w:trPr>
        <w:trHeight w:val="273"/>
      </w:trPr>
      <w:tc>
        <w:tcPr>
          <w:tcW w:w="2693" w:type="dxa"/>
        </w:tcPr>
        <w:p w14:paraId="76E43DC6" w14:textId="77777777" w:rsidR="00694C71" w:rsidRDefault="00186DE5">
          <w:pPr>
            <w:tabs>
              <w:tab w:val="right" w:pos="8838"/>
            </w:tabs>
            <w:ind w:left="-108" w:right="-105"/>
            <w:rPr>
              <w:b/>
              <w:bCs/>
            </w:rPr>
          </w:pPr>
          <w:r>
            <w:rPr>
              <w:b/>
              <w:bCs/>
            </w:rPr>
            <w:t>Sujeto Obligado:</w:t>
          </w:r>
        </w:p>
      </w:tc>
      <w:tc>
        <w:tcPr>
          <w:tcW w:w="3828" w:type="dxa"/>
        </w:tcPr>
        <w:p w14:paraId="2D22BF1B" w14:textId="77777777" w:rsidR="00694C71" w:rsidRDefault="00186DE5">
          <w:pPr>
            <w:tabs>
              <w:tab w:val="right" w:pos="8838"/>
            </w:tabs>
            <w:ind w:right="600"/>
          </w:pPr>
          <w:r>
            <w:t>Ayuntamiento de Tepotzotlán</w:t>
          </w:r>
        </w:p>
      </w:tc>
    </w:tr>
    <w:tr w:rsidR="00694C71" w14:paraId="1B6C3E5C" w14:textId="77777777">
      <w:trPr>
        <w:trHeight w:val="273"/>
      </w:trPr>
      <w:tc>
        <w:tcPr>
          <w:tcW w:w="2693" w:type="dxa"/>
        </w:tcPr>
        <w:p w14:paraId="070B4297" w14:textId="77777777" w:rsidR="00694C71" w:rsidRDefault="00186DE5">
          <w:pPr>
            <w:tabs>
              <w:tab w:val="right" w:pos="8838"/>
            </w:tabs>
            <w:ind w:left="-108" w:right="-105"/>
            <w:rPr>
              <w:b/>
              <w:bCs/>
            </w:rPr>
          </w:pPr>
          <w:r>
            <w:rPr>
              <w:b/>
              <w:bCs/>
            </w:rPr>
            <w:t>Comisionado Ponente:</w:t>
          </w:r>
        </w:p>
      </w:tc>
      <w:tc>
        <w:tcPr>
          <w:tcW w:w="3828" w:type="dxa"/>
        </w:tcPr>
        <w:p w14:paraId="5606438A" w14:textId="77777777" w:rsidR="00694C71" w:rsidRDefault="00186DE5">
          <w:pPr>
            <w:tabs>
              <w:tab w:val="right" w:pos="8838"/>
            </w:tabs>
            <w:ind w:right="-170"/>
          </w:pPr>
          <w:r>
            <w:t>Luis Gustavo Parra Noriega</w:t>
          </w:r>
        </w:p>
        <w:p w14:paraId="4959F72C" w14:textId="77777777" w:rsidR="00694C71" w:rsidRDefault="00694C71">
          <w:pPr>
            <w:tabs>
              <w:tab w:val="right" w:pos="8838"/>
            </w:tabs>
            <w:ind w:right="-170"/>
            <w:rPr>
              <w:b/>
              <w:bCs/>
            </w:rPr>
          </w:pPr>
        </w:p>
      </w:tc>
    </w:tr>
  </w:tbl>
  <w:p w14:paraId="22A10E10" w14:textId="77777777" w:rsidR="00694C71" w:rsidRDefault="00694C7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66F4" w14:textId="77777777" w:rsidR="00694C71" w:rsidRDefault="00694C71">
    <w:pPr>
      <w:widowControl w:val="0"/>
      <w:pBdr>
        <w:top w:val="nil"/>
        <w:left w:val="nil"/>
        <w:bottom w:val="nil"/>
        <w:right w:val="nil"/>
        <w:between w:val="nil"/>
      </w:pBdr>
      <w:spacing w:after="0" w:line="276" w:lineRule="auto"/>
      <w:jc w:val="left"/>
      <w:rPr>
        <w:color w:val="000000"/>
      </w:rPr>
    </w:pPr>
  </w:p>
  <w:tbl>
    <w:tblPr>
      <w:tblStyle w:val="a1"/>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94C71" w14:paraId="18AA84DE" w14:textId="77777777">
      <w:trPr>
        <w:trHeight w:val="132"/>
      </w:trPr>
      <w:tc>
        <w:tcPr>
          <w:tcW w:w="2551" w:type="dxa"/>
        </w:tcPr>
        <w:p w14:paraId="11C551D2" w14:textId="77777777" w:rsidR="00694C71" w:rsidRDefault="00186DE5">
          <w:pPr>
            <w:tabs>
              <w:tab w:val="right" w:pos="8838"/>
            </w:tabs>
            <w:ind w:right="-105"/>
            <w:rPr>
              <w:b/>
              <w:bCs/>
            </w:rPr>
          </w:pPr>
          <w:r>
            <w:rPr>
              <w:b/>
              <w:bCs/>
            </w:rPr>
            <w:t>Recurso de Revisión:</w:t>
          </w:r>
        </w:p>
      </w:tc>
      <w:tc>
        <w:tcPr>
          <w:tcW w:w="4253" w:type="dxa"/>
        </w:tcPr>
        <w:p w14:paraId="59E09B16" w14:textId="77777777" w:rsidR="00694C71" w:rsidRDefault="00186DE5">
          <w:pPr>
            <w:ind w:right="740"/>
          </w:pPr>
          <w:r>
            <w:t>09551/INFOEM/IP/RR/2025</w:t>
          </w:r>
        </w:p>
      </w:tc>
    </w:tr>
    <w:tr w:rsidR="00694C71" w14:paraId="0621F728" w14:textId="77777777">
      <w:trPr>
        <w:trHeight w:val="132"/>
      </w:trPr>
      <w:tc>
        <w:tcPr>
          <w:tcW w:w="2551" w:type="dxa"/>
        </w:tcPr>
        <w:p w14:paraId="60B80560" w14:textId="77777777" w:rsidR="00694C71" w:rsidRDefault="00186DE5">
          <w:pPr>
            <w:tabs>
              <w:tab w:val="left" w:pos="1875"/>
            </w:tabs>
            <w:ind w:right="-105"/>
            <w:rPr>
              <w:b/>
              <w:bCs/>
            </w:rPr>
          </w:pPr>
          <w:r>
            <w:rPr>
              <w:b/>
              <w:bCs/>
            </w:rPr>
            <w:t>Recurrente:</w:t>
          </w:r>
          <w:r>
            <w:rPr>
              <w:b/>
              <w:bCs/>
            </w:rPr>
            <w:tab/>
          </w:r>
        </w:p>
      </w:tc>
      <w:tc>
        <w:tcPr>
          <w:tcW w:w="4253" w:type="dxa"/>
        </w:tcPr>
        <w:p w14:paraId="0EB30DB8" w14:textId="77777777" w:rsidR="00694C71" w:rsidRDefault="00694C71">
          <w:pPr>
            <w:tabs>
              <w:tab w:val="right" w:pos="8838"/>
            </w:tabs>
            <w:ind w:right="-250"/>
          </w:pPr>
        </w:p>
      </w:tc>
    </w:tr>
    <w:tr w:rsidR="00694C71" w14:paraId="65672219" w14:textId="77777777">
      <w:trPr>
        <w:trHeight w:val="261"/>
      </w:trPr>
      <w:tc>
        <w:tcPr>
          <w:tcW w:w="2551" w:type="dxa"/>
        </w:tcPr>
        <w:p w14:paraId="60136C8E" w14:textId="77777777" w:rsidR="00694C71" w:rsidRDefault="00186DE5">
          <w:pPr>
            <w:tabs>
              <w:tab w:val="right" w:pos="8838"/>
            </w:tabs>
            <w:ind w:right="-105"/>
            <w:rPr>
              <w:b/>
              <w:bCs/>
            </w:rPr>
          </w:pPr>
          <w:r>
            <w:rPr>
              <w:b/>
              <w:bCs/>
            </w:rPr>
            <w:t>Sujeto Obligado:</w:t>
          </w:r>
        </w:p>
      </w:tc>
      <w:tc>
        <w:tcPr>
          <w:tcW w:w="4253" w:type="dxa"/>
        </w:tcPr>
        <w:p w14:paraId="6438782C" w14:textId="77777777" w:rsidR="00694C71" w:rsidRDefault="00186DE5">
          <w:pPr>
            <w:ind w:right="742"/>
          </w:pPr>
          <w:r>
            <w:t>Ayuntamiento de Tepotzotlán</w:t>
          </w:r>
        </w:p>
      </w:tc>
    </w:tr>
    <w:tr w:rsidR="00694C71" w14:paraId="7A5BC66A" w14:textId="77777777">
      <w:trPr>
        <w:trHeight w:val="261"/>
      </w:trPr>
      <w:tc>
        <w:tcPr>
          <w:tcW w:w="2551" w:type="dxa"/>
        </w:tcPr>
        <w:p w14:paraId="40940B6C" w14:textId="77777777" w:rsidR="00694C71" w:rsidRDefault="00186DE5">
          <w:pPr>
            <w:tabs>
              <w:tab w:val="right" w:pos="8838"/>
            </w:tabs>
            <w:ind w:right="-105"/>
            <w:rPr>
              <w:b/>
              <w:bCs/>
            </w:rPr>
          </w:pPr>
          <w:r>
            <w:rPr>
              <w:b/>
              <w:bCs/>
            </w:rPr>
            <w:t>Comisionado Ponente:</w:t>
          </w:r>
        </w:p>
      </w:tc>
      <w:tc>
        <w:tcPr>
          <w:tcW w:w="4253" w:type="dxa"/>
        </w:tcPr>
        <w:p w14:paraId="0A870F1F" w14:textId="77777777" w:rsidR="00694C71" w:rsidRDefault="00186DE5">
          <w:pPr>
            <w:tabs>
              <w:tab w:val="right" w:pos="8838"/>
            </w:tabs>
            <w:ind w:right="-32"/>
            <w:rPr>
              <w:b/>
              <w:bCs/>
            </w:rPr>
          </w:pPr>
          <w:r>
            <w:t>Luis Gustavo Parra Noriega</w:t>
          </w:r>
        </w:p>
      </w:tc>
    </w:tr>
  </w:tbl>
  <w:p w14:paraId="2DD7CC84" w14:textId="77777777" w:rsidR="00694C71"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9286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C71"/>
    <w:rsid w:val="00186DE5"/>
    <w:rsid w:val="005E72DC"/>
    <w:rsid w:val="006760DA"/>
    <w:rsid w:val="00694C71"/>
    <w:rsid w:val="006F1698"/>
    <w:rsid w:val="009F72B4"/>
    <w:rsid w:val="00D93D9D"/>
    <w:rsid w:val="00F3798E"/>
    <w:rsid w:val="00FF6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0394D"/>
  <w15:docId w15:val="{582B5275-CB40-42B6-AA7A-BCB120D7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8F2AD8"/>
    <w:rPr>
      <w:color w:val="605E5C"/>
      <w:shd w:val="clear" w:color="auto" w:fill="E1DFDD"/>
    </w:rPr>
  </w:style>
  <w:style w:type="character" w:customStyle="1" w:styleId="Mencinsinresolver5">
    <w:name w:val="Mención sin resolver5"/>
    <w:basedOn w:val="Fuentedeprrafopredeter"/>
    <w:uiPriority w:val="99"/>
    <w:semiHidden/>
    <w:unhideWhenUsed/>
    <w:rsid w:val="00CD4F00"/>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pomex.org.mx/ipome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JhtA9i0eYQa/TM1pSn4IJaoSiQ==">CgMxLjAyDmgucHhjNXg0eWQzamw0Mg5oLm4wMDkwZHhqbzd0NzIOaC5mOGNkNG9tMGI5Z3gyDmguOGJrcGZpNXZ6czloMg5oLmVqaXFubjZsb2w4azINaC5iaXB5bTIyZXI5OTIJaC4zMGowemxsMg5oLmt0Z2dwcW92dTBuYzIOaC42emJoeHF5MGhzenoyDmguMWUya3c3cHJ2czRoMg5oLjRxcDF0OWJtOXl2cDIOaC5wYTVtamtndGg2aWIyDmguemZ2azA4cW44enY1OAByITFnM2VoUV80ZEhTbVMxd3plb0c2bUowdV9zOEdCeGVu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3948</Words>
  <Characters>20959</Characters>
  <Application>Microsoft Office Word</Application>
  <DocSecurity>0</DocSecurity>
  <Lines>424</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2</cp:revision>
  <cp:lastPrinted>2026-01-16T16:52:00Z</cp:lastPrinted>
  <dcterms:created xsi:type="dcterms:W3CDTF">2026-03-12T23:48:00Z</dcterms:created>
  <dcterms:modified xsi:type="dcterms:W3CDTF">2026-03-12T23:48:00Z</dcterms:modified>
</cp:coreProperties>
</file>