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820" w:rsidRPr="006F1BBF" w:rsidRDefault="002A78E6">
      <w:pPr>
        <w:tabs>
          <w:tab w:val="left" w:pos="3465"/>
        </w:tabs>
        <w:spacing w:line="360" w:lineRule="auto"/>
        <w:ind w:right="-518"/>
        <w:jc w:val="both"/>
        <w:rPr>
          <w:rFonts w:ascii="Palatino Linotype" w:eastAsia="Palatino Linotype" w:hAnsi="Palatino Linotype" w:cs="Palatino Linotype"/>
          <w:b/>
          <w:bCs/>
          <w:color w:val="000000"/>
        </w:rPr>
      </w:pPr>
      <w:bookmarkStart w:id="0" w:name="_GoBack"/>
      <w:bookmarkEnd w:id="0"/>
      <w:r w:rsidRPr="006F1BBF">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w:t>
      </w:r>
      <w:r w:rsidR="006F1BBF">
        <w:rPr>
          <w:rFonts w:ascii="Palatino Linotype" w:eastAsia="Palatino Linotype" w:hAnsi="Palatino Linotype" w:cs="Palatino Linotype"/>
          <w:color w:val="000000"/>
        </w:rPr>
        <w:t xml:space="preserve"> en Metepec, Estado de México; de fecha</w:t>
      </w:r>
      <w:r w:rsidRPr="006F1BBF">
        <w:rPr>
          <w:rFonts w:ascii="Palatino Linotype" w:eastAsia="Palatino Linotype" w:hAnsi="Palatino Linotype" w:cs="Palatino Linotype"/>
          <w:color w:val="000000"/>
        </w:rPr>
        <w:t xml:space="preserve"> </w:t>
      </w:r>
      <w:r w:rsidRPr="006F1BBF">
        <w:rPr>
          <w:rFonts w:ascii="Palatino Linotype" w:eastAsia="Palatino Linotype" w:hAnsi="Palatino Linotype" w:cs="Palatino Linotype"/>
          <w:b/>
          <w:bCs/>
          <w:color w:val="000000"/>
        </w:rPr>
        <w:t xml:space="preserve">siete </w:t>
      </w:r>
      <w:r w:rsidR="006F1BBF">
        <w:rPr>
          <w:rFonts w:ascii="Palatino Linotype" w:eastAsia="Palatino Linotype" w:hAnsi="Palatino Linotype" w:cs="Palatino Linotype"/>
          <w:b/>
          <w:bCs/>
          <w:color w:val="000000"/>
        </w:rPr>
        <w:t xml:space="preserve">(07) </w:t>
      </w:r>
      <w:r w:rsidRPr="006F1BBF">
        <w:rPr>
          <w:rFonts w:ascii="Palatino Linotype" w:eastAsia="Palatino Linotype" w:hAnsi="Palatino Linotype" w:cs="Palatino Linotype"/>
          <w:b/>
          <w:bCs/>
          <w:color w:val="000000"/>
        </w:rPr>
        <w:t>de mayo de dos mil veintiséis.</w:t>
      </w:r>
    </w:p>
    <w:p w:rsidR="00F22820" w:rsidRPr="006F1BBF" w:rsidRDefault="00F22820">
      <w:pPr>
        <w:tabs>
          <w:tab w:val="left" w:pos="3465"/>
        </w:tabs>
        <w:spacing w:line="360" w:lineRule="auto"/>
        <w:ind w:right="-518"/>
        <w:jc w:val="both"/>
        <w:rPr>
          <w:rFonts w:ascii="Palatino Linotype" w:eastAsia="Palatino Linotype" w:hAnsi="Palatino Linotype" w:cs="Palatino Linotype"/>
          <w:color w:val="000000"/>
        </w:rPr>
      </w:pPr>
    </w:p>
    <w:p w:rsidR="00F22820" w:rsidRPr="006F1BBF" w:rsidRDefault="002A78E6">
      <w:p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b/>
          <w:bCs/>
          <w:color w:val="000000"/>
        </w:rPr>
        <w:t>VISTOS</w:t>
      </w:r>
      <w:r w:rsidRPr="006F1BBF">
        <w:rPr>
          <w:rFonts w:ascii="Palatino Linotype" w:eastAsia="Palatino Linotype" w:hAnsi="Palatino Linotype" w:cs="Palatino Linotype"/>
          <w:color w:val="000000"/>
        </w:rPr>
        <w:t xml:space="preserve"> los expedientes electrónicos formados con motivo de los recursos de revisión</w:t>
      </w:r>
      <w:r w:rsidRPr="006F1BBF">
        <w:rPr>
          <w:rFonts w:ascii="Palatino Linotype" w:eastAsia="Palatino Linotype" w:hAnsi="Palatino Linotype" w:cs="Palatino Linotype"/>
          <w:b/>
          <w:bCs/>
        </w:rPr>
        <w:t xml:space="preserve"> 01798/INFOEM/IP/RR/2026 y 01803/INFOEM/IP/RR/2026, </w:t>
      </w:r>
      <w:r w:rsidRPr="006F1BBF">
        <w:rPr>
          <w:rFonts w:ascii="Palatino Linotype" w:eastAsia="Palatino Linotype" w:hAnsi="Palatino Linotype" w:cs="Palatino Linotype"/>
          <w:color w:val="000000"/>
        </w:rPr>
        <w:t>interpuestos por una persona que no proporcionó datos de identificación,</w:t>
      </w:r>
      <w:r w:rsidRPr="006F1BBF">
        <w:rPr>
          <w:rFonts w:ascii="Palatino Linotype" w:eastAsia="Palatino Linotype" w:hAnsi="Palatino Linotype" w:cs="Palatino Linotype"/>
          <w:b/>
          <w:bCs/>
          <w:color w:val="000000"/>
        </w:rPr>
        <w:t xml:space="preserve"> </w:t>
      </w:r>
      <w:r w:rsidRPr="006F1BBF">
        <w:rPr>
          <w:rFonts w:ascii="Palatino Linotype" w:eastAsia="Palatino Linotype" w:hAnsi="Palatino Linotype" w:cs="Palatino Linotype"/>
          <w:color w:val="000000"/>
        </w:rPr>
        <w:t xml:space="preserve">en su calidad de </w:t>
      </w:r>
      <w:r w:rsidRPr="006F1BBF">
        <w:rPr>
          <w:rFonts w:ascii="Palatino Linotype" w:eastAsia="Palatino Linotype" w:hAnsi="Palatino Linotype" w:cs="Palatino Linotype"/>
          <w:b/>
          <w:bCs/>
          <w:color w:val="000000"/>
        </w:rPr>
        <w:t>RECURRENTE</w:t>
      </w:r>
      <w:r w:rsidRPr="006F1BBF">
        <w:rPr>
          <w:rFonts w:ascii="Palatino Linotype" w:eastAsia="Palatino Linotype" w:hAnsi="Palatino Linotype" w:cs="Palatino Linotype"/>
          <w:color w:val="000000"/>
        </w:rPr>
        <w:t xml:space="preserve">; en contra de las respuestas del </w:t>
      </w:r>
      <w:r w:rsidRPr="006F1BBF">
        <w:rPr>
          <w:rFonts w:ascii="Palatino Linotype" w:eastAsia="Palatino Linotype" w:hAnsi="Palatino Linotype" w:cs="Palatino Linotype"/>
          <w:b/>
          <w:bCs/>
          <w:color w:val="000000"/>
        </w:rPr>
        <w:t>Ayuntamiento de Toluca</w:t>
      </w:r>
      <w:r w:rsidRPr="006F1BBF">
        <w:rPr>
          <w:rFonts w:ascii="Palatino Linotype" w:eastAsia="Palatino Linotype" w:hAnsi="Palatino Linotype" w:cs="Palatino Linotype"/>
          <w:color w:val="000000"/>
        </w:rPr>
        <w:t>, en lo sucesivo el</w:t>
      </w:r>
      <w:r w:rsidRPr="006F1BBF">
        <w:rPr>
          <w:rFonts w:ascii="Palatino Linotype" w:eastAsia="Palatino Linotype" w:hAnsi="Palatino Linotype" w:cs="Palatino Linotype"/>
          <w:b/>
          <w:bCs/>
          <w:color w:val="000000"/>
        </w:rPr>
        <w:t xml:space="preserve"> SUJETO OBLIGADO, </w:t>
      </w:r>
      <w:r w:rsidRPr="006F1BBF">
        <w:rPr>
          <w:rFonts w:ascii="Palatino Linotype" w:eastAsia="Palatino Linotype" w:hAnsi="Palatino Linotype" w:cs="Palatino Linotype"/>
          <w:color w:val="000000"/>
        </w:rPr>
        <w:t>se procede a dictar la presente resolución, con base en los siguientes:</w:t>
      </w:r>
    </w:p>
    <w:p w:rsidR="00F22820" w:rsidRPr="006F1BBF" w:rsidRDefault="002A78E6">
      <w:pP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 </w:t>
      </w:r>
    </w:p>
    <w:p w:rsidR="00F22820" w:rsidRDefault="002A78E6">
      <w:pPr>
        <w:pStyle w:val="Ttulo1"/>
        <w:spacing w:before="0" w:line="360" w:lineRule="auto"/>
        <w:ind w:right="-518"/>
        <w:jc w:val="center"/>
        <w:rPr>
          <w:b/>
          <w:bCs/>
          <w:color w:val="000000"/>
        </w:rPr>
      </w:pPr>
      <w:bookmarkStart w:id="1" w:name="_heading=h.eztp8vcgt7q2" w:colFirst="0" w:colLast="0"/>
      <w:bookmarkEnd w:id="1"/>
      <w:r w:rsidRPr="006F1BBF">
        <w:rPr>
          <w:b/>
          <w:bCs/>
          <w:color w:val="000000"/>
        </w:rPr>
        <w:t>A N T E C E D E N T E S</w:t>
      </w:r>
    </w:p>
    <w:p w:rsidR="006F1BBF" w:rsidRPr="006F1BBF" w:rsidRDefault="006F1BBF" w:rsidP="006F1BBF"/>
    <w:p w:rsidR="00F22820" w:rsidRPr="006F1BBF" w:rsidRDefault="002A78E6">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color w:val="000000"/>
        </w:rPr>
        <w:t xml:space="preserve">El </w:t>
      </w:r>
      <w:r w:rsidRPr="006F1BBF">
        <w:rPr>
          <w:rFonts w:ascii="Palatino Linotype" w:eastAsia="Palatino Linotype" w:hAnsi="Palatino Linotype" w:cs="Palatino Linotype"/>
          <w:b/>
          <w:bCs/>
          <w:color w:val="000000"/>
        </w:rPr>
        <w:t>doce de enero de dos mil veintiséis</w:t>
      </w:r>
      <w:r w:rsidRPr="006F1BBF">
        <w:rPr>
          <w:rFonts w:ascii="Palatino Linotype" w:eastAsia="Palatino Linotype" w:hAnsi="Palatino Linotype" w:cs="Palatino Linotype"/>
          <w:color w:val="000000"/>
        </w:rPr>
        <w:t xml:space="preserve">, se presentaron ante el </w:t>
      </w:r>
      <w:r w:rsidRPr="006F1BBF">
        <w:rPr>
          <w:rFonts w:ascii="Palatino Linotype" w:eastAsia="Palatino Linotype" w:hAnsi="Palatino Linotype" w:cs="Palatino Linotype"/>
          <w:b/>
          <w:bCs/>
          <w:color w:val="000000"/>
        </w:rPr>
        <w:t>SUJETO OBLIGADO</w:t>
      </w:r>
      <w:r w:rsidRPr="006F1BBF">
        <w:rPr>
          <w:rFonts w:ascii="Palatino Linotype" w:eastAsia="Palatino Linotype" w:hAnsi="Palatino Linotype" w:cs="Palatino Linotype"/>
          <w:color w:val="000000"/>
        </w:rPr>
        <w:t xml:space="preserve"> vía </w:t>
      </w:r>
      <w:r w:rsidRPr="006F1BBF">
        <w:rPr>
          <w:rFonts w:ascii="Palatino Linotype" w:eastAsia="Palatino Linotype" w:hAnsi="Palatino Linotype" w:cs="Palatino Linotype"/>
          <w:b/>
          <w:bCs/>
          <w:color w:val="000000"/>
        </w:rPr>
        <w:t>SAIMEX,</w:t>
      </w:r>
      <w:r w:rsidRPr="006F1BBF">
        <w:rPr>
          <w:rFonts w:ascii="Palatino Linotype" w:eastAsia="Palatino Linotype" w:hAnsi="Palatino Linotype" w:cs="Palatino Linotype"/>
          <w:color w:val="000000"/>
        </w:rPr>
        <w:t xml:space="preserve"> las solicitudes de información pública que a continuación se enlistan y en las que se solicitó la siguiente información:</w:t>
      </w:r>
      <w:r w:rsidRPr="006F1BBF">
        <w:rPr>
          <w:rFonts w:ascii="Palatino Linotype" w:eastAsia="Palatino Linotype" w:hAnsi="Palatino Linotype" w:cs="Palatino Linotype"/>
          <w:b/>
          <w:bCs/>
          <w:color w:val="000000"/>
        </w:rPr>
        <w:t xml:space="preserve"> </w:t>
      </w:r>
    </w:p>
    <w:p w:rsidR="00F22820" w:rsidRPr="006F1BBF" w:rsidRDefault="00F22820">
      <w:pPr>
        <w:pBdr>
          <w:top w:val="nil"/>
          <w:left w:val="nil"/>
          <w:bottom w:val="nil"/>
          <w:right w:val="nil"/>
          <w:between w:val="nil"/>
        </w:pBdr>
        <w:spacing w:line="360" w:lineRule="auto"/>
        <w:ind w:right="-518"/>
        <w:jc w:val="both"/>
        <w:rPr>
          <w:rFonts w:ascii="Palatino Linotype" w:eastAsia="Palatino Linotype" w:hAnsi="Palatino Linotype" w:cs="Palatino Linotype"/>
          <w:i/>
          <w:iCs/>
          <w:color w:val="000000"/>
        </w:rPr>
      </w:pPr>
    </w:p>
    <w:tbl>
      <w:tblPr>
        <w:tblStyle w:val="a"/>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21"/>
      </w:tblGrid>
      <w:tr w:rsidR="00F22820" w:rsidRPr="006F1BBF">
        <w:trPr>
          <w:jc w:val="center"/>
        </w:trPr>
        <w:tc>
          <w:tcPr>
            <w:tcW w:w="2830" w:type="dxa"/>
            <w:shd w:val="clear" w:color="auto" w:fill="D9D9D9"/>
            <w:vAlign w:val="center"/>
          </w:tcPr>
          <w:p w:rsidR="00F22820" w:rsidRPr="006F1BBF" w:rsidRDefault="002A78E6">
            <w:pPr>
              <w:pBdr>
                <w:top w:val="nil"/>
                <w:left w:val="nil"/>
                <w:bottom w:val="nil"/>
                <w:right w:val="nil"/>
                <w:between w:val="nil"/>
              </w:pBdr>
              <w:ind w:right="-518"/>
              <w:jc w:val="both"/>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Número de solicitud</w:t>
            </w:r>
          </w:p>
        </w:tc>
        <w:tc>
          <w:tcPr>
            <w:tcW w:w="6521" w:type="dxa"/>
            <w:shd w:val="clear" w:color="auto" w:fill="D9D9D9"/>
            <w:vAlign w:val="center"/>
          </w:tcPr>
          <w:p w:rsidR="00F22820" w:rsidRPr="006F1BBF" w:rsidRDefault="00F22820">
            <w:pPr>
              <w:pBdr>
                <w:top w:val="nil"/>
                <w:left w:val="nil"/>
                <w:bottom w:val="nil"/>
                <w:right w:val="nil"/>
                <w:between w:val="nil"/>
              </w:pBdr>
              <w:ind w:right="-518"/>
              <w:jc w:val="both"/>
              <w:rPr>
                <w:rFonts w:ascii="Palatino Linotype" w:eastAsia="Palatino Linotype" w:hAnsi="Palatino Linotype" w:cs="Palatino Linotype"/>
                <w:i/>
                <w:iCs/>
                <w:color w:val="000000"/>
              </w:rPr>
            </w:pPr>
          </w:p>
        </w:tc>
      </w:tr>
      <w:tr w:rsidR="00F22820" w:rsidRPr="006F1BBF">
        <w:trPr>
          <w:jc w:val="center"/>
        </w:trPr>
        <w:tc>
          <w:tcPr>
            <w:tcW w:w="2830" w:type="dxa"/>
            <w:vAlign w:val="center"/>
          </w:tcPr>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00351/TOLUCA/IP/2026</w:t>
            </w:r>
          </w:p>
        </w:tc>
        <w:tc>
          <w:tcPr>
            <w:tcW w:w="6521" w:type="dxa"/>
            <w:vAlign w:val="center"/>
          </w:tcPr>
          <w:p w:rsidR="00F22820" w:rsidRPr="006F1BBF" w:rsidRDefault="002A78E6">
            <w:pPr>
              <w:pBdr>
                <w:top w:val="nil"/>
                <w:left w:val="nil"/>
                <w:bottom w:val="nil"/>
                <w:right w:val="nil"/>
                <w:between w:val="nil"/>
              </w:pBdr>
              <w:ind w:right="78"/>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i/>
                <w:iCs/>
                <w:color w:val="000000"/>
              </w:rPr>
              <w:t>“se solicitan todos los oficios que se recibieron y lo que se emitieron en el mes de octubre 2025 en Preceptoría Juvenil Regional de Reintegración Social</w:t>
            </w:r>
          </w:p>
          <w:p w:rsidR="00F22820" w:rsidRPr="006F1BBF" w:rsidRDefault="00F22820">
            <w:pPr>
              <w:pBdr>
                <w:top w:val="nil"/>
                <w:left w:val="nil"/>
                <w:bottom w:val="nil"/>
                <w:right w:val="nil"/>
                <w:between w:val="nil"/>
              </w:pBdr>
              <w:ind w:right="78"/>
              <w:jc w:val="both"/>
              <w:rPr>
                <w:rFonts w:ascii="Palatino Linotype" w:eastAsia="Palatino Linotype" w:hAnsi="Palatino Linotype" w:cs="Palatino Linotype"/>
                <w:i/>
                <w:iCs/>
                <w:color w:val="000000"/>
              </w:rPr>
            </w:pPr>
          </w:p>
        </w:tc>
      </w:tr>
      <w:tr w:rsidR="00F22820" w:rsidRPr="006F1BBF">
        <w:trPr>
          <w:jc w:val="center"/>
        </w:trPr>
        <w:tc>
          <w:tcPr>
            <w:tcW w:w="2830" w:type="dxa"/>
            <w:vAlign w:val="center"/>
          </w:tcPr>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i/>
                <w:iCs/>
                <w:color w:val="000000"/>
              </w:rPr>
            </w:pPr>
            <w:r w:rsidRPr="006F1BBF">
              <w:rPr>
                <w:rFonts w:ascii="Palatino Linotype" w:eastAsia="Palatino Linotype" w:hAnsi="Palatino Linotype" w:cs="Palatino Linotype"/>
                <w:b/>
                <w:bCs/>
                <w:color w:val="000000"/>
              </w:rPr>
              <w:t xml:space="preserve">  00345/TOLUCA/IP/2026</w:t>
            </w:r>
          </w:p>
        </w:tc>
        <w:tc>
          <w:tcPr>
            <w:tcW w:w="6521" w:type="dxa"/>
            <w:vAlign w:val="center"/>
          </w:tcPr>
          <w:p w:rsidR="00F22820" w:rsidRPr="006F1BBF" w:rsidRDefault="002A78E6">
            <w:pPr>
              <w:pBdr>
                <w:top w:val="nil"/>
                <w:left w:val="nil"/>
                <w:bottom w:val="nil"/>
                <w:right w:val="nil"/>
                <w:between w:val="nil"/>
              </w:pBdr>
              <w:ind w:right="78"/>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i/>
                <w:iCs/>
                <w:color w:val="000000"/>
              </w:rPr>
              <w:t>“se solicitan todos los oficios que se recibieron y lo que se emitieron en el mes de abril 2025 en la Preceptoría Juvenil Regional de Reintegración Social”</w:t>
            </w:r>
          </w:p>
          <w:p w:rsidR="00F22820" w:rsidRPr="006F1BBF" w:rsidRDefault="00F22820">
            <w:pPr>
              <w:pBdr>
                <w:top w:val="nil"/>
                <w:left w:val="nil"/>
                <w:bottom w:val="nil"/>
                <w:right w:val="nil"/>
                <w:between w:val="nil"/>
              </w:pBdr>
              <w:ind w:right="78"/>
              <w:jc w:val="both"/>
              <w:rPr>
                <w:rFonts w:ascii="Palatino Linotype" w:eastAsia="Palatino Linotype" w:hAnsi="Palatino Linotype" w:cs="Palatino Linotype"/>
                <w:i/>
                <w:iCs/>
                <w:color w:val="000000"/>
              </w:rPr>
            </w:pPr>
          </w:p>
        </w:tc>
      </w:tr>
    </w:tbl>
    <w:p w:rsidR="00F22820" w:rsidRPr="006F1BBF" w:rsidRDefault="00F22820">
      <w:pPr>
        <w:spacing w:line="360" w:lineRule="auto"/>
        <w:ind w:right="-518"/>
        <w:jc w:val="both"/>
        <w:rPr>
          <w:rFonts w:ascii="Palatino Linotype" w:eastAsia="Palatino Linotype" w:hAnsi="Palatino Linotype" w:cs="Palatino Linotype"/>
          <w:i/>
          <w:iCs/>
          <w:color w:val="000000"/>
        </w:rPr>
      </w:pPr>
    </w:p>
    <w:p w:rsidR="00F22820" w:rsidRPr="006F1BBF" w:rsidRDefault="002A78E6">
      <w:pPr>
        <w:numPr>
          <w:ilvl w:val="0"/>
          <w:numId w:val="2"/>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Se eligió como modalidad de entrega: A través del </w:t>
      </w:r>
      <w:r w:rsidRPr="006F1BBF">
        <w:rPr>
          <w:rFonts w:ascii="Palatino Linotype" w:eastAsia="Palatino Linotype" w:hAnsi="Palatino Linotype" w:cs="Palatino Linotype"/>
          <w:b/>
          <w:bCs/>
          <w:color w:val="000000"/>
        </w:rPr>
        <w:t>SAIMEX.</w:t>
      </w:r>
    </w:p>
    <w:p w:rsidR="00F22820" w:rsidRPr="006F1BBF" w:rsidRDefault="00F22820">
      <w:pPr>
        <w:pBdr>
          <w:top w:val="nil"/>
          <w:left w:val="nil"/>
          <w:bottom w:val="nil"/>
          <w:right w:val="nil"/>
          <w:between w:val="nil"/>
        </w:pBdr>
        <w:tabs>
          <w:tab w:val="left" w:pos="426"/>
        </w:tabs>
        <w:spacing w:line="360" w:lineRule="auto"/>
        <w:ind w:left="720" w:right="-518"/>
        <w:jc w:val="both"/>
        <w:rPr>
          <w:rFonts w:ascii="Palatino Linotype" w:eastAsia="Palatino Linotype" w:hAnsi="Palatino Linotype" w:cs="Palatino Linotype"/>
          <w:color w:val="000000"/>
        </w:rPr>
      </w:pPr>
    </w:p>
    <w:p w:rsidR="00F22820" w:rsidRPr="006F1BBF" w:rsidRDefault="002A78E6">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color w:val="000000"/>
        </w:rPr>
        <w:lastRenderedPageBreak/>
        <w:t xml:space="preserve">El </w:t>
      </w:r>
      <w:r w:rsidRPr="006F1BBF">
        <w:rPr>
          <w:rFonts w:ascii="Palatino Linotype" w:eastAsia="Palatino Linotype" w:hAnsi="Palatino Linotype" w:cs="Palatino Linotype"/>
          <w:b/>
          <w:bCs/>
          <w:color w:val="000000"/>
        </w:rPr>
        <w:t>tres de febrero de dos mil veintiséis, e</w:t>
      </w:r>
      <w:r w:rsidRPr="006F1BBF">
        <w:rPr>
          <w:rFonts w:ascii="Palatino Linotype" w:eastAsia="Palatino Linotype" w:hAnsi="Palatino Linotype" w:cs="Palatino Linotype"/>
          <w:color w:val="000000"/>
        </w:rPr>
        <w:t xml:space="preserve">l </w:t>
      </w:r>
      <w:r w:rsidRPr="006F1BBF">
        <w:rPr>
          <w:rFonts w:ascii="Palatino Linotype" w:eastAsia="Palatino Linotype" w:hAnsi="Palatino Linotype" w:cs="Palatino Linotype"/>
          <w:b/>
          <w:bCs/>
          <w:color w:val="000000"/>
        </w:rPr>
        <w:t xml:space="preserve">SUJETO OBLIGADO, </w:t>
      </w:r>
      <w:r w:rsidRPr="006F1BBF">
        <w:rPr>
          <w:rFonts w:ascii="Palatino Linotype" w:eastAsia="Palatino Linotype" w:hAnsi="Palatino Linotype" w:cs="Palatino Linotype"/>
          <w:color w:val="000000"/>
        </w:rPr>
        <w:t>dio informando lo siguiente:</w:t>
      </w:r>
    </w:p>
    <w:p w:rsidR="00F22820" w:rsidRPr="006F1BBF" w:rsidRDefault="00F22820">
      <w:pPr>
        <w:pBdr>
          <w:top w:val="nil"/>
          <w:left w:val="nil"/>
          <w:bottom w:val="nil"/>
          <w:right w:val="nil"/>
          <w:between w:val="nil"/>
        </w:pBdr>
        <w:tabs>
          <w:tab w:val="left" w:pos="426"/>
        </w:tabs>
        <w:spacing w:line="360" w:lineRule="auto"/>
        <w:ind w:right="-518"/>
        <w:jc w:val="both"/>
      </w:pPr>
    </w:p>
    <w:p w:rsidR="00F22820" w:rsidRPr="006F1BBF" w:rsidRDefault="002A78E6">
      <w:pPr>
        <w:pBdr>
          <w:top w:val="nil"/>
          <w:left w:val="nil"/>
          <w:bottom w:val="nil"/>
          <w:right w:val="nil"/>
          <w:between w:val="nil"/>
        </w:pBdr>
        <w:tabs>
          <w:tab w:val="left" w:pos="426"/>
        </w:tabs>
        <w:spacing w:line="276" w:lineRule="auto"/>
        <w:ind w:left="284" w:right="-93"/>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“En atención a la solicitud con folio 0351/TOLUCA/IP/2026, me permito adjuntar al presente la respuesta correspondiente, Sin más por el momento, reciba un saludo. AL RESPECTO LA CONSEJERÍA JURÍDICA Y SERVIDOR PÚBLICO HABILITADO, INFORMÓ QUE De lo solicitado se informa que no corresponde a las funciones, atribuciones y competencias de la Consejería Jurídica, por ser atribuciones de la Preceptoría Juvenil Regional de Reintegración Social de Toluca, por lo que nos encontramos materialmente imposibilitados en dar respuesta a lo solicitado.”</w:t>
      </w:r>
    </w:p>
    <w:p w:rsidR="00F22820" w:rsidRPr="006F1BBF" w:rsidRDefault="00F22820">
      <w:pPr>
        <w:pBdr>
          <w:top w:val="nil"/>
          <w:left w:val="nil"/>
          <w:bottom w:val="nil"/>
          <w:right w:val="nil"/>
          <w:between w:val="nil"/>
        </w:pBdr>
        <w:tabs>
          <w:tab w:val="left" w:pos="426"/>
        </w:tabs>
        <w:spacing w:line="276" w:lineRule="auto"/>
        <w:ind w:left="284" w:right="-93"/>
        <w:jc w:val="both"/>
        <w:rPr>
          <w:rFonts w:ascii="Palatino Linotype" w:eastAsia="Palatino Linotype" w:hAnsi="Palatino Linotype" w:cs="Palatino Linotype"/>
          <w:i/>
          <w:iCs/>
        </w:rPr>
      </w:pPr>
    </w:p>
    <w:p w:rsidR="00F22820" w:rsidRPr="006F1BBF" w:rsidRDefault="002A78E6">
      <w:pPr>
        <w:pBdr>
          <w:top w:val="nil"/>
          <w:left w:val="nil"/>
          <w:bottom w:val="nil"/>
          <w:right w:val="nil"/>
          <w:between w:val="nil"/>
        </w:pBdr>
        <w:tabs>
          <w:tab w:val="left" w:pos="426"/>
        </w:tabs>
        <w:spacing w:line="276" w:lineRule="auto"/>
        <w:ind w:left="284" w:right="-93"/>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“En atención a la solicitud con folio 0345/TOLUCA/IP/2026, me permito adjuntar al presente la respuesta correspondiente, Sin más por el momento, reciba un saludo. AL RESPECTO LA CONSEJERÍA JURÍDICA Y SERVIDOR PÚBLICO HABILITADO, INFORMÓ QUE De lo solicitado se informa que no corresponde a las funciones, atribuciones y competencias de la Consejería Jurídica, por ser atribuciones de la Preceptoría Juvenil Regional de Reintegración Social de Toluca, por lo que nos encontramos materialmente imposibilitados en dar respuesta a lo solicitado.”</w:t>
      </w:r>
    </w:p>
    <w:p w:rsidR="00F22820" w:rsidRPr="006F1BBF" w:rsidRDefault="00F22820">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i/>
          <w:iCs/>
          <w:color w:val="000000"/>
        </w:rPr>
      </w:pPr>
    </w:p>
    <w:p w:rsidR="00F22820" w:rsidRPr="006F1BBF" w:rsidRDefault="002A78E6">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EL PARTICULAR</w:t>
      </w:r>
      <w:r w:rsidRPr="006F1BBF">
        <w:rPr>
          <w:rFonts w:ascii="Palatino Linotype" w:eastAsia="Palatino Linotype" w:hAnsi="Palatino Linotype" w:cs="Palatino Linotype"/>
          <w:color w:val="000000"/>
        </w:rPr>
        <w:t xml:space="preserve">, en fecha </w:t>
      </w:r>
      <w:r w:rsidRPr="006F1BBF">
        <w:rPr>
          <w:rFonts w:ascii="Palatino Linotype" w:eastAsia="Palatino Linotype" w:hAnsi="Palatino Linotype" w:cs="Palatino Linotype"/>
          <w:b/>
          <w:bCs/>
          <w:color w:val="000000"/>
        </w:rPr>
        <w:t>once de febrero de dos mil veintiséis,</w:t>
      </w:r>
      <w:r w:rsidRPr="006F1BBF">
        <w:rPr>
          <w:rFonts w:ascii="Palatino Linotype" w:eastAsia="Palatino Linotype" w:hAnsi="Palatino Linotype" w:cs="Palatino Linotype"/>
          <w:color w:val="000000"/>
        </w:rPr>
        <w:t xml:space="preserve"> interpuso los Recursos de Revisión en contra de la respuesta</w:t>
      </w:r>
      <w:r w:rsidRPr="006F1BBF">
        <w:rPr>
          <w:rFonts w:ascii="Palatino Linotype" w:eastAsia="Palatino Linotype" w:hAnsi="Palatino Linotype" w:cs="Palatino Linotype"/>
          <w:b/>
          <w:bCs/>
          <w:color w:val="000000"/>
        </w:rPr>
        <w:t xml:space="preserve"> </w:t>
      </w:r>
      <w:r w:rsidRPr="006F1BBF">
        <w:rPr>
          <w:rFonts w:ascii="Palatino Linotype" w:eastAsia="Palatino Linotype" w:hAnsi="Palatino Linotype" w:cs="Palatino Linotype"/>
          <w:color w:val="000000"/>
        </w:rPr>
        <w:t>de la siguiente manera:</w:t>
      </w:r>
    </w:p>
    <w:p w:rsidR="00F22820" w:rsidRPr="006F1BBF" w:rsidRDefault="00F22820">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b/>
          <w:bCs/>
          <w:color w:val="000000"/>
        </w:rPr>
      </w:pPr>
    </w:p>
    <w:tbl>
      <w:tblPr>
        <w:tblStyle w:val="a0"/>
        <w:tblW w:w="98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6520"/>
      </w:tblGrid>
      <w:tr w:rsidR="00F22820" w:rsidRPr="006F1BBF" w:rsidTr="006F1BBF">
        <w:tc>
          <w:tcPr>
            <w:tcW w:w="3369" w:type="dxa"/>
            <w:shd w:val="clear" w:color="auto" w:fill="D9D9D9"/>
            <w:vAlign w:val="center"/>
          </w:tcPr>
          <w:p w:rsidR="00F22820" w:rsidRPr="006F1BBF" w:rsidRDefault="002A78E6">
            <w:pPr>
              <w:pBdr>
                <w:top w:val="nil"/>
                <w:left w:val="nil"/>
                <w:bottom w:val="nil"/>
                <w:right w:val="nil"/>
                <w:between w:val="nil"/>
              </w:pBdr>
              <w:ind w:right="-518"/>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Número de solicitud</w:t>
            </w:r>
          </w:p>
        </w:tc>
        <w:tc>
          <w:tcPr>
            <w:tcW w:w="6520" w:type="dxa"/>
            <w:shd w:val="clear" w:color="auto" w:fill="D9D9D9"/>
            <w:vAlign w:val="center"/>
          </w:tcPr>
          <w:p w:rsidR="00F22820" w:rsidRPr="006F1BBF" w:rsidRDefault="002A78E6">
            <w:pPr>
              <w:pBdr>
                <w:top w:val="nil"/>
                <w:left w:val="nil"/>
                <w:bottom w:val="nil"/>
                <w:right w:val="nil"/>
                <w:between w:val="nil"/>
              </w:pBdr>
              <w:ind w:right="-518"/>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Inconformidad</w:t>
            </w:r>
          </w:p>
        </w:tc>
      </w:tr>
      <w:tr w:rsidR="00F22820" w:rsidRPr="006F1BBF" w:rsidTr="006F1BBF">
        <w:tc>
          <w:tcPr>
            <w:tcW w:w="3369" w:type="dxa"/>
            <w:vAlign w:val="center"/>
          </w:tcPr>
          <w:p w:rsidR="00F22820" w:rsidRPr="006F1BBF" w:rsidRDefault="00F22820">
            <w:pPr>
              <w:pBdr>
                <w:top w:val="nil"/>
                <w:left w:val="nil"/>
                <w:bottom w:val="nil"/>
                <w:right w:val="nil"/>
                <w:between w:val="nil"/>
              </w:pBdr>
              <w:jc w:val="center"/>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 xml:space="preserve">  00351/TOLUCA/IP/2026</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recayó el recurso </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01803/INFOEM/IP/RR/2026</w:t>
            </w:r>
          </w:p>
        </w:tc>
        <w:tc>
          <w:tcPr>
            <w:tcW w:w="6520" w:type="dxa"/>
            <w:vAlign w:val="center"/>
          </w:tcPr>
          <w:p w:rsidR="00F22820" w:rsidRPr="006F1BBF" w:rsidRDefault="00F22820">
            <w:pPr>
              <w:pBdr>
                <w:top w:val="nil"/>
                <w:left w:val="nil"/>
                <w:bottom w:val="nil"/>
                <w:right w:val="nil"/>
                <w:between w:val="nil"/>
              </w:pBdr>
              <w:ind w:right="66"/>
              <w:jc w:val="both"/>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ind w:right="66"/>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b/>
                <w:bCs/>
                <w:color w:val="000000"/>
              </w:rPr>
              <w:t>Acto impugnado:</w:t>
            </w:r>
            <w:r w:rsidRPr="006F1BBF">
              <w:rPr>
                <w:rFonts w:ascii="Palatino Linotype" w:eastAsia="Palatino Linotype" w:hAnsi="Palatino Linotype" w:cs="Palatino Linotype"/>
                <w:color w:val="000000"/>
              </w:rPr>
              <w:t xml:space="preserve"> </w:t>
            </w:r>
            <w:r w:rsidRPr="006F1BBF">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F22820" w:rsidRPr="006F1BBF" w:rsidRDefault="00F22820">
            <w:pPr>
              <w:pBdr>
                <w:top w:val="nil"/>
                <w:left w:val="nil"/>
                <w:bottom w:val="nil"/>
                <w:right w:val="nil"/>
                <w:between w:val="nil"/>
              </w:pBdr>
              <w:ind w:right="66"/>
              <w:jc w:val="both"/>
              <w:rPr>
                <w:rFonts w:ascii="Palatino Linotype" w:eastAsia="Palatino Linotype" w:hAnsi="Palatino Linotype" w:cs="Palatino Linotype"/>
                <w:i/>
                <w:iCs/>
                <w:color w:val="000000"/>
              </w:rPr>
            </w:pPr>
          </w:p>
          <w:p w:rsidR="00F22820" w:rsidRPr="006F1BBF" w:rsidRDefault="002A78E6">
            <w:pPr>
              <w:pBdr>
                <w:top w:val="nil"/>
                <w:left w:val="nil"/>
                <w:bottom w:val="nil"/>
                <w:right w:val="nil"/>
                <w:between w:val="nil"/>
              </w:pBdr>
              <w:ind w:right="66"/>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b/>
                <w:bCs/>
                <w:color w:val="000000"/>
              </w:rPr>
              <w:lastRenderedPageBreak/>
              <w:t>Motivos o razones de inconformidad:</w:t>
            </w:r>
            <w:r w:rsidRPr="006F1BBF">
              <w:rPr>
                <w:rFonts w:ascii="Palatino Linotype" w:eastAsia="Palatino Linotype" w:hAnsi="Palatino Linotype" w:cs="Palatino Linotype"/>
                <w:i/>
                <w:iCs/>
                <w:color w:val="000000"/>
              </w:rPr>
              <w:t xml:space="preserve"> “El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tc>
      </w:tr>
      <w:tr w:rsidR="00F22820" w:rsidRPr="006F1BBF" w:rsidTr="006F1BBF">
        <w:tc>
          <w:tcPr>
            <w:tcW w:w="3369" w:type="dxa"/>
            <w:vAlign w:val="center"/>
          </w:tcPr>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lastRenderedPageBreak/>
              <w:t>00345/TOLUCA/IP/2026</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recayó el recurso </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01798/INFOEM/IP/RR/2026</w:t>
            </w:r>
          </w:p>
        </w:tc>
        <w:tc>
          <w:tcPr>
            <w:tcW w:w="6520" w:type="dxa"/>
            <w:vAlign w:val="center"/>
          </w:tcPr>
          <w:p w:rsidR="00F22820" w:rsidRPr="006F1BBF" w:rsidRDefault="00F22820">
            <w:pPr>
              <w:pBdr>
                <w:top w:val="nil"/>
                <w:left w:val="nil"/>
                <w:bottom w:val="nil"/>
                <w:right w:val="nil"/>
                <w:between w:val="nil"/>
              </w:pBdr>
              <w:ind w:right="66"/>
              <w:jc w:val="both"/>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ind w:right="66"/>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b/>
                <w:bCs/>
                <w:color w:val="000000"/>
              </w:rPr>
              <w:t>Acto impugnado:</w:t>
            </w:r>
            <w:r w:rsidRPr="006F1BBF">
              <w:rPr>
                <w:rFonts w:ascii="Palatino Linotype" w:eastAsia="Palatino Linotype" w:hAnsi="Palatino Linotype" w:cs="Palatino Linotype"/>
                <w:color w:val="000000"/>
              </w:rPr>
              <w:t xml:space="preserve"> </w:t>
            </w:r>
            <w:r w:rsidRPr="006F1BBF">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F22820" w:rsidRPr="006F1BBF" w:rsidRDefault="00F22820">
            <w:pPr>
              <w:pBdr>
                <w:top w:val="nil"/>
                <w:left w:val="nil"/>
                <w:bottom w:val="nil"/>
                <w:right w:val="nil"/>
                <w:between w:val="nil"/>
              </w:pBdr>
              <w:ind w:right="66"/>
              <w:jc w:val="both"/>
              <w:rPr>
                <w:rFonts w:ascii="Palatino Linotype" w:eastAsia="Palatino Linotype" w:hAnsi="Palatino Linotype" w:cs="Palatino Linotype"/>
                <w:i/>
                <w:iCs/>
                <w:color w:val="000000"/>
              </w:rPr>
            </w:pPr>
          </w:p>
          <w:p w:rsidR="00F22820" w:rsidRPr="006F1BBF" w:rsidRDefault="002A78E6">
            <w:pPr>
              <w:pBdr>
                <w:top w:val="nil"/>
                <w:left w:val="nil"/>
                <w:bottom w:val="nil"/>
                <w:right w:val="nil"/>
                <w:between w:val="nil"/>
              </w:pBdr>
              <w:ind w:right="66"/>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b/>
                <w:bCs/>
                <w:color w:val="000000"/>
              </w:rPr>
              <w:t>Motivos o razones de inconformidad:</w:t>
            </w:r>
            <w:r w:rsidRPr="006F1BBF">
              <w:rPr>
                <w:rFonts w:ascii="Palatino Linotype" w:eastAsia="Palatino Linotype" w:hAnsi="Palatino Linotype" w:cs="Palatino Linotype"/>
                <w:i/>
                <w:iCs/>
                <w:color w:val="000000"/>
              </w:rPr>
              <w:t xml:space="preserve"> “El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tc>
      </w:tr>
    </w:tbl>
    <w:p w:rsidR="00F22820" w:rsidRPr="006F1BBF" w:rsidRDefault="00F22820">
      <w:pPr>
        <w:spacing w:line="360" w:lineRule="auto"/>
        <w:ind w:right="-518"/>
        <w:jc w:val="both"/>
        <w:rPr>
          <w:rFonts w:ascii="Palatino Linotype" w:eastAsia="Palatino Linotype" w:hAnsi="Palatino Linotype" w:cs="Palatino Linotype"/>
          <w:color w:val="000000"/>
        </w:rPr>
      </w:pPr>
    </w:p>
    <w:p w:rsidR="00F22820" w:rsidRPr="006F1BBF" w:rsidRDefault="002A78E6">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La Comisionada Ponente, con fundamento en lo dispuesto por el artículo 185 fracción II de la Ley de Transparencia y Acceso a la Información Pública del Estado de México y Municipios, a través de los acuerdos de admisión de fecha </w:t>
      </w:r>
      <w:r w:rsidRPr="006F1BBF">
        <w:rPr>
          <w:rFonts w:ascii="Palatino Linotype" w:eastAsia="Palatino Linotype" w:hAnsi="Palatino Linotype" w:cs="Palatino Linotype"/>
          <w:b/>
          <w:bCs/>
          <w:color w:val="000000"/>
        </w:rPr>
        <w:t>doce y trece de febrero de dos mil veintiséis</w:t>
      </w:r>
      <w:r w:rsidRPr="006F1BBF">
        <w:rPr>
          <w:rFonts w:ascii="Palatino Linotype" w:eastAsia="Palatino Linotype" w:hAnsi="Palatino Linotype" w:cs="Palatino Linotype"/>
          <w:color w:val="000000"/>
        </w:rPr>
        <w:t>, puso a disposición de las partes los expedientes electrónicos vía Sistema de Acceso a la Información Mexiquense (</w:t>
      </w:r>
      <w:r w:rsidRPr="006F1BBF">
        <w:rPr>
          <w:rFonts w:ascii="Palatino Linotype" w:eastAsia="Palatino Linotype" w:hAnsi="Palatino Linotype" w:cs="Palatino Linotype"/>
          <w:b/>
          <w:bCs/>
          <w:i/>
          <w:iCs/>
          <w:color w:val="000000"/>
        </w:rPr>
        <w:t>SAIMEX)</w:t>
      </w:r>
      <w:r w:rsidRPr="006F1BBF">
        <w:rPr>
          <w:rFonts w:ascii="Palatino Linotype" w:eastAsia="Palatino Linotype" w:hAnsi="Palatino Linotype" w:cs="Palatino Linotype"/>
          <w:b/>
          <w:bCs/>
          <w:color w:val="000000"/>
        </w:rPr>
        <w:t xml:space="preserve"> </w:t>
      </w:r>
      <w:r w:rsidRPr="006F1BBF">
        <w:rPr>
          <w:rFonts w:ascii="Palatino Linotype" w:eastAsia="Palatino Linotype" w:hAnsi="Palatino Linotype" w:cs="Palatino Linotype"/>
          <w:color w:val="000000"/>
        </w:rPr>
        <w:t xml:space="preserve">a efecto de que en un plazo máximo de siete días manifestaran lo que a su derecho convinieran, ofrecieran pruebas y alegatos según corresponda a los casos concretos, de esta forma para que el </w:t>
      </w:r>
      <w:r w:rsidRPr="006F1BBF">
        <w:rPr>
          <w:rFonts w:ascii="Palatino Linotype" w:eastAsia="Palatino Linotype" w:hAnsi="Palatino Linotype" w:cs="Palatino Linotype"/>
          <w:b/>
          <w:bCs/>
          <w:color w:val="000000"/>
        </w:rPr>
        <w:t>SUJETO OBLIGADO</w:t>
      </w:r>
      <w:r w:rsidRPr="006F1BBF">
        <w:rPr>
          <w:rFonts w:ascii="Palatino Linotype" w:eastAsia="Palatino Linotype" w:hAnsi="Palatino Linotype" w:cs="Palatino Linotype"/>
          <w:color w:val="000000"/>
        </w:rPr>
        <w:t xml:space="preserve"> presentara el informe justificado procedente.</w:t>
      </w:r>
    </w:p>
    <w:p w:rsidR="00F22820" w:rsidRPr="006F1BBF" w:rsidRDefault="00F22820">
      <w:pPr>
        <w:spacing w:line="360" w:lineRule="auto"/>
        <w:ind w:right="-518"/>
        <w:rPr>
          <w:rFonts w:ascii="Palatino Linotype" w:eastAsia="Palatino Linotype" w:hAnsi="Palatino Linotype" w:cs="Palatino Linotype"/>
          <w:color w:val="000000"/>
        </w:rPr>
      </w:pPr>
    </w:p>
    <w:p w:rsidR="00F22820" w:rsidRPr="006F1BBF" w:rsidRDefault="002A78E6">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i/>
          <w:iCs/>
          <w:color w:val="000000"/>
        </w:rPr>
      </w:pPr>
      <w:r w:rsidRPr="006F1BBF">
        <w:rPr>
          <w:rFonts w:ascii="Palatino Linotype" w:eastAsia="Palatino Linotype" w:hAnsi="Palatino Linotype" w:cs="Palatino Linotype"/>
          <w:color w:val="000000"/>
        </w:rPr>
        <w:lastRenderedPageBreak/>
        <w:t xml:space="preserve">El </w:t>
      </w:r>
      <w:r w:rsidRPr="006F1BBF">
        <w:rPr>
          <w:rFonts w:ascii="Palatino Linotype" w:eastAsia="Palatino Linotype" w:hAnsi="Palatino Linotype" w:cs="Palatino Linotype"/>
          <w:b/>
          <w:bCs/>
          <w:color w:val="000000"/>
        </w:rPr>
        <w:t>SUJETO OBLIGADO</w:t>
      </w:r>
      <w:r w:rsidRPr="006F1BBF">
        <w:rPr>
          <w:rFonts w:ascii="Palatino Linotype" w:eastAsia="Palatino Linotype" w:hAnsi="Palatino Linotype" w:cs="Palatino Linotype"/>
          <w:color w:val="000000"/>
        </w:rPr>
        <w:t xml:space="preserve">, rindió el </w:t>
      </w:r>
      <w:r w:rsidRPr="006F1BBF">
        <w:rPr>
          <w:rFonts w:ascii="Palatino Linotype" w:eastAsia="Palatino Linotype" w:hAnsi="Palatino Linotype" w:cs="Palatino Linotype"/>
          <w:b/>
          <w:bCs/>
          <w:color w:val="000000"/>
        </w:rPr>
        <w:t xml:space="preserve">INFORME JUSTIFICADO, </w:t>
      </w:r>
      <w:r w:rsidRPr="006F1BBF">
        <w:rPr>
          <w:rFonts w:ascii="Palatino Linotype" w:eastAsia="Palatino Linotype" w:hAnsi="Palatino Linotype" w:cs="Palatino Linotype"/>
          <w:color w:val="000000"/>
        </w:rPr>
        <w:t>en el tenor siguiente:</w:t>
      </w:r>
    </w:p>
    <w:p w:rsidR="00F22820" w:rsidRPr="006F1BBF" w:rsidRDefault="00F22820">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tbl>
      <w:tblPr>
        <w:tblStyle w:val="a1"/>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6662"/>
      </w:tblGrid>
      <w:tr w:rsidR="00F22820" w:rsidRPr="006F1BBF" w:rsidTr="006F1BBF">
        <w:tc>
          <w:tcPr>
            <w:tcW w:w="3369" w:type="dxa"/>
            <w:shd w:val="clear" w:color="auto" w:fill="D9D9D9"/>
            <w:vAlign w:val="center"/>
          </w:tcPr>
          <w:p w:rsidR="00F22820" w:rsidRPr="006F1BBF" w:rsidRDefault="002A78E6">
            <w:pPr>
              <w:pBdr>
                <w:top w:val="nil"/>
                <w:left w:val="nil"/>
                <w:bottom w:val="nil"/>
                <w:right w:val="nil"/>
                <w:between w:val="nil"/>
              </w:pBdr>
              <w:ind w:right="-518"/>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Número de solicitud</w:t>
            </w:r>
          </w:p>
        </w:tc>
        <w:tc>
          <w:tcPr>
            <w:tcW w:w="6662" w:type="dxa"/>
            <w:shd w:val="clear" w:color="auto" w:fill="D9D9D9"/>
            <w:vAlign w:val="center"/>
          </w:tcPr>
          <w:p w:rsidR="00F22820" w:rsidRPr="006F1BBF" w:rsidRDefault="002A78E6">
            <w:pPr>
              <w:pBdr>
                <w:top w:val="nil"/>
                <w:left w:val="nil"/>
                <w:bottom w:val="nil"/>
                <w:right w:val="nil"/>
                <w:between w:val="nil"/>
              </w:pBdr>
              <w:ind w:right="-518"/>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Informe Justificado</w:t>
            </w:r>
          </w:p>
        </w:tc>
      </w:tr>
      <w:tr w:rsidR="00F22820" w:rsidRPr="006F1BBF" w:rsidTr="006F1BBF">
        <w:tc>
          <w:tcPr>
            <w:tcW w:w="3369" w:type="dxa"/>
            <w:vAlign w:val="center"/>
          </w:tcPr>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00345/TOLUCA/IP/2026</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recayó el recurso </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01798/INFOEM/IP/RR/2026</w:t>
            </w:r>
          </w:p>
        </w:tc>
        <w:tc>
          <w:tcPr>
            <w:tcW w:w="6662" w:type="dxa"/>
            <w:vAlign w:val="center"/>
          </w:tcPr>
          <w:p w:rsidR="00F22820" w:rsidRPr="006F1BBF" w:rsidRDefault="00F22820">
            <w:pPr>
              <w:pBdr>
                <w:top w:val="nil"/>
                <w:left w:val="nil"/>
                <w:bottom w:val="nil"/>
                <w:right w:val="nil"/>
                <w:between w:val="nil"/>
              </w:pBdr>
              <w:jc w:val="both"/>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jc w:val="both"/>
              <w:rPr>
                <w:rFonts w:ascii="Palatino Linotype" w:eastAsia="Palatino Linotype" w:hAnsi="Palatino Linotype" w:cs="Palatino Linotype"/>
                <w:b/>
                <w:bCs/>
                <w:i/>
                <w:iCs/>
                <w:color w:val="000000"/>
              </w:rPr>
            </w:pPr>
            <w:r w:rsidRPr="006F1BBF">
              <w:rPr>
                <w:rFonts w:ascii="Palatino Linotype" w:eastAsia="Palatino Linotype" w:hAnsi="Palatino Linotype" w:cs="Palatino Linotype"/>
                <w:b/>
                <w:bCs/>
                <w:color w:val="000000"/>
              </w:rPr>
              <w:t xml:space="preserve">1798 Ratificación.pdf: </w:t>
            </w:r>
            <w:r w:rsidRPr="006F1BBF">
              <w:rPr>
                <w:rFonts w:ascii="Palatino Linotype" w:eastAsia="Palatino Linotype" w:hAnsi="Palatino Linotype" w:cs="Palatino Linotype"/>
                <w:color w:val="000000"/>
              </w:rPr>
              <w:t xml:space="preserve">Oficio firmado por el Titular de la Unidad de Transparencia, por el que </w:t>
            </w:r>
            <w:r w:rsidRPr="006F1BBF">
              <w:rPr>
                <w:rFonts w:ascii="Palatino Linotype" w:eastAsia="Palatino Linotype" w:hAnsi="Palatino Linotype" w:cs="Palatino Linotype"/>
                <w:b/>
                <w:bCs/>
                <w:i/>
                <w:iCs/>
                <w:color w:val="000000"/>
              </w:rPr>
              <w:t>ratifica a la respuesta emitida por la CONSEJERÍA JURIDICA y Servidor Público Habilitado del 03 de febrero de 2026, a la solicitud 00345/TOLUCA/IP/2025, relacionada con el Recurso de Revisión 01798/INFOEM/IP/RR/2026.</w:t>
            </w:r>
          </w:p>
          <w:p w:rsidR="00F22820" w:rsidRPr="006F1BBF" w:rsidRDefault="00F22820">
            <w:pPr>
              <w:pBdr>
                <w:top w:val="nil"/>
                <w:left w:val="nil"/>
                <w:bottom w:val="nil"/>
                <w:right w:val="nil"/>
                <w:between w:val="nil"/>
              </w:pBdr>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rPr>
                <w:rFonts w:ascii="Palatino Linotype" w:eastAsia="Palatino Linotype" w:hAnsi="Palatino Linotype" w:cs="Palatino Linotype"/>
                <w:color w:val="000000"/>
              </w:rPr>
            </w:pPr>
            <w:r w:rsidRPr="006F1BBF">
              <w:rPr>
                <w:rFonts w:ascii="Palatino Linotype" w:eastAsia="Palatino Linotype" w:hAnsi="Palatino Linotype" w:cs="Palatino Linotype"/>
                <w:b/>
                <w:bCs/>
                <w:color w:val="000000"/>
              </w:rPr>
              <w:t xml:space="preserve">1798-2026-CJ.pdf: </w:t>
            </w:r>
            <w:r w:rsidRPr="006F1BBF">
              <w:rPr>
                <w:rFonts w:ascii="Palatino Linotype" w:eastAsia="Palatino Linotype" w:hAnsi="Palatino Linotype" w:cs="Palatino Linotype"/>
                <w:color w:val="000000"/>
              </w:rPr>
              <w:t xml:space="preserve">Oficio firmado por el Servidor Público Habilitado de la Consejería Jurídica por el que </w:t>
            </w:r>
            <w:r w:rsidRPr="006F1BBF">
              <w:rPr>
                <w:rFonts w:ascii="Palatino Linotype" w:eastAsia="Palatino Linotype" w:hAnsi="Palatino Linotype" w:cs="Palatino Linotype"/>
              </w:rPr>
              <w:t>confirmó</w:t>
            </w:r>
            <w:r w:rsidRPr="006F1BBF">
              <w:rPr>
                <w:rFonts w:ascii="Palatino Linotype" w:eastAsia="Palatino Linotype" w:hAnsi="Palatino Linotype" w:cs="Palatino Linotype"/>
                <w:color w:val="000000"/>
              </w:rPr>
              <w:t xml:space="preserve"> su respuesta primigenia.</w:t>
            </w:r>
          </w:p>
          <w:p w:rsidR="00F22820" w:rsidRPr="006F1BBF" w:rsidRDefault="00F22820">
            <w:pPr>
              <w:pBdr>
                <w:top w:val="nil"/>
                <w:left w:val="nil"/>
                <w:bottom w:val="nil"/>
                <w:right w:val="nil"/>
                <w:between w:val="nil"/>
              </w:pBdr>
              <w:ind w:right="-108"/>
              <w:rPr>
                <w:rFonts w:ascii="Palatino Linotype" w:eastAsia="Palatino Linotype" w:hAnsi="Palatino Linotype" w:cs="Palatino Linotype"/>
                <w:i/>
                <w:iCs/>
                <w:color w:val="000000"/>
              </w:rPr>
            </w:pPr>
          </w:p>
        </w:tc>
      </w:tr>
      <w:tr w:rsidR="00F22820" w:rsidRPr="006F1BBF" w:rsidTr="006F1BBF">
        <w:tc>
          <w:tcPr>
            <w:tcW w:w="3369" w:type="dxa"/>
            <w:vAlign w:val="center"/>
          </w:tcPr>
          <w:p w:rsidR="00F22820" w:rsidRPr="006F1BBF" w:rsidRDefault="00F22820">
            <w:pPr>
              <w:pBdr>
                <w:top w:val="nil"/>
                <w:left w:val="nil"/>
                <w:bottom w:val="nil"/>
                <w:right w:val="nil"/>
                <w:between w:val="nil"/>
              </w:pBdr>
              <w:jc w:val="center"/>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 xml:space="preserve">  00351/TOLUCA/IP/2026</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recayó el recurso </w:t>
            </w:r>
          </w:p>
          <w:p w:rsidR="00F22820" w:rsidRPr="006F1BBF" w:rsidRDefault="002A78E6">
            <w:pPr>
              <w:pBdr>
                <w:top w:val="nil"/>
                <w:left w:val="nil"/>
                <w:bottom w:val="nil"/>
                <w:right w:val="nil"/>
                <w:between w:val="nil"/>
              </w:pBdr>
              <w:jc w:val="center"/>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01803/INFOEM/IP/RR/2026</w:t>
            </w:r>
          </w:p>
        </w:tc>
        <w:tc>
          <w:tcPr>
            <w:tcW w:w="6662" w:type="dxa"/>
            <w:vAlign w:val="center"/>
          </w:tcPr>
          <w:p w:rsidR="00F22820" w:rsidRPr="006F1BBF" w:rsidRDefault="00F22820">
            <w:pPr>
              <w:pBdr>
                <w:top w:val="nil"/>
                <w:left w:val="nil"/>
                <w:bottom w:val="nil"/>
                <w:right w:val="nil"/>
                <w:between w:val="nil"/>
              </w:pBdr>
              <w:ind w:right="-108"/>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b/>
                <w:bCs/>
                <w:color w:val="000000"/>
              </w:rPr>
              <w:t xml:space="preserve">01803 Ratificación.pdf: </w:t>
            </w:r>
            <w:r w:rsidRPr="006F1BBF">
              <w:rPr>
                <w:rFonts w:ascii="Palatino Linotype" w:eastAsia="Palatino Linotype" w:hAnsi="Palatino Linotype" w:cs="Palatino Linotype"/>
                <w:color w:val="000000"/>
              </w:rPr>
              <w:t xml:space="preserve">Oficio firmado por el Titular de la Unidad de Transparencia, por el que </w:t>
            </w:r>
            <w:r w:rsidRPr="006F1BBF">
              <w:rPr>
                <w:rFonts w:ascii="Palatino Linotype" w:eastAsia="Palatino Linotype" w:hAnsi="Palatino Linotype" w:cs="Palatino Linotype"/>
                <w:b/>
                <w:bCs/>
                <w:i/>
                <w:iCs/>
                <w:color w:val="000000"/>
              </w:rPr>
              <w:t xml:space="preserve">ratifica a la respuesta </w:t>
            </w:r>
            <w:r w:rsidRPr="006F1BBF">
              <w:rPr>
                <w:rFonts w:ascii="Palatino Linotype" w:eastAsia="Palatino Linotype" w:hAnsi="Palatino Linotype" w:cs="Palatino Linotype"/>
                <w:i/>
                <w:iCs/>
                <w:color w:val="000000"/>
              </w:rPr>
              <w:t xml:space="preserve">emitida por </w:t>
            </w:r>
            <w:r w:rsidRPr="006F1BBF">
              <w:rPr>
                <w:rFonts w:ascii="Palatino Linotype" w:eastAsia="Palatino Linotype" w:hAnsi="Palatino Linotype" w:cs="Palatino Linotype"/>
                <w:b/>
                <w:bCs/>
                <w:i/>
                <w:iCs/>
                <w:color w:val="000000"/>
              </w:rPr>
              <w:t xml:space="preserve">la CONSEJERÍA JURÍDICA y Servidor Público Habilitado </w:t>
            </w:r>
            <w:r w:rsidRPr="006F1BBF">
              <w:rPr>
                <w:rFonts w:ascii="Palatino Linotype" w:eastAsia="Palatino Linotype" w:hAnsi="Palatino Linotype" w:cs="Palatino Linotype"/>
                <w:i/>
                <w:iCs/>
                <w:color w:val="000000"/>
              </w:rPr>
              <w:t xml:space="preserve">del </w:t>
            </w:r>
            <w:r w:rsidRPr="006F1BBF">
              <w:rPr>
                <w:rFonts w:ascii="Palatino Linotype" w:eastAsia="Palatino Linotype" w:hAnsi="Palatino Linotype" w:cs="Palatino Linotype"/>
                <w:b/>
                <w:bCs/>
                <w:i/>
                <w:iCs/>
                <w:color w:val="000000"/>
              </w:rPr>
              <w:t xml:space="preserve">03 de febrero de 2026, </w:t>
            </w:r>
            <w:r w:rsidRPr="006F1BBF">
              <w:rPr>
                <w:rFonts w:ascii="Palatino Linotype" w:eastAsia="Palatino Linotype" w:hAnsi="Palatino Linotype" w:cs="Palatino Linotype"/>
                <w:i/>
                <w:iCs/>
                <w:color w:val="000000"/>
              </w:rPr>
              <w:t xml:space="preserve">a la solicitud </w:t>
            </w:r>
            <w:r w:rsidRPr="006F1BBF">
              <w:rPr>
                <w:rFonts w:ascii="Palatino Linotype" w:eastAsia="Palatino Linotype" w:hAnsi="Palatino Linotype" w:cs="Palatino Linotype"/>
                <w:b/>
                <w:bCs/>
                <w:i/>
                <w:iCs/>
                <w:color w:val="000000"/>
              </w:rPr>
              <w:t xml:space="preserve">00351/TOLUCA/IP/2025, </w:t>
            </w:r>
            <w:r w:rsidRPr="006F1BBF">
              <w:rPr>
                <w:rFonts w:ascii="Palatino Linotype" w:eastAsia="Palatino Linotype" w:hAnsi="Palatino Linotype" w:cs="Palatino Linotype"/>
                <w:i/>
                <w:iCs/>
                <w:color w:val="000000"/>
              </w:rPr>
              <w:t xml:space="preserve">relacionada con el </w:t>
            </w:r>
            <w:r w:rsidRPr="006F1BBF">
              <w:rPr>
                <w:rFonts w:ascii="Palatino Linotype" w:eastAsia="Palatino Linotype" w:hAnsi="Palatino Linotype" w:cs="Palatino Linotype"/>
                <w:b/>
                <w:bCs/>
                <w:i/>
                <w:iCs/>
                <w:color w:val="000000"/>
              </w:rPr>
              <w:t>Recurso de Revisión 01803/INFOEM/IP/RR/2026.</w:t>
            </w:r>
          </w:p>
          <w:p w:rsidR="00F22820" w:rsidRPr="006F1BBF" w:rsidRDefault="00F22820">
            <w:pPr>
              <w:pBdr>
                <w:top w:val="nil"/>
                <w:left w:val="nil"/>
                <w:bottom w:val="nil"/>
                <w:right w:val="nil"/>
                <w:between w:val="nil"/>
              </w:pBdr>
              <w:rPr>
                <w:rFonts w:ascii="Palatino Linotype" w:eastAsia="Palatino Linotype" w:hAnsi="Palatino Linotype" w:cs="Palatino Linotype"/>
                <w:b/>
                <w:bCs/>
                <w:color w:val="000000"/>
              </w:rPr>
            </w:pPr>
          </w:p>
          <w:p w:rsidR="00F22820" w:rsidRPr="006F1BBF" w:rsidRDefault="002A78E6">
            <w:pPr>
              <w:pBdr>
                <w:top w:val="nil"/>
                <w:left w:val="nil"/>
                <w:bottom w:val="nil"/>
                <w:right w:val="nil"/>
                <w:between w:val="nil"/>
              </w:pBdr>
              <w:rPr>
                <w:rFonts w:ascii="Palatino Linotype" w:eastAsia="Palatino Linotype" w:hAnsi="Palatino Linotype" w:cs="Palatino Linotype"/>
                <w:color w:val="000000"/>
              </w:rPr>
            </w:pPr>
            <w:r w:rsidRPr="006F1BBF">
              <w:rPr>
                <w:rFonts w:ascii="Palatino Linotype" w:eastAsia="Palatino Linotype" w:hAnsi="Palatino Linotype" w:cs="Palatino Linotype"/>
                <w:b/>
                <w:bCs/>
                <w:color w:val="000000"/>
              </w:rPr>
              <w:t xml:space="preserve">1803-2026-CJ.pdf: </w:t>
            </w:r>
            <w:r w:rsidRPr="006F1BBF">
              <w:rPr>
                <w:rFonts w:ascii="Palatino Linotype" w:eastAsia="Palatino Linotype" w:hAnsi="Palatino Linotype" w:cs="Palatino Linotype"/>
                <w:color w:val="000000"/>
              </w:rPr>
              <w:t xml:space="preserve">Oficio firmado por el Servidor Público Habilitado de la Consejería Jurídica por el que </w:t>
            </w:r>
            <w:r w:rsidRPr="006F1BBF">
              <w:rPr>
                <w:rFonts w:ascii="Palatino Linotype" w:eastAsia="Palatino Linotype" w:hAnsi="Palatino Linotype" w:cs="Palatino Linotype"/>
              </w:rPr>
              <w:t>confirmó</w:t>
            </w:r>
            <w:r w:rsidRPr="006F1BBF">
              <w:rPr>
                <w:rFonts w:ascii="Palatino Linotype" w:eastAsia="Palatino Linotype" w:hAnsi="Palatino Linotype" w:cs="Palatino Linotype"/>
                <w:color w:val="000000"/>
              </w:rPr>
              <w:t xml:space="preserve"> su respuesta primigenia.</w:t>
            </w:r>
          </w:p>
          <w:p w:rsidR="00F22820" w:rsidRPr="006F1BBF" w:rsidRDefault="00F22820">
            <w:pPr>
              <w:pBdr>
                <w:top w:val="nil"/>
                <w:left w:val="nil"/>
                <w:bottom w:val="nil"/>
                <w:right w:val="nil"/>
                <w:between w:val="nil"/>
              </w:pBdr>
              <w:ind w:right="-108"/>
              <w:rPr>
                <w:rFonts w:ascii="Palatino Linotype" w:eastAsia="Palatino Linotype" w:hAnsi="Palatino Linotype" w:cs="Palatino Linotype"/>
                <w:i/>
                <w:iCs/>
                <w:color w:val="000000"/>
              </w:rPr>
            </w:pPr>
          </w:p>
        </w:tc>
      </w:tr>
    </w:tbl>
    <w:p w:rsidR="00F22820" w:rsidRPr="006F1BBF" w:rsidRDefault="00F22820">
      <w:pPr>
        <w:tabs>
          <w:tab w:val="left" w:pos="426"/>
        </w:tabs>
        <w:spacing w:line="360" w:lineRule="auto"/>
        <w:ind w:right="-518"/>
        <w:jc w:val="both"/>
        <w:rPr>
          <w:rFonts w:ascii="Palatino Linotype" w:eastAsia="Palatino Linotype" w:hAnsi="Palatino Linotype" w:cs="Palatino Linotype"/>
        </w:rPr>
      </w:pPr>
      <w:bookmarkStart w:id="2" w:name="_heading=h.7tc4g35jahsm" w:colFirst="0" w:colLast="0"/>
      <w:bookmarkEnd w:id="2"/>
    </w:p>
    <w:p w:rsidR="00F22820" w:rsidRPr="006F1BBF" w:rsidRDefault="002A78E6">
      <w:pPr>
        <w:numPr>
          <w:ilvl w:val="0"/>
          <w:numId w:val="1"/>
        </w:num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Por su parte, el </w:t>
      </w:r>
      <w:r w:rsidRPr="006F1BBF">
        <w:rPr>
          <w:rFonts w:ascii="Palatino Linotype" w:eastAsia="Palatino Linotype" w:hAnsi="Palatino Linotype" w:cs="Palatino Linotype"/>
          <w:b/>
          <w:bCs/>
          <w:color w:val="000000"/>
        </w:rPr>
        <w:t>RECURRENTE</w:t>
      </w:r>
      <w:r w:rsidRPr="006F1BBF">
        <w:rPr>
          <w:rFonts w:ascii="Palatino Linotype" w:eastAsia="Palatino Linotype" w:hAnsi="Palatino Linotype" w:cs="Palatino Linotype"/>
          <w:color w:val="000000"/>
        </w:rPr>
        <w:t xml:space="preserve"> fue omiso en realizar manifestaciones o presentar alegatos que a su derecho convinieran, en los recursos que integran el presente.</w:t>
      </w:r>
    </w:p>
    <w:p w:rsidR="00F22820" w:rsidRPr="006F1BBF" w:rsidRDefault="00F22820">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lastRenderedPageBreak/>
        <w:t xml:space="preserve">En fecha </w:t>
      </w:r>
      <w:r w:rsidRPr="006F1BBF">
        <w:rPr>
          <w:rFonts w:ascii="Palatino Linotype" w:eastAsia="Palatino Linotype" w:hAnsi="Palatino Linotype" w:cs="Palatino Linotype"/>
          <w:b/>
          <w:bCs/>
        </w:rPr>
        <w:t xml:space="preserve">nueve y veintiuno de abril de dos mil veintiséis, </w:t>
      </w:r>
      <w:r w:rsidRPr="006F1BBF">
        <w:rPr>
          <w:rFonts w:ascii="Palatino Linotype" w:eastAsia="Palatino Linotype" w:hAnsi="Palatino Linotype" w:cs="Palatino Linotype"/>
        </w:rPr>
        <w:t>se notificó el acuerdo mediante el cual se aprobó la ampliación de plazo para emitir resolución, en los recursos que integran el presente.</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El </w:t>
      </w:r>
      <w:r w:rsidRPr="006F1BBF">
        <w:rPr>
          <w:rFonts w:ascii="Palatino Linotype" w:eastAsia="Palatino Linotype" w:hAnsi="Palatino Linotype" w:cs="Palatino Linotype"/>
          <w:b/>
          <w:bCs/>
          <w:color w:val="000000"/>
        </w:rPr>
        <w:t xml:space="preserve">veintisiete de abril de dos mil veintiséis, </w:t>
      </w:r>
      <w:r w:rsidRPr="006F1BBF">
        <w:rPr>
          <w:rFonts w:ascii="Palatino Linotype" w:eastAsia="Palatino Linotype" w:hAnsi="Palatino Linotype" w:cs="Palatino Linotype"/>
          <w:color w:val="000000"/>
        </w:rPr>
        <w:t xml:space="preserve">se notificó el acuerdo por el que se decretó la acumulación interna de los recursos que nos ocupan a efecto de un mejor proveer. </w:t>
      </w:r>
    </w:p>
    <w:p w:rsidR="00F22820" w:rsidRPr="006F1BBF" w:rsidRDefault="00F22820">
      <w:pPr>
        <w:spacing w:line="360" w:lineRule="auto"/>
        <w:ind w:right="-518"/>
        <w:jc w:val="both"/>
        <w:rPr>
          <w:rFonts w:ascii="Palatino Linotype" w:eastAsia="Palatino Linotype" w:hAnsi="Palatino Linotype" w:cs="Palatino Linotype"/>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El día </w:t>
      </w:r>
      <w:r w:rsidRPr="006F1BBF">
        <w:rPr>
          <w:rFonts w:ascii="Palatino Linotype" w:eastAsia="Palatino Linotype" w:hAnsi="Palatino Linotype" w:cs="Palatino Linotype"/>
          <w:b/>
          <w:bCs/>
          <w:color w:val="000000"/>
        </w:rPr>
        <w:t>cuatro de mayo de dos mil veintiséis</w:t>
      </w:r>
      <w:r w:rsidRPr="006F1BBF">
        <w:rPr>
          <w:rFonts w:ascii="Palatino Linotype" w:eastAsia="Palatino Linotype" w:hAnsi="Palatino Linotype" w:cs="Palatino Linotype"/>
          <w:color w:val="000000"/>
        </w:rPr>
        <w:t xml:space="preserve">, la Comisionada Ponente decretó el </w:t>
      </w:r>
      <w:r w:rsidRPr="006F1BBF">
        <w:rPr>
          <w:rFonts w:ascii="Palatino Linotype" w:eastAsia="Palatino Linotype" w:hAnsi="Palatino Linotype" w:cs="Palatino Linotype"/>
          <w:b/>
          <w:bCs/>
          <w:color w:val="000000"/>
        </w:rPr>
        <w:t>cierre del periodo de instrucción</w:t>
      </w:r>
      <w:r w:rsidRPr="006F1BBF">
        <w:rPr>
          <w:rFonts w:ascii="Palatino Linotype" w:eastAsia="Palatino Linotype" w:hAnsi="Palatino Linotype" w:cs="Palatino Linotype"/>
          <w:color w:val="000000"/>
        </w:rPr>
        <w:t xml:space="preserve"> del Recurso, ordenando turnar el expediente para su resolución, por lo que no más habiendo más que hacer constar, y </w:t>
      </w:r>
    </w:p>
    <w:p w:rsidR="00F22820" w:rsidRPr="006F1BBF" w:rsidRDefault="00F22820">
      <w:pPr>
        <w:pBdr>
          <w:top w:val="nil"/>
          <w:left w:val="nil"/>
          <w:bottom w:val="nil"/>
          <w:right w:val="nil"/>
          <w:between w:val="nil"/>
        </w:pBdr>
        <w:tabs>
          <w:tab w:val="left" w:pos="426"/>
        </w:tabs>
        <w:spacing w:line="360" w:lineRule="auto"/>
        <w:ind w:right="-518"/>
        <w:jc w:val="both"/>
        <w:rPr>
          <w:rFonts w:ascii="Palatino Linotype" w:eastAsia="Palatino Linotype" w:hAnsi="Palatino Linotype" w:cs="Palatino Linotype"/>
          <w:color w:val="000000"/>
        </w:rPr>
      </w:pPr>
    </w:p>
    <w:p w:rsidR="00F22820" w:rsidRPr="006F1BBF" w:rsidRDefault="002A78E6">
      <w:pPr>
        <w:pStyle w:val="Ttulo1"/>
        <w:spacing w:before="0" w:line="360" w:lineRule="auto"/>
        <w:ind w:right="-518"/>
        <w:jc w:val="center"/>
        <w:rPr>
          <w:b/>
          <w:bCs/>
          <w:color w:val="000000"/>
        </w:rPr>
      </w:pPr>
      <w:bookmarkStart w:id="3" w:name="_heading=h.qnobzjbo4bqb" w:colFirst="0" w:colLast="0"/>
      <w:bookmarkEnd w:id="3"/>
      <w:r w:rsidRPr="006F1BBF">
        <w:rPr>
          <w:b/>
          <w:bCs/>
          <w:color w:val="000000"/>
        </w:rPr>
        <w:t>C</w:t>
      </w:r>
      <w:r w:rsidR="006F1BBF">
        <w:rPr>
          <w:b/>
          <w:bCs/>
          <w:color w:val="000000"/>
        </w:rPr>
        <w:t xml:space="preserve"> </w:t>
      </w:r>
      <w:r w:rsidRPr="006F1BBF">
        <w:rPr>
          <w:b/>
          <w:bCs/>
          <w:color w:val="000000"/>
        </w:rPr>
        <w:t>O</w:t>
      </w:r>
      <w:r w:rsidR="006F1BBF">
        <w:rPr>
          <w:b/>
          <w:bCs/>
          <w:color w:val="000000"/>
        </w:rPr>
        <w:t xml:space="preserve"> </w:t>
      </w:r>
      <w:r w:rsidRPr="006F1BBF">
        <w:rPr>
          <w:b/>
          <w:bCs/>
          <w:color w:val="000000"/>
        </w:rPr>
        <w:t>N</w:t>
      </w:r>
      <w:r w:rsidR="006F1BBF">
        <w:rPr>
          <w:b/>
          <w:bCs/>
          <w:color w:val="000000"/>
        </w:rPr>
        <w:t xml:space="preserve"> </w:t>
      </w:r>
      <w:r w:rsidRPr="006F1BBF">
        <w:rPr>
          <w:b/>
          <w:bCs/>
          <w:color w:val="000000"/>
        </w:rPr>
        <w:t>S</w:t>
      </w:r>
      <w:r w:rsidR="006F1BBF">
        <w:rPr>
          <w:b/>
          <w:bCs/>
          <w:color w:val="000000"/>
        </w:rPr>
        <w:t xml:space="preserve"> </w:t>
      </w:r>
      <w:r w:rsidRPr="006F1BBF">
        <w:rPr>
          <w:b/>
          <w:bCs/>
          <w:color w:val="000000"/>
        </w:rPr>
        <w:t>I</w:t>
      </w:r>
      <w:r w:rsidR="006F1BBF">
        <w:rPr>
          <w:b/>
          <w:bCs/>
          <w:color w:val="000000"/>
        </w:rPr>
        <w:t xml:space="preserve"> </w:t>
      </w:r>
      <w:r w:rsidRPr="006F1BBF">
        <w:rPr>
          <w:b/>
          <w:bCs/>
          <w:color w:val="000000"/>
        </w:rPr>
        <w:t>D</w:t>
      </w:r>
      <w:r w:rsidR="006F1BBF">
        <w:rPr>
          <w:b/>
          <w:bCs/>
          <w:color w:val="000000"/>
        </w:rPr>
        <w:t xml:space="preserve"> </w:t>
      </w:r>
      <w:r w:rsidRPr="006F1BBF">
        <w:rPr>
          <w:b/>
          <w:bCs/>
          <w:color w:val="000000"/>
        </w:rPr>
        <w:t>E</w:t>
      </w:r>
      <w:r w:rsidR="006F1BBF">
        <w:rPr>
          <w:b/>
          <w:bCs/>
          <w:color w:val="000000"/>
        </w:rPr>
        <w:t xml:space="preserve"> </w:t>
      </w:r>
      <w:r w:rsidRPr="006F1BBF">
        <w:rPr>
          <w:b/>
          <w:bCs/>
          <w:color w:val="000000"/>
        </w:rPr>
        <w:t>R</w:t>
      </w:r>
      <w:r w:rsidR="006F1BBF">
        <w:rPr>
          <w:b/>
          <w:bCs/>
          <w:color w:val="000000"/>
        </w:rPr>
        <w:t xml:space="preserve"> </w:t>
      </w:r>
      <w:r w:rsidRPr="006F1BBF">
        <w:rPr>
          <w:b/>
          <w:bCs/>
          <w:color w:val="000000"/>
        </w:rPr>
        <w:t>A</w:t>
      </w:r>
      <w:r w:rsidR="006F1BBF">
        <w:rPr>
          <w:b/>
          <w:bCs/>
          <w:color w:val="000000"/>
        </w:rPr>
        <w:t xml:space="preserve"> </w:t>
      </w:r>
      <w:r w:rsidRPr="006F1BBF">
        <w:rPr>
          <w:b/>
          <w:bCs/>
          <w:color w:val="000000"/>
        </w:rPr>
        <w:t>N</w:t>
      </w:r>
      <w:r w:rsidR="006F1BBF">
        <w:rPr>
          <w:b/>
          <w:bCs/>
          <w:color w:val="000000"/>
        </w:rPr>
        <w:t xml:space="preserve"> </w:t>
      </w:r>
      <w:r w:rsidRPr="006F1BBF">
        <w:rPr>
          <w:b/>
          <w:bCs/>
          <w:color w:val="000000"/>
        </w:rPr>
        <w:t>D</w:t>
      </w:r>
      <w:r w:rsidR="006F1BBF">
        <w:rPr>
          <w:b/>
          <w:bCs/>
          <w:color w:val="000000"/>
        </w:rPr>
        <w:t xml:space="preserve"> </w:t>
      </w:r>
      <w:r w:rsidRPr="006F1BBF">
        <w:rPr>
          <w:b/>
          <w:bCs/>
          <w:color w:val="000000"/>
        </w:rPr>
        <w:t>O</w:t>
      </w:r>
    </w:p>
    <w:p w:rsidR="00F22820" w:rsidRPr="006F1BBF" w:rsidRDefault="00F22820">
      <w:pPr>
        <w:spacing w:line="360" w:lineRule="auto"/>
        <w:ind w:right="-518"/>
        <w:rPr>
          <w:rFonts w:ascii="Palatino Linotype" w:eastAsia="Palatino Linotype" w:hAnsi="Palatino Linotype" w:cs="Palatino Linotype"/>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color w:val="000000"/>
        </w:rPr>
      </w:pPr>
      <w:bookmarkStart w:id="4" w:name="_heading=h.j6uygzcncq9v" w:colFirst="0" w:colLast="0"/>
      <w:bookmarkEnd w:id="4"/>
      <w:r w:rsidRPr="006F1BBF">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F22820" w:rsidRPr="006F1BBF" w:rsidRDefault="00F2282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22820" w:rsidRPr="006F1BBF" w:rsidRDefault="002A78E6">
      <w:pPr>
        <w:pStyle w:val="Ttulo2"/>
        <w:spacing w:before="0" w:line="360" w:lineRule="auto"/>
        <w:rPr>
          <w:rFonts w:ascii="Palatino Linotype" w:eastAsia="Palatino Linotype" w:hAnsi="Palatino Linotype" w:cs="Palatino Linotype"/>
          <w:b/>
          <w:bCs/>
          <w:color w:val="000000"/>
          <w:sz w:val="24"/>
          <w:szCs w:val="24"/>
        </w:rPr>
      </w:pPr>
      <w:bookmarkStart w:id="5" w:name="_heading=h.yxepb6g6s82q" w:colFirst="0" w:colLast="0"/>
      <w:bookmarkEnd w:id="5"/>
      <w:r w:rsidRPr="006F1BBF">
        <w:rPr>
          <w:rFonts w:ascii="Palatino Linotype" w:eastAsia="Palatino Linotype" w:hAnsi="Palatino Linotype" w:cs="Palatino Linotype"/>
          <w:b/>
          <w:bCs/>
          <w:color w:val="000000"/>
          <w:sz w:val="24"/>
          <w:szCs w:val="24"/>
        </w:rPr>
        <w:lastRenderedPageBreak/>
        <w:t>SEGUNDO. De la oportunidad y procedencia.</w:t>
      </w:r>
    </w:p>
    <w:p w:rsidR="00F22820" w:rsidRPr="006F1BBF" w:rsidRDefault="002A78E6">
      <w:pPr>
        <w:numPr>
          <w:ilvl w:val="0"/>
          <w:numId w:val="1"/>
        </w:numP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Los medios de impugnación fue presentados a través del </w:t>
      </w:r>
      <w:r w:rsidRPr="006F1BBF">
        <w:rPr>
          <w:rFonts w:ascii="Palatino Linotype" w:eastAsia="Palatino Linotype" w:hAnsi="Palatino Linotype" w:cs="Palatino Linotype"/>
          <w:b/>
          <w:bCs/>
          <w:color w:val="000000"/>
        </w:rPr>
        <w:t>SAIMEX,</w:t>
      </w:r>
      <w:r w:rsidRPr="006F1BBF">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6F1BBF">
        <w:rPr>
          <w:rFonts w:ascii="Palatino Linotype" w:eastAsia="Palatino Linotype" w:hAnsi="Palatino Linotype" w:cs="Palatino Linotype"/>
          <w:b/>
          <w:bCs/>
          <w:color w:val="000000"/>
        </w:rPr>
        <w:t>SUJETO OBLIGADO</w:t>
      </w:r>
      <w:r w:rsidRPr="006F1BBF">
        <w:rPr>
          <w:rFonts w:ascii="Palatino Linotype" w:eastAsia="Palatino Linotype" w:hAnsi="Palatino Linotype" w:cs="Palatino Linotype"/>
          <w:color w:val="000000"/>
        </w:rPr>
        <w:t xml:space="preserve"> entregó su respuesta el </w:t>
      </w:r>
      <w:r w:rsidRPr="006F1BBF">
        <w:rPr>
          <w:rFonts w:ascii="Palatino Linotype" w:eastAsia="Palatino Linotype" w:hAnsi="Palatino Linotype" w:cs="Palatino Linotype"/>
          <w:b/>
          <w:bCs/>
          <w:color w:val="000000"/>
        </w:rPr>
        <w:t>tres al veinticuatro de febrero de dos mil veintiséis</w:t>
      </w:r>
      <w:r w:rsidRPr="006F1BBF">
        <w:rPr>
          <w:rFonts w:ascii="Palatino Linotype" w:eastAsia="Palatino Linotype" w:hAnsi="Palatino Linotype" w:cs="Palatino Linotype"/>
          <w:color w:val="000000"/>
        </w:rPr>
        <w:t xml:space="preserve">, de tal forma que el plazo para interponer el recurso de revisión transcurrió del </w:t>
      </w:r>
      <w:r w:rsidRPr="006F1BBF">
        <w:rPr>
          <w:rFonts w:ascii="Palatino Linotype" w:eastAsia="Palatino Linotype" w:hAnsi="Palatino Linotype" w:cs="Palatino Linotype"/>
          <w:b/>
          <w:bCs/>
          <w:color w:val="000000"/>
        </w:rPr>
        <w:t>cuatro de febrero al ,</w:t>
      </w:r>
      <w:r w:rsidRPr="006F1BBF">
        <w:rPr>
          <w:rFonts w:ascii="Palatino Linotype" w:eastAsia="Palatino Linotype" w:hAnsi="Palatino Linotype" w:cs="Palatino Linotype"/>
          <w:color w:val="000000"/>
        </w:rPr>
        <w:t xml:space="preserve"> en consecuencia, el ahora </w:t>
      </w:r>
      <w:r w:rsidRPr="006F1BBF">
        <w:rPr>
          <w:rFonts w:ascii="Palatino Linotype" w:eastAsia="Palatino Linotype" w:hAnsi="Palatino Linotype" w:cs="Palatino Linotype"/>
          <w:b/>
          <w:bCs/>
          <w:color w:val="000000"/>
        </w:rPr>
        <w:t>RECURRENTE</w:t>
      </w:r>
      <w:r w:rsidRPr="006F1BBF">
        <w:rPr>
          <w:rFonts w:ascii="Palatino Linotype" w:eastAsia="Palatino Linotype" w:hAnsi="Palatino Linotype" w:cs="Palatino Linotype"/>
          <w:color w:val="000000"/>
        </w:rPr>
        <w:t xml:space="preserve"> presentó su inconformidad el </w:t>
      </w:r>
      <w:r w:rsidRPr="006F1BBF">
        <w:rPr>
          <w:rFonts w:ascii="Palatino Linotype" w:eastAsia="Palatino Linotype" w:hAnsi="Palatino Linotype" w:cs="Palatino Linotype"/>
          <w:b/>
          <w:bCs/>
          <w:color w:val="000000"/>
        </w:rPr>
        <w:t>once de febrero de dos mil veintiséis</w:t>
      </w:r>
      <w:r w:rsidRPr="006F1BBF">
        <w:rPr>
          <w:rFonts w:ascii="Palatino Linotype" w:eastAsia="Palatino Linotype" w:hAnsi="Palatino Linotype" w:cs="Palatino Linotype"/>
          <w:color w:val="000000"/>
        </w:rPr>
        <w:t>, por lo que se estima que los mismos se presentaron dentro del lapso legalmente establecido para tal efecto.</w:t>
      </w:r>
    </w:p>
    <w:p w:rsidR="00F22820" w:rsidRPr="006F1BBF" w:rsidRDefault="00F2282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bookmarkStart w:id="6" w:name="_heading=h.eyseha2nnyzo" w:colFirst="0" w:colLast="0"/>
      <w:bookmarkEnd w:id="6"/>
      <w:r w:rsidRPr="006F1BBF">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pStyle w:val="Ttulo1"/>
        <w:ind w:right="-518"/>
        <w:rPr>
          <w:b/>
          <w:bCs/>
          <w:color w:val="000000"/>
        </w:rPr>
      </w:pPr>
      <w:r w:rsidRPr="006F1BBF">
        <w:rPr>
          <w:b/>
          <w:bCs/>
          <w:color w:val="000000"/>
        </w:rPr>
        <w:t xml:space="preserve">TERCERO. Planteamiento de la Litis </w:t>
      </w:r>
    </w:p>
    <w:p w:rsidR="00F22820" w:rsidRPr="006F1BBF" w:rsidRDefault="00F22820"/>
    <w:p w:rsidR="00F22820" w:rsidRPr="006F1BBF" w:rsidRDefault="002A78E6">
      <w:pPr>
        <w:numPr>
          <w:ilvl w:val="0"/>
          <w:numId w:val="1"/>
        </w:numP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El recurrente solicitó la siguiente información:</w:t>
      </w:r>
    </w:p>
    <w:p w:rsidR="00F22820" w:rsidRPr="006F1BBF" w:rsidRDefault="002A78E6">
      <w:pPr>
        <w:numPr>
          <w:ilvl w:val="0"/>
          <w:numId w:val="4"/>
        </w:numPr>
        <w:pBdr>
          <w:top w:val="nil"/>
          <w:left w:val="nil"/>
          <w:bottom w:val="nil"/>
          <w:right w:val="nil"/>
          <w:between w:val="nil"/>
        </w:pBdr>
        <w:spacing w:line="276" w:lineRule="auto"/>
        <w:ind w:right="191"/>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rPr>
        <w:t>O</w:t>
      </w:r>
      <w:r w:rsidRPr="006F1BBF">
        <w:rPr>
          <w:rFonts w:ascii="Palatino Linotype" w:eastAsia="Palatino Linotype" w:hAnsi="Palatino Linotype" w:cs="Palatino Linotype"/>
          <w:color w:val="000000"/>
        </w:rPr>
        <w:t>ficios que se recibieron y lo que se emitieron en el mes de abril y octubre del año dos mil veinticinco en Receptoría Juvenil Regional de Reintegración Social.</w:t>
      </w:r>
    </w:p>
    <w:p w:rsidR="00F22820" w:rsidRPr="006F1BBF" w:rsidRDefault="00F22820">
      <w:pPr>
        <w:pBdr>
          <w:top w:val="nil"/>
          <w:left w:val="nil"/>
          <w:bottom w:val="nil"/>
          <w:right w:val="nil"/>
          <w:between w:val="nil"/>
        </w:pBdr>
        <w:spacing w:line="360" w:lineRule="auto"/>
        <w:ind w:left="720" w:right="-518"/>
        <w:jc w:val="both"/>
        <w:rPr>
          <w:rFonts w:ascii="Palatino Linotype" w:eastAsia="Palatino Linotype" w:hAnsi="Palatino Linotype" w:cs="Palatino Linotype"/>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b/>
          <w:bCs/>
          <w:color w:val="000000"/>
        </w:rPr>
      </w:pPr>
      <w:r w:rsidRPr="006F1BBF">
        <w:rPr>
          <w:rFonts w:ascii="Palatino Linotype" w:eastAsia="Palatino Linotype" w:hAnsi="Palatino Linotype" w:cs="Palatino Linotype"/>
          <w:color w:val="000000"/>
        </w:rPr>
        <w:t xml:space="preserve">El </w:t>
      </w:r>
      <w:r w:rsidRPr="006F1BBF">
        <w:rPr>
          <w:rFonts w:ascii="Palatino Linotype" w:eastAsia="Palatino Linotype" w:hAnsi="Palatino Linotype" w:cs="Palatino Linotype"/>
          <w:b/>
          <w:bCs/>
          <w:color w:val="000000"/>
        </w:rPr>
        <w:t xml:space="preserve">SUJETO OBLIGADO, </w:t>
      </w:r>
      <w:r w:rsidRPr="006F1BBF">
        <w:rPr>
          <w:rFonts w:ascii="Palatino Linotype" w:eastAsia="Palatino Linotype" w:hAnsi="Palatino Linotype" w:cs="Palatino Linotype"/>
        </w:rPr>
        <w:t>informó</w:t>
      </w:r>
      <w:r w:rsidRPr="006F1BBF">
        <w:rPr>
          <w:rFonts w:ascii="Palatino Linotype" w:eastAsia="Palatino Linotype" w:hAnsi="Palatino Linotype" w:cs="Palatino Linotype"/>
          <w:color w:val="000000"/>
        </w:rPr>
        <w:t xml:space="preserve"> a través de la Consejería Jurídica que lo solicitado no forma parte de sus funciones, atribuciones y competencias.</w:t>
      </w:r>
    </w:p>
    <w:p w:rsidR="00F22820" w:rsidRPr="006F1BBF" w:rsidRDefault="00F22820">
      <w:pPr>
        <w:pBdr>
          <w:top w:val="nil"/>
          <w:left w:val="nil"/>
          <w:bottom w:val="nil"/>
          <w:right w:val="nil"/>
          <w:between w:val="nil"/>
        </w:pBdr>
        <w:spacing w:line="360" w:lineRule="auto"/>
        <w:ind w:right="-518"/>
        <w:jc w:val="both"/>
        <w:rPr>
          <w:rFonts w:ascii="Palatino Linotype" w:eastAsia="Palatino Linotype" w:hAnsi="Palatino Linotype" w:cs="Palatino Linotype"/>
          <w:b/>
          <w:bCs/>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b/>
          <w:bCs/>
          <w:color w:val="000000"/>
        </w:rPr>
      </w:pPr>
      <w:r w:rsidRPr="006F1BBF">
        <w:rPr>
          <w:rFonts w:ascii="Palatino Linotype" w:eastAsia="Palatino Linotype" w:hAnsi="Palatino Linotype" w:cs="Palatino Linotype"/>
          <w:color w:val="000000"/>
        </w:rPr>
        <w:lastRenderedPageBreak/>
        <w:t xml:space="preserve">Inconforme con la respuesta proporcionada, el </w:t>
      </w:r>
      <w:r w:rsidRPr="006F1BBF">
        <w:rPr>
          <w:rFonts w:ascii="Palatino Linotype" w:eastAsia="Palatino Linotype" w:hAnsi="Palatino Linotype" w:cs="Palatino Linotype"/>
          <w:b/>
          <w:bCs/>
          <w:color w:val="000000"/>
        </w:rPr>
        <w:t xml:space="preserve">SUJETO OBLIGADO, </w:t>
      </w:r>
      <w:r w:rsidRPr="006F1BBF">
        <w:rPr>
          <w:rFonts w:ascii="Palatino Linotype" w:eastAsia="Palatino Linotype" w:hAnsi="Palatino Linotype" w:cs="Palatino Linotype"/>
          <w:color w:val="000000"/>
        </w:rPr>
        <w:t>interpuso los recursos de revisión arguyendo medularmente la negativa de la información solicitada.</w:t>
      </w:r>
    </w:p>
    <w:p w:rsidR="00F22820" w:rsidRPr="006F1BBF" w:rsidRDefault="00F22820">
      <w:pPr>
        <w:tabs>
          <w:tab w:val="left" w:pos="284"/>
        </w:tabs>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Por lo tanto, los presentes recursos de revisión se circunscriben en determinar si se actualiza las causales de procedencia</w:t>
      </w:r>
      <w:r w:rsidRP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rPr>
        <w:t xml:space="preserve">contenidas en el artículo 179 fracción I, relativa a la negativa a la información solicitada, de la </w:t>
      </w:r>
      <w:r w:rsidRPr="006F1BBF">
        <w:rPr>
          <w:rFonts w:ascii="Palatino Linotype" w:eastAsia="Palatino Linotype" w:hAnsi="Palatino Linotype" w:cs="Palatino Linotype"/>
          <w:b/>
          <w:bCs/>
        </w:rPr>
        <w:t>Ley de Transparencia y Acceso a la Información Pública del Estado de México y Municipios</w:t>
      </w:r>
      <w:r w:rsidRPr="006F1BBF">
        <w:rPr>
          <w:rFonts w:ascii="Palatino Linotype" w:eastAsia="Palatino Linotype" w:hAnsi="Palatino Linotype" w:cs="Palatino Linotype"/>
        </w:rPr>
        <w:t>.</w:t>
      </w:r>
    </w:p>
    <w:p w:rsidR="00F22820" w:rsidRPr="006F1BBF" w:rsidRDefault="00F22820">
      <w:pPr>
        <w:tabs>
          <w:tab w:val="left" w:pos="426"/>
        </w:tabs>
        <w:spacing w:line="360" w:lineRule="auto"/>
        <w:ind w:left="567" w:right="-518"/>
        <w:jc w:val="both"/>
        <w:rPr>
          <w:rFonts w:ascii="Palatino Linotype" w:eastAsia="Palatino Linotype" w:hAnsi="Palatino Linotype" w:cs="Palatino Linotype"/>
          <w:i/>
          <w:iCs/>
          <w:color w:val="000000"/>
        </w:rPr>
      </w:pPr>
    </w:p>
    <w:p w:rsidR="00F22820" w:rsidRPr="006F1BBF" w:rsidRDefault="002A78E6">
      <w:pPr>
        <w:pStyle w:val="Ttulo2"/>
        <w:tabs>
          <w:tab w:val="left" w:pos="426"/>
        </w:tabs>
        <w:spacing w:line="360" w:lineRule="auto"/>
        <w:ind w:right="-518"/>
        <w:rPr>
          <w:rFonts w:ascii="Palatino Linotype" w:eastAsia="Palatino Linotype" w:hAnsi="Palatino Linotype" w:cs="Palatino Linotype"/>
          <w:b/>
          <w:bCs/>
          <w:color w:val="000000"/>
          <w:sz w:val="24"/>
          <w:szCs w:val="24"/>
        </w:rPr>
      </w:pPr>
      <w:r w:rsidRPr="006F1BBF">
        <w:rPr>
          <w:rFonts w:ascii="Palatino Linotype" w:eastAsia="Palatino Linotype" w:hAnsi="Palatino Linotype" w:cs="Palatino Linotype"/>
          <w:b/>
          <w:bCs/>
          <w:color w:val="000000"/>
          <w:sz w:val="24"/>
          <w:szCs w:val="24"/>
        </w:rPr>
        <w:t>CUARTO. Estudio y Resolución del asunto.</w:t>
      </w: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sidRPr="006F1BBF">
        <w:rPr>
          <w:rFonts w:ascii="Palatino Linotype" w:eastAsia="Palatino Linotype" w:hAnsi="Palatino Linotype" w:cs="Palatino Linotype"/>
          <w:b/>
          <w:bCs/>
          <w:color w:val="000000"/>
        </w:rPr>
        <w:t>SUJETO OBLIGADO</w:t>
      </w:r>
      <w:r w:rsidRPr="006F1BBF">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6F1BBF">
        <w:rPr>
          <w:rFonts w:ascii="Palatino Linotype" w:eastAsia="Palatino Linotype" w:hAnsi="Palatino Linotype" w:cs="Palatino Linotype"/>
          <w:b/>
          <w:bCs/>
          <w:color w:val="000000"/>
        </w:rPr>
        <w:t xml:space="preserve">Constitución Política de los Estados Unidos Mexicanos </w:t>
      </w:r>
      <w:r w:rsidRPr="006F1BBF">
        <w:rPr>
          <w:rFonts w:ascii="Palatino Linotype" w:eastAsia="Palatino Linotype" w:hAnsi="Palatino Linotype" w:cs="Palatino Linotype"/>
          <w:color w:val="000000"/>
        </w:rPr>
        <w:t xml:space="preserve">al señalar la obligación de “promover, </w:t>
      </w:r>
      <w:r w:rsidRPr="006F1BBF">
        <w:rPr>
          <w:rFonts w:ascii="Palatino Linotype" w:eastAsia="Palatino Linotype" w:hAnsi="Palatino Linotype" w:cs="Palatino Linotype"/>
          <w:b/>
          <w:bCs/>
          <w:color w:val="000000"/>
        </w:rPr>
        <w:t>respetar</w:t>
      </w:r>
      <w:r w:rsidRPr="006F1BBF">
        <w:rPr>
          <w:rFonts w:ascii="Palatino Linotype" w:eastAsia="Palatino Linotype" w:hAnsi="Palatino Linotype" w:cs="Palatino Linotype"/>
          <w:color w:val="000000"/>
        </w:rPr>
        <w:t xml:space="preserve">, proteger y </w:t>
      </w:r>
      <w:r w:rsidRPr="006F1BBF">
        <w:rPr>
          <w:rFonts w:ascii="Palatino Linotype" w:eastAsia="Palatino Linotype" w:hAnsi="Palatino Linotype" w:cs="Palatino Linotype"/>
          <w:b/>
          <w:bCs/>
          <w:color w:val="000000"/>
        </w:rPr>
        <w:t>garantizar</w:t>
      </w:r>
      <w:r w:rsidRPr="006F1BBF">
        <w:rPr>
          <w:rFonts w:ascii="Palatino Linotype" w:eastAsia="Palatino Linotype" w:hAnsi="Palatino Linotype" w:cs="Palatino Linotype"/>
          <w:color w:val="000000"/>
        </w:rPr>
        <w:t xml:space="preserve"> los derechos humanos”, entre los cuales se encuentra dicho derecho. </w:t>
      </w:r>
    </w:p>
    <w:p w:rsidR="00F22820" w:rsidRPr="006F1BBF" w:rsidRDefault="00F22820">
      <w:pPr>
        <w:tabs>
          <w:tab w:val="left" w:pos="284"/>
        </w:tabs>
        <w:spacing w:line="360" w:lineRule="auto"/>
        <w:ind w:right="-518"/>
        <w:jc w:val="both"/>
        <w:rPr>
          <w:rFonts w:ascii="Palatino Linotype" w:eastAsia="Palatino Linotype" w:hAnsi="Palatino Linotype" w:cs="Palatino Linotype"/>
          <w:color w:val="00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Definiendo el Derecho de Acceso a la Información Pública como: </w:t>
      </w:r>
      <w:r w:rsidRPr="006F1BBF">
        <w:rPr>
          <w:rFonts w:ascii="Palatino Linotype" w:eastAsia="Palatino Linotype" w:hAnsi="Palatino Linotype" w:cs="Palatino Linotype"/>
          <w:i/>
          <w:iCs/>
          <w:color w:val="000000"/>
        </w:rPr>
        <w:t>La igualdad de oportunidades para recibir, buscar e impartir información</w:t>
      </w:r>
      <w:r w:rsidRPr="006F1BBF">
        <w:rPr>
          <w:rFonts w:ascii="Palatino Linotype" w:eastAsia="Palatino Linotype" w:hAnsi="Palatino Linotype" w:cs="Palatino Linotype"/>
          <w:i/>
          <w:iCs/>
          <w:color w:val="000000"/>
          <w:vertAlign w:val="superscript"/>
        </w:rPr>
        <w:footnoteReference w:id="1"/>
      </w:r>
      <w:r w:rsidRPr="006F1BBF">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w:t>
      </w:r>
      <w:r w:rsidRPr="006F1BBF">
        <w:rPr>
          <w:rFonts w:ascii="Palatino Linotype" w:eastAsia="Palatino Linotype" w:hAnsi="Palatino Linotype" w:cs="Palatino Linotype"/>
          <w:i/>
          <w:iCs/>
          <w:color w:val="000000"/>
        </w:rPr>
        <w:lastRenderedPageBreak/>
        <w:t>políticos, fideicomisos y fondos públicos, así como de cualquier persona física, moral o sindicato que reciba y ejerza recursos públicos o realice actos de autoridad en el ámbito federal, estatal y municipal,</w:t>
      </w:r>
      <w:r w:rsidRPr="006F1BBF">
        <w:rPr>
          <w:rFonts w:ascii="Palatino Linotype" w:eastAsia="Palatino Linotype" w:hAnsi="Palatino Linotype" w:cs="Palatino Linotype"/>
          <w:i/>
          <w:iCs/>
          <w:color w:val="000000"/>
          <w:vertAlign w:val="superscript"/>
        </w:rPr>
        <w:footnoteReference w:id="2"/>
      </w:r>
      <w:r w:rsidRPr="006F1BBF">
        <w:rPr>
          <w:rFonts w:ascii="Palatino Linotype" w:eastAsia="Palatino Linotype" w:hAnsi="Palatino Linotype" w:cs="Palatino Linotype"/>
          <w:color w:val="000000"/>
        </w:rPr>
        <w:t>que se constituye como una herramienta fundamental para ejercer</w:t>
      </w:r>
      <w:r w:rsidRPr="006F1BBF">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6F1BBF">
        <w:rPr>
          <w:rFonts w:ascii="Palatino Linotype" w:eastAsia="Palatino Linotype" w:hAnsi="Palatino Linotype" w:cs="Palatino Linotype"/>
          <w:i/>
          <w:iCs/>
          <w:color w:val="000000"/>
          <w:vertAlign w:val="superscript"/>
        </w:rPr>
        <w:footnoteReference w:id="3"/>
      </w:r>
      <w:r w:rsidRPr="006F1BBF">
        <w:rPr>
          <w:rFonts w:ascii="Palatino Linotype" w:eastAsia="Palatino Linotype" w:hAnsi="Palatino Linotype" w:cs="Palatino Linotype"/>
          <w:color w:val="000000"/>
        </w:rPr>
        <w:t>fomentando</w:t>
      </w:r>
      <w:r w:rsidRPr="006F1BBF">
        <w:rPr>
          <w:rFonts w:ascii="Palatino Linotype" w:eastAsia="Palatino Linotype" w:hAnsi="Palatino Linotype" w:cs="Palatino Linotype"/>
          <w:i/>
          <w:iCs/>
          <w:color w:val="000000"/>
        </w:rPr>
        <w:t xml:space="preserve"> la transparencia de las actividades estatales y </w:t>
      </w:r>
      <w:r w:rsidRPr="006F1BBF">
        <w:rPr>
          <w:rFonts w:ascii="Palatino Linotype" w:eastAsia="Palatino Linotype" w:hAnsi="Palatino Linotype" w:cs="Palatino Linotype"/>
          <w:color w:val="000000"/>
        </w:rPr>
        <w:t>promoviendo</w:t>
      </w:r>
      <w:r w:rsidRPr="006F1BBF">
        <w:rPr>
          <w:rFonts w:ascii="Palatino Linotype" w:eastAsia="Palatino Linotype" w:hAnsi="Palatino Linotype" w:cs="Palatino Linotype"/>
          <w:i/>
          <w:iCs/>
          <w:color w:val="000000"/>
        </w:rPr>
        <w:t xml:space="preserve"> la responsabilidad de los funcionarios sobre su gestión pública,</w:t>
      </w:r>
      <w:r w:rsidRPr="006F1BBF">
        <w:rPr>
          <w:rFonts w:ascii="Palatino Linotype" w:eastAsia="Palatino Linotype" w:hAnsi="Palatino Linotype" w:cs="Palatino Linotype"/>
          <w:i/>
          <w:iCs/>
          <w:color w:val="000000"/>
          <w:vertAlign w:val="superscript"/>
        </w:rPr>
        <w:footnoteReference w:id="4"/>
      </w:r>
      <w:r w:rsidRPr="006F1BBF">
        <w:rPr>
          <w:rFonts w:ascii="Palatino Linotype" w:eastAsia="Palatino Linotype" w:hAnsi="Palatino Linotype" w:cs="Palatino Linotype"/>
          <w:color w:val="000000"/>
        </w:rPr>
        <w:t>que permite</w:t>
      </w:r>
      <w:r w:rsidRPr="006F1BBF">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F22820" w:rsidRPr="006F1BBF" w:rsidRDefault="00F22820">
      <w:pPr>
        <w:tabs>
          <w:tab w:val="left" w:pos="284"/>
        </w:tabs>
        <w:spacing w:line="360" w:lineRule="auto"/>
        <w:ind w:right="-518"/>
        <w:jc w:val="both"/>
        <w:rPr>
          <w:rFonts w:ascii="Palatino Linotype" w:eastAsia="Palatino Linotype" w:hAnsi="Palatino Linotype" w:cs="Palatino Linotype"/>
          <w:i/>
          <w:iCs/>
          <w:color w:val="FF0000"/>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Es así que la </w:t>
      </w:r>
      <w:r w:rsidRPr="006F1BBF">
        <w:rPr>
          <w:rFonts w:ascii="Palatino Linotype" w:eastAsia="Palatino Linotype" w:hAnsi="Palatino Linotype" w:cs="Palatino Linotype"/>
          <w:b/>
          <w:bCs/>
        </w:rPr>
        <w:t xml:space="preserve">Ley de Transparencia y Acceso a la Información Pública del Estado de México y Municipios, </w:t>
      </w:r>
      <w:r w:rsidRPr="006F1BBF">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sidRP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rPr>
        <w:t xml:space="preserve">establece que </w:t>
      </w:r>
      <w:r w:rsidRPr="006F1BBF">
        <w:rPr>
          <w:rFonts w:ascii="Palatino Linotype" w:eastAsia="Palatino Linotype" w:hAnsi="Palatino Linotype" w:cs="Palatino Linotype"/>
          <w:b/>
          <w:bCs/>
          <w:i/>
          <w:iCs/>
          <w:u w:val="single"/>
        </w:rPr>
        <w:t>el recurso de revisión es la garantía secundaria</w:t>
      </w:r>
      <w:r w:rsidRPr="006F1BBF">
        <w:rPr>
          <w:rFonts w:ascii="Palatino Linotype" w:eastAsia="Palatino Linotype" w:hAnsi="Palatino Linotype" w:cs="Palatino Linotype"/>
          <w:b/>
          <w:bCs/>
          <w:i/>
          <w:iCs/>
        </w:rPr>
        <w:t xml:space="preserve"> mediante la cual se pretende reparar cualquier posible afectación al derecho de acceso a la información pública</w:t>
      </w:r>
      <w:r w:rsidRPr="006F1BBF">
        <w:rPr>
          <w:rFonts w:ascii="Palatino Linotype" w:eastAsia="Palatino Linotype" w:hAnsi="Palatino Linotype" w:cs="Palatino Linotype"/>
          <w:b/>
          <w:bCs/>
        </w:rPr>
        <w:t>, s</w:t>
      </w:r>
      <w:r w:rsidRPr="006F1BBF">
        <w:rPr>
          <w:rFonts w:ascii="Palatino Linotype" w:eastAsia="Palatino Linotype" w:hAnsi="Palatino Linotype" w:cs="Palatino Linotype"/>
        </w:rPr>
        <w:t xml:space="preserve">iendo éste el medio a través del </w:t>
      </w:r>
      <w:r w:rsidRPr="006F1BBF">
        <w:rPr>
          <w:rFonts w:ascii="Palatino Linotype" w:eastAsia="Palatino Linotype" w:hAnsi="Palatino Linotype" w:cs="Palatino Linotype"/>
        </w:rPr>
        <w:lastRenderedPageBreak/>
        <w:t xml:space="preserve">cual, este Órgano Garante después de realizar el análisis al procedimiento de acceso a la información, podrá determinar la posible afectación y de ser el caso ordenar la reparación a la violación del derecho en cuestión.  </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Ahora bien, respecto la fuente obligacional resulta procedente señalar que la administración pública municipal se auxiliará de una Secretaría del Ayuntamiento y de las siguientes dependencias, de conformidad con el artículo 90 del Bando Municipal de Toluca 2025: </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r w:rsidRPr="006F1BBF">
        <w:rPr>
          <w:rFonts w:ascii="Palatino Linotype" w:eastAsia="Palatino Linotype" w:hAnsi="Palatino Linotype" w:cs="Palatino Linotype"/>
          <w:b/>
          <w:bCs/>
          <w:i/>
          <w:iCs/>
        </w:rPr>
        <w:t xml:space="preserve">Artículo 90. </w:t>
      </w:r>
      <w:r w:rsidRPr="006F1BBF">
        <w:rPr>
          <w:rFonts w:ascii="Palatino Linotype" w:eastAsia="Palatino Linotype" w:hAnsi="Palatino Linotype" w:cs="Palatino Linotype"/>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F22820" w:rsidRPr="006F1BBF" w:rsidRDefault="00F22820">
      <w:pPr>
        <w:spacing w:line="276" w:lineRule="auto"/>
        <w:ind w:left="851" w:right="616"/>
        <w:jc w:val="both"/>
        <w:rPr>
          <w:rFonts w:ascii="Palatino Linotype" w:eastAsia="Palatino Linotype" w:hAnsi="Palatino Linotype" w:cs="Palatino Linotype"/>
          <w:i/>
          <w:iCs/>
        </w:rPr>
      </w:pP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I. DEPENDENCIAS:</w:t>
      </w:r>
    </w:p>
    <w:p w:rsidR="00F22820" w:rsidRPr="006F1BBF" w:rsidRDefault="002A78E6">
      <w:pPr>
        <w:spacing w:line="276" w:lineRule="auto"/>
        <w:ind w:left="851" w:right="616"/>
        <w:jc w:val="both"/>
        <w:rPr>
          <w:rFonts w:ascii="Palatino Linotype" w:eastAsia="Palatino Linotype" w:hAnsi="Palatino Linotype" w:cs="Palatino Linotype"/>
          <w:b/>
          <w:bCs/>
          <w:i/>
          <w:iCs/>
          <w:u w:val="single"/>
        </w:rPr>
      </w:pPr>
      <w:r w:rsidRPr="006F1BBF">
        <w:rPr>
          <w:rFonts w:ascii="Palatino Linotype" w:eastAsia="Palatino Linotype" w:hAnsi="Palatino Linotype" w:cs="Palatino Linotype"/>
          <w:b/>
          <w:bCs/>
          <w:i/>
          <w:iCs/>
          <w:u w:val="single"/>
        </w:rPr>
        <w:t>1. Secretaría del Ayuntamiento;</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2. Tesorería Municipal;</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3.Órgano Interno de Control;</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4. Dirección General de Gobierno;</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5. Dirección General de Seguridad y Protección;</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6. Dirección General de Administración;</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7. Dirección General de Medio Ambiente;</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8. Dirección General de Servicios Públicos;</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9. Dirección General de Innovación, Planeación y Gestión Urbana;</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10. Dirección General de Obras Públicas;</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11. Dirección General de Desarrollo Económico;</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12. Dirección General de Bienestar; y</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lastRenderedPageBreak/>
        <w:t>13. Dirección General de Educación, Cultura y Turismo.</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Del precepto citado se advierte que en efecto el Ayuntamiento de Toluca cuenta con una Secretaría del Ayuntamiento, misma que de conformidad con los artículos 3.13 y 3.14 del Código Reglamentario de Toluca, disponen a la literalidad lo siguiente:</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r w:rsidRPr="006F1BBF">
        <w:rPr>
          <w:rFonts w:ascii="Palatino Linotype" w:eastAsia="Palatino Linotype" w:hAnsi="Palatino Linotype" w:cs="Palatino Linotype"/>
          <w:b/>
          <w:bCs/>
          <w:i/>
          <w:iCs/>
        </w:rPr>
        <w:t>Artículo 3.13. A la o el titular de la Secretaría del Ayuntamiento le corresponde</w:t>
      </w:r>
      <w:r w:rsidRPr="006F1BBF">
        <w:rPr>
          <w:rFonts w:ascii="Palatino Linotype" w:eastAsia="Palatino Linotype" w:hAnsi="Palatino Linotype" w:cs="Palatino Linotype"/>
          <w:i/>
          <w:iCs/>
        </w:rPr>
        <w:t>, además de las atribuciones que le confiere la Ley Orgánica Municipal del Estado de México, el despacho de los siguientes asuntos:</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p>
    <w:p w:rsidR="00F22820" w:rsidRPr="006F1BBF" w:rsidRDefault="002A78E6">
      <w:pPr>
        <w:spacing w:line="276" w:lineRule="auto"/>
        <w:ind w:left="851" w:right="616"/>
        <w:jc w:val="both"/>
        <w:rPr>
          <w:rFonts w:ascii="Palatino Linotype" w:eastAsia="Palatino Linotype" w:hAnsi="Palatino Linotype" w:cs="Palatino Linotype"/>
          <w:b/>
          <w:bCs/>
          <w:i/>
          <w:iCs/>
          <w:u w:val="single"/>
        </w:rPr>
      </w:pPr>
      <w:r w:rsidRPr="006F1BBF">
        <w:rPr>
          <w:rFonts w:ascii="Palatino Linotype" w:eastAsia="Palatino Linotype" w:hAnsi="Palatino Linotype" w:cs="Palatino Linotype"/>
          <w:b/>
          <w:bCs/>
          <w:i/>
          <w:iCs/>
          <w:u w:val="single"/>
        </w:rPr>
        <w:t>XIII. Operar la Preceptoría Juvenil Regional de Reintegración Social de Toluca;</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b/>
          <w:bCs/>
          <w:i/>
          <w:iCs/>
        </w:rPr>
        <w:t>Artículo 3.14.</w:t>
      </w:r>
      <w:r w:rsidRPr="006F1BBF">
        <w:rPr>
          <w:rFonts w:ascii="Palatino Linotype" w:eastAsia="Palatino Linotype" w:hAnsi="Palatino Linotype" w:cs="Palatino Linotype"/>
          <w:i/>
          <w:iCs/>
        </w:rPr>
        <w:t xml:space="preserve"> La Secretaría del Ayuntamiento, para el cumplimiento de sus atribuciones, </w:t>
      </w:r>
      <w:r w:rsidRPr="006F1BBF">
        <w:rPr>
          <w:rFonts w:ascii="Palatino Linotype" w:eastAsia="Palatino Linotype" w:hAnsi="Palatino Linotype" w:cs="Palatino Linotype"/>
          <w:b/>
          <w:bCs/>
          <w:i/>
          <w:iCs/>
        </w:rPr>
        <w:t xml:space="preserve">se auxiliará de una </w:t>
      </w:r>
      <w:r w:rsidRPr="006F1BBF">
        <w:rPr>
          <w:rFonts w:ascii="Palatino Linotype" w:eastAsia="Palatino Linotype" w:hAnsi="Palatino Linotype" w:cs="Palatino Linotype"/>
          <w:i/>
          <w:iCs/>
        </w:rPr>
        <w:t xml:space="preserve">Coordinación de Apoyo Técnico; una Delegación Administrativa; una Coordinación de Apoyo al Sistema Municipal Anticorrupción; una Consejería Jurídica; un Coordinación de Apoyo a Cabildo; un Departamento de Patrimonio Municipal; un Departamento de Constancias de Vecindad y Certificaciones; una </w:t>
      </w:r>
      <w:r w:rsidRPr="006F1BBF">
        <w:rPr>
          <w:rFonts w:ascii="Palatino Linotype" w:eastAsia="Palatino Linotype" w:hAnsi="Palatino Linotype" w:cs="Palatino Linotype"/>
          <w:b/>
          <w:bCs/>
          <w:i/>
          <w:iCs/>
        </w:rPr>
        <w:t>Preceptoría Juvenil Regional de Reintegración Social</w:t>
      </w:r>
      <w:r w:rsidRPr="006F1BBF">
        <w:rPr>
          <w:rFonts w:ascii="Palatino Linotype" w:eastAsia="Palatino Linotype" w:hAnsi="Palatino Linotype" w:cs="Palatino Linotype"/>
          <w:i/>
          <w:iCs/>
        </w:rPr>
        <w:t>; una Unidad de Transparencia; una Coordinación de Atención Ciudadana y Correspondencia; una Coordinación de Protección Civil y Bomberos y las demás Unidades Administrativas necesarias para el cumplimiento de sus atribuciones” (Sic)</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De la normatividad plasmada con anterioridad se desprende que el Ayuntamiento cuenta con una Preceptoría Juvenil Regional de Reintegración Social, Unidad Administrativa Responsable del Seguimiento y Supervisión de Medidas Cautelares Distintas a la Prisión Preventiva y de Suspensión Condicional del Proceso, así como de las Medidas de Sanción no </w:t>
      </w:r>
      <w:r w:rsidRPr="006F1BBF">
        <w:rPr>
          <w:rFonts w:ascii="Palatino Linotype" w:eastAsia="Palatino Linotype" w:hAnsi="Palatino Linotype" w:cs="Palatino Linotype"/>
        </w:rPr>
        <w:lastRenderedPageBreak/>
        <w:t>Privativas de la Libertad, lo anterior con la finalidad de lograr la reintegración y reinserción de la persona adolescente.</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También, son encargadas de desarrollar el Programa de Prevención de la Antisocialidad, que tiene como prioridad atender a las personas adolescentes y adultas jóvenes en condiciones de riesgo y propensos a la comisión de conductas antisociales y/o delitos. </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Por consiguiente,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r w:rsidRPr="006F1BBF">
        <w:rPr>
          <w:rFonts w:ascii="Palatino Linotype" w:eastAsia="Palatino Linotype" w:hAnsi="Palatino Linotype" w:cs="Palatino Linotype"/>
          <w:b/>
          <w:bCs/>
          <w:i/>
          <w:iCs/>
        </w:rPr>
        <w:t>Artículo 18. Los sujetos obligados deberán documentar todo acto que derive del ejercicio de sus facultades, competencias o funciones</w:t>
      </w:r>
      <w:r w:rsidRPr="006F1BBF">
        <w:rPr>
          <w:rFonts w:ascii="Palatino Linotype" w:eastAsia="Palatino Linotype" w:hAnsi="Palatino Linotype" w:cs="Palatino Linotype"/>
          <w:i/>
          <w:iCs/>
        </w:rPr>
        <w:t xml:space="preserve">, considerando desde su origen la eventual publicidad y reutilización de la información que generen. </w:t>
      </w:r>
    </w:p>
    <w:p w:rsidR="00F22820" w:rsidRPr="006F1BBF" w:rsidRDefault="00F22820">
      <w:pPr>
        <w:spacing w:line="276" w:lineRule="auto"/>
        <w:ind w:left="851" w:right="616"/>
        <w:jc w:val="both"/>
        <w:rPr>
          <w:rFonts w:ascii="Palatino Linotype" w:eastAsia="Palatino Linotype" w:hAnsi="Palatino Linotype" w:cs="Palatino Linotype"/>
          <w:i/>
          <w:iCs/>
        </w:rPr>
      </w:pP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b/>
          <w:bCs/>
          <w:i/>
          <w:iCs/>
        </w:rPr>
        <w:t>Artículo 19.</w:t>
      </w:r>
      <w:r w:rsidRPr="006F1BBF">
        <w:rPr>
          <w:rFonts w:ascii="Palatino Linotype" w:eastAsia="Palatino Linotype" w:hAnsi="Palatino Linotype" w:cs="Palatino Linotype"/>
          <w:i/>
          <w:iCs/>
        </w:rPr>
        <w:t xml:space="preserve"> Se presume que la información debe existir si se refiere a las facultades, competencias y funciones que los ordenamientos jurídicos aplicables otorgan a los sujetos obligados. </w:t>
      </w:r>
    </w:p>
    <w:p w:rsidR="00F22820" w:rsidRPr="006F1BBF" w:rsidRDefault="00F22820">
      <w:pPr>
        <w:spacing w:line="276" w:lineRule="auto"/>
        <w:ind w:left="851" w:right="616"/>
        <w:jc w:val="both"/>
        <w:rPr>
          <w:rFonts w:ascii="Palatino Linotype" w:eastAsia="Palatino Linotype" w:hAnsi="Palatino Linotype" w:cs="Palatino Linotype"/>
          <w:i/>
          <w:iCs/>
        </w:rPr>
      </w:pPr>
    </w:p>
    <w:p w:rsidR="00F22820" w:rsidRPr="006F1BBF" w:rsidRDefault="002A78E6">
      <w:pPr>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En los casos en que ciertas facultades, competencias o funciones no se hayan ejercido, se debe motivar la respuesta en función de las causas que motiven tal circunstancia. </w:t>
      </w:r>
    </w:p>
    <w:p w:rsidR="00F22820" w:rsidRPr="006F1BBF" w:rsidRDefault="002A78E6">
      <w:pPr>
        <w:spacing w:line="276" w:lineRule="auto"/>
        <w:ind w:left="851" w:right="616"/>
        <w:jc w:val="both"/>
        <w:rPr>
          <w:rFonts w:ascii="Palatino Linotype" w:eastAsia="Palatino Linotype" w:hAnsi="Palatino Linotype" w:cs="Palatino Linotype"/>
        </w:rPr>
      </w:pPr>
      <w:r w:rsidRPr="006F1BBF">
        <w:rPr>
          <w:rFonts w:ascii="Palatino Linotype" w:eastAsia="Palatino Linotype" w:hAnsi="Palatino Linotype" w:cs="Palatino Linotype"/>
          <w:i/>
          <w:iCs/>
        </w:rPr>
        <w:t xml:space="preserve">Si el sujeto obligado, en el ejercicio de sus atribuciones, debía generar, poseer o administrar la información, pero ésta no se encuentra, el Comité de transparencia </w:t>
      </w:r>
      <w:r w:rsidRPr="006F1BBF">
        <w:rPr>
          <w:rFonts w:ascii="Palatino Linotype" w:eastAsia="Palatino Linotype" w:hAnsi="Palatino Linotype" w:cs="Palatino Linotype"/>
          <w:i/>
          <w:iCs/>
        </w:rPr>
        <w:lastRenderedPageBreak/>
        <w:t>deberá emitir un acuerdo de inexistencia, debidamente fundado y motivado, en el que detalle las razones del por qué no obra en sus archivos.” (Sic)</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Una vez sentado lo anterior, como se mencionó anteriormente, el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en respuesta informó no ser el área competente para dar respuesta a lo solicitado, por lo que, la respuesta rendida no emana del servidor público habilitado competente. De modo que la Unidad de Transparencia, en observancia de lo previsto en los artículos 53, fracciones II y IV</w:t>
      </w:r>
      <w:r w:rsidRPr="006F1BBF">
        <w:rPr>
          <w:rFonts w:ascii="Palatino Linotype" w:eastAsia="Palatino Linotype" w:hAnsi="Palatino Linotype" w:cs="Palatino Linotype"/>
          <w:vertAlign w:val="superscript"/>
        </w:rPr>
        <w:t xml:space="preserve"> </w:t>
      </w:r>
      <w:r w:rsidRPr="006F1BBF">
        <w:rPr>
          <w:rFonts w:ascii="Palatino Linotype" w:eastAsia="Palatino Linotype" w:hAnsi="Palatino Linotype" w:cs="Palatino Linotype"/>
          <w:vertAlign w:val="superscript"/>
        </w:rPr>
        <w:footnoteReference w:id="5"/>
      </w:r>
      <w:r w:rsidRPr="006F1BBF">
        <w:rPr>
          <w:rFonts w:ascii="Palatino Linotype" w:eastAsia="Palatino Linotype" w:hAnsi="Palatino Linotype" w:cs="Palatino Linotype"/>
        </w:rPr>
        <w:t xml:space="preserve"> y 162</w:t>
      </w:r>
      <w:r w:rsidRPr="006F1BBF">
        <w:rPr>
          <w:rFonts w:ascii="Palatino Linotype" w:eastAsia="Palatino Linotype" w:hAnsi="Palatino Linotype" w:cs="Palatino Linotype"/>
          <w:vertAlign w:val="superscript"/>
        </w:rPr>
        <w:footnoteReference w:id="6"/>
      </w:r>
      <w:r w:rsidRPr="006F1BBF">
        <w:rPr>
          <w:rFonts w:ascii="Palatino Linotype" w:eastAsia="Palatino Linotype" w:hAnsi="Palatino Linotype" w:cs="Palatino Linotype"/>
        </w:rPr>
        <w:t xml:space="preserve"> de la Ley de Transparencia y Acceso a la Información Pública del Estado de México y Municipios, no turnó la solicitud de información al área que, de acuerdo con sus facultades, competencias y funciones, pudiera contar con la información materia de la solicitud, esto es la Secretaría del Ayuntamiento al ser la dependencia encargada de operar la Preceptoría Juvenil Regional de Reintegración Social de Toluca; de la cual se solicitó la información. </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Ahora bien, respecto al tema es conviene señalar que los </w:t>
      </w:r>
      <w:r w:rsidRPr="006F1BBF">
        <w:rPr>
          <w:rFonts w:ascii="Palatino Linotype" w:eastAsia="Palatino Linotype" w:hAnsi="Palatino Linotype" w:cs="Palatino Linotype"/>
          <w:b/>
          <w:bCs/>
          <w:i/>
          <w:iCs/>
        </w:rPr>
        <w:t>oficios</w:t>
      </w:r>
      <w:r w:rsidRPr="006F1BBF">
        <w:rPr>
          <w:rFonts w:ascii="Palatino Linotype" w:eastAsia="Palatino Linotype" w:hAnsi="Palatino Linotype" w:cs="Palatino Linotype"/>
        </w:rPr>
        <w:t>, son ampliamente conocidos como instrumentos de comunicación entre autoridades o dependencias, que permiten llevar a cabo distintas gestiones para el cumplimiento de sus distintas funciones, conforme a la definición del Diccionario de la Real Academia Española, que señala:</w:t>
      </w:r>
    </w:p>
    <w:p w:rsidR="00F22820" w:rsidRPr="006F1BBF" w:rsidRDefault="00F22820">
      <w:pPr>
        <w:shd w:val="clear" w:color="auto" w:fill="FFFFFF"/>
        <w:spacing w:line="276" w:lineRule="auto"/>
        <w:ind w:left="851" w:right="616"/>
        <w:jc w:val="both"/>
        <w:rPr>
          <w:rFonts w:ascii="Palatino Linotype" w:eastAsia="Palatino Linotype" w:hAnsi="Palatino Linotype" w:cs="Palatino Linotype"/>
          <w:i/>
          <w:iCs/>
        </w:rPr>
      </w:pPr>
    </w:p>
    <w:p w:rsidR="00F22820" w:rsidRPr="006F1BBF" w:rsidRDefault="002A78E6">
      <w:pPr>
        <w:shd w:val="clear" w:color="auto" w:fill="FFFFFF"/>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“6. m. Comunicación escrita, referente a los asuntos de las Administraciones públicas.</w:t>
      </w:r>
    </w:p>
    <w:p w:rsidR="00F22820" w:rsidRPr="006F1BBF" w:rsidRDefault="002A78E6">
      <w:pPr>
        <w:shd w:val="clear" w:color="auto" w:fill="FFFFFF"/>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Sin.: escrito, comunicado, comunicación, documento, expediente.” (Sic)</w:t>
      </w: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lastRenderedPageBreak/>
        <w:t xml:space="preserve">De lo anteriormente vertido, se tiene que los documentos que sirven de comunicación entre las diferentes unidades administrativas de una institución pública pueden ser a través de </w:t>
      </w:r>
      <w:r w:rsidRPr="006F1BBF">
        <w:rPr>
          <w:rFonts w:ascii="Palatino Linotype" w:eastAsia="Palatino Linotype" w:hAnsi="Palatino Linotype" w:cs="Palatino Linotype"/>
          <w:b/>
          <w:bCs/>
        </w:rPr>
        <w:t>oficios</w:t>
      </w:r>
      <w:r w:rsidRPr="006F1BBF">
        <w:rPr>
          <w:rFonts w:ascii="Palatino Linotype" w:eastAsia="Palatino Linotype" w:hAnsi="Palatino Linotype" w:cs="Palatino Linotype"/>
        </w:rPr>
        <w:t>. Así el oficio</w:t>
      </w:r>
      <w:r w:rsidRPr="006F1BBF">
        <w:rPr>
          <w:rFonts w:ascii="Palatino Linotype" w:eastAsia="Palatino Linotype" w:hAnsi="Palatino Linotype" w:cs="Palatino Linotype"/>
          <w:b/>
          <w:bCs/>
          <w:i/>
          <w:iCs/>
        </w:rPr>
        <w:t xml:space="preserve"> </w:t>
      </w:r>
      <w:r w:rsidRPr="006F1BBF">
        <w:rPr>
          <w:rFonts w:ascii="Palatino Linotype" w:eastAsia="Palatino Linotype" w:hAnsi="Palatino Linotype" w:cs="Palatino Linotype"/>
        </w:rPr>
        <w:t xml:space="preserve">es el </w:t>
      </w:r>
      <w:r w:rsidRPr="006F1BBF">
        <w:rPr>
          <w:rFonts w:ascii="Palatino Linotype" w:eastAsia="Palatino Linotype" w:hAnsi="Palatino Linotype" w:cs="Palatino Linotype"/>
          <w:b/>
          <w:bCs/>
          <w:u w:val="single"/>
        </w:rPr>
        <w:t>medio de comunicación formal que inicia una gestión</w:t>
      </w:r>
      <w:r w:rsidRP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u w:val="single"/>
        </w:rPr>
        <w:t>informa de un hecho relevante, regulariza una situación, transmite órdenes, lineamientos o instrucciones, o trata asuntos específicos relacionados con personas físicas o morales en el marco de sus actuaciones</w:t>
      </w:r>
      <w:r w:rsidRPr="006F1BBF">
        <w:rPr>
          <w:rFonts w:ascii="Palatino Linotype" w:eastAsia="Palatino Linotype" w:hAnsi="Palatino Linotype" w:cs="Palatino Linotype"/>
        </w:rPr>
        <w:t>.</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En lo que respecta al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el Manual de Organización de la Secretaría del Ayuntamiento establece que la Preceptoría Juvenil Regional de Reintegración Social contará con las siguientes funciones: </w:t>
      </w:r>
    </w:p>
    <w:p w:rsidR="00F22820" w:rsidRPr="006F1BBF" w:rsidRDefault="00F22820">
      <w:pPr>
        <w:widowControl w:val="0"/>
        <w:spacing w:line="360" w:lineRule="auto"/>
        <w:ind w:right="-91"/>
        <w:jc w:val="both"/>
        <w:rPr>
          <w:rFonts w:ascii="Palatino Linotype" w:eastAsia="Palatino Linotype" w:hAnsi="Palatino Linotype" w:cs="Palatino Linotype"/>
        </w:rPr>
      </w:pP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w:t>
      </w:r>
      <w:r w:rsidRPr="006F1BBF">
        <w:rPr>
          <w:rFonts w:ascii="Palatino Linotype" w:eastAsia="Palatino Linotype" w:hAnsi="Palatino Linotype" w:cs="Palatino Linotype"/>
          <w:b/>
          <w:bCs/>
          <w:i/>
          <w:iCs/>
        </w:rPr>
        <w:t>201006000 Preceptoría Juvenil Regional de Reintegración Social</w:t>
      </w:r>
      <w:r w:rsidRPr="006F1BBF">
        <w:rPr>
          <w:rFonts w:ascii="Palatino Linotype" w:eastAsia="Palatino Linotype" w:hAnsi="Palatino Linotype" w:cs="Palatino Linotype"/>
          <w:i/>
          <w:iCs/>
        </w:rPr>
        <w:t xml:space="preserve">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Funciones:</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1. Aplicar y ejecutar las medidas de orientación, protección y tratamiento a las y los adolescentes y/o adultos jóvenes, que determine el Juez de Adolescentes, bajo la supervisión y aprobación del Juez de Ejecución y Vigilancia para adolescentes y/o adultos jóvenes;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2. Registrar, evaluar e informar el cumplimiento de las reglas de conducta solicitadas por el Juez de Adolescentes;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3. Valorar e informar a la autoridad Judicial y Administrativa autorizada para ello, los avances en relación con el tratamiento que se aplica a cada adolescente y/o adulto joven;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4. Diseñar y aplicar las medidas de orientación, protección y tratamiento a las y los adolescentes a efecto de lograr la reintegración social y familiar de los mismos;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5. Planear, organizar, dirigir y ejecutar las pláticas informativas en instituciones educativas;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6. Integrar, elaborar y rendir los informes que le sean solicitados por el Juez de Adolescentes, el Juez de Ejecución y Vigilancia y autoridad administrativa legalmente facultada para solicitarlo respecto al tratamiento de las y los </w:t>
      </w:r>
      <w:r w:rsidRPr="006F1BBF">
        <w:rPr>
          <w:rFonts w:ascii="Palatino Linotype" w:eastAsia="Palatino Linotype" w:hAnsi="Palatino Linotype" w:cs="Palatino Linotype"/>
          <w:i/>
          <w:iCs/>
        </w:rPr>
        <w:lastRenderedPageBreak/>
        <w:t xml:space="preserve">adolescentes;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7. Desarrollar y ejecutar programas de prevención de la antisocialidad y de reintegración de adolescentes;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8. Coordinar acciones con instituciones públicas y privadas, a fin de coadyuvar en el desarrollo y aplicación de acciones y programas de prevención de la antisocialidad y de reintegración de adolescentes y/o adultos jóvenes;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9. Brindar atención y orientación al público en general e instituciones en materia de adolescentes;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10. Dirigir y coordinar el desarrollo del personal administrativo, auxiliar y técnico multidisciplinario, así como el uso de los materiales asignados;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11. Promover y difundir los derechos de niñas, niños y adolescentes especialmente del sector vulnerable de adolescentes que tienen contacto o conflicto con la ley penal;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12. Promover y difundir la importancia de la inclusión social de niñas, niños, adolescentes y adultos jóvenes, para propiciar, favorecer y facilitar la reintegración social de adolescentes y/o adultos jóvenes;</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 xml:space="preserve">13. Contribuir en el ámbito competencial que la información pública gubernamental incluyendo las estadísticas que elaboren las unidades administrativas del gobierno municipal, no contravenga la confidencialidad de los datos personales en cumplimiento a la Ley de Transparencia y Acceso a la Información Pública del Estado de México y Municipios; y </w:t>
      </w:r>
    </w:p>
    <w:p w:rsidR="00F22820" w:rsidRPr="006F1BBF" w:rsidRDefault="002A78E6">
      <w:pPr>
        <w:widowControl w:val="0"/>
        <w:spacing w:line="276" w:lineRule="auto"/>
        <w:ind w:left="851" w:right="616"/>
        <w:jc w:val="both"/>
        <w:rPr>
          <w:rFonts w:ascii="Palatino Linotype" w:eastAsia="Palatino Linotype" w:hAnsi="Palatino Linotype" w:cs="Palatino Linotype"/>
          <w:i/>
          <w:iCs/>
        </w:rPr>
      </w:pPr>
      <w:r w:rsidRPr="006F1BBF">
        <w:rPr>
          <w:rFonts w:ascii="Palatino Linotype" w:eastAsia="Palatino Linotype" w:hAnsi="Palatino Linotype" w:cs="Palatino Linotype"/>
          <w:i/>
          <w:iCs/>
        </w:rPr>
        <w:t>14. Ejecutar las demás funciones que, por la naturaleza del área y su ámbito de competencia, le sean asignadas y resulten inherentes a su campo de conocimiento.”</w:t>
      </w:r>
    </w:p>
    <w:p w:rsidR="00F22820" w:rsidRPr="006F1BBF" w:rsidRDefault="00F22820">
      <w:pPr>
        <w:widowControl w:val="0"/>
        <w:spacing w:line="360" w:lineRule="auto"/>
        <w:ind w:right="-91"/>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De este modo, se logra advertir que la información solicitada por la parte </w:t>
      </w:r>
      <w:r w:rsidRPr="006F1BBF">
        <w:rPr>
          <w:rFonts w:ascii="Palatino Linotype" w:eastAsia="Palatino Linotype" w:hAnsi="Palatino Linotype" w:cs="Palatino Linotype"/>
          <w:b/>
          <w:bCs/>
        </w:rPr>
        <w:t>RECURRENTE</w:t>
      </w:r>
      <w:r w:rsidRPr="006F1BBF">
        <w:rPr>
          <w:rFonts w:ascii="Palatino Linotype" w:eastAsia="Palatino Linotype" w:hAnsi="Palatino Linotype" w:cs="Palatino Linotype"/>
        </w:rPr>
        <w:t xml:space="preserve">, resulta relevante, pues al tratarse de información relacionada con las acciones de prevención, está íntimamente relacionada con el cumplimiento de las atribuciones y fines del Ayuntamiento. </w:t>
      </w:r>
    </w:p>
    <w:p w:rsidR="00F22820" w:rsidRPr="006F1BBF" w:rsidRDefault="00F22820">
      <w:pPr>
        <w:spacing w:line="360" w:lineRule="auto"/>
        <w:ind w:right="-518"/>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lastRenderedPageBreak/>
        <w:t>Toma relevancia, lo señalado en el artículo 2°, fracción VII de la Ley de Transparencia y Acceso a la Información Pública del Estado de México y Municipios, el cual establece como objetivo promover, fomentar y difundir la cultura de la transparencia en el ejercicio de la función pública, así como, la rendición de cuentas, a través del establecimiento de mecanismos que garanticen la publicidad de la información oportuna, verificable, comprensible, actualizada y completa.</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Como se logra observar, el derecho de acceso a la información pública, es una herramienta con la que, cuentan los particulares, para conocer la forma en que los Gobiernos Municipales, cumplen sus atribuciones y obligaciones, así como, ejercen los recursos públicos con los que cuentan; esto es, sirven para que los Sujetos Obligados rindan cuentas a la ciudadanía, de su hacer diario.</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bookmarkStart w:id="7" w:name="_heading=h.g574rcqg1rzm" w:colFirst="0" w:colLast="0"/>
      <w:bookmarkEnd w:id="7"/>
      <w:r w:rsidRPr="006F1BBF">
        <w:rPr>
          <w:rFonts w:ascii="Palatino Linotype" w:eastAsia="Palatino Linotype" w:hAnsi="Palatino Linotype" w:cs="Palatino Linotype"/>
        </w:rPr>
        <w:t xml:space="preserve">Conforme a todo lo expuesto, es de interés público, proporcionar información solicitada, pues rinde cuentas de que el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está cumpliendo atribuciones y fines específicos; además, que transparenta, las acciones realizadas por este; por lo que se arriba a la conclusión de que el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no realizó una correcta búsqueda de la información dentro de los archivos de la unidad administrativa competente, incumpliendo con lo señalado en el artículo 167 de la Ley de la materia, resultando procedente ordenar una búsqueda exhaustiva y razonable, y hacer entrega de los oficios emitidos y recibidos por la Preceptoría Juvenil Regional de Reintegración Social, de los meses de abril y octubre de dos mil veinticinco, de ser el caso en versión pública. </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Para el caso de que el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no cuente con oficios emitidos en algunos de los días del periodo que se está ordenando o bien algunos oficios hayan sido cancelados, </w:t>
      </w:r>
      <w:r w:rsidRPr="006F1BBF">
        <w:rPr>
          <w:rFonts w:ascii="Palatino Linotype" w:eastAsia="Palatino Linotype" w:hAnsi="Palatino Linotype" w:cs="Palatino Linotype"/>
        </w:rPr>
        <w:lastRenderedPageBreak/>
        <w:t xml:space="preserve">bastará con que así lo haga del conocimiento de la parte </w:t>
      </w:r>
      <w:r w:rsidRPr="006F1BBF">
        <w:rPr>
          <w:rFonts w:ascii="Palatino Linotype" w:eastAsia="Palatino Linotype" w:hAnsi="Palatino Linotype" w:cs="Palatino Linotype"/>
          <w:b/>
          <w:bCs/>
        </w:rPr>
        <w:t>Recurrente</w:t>
      </w:r>
      <w:r w:rsidRPr="006F1BBF">
        <w:rPr>
          <w:rFonts w:ascii="Palatino Linotype" w:eastAsia="Palatino Linotype" w:hAnsi="Palatino Linotype" w:cs="Palatino Linotype"/>
        </w:rPr>
        <w:t>, de manera clara y precisa, en términos del artículo 19, párrafo segundo de la Ley de Transparencia y Acceso a la Información pública del Estado de México y Municipios para tener por colmado el requerimiento de información.</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pStyle w:val="Ttulo2"/>
        <w:tabs>
          <w:tab w:val="left" w:pos="426"/>
        </w:tabs>
        <w:rPr>
          <w:rFonts w:ascii="Palatino Linotype" w:eastAsia="Palatino Linotype" w:hAnsi="Palatino Linotype" w:cs="Palatino Linotype"/>
          <w:b/>
          <w:bCs/>
          <w:color w:val="000000"/>
          <w:sz w:val="24"/>
          <w:szCs w:val="24"/>
        </w:rPr>
      </w:pPr>
      <w:r w:rsidRPr="006F1BBF">
        <w:rPr>
          <w:rFonts w:ascii="Palatino Linotype" w:eastAsia="Palatino Linotype" w:hAnsi="Palatino Linotype" w:cs="Palatino Linotype"/>
          <w:b/>
          <w:bCs/>
          <w:color w:val="000000"/>
          <w:sz w:val="24"/>
          <w:szCs w:val="24"/>
        </w:rPr>
        <w:t>QUINTO. De la versión pública.</w:t>
      </w:r>
    </w:p>
    <w:p w:rsidR="00F22820" w:rsidRPr="006F1BBF" w:rsidRDefault="002A78E6">
      <w:pPr>
        <w:keepNext/>
        <w:keepLines/>
        <w:numPr>
          <w:ilvl w:val="0"/>
          <w:numId w:val="3"/>
        </w:numPr>
        <w:tabs>
          <w:tab w:val="left" w:pos="284"/>
        </w:tabs>
        <w:spacing w:after="160" w:line="360" w:lineRule="auto"/>
        <w:ind w:left="0" w:firstLine="0"/>
        <w:rPr>
          <w:rFonts w:ascii="Palatino Linotype" w:eastAsia="Palatino Linotype" w:hAnsi="Palatino Linotype" w:cs="Palatino Linotype"/>
          <w:b/>
          <w:bCs/>
          <w:color w:val="000000"/>
        </w:rPr>
      </w:pPr>
      <w:r w:rsidRPr="006F1BBF">
        <w:rPr>
          <w:rFonts w:ascii="Palatino Linotype" w:eastAsia="Palatino Linotype" w:hAnsi="Palatino Linotype" w:cs="Palatino Linotype"/>
          <w:b/>
          <w:bCs/>
          <w:color w:val="000000"/>
        </w:rPr>
        <w:t xml:space="preserve">Nociones generales. </w:t>
      </w:r>
    </w:p>
    <w:p w:rsidR="00F22820" w:rsidRPr="006F1BBF" w:rsidRDefault="002A78E6">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Debe destacarse, que debido a la información solicitada por el </w:t>
      </w:r>
      <w:r w:rsidRPr="006F1BBF">
        <w:rPr>
          <w:rFonts w:ascii="Palatino Linotype" w:eastAsia="Palatino Linotype" w:hAnsi="Palatino Linotype" w:cs="Palatino Linotype"/>
          <w:b/>
          <w:bCs/>
          <w:color w:val="000000"/>
        </w:rPr>
        <w:t xml:space="preserve">RECURRENTE, </w:t>
      </w:r>
      <w:r w:rsidRPr="006F1BBF">
        <w:rPr>
          <w:rFonts w:ascii="Palatino Linotype" w:eastAsia="Palatino Linotype" w:hAnsi="Palatino Linotype" w:cs="Palatino Linotype"/>
          <w:color w:val="000000"/>
        </w:rPr>
        <w:t xml:space="preserve">obran datos personales susceptibles de protegerse, así como información susceptible de clasificarse como confidencial,  por lo que, el </w:t>
      </w:r>
      <w:r w:rsidRPr="006F1BBF">
        <w:rPr>
          <w:rFonts w:ascii="Palatino Linotype" w:eastAsia="Palatino Linotype" w:hAnsi="Palatino Linotype" w:cs="Palatino Linotype"/>
          <w:b/>
          <w:bCs/>
          <w:color w:val="000000"/>
        </w:rPr>
        <w:t xml:space="preserve">SUJETO OBLIGADO </w:t>
      </w:r>
      <w:r w:rsidRPr="006F1BB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22820" w:rsidRPr="006F1BBF" w:rsidRDefault="00F22820">
      <w:pPr>
        <w:tabs>
          <w:tab w:val="left" w:pos="0"/>
          <w:tab w:val="left" w:pos="284"/>
        </w:tabs>
        <w:spacing w:line="360" w:lineRule="auto"/>
        <w:ind w:right="49"/>
        <w:jc w:val="both"/>
        <w:rPr>
          <w:rFonts w:ascii="Palatino Linotype" w:eastAsia="Palatino Linotype" w:hAnsi="Palatino Linotype" w:cs="Palatino Linotype"/>
        </w:rPr>
      </w:pPr>
    </w:p>
    <w:p w:rsidR="00F22820" w:rsidRPr="006F1BBF" w:rsidRDefault="002A78E6">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No pasa desapercibido para este Órgano Garante que los sujetos obligados</w:t>
      </w:r>
      <w:r w:rsidRPr="006F1BBF">
        <w:rPr>
          <w:rFonts w:ascii="Palatino Linotype" w:eastAsia="Palatino Linotype" w:hAnsi="Palatino Linotype" w:cs="Palatino Linotype"/>
          <w:b/>
          <w:bCs/>
          <w:color w:val="000000"/>
        </w:rPr>
        <w:t xml:space="preserve"> </w:t>
      </w:r>
      <w:r w:rsidRPr="006F1BBF">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22820" w:rsidRPr="006F1BBF" w:rsidRDefault="00F22820">
      <w:pPr>
        <w:tabs>
          <w:tab w:val="left" w:pos="284"/>
        </w:tabs>
        <w:spacing w:after="160" w:line="360" w:lineRule="auto"/>
        <w:ind w:right="49"/>
        <w:jc w:val="both"/>
        <w:rPr>
          <w:rFonts w:ascii="Palatino Linotype" w:eastAsia="Palatino Linotype" w:hAnsi="Palatino Linotype" w:cs="Palatino Linotype"/>
          <w:color w:val="000000"/>
        </w:rPr>
      </w:pPr>
    </w:p>
    <w:tbl>
      <w:tblPr>
        <w:tblStyle w:val="a2"/>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49"/>
      </w:tblGrid>
      <w:tr w:rsidR="00F22820" w:rsidRPr="006F1BBF" w:rsidTr="006F1BBF">
        <w:tc>
          <w:tcPr>
            <w:tcW w:w="2689" w:type="dxa"/>
          </w:tcPr>
          <w:p w:rsidR="00F22820" w:rsidRPr="006F1BBF" w:rsidRDefault="002A78E6">
            <w:pPr>
              <w:tabs>
                <w:tab w:val="left" w:pos="284"/>
              </w:tabs>
              <w:spacing w:line="360" w:lineRule="auto"/>
              <w:rPr>
                <w:rFonts w:ascii="Palatino Linotype" w:eastAsia="Palatino Linotype" w:hAnsi="Palatino Linotype" w:cs="Palatino Linotype"/>
              </w:rPr>
            </w:pPr>
            <w:r w:rsidRPr="006F1BBF">
              <w:rPr>
                <w:rFonts w:ascii="Palatino Linotype" w:eastAsia="Palatino Linotype" w:hAnsi="Palatino Linotype" w:cs="Palatino Linotype"/>
              </w:rPr>
              <w:t>a) Requisitos previos.</w:t>
            </w:r>
          </w:p>
        </w:tc>
        <w:tc>
          <w:tcPr>
            <w:tcW w:w="7349" w:type="dxa"/>
          </w:tcPr>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F22820" w:rsidRPr="006F1BBF" w:rsidRDefault="002A78E6">
            <w:pPr>
              <w:tabs>
                <w:tab w:val="left" w:pos="284"/>
              </w:tabs>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F1BBF">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F1BBF">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22820" w:rsidRPr="006F1BBF" w:rsidTr="006F1BBF">
        <w:tc>
          <w:tcPr>
            <w:tcW w:w="2689" w:type="dxa"/>
          </w:tcPr>
          <w:p w:rsidR="00F22820" w:rsidRPr="006F1BBF" w:rsidRDefault="002A78E6">
            <w:pPr>
              <w:tabs>
                <w:tab w:val="left" w:pos="284"/>
              </w:tabs>
              <w:spacing w:line="360" w:lineRule="auto"/>
              <w:rPr>
                <w:rFonts w:ascii="Palatino Linotype" w:eastAsia="Palatino Linotype" w:hAnsi="Palatino Linotype" w:cs="Palatino Linotype"/>
              </w:rPr>
            </w:pPr>
            <w:r w:rsidRPr="006F1BBF">
              <w:rPr>
                <w:rFonts w:ascii="Palatino Linotype" w:eastAsia="Palatino Linotype" w:hAnsi="Palatino Linotype" w:cs="Palatino Linotype"/>
              </w:rPr>
              <w:lastRenderedPageBreak/>
              <w:t>b) Supuestos de clasificación.</w:t>
            </w:r>
          </w:p>
        </w:tc>
        <w:tc>
          <w:tcPr>
            <w:tcW w:w="7349" w:type="dxa"/>
          </w:tcPr>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22820" w:rsidRPr="006F1BBF" w:rsidRDefault="002A78E6">
            <w:pPr>
              <w:tabs>
                <w:tab w:val="left" w:pos="284"/>
              </w:tabs>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color w:val="000000"/>
              </w:rPr>
              <w:lastRenderedPageBreak/>
              <w:t xml:space="preserve">El </w:t>
            </w:r>
            <w:r w:rsidRPr="006F1BBF">
              <w:rPr>
                <w:rFonts w:ascii="Palatino Linotype" w:eastAsia="Palatino Linotype" w:hAnsi="Palatino Linotype" w:cs="Palatino Linotype"/>
                <w:b/>
                <w:bCs/>
                <w:color w:val="000000"/>
              </w:rPr>
              <w:t>Sujeto Obligado</w:t>
            </w:r>
            <w:r w:rsidRPr="006F1BBF">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22820" w:rsidRPr="006F1BBF" w:rsidTr="006F1BBF">
        <w:tc>
          <w:tcPr>
            <w:tcW w:w="2689" w:type="dxa"/>
          </w:tcPr>
          <w:p w:rsidR="00F22820" w:rsidRPr="006F1BBF" w:rsidRDefault="002A78E6">
            <w:pPr>
              <w:tabs>
                <w:tab w:val="left" w:pos="284"/>
              </w:tabs>
              <w:spacing w:line="360" w:lineRule="auto"/>
              <w:rPr>
                <w:rFonts w:ascii="Palatino Linotype" w:eastAsia="Palatino Linotype" w:hAnsi="Palatino Linotype" w:cs="Palatino Linotype"/>
              </w:rPr>
            </w:pPr>
            <w:r w:rsidRPr="006F1BBF">
              <w:rPr>
                <w:rFonts w:ascii="Palatino Linotype" w:eastAsia="Palatino Linotype" w:hAnsi="Palatino Linotype" w:cs="Palatino Linotype"/>
              </w:rPr>
              <w:lastRenderedPageBreak/>
              <w:t>c) Formalidades para emitir el acuerdo de clasificación.</w:t>
            </w:r>
          </w:p>
        </w:tc>
        <w:tc>
          <w:tcPr>
            <w:tcW w:w="7349" w:type="dxa"/>
          </w:tcPr>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Es necesario que </w:t>
            </w:r>
            <w:r w:rsidRPr="006F1BBF">
              <w:rPr>
                <w:rFonts w:ascii="Palatino Linotype" w:eastAsia="Palatino Linotype" w:hAnsi="Palatino Linotype" w:cs="Palatino Linotype"/>
                <w:b/>
                <w:bCs/>
                <w:color w:val="000000"/>
                <w:u w:val="single"/>
              </w:rPr>
              <w:t>el acto reúna con los requisitos elementales</w:t>
            </w:r>
            <w:r w:rsidRPr="006F1BBF">
              <w:rPr>
                <w:rFonts w:ascii="Palatino Linotype" w:eastAsia="Palatino Linotype" w:hAnsi="Palatino Linotype" w:cs="Palatino Linotype"/>
                <w:color w:val="000000"/>
              </w:rPr>
              <w:t>, entre ellos, que la autoridad que va a emitir el acto de autoridad sea la legalmente facultada para ello.</w:t>
            </w:r>
          </w:p>
          <w:p w:rsidR="00F22820" w:rsidRPr="006F1BBF" w:rsidRDefault="002A78E6">
            <w:pPr>
              <w:tabs>
                <w:tab w:val="left" w:pos="284"/>
              </w:tabs>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22820" w:rsidRPr="006F1BBF" w:rsidTr="006F1BBF">
        <w:tc>
          <w:tcPr>
            <w:tcW w:w="2689" w:type="dxa"/>
          </w:tcPr>
          <w:p w:rsidR="00F22820" w:rsidRPr="006F1BBF" w:rsidRDefault="00F22820">
            <w:pPr>
              <w:tabs>
                <w:tab w:val="left" w:pos="284"/>
              </w:tabs>
              <w:spacing w:line="360" w:lineRule="auto"/>
              <w:rPr>
                <w:rFonts w:ascii="Palatino Linotype" w:eastAsia="Palatino Linotype" w:hAnsi="Palatino Linotype" w:cs="Palatino Linotype"/>
              </w:rPr>
            </w:pPr>
          </w:p>
          <w:p w:rsidR="00F22820" w:rsidRPr="006F1BBF" w:rsidRDefault="002A78E6">
            <w:pPr>
              <w:tabs>
                <w:tab w:val="left" w:pos="284"/>
              </w:tabs>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color w:val="000000"/>
              </w:rPr>
              <w:t xml:space="preserve">d) Requisitos de fondo del acuerdo de clasificación. </w:t>
            </w:r>
          </w:p>
        </w:tc>
        <w:tc>
          <w:tcPr>
            <w:tcW w:w="7349" w:type="dxa"/>
          </w:tcPr>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w:t>
            </w:r>
            <w:r w:rsidRPr="006F1BBF">
              <w:rPr>
                <w:rFonts w:ascii="Palatino Linotype" w:eastAsia="Palatino Linotype" w:hAnsi="Palatino Linotype" w:cs="Palatino Linotype"/>
                <w:color w:val="000000"/>
              </w:rPr>
              <w:lastRenderedPageBreak/>
              <w:t xml:space="preserve">las restricciones, corresponde a los </w:t>
            </w:r>
            <w:r w:rsidRPr="006F1BBF">
              <w:rPr>
                <w:rFonts w:ascii="Palatino Linotype" w:eastAsia="Palatino Linotype" w:hAnsi="Palatino Linotype" w:cs="Palatino Linotype"/>
                <w:b/>
                <w:bCs/>
                <w:color w:val="000000"/>
              </w:rPr>
              <w:t>Sujetos Obligados</w:t>
            </w:r>
            <w:r w:rsidRPr="006F1BBF">
              <w:rPr>
                <w:rFonts w:ascii="Palatino Linotype" w:eastAsia="Palatino Linotype" w:hAnsi="Palatino Linotype" w:cs="Palatino Linotype"/>
                <w:color w:val="000000"/>
              </w:rPr>
              <w:t xml:space="preserve">, por lo que deberán fundar y motivar debidamente la clasificación. </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De lo anterior, se desprende que para una correcta </w:t>
            </w:r>
            <w:r w:rsidRPr="006F1BBF">
              <w:rPr>
                <w:rFonts w:ascii="Palatino Linotype" w:eastAsia="Palatino Linotype" w:hAnsi="Palatino Linotype" w:cs="Palatino Linotype"/>
                <w:b/>
                <w:bCs/>
                <w:color w:val="000000"/>
              </w:rPr>
              <w:t>clasificación total o parcial</w:t>
            </w:r>
            <w:r w:rsidRPr="006F1BBF">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Ahora bien, </w:t>
            </w:r>
            <w:r w:rsidRPr="006F1BBF">
              <w:rPr>
                <w:rFonts w:ascii="Palatino Linotype" w:eastAsia="Palatino Linotype" w:hAnsi="Palatino Linotype" w:cs="Palatino Linotype"/>
                <w:b/>
                <w:bCs/>
                <w:color w:val="000000"/>
                <w:u w:val="single"/>
              </w:rPr>
              <w:t>para cada caso además de fundar y motivar</w:t>
            </w:r>
            <w:r w:rsidRPr="006F1BBF">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de Contribuyentes </w:t>
            </w:r>
            <w:r w:rsidRPr="006F1BBF">
              <w:rPr>
                <w:rFonts w:ascii="Palatino Linotype" w:eastAsia="Palatino Linotype" w:hAnsi="Palatino Linotype" w:cs="Palatino Linotype"/>
                <w:color w:val="000000"/>
              </w:rPr>
              <w:lastRenderedPageBreak/>
              <w:t>(R.F.C.), claves de seguros, préstamos o descuentos personales, secretos bancario, fiduciario, industrial, comercial, fiscal, bursátil y postal, cuya titularidad corresponda a particulares, entre otros.</w:t>
            </w:r>
          </w:p>
        </w:tc>
      </w:tr>
      <w:tr w:rsidR="00F22820" w:rsidRPr="006F1BBF" w:rsidTr="006F1BBF">
        <w:tc>
          <w:tcPr>
            <w:tcW w:w="2689" w:type="dxa"/>
          </w:tcPr>
          <w:p w:rsidR="00F22820" w:rsidRPr="006F1BBF" w:rsidRDefault="002A78E6">
            <w:pPr>
              <w:tabs>
                <w:tab w:val="left" w:pos="284"/>
              </w:tabs>
              <w:spacing w:line="360" w:lineRule="auto"/>
              <w:ind w:right="49"/>
              <w:jc w:val="both"/>
              <w:rPr>
                <w:rFonts w:ascii="Palatino Linotype" w:eastAsia="Palatino Linotype" w:hAnsi="Palatino Linotype" w:cs="Palatino Linotype"/>
              </w:rPr>
            </w:pPr>
            <w:r w:rsidRPr="006F1BBF">
              <w:rPr>
                <w:rFonts w:ascii="Palatino Linotype" w:eastAsia="Palatino Linotype" w:hAnsi="Palatino Linotype" w:cs="Palatino Linotype"/>
              </w:rPr>
              <w:lastRenderedPageBreak/>
              <w:t xml:space="preserve">e) Condiciones especiales de la clasificación de la información como confidencial. </w:t>
            </w:r>
          </w:p>
        </w:tc>
        <w:tc>
          <w:tcPr>
            <w:tcW w:w="7349" w:type="dxa"/>
          </w:tcPr>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22820" w:rsidRPr="006F1BBF" w:rsidRDefault="002A78E6">
            <w:pPr>
              <w:tabs>
                <w:tab w:val="left" w:pos="284"/>
              </w:tabs>
              <w:spacing w:line="360" w:lineRule="auto"/>
              <w:ind w:right="49"/>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22820" w:rsidRPr="006F1BBF" w:rsidRDefault="002A78E6">
            <w:pPr>
              <w:tabs>
                <w:tab w:val="left" w:pos="284"/>
              </w:tabs>
              <w:spacing w:line="360" w:lineRule="auto"/>
              <w:rPr>
                <w:rFonts w:ascii="Palatino Linotype" w:eastAsia="Palatino Linotype" w:hAnsi="Palatino Linotype" w:cs="Palatino Linotype"/>
              </w:rPr>
            </w:pPr>
            <w:r w:rsidRPr="006F1BBF">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22820" w:rsidRPr="006F1BBF" w:rsidRDefault="00F22820">
      <w:p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p>
    <w:p w:rsidR="00F22820" w:rsidRPr="006F1BBF" w:rsidRDefault="002A78E6">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F22820" w:rsidRPr="006F1BBF" w:rsidRDefault="00F2282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22820" w:rsidRPr="006F1BBF" w:rsidRDefault="002A78E6">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Debido a lo anteriormente expuesto, este Instituto estima que las razones o motivos de inconformidad hechos valer por </w:t>
      </w:r>
      <w:r w:rsidRPr="006F1BBF">
        <w:rPr>
          <w:rFonts w:ascii="Palatino Linotype" w:eastAsia="Palatino Linotype" w:hAnsi="Palatino Linotype" w:cs="Palatino Linotype"/>
          <w:b/>
          <w:bCs/>
        </w:rPr>
        <w:t>EL RECURRENTE</w:t>
      </w:r>
      <w:r w:rsidRPr="006F1BBF">
        <w:rPr>
          <w:rFonts w:ascii="Palatino Linotype" w:eastAsia="Palatino Linotype" w:hAnsi="Palatino Linotype" w:cs="Palatino Linotype"/>
        </w:rPr>
        <w:t xml:space="preserve"> devienen fundadas y suficientes para</w:t>
      </w:r>
      <w:r w:rsidRP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lastRenderedPageBreak/>
        <w:t>REVOCAR</w:t>
      </w:r>
      <w:r w:rsidRPr="006F1BBF">
        <w:rPr>
          <w:rFonts w:ascii="Palatino Linotype" w:eastAsia="Palatino Linotype" w:hAnsi="Palatino Linotype" w:cs="Palatino Linotype"/>
        </w:rPr>
        <w:t xml:space="preserve"> las respuestas a las solicitudes de acceso </w:t>
      </w:r>
      <w:r w:rsidRPr="006F1BBF">
        <w:rPr>
          <w:rFonts w:ascii="Palatino Linotype" w:eastAsia="Palatino Linotype" w:hAnsi="Palatino Linotype" w:cs="Palatino Linotype"/>
          <w:b/>
          <w:bCs/>
        </w:rPr>
        <w:t xml:space="preserve">00351/TOLUCA/IP/2026 y 00345/TOLUCA/IP/2026, </w:t>
      </w:r>
      <w:r w:rsidRPr="006F1BBF">
        <w:rPr>
          <w:rFonts w:ascii="Palatino Linotype" w:eastAsia="Palatino Linotype" w:hAnsi="Palatino Linotype" w:cs="Palatino Linotype"/>
        </w:rPr>
        <w:t xml:space="preserve">que originaron los Recursos de Revisión </w:t>
      </w:r>
      <w:r w:rsidR="00BF5518" w:rsidRPr="006F1BBF">
        <w:rPr>
          <w:rFonts w:ascii="Palatino Linotype" w:eastAsia="Palatino Linotype" w:hAnsi="Palatino Linotype" w:cs="Palatino Linotype"/>
          <w:b/>
          <w:bCs/>
        </w:rPr>
        <w:t>01798/INFOEM/IP/RR/2026 y 01803/INFOEM/IP/RR/2026.</w:t>
      </w:r>
      <w:r w:rsidRPr="006F1BBF">
        <w:rPr>
          <w:rFonts w:ascii="Palatino Linotype" w:eastAsia="Palatino Linotype" w:hAnsi="Palatino Linotype" w:cs="Palatino Linotype"/>
          <w:b/>
          <w:bCs/>
        </w:rPr>
        <w:t xml:space="preserve"> </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1"/>
        </w:numPr>
        <w:pBdr>
          <w:top w:val="nil"/>
          <w:left w:val="nil"/>
          <w:bottom w:val="nil"/>
          <w:right w:val="nil"/>
          <w:between w:val="nil"/>
        </w:pBdr>
        <w:spacing w:line="360" w:lineRule="auto"/>
        <w:ind w:right="-518"/>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Así, con fundamento en lo previsto en los artículos 5, párrafo trigésimo segundo, trigésimo tercero y trigésimo cuarto,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F22820" w:rsidRPr="006F1BBF" w:rsidRDefault="00F22820">
      <w:pPr>
        <w:pBdr>
          <w:top w:val="nil"/>
          <w:left w:val="nil"/>
          <w:bottom w:val="nil"/>
          <w:right w:val="nil"/>
          <w:between w:val="nil"/>
        </w:pBdr>
        <w:spacing w:line="360" w:lineRule="auto"/>
        <w:jc w:val="both"/>
        <w:rPr>
          <w:rFonts w:ascii="Palatino Linotype" w:eastAsia="Palatino Linotype" w:hAnsi="Palatino Linotype" w:cs="Palatino Linotype"/>
        </w:rPr>
      </w:pPr>
    </w:p>
    <w:p w:rsidR="00F22820" w:rsidRPr="006F1BBF" w:rsidRDefault="002A78E6">
      <w:pPr>
        <w:pBdr>
          <w:top w:val="nil"/>
          <w:left w:val="nil"/>
          <w:bottom w:val="nil"/>
          <w:right w:val="nil"/>
          <w:between w:val="nil"/>
        </w:pBdr>
        <w:spacing w:line="360" w:lineRule="auto"/>
        <w:jc w:val="center"/>
        <w:rPr>
          <w:rFonts w:ascii="Palatino Linotype" w:eastAsia="Palatino Linotype" w:hAnsi="Palatino Linotype" w:cs="Palatino Linotype"/>
          <w:b/>
          <w:bCs/>
        </w:rPr>
      </w:pPr>
      <w:r w:rsidRPr="006F1BBF">
        <w:rPr>
          <w:rFonts w:ascii="Palatino Linotype" w:eastAsia="Palatino Linotype" w:hAnsi="Palatino Linotype" w:cs="Palatino Linotype"/>
          <w:b/>
          <w:bCs/>
        </w:rPr>
        <w:t>R</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E</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S</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U</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E</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L</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V</w:t>
      </w:r>
      <w:r w:rsidR="006F1BBF">
        <w:rPr>
          <w:rFonts w:ascii="Palatino Linotype" w:eastAsia="Palatino Linotype" w:hAnsi="Palatino Linotype" w:cs="Palatino Linotype"/>
          <w:b/>
          <w:bCs/>
        </w:rPr>
        <w:t xml:space="preserve"> </w:t>
      </w:r>
      <w:r w:rsidRPr="006F1BBF">
        <w:rPr>
          <w:rFonts w:ascii="Palatino Linotype" w:eastAsia="Palatino Linotype" w:hAnsi="Palatino Linotype" w:cs="Palatino Linotype"/>
          <w:b/>
          <w:bCs/>
        </w:rPr>
        <w:t>E</w:t>
      </w:r>
    </w:p>
    <w:p w:rsidR="00F22820" w:rsidRPr="006F1BBF" w:rsidRDefault="002A78E6">
      <w:pPr>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b/>
          <w:bCs/>
        </w:rPr>
        <w:t>PRIMERO</w:t>
      </w:r>
      <w:r w:rsidRPr="006F1BBF">
        <w:rPr>
          <w:rFonts w:ascii="Palatino Linotype" w:eastAsia="Palatino Linotype" w:hAnsi="Palatino Linotype" w:cs="Palatino Linotype"/>
        </w:rPr>
        <w:t xml:space="preserve">. Resultan </w:t>
      </w:r>
      <w:r w:rsidRPr="006F1BBF">
        <w:rPr>
          <w:rFonts w:ascii="Palatino Linotype" w:eastAsia="Palatino Linotype" w:hAnsi="Palatino Linotype" w:cs="Palatino Linotype"/>
          <w:b/>
          <w:bCs/>
        </w:rPr>
        <w:t>fundadas</w:t>
      </w:r>
      <w:r w:rsidRPr="006F1BBF">
        <w:rPr>
          <w:rFonts w:ascii="Palatino Linotype" w:eastAsia="Palatino Linotype" w:hAnsi="Palatino Linotype" w:cs="Palatino Linotype"/>
        </w:rPr>
        <w:t xml:space="preserve"> las razones o motivos de inconformidad planteadas por </w:t>
      </w:r>
      <w:r w:rsidRPr="006F1BBF">
        <w:rPr>
          <w:rFonts w:ascii="Palatino Linotype" w:eastAsia="Palatino Linotype" w:hAnsi="Palatino Linotype" w:cs="Palatino Linotype"/>
          <w:b/>
          <w:bCs/>
        </w:rPr>
        <w:t>EL RECURRENTE</w:t>
      </w:r>
      <w:r w:rsidRPr="006F1BBF">
        <w:rPr>
          <w:rFonts w:ascii="Palatino Linotype" w:eastAsia="Palatino Linotype" w:hAnsi="Palatino Linotype" w:cs="Palatino Linotype"/>
        </w:rPr>
        <w:t xml:space="preserve">, en términos del Considerando </w:t>
      </w:r>
      <w:r w:rsidRPr="006F1BBF">
        <w:rPr>
          <w:rFonts w:ascii="Palatino Linotype" w:eastAsia="Palatino Linotype" w:hAnsi="Palatino Linotype" w:cs="Palatino Linotype"/>
          <w:b/>
          <w:bCs/>
        </w:rPr>
        <w:t>CUARTO</w:t>
      </w:r>
      <w:r w:rsidRPr="006F1BBF">
        <w:rPr>
          <w:rFonts w:ascii="Palatino Linotype" w:eastAsia="Palatino Linotype" w:hAnsi="Palatino Linotype" w:cs="Palatino Linotype"/>
        </w:rPr>
        <w:t xml:space="preserve"> de la presente resolución.</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spacing w:line="360" w:lineRule="auto"/>
        <w:jc w:val="both"/>
        <w:rPr>
          <w:rFonts w:ascii="Palatino Linotype" w:eastAsia="Palatino Linotype" w:hAnsi="Palatino Linotype" w:cs="Palatino Linotype"/>
          <w:b/>
          <w:bCs/>
        </w:rPr>
      </w:pPr>
      <w:r w:rsidRPr="006F1BBF">
        <w:rPr>
          <w:rFonts w:ascii="Palatino Linotype" w:eastAsia="Palatino Linotype" w:hAnsi="Palatino Linotype" w:cs="Palatino Linotype"/>
          <w:b/>
          <w:bCs/>
        </w:rPr>
        <w:t>SEGUNDO</w:t>
      </w:r>
      <w:r w:rsidRPr="006F1BBF">
        <w:rPr>
          <w:rFonts w:ascii="Palatino Linotype" w:eastAsia="Palatino Linotype" w:hAnsi="Palatino Linotype" w:cs="Palatino Linotype"/>
        </w:rPr>
        <w:t xml:space="preserve">. Se </w:t>
      </w:r>
      <w:r w:rsidRPr="006F1BBF">
        <w:rPr>
          <w:rFonts w:ascii="Palatino Linotype" w:eastAsia="Palatino Linotype" w:hAnsi="Palatino Linotype" w:cs="Palatino Linotype"/>
          <w:b/>
          <w:bCs/>
        </w:rPr>
        <w:t xml:space="preserve">REVOCAN </w:t>
      </w:r>
      <w:r w:rsidRPr="006F1BBF">
        <w:rPr>
          <w:rFonts w:ascii="Palatino Linotype" w:eastAsia="Palatino Linotype" w:hAnsi="Palatino Linotype" w:cs="Palatino Linotype"/>
        </w:rPr>
        <w:t>las respuestas proporcionadas por el</w:t>
      </w:r>
      <w:r w:rsidRPr="006F1BBF">
        <w:rPr>
          <w:rFonts w:ascii="Palatino Linotype" w:eastAsia="Palatino Linotype" w:hAnsi="Palatino Linotype" w:cs="Palatino Linotype"/>
          <w:b/>
          <w:bCs/>
        </w:rPr>
        <w:t xml:space="preserve"> Ayuntamiento de Toluca</w:t>
      </w:r>
      <w:r w:rsidRPr="006F1BBF">
        <w:rPr>
          <w:rFonts w:ascii="Palatino Linotype" w:eastAsia="Palatino Linotype" w:hAnsi="Palatino Linotype" w:cs="Palatino Linotype"/>
        </w:rPr>
        <w:t xml:space="preserve"> a las solicitudes de información </w:t>
      </w:r>
      <w:r w:rsidRPr="006F1BBF">
        <w:rPr>
          <w:rFonts w:ascii="Palatino Linotype" w:eastAsia="Palatino Linotype" w:hAnsi="Palatino Linotype" w:cs="Palatino Linotype"/>
          <w:b/>
          <w:bCs/>
        </w:rPr>
        <w:t xml:space="preserve">00351/TOLUCA/IP/2026 y 00345/TOLUCA/IP/2026, </w:t>
      </w:r>
      <w:r w:rsidRPr="006F1BBF">
        <w:rPr>
          <w:rFonts w:ascii="Palatino Linotype" w:eastAsia="Palatino Linotype" w:hAnsi="Palatino Linotype" w:cs="Palatino Linotype"/>
        </w:rPr>
        <w:t>en términos del considerando</w:t>
      </w:r>
      <w:r w:rsidRPr="006F1BBF">
        <w:rPr>
          <w:rFonts w:ascii="Palatino Linotype" w:eastAsia="Palatino Linotype" w:hAnsi="Palatino Linotype" w:cs="Palatino Linotype"/>
          <w:b/>
          <w:bCs/>
        </w:rPr>
        <w:t xml:space="preserve"> CUARTO </w:t>
      </w:r>
      <w:r w:rsidRPr="006F1BBF">
        <w:rPr>
          <w:rFonts w:ascii="Palatino Linotype" w:eastAsia="Palatino Linotype" w:hAnsi="Palatino Linotype" w:cs="Palatino Linotype"/>
        </w:rPr>
        <w:t xml:space="preserve">de la presente resolución y se </w:t>
      </w:r>
      <w:r w:rsidRPr="006F1BBF">
        <w:rPr>
          <w:rFonts w:ascii="Palatino Linotype" w:eastAsia="Palatino Linotype" w:hAnsi="Palatino Linotype" w:cs="Palatino Linotype"/>
          <w:b/>
          <w:bCs/>
        </w:rPr>
        <w:t>ORDENA</w:t>
      </w:r>
      <w:r w:rsidRPr="006F1BBF">
        <w:rPr>
          <w:rFonts w:ascii="Palatino Linotype" w:eastAsia="Palatino Linotype" w:hAnsi="Palatino Linotype" w:cs="Palatino Linotype"/>
        </w:rPr>
        <w:t xml:space="preserve"> entregue al</w:t>
      </w:r>
      <w:r w:rsidRPr="006F1BBF">
        <w:rPr>
          <w:rFonts w:ascii="Palatino Linotype" w:eastAsia="Palatino Linotype" w:hAnsi="Palatino Linotype" w:cs="Palatino Linotype"/>
          <w:b/>
          <w:bCs/>
        </w:rPr>
        <w:t xml:space="preserve"> RECURRENTE, </w:t>
      </w:r>
      <w:r w:rsidRPr="006F1BBF">
        <w:rPr>
          <w:rFonts w:ascii="Palatino Linotype" w:eastAsia="Palatino Linotype" w:hAnsi="Palatino Linotype" w:cs="Palatino Linotype"/>
        </w:rPr>
        <w:t xml:space="preserve">previa búsqueda exhaustiva y razonable, de ser </w:t>
      </w:r>
      <w:r w:rsidR="00BF5518" w:rsidRPr="006F1BBF">
        <w:rPr>
          <w:rFonts w:ascii="Palatino Linotype" w:eastAsia="Palatino Linotype" w:hAnsi="Palatino Linotype" w:cs="Palatino Linotype"/>
        </w:rPr>
        <w:t xml:space="preserve">procedente en versión pública, </w:t>
      </w:r>
      <w:r w:rsidRPr="006F1BBF">
        <w:rPr>
          <w:rFonts w:ascii="Palatino Linotype" w:eastAsia="Palatino Linotype" w:hAnsi="Palatino Linotype" w:cs="Palatino Linotype"/>
        </w:rPr>
        <w:t xml:space="preserve">a través del Sistema de Acceso a la Información Mexiquense </w:t>
      </w:r>
      <w:r w:rsidRPr="006F1BBF">
        <w:rPr>
          <w:rFonts w:ascii="Palatino Linotype" w:eastAsia="Palatino Linotype" w:hAnsi="Palatino Linotype" w:cs="Palatino Linotype"/>
          <w:b/>
          <w:bCs/>
        </w:rPr>
        <w:t>(SAIMEX)</w:t>
      </w:r>
      <w:r w:rsidRPr="006F1BBF">
        <w:rPr>
          <w:rFonts w:ascii="Palatino Linotype" w:eastAsia="Palatino Linotype" w:hAnsi="Palatino Linotype" w:cs="Palatino Linotype"/>
        </w:rPr>
        <w:t xml:space="preserve">, lo siguiente: </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numPr>
          <w:ilvl w:val="0"/>
          <w:numId w:val="4"/>
        </w:numPr>
        <w:pBdr>
          <w:top w:val="nil"/>
          <w:left w:val="nil"/>
          <w:bottom w:val="nil"/>
          <w:right w:val="nil"/>
          <w:between w:val="nil"/>
        </w:pBdr>
        <w:spacing w:line="360" w:lineRule="auto"/>
        <w:ind w:right="474"/>
        <w:jc w:val="both"/>
        <w:rPr>
          <w:rFonts w:ascii="Palatino Linotype" w:eastAsia="Palatino Linotype" w:hAnsi="Palatino Linotype" w:cs="Palatino Linotype"/>
          <w:color w:val="000000"/>
        </w:rPr>
      </w:pPr>
      <w:r w:rsidRPr="006F1BBF">
        <w:rPr>
          <w:rFonts w:ascii="Palatino Linotype" w:eastAsia="Palatino Linotype" w:hAnsi="Palatino Linotype" w:cs="Palatino Linotype"/>
          <w:color w:val="000000"/>
        </w:rPr>
        <w:t xml:space="preserve">Los oficios emitidos y recibidos por la Preceptoría Juvenil Regional de Reintegración Social, de los meses de abril y octubre de dos mil veinticinco. </w:t>
      </w:r>
    </w:p>
    <w:p w:rsidR="00F22820" w:rsidRPr="006F1BBF" w:rsidRDefault="00F22820">
      <w:pPr>
        <w:pBdr>
          <w:top w:val="nil"/>
          <w:left w:val="nil"/>
          <w:bottom w:val="nil"/>
          <w:right w:val="nil"/>
          <w:between w:val="nil"/>
        </w:pBdr>
        <w:spacing w:line="360" w:lineRule="auto"/>
        <w:ind w:left="778" w:right="474"/>
        <w:jc w:val="both"/>
        <w:rPr>
          <w:rFonts w:ascii="Palatino Linotype" w:eastAsia="Palatino Linotype" w:hAnsi="Palatino Linotype" w:cs="Palatino Linotype"/>
          <w:color w:val="000000"/>
        </w:rPr>
      </w:pPr>
    </w:p>
    <w:p w:rsidR="00F22820" w:rsidRPr="006F1BBF" w:rsidRDefault="002A78E6">
      <w:pPr>
        <w:tabs>
          <w:tab w:val="left" w:pos="8080"/>
        </w:tabs>
        <w:spacing w:line="360" w:lineRule="auto"/>
        <w:jc w:val="both"/>
        <w:rPr>
          <w:rFonts w:ascii="Palatino Linotype" w:eastAsia="Palatino Linotype" w:hAnsi="Palatino Linotype" w:cs="Palatino Linotype"/>
          <w:b/>
          <w:bCs/>
        </w:rPr>
      </w:pPr>
      <w:r w:rsidRPr="006F1BBF">
        <w:rPr>
          <w:rFonts w:ascii="Palatino Linotype" w:eastAsia="Palatino Linotype" w:hAnsi="Palatino Linotype" w:cs="Palatino Linotype"/>
        </w:rPr>
        <w:lastRenderedPageBreak/>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documentos que se clasifiquen en su totalidad como confidenciales, objeto de las versiones públicas que se formulen y se pongan a disposición del</w:t>
      </w:r>
      <w:r w:rsidRPr="006F1BBF">
        <w:rPr>
          <w:rFonts w:ascii="Palatino Linotype" w:eastAsia="Palatino Linotype" w:hAnsi="Palatino Linotype" w:cs="Palatino Linotype"/>
          <w:b/>
          <w:bCs/>
        </w:rPr>
        <w:t xml:space="preserve"> RECURRENTE.</w:t>
      </w:r>
    </w:p>
    <w:p w:rsidR="00F22820" w:rsidRPr="006F1BBF" w:rsidRDefault="00F22820">
      <w:pPr>
        <w:tabs>
          <w:tab w:val="left" w:pos="8080"/>
        </w:tabs>
        <w:spacing w:line="360" w:lineRule="auto"/>
        <w:jc w:val="both"/>
        <w:rPr>
          <w:rFonts w:ascii="Palatino Linotype" w:eastAsia="Palatino Linotype" w:hAnsi="Palatino Linotype" w:cs="Palatino Linotype"/>
          <w:b/>
          <w:bCs/>
        </w:rPr>
      </w:pPr>
    </w:p>
    <w:p w:rsidR="00F22820" w:rsidRPr="006F1BBF" w:rsidRDefault="002A78E6">
      <w:pPr>
        <w:tabs>
          <w:tab w:val="left" w:pos="8080"/>
        </w:tabs>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rPr>
        <w:t xml:space="preserve">Para el caso de que el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no cuente con oficios emitidos</w:t>
      </w:r>
      <w:r w:rsidR="00B97C2D" w:rsidRPr="006F1BBF">
        <w:rPr>
          <w:rFonts w:ascii="Palatino Linotype" w:eastAsia="Palatino Linotype" w:hAnsi="Palatino Linotype" w:cs="Palatino Linotype"/>
        </w:rPr>
        <w:t xml:space="preserve"> y/o recibidos</w:t>
      </w:r>
      <w:r w:rsidRPr="006F1BBF">
        <w:rPr>
          <w:rFonts w:ascii="Palatino Linotype" w:eastAsia="Palatino Linotype" w:hAnsi="Palatino Linotype" w:cs="Palatino Linotype"/>
        </w:rPr>
        <w:t xml:space="preserve"> en algunos de los días del periodo que se está ordenando o bien algunos oficios hayan sido cancelados, bastará con que así lo haga del conocimiento de la parte </w:t>
      </w:r>
      <w:r w:rsidRPr="006F1BBF">
        <w:rPr>
          <w:rFonts w:ascii="Palatino Linotype" w:eastAsia="Palatino Linotype" w:hAnsi="Palatino Linotype" w:cs="Palatino Linotype"/>
          <w:b/>
          <w:bCs/>
        </w:rPr>
        <w:t>RECURRENTE</w:t>
      </w:r>
      <w:r w:rsidRPr="006F1BBF">
        <w:rPr>
          <w:rFonts w:ascii="Palatino Linotype" w:eastAsia="Palatino Linotype" w:hAnsi="Palatino Linotype" w:cs="Palatino Linotype"/>
        </w:rPr>
        <w:t>, de manera clara y precisa, en términos del artículo 19, párrafo segundo de la Ley de Transparencia y Acceso a la Información pública del Estado de México y Municipios para tener por colmado el requerimiento de información.</w:t>
      </w:r>
    </w:p>
    <w:p w:rsidR="00F22820" w:rsidRPr="006F1BBF" w:rsidRDefault="00F22820">
      <w:pPr>
        <w:tabs>
          <w:tab w:val="left" w:pos="8080"/>
        </w:tabs>
        <w:spacing w:line="360" w:lineRule="auto"/>
        <w:jc w:val="both"/>
        <w:rPr>
          <w:rFonts w:ascii="Palatino Linotype" w:eastAsia="Palatino Linotype" w:hAnsi="Palatino Linotype" w:cs="Palatino Linotype"/>
          <w:b/>
          <w:bCs/>
        </w:rPr>
      </w:pPr>
    </w:p>
    <w:p w:rsidR="00F22820" w:rsidRPr="006F1BBF" w:rsidRDefault="00F22820">
      <w:pPr>
        <w:spacing w:line="276" w:lineRule="auto"/>
        <w:ind w:right="333"/>
        <w:jc w:val="both"/>
        <w:rPr>
          <w:rFonts w:ascii="Palatino Linotype" w:eastAsia="Palatino Linotype" w:hAnsi="Palatino Linotype" w:cs="Palatino Linotype"/>
        </w:rPr>
      </w:pPr>
    </w:p>
    <w:p w:rsidR="00F22820" w:rsidRPr="006F1BBF" w:rsidRDefault="002A78E6">
      <w:pPr>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b/>
          <w:bCs/>
        </w:rPr>
        <w:t>TERCERO. NOTIFÍQUESE</w:t>
      </w:r>
      <w:r w:rsidRPr="006F1BBF">
        <w:rPr>
          <w:rFonts w:ascii="Palatino Linotype" w:eastAsia="Palatino Linotype" w:hAnsi="Palatino Linotype" w:cs="Palatino Linotype"/>
        </w:rPr>
        <w:t xml:space="preserve"> la presente resolución al Titular de la Unidad de Transparencia del Sujeto Obligado </w:t>
      </w:r>
      <w:r w:rsidRPr="006F1BBF">
        <w:rPr>
          <w:rFonts w:ascii="Palatino Linotype" w:eastAsia="Palatino Linotype" w:hAnsi="Palatino Linotype" w:cs="Palatino Linotype"/>
          <w:b/>
          <w:bCs/>
        </w:rPr>
        <w:t>vía SAIMEX</w:t>
      </w:r>
      <w:r w:rsidRPr="006F1BBF">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6F1BBF">
        <w:rPr>
          <w:rFonts w:ascii="Palatino Linotype" w:eastAsia="Palatino Linotype" w:hAnsi="Palatino Linotype" w:cs="Palatino Linotype"/>
          <w:b/>
        </w:rPr>
        <w:t>dé cumplimiento a lo ordenado dentro del plazo de diez días hábiles</w:t>
      </w:r>
      <w:r w:rsidRPr="006F1BBF">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22820" w:rsidRPr="006F1BBF" w:rsidRDefault="002A78E6">
      <w:pPr>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b/>
          <w:bCs/>
        </w:rPr>
        <w:lastRenderedPageBreak/>
        <w:t xml:space="preserve">CUARTO. </w:t>
      </w:r>
      <w:r w:rsidRPr="006F1BB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F1BBF">
        <w:rPr>
          <w:rFonts w:ascii="Palatino Linotype" w:eastAsia="Palatino Linotype" w:hAnsi="Palatino Linotype" w:cs="Palatino Linotype"/>
          <w:b/>
          <w:bCs/>
        </w:rPr>
        <w:t>SUJETO OBLIGADO</w:t>
      </w:r>
      <w:r w:rsidRPr="006F1BBF">
        <w:rPr>
          <w:rFonts w:ascii="Palatino Linotype" w:eastAsia="Palatino Linotype" w:hAnsi="Palatino Linotype" w:cs="Palatino Linotype"/>
        </w:rPr>
        <w:t xml:space="preserve"> de manera fundada y motivada, podrá solicitar una ampliación de plazo para el cumplimiento de la presente resolución.</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spacing w:line="360" w:lineRule="auto"/>
        <w:jc w:val="both"/>
        <w:rPr>
          <w:rFonts w:ascii="Palatino Linotype" w:eastAsia="Palatino Linotype" w:hAnsi="Palatino Linotype" w:cs="Palatino Linotype"/>
          <w:b/>
          <w:bCs/>
        </w:rPr>
      </w:pPr>
      <w:r w:rsidRPr="006F1BBF">
        <w:rPr>
          <w:rFonts w:ascii="Palatino Linotype" w:eastAsia="Palatino Linotype" w:hAnsi="Palatino Linotype" w:cs="Palatino Linotype"/>
          <w:b/>
          <w:bCs/>
        </w:rPr>
        <w:t xml:space="preserve">QUINTO. </w:t>
      </w:r>
      <w:r w:rsidRPr="006F1BBF">
        <w:rPr>
          <w:rFonts w:ascii="Palatino Linotype" w:eastAsia="Palatino Linotype" w:hAnsi="Palatino Linotype" w:cs="Palatino Linotype"/>
        </w:rPr>
        <w:t xml:space="preserve">Notifíquese a </w:t>
      </w:r>
      <w:r w:rsidRPr="006F1BBF">
        <w:rPr>
          <w:rFonts w:ascii="Palatino Linotype" w:eastAsia="Palatino Linotype" w:hAnsi="Palatino Linotype" w:cs="Palatino Linotype"/>
          <w:b/>
          <w:bCs/>
        </w:rPr>
        <w:t>EL RECURRENTE</w:t>
      </w:r>
      <w:r w:rsidRPr="006F1BBF">
        <w:rPr>
          <w:rFonts w:ascii="Palatino Linotype" w:eastAsia="Palatino Linotype" w:hAnsi="Palatino Linotype" w:cs="Palatino Linotype"/>
        </w:rPr>
        <w:t xml:space="preserve"> la presente resolución, </w:t>
      </w:r>
      <w:r w:rsidRPr="006F1BBF">
        <w:rPr>
          <w:rFonts w:ascii="Palatino Linotype" w:eastAsia="Palatino Linotype" w:hAnsi="Palatino Linotype" w:cs="Palatino Linotype"/>
          <w:b/>
          <w:bCs/>
        </w:rPr>
        <w:t>vía SAIMEX.</w:t>
      </w:r>
    </w:p>
    <w:p w:rsidR="00F22820" w:rsidRPr="006F1BBF" w:rsidRDefault="00F22820">
      <w:pPr>
        <w:spacing w:line="360" w:lineRule="auto"/>
        <w:jc w:val="both"/>
        <w:rPr>
          <w:rFonts w:ascii="Palatino Linotype" w:eastAsia="Palatino Linotype" w:hAnsi="Palatino Linotype" w:cs="Palatino Linotype"/>
        </w:rPr>
      </w:pPr>
    </w:p>
    <w:p w:rsidR="00F22820" w:rsidRPr="006F1BBF" w:rsidRDefault="002A78E6">
      <w:pPr>
        <w:tabs>
          <w:tab w:val="left" w:pos="8080"/>
        </w:tabs>
        <w:spacing w:line="360" w:lineRule="auto"/>
        <w:ind w:right="49"/>
        <w:jc w:val="both"/>
        <w:rPr>
          <w:rFonts w:ascii="Palatino Linotype" w:eastAsia="Palatino Linotype" w:hAnsi="Palatino Linotype" w:cs="Palatino Linotype"/>
        </w:rPr>
      </w:pPr>
      <w:r w:rsidRPr="006F1BBF">
        <w:rPr>
          <w:rFonts w:ascii="Palatino Linotype" w:eastAsia="Palatino Linotype" w:hAnsi="Palatino Linotype" w:cs="Palatino Linotype"/>
          <w:b/>
          <w:bCs/>
        </w:rPr>
        <w:t>SEXTO.</w:t>
      </w:r>
      <w:r w:rsidRPr="006F1BBF">
        <w:rPr>
          <w:rFonts w:ascii="Palatino Linotype" w:eastAsia="Palatino Linotype" w:hAnsi="Palatino Linotype" w:cs="Palatino Linotype"/>
        </w:rPr>
        <w:t xml:space="preserve"> Se hace del conocimiento del </w:t>
      </w:r>
      <w:r w:rsidRPr="006F1BBF">
        <w:rPr>
          <w:rFonts w:ascii="Palatino Linotype" w:eastAsia="Palatino Linotype" w:hAnsi="Palatino Linotype" w:cs="Palatino Linotype"/>
          <w:b/>
          <w:bCs/>
        </w:rPr>
        <w:t>RECURRENTE</w:t>
      </w:r>
      <w:r w:rsidRPr="006F1BBF">
        <w:rPr>
          <w:rFonts w:ascii="Palatino Linotype" w:eastAsia="Palatino Linotype" w:hAnsi="Palatino Linotype" w:cs="Palatino Linotype"/>
        </w:rPr>
        <w:t xml:space="preserve"> que de conformidad con lo establecido en el artículo 196 de la Ley de Transparencia y Acceso a la Información</w:t>
      </w:r>
    </w:p>
    <w:p w:rsidR="00F22820" w:rsidRPr="006F1BBF" w:rsidRDefault="002A78E6">
      <w:pPr>
        <w:shd w:val="clear" w:color="auto" w:fill="FFFFFF"/>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rPr>
        <w:t>Pública del Estado de México y Municipios, en caso de que considere que la resolución le cause algún perjuicio podrá impugnarla, vía juicio de amparo en los</w:t>
      </w:r>
    </w:p>
    <w:p w:rsidR="00F22820" w:rsidRPr="006F1BBF" w:rsidRDefault="002A78E6">
      <w:pPr>
        <w:shd w:val="clear" w:color="auto" w:fill="FFFFFF"/>
        <w:spacing w:line="360" w:lineRule="auto"/>
        <w:jc w:val="both"/>
        <w:rPr>
          <w:rFonts w:ascii="Palatino Linotype" w:eastAsia="Palatino Linotype" w:hAnsi="Palatino Linotype" w:cs="Palatino Linotype"/>
        </w:rPr>
      </w:pPr>
      <w:r w:rsidRPr="006F1BBF">
        <w:rPr>
          <w:rFonts w:ascii="Palatino Linotype" w:eastAsia="Palatino Linotype" w:hAnsi="Palatino Linotype" w:cs="Palatino Linotype"/>
        </w:rPr>
        <w:t>Términos de las Leyes aplicables.</w:t>
      </w:r>
    </w:p>
    <w:p w:rsidR="00F22820" w:rsidRPr="006F1BBF" w:rsidRDefault="00F22820">
      <w:pPr>
        <w:shd w:val="clear" w:color="auto" w:fill="FFFFFF"/>
        <w:spacing w:line="360" w:lineRule="auto"/>
        <w:jc w:val="both"/>
        <w:rPr>
          <w:rFonts w:ascii="Palatino Linotype" w:eastAsia="Palatino Linotype" w:hAnsi="Palatino Linotype" w:cs="Palatino Linotype"/>
        </w:rPr>
      </w:pPr>
    </w:p>
    <w:p w:rsidR="00BF5518" w:rsidRPr="006F1BBF" w:rsidRDefault="00BF5518" w:rsidP="00BF5518">
      <w:pPr>
        <w:spacing w:before="240" w:after="240" w:line="360" w:lineRule="auto"/>
        <w:ind w:firstLine="1"/>
        <w:jc w:val="both"/>
        <w:rPr>
          <w:rFonts w:ascii="Palatino Linotype" w:hAnsi="Palatino Linotype"/>
        </w:rPr>
      </w:pPr>
      <w:bookmarkStart w:id="8" w:name="_Hlk99014733"/>
      <w:r w:rsidRPr="006F1BB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6F1BBF">
        <w:rPr>
          <w:rFonts w:ascii="Palatino Linotype" w:hAnsi="Palatino Linotype" w:cs="Palatino Linotype"/>
          <w:color w:val="000000" w:themeColor="text1"/>
        </w:rPr>
        <w:t>ALEXIS TAPIA RAMÍREZ.</w:t>
      </w:r>
    </w:p>
    <w:bookmarkEnd w:id="8"/>
    <w:p w:rsidR="00F22820" w:rsidRPr="006F1BBF" w:rsidRDefault="00F22820"/>
    <w:p w:rsidR="00DC23C8" w:rsidRPr="006F1BBF" w:rsidRDefault="00DC23C8"/>
    <w:p w:rsidR="00DC23C8" w:rsidRPr="006F1BBF" w:rsidRDefault="00DC23C8"/>
    <w:p w:rsidR="00DC23C8" w:rsidRPr="006F1BBF" w:rsidRDefault="00DC23C8"/>
    <w:p w:rsidR="00DC23C8" w:rsidRPr="006F1BBF" w:rsidRDefault="00DC23C8"/>
    <w:p w:rsidR="00DC23C8" w:rsidRPr="006F1BBF" w:rsidRDefault="00DC23C8"/>
    <w:p w:rsidR="00DC23C8" w:rsidRPr="006F1BBF" w:rsidRDefault="00DC23C8"/>
    <w:sectPr w:rsidR="00DC23C8" w:rsidRPr="006F1BBF" w:rsidSect="006F1BBF">
      <w:headerReference w:type="default" r:id="rId8"/>
      <w:footerReference w:type="default" r:id="rId9"/>
      <w:headerReference w:type="first" r:id="rId10"/>
      <w:footerReference w:type="first" r:id="rId11"/>
      <w:pgSz w:w="12240" w:h="15840"/>
      <w:pgMar w:top="2268" w:right="1325" w:bottom="1560"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F89" w:rsidRDefault="000C4F89">
      <w:r>
        <w:separator/>
      </w:r>
    </w:p>
  </w:endnote>
  <w:endnote w:type="continuationSeparator" w:id="0">
    <w:p w:rsidR="000C4F89" w:rsidRDefault="000C4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C4BEA48-906C-43F8-899D-231C8267A00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66A8A1DE-741F-4D8A-87E1-946FCA2FEA39}"/>
    <w:embedBold r:id="rId3" w:fontKey="{28A8DD8D-8E5E-4365-B1E5-9897FF31DBCE}"/>
    <w:embedItalic r:id="rId4" w:fontKey="{6C4DD9C0-2BBC-4607-B8F4-224F681059E1}"/>
    <w:embedBoldItalic r:id="rId5" w:fontKey="{F117C999-A5B6-42F5-9E30-2E64E129899C}"/>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2B9C6890-0B2C-4001-BBAF-6CE84EF6F520}"/>
    <w:embedBold r:id="rId7" w:fontKey="{03983950-D5EB-48F5-93A6-3D877900255F}"/>
  </w:font>
  <w:font w:name="Calibri">
    <w:panose1 w:val="020F0502020204030204"/>
    <w:charset w:val="00"/>
    <w:family w:val="swiss"/>
    <w:pitch w:val="variable"/>
    <w:sig w:usb0="E4002EFF" w:usb1="C200247B" w:usb2="00000009" w:usb3="00000000" w:csb0="000001FF" w:csb1="00000000"/>
    <w:embedRegular r:id="rId8" w:fontKey="{EC8865CA-49A1-4297-A64C-E21462399D99}"/>
  </w:font>
  <w:font w:name="Georgia">
    <w:panose1 w:val="02040502050405020303"/>
    <w:charset w:val="00"/>
    <w:family w:val="roman"/>
    <w:pitch w:val="variable"/>
    <w:sig w:usb0="00000287" w:usb1="00000000" w:usb2="00000000" w:usb3="00000000" w:csb0="0000009F" w:csb1="00000000"/>
    <w:embedItalic r:id="rId9" w:fontKey="{FF0C07E4-F25F-4806-87E2-1BE608C0BA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820" w:rsidRDefault="002A78E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8"/>
        <w:szCs w:val="28"/>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6F1BBF">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6F1BBF">
      <w:rPr>
        <w:rFonts w:ascii="Palatino Linotype" w:eastAsia="Palatino Linotype" w:hAnsi="Palatino Linotype" w:cs="Palatino Linotype"/>
        <w:b/>
        <w:bCs/>
        <w:noProof/>
        <w:color w:val="000000"/>
        <w:sz w:val="22"/>
        <w:szCs w:val="22"/>
      </w:rPr>
      <w:t>24</w:t>
    </w:r>
    <w:r>
      <w:rPr>
        <w:rFonts w:ascii="Palatino Linotype" w:eastAsia="Palatino Linotype" w:hAnsi="Palatino Linotype" w:cs="Palatino Linotype"/>
        <w:b/>
        <w:bCs/>
        <w:color w:val="000000"/>
        <w:sz w:val="22"/>
        <w:szCs w:val="22"/>
      </w:rPr>
      <w:fldChar w:fldCharType="end"/>
    </w:r>
  </w:p>
  <w:p w:rsidR="00F22820" w:rsidRDefault="00F22820">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820" w:rsidRDefault="002A78E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F1BBF">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F1BBF">
      <w:rPr>
        <w:rFonts w:ascii="Palatino Linotype" w:eastAsia="Palatino Linotype" w:hAnsi="Palatino Linotype" w:cs="Palatino Linotype"/>
        <w:noProof/>
        <w:color w:val="000000"/>
        <w:sz w:val="22"/>
        <w:szCs w:val="22"/>
      </w:rPr>
      <w:t>24</w:t>
    </w:r>
    <w:r>
      <w:rPr>
        <w:rFonts w:ascii="Palatino Linotype" w:eastAsia="Palatino Linotype" w:hAnsi="Palatino Linotype" w:cs="Palatino Linotype"/>
        <w:color w:val="000000"/>
        <w:sz w:val="22"/>
        <w:szCs w:val="22"/>
      </w:rPr>
      <w:fldChar w:fldCharType="end"/>
    </w:r>
  </w:p>
  <w:p w:rsidR="00F22820" w:rsidRDefault="00F2282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F89" w:rsidRDefault="000C4F89">
      <w:r>
        <w:separator/>
      </w:r>
    </w:p>
  </w:footnote>
  <w:footnote w:type="continuationSeparator" w:id="0">
    <w:p w:rsidR="000C4F89" w:rsidRDefault="000C4F89">
      <w:r>
        <w:continuationSeparator/>
      </w:r>
    </w:p>
  </w:footnote>
  <w:footnote w:id="1">
    <w:p w:rsidR="00F22820" w:rsidRDefault="002A78E6">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F22820" w:rsidRDefault="002A78E6">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F22820" w:rsidRDefault="002A78E6">
      <w:pPr>
        <w:pBdr>
          <w:top w:val="nil"/>
          <w:left w:val="nil"/>
          <w:bottom w:val="nil"/>
          <w:right w:val="nil"/>
          <w:between w:val="nil"/>
        </w:pBdr>
        <w:rPr>
          <w:color w:val="000000"/>
        </w:rPr>
      </w:pPr>
      <w:r>
        <w:rPr>
          <w:vertAlign w:val="superscript"/>
        </w:rPr>
        <w:footnoteRef/>
      </w:r>
      <w:r>
        <w:rPr>
          <w:color w:val="000000"/>
        </w:rPr>
        <w:t xml:space="preserve"> Corte Interamericana de Derechos Humanos. Caso Claude Reyes y otros vs. Chile. Sentencia de 19 de septiembre de 2006. Serie C. No. 151. Párr. 86.</w:t>
      </w:r>
    </w:p>
  </w:footnote>
  <w:footnote w:id="4">
    <w:p w:rsidR="00F22820" w:rsidRDefault="002A78E6">
      <w:r>
        <w:rPr>
          <w:vertAlign w:val="superscript"/>
        </w:rPr>
        <w:footnoteRef/>
      </w:r>
    </w:p>
    <w:p w:rsidR="00F22820" w:rsidRDefault="00F22820">
      <w:pPr>
        <w:pBdr>
          <w:top w:val="nil"/>
          <w:left w:val="nil"/>
          <w:bottom w:val="nil"/>
          <w:right w:val="nil"/>
          <w:between w:val="nil"/>
        </w:pBdr>
        <w:rPr>
          <w:color w:val="000000"/>
        </w:rPr>
      </w:pPr>
    </w:p>
  </w:footnote>
  <w:footnote w:id="5">
    <w:p w:rsidR="00F22820" w:rsidRDefault="002A78E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b/>
          <w:bCs/>
          <w:color w:val="000000"/>
          <w:sz w:val="16"/>
          <w:szCs w:val="16"/>
        </w:rPr>
        <w:t xml:space="preserve"> Artículo 53</w:t>
      </w:r>
      <w:r>
        <w:rPr>
          <w:rFonts w:ascii="Palatino Linotype" w:eastAsia="Palatino Linotype" w:hAnsi="Palatino Linotype" w:cs="Palatino Linotype"/>
          <w:color w:val="000000"/>
          <w:sz w:val="16"/>
          <w:szCs w:val="16"/>
        </w:rPr>
        <w:t>. Las Unidades de Transparencia tendrán las siguientes funciones:</w:t>
      </w:r>
    </w:p>
    <w:p w:rsidR="00F22820" w:rsidRDefault="002A78E6">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Recibir, tramitar y dar respuesta a las solicitudes de acceso a la información;</w:t>
      </w:r>
    </w:p>
    <w:p w:rsidR="00F22820" w:rsidRDefault="002A78E6">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IV. Realizar, con efectividad, los trámites internos necesarios para la atención de las solicitudes de acceso a la información;</w:t>
      </w:r>
    </w:p>
  </w:footnote>
  <w:footnote w:id="6">
    <w:p w:rsidR="00F22820" w:rsidRDefault="002A78E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162.</w:t>
      </w:r>
      <w:r>
        <w:rPr>
          <w:rFonts w:ascii="Palatino Linotype" w:eastAsia="Palatino Linotype" w:hAnsi="Palatino Linotype" w:cs="Palatino Linotype"/>
          <w:color w:val="000000"/>
          <w:sz w:val="16"/>
          <w:szCs w:val="16"/>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8449" w:type="dxa"/>
      <w:tblInd w:w="1701" w:type="dxa"/>
      <w:tblBorders>
        <w:top w:val="nil"/>
        <w:left w:val="nil"/>
        <w:bottom w:val="nil"/>
        <w:right w:val="nil"/>
        <w:insideH w:val="nil"/>
        <w:insideV w:val="nil"/>
      </w:tblBorders>
      <w:tblLayout w:type="fixed"/>
      <w:tblLook w:val="0400" w:firstRow="0" w:lastRow="0" w:firstColumn="0" w:lastColumn="0" w:noHBand="0" w:noVBand="1"/>
    </w:tblPr>
    <w:tblGrid>
      <w:gridCol w:w="3686"/>
      <w:gridCol w:w="4763"/>
    </w:tblGrid>
    <w:tr w:rsidR="00F22820" w:rsidTr="006F1BBF">
      <w:trPr>
        <w:trHeight w:val="138"/>
      </w:trPr>
      <w:tc>
        <w:tcPr>
          <w:tcW w:w="3686" w:type="dxa"/>
          <w:vAlign w:val="center"/>
        </w:tcPr>
        <w:p w:rsidR="00F22820" w:rsidRPr="006F1BBF" w:rsidRDefault="002A78E6">
          <w:pPr>
            <w:ind w:right="34"/>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RECURSO DE REVISIÓN:</w:t>
          </w:r>
        </w:p>
      </w:tc>
      <w:tc>
        <w:tcPr>
          <w:tcW w:w="4763" w:type="dxa"/>
          <w:vAlign w:val="center"/>
        </w:tcPr>
        <w:p w:rsidR="00F22820" w:rsidRPr="006F1BBF" w:rsidRDefault="002A78E6" w:rsidP="006F1BBF">
          <w:pPr>
            <w:pBdr>
              <w:top w:val="nil"/>
              <w:left w:val="nil"/>
              <w:bottom w:val="nil"/>
              <w:right w:val="nil"/>
              <w:between w:val="nil"/>
            </w:pBdr>
            <w:tabs>
              <w:tab w:val="right" w:pos="8504"/>
            </w:tabs>
            <w:rPr>
              <w:rFonts w:ascii="Palatino Linotype" w:eastAsia="Palatino Linotype" w:hAnsi="Palatino Linotype" w:cs="Palatino Linotype"/>
              <w:b/>
              <w:bCs/>
              <w:color w:val="000000"/>
              <w:szCs w:val="22"/>
            </w:rPr>
          </w:pPr>
          <w:r w:rsidRPr="006F1BBF">
            <w:rPr>
              <w:rFonts w:ascii="Palatino Linotype" w:eastAsia="Palatino Linotype" w:hAnsi="Palatino Linotype" w:cs="Palatino Linotype"/>
              <w:b/>
              <w:bCs/>
              <w:color w:val="000000"/>
              <w:szCs w:val="22"/>
            </w:rPr>
            <w:t> 01798/INFOEM/IP/RR/2026 y acumulado</w:t>
          </w:r>
        </w:p>
      </w:tc>
    </w:tr>
    <w:tr w:rsidR="00F22820" w:rsidTr="006F1BBF">
      <w:trPr>
        <w:trHeight w:val="233"/>
      </w:trPr>
      <w:tc>
        <w:tcPr>
          <w:tcW w:w="3686" w:type="dxa"/>
          <w:vAlign w:val="center"/>
        </w:tcPr>
        <w:p w:rsidR="00F22820" w:rsidRPr="006F1BBF" w:rsidRDefault="002A78E6">
          <w:pPr>
            <w:ind w:right="34"/>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SUJETO OBLIGADO:</w:t>
          </w:r>
        </w:p>
      </w:tc>
      <w:tc>
        <w:tcPr>
          <w:tcW w:w="4763" w:type="dxa"/>
          <w:vAlign w:val="center"/>
        </w:tcPr>
        <w:p w:rsidR="00F22820" w:rsidRPr="006F1BBF" w:rsidRDefault="002A78E6" w:rsidP="006F1BBF">
          <w:pPr>
            <w:pBdr>
              <w:top w:val="nil"/>
              <w:left w:val="nil"/>
              <w:bottom w:val="nil"/>
              <w:right w:val="nil"/>
              <w:between w:val="nil"/>
            </w:pBdr>
            <w:tabs>
              <w:tab w:val="center" w:pos="4252"/>
              <w:tab w:val="right" w:pos="8504"/>
            </w:tabs>
            <w:rPr>
              <w:rFonts w:ascii="Palatino Linotype" w:eastAsia="Palatino Linotype" w:hAnsi="Palatino Linotype" w:cs="Palatino Linotype"/>
              <w:b/>
              <w:bCs/>
              <w:color w:val="000000"/>
              <w:szCs w:val="22"/>
            </w:rPr>
          </w:pPr>
          <w:r w:rsidRPr="006F1BBF">
            <w:rPr>
              <w:rFonts w:ascii="Palatino Linotype" w:eastAsia="Palatino Linotype" w:hAnsi="Palatino Linotype" w:cs="Palatino Linotype"/>
              <w:b/>
              <w:bCs/>
              <w:color w:val="000000"/>
              <w:szCs w:val="22"/>
            </w:rPr>
            <w:t>Ayuntamiento de Toluca</w:t>
          </w:r>
        </w:p>
      </w:tc>
    </w:tr>
    <w:tr w:rsidR="00F22820" w:rsidTr="006F1BBF">
      <w:trPr>
        <w:trHeight w:val="321"/>
      </w:trPr>
      <w:tc>
        <w:tcPr>
          <w:tcW w:w="3686" w:type="dxa"/>
          <w:vAlign w:val="center"/>
        </w:tcPr>
        <w:p w:rsidR="00F22820" w:rsidRPr="006F1BBF" w:rsidRDefault="002A78E6">
          <w:pPr>
            <w:ind w:right="34"/>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COMISIONADA PONENTE:</w:t>
          </w:r>
        </w:p>
      </w:tc>
      <w:tc>
        <w:tcPr>
          <w:tcW w:w="4763" w:type="dxa"/>
          <w:vAlign w:val="center"/>
        </w:tcPr>
        <w:p w:rsidR="00F22820" w:rsidRPr="006F1BBF" w:rsidRDefault="002A78E6" w:rsidP="006F1BBF">
          <w:pPr>
            <w:pBdr>
              <w:top w:val="nil"/>
              <w:left w:val="nil"/>
              <w:bottom w:val="nil"/>
              <w:right w:val="nil"/>
              <w:between w:val="nil"/>
            </w:pBdr>
            <w:tabs>
              <w:tab w:val="center" w:pos="4252"/>
              <w:tab w:val="right" w:pos="8504"/>
            </w:tabs>
            <w:rPr>
              <w:rFonts w:ascii="Palatino Linotype" w:eastAsia="Palatino Linotype" w:hAnsi="Palatino Linotype" w:cs="Palatino Linotype"/>
              <w:b/>
              <w:bCs/>
              <w:color w:val="000000"/>
              <w:szCs w:val="22"/>
            </w:rPr>
          </w:pPr>
          <w:r w:rsidRPr="006F1BBF">
            <w:rPr>
              <w:rFonts w:ascii="Palatino Linotype" w:eastAsia="Palatino Linotype" w:hAnsi="Palatino Linotype" w:cs="Palatino Linotype"/>
              <w:b/>
              <w:bCs/>
              <w:color w:val="000000"/>
              <w:szCs w:val="22"/>
            </w:rPr>
            <w:t>María del Rosario Mejía Ayala</w:t>
          </w:r>
        </w:p>
      </w:tc>
    </w:tr>
  </w:tbl>
  <w:p w:rsidR="00F22820" w:rsidRDefault="002A78E6">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simplePos x="0" y="0"/>
          <wp:positionH relativeFrom="page">
            <wp:align>left</wp:align>
          </wp:positionH>
          <wp:positionV relativeFrom="page">
            <wp:align>bottom</wp:align>
          </wp:positionV>
          <wp:extent cx="7695210" cy="10020839"/>
          <wp:effectExtent l="0" t="0" r="127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5210" cy="10020839"/>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8931" w:type="dxa"/>
      <w:tblInd w:w="1625" w:type="dxa"/>
      <w:tblBorders>
        <w:top w:val="nil"/>
        <w:left w:val="nil"/>
        <w:bottom w:val="nil"/>
        <w:right w:val="nil"/>
        <w:insideH w:val="nil"/>
        <w:insideV w:val="nil"/>
      </w:tblBorders>
      <w:tblLayout w:type="fixed"/>
      <w:tblLook w:val="0400" w:firstRow="0" w:lastRow="0" w:firstColumn="0" w:lastColumn="0" w:noHBand="0" w:noVBand="1"/>
    </w:tblPr>
    <w:tblGrid>
      <w:gridCol w:w="3686"/>
      <w:gridCol w:w="5245"/>
    </w:tblGrid>
    <w:tr w:rsidR="00F22820" w:rsidTr="006F1BBF">
      <w:trPr>
        <w:trHeight w:val="138"/>
      </w:trPr>
      <w:tc>
        <w:tcPr>
          <w:tcW w:w="3686" w:type="dxa"/>
          <w:vAlign w:val="center"/>
        </w:tcPr>
        <w:p w:rsidR="00F22820" w:rsidRPr="006F1BBF" w:rsidRDefault="002A78E6">
          <w:pPr>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RECURSO DE REVISIÓN:</w:t>
          </w:r>
        </w:p>
      </w:tc>
      <w:tc>
        <w:tcPr>
          <w:tcW w:w="5245" w:type="dxa"/>
          <w:vAlign w:val="center"/>
        </w:tcPr>
        <w:p w:rsidR="00F22820" w:rsidRPr="006F1BBF" w:rsidRDefault="002A78E6" w:rsidP="006F1BBF">
          <w:pPr>
            <w:pBdr>
              <w:top w:val="nil"/>
              <w:left w:val="nil"/>
              <w:bottom w:val="nil"/>
              <w:right w:val="nil"/>
              <w:between w:val="nil"/>
            </w:pBdr>
            <w:tabs>
              <w:tab w:val="right" w:pos="8504"/>
            </w:tabs>
            <w:rPr>
              <w:rFonts w:ascii="Palatino Linotype" w:eastAsia="Palatino Linotype" w:hAnsi="Palatino Linotype" w:cs="Palatino Linotype"/>
              <w:b/>
              <w:bCs/>
              <w:color w:val="000000"/>
              <w:szCs w:val="22"/>
            </w:rPr>
          </w:pPr>
          <w:r w:rsidRPr="006F1BBF">
            <w:rPr>
              <w:rFonts w:ascii="Palatino Linotype" w:eastAsia="Palatino Linotype" w:hAnsi="Palatino Linotype" w:cs="Palatino Linotype"/>
              <w:b/>
              <w:bCs/>
              <w:color w:val="000000"/>
              <w:szCs w:val="22"/>
            </w:rPr>
            <w:t> 01798/INFOEM/IP/RR/2026 y acumulado</w:t>
          </w:r>
        </w:p>
      </w:tc>
    </w:tr>
    <w:tr w:rsidR="00F22820" w:rsidTr="006F1BBF">
      <w:trPr>
        <w:trHeight w:val="233"/>
      </w:trPr>
      <w:tc>
        <w:tcPr>
          <w:tcW w:w="3686" w:type="dxa"/>
          <w:vAlign w:val="center"/>
        </w:tcPr>
        <w:p w:rsidR="00F22820" w:rsidRPr="006F1BBF" w:rsidRDefault="002A78E6">
          <w:pPr>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RECURRENTE:</w:t>
          </w:r>
        </w:p>
      </w:tc>
      <w:tc>
        <w:tcPr>
          <w:tcW w:w="5245" w:type="dxa"/>
        </w:tcPr>
        <w:p w:rsidR="00F22820" w:rsidRPr="006F1BBF" w:rsidRDefault="00F22820" w:rsidP="006F1BBF">
          <w:pPr>
            <w:pBdr>
              <w:top w:val="nil"/>
              <w:left w:val="nil"/>
              <w:bottom w:val="nil"/>
              <w:right w:val="nil"/>
              <w:between w:val="nil"/>
            </w:pBdr>
            <w:tabs>
              <w:tab w:val="right" w:pos="8504"/>
            </w:tabs>
            <w:rPr>
              <w:rFonts w:ascii="Palatino Linotype" w:eastAsia="Palatino Linotype" w:hAnsi="Palatino Linotype" w:cs="Palatino Linotype"/>
              <w:b/>
              <w:bCs/>
              <w:color w:val="FF0000"/>
              <w:szCs w:val="22"/>
            </w:rPr>
          </w:pPr>
        </w:p>
      </w:tc>
    </w:tr>
    <w:tr w:rsidR="00F22820" w:rsidTr="006F1BBF">
      <w:trPr>
        <w:trHeight w:val="321"/>
      </w:trPr>
      <w:tc>
        <w:tcPr>
          <w:tcW w:w="3686" w:type="dxa"/>
          <w:vAlign w:val="center"/>
        </w:tcPr>
        <w:p w:rsidR="00F22820" w:rsidRPr="006F1BBF" w:rsidRDefault="002A78E6">
          <w:pPr>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SUJETO OBLIGADO:</w:t>
          </w:r>
        </w:p>
      </w:tc>
      <w:tc>
        <w:tcPr>
          <w:tcW w:w="5245" w:type="dxa"/>
          <w:vAlign w:val="center"/>
        </w:tcPr>
        <w:p w:rsidR="00F22820" w:rsidRPr="006F1BBF" w:rsidRDefault="002A78E6" w:rsidP="006F1BBF">
          <w:pPr>
            <w:pBdr>
              <w:top w:val="nil"/>
              <w:left w:val="nil"/>
              <w:bottom w:val="nil"/>
              <w:right w:val="nil"/>
              <w:between w:val="nil"/>
            </w:pBdr>
            <w:tabs>
              <w:tab w:val="right" w:pos="8504"/>
            </w:tabs>
            <w:rPr>
              <w:rFonts w:ascii="Palatino Linotype" w:eastAsia="Palatino Linotype" w:hAnsi="Palatino Linotype" w:cs="Palatino Linotype"/>
              <w:b/>
              <w:bCs/>
              <w:color w:val="000000"/>
              <w:szCs w:val="22"/>
            </w:rPr>
          </w:pPr>
          <w:r w:rsidRPr="006F1BBF">
            <w:rPr>
              <w:rFonts w:ascii="Palatino Linotype" w:eastAsia="Palatino Linotype" w:hAnsi="Palatino Linotype" w:cs="Palatino Linotype"/>
              <w:b/>
              <w:bCs/>
              <w:color w:val="000000"/>
              <w:szCs w:val="22"/>
            </w:rPr>
            <w:t>Ayuntamiento de Toluca</w:t>
          </w:r>
        </w:p>
      </w:tc>
    </w:tr>
    <w:tr w:rsidR="00F22820" w:rsidTr="006F1BBF">
      <w:trPr>
        <w:trHeight w:val="321"/>
      </w:trPr>
      <w:tc>
        <w:tcPr>
          <w:tcW w:w="3686" w:type="dxa"/>
          <w:vAlign w:val="center"/>
        </w:tcPr>
        <w:p w:rsidR="00F22820" w:rsidRPr="006F1BBF" w:rsidRDefault="002A78E6">
          <w:pPr>
            <w:jc w:val="right"/>
            <w:rPr>
              <w:rFonts w:ascii="Palatino Linotype" w:eastAsia="Palatino Linotype" w:hAnsi="Palatino Linotype" w:cs="Palatino Linotype"/>
              <w:b/>
              <w:bCs/>
              <w:szCs w:val="22"/>
            </w:rPr>
          </w:pPr>
          <w:r w:rsidRPr="006F1BBF">
            <w:rPr>
              <w:rFonts w:ascii="Palatino Linotype" w:eastAsia="Palatino Linotype" w:hAnsi="Palatino Linotype" w:cs="Palatino Linotype"/>
              <w:b/>
              <w:bCs/>
              <w:szCs w:val="22"/>
            </w:rPr>
            <w:t>COMISIONADA PONENTE:</w:t>
          </w:r>
        </w:p>
      </w:tc>
      <w:tc>
        <w:tcPr>
          <w:tcW w:w="5245" w:type="dxa"/>
          <w:vAlign w:val="center"/>
        </w:tcPr>
        <w:p w:rsidR="00F22820" w:rsidRPr="006F1BBF" w:rsidRDefault="002A78E6" w:rsidP="006F1BBF">
          <w:pPr>
            <w:pBdr>
              <w:top w:val="nil"/>
              <w:left w:val="nil"/>
              <w:bottom w:val="nil"/>
              <w:right w:val="nil"/>
              <w:between w:val="nil"/>
            </w:pBdr>
            <w:tabs>
              <w:tab w:val="right" w:pos="8504"/>
            </w:tabs>
            <w:ind w:left="33"/>
            <w:rPr>
              <w:rFonts w:ascii="Palatino Linotype" w:eastAsia="Palatino Linotype" w:hAnsi="Palatino Linotype" w:cs="Palatino Linotype"/>
              <w:b/>
              <w:bCs/>
              <w:color w:val="000000"/>
              <w:szCs w:val="22"/>
            </w:rPr>
          </w:pPr>
          <w:r w:rsidRPr="006F1BBF">
            <w:rPr>
              <w:rFonts w:ascii="Palatino Linotype" w:eastAsia="Palatino Linotype" w:hAnsi="Palatino Linotype" w:cs="Palatino Linotype"/>
              <w:b/>
              <w:bCs/>
              <w:color w:val="000000"/>
              <w:szCs w:val="22"/>
            </w:rPr>
            <w:t>María del Rosario Mejía Ayala</w:t>
          </w:r>
        </w:p>
      </w:tc>
    </w:tr>
  </w:tbl>
  <w:p w:rsidR="00F22820" w:rsidRDefault="006F1BBF">
    <w:pPr>
      <w:pBdr>
        <w:top w:val="nil"/>
        <w:left w:val="nil"/>
        <w:bottom w:val="nil"/>
        <w:right w:val="nil"/>
        <w:between w:val="nil"/>
      </w:pBdr>
      <w:tabs>
        <w:tab w:val="center" w:pos="4252"/>
        <w:tab w:val="right" w:pos="8504"/>
        <w:tab w:val="left" w:pos="3103"/>
      </w:tabs>
      <w:rPr>
        <w:color w:val="000000"/>
      </w:rPr>
    </w:pPr>
    <w:r w:rsidRPr="006F1BBF">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105.7pt;margin-top:-124.4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210A0"/>
    <w:multiLevelType w:val="multilevel"/>
    <w:tmpl w:val="DD9C25E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10CAC"/>
    <w:multiLevelType w:val="multilevel"/>
    <w:tmpl w:val="87040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A36B40"/>
    <w:multiLevelType w:val="multilevel"/>
    <w:tmpl w:val="86C480B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A52D3E"/>
    <w:multiLevelType w:val="multilevel"/>
    <w:tmpl w:val="D22A4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820"/>
    <w:rsid w:val="000C4F89"/>
    <w:rsid w:val="002A78E6"/>
    <w:rsid w:val="00384EDC"/>
    <w:rsid w:val="006E5BC4"/>
    <w:rsid w:val="006F1BBF"/>
    <w:rsid w:val="008B58C8"/>
    <w:rsid w:val="00B97C2D"/>
    <w:rsid w:val="00BF5518"/>
    <w:rsid w:val="00D426F1"/>
    <w:rsid w:val="00DB419F"/>
    <w:rsid w:val="00DC23C8"/>
    <w:rsid w:val="00ED1F90"/>
    <w:rsid w:val="00F228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67A394F-B76C-4C43-AD98-156401F5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BF5518"/>
    <w:pPr>
      <w:tabs>
        <w:tab w:val="center" w:pos="4419"/>
        <w:tab w:val="right" w:pos="8838"/>
      </w:tabs>
    </w:pPr>
  </w:style>
  <w:style w:type="character" w:customStyle="1" w:styleId="EncabezadoCar">
    <w:name w:val="Encabezado Car"/>
    <w:basedOn w:val="Fuentedeprrafopredeter"/>
    <w:link w:val="Encabezado"/>
    <w:uiPriority w:val="99"/>
    <w:rsid w:val="00BF5518"/>
  </w:style>
  <w:style w:type="paragraph" w:styleId="Piedepgina">
    <w:name w:val="footer"/>
    <w:basedOn w:val="Normal"/>
    <w:link w:val="PiedepginaCar"/>
    <w:uiPriority w:val="99"/>
    <w:unhideWhenUsed/>
    <w:rsid w:val="00BF5518"/>
    <w:pPr>
      <w:tabs>
        <w:tab w:val="center" w:pos="4419"/>
        <w:tab w:val="right" w:pos="8838"/>
      </w:tabs>
    </w:pPr>
  </w:style>
  <w:style w:type="character" w:customStyle="1" w:styleId="PiedepginaCar">
    <w:name w:val="Pie de página Car"/>
    <w:basedOn w:val="Fuentedeprrafopredeter"/>
    <w:link w:val="Piedepgina"/>
    <w:uiPriority w:val="99"/>
    <w:rsid w:val="00BF5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qvVwhXNWt/HqLE2u5d0iG2jNQ==">CgMxLjAyDmguZXp0cDh2Y2d0N3EyMg5oLjd0YzRnMzVqYWhzbTIOaC5xbm9iempibzRicWIyDmguajZ1eWd6Y25jcTl2Mg5oLnl4ZXBiNmc2czgycTIOaC5leXNlaGEybm55em8yDmguZzU3NHJjcWcxcnptOAByITFrYWZVV2R1d3BGbEp2eG8tSkJlc1ZpdHpzX1FFVUFGMw==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5478</Words>
  <Characters>30134</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2026-05-08T20:50:00Z</cp:lastPrinted>
  <dcterms:created xsi:type="dcterms:W3CDTF">2026-04-30T15:37:00Z</dcterms:created>
  <dcterms:modified xsi:type="dcterms:W3CDTF">2026-05-12T23:28:00Z</dcterms:modified>
</cp:coreProperties>
</file>