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33195D" w14:textId="7ABC6B35" w:rsidR="00422AF6" w:rsidRPr="00B14DFD" w:rsidRDefault="0067296C" w:rsidP="00DC5C74">
      <w:pPr>
        <w:spacing w:line="360" w:lineRule="auto"/>
        <w:ind w:right="49"/>
        <w:jc w:val="both"/>
        <w:rPr>
          <w:rFonts w:ascii="Palatino Linotype" w:eastAsia="Palatino Linotype" w:hAnsi="Palatino Linotype" w:cs="Palatino Linotype"/>
          <w:sz w:val="22"/>
          <w:szCs w:val="22"/>
        </w:rPr>
      </w:pPr>
      <w:bookmarkStart w:id="0" w:name="_GoBack"/>
      <w:bookmarkEnd w:id="0"/>
      <w:r w:rsidRPr="00B14DFD">
        <w:rPr>
          <w:rFonts w:ascii="Palatino Linotype" w:eastAsia="Palatino Linotype" w:hAnsi="Palatino Linotype" w:cs="Palatino Linotype"/>
          <w:sz w:val="22"/>
          <w:szCs w:val="22"/>
        </w:rPr>
        <w:t>Resolución del Pleno del Instituto de Transparencia, Acceso a la Información Pública y Protección de Datos Personales del Estado de México y Municipios, con domicilio en Metepec, Estado de México, de fecha</w:t>
      </w:r>
      <w:r w:rsidR="00DD4939" w:rsidRPr="00B14DFD">
        <w:rPr>
          <w:rFonts w:ascii="Palatino Linotype" w:eastAsia="Palatino Linotype" w:hAnsi="Palatino Linotype" w:cs="Palatino Linotype"/>
          <w:sz w:val="22"/>
          <w:szCs w:val="22"/>
        </w:rPr>
        <w:t xml:space="preserve"> </w:t>
      </w:r>
      <w:r w:rsidR="00317C52" w:rsidRPr="00B14DFD">
        <w:rPr>
          <w:rFonts w:ascii="Palatino Linotype" w:eastAsia="Palatino Linotype" w:hAnsi="Palatino Linotype" w:cs="Palatino Linotype"/>
          <w:b/>
          <w:bCs/>
          <w:sz w:val="22"/>
          <w:szCs w:val="22"/>
        </w:rPr>
        <w:t>cinco de marzo de dos mil veintiséis</w:t>
      </w:r>
      <w:r w:rsidR="0078769C" w:rsidRPr="00B14DFD">
        <w:rPr>
          <w:rFonts w:ascii="Palatino Linotype" w:eastAsia="Palatino Linotype" w:hAnsi="Palatino Linotype" w:cs="Palatino Linotype"/>
          <w:b/>
          <w:sz w:val="22"/>
          <w:szCs w:val="22"/>
        </w:rPr>
        <w:t>.</w:t>
      </w:r>
    </w:p>
    <w:p w14:paraId="5260EF68" w14:textId="77777777" w:rsidR="00422AF6" w:rsidRPr="00B14DFD" w:rsidRDefault="00422AF6" w:rsidP="00DC5C74">
      <w:pPr>
        <w:spacing w:line="360" w:lineRule="auto"/>
        <w:ind w:right="49"/>
        <w:jc w:val="both"/>
        <w:rPr>
          <w:rFonts w:ascii="Palatino Linotype" w:eastAsia="Palatino Linotype" w:hAnsi="Palatino Linotype" w:cs="Palatino Linotype"/>
          <w:sz w:val="22"/>
          <w:szCs w:val="22"/>
        </w:rPr>
      </w:pPr>
    </w:p>
    <w:p w14:paraId="46D301AF" w14:textId="36C43C4C" w:rsidR="00317C52" w:rsidRPr="00B14DFD" w:rsidRDefault="0067296C" w:rsidP="00DC5C74">
      <w:pPr>
        <w:spacing w:line="360" w:lineRule="auto"/>
        <w:ind w:right="4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 xml:space="preserve">VISTO </w:t>
      </w:r>
      <w:r w:rsidRPr="00B14DFD">
        <w:rPr>
          <w:rFonts w:ascii="Palatino Linotype" w:eastAsia="Palatino Linotype" w:hAnsi="Palatino Linotype" w:cs="Palatino Linotype"/>
          <w:sz w:val="22"/>
          <w:szCs w:val="22"/>
        </w:rPr>
        <w:t xml:space="preserve">el expediente relativo al recurso de revisión </w:t>
      </w:r>
      <w:r w:rsidR="004C5C2B" w:rsidRPr="00B14DFD">
        <w:rPr>
          <w:rFonts w:ascii="Palatino Linotype" w:eastAsia="Palatino Linotype" w:hAnsi="Palatino Linotype" w:cs="Palatino Linotype"/>
          <w:b/>
          <w:sz w:val="22"/>
          <w:szCs w:val="22"/>
        </w:rPr>
        <w:t>0</w:t>
      </w:r>
      <w:r w:rsidR="00317C52" w:rsidRPr="00B14DFD">
        <w:rPr>
          <w:rFonts w:ascii="Palatino Linotype" w:eastAsia="Palatino Linotype" w:hAnsi="Palatino Linotype" w:cs="Palatino Linotype"/>
          <w:b/>
          <w:sz w:val="22"/>
          <w:szCs w:val="22"/>
        </w:rPr>
        <w:t>9914</w:t>
      </w:r>
      <w:r w:rsidR="004C5C2B" w:rsidRPr="00B14DFD">
        <w:rPr>
          <w:rFonts w:ascii="Palatino Linotype" w:eastAsia="Palatino Linotype" w:hAnsi="Palatino Linotype" w:cs="Palatino Linotype"/>
          <w:b/>
          <w:sz w:val="22"/>
          <w:szCs w:val="22"/>
        </w:rPr>
        <w:t>/INFOEM/IP/RR/2025</w:t>
      </w:r>
      <w:r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sz w:val="22"/>
          <w:szCs w:val="22"/>
        </w:rPr>
        <w:t xml:space="preserve">interpuesto por </w:t>
      </w:r>
      <w:r w:rsidR="00317C52" w:rsidRPr="00B14DFD">
        <w:rPr>
          <w:rFonts w:ascii="Palatino Linotype" w:eastAsia="Palatino Linotype" w:hAnsi="Palatino Linotype" w:cs="Palatino Linotype"/>
          <w:b/>
          <w:sz w:val="22"/>
          <w:szCs w:val="22"/>
        </w:rPr>
        <w:t>una persona que no proporcionó nombre o seudónimo,</w:t>
      </w:r>
      <w:r w:rsidR="00317C52" w:rsidRPr="00B14DFD">
        <w:rPr>
          <w:rFonts w:ascii="Palatino Linotype" w:eastAsia="Palatino Linotype" w:hAnsi="Palatino Linotype" w:cs="Palatino Linotype"/>
          <w:sz w:val="22"/>
          <w:szCs w:val="22"/>
        </w:rPr>
        <w:t xml:space="preserve"> en lo sucesivo</w:t>
      </w:r>
      <w:r w:rsidR="00317C52" w:rsidRPr="00B14DFD">
        <w:rPr>
          <w:rFonts w:ascii="Palatino Linotype" w:eastAsia="Palatino Linotype" w:hAnsi="Palatino Linotype" w:cs="Palatino Linotype"/>
          <w:b/>
          <w:sz w:val="22"/>
          <w:szCs w:val="22"/>
        </w:rPr>
        <w:t xml:space="preserve"> </w:t>
      </w:r>
      <w:r w:rsidR="00317C52" w:rsidRPr="00B14DFD">
        <w:rPr>
          <w:rFonts w:ascii="Palatino Linotype" w:eastAsia="Palatino Linotype" w:hAnsi="Palatino Linotype" w:cs="Palatino Linotype"/>
          <w:sz w:val="22"/>
          <w:szCs w:val="22"/>
        </w:rPr>
        <w:t xml:space="preserve">la parte </w:t>
      </w:r>
      <w:r w:rsidR="00317C52" w:rsidRPr="00B14DFD">
        <w:rPr>
          <w:rFonts w:ascii="Palatino Linotype" w:eastAsia="Palatino Linotype" w:hAnsi="Palatino Linotype" w:cs="Palatino Linotype"/>
          <w:b/>
          <w:sz w:val="22"/>
          <w:szCs w:val="22"/>
        </w:rPr>
        <w:t>Recurrente,</w:t>
      </w:r>
      <w:r w:rsidR="00317C52" w:rsidRPr="00B14DFD">
        <w:rPr>
          <w:rFonts w:ascii="Palatino Linotype" w:eastAsia="Palatino Linotype" w:hAnsi="Palatino Linotype" w:cs="Palatino Linotype"/>
          <w:sz w:val="22"/>
          <w:szCs w:val="22"/>
        </w:rPr>
        <w:t xml:space="preserve"> en contra de la respuesta a la solicitud de información con número de folio</w:t>
      </w:r>
      <w:r w:rsidR="00317C52" w:rsidRPr="00B14DFD">
        <w:rPr>
          <w:rFonts w:ascii="Palatino Linotype" w:eastAsia="Palatino Linotype" w:hAnsi="Palatino Linotype" w:cs="Palatino Linotype"/>
          <w:b/>
          <w:sz w:val="22"/>
          <w:szCs w:val="22"/>
        </w:rPr>
        <w:t xml:space="preserve"> 00577/ZINACANT/IP/2025, </w:t>
      </w:r>
      <w:r w:rsidR="00317C52" w:rsidRPr="00B14DFD">
        <w:rPr>
          <w:rFonts w:ascii="Palatino Linotype" w:eastAsia="Palatino Linotype" w:hAnsi="Palatino Linotype" w:cs="Palatino Linotype"/>
          <w:sz w:val="22"/>
          <w:szCs w:val="22"/>
        </w:rPr>
        <w:t xml:space="preserve">por parte del </w:t>
      </w:r>
      <w:r w:rsidR="00317C52" w:rsidRPr="00B14DFD">
        <w:rPr>
          <w:rFonts w:ascii="Palatino Linotype" w:eastAsia="Palatino Linotype" w:hAnsi="Palatino Linotype" w:cs="Palatino Linotype"/>
          <w:b/>
          <w:sz w:val="22"/>
          <w:szCs w:val="22"/>
        </w:rPr>
        <w:t xml:space="preserve">Ayuntamiento de Zinacantepec, </w:t>
      </w:r>
      <w:r w:rsidR="00317C52" w:rsidRPr="00B14DFD">
        <w:rPr>
          <w:rFonts w:ascii="Palatino Linotype" w:eastAsia="Palatino Linotype" w:hAnsi="Palatino Linotype" w:cs="Palatino Linotype"/>
          <w:sz w:val="22"/>
          <w:szCs w:val="22"/>
        </w:rPr>
        <w:t xml:space="preserve">en lo sucesivo el </w:t>
      </w:r>
      <w:r w:rsidR="00317C52" w:rsidRPr="00B14DFD">
        <w:rPr>
          <w:rFonts w:ascii="Palatino Linotype" w:eastAsia="Palatino Linotype" w:hAnsi="Palatino Linotype" w:cs="Palatino Linotype"/>
          <w:b/>
          <w:sz w:val="22"/>
          <w:szCs w:val="22"/>
        </w:rPr>
        <w:t xml:space="preserve">Sujeto Obligado, </w:t>
      </w:r>
      <w:r w:rsidR="00317C52" w:rsidRPr="00B14DFD">
        <w:rPr>
          <w:rFonts w:ascii="Palatino Linotype" w:eastAsia="Palatino Linotype" w:hAnsi="Palatino Linotype" w:cs="Palatino Linotype"/>
          <w:sz w:val="22"/>
          <w:szCs w:val="22"/>
        </w:rPr>
        <w:t xml:space="preserve">se procede a dictar la presente resolución con base en los siguientes:  </w:t>
      </w:r>
    </w:p>
    <w:p w14:paraId="004FA0A7" w14:textId="77777777" w:rsidR="00317C52" w:rsidRPr="00B14DFD" w:rsidRDefault="00317C52" w:rsidP="00DC5C74">
      <w:pPr>
        <w:spacing w:line="360" w:lineRule="auto"/>
        <w:ind w:right="49"/>
        <w:jc w:val="both"/>
        <w:rPr>
          <w:rFonts w:ascii="Palatino Linotype" w:eastAsia="Palatino Linotype" w:hAnsi="Palatino Linotype" w:cs="Palatino Linotype"/>
          <w:sz w:val="22"/>
          <w:szCs w:val="22"/>
        </w:rPr>
      </w:pPr>
    </w:p>
    <w:p w14:paraId="3F3C2002" w14:textId="77777777" w:rsidR="00422AF6" w:rsidRPr="00B14DFD" w:rsidRDefault="0067296C" w:rsidP="00DC5C74">
      <w:pPr>
        <w:spacing w:line="360" w:lineRule="auto"/>
        <w:ind w:right="49"/>
        <w:jc w:val="center"/>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I.</w:t>
      </w:r>
      <w:r w:rsidRPr="00B14DFD">
        <w:rPr>
          <w:rFonts w:ascii="Palatino Linotype" w:eastAsia="Palatino Linotype" w:hAnsi="Palatino Linotype" w:cs="Palatino Linotype"/>
          <w:b/>
          <w:sz w:val="22"/>
          <w:szCs w:val="22"/>
        </w:rPr>
        <w:tab/>
        <w:t>A N T E C E D E N T E S</w:t>
      </w:r>
    </w:p>
    <w:p w14:paraId="00A4C239" w14:textId="77777777" w:rsidR="00422AF6" w:rsidRPr="00B14DFD" w:rsidRDefault="00422AF6" w:rsidP="00DC5C74">
      <w:pPr>
        <w:spacing w:line="360" w:lineRule="auto"/>
        <w:ind w:right="49"/>
        <w:jc w:val="both"/>
        <w:rPr>
          <w:rFonts w:ascii="Palatino Linotype" w:eastAsia="Palatino Linotype" w:hAnsi="Palatino Linotype" w:cs="Palatino Linotype"/>
          <w:sz w:val="22"/>
          <w:szCs w:val="22"/>
        </w:rPr>
      </w:pPr>
    </w:p>
    <w:p w14:paraId="4BBBC1D9" w14:textId="46B12FCE"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1.</w:t>
      </w:r>
      <w:r w:rsidRPr="00B14DFD">
        <w:rPr>
          <w:rFonts w:ascii="Palatino Linotype" w:eastAsia="Palatino Linotype" w:hAnsi="Palatino Linotype" w:cs="Palatino Linotype"/>
          <w:sz w:val="22"/>
          <w:szCs w:val="22"/>
        </w:rPr>
        <w:t xml:space="preserve"> </w:t>
      </w:r>
      <w:r w:rsidRPr="00B14DFD">
        <w:rPr>
          <w:rFonts w:ascii="Palatino Linotype" w:eastAsia="Palatino Linotype" w:hAnsi="Palatino Linotype" w:cs="Palatino Linotype"/>
          <w:b/>
          <w:sz w:val="22"/>
          <w:szCs w:val="22"/>
        </w:rPr>
        <w:t xml:space="preserve">Solicitud de Acceso a la Información. </w:t>
      </w:r>
      <w:r w:rsidRPr="00B14DFD">
        <w:rPr>
          <w:rFonts w:ascii="Palatino Linotype" w:eastAsia="Palatino Linotype" w:hAnsi="Palatino Linotype" w:cs="Palatino Linotype"/>
          <w:bCs/>
          <w:sz w:val="22"/>
          <w:szCs w:val="22"/>
        </w:rPr>
        <w:t>El</w:t>
      </w:r>
      <w:r w:rsidRPr="00B14DFD">
        <w:rPr>
          <w:rFonts w:ascii="Palatino Linotype" w:eastAsia="Palatino Linotype" w:hAnsi="Palatino Linotype" w:cs="Palatino Linotype"/>
          <w:b/>
          <w:sz w:val="22"/>
          <w:szCs w:val="22"/>
        </w:rPr>
        <w:t xml:space="preserve"> </w:t>
      </w:r>
      <w:r w:rsidR="00317C52" w:rsidRPr="00B14DFD">
        <w:rPr>
          <w:rFonts w:ascii="Palatino Linotype" w:eastAsia="Palatino Linotype" w:hAnsi="Palatino Linotype" w:cs="Palatino Linotype"/>
          <w:b/>
          <w:sz w:val="22"/>
          <w:szCs w:val="22"/>
        </w:rPr>
        <w:t>diecisiete de julio</w:t>
      </w:r>
      <w:r w:rsidR="004C5C2B"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b/>
          <w:sz w:val="22"/>
          <w:szCs w:val="22"/>
        </w:rPr>
        <w:t>de dos mil veinticinco</w:t>
      </w:r>
      <w:r w:rsidRPr="00B14DFD">
        <w:rPr>
          <w:rFonts w:ascii="Palatino Linotype" w:eastAsia="Palatino Linotype" w:hAnsi="Palatino Linotype" w:cs="Palatino Linotype"/>
          <w:sz w:val="22"/>
          <w:szCs w:val="22"/>
        </w:rPr>
        <w:t xml:space="preserve">, </w:t>
      </w:r>
      <w:r w:rsidR="00317C52" w:rsidRPr="00B14DFD">
        <w:rPr>
          <w:rFonts w:ascii="Palatino Linotype" w:eastAsia="Palatino Linotype" w:hAnsi="Palatino Linotype" w:cs="Palatino Linotype"/>
          <w:bCs/>
          <w:sz w:val="22"/>
          <w:szCs w:val="22"/>
        </w:rPr>
        <w:t>la parte</w:t>
      </w:r>
      <w:r w:rsidR="00317C52" w:rsidRPr="00B14DFD">
        <w:rPr>
          <w:rFonts w:ascii="Palatino Linotype" w:eastAsia="Palatino Linotype" w:hAnsi="Palatino Linotype" w:cs="Palatino Linotype"/>
          <w:sz w:val="22"/>
          <w:szCs w:val="22"/>
        </w:rPr>
        <w:t xml:space="preserve"> </w:t>
      </w:r>
      <w:r w:rsidR="00317C52" w:rsidRPr="00B14DFD">
        <w:rPr>
          <w:rFonts w:ascii="Palatino Linotype" w:eastAsia="Palatino Linotype" w:hAnsi="Palatino Linotype" w:cs="Palatino Linotype"/>
          <w:b/>
          <w:sz w:val="22"/>
          <w:szCs w:val="22"/>
        </w:rPr>
        <w:t>Recurrente</w:t>
      </w:r>
      <w:r w:rsidR="00317C52" w:rsidRPr="00B14DFD">
        <w:rPr>
          <w:rFonts w:ascii="Palatino Linotype" w:eastAsia="Palatino Linotype" w:hAnsi="Palatino Linotype" w:cs="Palatino Linotype"/>
          <w:sz w:val="22"/>
          <w:szCs w:val="22"/>
        </w:rPr>
        <w:t xml:space="preserve"> presentó la solicitud de acceso a la información pública ante el </w:t>
      </w:r>
      <w:r w:rsidR="00317C52" w:rsidRPr="00B14DFD">
        <w:rPr>
          <w:rFonts w:ascii="Palatino Linotype" w:eastAsia="Palatino Linotype" w:hAnsi="Palatino Linotype" w:cs="Palatino Linotype"/>
          <w:b/>
          <w:bCs/>
          <w:sz w:val="22"/>
          <w:szCs w:val="22"/>
        </w:rPr>
        <w:t>Sujeto Obligado</w:t>
      </w:r>
      <w:r w:rsidR="00317C52" w:rsidRPr="00B14DFD">
        <w:rPr>
          <w:rFonts w:ascii="Palatino Linotype" w:eastAsia="Palatino Linotype" w:hAnsi="Palatino Linotype" w:cs="Palatino Linotype"/>
          <w:sz w:val="22"/>
          <w:szCs w:val="22"/>
        </w:rPr>
        <w:t xml:space="preserve">, a través del Sistema de Acceso a la Información Mexiquense, en lo subsecuente el </w:t>
      </w:r>
      <w:r w:rsidR="00317C52" w:rsidRPr="00B14DFD">
        <w:rPr>
          <w:rFonts w:ascii="Palatino Linotype" w:eastAsia="Palatino Linotype" w:hAnsi="Palatino Linotype" w:cs="Palatino Linotype"/>
          <w:b/>
          <w:bCs/>
          <w:sz w:val="22"/>
          <w:szCs w:val="22"/>
        </w:rPr>
        <w:t>SAIMEX</w:t>
      </w:r>
      <w:r w:rsidR="00317C52" w:rsidRPr="00B14DFD">
        <w:rPr>
          <w:rFonts w:ascii="Palatino Linotype" w:eastAsia="Palatino Linotype" w:hAnsi="Palatino Linotype" w:cs="Palatino Linotype"/>
          <w:sz w:val="22"/>
          <w:szCs w:val="22"/>
        </w:rPr>
        <w:t>, mediante la cual requirió lo siguiente:</w:t>
      </w:r>
    </w:p>
    <w:p w14:paraId="7D088410" w14:textId="77777777" w:rsidR="00422AF6" w:rsidRPr="00B14DFD" w:rsidRDefault="00422AF6" w:rsidP="00DC5C74">
      <w:pPr>
        <w:spacing w:line="360" w:lineRule="auto"/>
        <w:jc w:val="both"/>
        <w:rPr>
          <w:rFonts w:ascii="Palatino Linotype" w:eastAsia="Palatino Linotype" w:hAnsi="Palatino Linotype" w:cs="Palatino Linotype"/>
          <w:sz w:val="22"/>
          <w:szCs w:val="22"/>
        </w:rPr>
      </w:pPr>
    </w:p>
    <w:p w14:paraId="26A5C2F7" w14:textId="2871AF3D" w:rsidR="00422AF6" w:rsidRPr="00B14DFD" w:rsidRDefault="00961490" w:rsidP="00DF43F1">
      <w:pPr>
        <w:spacing w:line="276" w:lineRule="auto"/>
        <w:ind w:left="851" w:right="843"/>
        <w:jc w:val="both"/>
        <w:rPr>
          <w:rFonts w:ascii="Palatino Linotype" w:eastAsia="Palatino Linotype" w:hAnsi="Palatino Linotype" w:cs="Palatino Linotype"/>
          <w:bCs/>
          <w:i/>
          <w:sz w:val="22"/>
          <w:szCs w:val="22"/>
        </w:rPr>
      </w:pPr>
      <w:bookmarkStart w:id="1" w:name="_heading=h.1fob9te" w:colFirst="0" w:colLast="0"/>
      <w:bookmarkStart w:id="2" w:name="_heading=h.3znysh7" w:colFirst="0" w:colLast="0"/>
      <w:bookmarkEnd w:id="1"/>
      <w:bookmarkEnd w:id="2"/>
      <w:r w:rsidRPr="00B14DFD">
        <w:rPr>
          <w:rFonts w:ascii="Palatino Linotype" w:eastAsia="Palatino Linotype" w:hAnsi="Palatino Linotype" w:cs="Palatino Linotype"/>
          <w:bCs/>
          <w:i/>
          <w:iCs/>
          <w:sz w:val="22"/>
          <w:szCs w:val="22"/>
        </w:rPr>
        <w:t>“</w:t>
      </w:r>
      <w:r w:rsidR="00317C52" w:rsidRPr="00B14DFD">
        <w:rPr>
          <w:rFonts w:ascii="Palatino Linotype" w:eastAsia="Palatino Linotype" w:hAnsi="Palatino Linotype" w:cs="Palatino Linotype"/>
          <w:bCs/>
          <w:i/>
          <w:iCs/>
          <w:sz w:val="22"/>
          <w:szCs w:val="22"/>
        </w:rPr>
        <w:t>SOLICITO LAS LICENCIAS DE CONSTRUCCION, PERMISOS Y TODO LO QUE REALICE LA DIRECCION DE DESARROLLO TERRITORIAL Y URBANO DE TODO EL 2025</w:t>
      </w:r>
      <w:r w:rsidR="00B94935" w:rsidRPr="00B14DFD">
        <w:rPr>
          <w:rFonts w:ascii="Palatino Linotype" w:eastAsia="Palatino Linotype" w:hAnsi="Palatino Linotype" w:cs="Palatino Linotype"/>
          <w:bCs/>
          <w:i/>
          <w:sz w:val="22"/>
          <w:szCs w:val="22"/>
        </w:rPr>
        <w:t>”</w:t>
      </w:r>
      <w:r w:rsidR="003C0F22" w:rsidRPr="00B14DFD">
        <w:rPr>
          <w:rFonts w:ascii="Palatino Linotype" w:eastAsia="Palatino Linotype" w:hAnsi="Palatino Linotype" w:cs="Palatino Linotype"/>
          <w:bCs/>
          <w:i/>
          <w:sz w:val="22"/>
          <w:szCs w:val="22"/>
        </w:rPr>
        <w:t xml:space="preserve"> (Sic.)</w:t>
      </w:r>
    </w:p>
    <w:p w14:paraId="403545D0" w14:textId="77777777" w:rsidR="00B94935" w:rsidRPr="00B14DFD" w:rsidRDefault="00B94935" w:rsidP="00DC5C74">
      <w:pPr>
        <w:spacing w:line="360" w:lineRule="auto"/>
        <w:ind w:left="567" w:right="843"/>
        <w:jc w:val="both"/>
        <w:rPr>
          <w:rFonts w:ascii="Palatino Linotype" w:eastAsia="Palatino Linotype" w:hAnsi="Palatino Linotype" w:cs="Palatino Linotype"/>
          <w:i/>
          <w:sz w:val="22"/>
          <w:szCs w:val="22"/>
        </w:rPr>
      </w:pPr>
    </w:p>
    <w:p w14:paraId="56C40C5C" w14:textId="77777777" w:rsidR="00422AF6" w:rsidRPr="00B14DFD" w:rsidRDefault="0067296C" w:rsidP="00DC5C74">
      <w:pPr>
        <w:spacing w:line="360" w:lineRule="auto"/>
        <w:ind w:right="4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Modalidad elegida para la entrega de la información:</w:t>
      </w:r>
      <w:r w:rsidRPr="00B14DFD">
        <w:rPr>
          <w:rFonts w:ascii="Palatino Linotype" w:eastAsia="Palatino Linotype" w:hAnsi="Palatino Linotype" w:cs="Palatino Linotype"/>
          <w:sz w:val="22"/>
          <w:szCs w:val="22"/>
        </w:rPr>
        <w:t xml:space="preserve"> a través del Sistema de Acceso a la Información Mexiquense (SAIMEX).</w:t>
      </w:r>
    </w:p>
    <w:p w14:paraId="4A752871" w14:textId="77777777" w:rsidR="009943E1" w:rsidRPr="00B14DFD" w:rsidRDefault="009943E1" w:rsidP="00DC5C74">
      <w:pPr>
        <w:widowControl w:val="0"/>
        <w:spacing w:line="360" w:lineRule="auto"/>
        <w:jc w:val="both"/>
        <w:rPr>
          <w:rFonts w:ascii="Palatino Linotype" w:eastAsia="Palatino Linotype" w:hAnsi="Palatino Linotype" w:cs="Palatino Linotype"/>
          <w:b/>
          <w:sz w:val="22"/>
          <w:szCs w:val="22"/>
        </w:rPr>
      </w:pPr>
    </w:p>
    <w:p w14:paraId="0B9D4E59" w14:textId="2AADDFA0" w:rsidR="00C50360" w:rsidRPr="00B14DFD" w:rsidRDefault="00DD4939" w:rsidP="00DC5C74">
      <w:pPr>
        <w:widowControl w:val="0"/>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2</w:t>
      </w:r>
      <w:r w:rsidR="009943E1" w:rsidRPr="00B14DFD">
        <w:rPr>
          <w:rFonts w:ascii="Palatino Linotype" w:eastAsia="Palatino Linotype" w:hAnsi="Palatino Linotype" w:cs="Palatino Linotype"/>
          <w:b/>
          <w:sz w:val="22"/>
          <w:szCs w:val="22"/>
        </w:rPr>
        <w:t xml:space="preserve">. </w:t>
      </w:r>
      <w:r w:rsidR="0067296C" w:rsidRPr="00B14DFD">
        <w:rPr>
          <w:rFonts w:ascii="Palatino Linotype" w:eastAsia="Palatino Linotype" w:hAnsi="Palatino Linotype" w:cs="Palatino Linotype"/>
          <w:b/>
          <w:sz w:val="22"/>
          <w:szCs w:val="22"/>
        </w:rPr>
        <w:t>Respuesta.</w:t>
      </w:r>
      <w:r w:rsidR="0067296C" w:rsidRPr="00B14DFD">
        <w:rPr>
          <w:rFonts w:ascii="Palatino Linotype" w:eastAsia="Palatino Linotype" w:hAnsi="Palatino Linotype" w:cs="Palatino Linotype"/>
          <w:sz w:val="22"/>
          <w:szCs w:val="22"/>
        </w:rPr>
        <w:t xml:space="preserve"> El </w:t>
      </w:r>
      <w:r w:rsidR="00317C52" w:rsidRPr="00B14DFD">
        <w:rPr>
          <w:rFonts w:ascii="Palatino Linotype" w:eastAsia="Palatino Linotype" w:hAnsi="Palatino Linotype" w:cs="Palatino Linotype"/>
          <w:b/>
          <w:sz w:val="22"/>
          <w:szCs w:val="22"/>
        </w:rPr>
        <w:t>veintiuno de agosto</w:t>
      </w:r>
      <w:r w:rsidR="0067296C" w:rsidRPr="00B14DFD">
        <w:rPr>
          <w:rFonts w:ascii="Palatino Linotype" w:eastAsia="Palatino Linotype" w:hAnsi="Palatino Linotype" w:cs="Palatino Linotype"/>
          <w:b/>
          <w:sz w:val="22"/>
          <w:szCs w:val="22"/>
        </w:rPr>
        <w:t xml:space="preserve"> de dos mil veinticinco</w:t>
      </w:r>
      <w:r w:rsidR="0067296C" w:rsidRPr="00B14DFD">
        <w:rPr>
          <w:rFonts w:ascii="Palatino Linotype" w:eastAsia="Palatino Linotype" w:hAnsi="Palatino Linotype" w:cs="Palatino Linotype"/>
          <w:sz w:val="22"/>
          <w:szCs w:val="22"/>
        </w:rPr>
        <w:t xml:space="preserve">, el </w:t>
      </w:r>
      <w:r w:rsidR="0067296C" w:rsidRPr="00B14DFD">
        <w:rPr>
          <w:rFonts w:ascii="Palatino Linotype" w:eastAsia="Palatino Linotype" w:hAnsi="Palatino Linotype" w:cs="Palatino Linotype"/>
          <w:b/>
          <w:bCs/>
          <w:sz w:val="22"/>
          <w:szCs w:val="22"/>
        </w:rPr>
        <w:t>Sujeto Obliga</w:t>
      </w:r>
      <w:r w:rsidR="00C50360" w:rsidRPr="00B14DFD">
        <w:rPr>
          <w:rFonts w:ascii="Palatino Linotype" w:eastAsia="Palatino Linotype" w:hAnsi="Palatino Linotype" w:cs="Palatino Linotype"/>
          <w:b/>
          <w:bCs/>
          <w:sz w:val="22"/>
          <w:szCs w:val="22"/>
        </w:rPr>
        <w:t>do</w:t>
      </w:r>
      <w:r w:rsidR="00C50360" w:rsidRPr="00B14DFD">
        <w:rPr>
          <w:rFonts w:ascii="Palatino Linotype" w:eastAsia="Palatino Linotype" w:hAnsi="Palatino Linotype" w:cs="Palatino Linotype"/>
          <w:sz w:val="22"/>
          <w:szCs w:val="22"/>
        </w:rPr>
        <w:t xml:space="preserve"> dio respuesta a la solicitud, en los siguientes términos:</w:t>
      </w:r>
    </w:p>
    <w:p w14:paraId="2CD350E6" w14:textId="77777777" w:rsidR="00C50360" w:rsidRPr="00B14DFD" w:rsidRDefault="00C50360" w:rsidP="00DC5C74">
      <w:pPr>
        <w:widowControl w:val="0"/>
        <w:spacing w:line="360" w:lineRule="auto"/>
        <w:jc w:val="both"/>
        <w:rPr>
          <w:rFonts w:ascii="Palatino Linotype" w:eastAsia="Palatino Linotype" w:hAnsi="Palatino Linotype" w:cs="Palatino Linotype"/>
          <w:sz w:val="22"/>
          <w:szCs w:val="22"/>
        </w:rPr>
      </w:pPr>
    </w:p>
    <w:p w14:paraId="4FE7BFFA" w14:textId="77777777" w:rsidR="00432D0E" w:rsidRPr="00B14DFD" w:rsidRDefault="004C5C2B" w:rsidP="00DC5C74">
      <w:pPr>
        <w:widowControl w:val="0"/>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00432D0E" w:rsidRPr="00B14DFD">
        <w:rPr>
          <w:rFonts w:ascii="Palatino Linotype" w:eastAsia="Palatino Linotype" w:hAnsi="Palatino Linotype" w:cs="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08BCAA5F" w14:textId="77777777" w:rsidR="00432D0E" w:rsidRPr="00B14DFD" w:rsidRDefault="00432D0E" w:rsidP="00DC5C74">
      <w:pPr>
        <w:widowControl w:val="0"/>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 xml:space="preserve">En apego a lo establecido su solicitud fue analizada y turnada al área poseedora de la información, por lo que con fundamento en el artículo 12 de la Ley de Transparencia y Acceso a la Información Pública del Estado de México y Municipios, donde se establece que, “Los sujetos obligados sólo proporcionarán la información pública que se le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Por lo anterior, </w:t>
      </w:r>
      <w:r w:rsidRPr="00B14DFD">
        <w:rPr>
          <w:rFonts w:ascii="Palatino Linotype" w:eastAsia="Palatino Linotype" w:hAnsi="Palatino Linotype" w:cs="Palatino Linotype"/>
          <w:b/>
          <w:bCs/>
          <w:i/>
          <w:sz w:val="22"/>
          <w:szCs w:val="22"/>
        </w:rPr>
        <w:t>remito la respuesta proporcionada por el área competente</w:t>
      </w:r>
      <w:r w:rsidRPr="00B14DFD">
        <w:rPr>
          <w:rFonts w:ascii="Palatino Linotype" w:eastAsia="Palatino Linotype" w:hAnsi="Palatino Linotype" w:cs="Palatino Linotype"/>
          <w:i/>
          <w:sz w:val="22"/>
          <w:szCs w:val="22"/>
        </w:rPr>
        <w:t>. De igual manera y con fundamento en los artículos 176, 177, 178, 179 y demás relativos aplicables de la Ley de Transparencia y Acceso a la Información Pública del Estado de México y Municipios, se hace de su conocimiento el derecho que tiene de interponer el recurso de revisión en contra de la presente, en un término de 15 días hábiles a partir de la notificación de esta. Sin más por el momento me reitero a sus órdenes.</w:t>
      </w:r>
    </w:p>
    <w:p w14:paraId="48E0BC1A" w14:textId="77777777" w:rsidR="00432D0E" w:rsidRPr="00B14DFD" w:rsidRDefault="00432D0E" w:rsidP="00DC5C74">
      <w:pPr>
        <w:widowControl w:val="0"/>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ATENTAMENTE</w:t>
      </w:r>
    </w:p>
    <w:p w14:paraId="66CA6543" w14:textId="709D171F" w:rsidR="00C50360" w:rsidRPr="00B14DFD" w:rsidRDefault="00432D0E" w:rsidP="00DC5C74">
      <w:pPr>
        <w:widowControl w:val="0"/>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BRENDA SELENE HERNANDEZ LOPEZ</w:t>
      </w:r>
      <w:r w:rsidR="00C50360" w:rsidRPr="00B14DFD">
        <w:rPr>
          <w:rFonts w:ascii="Palatino Linotype" w:eastAsia="Palatino Linotype" w:hAnsi="Palatino Linotype" w:cs="Palatino Linotype"/>
          <w:i/>
          <w:sz w:val="22"/>
          <w:szCs w:val="22"/>
        </w:rPr>
        <w:t>” (sic)</w:t>
      </w:r>
    </w:p>
    <w:p w14:paraId="7D9BA942" w14:textId="77777777" w:rsidR="00C50360" w:rsidRPr="00B14DFD" w:rsidRDefault="00C50360" w:rsidP="00DC5C74">
      <w:pPr>
        <w:widowControl w:val="0"/>
        <w:spacing w:line="360" w:lineRule="auto"/>
        <w:jc w:val="both"/>
        <w:rPr>
          <w:rFonts w:ascii="Palatino Linotype" w:eastAsia="Palatino Linotype" w:hAnsi="Palatino Linotype" w:cs="Palatino Linotype"/>
          <w:sz w:val="22"/>
          <w:szCs w:val="22"/>
        </w:rPr>
      </w:pPr>
    </w:p>
    <w:p w14:paraId="5C61C64A" w14:textId="77777777" w:rsidR="005A1FBC" w:rsidRPr="00B14DFD" w:rsidRDefault="00C50360" w:rsidP="00DC5C74">
      <w:pPr>
        <w:widowControl w:val="0"/>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Asimismo, adjuntó </w:t>
      </w:r>
      <w:r w:rsidR="00C52D17" w:rsidRPr="00B14DFD">
        <w:rPr>
          <w:rFonts w:ascii="Palatino Linotype" w:eastAsia="Palatino Linotype" w:hAnsi="Palatino Linotype" w:cs="Palatino Linotype"/>
          <w:sz w:val="22"/>
          <w:szCs w:val="22"/>
        </w:rPr>
        <w:t>los documentos electrónicos denominados</w:t>
      </w:r>
      <w:r w:rsidR="00835170" w:rsidRPr="00B14DFD">
        <w:rPr>
          <w:rFonts w:ascii="Palatino Linotype" w:eastAsia="Palatino Linotype" w:hAnsi="Palatino Linotype" w:cs="Palatino Linotype"/>
          <w:b/>
          <w:sz w:val="22"/>
          <w:szCs w:val="22"/>
        </w:rPr>
        <w:t xml:space="preserve"> </w:t>
      </w:r>
      <w:r w:rsidR="00432D0E" w:rsidRPr="00B14DFD">
        <w:rPr>
          <w:rFonts w:ascii="Palatino Linotype" w:eastAsia="Palatino Linotype" w:hAnsi="Palatino Linotype" w:cs="Palatino Linotype"/>
          <w:b/>
          <w:i/>
          <w:iCs/>
          <w:sz w:val="22"/>
          <w:szCs w:val="22"/>
        </w:rPr>
        <w:t xml:space="preserve">CONVENIOS Y LICENCIAS.pdf, </w:t>
      </w:r>
      <w:proofErr w:type="spellStart"/>
      <w:r w:rsidR="00432D0E" w:rsidRPr="00B14DFD">
        <w:rPr>
          <w:rFonts w:ascii="Palatino Linotype" w:eastAsia="Palatino Linotype" w:hAnsi="Palatino Linotype" w:cs="Palatino Linotype"/>
          <w:b/>
          <w:i/>
          <w:iCs/>
          <w:sz w:val="22"/>
          <w:szCs w:val="22"/>
        </w:rPr>
        <w:t>construcion</w:t>
      </w:r>
      <w:proofErr w:type="spellEnd"/>
      <w:r w:rsidR="00432D0E" w:rsidRPr="00B14DFD">
        <w:rPr>
          <w:rFonts w:ascii="Palatino Linotype" w:eastAsia="Palatino Linotype" w:hAnsi="Palatino Linotype" w:cs="Palatino Linotype"/>
          <w:b/>
          <w:i/>
          <w:iCs/>
          <w:sz w:val="22"/>
          <w:szCs w:val="22"/>
        </w:rPr>
        <w:t xml:space="preserve"> junio 24-25.pdf</w:t>
      </w:r>
      <w:r w:rsidR="00432D0E" w:rsidRPr="00B14DFD">
        <w:rPr>
          <w:rFonts w:ascii="Palatino Linotype" w:eastAsia="Palatino Linotype" w:hAnsi="Palatino Linotype" w:cs="Palatino Linotype"/>
          <w:b/>
          <w:sz w:val="22"/>
          <w:szCs w:val="22"/>
        </w:rPr>
        <w:t xml:space="preserve"> </w:t>
      </w:r>
      <w:r w:rsidR="00432D0E" w:rsidRPr="00B14DFD">
        <w:rPr>
          <w:rFonts w:ascii="Palatino Linotype" w:eastAsia="Palatino Linotype" w:hAnsi="Palatino Linotype" w:cs="Palatino Linotype"/>
          <w:bCs/>
          <w:sz w:val="22"/>
          <w:szCs w:val="22"/>
        </w:rPr>
        <w:t>y</w:t>
      </w:r>
      <w:r w:rsidR="00432D0E" w:rsidRPr="00B14DFD">
        <w:rPr>
          <w:rFonts w:ascii="Palatino Linotype" w:eastAsia="Palatino Linotype" w:hAnsi="Palatino Linotype" w:cs="Palatino Linotype"/>
          <w:b/>
          <w:sz w:val="22"/>
          <w:szCs w:val="22"/>
        </w:rPr>
        <w:t xml:space="preserve"> </w:t>
      </w:r>
      <w:r w:rsidR="00432D0E" w:rsidRPr="00B14DFD">
        <w:rPr>
          <w:rFonts w:ascii="Palatino Linotype" w:eastAsia="Palatino Linotype" w:hAnsi="Palatino Linotype" w:cs="Palatino Linotype"/>
          <w:b/>
          <w:i/>
          <w:iCs/>
          <w:sz w:val="22"/>
          <w:szCs w:val="22"/>
        </w:rPr>
        <w:t>RESPUESTA SOLICITUD 577.pdf</w:t>
      </w:r>
      <w:r w:rsidRPr="00B14DFD">
        <w:rPr>
          <w:rFonts w:ascii="Palatino Linotype" w:eastAsia="Palatino Linotype" w:hAnsi="Palatino Linotype" w:cs="Palatino Linotype"/>
          <w:b/>
          <w:i/>
          <w:sz w:val="22"/>
          <w:szCs w:val="22"/>
        </w:rPr>
        <w:t xml:space="preserve">, </w:t>
      </w:r>
      <w:r w:rsidR="005A1FBC" w:rsidRPr="00B14DFD">
        <w:rPr>
          <w:rFonts w:ascii="Palatino Linotype" w:eastAsia="Palatino Linotype" w:hAnsi="Palatino Linotype" w:cs="Palatino Linotype"/>
          <w:sz w:val="22"/>
          <w:szCs w:val="22"/>
        </w:rPr>
        <w:t xml:space="preserve">los cuales contienen lo siguiente: </w:t>
      </w:r>
    </w:p>
    <w:p w14:paraId="01E19AED" w14:textId="77777777" w:rsidR="005A1FBC" w:rsidRPr="00B14DFD" w:rsidRDefault="005A1FBC" w:rsidP="00DC5C74">
      <w:pPr>
        <w:widowControl w:val="0"/>
        <w:spacing w:line="360" w:lineRule="auto"/>
        <w:jc w:val="both"/>
        <w:rPr>
          <w:rFonts w:ascii="Palatino Linotype" w:eastAsia="Palatino Linotype" w:hAnsi="Palatino Linotype" w:cs="Palatino Linotype"/>
          <w:sz w:val="22"/>
          <w:szCs w:val="22"/>
        </w:rPr>
      </w:pPr>
    </w:p>
    <w:p w14:paraId="753EB06A" w14:textId="77777777" w:rsidR="005A1FBC" w:rsidRPr="00B14DFD" w:rsidRDefault="005A1FBC" w:rsidP="00DF43F1">
      <w:pPr>
        <w:pStyle w:val="Prrafodelista"/>
        <w:numPr>
          <w:ilvl w:val="0"/>
          <w:numId w:val="28"/>
        </w:numPr>
        <w:spacing w:line="360" w:lineRule="auto"/>
        <w:ind w:right="843"/>
        <w:jc w:val="both"/>
        <w:rPr>
          <w:rFonts w:ascii="Palatino Linotype" w:hAnsi="Palatino Linotype"/>
          <w:sz w:val="22"/>
          <w:szCs w:val="22"/>
        </w:rPr>
      </w:pPr>
      <w:r w:rsidRPr="00B14DFD">
        <w:rPr>
          <w:rFonts w:ascii="Palatino Linotype" w:hAnsi="Palatino Linotype"/>
          <w:b/>
          <w:i/>
          <w:iCs/>
          <w:sz w:val="22"/>
          <w:szCs w:val="22"/>
        </w:rPr>
        <w:t>CONVENIOS Y LICENCIAS.pdf</w:t>
      </w:r>
      <w:r w:rsidRPr="00B14DFD">
        <w:rPr>
          <w:rFonts w:ascii="Palatino Linotype" w:hAnsi="Palatino Linotype"/>
          <w:b/>
          <w:sz w:val="22"/>
          <w:szCs w:val="22"/>
        </w:rPr>
        <w:t xml:space="preserve">: </w:t>
      </w:r>
      <w:r w:rsidRPr="00B14DFD">
        <w:rPr>
          <w:rFonts w:ascii="Palatino Linotype" w:hAnsi="Palatino Linotype"/>
          <w:bCs/>
          <w:sz w:val="22"/>
          <w:szCs w:val="22"/>
        </w:rPr>
        <w:t>O</w:t>
      </w:r>
      <w:r w:rsidRPr="00B14DFD">
        <w:rPr>
          <w:rFonts w:ascii="Palatino Linotype" w:hAnsi="Palatino Linotype"/>
          <w:sz w:val="22"/>
          <w:szCs w:val="22"/>
        </w:rPr>
        <w:t>ficio número ZIN/</w:t>
      </w:r>
      <w:proofErr w:type="spellStart"/>
      <w:r w:rsidRPr="00B14DFD">
        <w:rPr>
          <w:rFonts w:ascii="Palatino Linotype" w:hAnsi="Palatino Linotype"/>
          <w:sz w:val="22"/>
          <w:szCs w:val="22"/>
        </w:rPr>
        <w:t>DDTyU</w:t>
      </w:r>
      <w:proofErr w:type="spellEnd"/>
      <w:r w:rsidRPr="00B14DFD">
        <w:rPr>
          <w:rFonts w:ascii="Palatino Linotype" w:hAnsi="Palatino Linotype"/>
          <w:sz w:val="22"/>
          <w:szCs w:val="22"/>
        </w:rPr>
        <w:t>/473/2025 suscrito por el Director de Desarrollo Territorial y Urbano mediante el cual informó la entrega de la información solicitada en versión pública y de manera digital.</w:t>
      </w:r>
    </w:p>
    <w:p w14:paraId="0102D3B0" w14:textId="08D3869E" w:rsidR="005A1FBC" w:rsidRPr="00B14DFD" w:rsidRDefault="005A1FBC" w:rsidP="00DF43F1">
      <w:pPr>
        <w:pStyle w:val="Prrafodelista"/>
        <w:numPr>
          <w:ilvl w:val="0"/>
          <w:numId w:val="28"/>
        </w:numPr>
        <w:spacing w:line="360" w:lineRule="auto"/>
        <w:ind w:right="843"/>
        <w:jc w:val="both"/>
        <w:rPr>
          <w:rFonts w:ascii="Palatino Linotype" w:hAnsi="Palatino Linotype"/>
          <w:b/>
          <w:sz w:val="22"/>
          <w:szCs w:val="22"/>
        </w:rPr>
      </w:pPr>
      <w:proofErr w:type="spellStart"/>
      <w:r w:rsidRPr="00B14DFD">
        <w:rPr>
          <w:rFonts w:ascii="Palatino Linotype" w:hAnsi="Palatino Linotype"/>
          <w:b/>
          <w:i/>
          <w:iCs/>
          <w:sz w:val="22"/>
          <w:szCs w:val="22"/>
        </w:rPr>
        <w:lastRenderedPageBreak/>
        <w:t>construcion</w:t>
      </w:r>
      <w:proofErr w:type="spellEnd"/>
      <w:r w:rsidRPr="00B14DFD">
        <w:rPr>
          <w:rFonts w:ascii="Palatino Linotype" w:hAnsi="Palatino Linotype"/>
          <w:b/>
          <w:i/>
          <w:iCs/>
          <w:sz w:val="22"/>
          <w:szCs w:val="22"/>
        </w:rPr>
        <w:t xml:space="preserve"> junio 24-25.pdf</w:t>
      </w:r>
      <w:r w:rsidRPr="00B14DFD">
        <w:rPr>
          <w:rFonts w:ascii="Palatino Linotype" w:hAnsi="Palatino Linotype"/>
          <w:b/>
          <w:sz w:val="22"/>
          <w:szCs w:val="22"/>
        </w:rPr>
        <w:t xml:space="preserve">: </w:t>
      </w:r>
      <w:r w:rsidRPr="00B14DFD">
        <w:rPr>
          <w:rFonts w:ascii="Palatino Linotype" w:hAnsi="Palatino Linotype"/>
          <w:sz w:val="22"/>
          <w:szCs w:val="22"/>
        </w:rPr>
        <w:t>Licencias de construcción en versión pública, correspondientes de agosto dos mil veinticuatro a mayo dos mil veinticinco.</w:t>
      </w:r>
    </w:p>
    <w:p w14:paraId="647FC01B" w14:textId="77777777" w:rsidR="005A1FBC" w:rsidRPr="00B14DFD" w:rsidRDefault="005A1FBC" w:rsidP="00DF43F1">
      <w:pPr>
        <w:pStyle w:val="Prrafodelista"/>
        <w:numPr>
          <w:ilvl w:val="0"/>
          <w:numId w:val="28"/>
        </w:numPr>
        <w:spacing w:line="360" w:lineRule="auto"/>
        <w:ind w:right="843"/>
        <w:jc w:val="both"/>
        <w:rPr>
          <w:rFonts w:ascii="Palatino Linotype" w:hAnsi="Palatino Linotype"/>
          <w:sz w:val="22"/>
          <w:szCs w:val="22"/>
        </w:rPr>
      </w:pPr>
      <w:r w:rsidRPr="00B14DFD">
        <w:rPr>
          <w:rFonts w:ascii="Palatino Linotype" w:hAnsi="Palatino Linotype"/>
          <w:b/>
          <w:i/>
          <w:iCs/>
          <w:sz w:val="22"/>
          <w:szCs w:val="22"/>
        </w:rPr>
        <w:t>RESPUESTA SOLICITUD 577.pdf</w:t>
      </w:r>
      <w:r w:rsidRPr="00B14DFD">
        <w:rPr>
          <w:rFonts w:ascii="Palatino Linotype" w:hAnsi="Palatino Linotype"/>
          <w:b/>
          <w:sz w:val="22"/>
          <w:szCs w:val="22"/>
        </w:rPr>
        <w:t xml:space="preserve">: </w:t>
      </w:r>
      <w:r w:rsidRPr="00B14DFD">
        <w:rPr>
          <w:rFonts w:ascii="Palatino Linotype" w:hAnsi="Palatino Linotype"/>
          <w:sz w:val="22"/>
          <w:szCs w:val="22"/>
        </w:rPr>
        <w:t>Oficio suscrito por el Titular de la Unidad de Transparencia mediante el cual remitió la respuesta proporcionada por el área competente.</w:t>
      </w:r>
    </w:p>
    <w:p w14:paraId="77287ED6" w14:textId="77777777" w:rsidR="00C52D17" w:rsidRPr="00B14DFD" w:rsidRDefault="00C52D17" w:rsidP="00DC5C74">
      <w:pPr>
        <w:widowControl w:val="0"/>
        <w:spacing w:line="360" w:lineRule="auto"/>
        <w:jc w:val="both"/>
        <w:rPr>
          <w:rFonts w:ascii="Palatino Linotype" w:eastAsia="Palatino Linotype" w:hAnsi="Palatino Linotype" w:cs="Palatino Linotype"/>
          <w:sz w:val="22"/>
          <w:szCs w:val="22"/>
        </w:rPr>
      </w:pPr>
    </w:p>
    <w:p w14:paraId="6796CB94" w14:textId="4BFA8F24" w:rsidR="00422AF6" w:rsidRPr="00B14DFD" w:rsidRDefault="00E8288F"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3</w:t>
      </w:r>
      <w:r w:rsidR="0067296C" w:rsidRPr="00B14DFD">
        <w:rPr>
          <w:rFonts w:ascii="Palatino Linotype" w:eastAsia="Palatino Linotype" w:hAnsi="Palatino Linotype" w:cs="Palatino Linotype"/>
          <w:b/>
          <w:sz w:val="22"/>
          <w:szCs w:val="22"/>
        </w:rPr>
        <w:t xml:space="preserve">. Del Recurso de Revisión. </w:t>
      </w:r>
      <w:r w:rsidR="0067296C" w:rsidRPr="00B14DFD">
        <w:rPr>
          <w:rFonts w:ascii="Palatino Linotype" w:eastAsia="Palatino Linotype" w:hAnsi="Palatino Linotype" w:cs="Palatino Linotype"/>
          <w:sz w:val="22"/>
          <w:szCs w:val="22"/>
        </w:rPr>
        <w:t>Inconforme con la respuesta del</w:t>
      </w:r>
      <w:r w:rsidR="0067296C" w:rsidRPr="00B14DFD">
        <w:rPr>
          <w:rFonts w:ascii="Palatino Linotype" w:eastAsia="Palatino Linotype" w:hAnsi="Palatino Linotype" w:cs="Palatino Linotype"/>
          <w:b/>
          <w:sz w:val="22"/>
          <w:szCs w:val="22"/>
        </w:rPr>
        <w:t xml:space="preserve"> </w:t>
      </w:r>
      <w:r w:rsidR="00432D0E" w:rsidRPr="00B14DFD">
        <w:rPr>
          <w:rFonts w:ascii="Palatino Linotype" w:eastAsia="Palatino Linotype" w:hAnsi="Palatino Linotype" w:cs="Palatino Linotype"/>
          <w:b/>
          <w:sz w:val="22"/>
          <w:szCs w:val="22"/>
        </w:rPr>
        <w:t>Sujeto Obligado</w:t>
      </w:r>
      <w:r w:rsidR="0067296C" w:rsidRPr="00B14DFD">
        <w:rPr>
          <w:rFonts w:ascii="Palatino Linotype" w:eastAsia="Palatino Linotype" w:hAnsi="Palatino Linotype" w:cs="Palatino Linotype"/>
          <w:b/>
          <w:sz w:val="22"/>
          <w:szCs w:val="22"/>
        </w:rPr>
        <w:t xml:space="preserve">, </w:t>
      </w:r>
      <w:r w:rsidR="0077331F" w:rsidRPr="00B14DFD">
        <w:rPr>
          <w:rFonts w:ascii="Palatino Linotype" w:eastAsia="Palatino Linotype" w:hAnsi="Palatino Linotype" w:cs="Palatino Linotype"/>
          <w:sz w:val="22"/>
          <w:szCs w:val="22"/>
        </w:rPr>
        <w:t>el</w:t>
      </w:r>
      <w:r w:rsidR="003E1B93" w:rsidRPr="00B14DFD">
        <w:rPr>
          <w:rFonts w:ascii="Palatino Linotype" w:eastAsia="Palatino Linotype" w:hAnsi="Palatino Linotype" w:cs="Palatino Linotype"/>
          <w:sz w:val="22"/>
          <w:szCs w:val="22"/>
        </w:rPr>
        <w:t xml:space="preserve"> </w:t>
      </w:r>
      <w:r w:rsidR="00432D0E" w:rsidRPr="00B14DFD">
        <w:rPr>
          <w:rFonts w:ascii="Palatino Linotype" w:eastAsia="Palatino Linotype" w:hAnsi="Palatino Linotype" w:cs="Palatino Linotype"/>
          <w:b/>
          <w:sz w:val="22"/>
          <w:szCs w:val="22"/>
        </w:rPr>
        <w:t>veintidós de agosto</w:t>
      </w:r>
      <w:r w:rsidR="00835170" w:rsidRPr="00B14DFD">
        <w:rPr>
          <w:rFonts w:ascii="Palatino Linotype" w:eastAsia="Palatino Linotype" w:hAnsi="Palatino Linotype" w:cs="Palatino Linotype"/>
          <w:b/>
          <w:sz w:val="22"/>
          <w:szCs w:val="22"/>
        </w:rPr>
        <w:t xml:space="preserve"> </w:t>
      </w:r>
      <w:r w:rsidR="0067296C" w:rsidRPr="00B14DFD">
        <w:rPr>
          <w:rFonts w:ascii="Palatino Linotype" w:eastAsia="Palatino Linotype" w:hAnsi="Palatino Linotype" w:cs="Palatino Linotype"/>
          <w:b/>
          <w:sz w:val="22"/>
          <w:szCs w:val="22"/>
        </w:rPr>
        <w:t xml:space="preserve">de dos mil veinticinco, </w:t>
      </w:r>
      <w:r w:rsidR="00432D0E" w:rsidRPr="00B14DFD">
        <w:rPr>
          <w:rFonts w:ascii="Palatino Linotype" w:eastAsia="Palatino Linotype" w:hAnsi="Palatino Linotype" w:cs="Palatino Linotype"/>
          <w:bCs/>
          <w:sz w:val="22"/>
          <w:szCs w:val="22"/>
        </w:rPr>
        <w:t>la parte</w:t>
      </w:r>
      <w:r w:rsidR="0067296C" w:rsidRPr="00B14DFD">
        <w:rPr>
          <w:rFonts w:ascii="Palatino Linotype" w:eastAsia="Palatino Linotype" w:hAnsi="Palatino Linotype" w:cs="Palatino Linotype"/>
          <w:b/>
          <w:sz w:val="22"/>
          <w:szCs w:val="22"/>
        </w:rPr>
        <w:t xml:space="preserve"> </w:t>
      </w:r>
      <w:r w:rsidR="00432D0E" w:rsidRPr="00B14DFD">
        <w:rPr>
          <w:rFonts w:ascii="Palatino Linotype" w:eastAsia="Palatino Linotype" w:hAnsi="Palatino Linotype" w:cs="Palatino Linotype"/>
          <w:b/>
          <w:sz w:val="22"/>
          <w:szCs w:val="22"/>
        </w:rPr>
        <w:t xml:space="preserve">Recurrente </w:t>
      </w:r>
      <w:r w:rsidR="0067296C" w:rsidRPr="00B14DFD">
        <w:rPr>
          <w:rFonts w:ascii="Palatino Linotype" w:eastAsia="Palatino Linotype" w:hAnsi="Palatino Linotype" w:cs="Palatino Linotype"/>
          <w:sz w:val="22"/>
          <w:szCs w:val="22"/>
        </w:rPr>
        <w:t>interpuso el recurso de revisión</w:t>
      </w:r>
      <w:r w:rsidR="00C50360" w:rsidRPr="00B14DFD">
        <w:rPr>
          <w:rFonts w:ascii="Palatino Linotype" w:eastAsia="Palatino Linotype" w:hAnsi="Palatino Linotype" w:cs="Palatino Linotype"/>
          <w:sz w:val="22"/>
          <w:szCs w:val="22"/>
        </w:rPr>
        <w:t xml:space="preserve">, </w:t>
      </w:r>
      <w:r w:rsidR="00432D0E" w:rsidRPr="00B14DFD">
        <w:rPr>
          <w:rFonts w:ascii="Palatino Linotype" w:eastAsia="Palatino Linotype" w:hAnsi="Palatino Linotype" w:cs="Palatino Linotype"/>
          <w:sz w:val="22"/>
          <w:szCs w:val="22"/>
        </w:rPr>
        <w:t>en el que</w:t>
      </w:r>
      <w:r w:rsidR="0067296C" w:rsidRPr="00B14DFD">
        <w:rPr>
          <w:rFonts w:ascii="Palatino Linotype" w:eastAsia="Palatino Linotype" w:hAnsi="Palatino Linotype" w:cs="Palatino Linotype"/>
          <w:sz w:val="22"/>
          <w:szCs w:val="22"/>
        </w:rPr>
        <w:t xml:space="preserve"> manifestó lo siguiente: </w:t>
      </w:r>
    </w:p>
    <w:p w14:paraId="1F0CE614" w14:textId="77777777" w:rsidR="001624D4" w:rsidRPr="00B14DFD" w:rsidRDefault="001624D4" w:rsidP="00DC5C74">
      <w:pPr>
        <w:spacing w:line="360" w:lineRule="auto"/>
        <w:jc w:val="both"/>
        <w:rPr>
          <w:rFonts w:ascii="Palatino Linotype" w:eastAsia="Palatino Linotype" w:hAnsi="Palatino Linotype" w:cs="Palatino Linotype"/>
          <w:sz w:val="22"/>
          <w:szCs w:val="22"/>
        </w:rPr>
      </w:pPr>
    </w:p>
    <w:p w14:paraId="3F4C0AC4" w14:textId="77777777" w:rsidR="00432D0E" w:rsidRPr="00B14DFD" w:rsidRDefault="0067296C" w:rsidP="00DF43F1">
      <w:pPr>
        <w:pStyle w:val="Prrafodelista"/>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Acto Impugnado:</w:t>
      </w:r>
      <w:r w:rsidRPr="00B14DFD">
        <w:rPr>
          <w:rFonts w:ascii="Palatino Linotype" w:eastAsia="Palatino Linotype" w:hAnsi="Palatino Linotype" w:cs="Palatino Linotype"/>
          <w:i/>
          <w:sz w:val="22"/>
          <w:szCs w:val="22"/>
        </w:rPr>
        <w:t xml:space="preserve"> </w:t>
      </w:r>
    </w:p>
    <w:p w14:paraId="4CE343AA" w14:textId="703A2129" w:rsidR="00422AF6" w:rsidRPr="00B14DFD" w:rsidRDefault="0067296C" w:rsidP="00DF43F1">
      <w:pPr>
        <w:pStyle w:val="Prrafodelista"/>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00432D0E" w:rsidRPr="00B14DFD">
        <w:rPr>
          <w:rFonts w:ascii="Palatino Linotype" w:eastAsia="Palatino Linotype" w:hAnsi="Palatino Linotype" w:cs="Palatino Linotype"/>
          <w:i/>
          <w:sz w:val="22"/>
          <w:szCs w:val="22"/>
        </w:rPr>
        <w:t>NO ENTREGA INFORMACION</w:t>
      </w:r>
      <w:r w:rsidRPr="00B14DFD">
        <w:rPr>
          <w:rFonts w:ascii="Palatino Linotype" w:eastAsia="Palatino Linotype" w:hAnsi="Palatino Linotype" w:cs="Palatino Linotype"/>
          <w:i/>
          <w:sz w:val="22"/>
          <w:szCs w:val="22"/>
        </w:rPr>
        <w:t>”</w:t>
      </w:r>
      <w:r w:rsidR="00835170" w:rsidRPr="00B14DFD">
        <w:rPr>
          <w:rFonts w:ascii="Palatino Linotype" w:eastAsia="Palatino Linotype" w:hAnsi="Palatino Linotype" w:cs="Palatino Linotype"/>
          <w:i/>
          <w:sz w:val="22"/>
          <w:szCs w:val="22"/>
        </w:rPr>
        <w:t xml:space="preserve"> (Sic.)</w:t>
      </w:r>
    </w:p>
    <w:p w14:paraId="7CE6F84B" w14:textId="77777777" w:rsidR="00432D0E" w:rsidRPr="00B14DFD" w:rsidRDefault="00432D0E" w:rsidP="00DF43F1">
      <w:pPr>
        <w:pStyle w:val="Prrafodelista"/>
        <w:spacing w:line="276" w:lineRule="auto"/>
        <w:ind w:left="851" w:right="843"/>
        <w:jc w:val="both"/>
        <w:rPr>
          <w:rFonts w:ascii="Palatino Linotype" w:eastAsia="Palatino Linotype" w:hAnsi="Palatino Linotype" w:cs="Palatino Linotype"/>
          <w:i/>
          <w:sz w:val="22"/>
          <w:szCs w:val="22"/>
        </w:rPr>
      </w:pPr>
    </w:p>
    <w:p w14:paraId="6500100A" w14:textId="77777777" w:rsidR="00432D0E" w:rsidRPr="00B14DFD" w:rsidRDefault="0067296C" w:rsidP="00DF43F1">
      <w:pPr>
        <w:pStyle w:val="Prrafodelista"/>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Motivo de inconformidad:</w:t>
      </w:r>
      <w:r w:rsidRPr="00B14DFD">
        <w:rPr>
          <w:rFonts w:ascii="Palatino Linotype" w:eastAsia="Palatino Linotype" w:hAnsi="Palatino Linotype" w:cs="Palatino Linotype"/>
          <w:i/>
          <w:sz w:val="22"/>
          <w:szCs w:val="22"/>
        </w:rPr>
        <w:t xml:space="preserve"> </w:t>
      </w:r>
    </w:p>
    <w:p w14:paraId="45A7A5A7" w14:textId="454AE355" w:rsidR="00422AF6" w:rsidRPr="00B14DFD" w:rsidRDefault="0067296C" w:rsidP="00DF43F1">
      <w:pPr>
        <w:pStyle w:val="Prrafodelista"/>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00432D0E" w:rsidRPr="00B14DFD">
        <w:rPr>
          <w:rFonts w:ascii="Palatino Linotype" w:eastAsia="Palatino Linotype" w:hAnsi="Palatino Linotype" w:cs="Palatino Linotype"/>
          <w:i/>
          <w:sz w:val="22"/>
          <w:szCs w:val="22"/>
        </w:rPr>
        <w:t>NO ENTREGA INFORMACION, NO ENTREGA LA TOTALIDAD DE LA INFORMACION Y NO ADJUNTA EL ACTA QUE SUSTENTE LA VERSION PUBLICA</w:t>
      </w:r>
      <w:r w:rsidR="003D0C3D" w:rsidRPr="00B14DFD">
        <w:rPr>
          <w:rFonts w:ascii="Palatino Linotype" w:eastAsia="Palatino Linotype" w:hAnsi="Palatino Linotype" w:cs="Palatino Linotype"/>
          <w:i/>
          <w:sz w:val="22"/>
          <w:szCs w:val="22"/>
        </w:rPr>
        <w:t>” (</w:t>
      </w:r>
      <w:r w:rsidR="00E8288F" w:rsidRPr="00B14DFD">
        <w:rPr>
          <w:rFonts w:ascii="Palatino Linotype" w:eastAsia="Palatino Linotype" w:hAnsi="Palatino Linotype" w:cs="Palatino Linotype"/>
          <w:i/>
          <w:sz w:val="22"/>
          <w:szCs w:val="22"/>
        </w:rPr>
        <w:t>Sic.)</w:t>
      </w:r>
    </w:p>
    <w:p w14:paraId="4B8AC9CA" w14:textId="77777777" w:rsidR="001624D4" w:rsidRPr="00B14DFD" w:rsidRDefault="001624D4" w:rsidP="00DC5C74">
      <w:pPr>
        <w:spacing w:line="360" w:lineRule="auto"/>
        <w:ind w:left="142" w:right="560"/>
        <w:jc w:val="both"/>
        <w:rPr>
          <w:rFonts w:ascii="Palatino Linotype" w:eastAsia="Palatino Linotype" w:hAnsi="Palatino Linotype" w:cs="Palatino Linotype"/>
          <w:i/>
          <w:sz w:val="22"/>
          <w:szCs w:val="22"/>
        </w:rPr>
      </w:pPr>
    </w:p>
    <w:p w14:paraId="266C2739" w14:textId="7EDE78DF" w:rsidR="00422AF6" w:rsidRPr="00B14DFD" w:rsidRDefault="00E8288F"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4</w:t>
      </w:r>
      <w:r w:rsidR="0067296C" w:rsidRPr="00B14DFD">
        <w:rPr>
          <w:rFonts w:ascii="Palatino Linotype" w:eastAsia="Palatino Linotype" w:hAnsi="Palatino Linotype" w:cs="Palatino Linotype"/>
          <w:b/>
          <w:sz w:val="22"/>
          <w:szCs w:val="22"/>
        </w:rPr>
        <w:t xml:space="preserve">. Turno. </w:t>
      </w:r>
      <w:r w:rsidR="0067296C" w:rsidRPr="00B14DFD">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el recurso de revisión número </w:t>
      </w:r>
      <w:r w:rsidR="004C5C2B" w:rsidRPr="00B14DFD">
        <w:rPr>
          <w:rFonts w:ascii="Palatino Linotype" w:eastAsia="Palatino Linotype" w:hAnsi="Palatino Linotype" w:cs="Palatino Linotype"/>
          <w:b/>
          <w:sz w:val="22"/>
          <w:szCs w:val="22"/>
        </w:rPr>
        <w:t>0</w:t>
      </w:r>
      <w:r w:rsidR="00432D0E" w:rsidRPr="00B14DFD">
        <w:rPr>
          <w:rFonts w:ascii="Palatino Linotype" w:eastAsia="Palatino Linotype" w:hAnsi="Palatino Linotype" w:cs="Palatino Linotype"/>
          <w:b/>
          <w:sz w:val="22"/>
          <w:szCs w:val="22"/>
        </w:rPr>
        <w:t>9914</w:t>
      </w:r>
      <w:r w:rsidR="004C5C2B" w:rsidRPr="00B14DFD">
        <w:rPr>
          <w:rFonts w:ascii="Palatino Linotype" w:eastAsia="Palatino Linotype" w:hAnsi="Palatino Linotype" w:cs="Palatino Linotype"/>
          <w:b/>
          <w:sz w:val="22"/>
          <w:szCs w:val="22"/>
        </w:rPr>
        <w:t>/INFOEM/IP/RR/2025</w:t>
      </w:r>
      <w:r w:rsidR="0067296C" w:rsidRPr="00B14DFD">
        <w:rPr>
          <w:rFonts w:ascii="Palatino Linotype" w:eastAsia="Palatino Linotype" w:hAnsi="Palatino Linotype" w:cs="Palatino Linotype"/>
          <w:sz w:val="22"/>
          <w:szCs w:val="22"/>
        </w:rPr>
        <w:t xml:space="preserve">, se turnó por el sistema electrónico del Instituto de Transparencia, Acceso a la Información Pública y Protección de Datos Personales del Estado de México y Municipios, a la Comisionada </w:t>
      </w:r>
      <w:r w:rsidR="0067296C" w:rsidRPr="00B14DFD">
        <w:rPr>
          <w:rFonts w:ascii="Palatino Linotype" w:eastAsia="Palatino Linotype" w:hAnsi="Palatino Linotype" w:cs="Palatino Linotype"/>
          <w:b/>
          <w:sz w:val="22"/>
          <w:szCs w:val="22"/>
        </w:rPr>
        <w:t>Guadalupe Ramírez Peña</w:t>
      </w:r>
      <w:r w:rsidR="0067296C" w:rsidRPr="00B14DFD">
        <w:rPr>
          <w:rFonts w:ascii="Palatino Linotype" w:eastAsia="Palatino Linotype" w:hAnsi="Palatino Linotype" w:cs="Palatino Linotype"/>
          <w:sz w:val="22"/>
          <w:szCs w:val="22"/>
        </w:rPr>
        <w:t>, para su análisis, estudio, elaboración del proyecto y presentación ante el Pleno de este Instituto.</w:t>
      </w:r>
    </w:p>
    <w:p w14:paraId="1E296B35" w14:textId="77777777" w:rsidR="00422AF6" w:rsidRPr="00B14DFD" w:rsidRDefault="00422AF6" w:rsidP="00DC5C74">
      <w:pPr>
        <w:spacing w:line="360" w:lineRule="auto"/>
        <w:jc w:val="both"/>
        <w:rPr>
          <w:rFonts w:ascii="Palatino Linotype" w:eastAsia="Palatino Linotype" w:hAnsi="Palatino Linotype" w:cs="Palatino Linotype"/>
          <w:sz w:val="22"/>
          <w:szCs w:val="22"/>
        </w:rPr>
      </w:pPr>
    </w:p>
    <w:p w14:paraId="36029E41" w14:textId="78EEFDC5" w:rsidR="00422AF6" w:rsidRPr="00B14DFD" w:rsidRDefault="00E8288F" w:rsidP="00DC5C74">
      <w:pPr>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5</w:t>
      </w:r>
      <w:r w:rsidR="0067296C" w:rsidRPr="00B14DFD">
        <w:rPr>
          <w:rFonts w:ascii="Palatino Linotype" w:eastAsia="Palatino Linotype" w:hAnsi="Palatino Linotype" w:cs="Palatino Linotype"/>
          <w:b/>
          <w:sz w:val="22"/>
          <w:szCs w:val="22"/>
        </w:rPr>
        <w:t xml:space="preserve">. Admisión. </w:t>
      </w:r>
      <w:r w:rsidR="0067296C" w:rsidRPr="00B14DFD">
        <w:rPr>
          <w:rFonts w:ascii="Palatino Linotype" w:eastAsia="Palatino Linotype" w:hAnsi="Palatino Linotype" w:cs="Palatino Linotype"/>
          <w:sz w:val="22"/>
          <w:szCs w:val="22"/>
        </w:rPr>
        <w:t xml:space="preserve">El </w:t>
      </w:r>
      <w:r w:rsidR="00432D0E" w:rsidRPr="00B14DFD">
        <w:rPr>
          <w:rFonts w:ascii="Palatino Linotype" w:eastAsia="Palatino Linotype" w:hAnsi="Palatino Linotype" w:cs="Palatino Linotype"/>
          <w:b/>
          <w:sz w:val="22"/>
          <w:szCs w:val="22"/>
        </w:rPr>
        <w:t>veintisiete de agosto</w:t>
      </w:r>
      <w:r w:rsidRPr="00B14DFD">
        <w:rPr>
          <w:rFonts w:ascii="Palatino Linotype" w:eastAsia="Palatino Linotype" w:hAnsi="Palatino Linotype" w:cs="Palatino Linotype"/>
          <w:b/>
          <w:sz w:val="22"/>
          <w:szCs w:val="22"/>
        </w:rPr>
        <w:t xml:space="preserve"> </w:t>
      </w:r>
      <w:r w:rsidR="0067296C" w:rsidRPr="00B14DFD">
        <w:rPr>
          <w:rFonts w:ascii="Palatino Linotype" w:eastAsia="Palatino Linotype" w:hAnsi="Palatino Linotype" w:cs="Palatino Linotype"/>
          <w:b/>
          <w:sz w:val="22"/>
          <w:szCs w:val="22"/>
        </w:rPr>
        <w:t>de dos mil veinticinco</w:t>
      </w:r>
      <w:r w:rsidR="0067296C" w:rsidRPr="00B14DFD">
        <w:rPr>
          <w:rFonts w:ascii="Palatino Linotype" w:eastAsia="Palatino Linotype" w:hAnsi="Palatino Linotype" w:cs="Palatino Linotype"/>
          <w:sz w:val="22"/>
          <w:szCs w:val="22"/>
        </w:rPr>
        <w:t>, en términos de lo dispuesto en el artículo 185 fracciones I, II y IV de la Ley de Transparencia y Acceso a la Información Pública del Estado d</w:t>
      </w:r>
      <w:r w:rsidR="00F06653" w:rsidRPr="00B14DFD">
        <w:rPr>
          <w:rFonts w:ascii="Palatino Linotype" w:eastAsia="Palatino Linotype" w:hAnsi="Palatino Linotype" w:cs="Palatino Linotype"/>
          <w:sz w:val="22"/>
          <w:szCs w:val="22"/>
        </w:rPr>
        <w:t>e México y Municipios, se admitió</w:t>
      </w:r>
      <w:r w:rsidR="0067296C" w:rsidRPr="00B14DFD">
        <w:rPr>
          <w:rFonts w:ascii="Palatino Linotype" w:eastAsia="Palatino Linotype" w:hAnsi="Palatino Linotype" w:cs="Palatino Linotype"/>
          <w:sz w:val="22"/>
          <w:szCs w:val="22"/>
        </w:rPr>
        <w:t xml:space="preserve"> a trámite </w:t>
      </w:r>
      <w:r w:rsidR="00F06653" w:rsidRPr="00B14DFD">
        <w:rPr>
          <w:rFonts w:ascii="Palatino Linotype" w:eastAsia="Palatino Linotype" w:hAnsi="Palatino Linotype" w:cs="Palatino Linotype"/>
          <w:sz w:val="22"/>
          <w:szCs w:val="22"/>
        </w:rPr>
        <w:t>el</w:t>
      </w:r>
      <w:r w:rsidR="0067296C" w:rsidRPr="00B14DFD">
        <w:rPr>
          <w:rFonts w:ascii="Palatino Linotype" w:eastAsia="Palatino Linotype" w:hAnsi="Palatino Linotype" w:cs="Palatino Linotype"/>
          <w:sz w:val="22"/>
          <w:szCs w:val="22"/>
        </w:rPr>
        <w:t xml:space="preserve"> recurso de revisión</w:t>
      </w:r>
      <w:r w:rsidR="0067296C" w:rsidRPr="00B14DFD">
        <w:rPr>
          <w:rFonts w:ascii="Palatino Linotype" w:eastAsia="Palatino Linotype" w:hAnsi="Palatino Linotype" w:cs="Palatino Linotype"/>
          <w:b/>
          <w:sz w:val="22"/>
          <w:szCs w:val="22"/>
        </w:rPr>
        <w:t>.</w:t>
      </w:r>
    </w:p>
    <w:p w14:paraId="1D7E00D4" w14:textId="77777777" w:rsidR="00422AF6" w:rsidRPr="00B14DFD" w:rsidRDefault="00422AF6" w:rsidP="00DC5C74">
      <w:pPr>
        <w:spacing w:line="360" w:lineRule="auto"/>
        <w:jc w:val="both"/>
        <w:rPr>
          <w:rFonts w:ascii="Palatino Linotype" w:eastAsia="Palatino Linotype" w:hAnsi="Palatino Linotype" w:cs="Palatino Linotype"/>
          <w:b/>
          <w:sz w:val="22"/>
          <w:szCs w:val="22"/>
        </w:rPr>
      </w:pPr>
    </w:p>
    <w:p w14:paraId="106C14CE" w14:textId="54CE8CAB" w:rsidR="003D0C3D" w:rsidRPr="00B14DFD" w:rsidRDefault="00E8288F"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6</w:t>
      </w:r>
      <w:r w:rsidR="0067296C" w:rsidRPr="00B14DFD">
        <w:rPr>
          <w:rFonts w:ascii="Palatino Linotype" w:eastAsia="Palatino Linotype" w:hAnsi="Palatino Linotype" w:cs="Palatino Linotype"/>
          <w:b/>
          <w:sz w:val="22"/>
          <w:szCs w:val="22"/>
        </w:rPr>
        <w:t>. Manifestaciones.</w:t>
      </w:r>
      <w:r w:rsidR="0067296C" w:rsidRPr="00B14DFD">
        <w:rPr>
          <w:rFonts w:ascii="Palatino Linotype" w:eastAsia="Palatino Linotype" w:hAnsi="Palatino Linotype" w:cs="Palatino Linotype"/>
          <w:sz w:val="22"/>
          <w:szCs w:val="22"/>
        </w:rPr>
        <w:t xml:space="preserve"> </w:t>
      </w:r>
      <w:r w:rsidR="000849C2" w:rsidRPr="00B14DFD">
        <w:rPr>
          <w:rFonts w:ascii="Palatino Linotype" w:eastAsia="Palatino Linotype" w:hAnsi="Palatino Linotype" w:cs="Palatino Linotype"/>
          <w:sz w:val="22"/>
          <w:szCs w:val="22"/>
        </w:rPr>
        <w:t>De las constancias que obran en el expediente electrónico d</w:t>
      </w:r>
      <w:r w:rsidR="002C08AB" w:rsidRPr="00B14DFD">
        <w:rPr>
          <w:rFonts w:ascii="Palatino Linotype" w:eastAsia="Palatino Linotype" w:hAnsi="Palatino Linotype" w:cs="Palatino Linotype"/>
          <w:sz w:val="22"/>
          <w:szCs w:val="22"/>
        </w:rPr>
        <w:t>el SAIMEX, se advierte que</w:t>
      </w:r>
      <w:r w:rsidR="000849C2" w:rsidRPr="00B14DFD">
        <w:rPr>
          <w:rFonts w:ascii="Palatino Linotype" w:eastAsia="Palatino Linotype" w:hAnsi="Palatino Linotype" w:cs="Palatino Linotype"/>
          <w:sz w:val="22"/>
          <w:szCs w:val="22"/>
        </w:rPr>
        <w:t xml:space="preserve"> el Sujeto Obligado </w:t>
      </w:r>
      <w:r w:rsidR="002C08AB" w:rsidRPr="00B14DFD">
        <w:rPr>
          <w:rFonts w:ascii="Palatino Linotype" w:eastAsia="Palatino Linotype" w:hAnsi="Palatino Linotype" w:cs="Palatino Linotype"/>
          <w:sz w:val="22"/>
          <w:szCs w:val="22"/>
        </w:rPr>
        <w:t xml:space="preserve">remitió el informe justificado el </w:t>
      </w:r>
      <w:r w:rsidR="00432D0E" w:rsidRPr="00B14DFD">
        <w:rPr>
          <w:rFonts w:ascii="Palatino Linotype" w:eastAsia="Palatino Linotype" w:hAnsi="Palatino Linotype" w:cs="Palatino Linotype"/>
          <w:b/>
          <w:sz w:val="22"/>
          <w:szCs w:val="22"/>
        </w:rPr>
        <w:t>tres de septiembre</w:t>
      </w:r>
      <w:r w:rsidR="003D0C3D" w:rsidRPr="00B14DFD">
        <w:rPr>
          <w:rFonts w:ascii="Palatino Linotype" w:eastAsia="Palatino Linotype" w:hAnsi="Palatino Linotype" w:cs="Palatino Linotype"/>
          <w:b/>
          <w:sz w:val="22"/>
          <w:szCs w:val="22"/>
        </w:rPr>
        <w:t xml:space="preserve"> </w:t>
      </w:r>
      <w:r w:rsidR="002C08AB" w:rsidRPr="00B14DFD">
        <w:rPr>
          <w:rFonts w:ascii="Palatino Linotype" w:eastAsia="Palatino Linotype" w:hAnsi="Palatino Linotype" w:cs="Palatino Linotype"/>
          <w:b/>
          <w:sz w:val="22"/>
          <w:szCs w:val="22"/>
        </w:rPr>
        <w:t>de dos mil veinticinco</w:t>
      </w:r>
      <w:r w:rsidR="002C08AB" w:rsidRPr="00B14DFD">
        <w:rPr>
          <w:rFonts w:ascii="Palatino Linotype" w:eastAsia="Palatino Linotype" w:hAnsi="Palatino Linotype" w:cs="Palatino Linotype"/>
          <w:sz w:val="22"/>
          <w:szCs w:val="22"/>
        </w:rPr>
        <w:t>, a través de</w:t>
      </w:r>
      <w:r w:rsidR="00432D0E" w:rsidRPr="00B14DFD">
        <w:rPr>
          <w:rFonts w:ascii="Palatino Linotype" w:eastAsia="Palatino Linotype" w:hAnsi="Palatino Linotype" w:cs="Palatino Linotype"/>
          <w:sz w:val="22"/>
          <w:szCs w:val="22"/>
        </w:rPr>
        <w:t xml:space="preserve"> los</w:t>
      </w:r>
      <w:r w:rsidR="002C08AB" w:rsidRPr="00B14DFD">
        <w:rPr>
          <w:rFonts w:ascii="Palatino Linotype" w:eastAsia="Palatino Linotype" w:hAnsi="Palatino Linotype" w:cs="Palatino Linotype"/>
          <w:sz w:val="22"/>
          <w:szCs w:val="22"/>
        </w:rPr>
        <w:t xml:space="preserve"> </w:t>
      </w:r>
      <w:r w:rsidR="00432D0E" w:rsidRPr="00B14DFD">
        <w:rPr>
          <w:rFonts w:ascii="Palatino Linotype" w:eastAsia="Palatino Linotype" w:hAnsi="Palatino Linotype" w:cs="Palatino Linotype"/>
          <w:sz w:val="22"/>
          <w:szCs w:val="22"/>
        </w:rPr>
        <w:t>archivos</w:t>
      </w:r>
      <w:r w:rsidR="002C08AB" w:rsidRPr="00B14DFD">
        <w:rPr>
          <w:rFonts w:ascii="Palatino Linotype" w:eastAsia="Palatino Linotype" w:hAnsi="Palatino Linotype" w:cs="Palatino Linotype"/>
          <w:sz w:val="22"/>
          <w:szCs w:val="22"/>
        </w:rPr>
        <w:t xml:space="preserve"> electrónico</w:t>
      </w:r>
      <w:r w:rsidR="00432D0E" w:rsidRPr="00B14DFD">
        <w:rPr>
          <w:rFonts w:ascii="Palatino Linotype" w:eastAsia="Palatino Linotype" w:hAnsi="Palatino Linotype" w:cs="Palatino Linotype"/>
          <w:sz w:val="22"/>
          <w:szCs w:val="22"/>
        </w:rPr>
        <w:t>s</w:t>
      </w:r>
      <w:r w:rsidR="002C08AB" w:rsidRPr="00B14DFD">
        <w:rPr>
          <w:rFonts w:ascii="Palatino Linotype" w:eastAsia="Palatino Linotype" w:hAnsi="Palatino Linotype" w:cs="Palatino Linotype"/>
          <w:sz w:val="22"/>
          <w:szCs w:val="22"/>
        </w:rPr>
        <w:t xml:space="preserve"> </w:t>
      </w:r>
      <w:r w:rsidR="002C08AB" w:rsidRPr="00B14DFD">
        <w:rPr>
          <w:rFonts w:ascii="Palatino Linotype" w:eastAsia="Palatino Linotype" w:hAnsi="Palatino Linotype" w:cs="Palatino Linotype"/>
          <w:bCs/>
          <w:sz w:val="22"/>
          <w:szCs w:val="22"/>
        </w:rPr>
        <w:t>denominado</w:t>
      </w:r>
      <w:r w:rsidR="00432D0E" w:rsidRPr="00B14DFD">
        <w:rPr>
          <w:rFonts w:ascii="Palatino Linotype" w:eastAsia="Palatino Linotype" w:hAnsi="Palatino Linotype" w:cs="Palatino Linotype"/>
          <w:bCs/>
          <w:sz w:val="22"/>
          <w:szCs w:val="22"/>
        </w:rPr>
        <w:t>s</w:t>
      </w:r>
      <w:r w:rsidR="00641708" w:rsidRPr="00B14DFD">
        <w:rPr>
          <w:rFonts w:ascii="Palatino Linotype" w:eastAsia="Palatino Linotype" w:hAnsi="Palatino Linotype" w:cs="Palatino Linotype"/>
          <w:b/>
          <w:sz w:val="22"/>
          <w:szCs w:val="22"/>
        </w:rPr>
        <w:t xml:space="preserve"> </w:t>
      </w:r>
      <w:r w:rsidR="00432D0E" w:rsidRPr="00B14DFD">
        <w:rPr>
          <w:rFonts w:ascii="Palatino Linotype" w:eastAsia="Palatino Linotype" w:hAnsi="Palatino Linotype" w:cs="Palatino Linotype"/>
          <w:b/>
          <w:bCs/>
          <w:i/>
          <w:iCs/>
          <w:sz w:val="22"/>
          <w:szCs w:val="22"/>
        </w:rPr>
        <w:t>RR 09914.pdf</w:t>
      </w:r>
      <w:r w:rsidR="00432D0E" w:rsidRPr="00B14DFD">
        <w:rPr>
          <w:rFonts w:ascii="Palatino Linotype" w:eastAsia="Palatino Linotype" w:hAnsi="Palatino Linotype" w:cs="Palatino Linotype"/>
          <w:b/>
          <w:bCs/>
          <w:sz w:val="22"/>
          <w:szCs w:val="22"/>
        </w:rPr>
        <w:t xml:space="preserve"> y </w:t>
      </w:r>
      <w:r w:rsidR="00432D0E" w:rsidRPr="00B14DFD">
        <w:rPr>
          <w:rFonts w:ascii="Palatino Linotype" w:eastAsia="Palatino Linotype" w:hAnsi="Palatino Linotype" w:cs="Palatino Linotype"/>
          <w:b/>
          <w:bCs/>
          <w:i/>
          <w:iCs/>
          <w:sz w:val="22"/>
          <w:szCs w:val="22"/>
        </w:rPr>
        <w:t>13 EXTZINA 2025.pdf</w:t>
      </w:r>
      <w:r w:rsidR="002C08AB" w:rsidRPr="00B14DFD">
        <w:rPr>
          <w:rFonts w:ascii="Palatino Linotype" w:eastAsia="Palatino Linotype" w:hAnsi="Palatino Linotype" w:cs="Palatino Linotype"/>
          <w:b/>
          <w:sz w:val="22"/>
          <w:szCs w:val="22"/>
        </w:rPr>
        <w:t xml:space="preserve">, </w:t>
      </w:r>
      <w:r w:rsidR="00432D0E" w:rsidRPr="00B14DFD">
        <w:rPr>
          <w:rFonts w:ascii="Palatino Linotype" w:eastAsia="Palatino Linotype" w:hAnsi="Palatino Linotype" w:cs="Palatino Linotype"/>
          <w:sz w:val="22"/>
          <w:szCs w:val="22"/>
        </w:rPr>
        <w:t>mismos que contienen lo siguiente:</w:t>
      </w:r>
    </w:p>
    <w:p w14:paraId="17DE9353" w14:textId="77777777" w:rsidR="00352D85" w:rsidRPr="00B14DFD" w:rsidRDefault="00352D85" w:rsidP="00DC5C74">
      <w:pPr>
        <w:spacing w:line="360" w:lineRule="auto"/>
        <w:jc w:val="both"/>
        <w:rPr>
          <w:rFonts w:ascii="Palatino Linotype" w:eastAsia="Palatino Linotype" w:hAnsi="Palatino Linotype" w:cs="Palatino Linotype"/>
          <w:sz w:val="22"/>
          <w:szCs w:val="22"/>
        </w:rPr>
      </w:pPr>
    </w:p>
    <w:p w14:paraId="2E06C7E3" w14:textId="698F6F00" w:rsidR="006C3063" w:rsidRPr="00B14DFD" w:rsidRDefault="006C3063" w:rsidP="00DC5C74">
      <w:pPr>
        <w:pStyle w:val="Prrafodelista"/>
        <w:numPr>
          <w:ilvl w:val="0"/>
          <w:numId w:val="45"/>
        </w:num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bCs/>
          <w:sz w:val="22"/>
          <w:szCs w:val="22"/>
        </w:rPr>
        <w:t xml:space="preserve">RR </w:t>
      </w:r>
      <w:r w:rsidR="00432D0E" w:rsidRPr="00B14DFD">
        <w:rPr>
          <w:rFonts w:ascii="Palatino Linotype" w:eastAsia="Palatino Linotype" w:hAnsi="Palatino Linotype" w:cs="Palatino Linotype"/>
          <w:b/>
          <w:bCs/>
          <w:sz w:val="22"/>
          <w:szCs w:val="22"/>
        </w:rPr>
        <w:t>09914</w:t>
      </w:r>
      <w:r w:rsidRPr="00B14DFD">
        <w:rPr>
          <w:rFonts w:ascii="Palatino Linotype" w:eastAsia="Palatino Linotype" w:hAnsi="Palatino Linotype" w:cs="Palatino Linotype"/>
          <w:b/>
          <w:bCs/>
          <w:sz w:val="22"/>
          <w:szCs w:val="22"/>
        </w:rPr>
        <w:t>.pdf</w:t>
      </w:r>
      <w:r w:rsidR="00432D0E" w:rsidRPr="00B14DFD">
        <w:rPr>
          <w:rFonts w:ascii="Palatino Linotype" w:eastAsia="Palatino Linotype" w:hAnsi="Palatino Linotype" w:cs="Palatino Linotype"/>
          <w:sz w:val="22"/>
          <w:szCs w:val="22"/>
        </w:rPr>
        <w:t>: O</w:t>
      </w:r>
      <w:r w:rsidR="000E6E1B" w:rsidRPr="00B14DFD">
        <w:rPr>
          <w:rFonts w:ascii="Palatino Linotype" w:eastAsia="Palatino Linotype" w:hAnsi="Palatino Linotype" w:cs="Palatino Linotype"/>
          <w:sz w:val="22"/>
          <w:szCs w:val="22"/>
        </w:rPr>
        <w:t xml:space="preserve">ficio suscrito por </w:t>
      </w:r>
      <w:r w:rsidR="00432D0E" w:rsidRPr="00B14DFD">
        <w:rPr>
          <w:rFonts w:ascii="Palatino Linotype" w:eastAsia="Palatino Linotype" w:hAnsi="Palatino Linotype" w:cs="Palatino Linotype"/>
          <w:sz w:val="22"/>
          <w:szCs w:val="22"/>
        </w:rPr>
        <w:t>la Titular de la Unidad de Transparencia, en</w:t>
      </w:r>
      <w:r w:rsidR="001318F9" w:rsidRPr="00B14DFD">
        <w:rPr>
          <w:rFonts w:ascii="Palatino Linotype" w:eastAsia="Palatino Linotype" w:hAnsi="Palatino Linotype" w:cs="Palatino Linotype"/>
          <w:sz w:val="22"/>
          <w:szCs w:val="22"/>
        </w:rPr>
        <w:t xml:space="preserve"> el que medularmente confirma la respuesta inicial, precisando que la versión publica de la información remitida fue aprobada mediante acuerdo CT/S13/EXT/AC13/2025 de la Décima Tercera Sesión Extraordinaria del Comité de Transparencia.</w:t>
      </w:r>
    </w:p>
    <w:p w14:paraId="00B448C4" w14:textId="77777777" w:rsidR="00B24B07" w:rsidRPr="00B14DFD" w:rsidRDefault="00B24B07" w:rsidP="00DC5C74">
      <w:pPr>
        <w:spacing w:line="360" w:lineRule="auto"/>
        <w:jc w:val="both"/>
        <w:rPr>
          <w:rFonts w:ascii="Palatino Linotype" w:eastAsia="Palatino Linotype" w:hAnsi="Palatino Linotype" w:cs="Palatino Linotype"/>
          <w:sz w:val="22"/>
          <w:szCs w:val="22"/>
        </w:rPr>
      </w:pPr>
    </w:p>
    <w:p w14:paraId="1C4DA912" w14:textId="77777777" w:rsidR="001318F9" w:rsidRPr="00B14DFD" w:rsidRDefault="00B24B07" w:rsidP="00DC5C74">
      <w:pPr>
        <w:pStyle w:val="Prrafodelista"/>
        <w:numPr>
          <w:ilvl w:val="0"/>
          <w:numId w:val="45"/>
        </w:num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bCs/>
          <w:sz w:val="22"/>
          <w:szCs w:val="22"/>
        </w:rPr>
        <w:t>1</w:t>
      </w:r>
      <w:r w:rsidR="00432D0E" w:rsidRPr="00B14DFD">
        <w:rPr>
          <w:rFonts w:ascii="Palatino Linotype" w:eastAsia="Palatino Linotype" w:hAnsi="Palatino Linotype" w:cs="Palatino Linotype"/>
          <w:b/>
          <w:bCs/>
          <w:sz w:val="22"/>
          <w:szCs w:val="22"/>
        </w:rPr>
        <w:t>3</w:t>
      </w:r>
      <w:r w:rsidRPr="00B14DFD">
        <w:rPr>
          <w:rFonts w:ascii="Palatino Linotype" w:eastAsia="Palatino Linotype" w:hAnsi="Palatino Linotype" w:cs="Palatino Linotype"/>
          <w:b/>
          <w:bCs/>
          <w:sz w:val="22"/>
          <w:szCs w:val="22"/>
        </w:rPr>
        <w:t xml:space="preserve"> EXTZINA 2025.pdf</w:t>
      </w:r>
      <w:r w:rsidR="001318F9" w:rsidRPr="00B14DFD">
        <w:rPr>
          <w:rFonts w:ascii="Palatino Linotype" w:eastAsia="Palatino Linotype" w:hAnsi="Palatino Linotype" w:cs="Palatino Linotype"/>
          <w:sz w:val="22"/>
          <w:szCs w:val="22"/>
        </w:rPr>
        <w:t xml:space="preserve">: </w:t>
      </w:r>
      <w:r w:rsidR="00485CA9" w:rsidRPr="00B14DFD">
        <w:rPr>
          <w:rFonts w:ascii="Palatino Linotype" w:eastAsia="Palatino Linotype" w:hAnsi="Palatino Linotype" w:cs="Palatino Linotype"/>
          <w:sz w:val="22"/>
          <w:szCs w:val="22"/>
        </w:rPr>
        <w:t xml:space="preserve">Acta de la </w:t>
      </w:r>
      <w:r w:rsidR="001318F9" w:rsidRPr="00B14DFD">
        <w:rPr>
          <w:rFonts w:ascii="Palatino Linotype" w:eastAsia="Palatino Linotype" w:hAnsi="Palatino Linotype" w:cs="Palatino Linotype"/>
          <w:sz w:val="22"/>
          <w:szCs w:val="22"/>
        </w:rPr>
        <w:t>Décima Tercera</w:t>
      </w:r>
      <w:r w:rsidR="00485CA9" w:rsidRPr="00B14DFD">
        <w:rPr>
          <w:rFonts w:ascii="Palatino Linotype" w:eastAsia="Palatino Linotype" w:hAnsi="Palatino Linotype" w:cs="Palatino Linotype"/>
          <w:sz w:val="22"/>
          <w:szCs w:val="22"/>
        </w:rPr>
        <w:t xml:space="preserve"> Sesión Extraordinaria del Comité de Transparencia de Zinacantepec </w:t>
      </w:r>
      <w:r w:rsidR="00485CA9" w:rsidRPr="00B14DFD">
        <w:rPr>
          <w:rFonts w:ascii="Palatino Linotype" w:eastAsia="Palatino Linotype" w:hAnsi="Palatino Linotype" w:cs="Palatino Linotype"/>
          <w:b/>
          <w:bCs/>
          <w:sz w:val="22"/>
          <w:szCs w:val="22"/>
        </w:rPr>
        <w:t>CT/ZIN/EXT/00</w:t>
      </w:r>
      <w:r w:rsidR="001318F9" w:rsidRPr="00B14DFD">
        <w:rPr>
          <w:rFonts w:ascii="Palatino Linotype" w:eastAsia="Palatino Linotype" w:hAnsi="Palatino Linotype" w:cs="Palatino Linotype"/>
          <w:b/>
          <w:bCs/>
          <w:sz w:val="22"/>
          <w:szCs w:val="22"/>
        </w:rPr>
        <w:t>13</w:t>
      </w:r>
      <w:r w:rsidR="00485CA9" w:rsidRPr="00B14DFD">
        <w:rPr>
          <w:rFonts w:ascii="Palatino Linotype" w:eastAsia="Palatino Linotype" w:hAnsi="Palatino Linotype" w:cs="Palatino Linotype"/>
          <w:b/>
          <w:bCs/>
          <w:sz w:val="22"/>
          <w:szCs w:val="22"/>
        </w:rPr>
        <w:t>/2025</w:t>
      </w:r>
      <w:r w:rsidR="00485CA9" w:rsidRPr="00B14DFD">
        <w:rPr>
          <w:rFonts w:ascii="Palatino Linotype" w:eastAsia="Palatino Linotype" w:hAnsi="Palatino Linotype" w:cs="Palatino Linotype"/>
          <w:sz w:val="22"/>
          <w:szCs w:val="22"/>
        </w:rPr>
        <w:t xml:space="preserve">, mediante la cual, a través del acuerdo </w:t>
      </w:r>
      <w:r w:rsidR="00485CA9" w:rsidRPr="00B14DFD">
        <w:rPr>
          <w:rFonts w:ascii="Palatino Linotype" w:eastAsia="Palatino Linotype" w:hAnsi="Palatino Linotype" w:cs="Palatino Linotype"/>
          <w:b/>
          <w:bCs/>
          <w:sz w:val="22"/>
          <w:szCs w:val="22"/>
        </w:rPr>
        <w:t>CT/S1</w:t>
      </w:r>
      <w:r w:rsidR="001318F9" w:rsidRPr="00B14DFD">
        <w:rPr>
          <w:rFonts w:ascii="Palatino Linotype" w:eastAsia="Palatino Linotype" w:hAnsi="Palatino Linotype" w:cs="Palatino Linotype"/>
          <w:b/>
          <w:bCs/>
          <w:sz w:val="22"/>
          <w:szCs w:val="22"/>
        </w:rPr>
        <w:t>3</w:t>
      </w:r>
      <w:r w:rsidR="00485CA9" w:rsidRPr="00B14DFD">
        <w:rPr>
          <w:rFonts w:ascii="Palatino Linotype" w:eastAsia="Palatino Linotype" w:hAnsi="Palatino Linotype" w:cs="Palatino Linotype"/>
          <w:b/>
          <w:bCs/>
          <w:sz w:val="22"/>
          <w:szCs w:val="22"/>
        </w:rPr>
        <w:t>/EXT/AC1</w:t>
      </w:r>
      <w:r w:rsidR="001318F9" w:rsidRPr="00B14DFD">
        <w:rPr>
          <w:rFonts w:ascii="Palatino Linotype" w:eastAsia="Palatino Linotype" w:hAnsi="Palatino Linotype" w:cs="Palatino Linotype"/>
          <w:b/>
          <w:bCs/>
          <w:sz w:val="22"/>
          <w:szCs w:val="22"/>
        </w:rPr>
        <w:t>3</w:t>
      </w:r>
      <w:r w:rsidR="00485CA9" w:rsidRPr="00B14DFD">
        <w:rPr>
          <w:rFonts w:ascii="Palatino Linotype" w:eastAsia="Palatino Linotype" w:hAnsi="Palatino Linotype" w:cs="Palatino Linotype"/>
          <w:b/>
          <w:bCs/>
          <w:sz w:val="22"/>
          <w:szCs w:val="22"/>
        </w:rPr>
        <w:t>/2025</w:t>
      </w:r>
      <w:r w:rsidR="00485CA9" w:rsidRPr="00B14DFD">
        <w:rPr>
          <w:rFonts w:ascii="Palatino Linotype" w:eastAsia="Palatino Linotype" w:hAnsi="Palatino Linotype" w:cs="Palatino Linotype"/>
          <w:sz w:val="22"/>
          <w:szCs w:val="22"/>
        </w:rPr>
        <w:t xml:space="preserve">, se aprobó la entrega de la información en versión pública. </w:t>
      </w:r>
    </w:p>
    <w:p w14:paraId="6A5BDF9E" w14:textId="77777777" w:rsidR="001318F9" w:rsidRPr="00B14DFD" w:rsidRDefault="001318F9" w:rsidP="00DC5C74">
      <w:pPr>
        <w:pStyle w:val="Prrafodelista"/>
        <w:rPr>
          <w:rFonts w:ascii="Palatino Linotype" w:eastAsia="Palatino Linotype" w:hAnsi="Palatino Linotype" w:cs="Palatino Linotype"/>
          <w:bCs/>
          <w:sz w:val="22"/>
          <w:szCs w:val="22"/>
        </w:rPr>
      </w:pPr>
    </w:p>
    <w:p w14:paraId="05F276FF" w14:textId="0011E2A9" w:rsidR="002C08AB" w:rsidRPr="00B14DFD" w:rsidRDefault="001318F9"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Cs/>
          <w:sz w:val="22"/>
          <w:szCs w:val="22"/>
        </w:rPr>
        <w:t xml:space="preserve">Documentos que fueron hechos del conocimiento de la parte </w:t>
      </w:r>
      <w:r w:rsidRPr="00B14DFD">
        <w:rPr>
          <w:rFonts w:ascii="Palatino Linotype" w:eastAsia="Palatino Linotype" w:hAnsi="Palatino Linotype" w:cs="Palatino Linotype"/>
          <w:b/>
          <w:sz w:val="22"/>
          <w:szCs w:val="22"/>
        </w:rPr>
        <w:t>Recurrente</w:t>
      </w:r>
      <w:r w:rsidRPr="00B14DFD">
        <w:rPr>
          <w:rFonts w:ascii="Palatino Linotype" w:eastAsia="Palatino Linotype" w:hAnsi="Palatino Linotype" w:cs="Palatino Linotype"/>
          <w:bCs/>
          <w:sz w:val="22"/>
          <w:szCs w:val="22"/>
        </w:rPr>
        <w:t xml:space="preserve"> en fecha </w:t>
      </w:r>
      <w:r w:rsidRPr="00B14DFD">
        <w:rPr>
          <w:rFonts w:ascii="Palatino Linotype" w:eastAsia="Palatino Linotype" w:hAnsi="Palatino Linotype" w:cs="Palatino Linotype"/>
          <w:b/>
          <w:sz w:val="22"/>
          <w:szCs w:val="22"/>
        </w:rPr>
        <w:t>veinticinco de febrero de</w:t>
      </w:r>
      <w:r w:rsidRPr="00B14DFD">
        <w:rPr>
          <w:rFonts w:ascii="Palatino Linotype" w:eastAsia="Palatino Linotype" w:hAnsi="Palatino Linotype" w:cs="Palatino Linotype"/>
          <w:bCs/>
          <w:sz w:val="22"/>
          <w:szCs w:val="22"/>
        </w:rPr>
        <w:t xml:space="preserve"> </w:t>
      </w:r>
      <w:r w:rsidR="00CA1A88" w:rsidRPr="00B14DFD">
        <w:rPr>
          <w:rFonts w:ascii="Palatino Linotype" w:eastAsia="Palatino Linotype" w:hAnsi="Palatino Linotype" w:cs="Palatino Linotype"/>
          <w:b/>
          <w:sz w:val="22"/>
          <w:szCs w:val="22"/>
        </w:rPr>
        <w:t>dos mil veinticinco</w:t>
      </w:r>
      <w:r w:rsidRPr="00B14DFD">
        <w:rPr>
          <w:rFonts w:ascii="Palatino Linotype" w:eastAsia="Palatino Linotype" w:hAnsi="Palatino Linotype" w:cs="Palatino Linotype"/>
          <w:bCs/>
          <w:sz w:val="22"/>
          <w:szCs w:val="22"/>
        </w:rPr>
        <w:t>,</w:t>
      </w:r>
      <w:r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sz w:val="22"/>
          <w:szCs w:val="22"/>
        </w:rPr>
        <w:t>para que manifestara lo que a su derecho resultara conveniente; sin embargo, fue omisa en realizar alguna manifestación al respecto</w:t>
      </w:r>
      <w:r w:rsidR="00CC0C77" w:rsidRPr="00B14DFD">
        <w:rPr>
          <w:rFonts w:ascii="Palatino Linotype" w:eastAsia="Palatino Linotype" w:hAnsi="Palatino Linotype" w:cs="Palatino Linotype"/>
          <w:sz w:val="22"/>
          <w:szCs w:val="22"/>
        </w:rPr>
        <w:t>.</w:t>
      </w:r>
    </w:p>
    <w:p w14:paraId="41CBCE08" w14:textId="77777777" w:rsidR="00C50360" w:rsidRPr="00B14DFD" w:rsidRDefault="00C50360" w:rsidP="00DC5C74">
      <w:pPr>
        <w:spacing w:line="360" w:lineRule="auto"/>
        <w:jc w:val="both"/>
        <w:rPr>
          <w:rFonts w:ascii="Palatino Linotype" w:eastAsia="Palatino Linotype" w:hAnsi="Palatino Linotype" w:cs="Palatino Linotype"/>
          <w:sz w:val="22"/>
          <w:szCs w:val="22"/>
        </w:rPr>
      </w:pPr>
    </w:p>
    <w:p w14:paraId="613CD83F" w14:textId="2D323524" w:rsidR="001B1E04" w:rsidRPr="00B14DFD" w:rsidRDefault="00E8288F" w:rsidP="00DC5C74">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7</w:t>
      </w:r>
      <w:r w:rsidR="005D201D" w:rsidRPr="00B14DFD">
        <w:rPr>
          <w:rFonts w:ascii="Palatino Linotype" w:eastAsia="Palatino Linotype" w:hAnsi="Palatino Linotype" w:cs="Palatino Linotype"/>
          <w:b/>
          <w:sz w:val="22"/>
          <w:szCs w:val="22"/>
        </w:rPr>
        <w:t xml:space="preserve">. Ampliación de plazo. </w:t>
      </w:r>
      <w:r w:rsidR="00485CA9" w:rsidRPr="00B14DFD">
        <w:rPr>
          <w:rFonts w:ascii="Palatino Linotype" w:eastAsia="Palatino Linotype" w:hAnsi="Palatino Linotype" w:cs="Palatino Linotype"/>
          <w:b/>
          <w:sz w:val="22"/>
          <w:szCs w:val="22"/>
        </w:rPr>
        <w:t xml:space="preserve">El </w:t>
      </w:r>
      <w:r w:rsidR="001318F9" w:rsidRPr="00B14DFD">
        <w:rPr>
          <w:rFonts w:ascii="Palatino Linotype" w:eastAsia="Palatino Linotype" w:hAnsi="Palatino Linotype" w:cs="Palatino Linotype"/>
          <w:b/>
          <w:sz w:val="22"/>
          <w:szCs w:val="22"/>
        </w:rPr>
        <w:t>veinticinco de febrero de dos mil veintiséis</w:t>
      </w:r>
      <w:r w:rsidR="00286C79" w:rsidRPr="00B14DFD">
        <w:rPr>
          <w:rFonts w:ascii="Palatino Linotype" w:eastAsia="Palatino Linotype" w:hAnsi="Palatino Linotype" w:cs="Palatino Linotype"/>
          <w:sz w:val="22"/>
          <w:szCs w:val="22"/>
        </w:rPr>
        <w:t>,</w:t>
      </w:r>
      <w:r w:rsidR="001B1E04" w:rsidRPr="00B14DFD">
        <w:rPr>
          <w:rFonts w:ascii="Palatino Linotype" w:eastAsia="Palatino Linotype" w:hAnsi="Palatino Linotype" w:cs="Palatino Linotype"/>
          <w:sz w:val="22"/>
          <w:szCs w:val="22"/>
        </w:rPr>
        <w:t xml:space="preserve"> con fundamento en el artículo 181, párrafo tercero de la Ley de Transparencia y Acceso a la Información Pública del Estado de México y Municipios, se acordó la ampliación del plazo para su resolución.</w:t>
      </w:r>
    </w:p>
    <w:p w14:paraId="7640E604" w14:textId="77777777" w:rsidR="001B1E04" w:rsidRPr="00B14DFD" w:rsidRDefault="001B1E04" w:rsidP="00DC5C74">
      <w:pPr>
        <w:widowControl w:val="0"/>
        <w:spacing w:line="360" w:lineRule="auto"/>
        <w:jc w:val="both"/>
        <w:rPr>
          <w:rFonts w:ascii="Palatino Linotype" w:eastAsia="Palatino Linotype" w:hAnsi="Palatino Linotype" w:cs="Palatino Linotype"/>
          <w:sz w:val="22"/>
          <w:szCs w:val="22"/>
        </w:rPr>
      </w:pPr>
    </w:p>
    <w:p w14:paraId="32C50E55"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14:paraId="4CC3957D"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064AC89C"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Por ello, es menester precisar que, si bien se ha excedido el plazo para resolver el presente medio de impugnación, de conformidad con la ley de la materia, el plazo para emitir la resolución se encuentra justificado en los elementos para medir la razonabilidad de asuntos conforme a los parámetros establecidos por diversos órganos jurisdiccionales federales, aplicables también en procedimientos análogos, como el que nos ocupa.</w:t>
      </w:r>
    </w:p>
    <w:p w14:paraId="7DFEC73C"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322E3C56"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32CD8CAE"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129AB619"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14:paraId="54488A1D"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7DE75ABD" w14:textId="77777777" w:rsidR="001B1E04" w:rsidRPr="00B14DFD" w:rsidRDefault="001B1E04" w:rsidP="00DC5C74">
      <w:pPr>
        <w:spacing w:line="360" w:lineRule="auto"/>
        <w:jc w:val="both"/>
        <w:rPr>
          <w:rFonts w:ascii="Palatino Linotype" w:eastAsia="Palatino Linotype" w:hAnsi="Palatino Linotype" w:cs="Palatino Linotype"/>
          <w:strike/>
          <w:sz w:val="22"/>
          <w:szCs w:val="22"/>
        </w:rPr>
      </w:pPr>
      <w:r w:rsidRPr="00B14DFD">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14:paraId="2F910D8E"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6AC1D507" w14:textId="77777777" w:rsidR="001B1E04" w:rsidRPr="00B14DFD" w:rsidRDefault="001B1E04" w:rsidP="00DC5C74">
      <w:pPr>
        <w:numPr>
          <w:ilvl w:val="0"/>
          <w:numId w:val="46"/>
        </w:num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Complejidad del Asunto:</w:t>
      </w:r>
      <w:r w:rsidRPr="00B14DFD">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14:paraId="29166295" w14:textId="77777777" w:rsidR="001B1E04" w:rsidRPr="00B14DFD" w:rsidRDefault="001B1E04" w:rsidP="00DC5C74">
      <w:pPr>
        <w:spacing w:line="360" w:lineRule="auto"/>
        <w:ind w:left="927"/>
        <w:jc w:val="both"/>
        <w:rPr>
          <w:rFonts w:ascii="Palatino Linotype" w:eastAsia="Palatino Linotype" w:hAnsi="Palatino Linotype" w:cs="Palatino Linotype"/>
          <w:sz w:val="22"/>
          <w:szCs w:val="22"/>
        </w:rPr>
      </w:pPr>
    </w:p>
    <w:p w14:paraId="5AD0BD54" w14:textId="77777777" w:rsidR="001B1E04" w:rsidRPr="00B14DFD" w:rsidRDefault="001B1E04" w:rsidP="00DC5C74">
      <w:pPr>
        <w:numPr>
          <w:ilvl w:val="0"/>
          <w:numId w:val="46"/>
        </w:num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Actividad Procesal del interesado.</w:t>
      </w:r>
      <w:r w:rsidRPr="00B14DFD">
        <w:rPr>
          <w:rFonts w:ascii="Palatino Linotype" w:eastAsia="Palatino Linotype" w:hAnsi="Palatino Linotype" w:cs="Palatino Linotype"/>
          <w:sz w:val="22"/>
          <w:szCs w:val="22"/>
        </w:rPr>
        <w:t xml:space="preserve"> Acciones u omisiones del interesado.</w:t>
      </w:r>
    </w:p>
    <w:p w14:paraId="14FC1922" w14:textId="77777777" w:rsidR="001B1E04" w:rsidRPr="00B14DFD" w:rsidRDefault="001B1E04" w:rsidP="00DC5C74">
      <w:pPr>
        <w:spacing w:line="360" w:lineRule="auto"/>
        <w:ind w:left="927"/>
        <w:jc w:val="both"/>
        <w:rPr>
          <w:rFonts w:ascii="Palatino Linotype" w:eastAsia="Palatino Linotype" w:hAnsi="Palatino Linotype" w:cs="Palatino Linotype"/>
          <w:sz w:val="22"/>
          <w:szCs w:val="22"/>
        </w:rPr>
      </w:pPr>
    </w:p>
    <w:p w14:paraId="265CEA1F" w14:textId="77777777" w:rsidR="001B1E04" w:rsidRPr="00B14DFD" w:rsidRDefault="001B1E04" w:rsidP="00DC5C74">
      <w:pPr>
        <w:numPr>
          <w:ilvl w:val="0"/>
          <w:numId w:val="46"/>
        </w:num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Conducta de la Autoridad:</w:t>
      </w:r>
      <w:r w:rsidRPr="00B14DFD">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14:paraId="558E66A6" w14:textId="77777777" w:rsidR="001B1E04" w:rsidRPr="00B14DFD" w:rsidRDefault="001B1E04" w:rsidP="00DC5C74">
      <w:pPr>
        <w:spacing w:line="360" w:lineRule="auto"/>
        <w:ind w:left="927"/>
        <w:jc w:val="both"/>
        <w:rPr>
          <w:rFonts w:ascii="Palatino Linotype" w:eastAsia="Palatino Linotype" w:hAnsi="Palatino Linotype" w:cs="Palatino Linotype"/>
          <w:sz w:val="22"/>
          <w:szCs w:val="22"/>
        </w:rPr>
      </w:pPr>
    </w:p>
    <w:p w14:paraId="5304E1C5" w14:textId="77777777" w:rsidR="001B1E04" w:rsidRPr="00B14DFD" w:rsidRDefault="001B1E04" w:rsidP="00DC5C74">
      <w:pPr>
        <w:numPr>
          <w:ilvl w:val="0"/>
          <w:numId w:val="46"/>
        </w:num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 </w:t>
      </w:r>
      <w:r w:rsidRPr="00B14DFD">
        <w:rPr>
          <w:rFonts w:ascii="Palatino Linotype" w:eastAsia="Palatino Linotype" w:hAnsi="Palatino Linotype" w:cs="Palatino Linotype"/>
          <w:b/>
          <w:sz w:val="22"/>
          <w:szCs w:val="22"/>
        </w:rPr>
        <w:t xml:space="preserve">La afectación generada en la situación jurídica de la persona involucrada en el proceso: </w:t>
      </w:r>
      <w:r w:rsidRPr="00B14DFD">
        <w:rPr>
          <w:rFonts w:ascii="Palatino Linotype" w:eastAsia="Palatino Linotype" w:hAnsi="Palatino Linotype" w:cs="Palatino Linotype"/>
          <w:sz w:val="22"/>
          <w:szCs w:val="22"/>
        </w:rPr>
        <w:t>Violación a sus derechos humanos.</w:t>
      </w:r>
    </w:p>
    <w:p w14:paraId="7D5618E1"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6B057987"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4C1431BE"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3DC5300C" w14:textId="77777777" w:rsidR="001B1E04" w:rsidRPr="00B14DFD" w:rsidRDefault="001B1E04" w:rsidP="00DC5C74">
      <w:pPr>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B14DFD">
        <w:rPr>
          <w:rFonts w:ascii="Palatino Linotype" w:eastAsia="Palatino Linotype" w:hAnsi="Palatino Linotype" w:cs="Palatino Linotype"/>
          <w:i/>
          <w:sz w:val="22"/>
          <w:szCs w:val="22"/>
        </w:rPr>
        <w:t>“TÉRMINOS PROCESALES. PARA DETERMINAR SI UN FUNCIONARIO JUDICIAL ACTUÓ INDEBIDAMENTE POR NO RESPETARLOS SE DEBE ATENDER AL PRESUPUESTO QUE CONSIDERÓ EL LEGISLADOR AL FIJARLOS Y LAS CARACTERÍSTICAS DEL CASO.”</w:t>
      </w:r>
      <w:r w:rsidRPr="00B14DFD">
        <w:rPr>
          <w:rFonts w:ascii="Palatino Linotype" w:eastAsia="Palatino Linotype" w:hAnsi="Palatino Linotype" w:cs="Palatino Linotype"/>
          <w:sz w:val="22"/>
          <w:szCs w:val="22"/>
        </w:rPr>
        <w:t>, visible en la Gaceta del Seminario Judicial de la Federación con el registro digital 205635.</w:t>
      </w:r>
    </w:p>
    <w:p w14:paraId="50D11706"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006D12C8"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73762EB6"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17EAF4D5"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14:paraId="2BBF4002"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p>
    <w:p w14:paraId="63076225" w14:textId="77777777" w:rsidR="001B1E04" w:rsidRPr="00B14DFD" w:rsidRDefault="001B1E04" w:rsidP="00DC5C74">
      <w:pPr>
        <w:spacing w:line="360" w:lineRule="auto"/>
        <w:ind w:left="851" w:right="616"/>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 </w:t>
      </w:r>
      <w:r w:rsidRPr="00B14DFD">
        <w:rPr>
          <w:rFonts w:ascii="Palatino Linotype" w:eastAsia="Palatino Linotype" w:hAnsi="Palatino Linotype" w:cs="Palatino Linotype"/>
          <w:i/>
          <w:sz w:val="22"/>
          <w:szCs w:val="22"/>
        </w:rPr>
        <w:t>“PLAZO RAZONABLE PARA RESOLVER. DIMENSIÓN Y EFECTOS DE ESTE CONCEPTO CUANDO SE ADUCE EXCESIVA CARGA DE TRABAJO.”</w:t>
      </w:r>
      <w:r w:rsidRPr="00B14DFD">
        <w:rPr>
          <w:rFonts w:ascii="Palatino Linotype" w:eastAsia="Palatino Linotype" w:hAnsi="Palatino Linotype" w:cs="Palatino Linotype"/>
          <w:sz w:val="22"/>
          <w:szCs w:val="22"/>
        </w:rPr>
        <w:t xml:space="preserve"> consultable en el Seminario Judicial de la Federación y su gaceta, con el registro digital 2002351.</w:t>
      </w:r>
    </w:p>
    <w:p w14:paraId="2D4D01FB" w14:textId="77777777" w:rsidR="001B1E04" w:rsidRPr="00B14DFD" w:rsidRDefault="001B1E04" w:rsidP="00DC5C74">
      <w:pPr>
        <w:spacing w:line="360" w:lineRule="auto"/>
        <w:ind w:left="851" w:right="616"/>
        <w:jc w:val="both"/>
        <w:rPr>
          <w:rFonts w:ascii="Palatino Linotype" w:eastAsia="Palatino Linotype" w:hAnsi="Palatino Linotype" w:cs="Palatino Linotype"/>
          <w:b/>
          <w:sz w:val="22"/>
          <w:szCs w:val="22"/>
        </w:rPr>
      </w:pPr>
    </w:p>
    <w:p w14:paraId="7E51BA2B" w14:textId="77777777" w:rsidR="001B1E04" w:rsidRPr="00B14DFD" w:rsidRDefault="001B1E04" w:rsidP="00DC5C74">
      <w:pPr>
        <w:spacing w:line="360" w:lineRule="auto"/>
        <w:ind w:left="851" w:right="616"/>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i/>
          <w:sz w:val="22"/>
          <w:szCs w:val="22"/>
        </w:rPr>
        <w:t>“PLAZO RAZONABLE PARA RESOLVER. CONCEPTO Y ELEMENTOS QUE LO INTEGRAN A LA LUZ DEL DERECHO INTERNACIONAL DE LOS DERECHOS HUMANOS.”</w:t>
      </w:r>
      <w:r w:rsidRPr="00B14DFD">
        <w:rPr>
          <w:rFonts w:ascii="Palatino Linotype" w:eastAsia="Palatino Linotype" w:hAnsi="Palatino Linotype" w:cs="Palatino Linotype"/>
          <w:sz w:val="22"/>
          <w:szCs w:val="22"/>
        </w:rPr>
        <w:t>, visible en el Seminario Judicial de la Federación y su gaceta, con el registro digital 2002350.</w:t>
      </w:r>
    </w:p>
    <w:p w14:paraId="20600879" w14:textId="77777777" w:rsidR="001B1E04" w:rsidRPr="00B14DFD" w:rsidRDefault="001B1E04" w:rsidP="00DC5C74">
      <w:pPr>
        <w:spacing w:line="360" w:lineRule="auto"/>
        <w:ind w:left="567" w:right="616"/>
        <w:jc w:val="both"/>
        <w:rPr>
          <w:rFonts w:ascii="Palatino Linotype" w:eastAsia="Palatino Linotype" w:hAnsi="Palatino Linotype" w:cs="Palatino Linotype"/>
          <w:sz w:val="22"/>
          <w:szCs w:val="22"/>
        </w:rPr>
      </w:pPr>
    </w:p>
    <w:p w14:paraId="1F31BF62" w14:textId="77777777" w:rsidR="001B1E04" w:rsidRPr="00B14DFD" w:rsidRDefault="001B1E04"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Por ello, este organismo garante comprometido con la tutela de los derechos humanos confiados, señala que este exceso de plazo legal para resolver el presente asunto, resulta de carácter excepcional.</w:t>
      </w:r>
    </w:p>
    <w:p w14:paraId="248220BA" w14:textId="77777777" w:rsidR="001B1E04" w:rsidRPr="00B14DFD" w:rsidRDefault="001B1E04" w:rsidP="00DC5C74">
      <w:pPr>
        <w:pBdr>
          <w:top w:val="nil"/>
          <w:left w:val="nil"/>
          <w:bottom w:val="nil"/>
          <w:right w:val="nil"/>
          <w:between w:val="nil"/>
        </w:pBdr>
        <w:spacing w:line="360" w:lineRule="auto"/>
        <w:jc w:val="both"/>
        <w:rPr>
          <w:rFonts w:ascii="Palatino Linotype" w:eastAsia="Palatino Linotype" w:hAnsi="Palatino Linotype" w:cs="Palatino Linotype"/>
          <w:b/>
          <w:sz w:val="22"/>
          <w:szCs w:val="22"/>
        </w:rPr>
      </w:pPr>
    </w:p>
    <w:p w14:paraId="57366167" w14:textId="531ADFAC" w:rsidR="002D59AB" w:rsidRPr="00B14DFD" w:rsidRDefault="00E8288F" w:rsidP="00DC5C7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8</w:t>
      </w:r>
      <w:r w:rsidR="00286C79" w:rsidRPr="00B14DFD">
        <w:rPr>
          <w:rFonts w:ascii="Palatino Linotype" w:eastAsia="Palatino Linotype" w:hAnsi="Palatino Linotype" w:cs="Palatino Linotype"/>
          <w:b/>
          <w:sz w:val="22"/>
          <w:szCs w:val="22"/>
        </w:rPr>
        <w:t>. Cierre de instrucción</w:t>
      </w:r>
      <w:r w:rsidR="00286C79" w:rsidRPr="00B14DFD">
        <w:rPr>
          <w:rFonts w:ascii="Palatino Linotype" w:eastAsia="Palatino Linotype" w:hAnsi="Palatino Linotype" w:cs="Palatino Linotype"/>
          <w:sz w:val="22"/>
          <w:szCs w:val="22"/>
        </w:rPr>
        <w:t xml:space="preserve">. En fecha </w:t>
      </w:r>
      <w:r w:rsidR="008318B1" w:rsidRPr="00B14DFD">
        <w:rPr>
          <w:rFonts w:ascii="Palatino Linotype" w:eastAsia="Palatino Linotype" w:hAnsi="Palatino Linotype" w:cs="Palatino Linotype"/>
          <w:b/>
          <w:sz w:val="22"/>
          <w:szCs w:val="22"/>
        </w:rPr>
        <w:t>cinco</w:t>
      </w:r>
      <w:r w:rsidR="001318F9" w:rsidRPr="00B14DFD">
        <w:rPr>
          <w:rFonts w:ascii="Palatino Linotype" w:eastAsia="Palatino Linotype" w:hAnsi="Palatino Linotype" w:cs="Palatino Linotype"/>
          <w:b/>
          <w:sz w:val="22"/>
          <w:szCs w:val="22"/>
        </w:rPr>
        <w:t xml:space="preserve"> de marzo de dos mil veintiséis</w:t>
      </w:r>
      <w:r w:rsidR="00286C79" w:rsidRPr="00B14DFD">
        <w:rPr>
          <w:rFonts w:ascii="Palatino Linotype" w:eastAsia="Palatino Linotype" w:hAnsi="Palatino Linotype" w:cs="Palatino Linotype"/>
          <w:sz w:val="22"/>
          <w:szCs w:val="22"/>
        </w:rPr>
        <w:t>, la Comisionada Ponente determinó el cierre de instrucción en términos de la fracción VI del artículo 185 de la Ley de Transparencia y Acceso a la Información Pública del Estado de México y Municipios.</w:t>
      </w:r>
    </w:p>
    <w:p w14:paraId="5C438AFA" w14:textId="62DA6159" w:rsidR="00286C79" w:rsidRPr="00B14DFD" w:rsidRDefault="00286C79" w:rsidP="00DC5C7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26377B81" w14:textId="762501E6" w:rsidR="00422AF6" w:rsidRPr="00B14DFD" w:rsidRDefault="008A17E4" w:rsidP="00DC5C74">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En razón de que fue debidamente sustanciado el expediente electrónico y no existe diligencia pendiente de desahogo, se emite la Resolución que conforme a Derecho proceda, de acuerdo con los siguientes:</w:t>
      </w:r>
    </w:p>
    <w:p w14:paraId="3989BFCE" w14:textId="77777777" w:rsidR="00422AF6" w:rsidRPr="00B14DFD" w:rsidRDefault="00422AF6" w:rsidP="00DC5C74">
      <w:pPr>
        <w:spacing w:line="360" w:lineRule="auto"/>
        <w:ind w:right="49"/>
        <w:jc w:val="both"/>
        <w:rPr>
          <w:rFonts w:ascii="Palatino Linotype" w:eastAsia="Palatino Linotype" w:hAnsi="Palatino Linotype" w:cs="Palatino Linotype"/>
          <w:sz w:val="22"/>
          <w:szCs w:val="22"/>
        </w:rPr>
      </w:pPr>
    </w:p>
    <w:p w14:paraId="749027A9" w14:textId="77777777" w:rsidR="00422AF6" w:rsidRPr="00B14DFD" w:rsidRDefault="0067296C" w:rsidP="00DC5C74">
      <w:pPr>
        <w:spacing w:line="360" w:lineRule="auto"/>
        <w:ind w:right="49"/>
        <w:jc w:val="center"/>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II.</w:t>
      </w:r>
      <w:r w:rsidRPr="00B14DFD">
        <w:rPr>
          <w:rFonts w:ascii="Palatino Linotype" w:eastAsia="Palatino Linotype" w:hAnsi="Palatino Linotype" w:cs="Palatino Linotype"/>
          <w:b/>
          <w:sz w:val="22"/>
          <w:szCs w:val="22"/>
        </w:rPr>
        <w:tab/>
        <w:t>C O N S I D E R A N D O:</w:t>
      </w:r>
    </w:p>
    <w:p w14:paraId="594E78D3" w14:textId="77777777" w:rsidR="00422AF6" w:rsidRPr="00B14DFD" w:rsidRDefault="00422AF6" w:rsidP="00DC5C74">
      <w:pPr>
        <w:spacing w:line="360" w:lineRule="auto"/>
        <w:ind w:right="49"/>
        <w:jc w:val="both"/>
        <w:rPr>
          <w:rFonts w:ascii="Palatino Linotype" w:eastAsia="Palatino Linotype" w:hAnsi="Palatino Linotype" w:cs="Palatino Linotype"/>
          <w:sz w:val="22"/>
          <w:szCs w:val="22"/>
        </w:rPr>
      </w:pPr>
    </w:p>
    <w:p w14:paraId="327E2F5D" w14:textId="4AA07EBA"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Primero. Competencia.</w:t>
      </w:r>
      <w:r w:rsidRPr="00B14DFD">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w:t>
      </w:r>
      <w:r w:rsidR="008A17E4" w:rsidRPr="00B14DFD">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B14DFD">
        <w:rPr>
          <w:rFonts w:ascii="Palatino Linotype" w:eastAsia="Palatino Linotype" w:hAnsi="Palatino Linotype" w:cs="Palatino Linotype"/>
          <w:sz w:val="22"/>
          <w:szCs w:val="22"/>
        </w:rPr>
        <w:t>; 2, fracción II; 29, 36 fracciones I y II; 176, 178, 181, 185, fracción I, 186 y 188 de la Ley Transparencia y Acceso a la Información Pública del Estado de México y Municipios; 9, fracciones I y XXIII del Reglamento Interior del Instituto de Transparencia, Acceso a la Información Pública y Protección de Datos Personales del Estado de México y Municipios.</w:t>
      </w:r>
    </w:p>
    <w:p w14:paraId="47C3BC17" w14:textId="77777777" w:rsidR="00DF43F1" w:rsidRPr="00B14DFD" w:rsidRDefault="00DF43F1" w:rsidP="00DC5C74">
      <w:pPr>
        <w:spacing w:line="360" w:lineRule="auto"/>
        <w:jc w:val="both"/>
        <w:rPr>
          <w:rFonts w:ascii="Palatino Linotype" w:eastAsia="Palatino Linotype" w:hAnsi="Palatino Linotype" w:cs="Palatino Linotype"/>
          <w:sz w:val="22"/>
          <w:szCs w:val="22"/>
        </w:rPr>
      </w:pPr>
    </w:p>
    <w:p w14:paraId="2DEBCE2A"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 xml:space="preserve">Segundo. Oportunidad y Procedibilidad del Recurso de Revisión. </w:t>
      </w:r>
      <w:r w:rsidRPr="00B14DFD">
        <w:rPr>
          <w:rFonts w:ascii="Palatino Linotype" w:eastAsia="Palatino Linotype" w:hAnsi="Palatino Linotype" w:cs="Palatino Linotype"/>
          <w:sz w:val="22"/>
          <w:szCs w:val="22"/>
        </w:rPr>
        <w:t>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4A50F0C2"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Al respecto la Ley de Transparencia y Acceso a la Información Pública del Estado de México y Municipios, establece lo siguiente:</w:t>
      </w:r>
    </w:p>
    <w:p w14:paraId="78E531CA" w14:textId="77777777" w:rsidR="00DF43F1" w:rsidRPr="00B14DFD" w:rsidRDefault="00DF43F1" w:rsidP="00DC5C74">
      <w:pPr>
        <w:spacing w:line="360" w:lineRule="auto"/>
        <w:ind w:left="851" w:right="900"/>
        <w:jc w:val="both"/>
        <w:rPr>
          <w:rFonts w:ascii="Palatino Linotype" w:eastAsia="Palatino Linotype" w:hAnsi="Palatino Linotype" w:cs="Palatino Linotype"/>
          <w:b/>
          <w:i/>
          <w:sz w:val="22"/>
          <w:szCs w:val="22"/>
        </w:rPr>
      </w:pPr>
    </w:p>
    <w:p w14:paraId="1E31119A" w14:textId="05C7EB71" w:rsidR="00422AF6" w:rsidRPr="00B14DFD" w:rsidRDefault="0067296C" w:rsidP="00DF43F1">
      <w:pPr>
        <w:spacing w:line="276" w:lineRule="auto"/>
        <w:ind w:left="851" w:right="900"/>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 xml:space="preserve">“Artículo 178. </w:t>
      </w:r>
      <w:r w:rsidRPr="00B14DFD">
        <w:rPr>
          <w:rFonts w:ascii="Palatino Linotype" w:eastAsia="Palatino Linotype" w:hAnsi="Palatino Linotype" w:cs="Palatino Linotype"/>
          <w:i/>
          <w:sz w:val="22"/>
          <w:szCs w:val="22"/>
        </w:rPr>
        <w:t>El solicitante podrá interponer, por sí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w:t>
      </w:r>
      <w:r w:rsidR="00DF43F1" w:rsidRPr="00B14DFD">
        <w:rPr>
          <w:rFonts w:ascii="Palatino Linotype" w:eastAsia="Palatino Linotype" w:hAnsi="Palatino Linotype" w:cs="Palatino Linotype"/>
          <w:i/>
          <w:sz w:val="22"/>
          <w:szCs w:val="22"/>
        </w:rPr>
        <w:t>”</w:t>
      </w:r>
    </w:p>
    <w:p w14:paraId="53AF1AF9" w14:textId="77777777" w:rsidR="00DF43F1" w:rsidRPr="00B14DFD" w:rsidRDefault="00DF43F1" w:rsidP="00DC5C74">
      <w:pPr>
        <w:spacing w:line="360" w:lineRule="auto"/>
        <w:ind w:right="49"/>
        <w:jc w:val="both"/>
        <w:rPr>
          <w:rFonts w:ascii="Palatino Linotype" w:eastAsia="Palatino Linotype" w:hAnsi="Palatino Linotype" w:cs="Palatino Linotype"/>
          <w:sz w:val="22"/>
          <w:szCs w:val="22"/>
        </w:rPr>
      </w:pPr>
    </w:p>
    <w:p w14:paraId="5B7D1397" w14:textId="61A00A11" w:rsidR="00422AF6" w:rsidRPr="00B14DFD" w:rsidRDefault="0067296C" w:rsidP="00DC5C74">
      <w:pPr>
        <w:spacing w:line="360" w:lineRule="auto"/>
        <w:ind w:right="4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Del precepto legal transcrito, se desprende que cuando los solicitantes de información en el ejercicio del derecho de acceso a la información no se encuentren satisfechos con la información entregada por los sujetos obligados, podrán interponer recurso de revisión de manera directa o por medios electrónicos dentro de los quince días hábiles siguientes a la fecha de notificación de la respuesta, y, toda vez que el </w:t>
      </w:r>
      <w:r w:rsidR="008A17E4" w:rsidRPr="00B14DFD">
        <w:rPr>
          <w:rFonts w:ascii="Palatino Linotype" w:eastAsia="Palatino Linotype" w:hAnsi="Palatino Linotype" w:cs="Palatino Linotype"/>
          <w:b/>
          <w:sz w:val="22"/>
          <w:szCs w:val="22"/>
        </w:rPr>
        <w:t>Sujeto Obligado</w:t>
      </w:r>
      <w:r w:rsidRPr="00B14DFD">
        <w:rPr>
          <w:rFonts w:ascii="Palatino Linotype" w:eastAsia="Palatino Linotype" w:hAnsi="Palatino Linotype" w:cs="Palatino Linotype"/>
          <w:sz w:val="22"/>
          <w:szCs w:val="22"/>
        </w:rPr>
        <w:t xml:space="preserve"> remitió la respuesta a la solicitud de información </w:t>
      </w:r>
      <w:r w:rsidR="004718C5" w:rsidRPr="00B14DFD">
        <w:rPr>
          <w:rFonts w:ascii="Palatino Linotype" w:eastAsia="Palatino Linotype" w:hAnsi="Palatino Linotype" w:cs="Palatino Linotype"/>
          <w:sz w:val="22"/>
          <w:szCs w:val="22"/>
        </w:rPr>
        <w:t>el día</w:t>
      </w:r>
      <w:r w:rsidR="00155282" w:rsidRPr="00B14DFD">
        <w:rPr>
          <w:rFonts w:ascii="Palatino Linotype" w:eastAsia="Palatino Linotype" w:hAnsi="Palatino Linotype" w:cs="Palatino Linotype"/>
          <w:sz w:val="22"/>
          <w:szCs w:val="22"/>
        </w:rPr>
        <w:t xml:space="preserve"> </w:t>
      </w:r>
      <w:r w:rsidR="00E70ADD" w:rsidRPr="00B14DFD">
        <w:rPr>
          <w:rFonts w:ascii="Palatino Linotype" w:eastAsia="Palatino Linotype" w:hAnsi="Palatino Linotype" w:cs="Palatino Linotype"/>
          <w:b/>
          <w:sz w:val="22"/>
          <w:szCs w:val="22"/>
        </w:rPr>
        <w:t>veintiuno de agosto</w:t>
      </w:r>
      <w:r w:rsidR="000E6E1B"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b/>
          <w:sz w:val="22"/>
          <w:szCs w:val="22"/>
        </w:rPr>
        <w:t xml:space="preserve">de dos mil veinticinco, </w:t>
      </w:r>
      <w:r w:rsidRPr="00B14DFD">
        <w:rPr>
          <w:rFonts w:ascii="Palatino Linotype" w:eastAsia="Palatino Linotype" w:hAnsi="Palatino Linotype" w:cs="Palatino Linotype"/>
          <w:sz w:val="22"/>
          <w:szCs w:val="22"/>
        </w:rPr>
        <w:t xml:space="preserve">mientras que el recurso de revisión interpuesto por la parte </w:t>
      </w:r>
      <w:r w:rsidR="00E70ADD" w:rsidRPr="00B14DFD">
        <w:rPr>
          <w:rFonts w:ascii="Palatino Linotype" w:eastAsia="Palatino Linotype" w:hAnsi="Palatino Linotype" w:cs="Palatino Linotype"/>
          <w:b/>
          <w:sz w:val="22"/>
          <w:szCs w:val="22"/>
        </w:rPr>
        <w:t>Recurrente</w:t>
      </w:r>
      <w:r w:rsidRPr="00B14DFD">
        <w:rPr>
          <w:rFonts w:ascii="Palatino Linotype" w:eastAsia="Palatino Linotype" w:hAnsi="Palatino Linotype" w:cs="Palatino Linotype"/>
          <w:sz w:val="22"/>
          <w:szCs w:val="22"/>
        </w:rPr>
        <w:t>, se tuv</w:t>
      </w:r>
      <w:r w:rsidR="004718C5" w:rsidRPr="00B14DFD">
        <w:rPr>
          <w:rFonts w:ascii="Palatino Linotype" w:eastAsia="Palatino Linotype" w:hAnsi="Palatino Linotype" w:cs="Palatino Linotype"/>
          <w:sz w:val="22"/>
          <w:szCs w:val="22"/>
        </w:rPr>
        <w:t>o</w:t>
      </w:r>
      <w:r w:rsidRPr="00B14DFD">
        <w:rPr>
          <w:rFonts w:ascii="Palatino Linotype" w:eastAsia="Palatino Linotype" w:hAnsi="Palatino Linotype" w:cs="Palatino Linotype"/>
          <w:sz w:val="22"/>
          <w:szCs w:val="22"/>
        </w:rPr>
        <w:t xml:space="preserve"> por presentado el </w:t>
      </w:r>
      <w:r w:rsidR="00E70ADD" w:rsidRPr="00B14DFD">
        <w:rPr>
          <w:rFonts w:ascii="Palatino Linotype" w:eastAsia="Palatino Linotype" w:hAnsi="Palatino Linotype" w:cs="Palatino Linotype"/>
          <w:b/>
          <w:sz w:val="22"/>
          <w:szCs w:val="22"/>
        </w:rPr>
        <w:t>veintidós de agosto</w:t>
      </w:r>
      <w:r w:rsidR="001069B1"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b/>
          <w:sz w:val="22"/>
          <w:szCs w:val="22"/>
        </w:rPr>
        <w:t>del año dos mil veinticinco</w:t>
      </w:r>
      <w:r w:rsidRPr="00B14DFD">
        <w:rPr>
          <w:rFonts w:ascii="Palatino Linotype" w:eastAsia="Palatino Linotype" w:hAnsi="Palatino Linotype" w:cs="Palatino Linotype"/>
          <w:sz w:val="22"/>
          <w:szCs w:val="22"/>
        </w:rPr>
        <w:t xml:space="preserve">; esto es, al </w:t>
      </w:r>
      <w:r w:rsidR="001069B1" w:rsidRPr="00B14DFD">
        <w:rPr>
          <w:rFonts w:ascii="Palatino Linotype" w:eastAsia="Palatino Linotype" w:hAnsi="Palatino Linotype" w:cs="Palatino Linotype"/>
          <w:b/>
          <w:sz w:val="22"/>
          <w:szCs w:val="22"/>
        </w:rPr>
        <w:t>primer</w:t>
      </w:r>
      <w:r w:rsidR="00CC0C77" w:rsidRPr="00B14DFD">
        <w:rPr>
          <w:rFonts w:ascii="Palatino Linotype" w:eastAsia="Palatino Linotype" w:hAnsi="Palatino Linotype" w:cs="Palatino Linotype"/>
          <w:sz w:val="22"/>
          <w:szCs w:val="22"/>
        </w:rPr>
        <w:t xml:space="preserve"> </w:t>
      </w:r>
      <w:r w:rsidRPr="00B14DFD">
        <w:rPr>
          <w:rFonts w:ascii="Palatino Linotype" w:eastAsia="Palatino Linotype" w:hAnsi="Palatino Linotype" w:cs="Palatino Linotype"/>
          <w:b/>
          <w:sz w:val="22"/>
          <w:szCs w:val="22"/>
        </w:rPr>
        <w:t xml:space="preserve">día hábil </w:t>
      </w:r>
      <w:r w:rsidRPr="00B14DFD">
        <w:rPr>
          <w:rFonts w:ascii="Palatino Linotype" w:eastAsia="Palatino Linotype" w:hAnsi="Palatino Linotype" w:cs="Palatino Linotype"/>
          <w:sz w:val="22"/>
          <w:szCs w:val="22"/>
        </w:rPr>
        <w:t>siguiente al que se tuvo conocimiento de la respuesta respectivamente.</w:t>
      </w:r>
    </w:p>
    <w:p w14:paraId="4DBF725A" w14:textId="77777777" w:rsidR="00DF43F1" w:rsidRPr="00B14DFD" w:rsidRDefault="00DF43F1" w:rsidP="00DC5C74">
      <w:pPr>
        <w:spacing w:line="360" w:lineRule="auto"/>
        <w:ind w:right="49"/>
        <w:jc w:val="both"/>
        <w:rPr>
          <w:rFonts w:ascii="Palatino Linotype" w:eastAsia="Palatino Linotype" w:hAnsi="Palatino Linotype" w:cs="Palatino Linotype"/>
          <w:sz w:val="22"/>
          <w:szCs w:val="22"/>
        </w:rPr>
      </w:pPr>
    </w:p>
    <w:p w14:paraId="68656F1B" w14:textId="3375C855" w:rsidR="001B5418" w:rsidRPr="00B14DFD" w:rsidRDefault="001B5418"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Por cuanto hace a la procedibilidad del recurso de revisión, es de suma importancia señalar que la parte </w:t>
      </w:r>
      <w:r w:rsidR="00E70ADD" w:rsidRPr="00B14DFD">
        <w:rPr>
          <w:rFonts w:ascii="Palatino Linotype" w:eastAsia="Palatino Linotype" w:hAnsi="Palatino Linotype" w:cs="Palatino Linotype"/>
          <w:b/>
          <w:sz w:val="22"/>
          <w:szCs w:val="22"/>
        </w:rPr>
        <w:t>Recurrente</w:t>
      </w:r>
      <w:r w:rsidRPr="00B14DFD">
        <w:rPr>
          <w:rFonts w:ascii="Palatino Linotype" w:eastAsia="Palatino Linotype" w:hAnsi="Palatino Linotype" w:cs="Palatino Linotype"/>
          <w:sz w:val="22"/>
          <w:szCs w:val="22"/>
        </w:rPr>
        <w:t>, no proporcionó su nombre</w:t>
      </w:r>
      <w:r w:rsidRPr="00B14DFD">
        <w:rPr>
          <w:rFonts w:ascii="Palatino Linotype" w:eastAsia="Palatino Linotype" w:hAnsi="Palatino Linotype" w:cs="Palatino Linotype"/>
          <w:b/>
          <w:sz w:val="22"/>
          <w:szCs w:val="22"/>
        </w:rPr>
        <w:t>,</w:t>
      </w:r>
      <w:r w:rsidRPr="00B14DFD">
        <w:rPr>
          <w:rFonts w:ascii="Palatino Linotype" w:eastAsia="Palatino Linotype" w:hAnsi="Palatino Linotype" w:cs="Palatino Linotype"/>
          <w:sz w:val="22"/>
          <w:szCs w:val="22"/>
        </w:rPr>
        <w:t xml:space="preserve"> como se advierte en el detalle de seguimiento del SAIMEX, no obstante el no proporcionar nombre</w:t>
      </w:r>
      <w:r w:rsidRPr="00B14DFD">
        <w:rPr>
          <w:rFonts w:ascii="Palatino Linotype" w:eastAsia="Palatino Linotype" w:hAnsi="Palatino Linotype" w:cs="Palatino Linotype"/>
          <w:strike/>
          <w:sz w:val="22"/>
          <w:szCs w:val="22"/>
        </w:rPr>
        <w:t xml:space="preserve"> </w:t>
      </w:r>
      <w:r w:rsidRPr="00B14DFD">
        <w:rPr>
          <w:rFonts w:ascii="Palatino Linotype" w:eastAsia="Palatino Linotype" w:hAnsi="Palatino Linotype" w:cs="Palatino Linotype"/>
          <w:sz w:val="22"/>
          <w:szCs w:val="22"/>
        </w:rPr>
        <w:t>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4DEE0E0F" w14:textId="77777777" w:rsidR="00DF43F1" w:rsidRPr="00B14DFD" w:rsidRDefault="00DF43F1" w:rsidP="00DC5C74">
      <w:pPr>
        <w:ind w:left="851" w:right="902"/>
        <w:jc w:val="both"/>
        <w:rPr>
          <w:rFonts w:ascii="Palatino Linotype" w:eastAsia="Palatino Linotype" w:hAnsi="Palatino Linotype" w:cs="Palatino Linotype"/>
          <w:i/>
          <w:sz w:val="22"/>
          <w:szCs w:val="22"/>
        </w:rPr>
      </w:pPr>
    </w:p>
    <w:p w14:paraId="16644430" w14:textId="4492C721" w:rsidR="001B5418" w:rsidRPr="00B14DFD" w:rsidRDefault="001B5418" w:rsidP="00DF43F1">
      <w:pPr>
        <w:spacing w:line="276" w:lineRule="auto"/>
        <w:ind w:left="851" w:right="902"/>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Pr="00B14DFD">
        <w:rPr>
          <w:rFonts w:ascii="Palatino Linotype" w:eastAsia="Palatino Linotype" w:hAnsi="Palatino Linotype" w:cs="Palatino Linotype"/>
          <w:b/>
          <w:i/>
          <w:sz w:val="22"/>
          <w:szCs w:val="22"/>
        </w:rPr>
        <w:t xml:space="preserve">Las solicitudes </w:t>
      </w:r>
      <w:r w:rsidRPr="00B14DFD">
        <w:rPr>
          <w:rFonts w:ascii="Palatino Linotype" w:eastAsia="Palatino Linotype" w:hAnsi="Palatino Linotype" w:cs="Palatino Linotype"/>
          <w:i/>
          <w:sz w:val="22"/>
          <w:szCs w:val="22"/>
        </w:rPr>
        <w:t xml:space="preserve">anónimas, con </w:t>
      </w:r>
      <w:r w:rsidRPr="00B14DFD">
        <w:rPr>
          <w:rFonts w:ascii="Palatino Linotype" w:eastAsia="Palatino Linotype" w:hAnsi="Palatino Linotype" w:cs="Palatino Linotype"/>
          <w:b/>
          <w:i/>
          <w:sz w:val="22"/>
          <w:szCs w:val="22"/>
        </w:rPr>
        <w:t>nombre incompleto o seudónimo</w:t>
      </w:r>
      <w:r w:rsidRPr="00B14DFD">
        <w:rPr>
          <w:rFonts w:ascii="Palatino Linotype" w:eastAsia="Palatino Linotype" w:hAnsi="Palatino Linotype" w:cs="Palatino Linotype"/>
          <w:i/>
          <w:sz w:val="22"/>
          <w:szCs w:val="22"/>
        </w:rPr>
        <w:t xml:space="preserve"> </w:t>
      </w:r>
      <w:r w:rsidRPr="00B14DFD">
        <w:rPr>
          <w:rFonts w:ascii="Palatino Linotype" w:eastAsia="Palatino Linotype" w:hAnsi="Palatino Linotype" w:cs="Palatino Linotype"/>
          <w:b/>
          <w:i/>
          <w:sz w:val="22"/>
          <w:szCs w:val="22"/>
        </w:rPr>
        <w:t>serán procedentes para su trámite por parte del sujeto obligado ante quien se presente</w:t>
      </w:r>
      <w:r w:rsidRPr="00B14DFD">
        <w:rPr>
          <w:rFonts w:ascii="Palatino Linotype" w:eastAsia="Palatino Linotype" w:hAnsi="Palatino Linotype" w:cs="Palatino Linotype"/>
          <w:i/>
          <w:sz w:val="22"/>
          <w:szCs w:val="22"/>
        </w:rPr>
        <w:t>. No podrá requerirse información adicional con motivo del nombre proporcionado por el solicitante."(Sic)</w:t>
      </w:r>
    </w:p>
    <w:p w14:paraId="129C981F" w14:textId="77777777" w:rsidR="00DF43F1" w:rsidRPr="00B14DFD" w:rsidRDefault="00DF43F1" w:rsidP="00DC5C74">
      <w:pPr>
        <w:spacing w:line="360" w:lineRule="auto"/>
        <w:ind w:right="49"/>
        <w:jc w:val="both"/>
        <w:rPr>
          <w:rFonts w:ascii="Palatino Linotype" w:eastAsia="Palatino Linotype" w:hAnsi="Palatino Linotype" w:cs="Palatino Linotype"/>
          <w:sz w:val="22"/>
          <w:szCs w:val="22"/>
        </w:rPr>
      </w:pPr>
    </w:p>
    <w:p w14:paraId="1F98B610" w14:textId="409E43D2" w:rsidR="001B5418" w:rsidRPr="00B14DFD" w:rsidRDefault="001B5418" w:rsidP="00DC5C74">
      <w:pPr>
        <w:spacing w:line="360" w:lineRule="auto"/>
        <w:ind w:right="4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Así también, por cuanto hace a la procedibilidad del recurso de revisión, una vez realizado el análisis de los formatos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26239829" w14:textId="77777777" w:rsidR="00DF43F1" w:rsidRPr="00B14DFD" w:rsidRDefault="00DF43F1" w:rsidP="00DC5C74">
      <w:pPr>
        <w:spacing w:line="360" w:lineRule="auto"/>
        <w:ind w:right="49"/>
        <w:jc w:val="both"/>
        <w:rPr>
          <w:rFonts w:ascii="Palatino Linotype" w:eastAsia="Palatino Linotype" w:hAnsi="Palatino Linotype" w:cs="Palatino Linotype"/>
          <w:sz w:val="22"/>
          <w:szCs w:val="22"/>
        </w:rPr>
      </w:pPr>
    </w:p>
    <w:p w14:paraId="408D485F" w14:textId="262D1AB3"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Asimismo, resulta procedente la interposición del recurso de revisión al rubro anotado, toda vez que se actualiza las hipótesis prevista</w:t>
      </w:r>
      <w:r w:rsidR="003E6BB6" w:rsidRPr="00B14DFD">
        <w:rPr>
          <w:rFonts w:ascii="Palatino Linotype" w:eastAsia="Palatino Linotype" w:hAnsi="Palatino Linotype" w:cs="Palatino Linotype"/>
          <w:sz w:val="22"/>
          <w:szCs w:val="22"/>
        </w:rPr>
        <w:t>s en el artículo 179, fracci</w:t>
      </w:r>
      <w:r w:rsidR="00485242" w:rsidRPr="00B14DFD">
        <w:rPr>
          <w:rFonts w:ascii="Palatino Linotype" w:eastAsia="Palatino Linotype" w:hAnsi="Palatino Linotype" w:cs="Palatino Linotype"/>
          <w:sz w:val="22"/>
          <w:szCs w:val="22"/>
        </w:rPr>
        <w:t xml:space="preserve">ones II y </w:t>
      </w:r>
      <w:r w:rsidR="003E6BB6" w:rsidRPr="00B14DFD">
        <w:rPr>
          <w:rFonts w:ascii="Palatino Linotype" w:eastAsia="Palatino Linotype" w:hAnsi="Palatino Linotype" w:cs="Palatino Linotype"/>
          <w:sz w:val="22"/>
          <w:szCs w:val="22"/>
        </w:rPr>
        <w:t>V</w:t>
      </w:r>
      <w:r w:rsidR="00CC0C77" w:rsidRPr="00B14DFD">
        <w:rPr>
          <w:rFonts w:ascii="Palatino Linotype" w:eastAsia="Palatino Linotype" w:hAnsi="Palatino Linotype" w:cs="Palatino Linotype"/>
          <w:sz w:val="22"/>
          <w:szCs w:val="22"/>
        </w:rPr>
        <w:t xml:space="preserve"> </w:t>
      </w:r>
      <w:r w:rsidRPr="00B14DFD">
        <w:rPr>
          <w:rFonts w:ascii="Palatino Linotype" w:eastAsia="Palatino Linotype" w:hAnsi="Palatino Linotype" w:cs="Palatino Linotype"/>
          <w:sz w:val="22"/>
          <w:szCs w:val="22"/>
        </w:rPr>
        <w:t>de la ley de la materia, que a la letra dice:</w:t>
      </w:r>
    </w:p>
    <w:p w14:paraId="61C894AB" w14:textId="77777777" w:rsidR="00DF43F1" w:rsidRPr="00B14DFD" w:rsidRDefault="00DF43F1" w:rsidP="00DC5C74">
      <w:pPr>
        <w:spacing w:line="276" w:lineRule="auto"/>
        <w:ind w:left="851" w:right="843"/>
        <w:jc w:val="both"/>
        <w:rPr>
          <w:rFonts w:ascii="Palatino Linotype" w:eastAsia="Palatino Linotype" w:hAnsi="Palatino Linotype" w:cs="Palatino Linotype"/>
          <w:i/>
          <w:sz w:val="22"/>
          <w:szCs w:val="22"/>
        </w:rPr>
      </w:pPr>
    </w:p>
    <w:p w14:paraId="071E4612" w14:textId="3E91286C"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Pr="00B14DFD">
        <w:rPr>
          <w:rFonts w:ascii="Palatino Linotype" w:eastAsia="Palatino Linotype" w:hAnsi="Palatino Linotype" w:cs="Palatino Linotype"/>
          <w:b/>
          <w:i/>
          <w:sz w:val="22"/>
          <w:szCs w:val="22"/>
        </w:rPr>
        <w:t xml:space="preserve">Artículo 179. </w:t>
      </w:r>
      <w:r w:rsidRPr="00B14DFD">
        <w:rPr>
          <w:rFonts w:ascii="Palatino Linotype" w:eastAsia="Palatino Linotype" w:hAnsi="Palatino Linotype" w:cs="Palatino Linotype"/>
          <w:i/>
          <w:sz w:val="22"/>
          <w:szCs w:val="22"/>
        </w:rPr>
        <w:t>El recurso de revisión es un medio de protección que la Ley otorga a los particulares, para hacer valer su derecho de acceso a la información pública, y procederá en contra de las siguientes causas:</w:t>
      </w:r>
    </w:p>
    <w:p w14:paraId="2F72E70C" w14:textId="77777777" w:rsidR="00F96BBB" w:rsidRPr="00B14DFD" w:rsidRDefault="00F96BBB"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p>
    <w:p w14:paraId="699EA0F2" w14:textId="339B5D04" w:rsidR="00485242" w:rsidRPr="00B14DFD" w:rsidRDefault="00485242"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II. La clasificación de la información;</w:t>
      </w:r>
    </w:p>
    <w:p w14:paraId="059E69DE" w14:textId="0ECC6EF8" w:rsidR="00485242" w:rsidRPr="00B14DFD" w:rsidRDefault="00485242"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p>
    <w:p w14:paraId="66168E46" w14:textId="77777777" w:rsidR="004718C5" w:rsidRPr="00B14DFD" w:rsidRDefault="00F96BBB"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 xml:space="preserve">V. </w:t>
      </w:r>
      <w:r w:rsidR="003E6BB6" w:rsidRPr="00B14DFD">
        <w:rPr>
          <w:rFonts w:ascii="Palatino Linotype" w:eastAsia="Palatino Linotype" w:hAnsi="Palatino Linotype" w:cs="Palatino Linotype"/>
          <w:i/>
          <w:sz w:val="22"/>
          <w:szCs w:val="22"/>
        </w:rPr>
        <w:t>La entrega de información incompleta</w:t>
      </w:r>
      <w:r w:rsidR="004718C5" w:rsidRPr="00B14DFD">
        <w:rPr>
          <w:rFonts w:ascii="Palatino Linotype" w:eastAsia="Palatino Linotype" w:hAnsi="Palatino Linotype" w:cs="Palatino Linotype"/>
          <w:i/>
          <w:sz w:val="22"/>
          <w:szCs w:val="22"/>
        </w:rPr>
        <w:t xml:space="preserve"> </w:t>
      </w:r>
    </w:p>
    <w:p w14:paraId="0A5D083F" w14:textId="372FCBD6" w:rsidR="00422AF6" w:rsidRPr="00B14DFD" w:rsidRDefault="0067296C" w:rsidP="00DF43F1">
      <w:pPr>
        <w:spacing w:line="276" w:lineRule="auto"/>
        <w:ind w:left="851" w:right="1041"/>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00485242" w:rsidRPr="00B14DFD">
        <w:rPr>
          <w:rFonts w:ascii="Palatino Linotype" w:eastAsia="Palatino Linotype" w:hAnsi="Palatino Linotype" w:cs="Palatino Linotype"/>
          <w:i/>
          <w:sz w:val="22"/>
          <w:szCs w:val="22"/>
        </w:rPr>
        <w:t>’’</w:t>
      </w:r>
    </w:p>
    <w:p w14:paraId="78CA568A" w14:textId="77777777" w:rsidR="00DF43F1" w:rsidRPr="00B14DFD" w:rsidRDefault="00DF43F1" w:rsidP="00DC5C74">
      <w:pPr>
        <w:spacing w:line="360" w:lineRule="auto"/>
        <w:jc w:val="both"/>
        <w:rPr>
          <w:rFonts w:ascii="Palatino Linotype" w:eastAsia="Palatino Linotype" w:hAnsi="Palatino Linotype" w:cs="Palatino Linotype"/>
          <w:b/>
          <w:sz w:val="22"/>
          <w:szCs w:val="22"/>
        </w:rPr>
      </w:pPr>
    </w:p>
    <w:p w14:paraId="2E12132F" w14:textId="66FC515D"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 xml:space="preserve">Tercero. Materia de la revisión. </w:t>
      </w:r>
      <w:r w:rsidRPr="00B14DFD">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B14DFD">
        <w:rPr>
          <w:rFonts w:ascii="Palatino Linotype" w:eastAsia="Palatino Linotype" w:hAnsi="Palatino Linotype" w:cs="Palatino Linotype"/>
          <w:b/>
          <w:sz w:val="22"/>
          <w:szCs w:val="22"/>
        </w:rPr>
        <w:t xml:space="preserve">verificar si la respuesta otorgada por el Sujeto Obligado es adecuada y suficiente para satisfacer el derecho de acceso a la información pública </w:t>
      </w:r>
      <w:r w:rsidRPr="00B14DFD">
        <w:rPr>
          <w:rFonts w:ascii="Palatino Linotype" w:eastAsia="Palatino Linotype" w:hAnsi="Palatino Linotype" w:cs="Palatino Linotype"/>
          <w:sz w:val="22"/>
          <w:szCs w:val="22"/>
        </w:rPr>
        <w:t xml:space="preserve">de la parte </w:t>
      </w:r>
      <w:r w:rsidRPr="00B14DFD">
        <w:rPr>
          <w:rFonts w:ascii="Palatino Linotype" w:eastAsia="Palatino Linotype" w:hAnsi="Palatino Linotype" w:cs="Palatino Linotype"/>
          <w:b/>
          <w:sz w:val="22"/>
          <w:szCs w:val="22"/>
        </w:rPr>
        <w:t>Recurrente</w:t>
      </w:r>
      <w:r w:rsidRPr="00B14DFD">
        <w:rPr>
          <w:rFonts w:ascii="Palatino Linotype" w:eastAsia="Palatino Linotype" w:hAnsi="Palatino Linotype" w:cs="Palatino Linotype"/>
          <w:sz w:val="22"/>
          <w:szCs w:val="22"/>
        </w:rPr>
        <w:t>, o en su defecto, en caso de ser procedente, ordenar la entrega de información.</w:t>
      </w:r>
    </w:p>
    <w:p w14:paraId="5285B703" w14:textId="77777777" w:rsidR="00DF43F1" w:rsidRPr="00B14DFD" w:rsidRDefault="00DF43F1" w:rsidP="00DC5C74">
      <w:pPr>
        <w:spacing w:line="360" w:lineRule="auto"/>
        <w:jc w:val="both"/>
        <w:rPr>
          <w:rFonts w:ascii="Palatino Linotype" w:eastAsia="Palatino Linotype" w:hAnsi="Palatino Linotype" w:cs="Palatino Linotype"/>
          <w:sz w:val="22"/>
          <w:szCs w:val="22"/>
        </w:rPr>
      </w:pPr>
    </w:p>
    <w:p w14:paraId="0676B1B1" w14:textId="2E17D17F"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 xml:space="preserve">Cuarto. Estudio del asunto. </w:t>
      </w:r>
      <w:r w:rsidRPr="00B14DFD">
        <w:rPr>
          <w:rFonts w:ascii="Palatino Linotype" w:eastAsia="Palatino Linotype" w:hAnsi="Palatino Linotype" w:cs="Palatino Linotype"/>
          <w:sz w:val="22"/>
          <w:szCs w:val="22"/>
        </w:rPr>
        <w:t xml:space="preserve">En principio, es conveniente analizar si la respuesta como el informe justificado del </w:t>
      </w:r>
      <w:r w:rsidR="00E70ADD" w:rsidRPr="00B14DFD">
        <w:rPr>
          <w:rFonts w:ascii="Palatino Linotype" w:eastAsia="Palatino Linotype" w:hAnsi="Palatino Linotype" w:cs="Palatino Linotype"/>
          <w:b/>
          <w:sz w:val="22"/>
          <w:szCs w:val="22"/>
        </w:rPr>
        <w:t>Sujeto Obligado</w:t>
      </w:r>
      <w:r w:rsidR="00E70ADD" w:rsidRPr="00B14DFD">
        <w:rPr>
          <w:rFonts w:ascii="Palatino Linotype" w:eastAsia="Palatino Linotype" w:hAnsi="Palatino Linotype" w:cs="Palatino Linotype"/>
          <w:sz w:val="22"/>
          <w:szCs w:val="22"/>
        </w:rPr>
        <w:t xml:space="preserve"> </w:t>
      </w:r>
      <w:r w:rsidRPr="00B14DFD">
        <w:rPr>
          <w:rFonts w:ascii="Palatino Linotype" w:eastAsia="Palatino Linotype" w:hAnsi="Palatino Linotype" w:cs="Palatino Linotype"/>
          <w:sz w:val="22"/>
          <w:szCs w:val="22"/>
        </w:rPr>
        <w:t>cumple con los requisitos y procedimientos del derecho de acceso a la información pública, en atención a que en la Ley de Transparencia y Acceso a la Información Pública del Estado de México y Municipios en su artículo 4, que dice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trascribe para un mejor entendimiento:</w:t>
      </w:r>
    </w:p>
    <w:p w14:paraId="128B8EF2" w14:textId="77777777" w:rsidR="00422AF6" w:rsidRPr="00B14DFD" w:rsidRDefault="00422AF6" w:rsidP="00DC5C74">
      <w:pPr>
        <w:spacing w:line="360" w:lineRule="auto"/>
        <w:jc w:val="both"/>
        <w:rPr>
          <w:rFonts w:ascii="Palatino Linotype" w:eastAsia="Palatino Linotype" w:hAnsi="Palatino Linotype" w:cs="Palatino Linotype"/>
          <w:sz w:val="22"/>
          <w:szCs w:val="22"/>
        </w:rPr>
      </w:pPr>
    </w:p>
    <w:p w14:paraId="0EF7A3DF"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Pr="00B14DFD">
        <w:rPr>
          <w:rFonts w:ascii="Palatino Linotype" w:eastAsia="Palatino Linotype" w:hAnsi="Palatino Linotype" w:cs="Palatino Linotype"/>
          <w:b/>
          <w:i/>
          <w:sz w:val="22"/>
          <w:szCs w:val="22"/>
        </w:rPr>
        <w:t>Artículo 4</w:t>
      </w:r>
      <w:r w:rsidRPr="00B14DFD">
        <w:rPr>
          <w:rFonts w:ascii="Palatino Linotype" w:eastAsia="Palatino Linotype" w:hAnsi="Palatino Linotype" w:cs="Palatino Linotype"/>
          <w:i/>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4D566034"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Toda la información generada, obtenida, adquirida, transformada, administrada o en posesión de los sujetos obligados es pública y accesible de manera permanente a cualquier persona</w:t>
      </w:r>
      <w:r w:rsidRPr="00B14DFD">
        <w:rPr>
          <w:rFonts w:ascii="Palatino Linotype" w:eastAsia="Palatino Linotype" w:hAnsi="Palatino Linotype" w:cs="Palatino Linotype"/>
          <w:i/>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05B57B98"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Los sujetos obligados deben poner en práctica, políticas y programas de acceso a la información que se apeguen a criterios de publicidad, veracidad, oportunidad, precisión y suficiencia en beneficio de los solicitantes</w:t>
      </w:r>
      <w:r w:rsidRPr="00B14DFD">
        <w:rPr>
          <w:rFonts w:ascii="Palatino Linotype" w:eastAsia="Palatino Linotype" w:hAnsi="Palatino Linotype" w:cs="Palatino Linotype"/>
          <w:i/>
          <w:sz w:val="22"/>
          <w:szCs w:val="22"/>
        </w:rPr>
        <w:t>.”</w:t>
      </w:r>
    </w:p>
    <w:p w14:paraId="1E531B63" w14:textId="77777777" w:rsidR="00422AF6" w:rsidRPr="00B14DFD" w:rsidRDefault="00422AF6" w:rsidP="00DC5C74">
      <w:pPr>
        <w:spacing w:line="276" w:lineRule="auto"/>
        <w:jc w:val="both"/>
        <w:rPr>
          <w:rFonts w:ascii="Palatino Linotype" w:eastAsia="Palatino Linotype" w:hAnsi="Palatino Linotype" w:cs="Palatino Linotype"/>
          <w:sz w:val="22"/>
          <w:szCs w:val="22"/>
        </w:rPr>
      </w:pPr>
    </w:p>
    <w:p w14:paraId="754E5C09"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5A2DB284" w14:textId="77777777" w:rsidR="00422AF6" w:rsidRPr="00B14DFD" w:rsidRDefault="00422AF6" w:rsidP="00DC5C74">
      <w:pPr>
        <w:spacing w:line="360" w:lineRule="auto"/>
        <w:jc w:val="both"/>
        <w:rPr>
          <w:rFonts w:ascii="Palatino Linotype" w:eastAsia="Palatino Linotype" w:hAnsi="Palatino Linotype" w:cs="Palatino Linotype"/>
          <w:sz w:val="22"/>
          <w:szCs w:val="22"/>
        </w:rPr>
      </w:pPr>
    </w:p>
    <w:p w14:paraId="26264580"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Cs/>
          <w:i/>
          <w:sz w:val="22"/>
          <w:szCs w:val="22"/>
        </w:rPr>
        <w:t>“</w:t>
      </w:r>
      <w:r w:rsidRPr="00B14DFD">
        <w:rPr>
          <w:rFonts w:ascii="Palatino Linotype" w:eastAsia="Palatino Linotype" w:hAnsi="Palatino Linotype" w:cs="Palatino Linotype"/>
          <w:b/>
          <w:i/>
          <w:sz w:val="22"/>
          <w:szCs w:val="22"/>
        </w:rPr>
        <w:t>Artículo 12.-</w:t>
      </w:r>
      <w:r w:rsidRPr="00B14DFD">
        <w:rPr>
          <w:rFonts w:ascii="Palatino Linotype" w:eastAsia="Palatino Linotype" w:hAnsi="Palatino Linotype" w:cs="Palatino Linotype"/>
          <w:i/>
          <w:sz w:val="22"/>
          <w:szCs w:val="22"/>
        </w:rPr>
        <w:t xml:space="preserve"> Quienes generen, recopilen, administren, manejen, procesen, archiven o conserven información pública serán responsables de la misma en los términos de las disposiciones jurídicas aplicables. </w:t>
      </w:r>
    </w:p>
    <w:p w14:paraId="25450749" w14:textId="77777777" w:rsidR="00422AF6" w:rsidRPr="00B14DFD" w:rsidRDefault="00422AF6" w:rsidP="00DF43F1">
      <w:pPr>
        <w:spacing w:line="276" w:lineRule="auto"/>
        <w:ind w:left="851" w:right="843"/>
        <w:jc w:val="both"/>
        <w:rPr>
          <w:rFonts w:ascii="Palatino Linotype" w:eastAsia="Palatino Linotype" w:hAnsi="Palatino Linotype" w:cs="Palatino Linotype"/>
          <w:i/>
          <w:sz w:val="22"/>
          <w:szCs w:val="22"/>
        </w:rPr>
      </w:pPr>
    </w:p>
    <w:p w14:paraId="64352F71"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Los sujetos obligados sólo proporcionarán la información pública que se les requiera y que obre en sus archivos y en el estado en que ésta se encuentre</w:t>
      </w:r>
      <w:r w:rsidRPr="00B14DFD">
        <w:rPr>
          <w:rFonts w:ascii="Palatino Linotype" w:eastAsia="Palatino Linotype" w:hAnsi="Palatino Linotype" w:cs="Palatino Linotype"/>
          <w:i/>
          <w:sz w:val="22"/>
          <w:szCs w:val="22"/>
        </w:rPr>
        <w:t xml:space="preserve">. </w:t>
      </w:r>
      <w:r w:rsidRPr="00B14DFD">
        <w:rPr>
          <w:rFonts w:ascii="Palatino Linotype" w:eastAsia="Palatino Linotype" w:hAnsi="Palatino Linotype" w:cs="Palatino Linotype"/>
          <w:b/>
          <w:i/>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6769FD88" w14:textId="77777777" w:rsidR="00422AF6" w:rsidRPr="00B14DFD" w:rsidRDefault="00422AF6" w:rsidP="00DC5C74">
      <w:pPr>
        <w:spacing w:line="360" w:lineRule="auto"/>
        <w:ind w:right="-93"/>
        <w:jc w:val="both"/>
        <w:rPr>
          <w:rFonts w:ascii="Palatino Linotype" w:eastAsia="Palatino Linotype" w:hAnsi="Palatino Linotype" w:cs="Palatino Linotype"/>
          <w:sz w:val="22"/>
          <w:szCs w:val="22"/>
        </w:rPr>
      </w:pPr>
    </w:p>
    <w:p w14:paraId="6830316E" w14:textId="77777777" w:rsidR="00422AF6" w:rsidRPr="00B14DFD" w:rsidRDefault="0067296C" w:rsidP="00DC5C74">
      <w:pPr>
        <w:spacing w:line="360" w:lineRule="auto"/>
        <w:ind w:right="-93"/>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1BE53FCD" w14:textId="77777777" w:rsidR="00422AF6" w:rsidRPr="00B14DFD" w:rsidRDefault="00422AF6" w:rsidP="00DC5C74">
      <w:pPr>
        <w:spacing w:line="360" w:lineRule="auto"/>
        <w:ind w:right="-93"/>
        <w:jc w:val="both"/>
        <w:rPr>
          <w:rFonts w:ascii="Palatino Linotype" w:eastAsia="Palatino Linotype" w:hAnsi="Palatino Linotype" w:cs="Palatino Linotype"/>
          <w:sz w:val="22"/>
          <w:szCs w:val="22"/>
        </w:rPr>
      </w:pPr>
    </w:p>
    <w:p w14:paraId="44CD5218" w14:textId="77777777" w:rsidR="00422AF6" w:rsidRPr="00B14DFD" w:rsidRDefault="0067296C" w:rsidP="00DC5C74">
      <w:pPr>
        <w:spacing w:line="360" w:lineRule="auto"/>
        <w:ind w:right="-93"/>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Sirve de apoyo a lo anterior, el criterio </w:t>
      </w:r>
      <w:r w:rsidR="00375A7D" w:rsidRPr="00B14DFD">
        <w:rPr>
          <w:rFonts w:ascii="Palatino Linotype" w:eastAsia="Palatino Linotype" w:hAnsi="Palatino Linotype" w:cs="Palatino Linotype"/>
          <w:sz w:val="22"/>
          <w:szCs w:val="22"/>
        </w:rPr>
        <w:t xml:space="preserve">orientador </w:t>
      </w:r>
      <w:r w:rsidRPr="00B14DFD">
        <w:rPr>
          <w:rFonts w:ascii="Palatino Linotype" w:eastAsia="Palatino Linotype" w:hAnsi="Palatino Linotype" w:cs="Palatino Linotype"/>
          <w:sz w:val="22"/>
          <w:szCs w:val="22"/>
        </w:rPr>
        <w:t xml:space="preserve">03-17, expuesto por el </w:t>
      </w:r>
      <w:r w:rsidR="00375A7D" w:rsidRPr="00B14DFD">
        <w:rPr>
          <w:rFonts w:ascii="Palatino Linotype" w:eastAsia="Palatino Linotype" w:hAnsi="Palatino Linotype" w:cs="Palatino Linotype"/>
          <w:sz w:val="22"/>
          <w:szCs w:val="22"/>
        </w:rPr>
        <w:t xml:space="preserve">entonces </w:t>
      </w:r>
      <w:r w:rsidRPr="00B14DFD">
        <w:rPr>
          <w:rFonts w:ascii="Palatino Linotype" w:eastAsia="Palatino Linotype" w:hAnsi="Palatino Linotype" w:cs="Palatino Linotype"/>
          <w:sz w:val="22"/>
          <w:szCs w:val="22"/>
        </w:rPr>
        <w:t>Instituto Nacional de Transparencia, Acceso a la Información y Protección de Datos Personales, que dice:</w:t>
      </w:r>
      <w:r w:rsidRPr="00B14DFD">
        <w:rPr>
          <w:rFonts w:ascii="Palatino Linotype" w:eastAsia="Palatino Linotype" w:hAnsi="Palatino Linotype" w:cs="Palatino Linotype"/>
          <w:b/>
          <w:sz w:val="22"/>
          <w:szCs w:val="22"/>
        </w:rPr>
        <w:t xml:space="preserve"> </w:t>
      </w:r>
    </w:p>
    <w:p w14:paraId="13D34C85" w14:textId="77777777" w:rsidR="00422AF6" w:rsidRPr="00B14DFD" w:rsidRDefault="00422AF6" w:rsidP="00DC5C74">
      <w:pPr>
        <w:spacing w:line="360" w:lineRule="auto"/>
        <w:jc w:val="both"/>
        <w:rPr>
          <w:rFonts w:ascii="Palatino Linotype" w:eastAsia="Palatino Linotype" w:hAnsi="Palatino Linotype" w:cs="Palatino Linotype"/>
          <w:b/>
          <w:sz w:val="22"/>
          <w:szCs w:val="22"/>
        </w:rPr>
      </w:pPr>
    </w:p>
    <w:p w14:paraId="2C2B5014"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Pr="00B14DFD">
        <w:rPr>
          <w:rFonts w:ascii="Palatino Linotype" w:eastAsia="Palatino Linotype" w:hAnsi="Palatino Linotype" w:cs="Palatino Linotype"/>
          <w:b/>
          <w:i/>
          <w:sz w:val="22"/>
          <w:szCs w:val="22"/>
        </w:rPr>
        <w:t>No existe obligación de elaborar documentos ad hoc para atender las solicitudes de acceso a la información.</w:t>
      </w:r>
      <w:r w:rsidRPr="00B14DFD">
        <w:rPr>
          <w:rFonts w:ascii="Palatino Linotype" w:eastAsia="Palatino Linotype" w:hAnsi="Palatino Linotype" w:cs="Palatino Linotype"/>
          <w:i/>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14ABC6DE" w14:textId="77777777" w:rsidR="00422AF6" w:rsidRPr="00B14DFD" w:rsidRDefault="00422AF6" w:rsidP="00DC5C74">
      <w:pPr>
        <w:spacing w:line="360" w:lineRule="auto"/>
        <w:ind w:right="-93"/>
        <w:jc w:val="both"/>
        <w:rPr>
          <w:rFonts w:ascii="Palatino Linotype" w:eastAsia="Palatino Linotype" w:hAnsi="Palatino Linotype" w:cs="Palatino Linotype"/>
          <w:sz w:val="22"/>
          <w:szCs w:val="22"/>
        </w:rPr>
      </w:pPr>
    </w:p>
    <w:p w14:paraId="1CF8DD96"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12597A0B" w14:textId="77777777" w:rsidR="00422AF6" w:rsidRPr="00B14DFD" w:rsidRDefault="00422AF6" w:rsidP="00DC5C74">
      <w:pPr>
        <w:spacing w:line="360" w:lineRule="auto"/>
        <w:jc w:val="both"/>
        <w:rPr>
          <w:rFonts w:ascii="Palatino Linotype" w:eastAsia="Palatino Linotype" w:hAnsi="Palatino Linotype" w:cs="Palatino Linotype"/>
          <w:sz w:val="22"/>
          <w:szCs w:val="22"/>
        </w:rPr>
      </w:pPr>
    </w:p>
    <w:p w14:paraId="0DABB477" w14:textId="77777777" w:rsidR="00422AF6" w:rsidRPr="00B14DFD" w:rsidRDefault="0067296C" w:rsidP="00DC5C74">
      <w:pPr>
        <w:spacing w:line="360" w:lineRule="auto"/>
        <w:ind w:right="4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0F37031D" w14:textId="77777777" w:rsidR="00422AF6" w:rsidRPr="00B14DFD" w:rsidRDefault="00422AF6" w:rsidP="00DC5C74">
      <w:pPr>
        <w:spacing w:line="360" w:lineRule="auto"/>
        <w:ind w:right="49"/>
        <w:jc w:val="both"/>
        <w:rPr>
          <w:rFonts w:ascii="Palatino Linotype" w:eastAsia="Palatino Linotype" w:hAnsi="Palatino Linotype" w:cs="Palatino Linotype"/>
          <w:sz w:val="22"/>
          <w:szCs w:val="22"/>
        </w:rPr>
      </w:pPr>
    </w:p>
    <w:p w14:paraId="4C7F26C2"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44FEB54C" w14:textId="77777777" w:rsidR="00422AF6" w:rsidRPr="00B14DFD" w:rsidRDefault="00422AF6" w:rsidP="00DC5C74">
      <w:pPr>
        <w:spacing w:line="360" w:lineRule="auto"/>
        <w:ind w:left="567" w:right="616"/>
        <w:jc w:val="both"/>
        <w:rPr>
          <w:rFonts w:ascii="Palatino Linotype" w:eastAsia="Palatino Linotype" w:hAnsi="Palatino Linotype" w:cs="Palatino Linotype"/>
          <w:i/>
          <w:sz w:val="22"/>
          <w:szCs w:val="22"/>
        </w:rPr>
      </w:pPr>
    </w:p>
    <w:p w14:paraId="7A7DEFC2"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r w:rsidRPr="00B14DFD">
        <w:rPr>
          <w:rFonts w:ascii="Palatino Linotype" w:eastAsia="Palatino Linotype" w:hAnsi="Palatino Linotype" w:cs="Palatino Linotype"/>
          <w:b/>
          <w:i/>
          <w:sz w:val="22"/>
          <w:szCs w:val="22"/>
        </w:rPr>
        <w:t xml:space="preserve">Artículo 3. </w:t>
      </w:r>
      <w:r w:rsidRPr="00B14DFD">
        <w:rPr>
          <w:rFonts w:ascii="Palatino Linotype" w:eastAsia="Palatino Linotype" w:hAnsi="Palatino Linotype" w:cs="Palatino Linotype"/>
          <w:i/>
          <w:sz w:val="22"/>
          <w:szCs w:val="22"/>
        </w:rPr>
        <w:t>Para los efectos de la presente Ley se entenderá por:</w:t>
      </w:r>
    </w:p>
    <w:p w14:paraId="4C63ECCC"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p>
    <w:p w14:paraId="308029BF"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XI. Documento:</w:t>
      </w:r>
      <w:r w:rsidRPr="00B14DFD">
        <w:rPr>
          <w:rFonts w:ascii="Palatino Linotype" w:eastAsia="Palatino Linotype" w:hAnsi="Palatino Linotype" w:cs="Palatino Linotype"/>
          <w:i/>
          <w:sz w:val="22"/>
          <w:szCs w:val="22"/>
        </w:rPr>
        <w:t xml:space="preserve"> Los expedientes, reportes, estudios, actas</w:t>
      </w:r>
      <w:r w:rsidRPr="00B14DFD">
        <w:rPr>
          <w:rFonts w:ascii="Palatino Linotype" w:eastAsia="Palatino Linotype" w:hAnsi="Palatino Linotype" w:cs="Palatino Linotype"/>
          <w:b/>
          <w:i/>
          <w:sz w:val="22"/>
          <w:szCs w:val="22"/>
        </w:rPr>
        <w:t>,</w:t>
      </w:r>
      <w:r w:rsidRPr="00B14DFD">
        <w:rPr>
          <w:rFonts w:ascii="Palatino Linotype" w:eastAsia="Palatino Linotype" w:hAnsi="Palatino Linotype" w:cs="Palatino Linotype"/>
          <w:i/>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3FCE63D8" w14:textId="77777777" w:rsidR="00422AF6" w:rsidRPr="00B14DFD" w:rsidRDefault="00422AF6" w:rsidP="00DC5C74">
      <w:pPr>
        <w:spacing w:line="360" w:lineRule="auto"/>
        <w:ind w:left="851" w:right="899"/>
        <w:jc w:val="both"/>
        <w:rPr>
          <w:rFonts w:ascii="Palatino Linotype" w:eastAsia="Palatino Linotype" w:hAnsi="Palatino Linotype" w:cs="Palatino Linotype"/>
          <w:sz w:val="22"/>
          <w:szCs w:val="22"/>
        </w:rPr>
      </w:pPr>
    </w:p>
    <w:p w14:paraId="6BD93F0A"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08546037" w14:textId="77777777" w:rsidR="00422AF6" w:rsidRPr="00B14DFD" w:rsidRDefault="00422AF6" w:rsidP="00DC5C74">
      <w:pPr>
        <w:spacing w:line="360" w:lineRule="auto"/>
        <w:jc w:val="both"/>
        <w:rPr>
          <w:rFonts w:ascii="Palatino Linotype" w:eastAsia="Palatino Linotype" w:hAnsi="Palatino Linotype" w:cs="Palatino Linotype"/>
          <w:sz w:val="22"/>
          <w:szCs w:val="22"/>
        </w:rPr>
      </w:pPr>
    </w:p>
    <w:p w14:paraId="27FBE1F1" w14:textId="77777777" w:rsidR="00422AF6" w:rsidRPr="00B14DFD" w:rsidRDefault="0067296C" w:rsidP="00DF43F1">
      <w:pPr>
        <w:spacing w:line="276" w:lineRule="auto"/>
        <w:ind w:left="851" w:right="843"/>
        <w:jc w:val="both"/>
        <w:rPr>
          <w:rFonts w:ascii="Palatino Linotype" w:eastAsia="Palatino Linotype" w:hAnsi="Palatino Linotype" w:cs="Palatino Linotype"/>
          <w:b/>
          <w:i/>
          <w:sz w:val="22"/>
          <w:szCs w:val="22"/>
        </w:rPr>
      </w:pPr>
      <w:r w:rsidRPr="00B14DFD">
        <w:rPr>
          <w:rFonts w:ascii="Palatino Linotype" w:eastAsia="Palatino Linotype" w:hAnsi="Palatino Linotype" w:cs="Palatino Linotype"/>
          <w:b/>
          <w:sz w:val="22"/>
          <w:szCs w:val="22"/>
        </w:rPr>
        <w:t>“</w:t>
      </w:r>
      <w:r w:rsidRPr="00B14DFD">
        <w:rPr>
          <w:rFonts w:ascii="Palatino Linotype" w:eastAsia="Palatino Linotype" w:hAnsi="Palatino Linotype" w:cs="Palatino Linotype"/>
          <w:b/>
          <w:i/>
          <w:sz w:val="22"/>
          <w:szCs w:val="22"/>
        </w:rPr>
        <w:t>CRITERIO 0002-11. INFORMACIÓN PÚBLICA, CONCEPTO DE, EN MATERIA DE TRANSPARENCIA. INTERPRETACIÓN SISTEMÁTICA DE LOS ARTÍCULOS 2°, FRACCIÓN V, XV, Y XVI, 3°, 4°, 11 Y 41.</w:t>
      </w:r>
      <w:r w:rsidRPr="00B14DFD">
        <w:rPr>
          <w:rFonts w:ascii="Palatino Linotype" w:eastAsia="Palatino Linotype" w:hAnsi="Palatino Linotype" w:cs="Palatino Linotype"/>
          <w:i/>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0517AABA"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En consecuencia el acceso a la información se refiere a que se cumplan cualquiera de los siguientes tres supuestos:</w:t>
      </w:r>
    </w:p>
    <w:p w14:paraId="77FD62AE" w14:textId="77777777" w:rsidR="00422AF6" w:rsidRPr="00B14DFD" w:rsidRDefault="0067296C" w:rsidP="00DF43F1">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1) Que se trate de información registrada en cualquier soporte documental, que en ejercicio de las atribuciones conferidas, sea generada por los Sujetos Obligados;</w:t>
      </w:r>
    </w:p>
    <w:p w14:paraId="4EBFA77E" w14:textId="77777777" w:rsidR="00422AF6" w:rsidRPr="00B14DFD" w:rsidRDefault="0067296C" w:rsidP="00DF43F1">
      <w:pPr>
        <w:spacing w:line="276" w:lineRule="auto"/>
        <w:ind w:left="851" w:right="843"/>
        <w:jc w:val="both"/>
        <w:rPr>
          <w:rFonts w:ascii="Palatino Linotype" w:eastAsia="Palatino Linotype" w:hAnsi="Palatino Linotype" w:cs="Palatino Linotype"/>
          <w:b/>
          <w:i/>
          <w:sz w:val="22"/>
          <w:szCs w:val="22"/>
        </w:rPr>
      </w:pPr>
      <w:r w:rsidRPr="00B14DFD">
        <w:rPr>
          <w:rFonts w:ascii="Palatino Linotype" w:eastAsia="Palatino Linotype" w:hAnsi="Palatino Linotype" w:cs="Palatino Linotype"/>
          <w:b/>
          <w:i/>
          <w:sz w:val="22"/>
          <w:szCs w:val="22"/>
        </w:rPr>
        <w:t>2) Que se trate de información registrada en cualquier soporte documental, que en ejercicio de las atribuciones conferidas, sea administrada por los Sujetos Obligados, y</w:t>
      </w:r>
    </w:p>
    <w:p w14:paraId="29897766" w14:textId="77777777" w:rsidR="00422AF6" w:rsidRPr="00B14DFD" w:rsidRDefault="0067296C" w:rsidP="00DF43F1">
      <w:pPr>
        <w:spacing w:line="276" w:lineRule="auto"/>
        <w:ind w:left="851" w:right="843"/>
        <w:jc w:val="both"/>
        <w:rPr>
          <w:rFonts w:ascii="Palatino Linotype" w:eastAsia="Palatino Linotype" w:hAnsi="Palatino Linotype" w:cs="Palatino Linotype"/>
          <w:b/>
          <w:i/>
          <w:sz w:val="22"/>
          <w:szCs w:val="22"/>
        </w:rPr>
      </w:pPr>
      <w:r w:rsidRPr="00B14DFD">
        <w:rPr>
          <w:rFonts w:ascii="Palatino Linotype" w:eastAsia="Palatino Linotype" w:hAnsi="Palatino Linotype" w:cs="Palatino Linotype"/>
          <w:b/>
          <w:i/>
          <w:sz w:val="22"/>
          <w:szCs w:val="22"/>
        </w:rPr>
        <w:t xml:space="preserve">3) Que se trate de información registrada en cualquier soporte documental, que en ejercicio de las atribuciones conferidas, se encuentre en posesión de los Sujetos Obligados.” </w:t>
      </w:r>
    </w:p>
    <w:p w14:paraId="19B649BE" w14:textId="77777777" w:rsidR="00422AF6" w:rsidRPr="00B14DFD" w:rsidRDefault="00422AF6" w:rsidP="00DC5C74">
      <w:pPr>
        <w:tabs>
          <w:tab w:val="left" w:pos="8647"/>
        </w:tabs>
        <w:spacing w:line="360" w:lineRule="auto"/>
        <w:jc w:val="both"/>
        <w:rPr>
          <w:rFonts w:ascii="Palatino Linotype" w:eastAsia="Palatino Linotype" w:hAnsi="Palatino Linotype" w:cs="Palatino Linotype"/>
          <w:b/>
          <w:sz w:val="22"/>
          <w:szCs w:val="22"/>
        </w:rPr>
      </w:pPr>
    </w:p>
    <w:p w14:paraId="0137AEA8" w14:textId="35D011B3" w:rsidR="004718C5" w:rsidRPr="00B14DFD" w:rsidRDefault="0067296C" w:rsidP="00DC5C74">
      <w:pPr>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sz w:val="22"/>
          <w:szCs w:val="22"/>
        </w:rPr>
        <w:t xml:space="preserve">Del análisis de la solicitud de información motivo del recurso de revisión que ahora se resuelve, se advierte que el particular requirió al </w:t>
      </w:r>
      <w:r w:rsidR="004C5C2B" w:rsidRPr="00B14DFD">
        <w:rPr>
          <w:rFonts w:ascii="Palatino Linotype" w:eastAsia="Palatino Linotype" w:hAnsi="Palatino Linotype" w:cs="Palatino Linotype"/>
          <w:b/>
          <w:sz w:val="22"/>
          <w:szCs w:val="22"/>
        </w:rPr>
        <w:t>Ayuntamiento de Zinacantepec</w:t>
      </w:r>
      <w:r w:rsidR="004718C5" w:rsidRPr="00B14DFD">
        <w:rPr>
          <w:rFonts w:ascii="Palatino Linotype" w:eastAsia="Palatino Linotype" w:hAnsi="Palatino Linotype" w:cs="Palatino Linotype"/>
          <w:b/>
          <w:sz w:val="22"/>
          <w:szCs w:val="22"/>
        </w:rPr>
        <w:t xml:space="preserve"> lo siguiente:</w:t>
      </w:r>
    </w:p>
    <w:p w14:paraId="6460F4FE" w14:textId="77777777" w:rsidR="00DF43F1" w:rsidRPr="00B14DFD" w:rsidRDefault="00DF43F1" w:rsidP="00DC5C74">
      <w:pPr>
        <w:spacing w:line="360" w:lineRule="auto"/>
        <w:jc w:val="both"/>
        <w:rPr>
          <w:rFonts w:ascii="Palatino Linotype" w:eastAsia="Palatino Linotype" w:hAnsi="Palatino Linotype" w:cs="Palatino Linotype"/>
          <w:b/>
          <w:sz w:val="22"/>
          <w:szCs w:val="22"/>
        </w:rPr>
      </w:pPr>
    </w:p>
    <w:p w14:paraId="50341216" w14:textId="2D0F2626" w:rsidR="00155282" w:rsidRPr="00B14DFD" w:rsidRDefault="00E70ADD" w:rsidP="00DC5C74">
      <w:pPr>
        <w:pStyle w:val="Prrafodelista"/>
        <w:numPr>
          <w:ilvl w:val="0"/>
          <w:numId w:val="27"/>
        </w:numPr>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Licencias de construcción, permisos y todo lo que realice la Dirección de Desarrollo Territorial y Urbano, del primero de enero al diecisiete de julio de dos mil veinticinco</w:t>
      </w:r>
      <w:r w:rsidR="004075AF" w:rsidRPr="00B14DFD">
        <w:rPr>
          <w:rFonts w:ascii="Palatino Linotype" w:eastAsia="Palatino Linotype" w:hAnsi="Palatino Linotype" w:cs="Palatino Linotype"/>
          <w:b/>
          <w:sz w:val="22"/>
          <w:szCs w:val="22"/>
        </w:rPr>
        <w:t>.</w:t>
      </w:r>
    </w:p>
    <w:p w14:paraId="765DF515" w14:textId="77777777" w:rsidR="00F34242" w:rsidRPr="00B14DFD" w:rsidRDefault="00F34242" w:rsidP="00F34242">
      <w:pPr>
        <w:pStyle w:val="Prrafodelista"/>
        <w:spacing w:line="360" w:lineRule="auto"/>
        <w:jc w:val="both"/>
        <w:rPr>
          <w:rFonts w:ascii="Palatino Linotype" w:eastAsia="Palatino Linotype" w:hAnsi="Palatino Linotype" w:cs="Palatino Linotype"/>
          <w:b/>
          <w:sz w:val="22"/>
          <w:szCs w:val="22"/>
        </w:rPr>
      </w:pPr>
    </w:p>
    <w:p w14:paraId="322F8334" w14:textId="398DA12D" w:rsidR="00F114D0" w:rsidRPr="00B14DFD" w:rsidRDefault="00AC27CC" w:rsidP="00DC5C74">
      <w:pPr>
        <w:spacing w:line="360" w:lineRule="auto"/>
        <w:ind w:right="-7"/>
        <w:jc w:val="both"/>
        <w:rPr>
          <w:rFonts w:ascii="Palatino Linotype" w:hAnsi="Palatino Linotype"/>
          <w:b/>
          <w:sz w:val="22"/>
          <w:szCs w:val="22"/>
        </w:rPr>
      </w:pPr>
      <w:r w:rsidRPr="00B14DFD">
        <w:rPr>
          <w:rFonts w:ascii="Palatino Linotype" w:hAnsi="Palatino Linotype"/>
          <w:sz w:val="22"/>
          <w:szCs w:val="22"/>
        </w:rPr>
        <w:t>E</w:t>
      </w:r>
      <w:r w:rsidR="00EC5D32" w:rsidRPr="00B14DFD">
        <w:rPr>
          <w:rFonts w:ascii="Palatino Linotype" w:hAnsi="Palatino Linotype"/>
          <w:sz w:val="22"/>
          <w:szCs w:val="22"/>
        </w:rPr>
        <w:t>n respuesta el</w:t>
      </w:r>
      <w:r w:rsidRPr="00B14DFD">
        <w:rPr>
          <w:rFonts w:ascii="Palatino Linotype" w:hAnsi="Palatino Linotype"/>
          <w:sz w:val="22"/>
          <w:szCs w:val="22"/>
        </w:rPr>
        <w:t xml:space="preserve"> </w:t>
      </w:r>
      <w:r w:rsidRPr="00B14DFD">
        <w:rPr>
          <w:rFonts w:ascii="Palatino Linotype" w:hAnsi="Palatino Linotype"/>
          <w:b/>
          <w:bCs/>
          <w:sz w:val="22"/>
          <w:szCs w:val="22"/>
        </w:rPr>
        <w:t>Sujeto Obligado</w:t>
      </w:r>
      <w:r w:rsidRPr="00B14DFD">
        <w:rPr>
          <w:rFonts w:ascii="Palatino Linotype" w:hAnsi="Palatino Linotype"/>
          <w:sz w:val="22"/>
          <w:szCs w:val="22"/>
        </w:rPr>
        <w:t xml:space="preserve"> </w:t>
      </w:r>
      <w:r w:rsidR="00EC5D32" w:rsidRPr="00B14DFD">
        <w:rPr>
          <w:rFonts w:ascii="Palatino Linotype" w:hAnsi="Palatino Linotype"/>
          <w:sz w:val="22"/>
          <w:szCs w:val="22"/>
        </w:rPr>
        <w:t xml:space="preserve">a través del </w:t>
      </w:r>
      <w:r w:rsidR="00450DF7" w:rsidRPr="00B14DFD">
        <w:rPr>
          <w:rFonts w:ascii="Palatino Linotype" w:hAnsi="Palatino Linotype"/>
          <w:sz w:val="22"/>
          <w:szCs w:val="22"/>
        </w:rPr>
        <w:t xml:space="preserve">Director de Desarrollo Territorial y Urbano </w:t>
      </w:r>
      <w:r w:rsidR="00E70ADD" w:rsidRPr="00B14DFD">
        <w:rPr>
          <w:rFonts w:ascii="Palatino Linotype" w:hAnsi="Palatino Linotype"/>
          <w:sz w:val="22"/>
          <w:szCs w:val="22"/>
        </w:rPr>
        <w:t xml:space="preserve">informó la entrega de la </w:t>
      </w:r>
      <w:r w:rsidR="00C10AD1" w:rsidRPr="00B14DFD">
        <w:rPr>
          <w:rFonts w:ascii="Palatino Linotype" w:hAnsi="Palatino Linotype"/>
          <w:sz w:val="22"/>
          <w:szCs w:val="22"/>
        </w:rPr>
        <w:t>información solicitada</w:t>
      </w:r>
      <w:r w:rsidR="00EC5D32" w:rsidRPr="00B14DFD">
        <w:rPr>
          <w:rFonts w:ascii="Palatino Linotype" w:hAnsi="Palatino Linotype"/>
          <w:sz w:val="22"/>
          <w:szCs w:val="22"/>
        </w:rPr>
        <w:t xml:space="preserve">, adjuntando las </w:t>
      </w:r>
      <w:r w:rsidR="004F26BF" w:rsidRPr="00B14DFD">
        <w:rPr>
          <w:rFonts w:ascii="Palatino Linotype" w:hAnsi="Palatino Linotype"/>
          <w:sz w:val="22"/>
          <w:szCs w:val="22"/>
        </w:rPr>
        <w:t>Licencias de construcción en versión pública</w:t>
      </w:r>
      <w:r w:rsidR="00E70ADD" w:rsidRPr="00B14DFD">
        <w:rPr>
          <w:rFonts w:ascii="Palatino Linotype" w:hAnsi="Palatino Linotype"/>
          <w:sz w:val="22"/>
          <w:szCs w:val="22"/>
        </w:rPr>
        <w:t xml:space="preserve">, </w:t>
      </w:r>
      <w:r w:rsidR="00EC5D32" w:rsidRPr="00B14DFD">
        <w:rPr>
          <w:rFonts w:ascii="Palatino Linotype" w:hAnsi="Palatino Linotype"/>
          <w:sz w:val="22"/>
          <w:szCs w:val="22"/>
        </w:rPr>
        <w:t xml:space="preserve">de </w:t>
      </w:r>
      <w:r w:rsidR="005A1FBC" w:rsidRPr="00B14DFD">
        <w:rPr>
          <w:rFonts w:ascii="Palatino Linotype" w:hAnsi="Palatino Linotype"/>
          <w:sz w:val="22"/>
          <w:szCs w:val="22"/>
        </w:rPr>
        <w:t>agosto</w:t>
      </w:r>
      <w:r w:rsidR="00E70ADD" w:rsidRPr="00B14DFD">
        <w:rPr>
          <w:rFonts w:ascii="Palatino Linotype" w:hAnsi="Palatino Linotype"/>
          <w:sz w:val="22"/>
          <w:szCs w:val="22"/>
        </w:rPr>
        <w:t xml:space="preserve"> dos mil veinticuatro a mayo dos mil veinticinco</w:t>
      </w:r>
      <w:r w:rsidR="004F26BF" w:rsidRPr="00B14DFD">
        <w:rPr>
          <w:rFonts w:ascii="Palatino Linotype" w:hAnsi="Palatino Linotype"/>
          <w:sz w:val="22"/>
          <w:szCs w:val="22"/>
        </w:rPr>
        <w:t>.</w:t>
      </w:r>
    </w:p>
    <w:p w14:paraId="705A9F4A" w14:textId="77777777" w:rsidR="00D5069E" w:rsidRPr="00B14DFD" w:rsidRDefault="00D5069E" w:rsidP="00DC5C74">
      <w:pPr>
        <w:spacing w:line="360" w:lineRule="auto"/>
        <w:ind w:right="-7"/>
        <w:jc w:val="both"/>
        <w:rPr>
          <w:rFonts w:ascii="Palatino Linotype" w:hAnsi="Palatino Linotype"/>
          <w:b/>
          <w:sz w:val="22"/>
          <w:szCs w:val="22"/>
        </w:rPr>
      </w:pPr>
    </w:p>
    <w:p w14:paraId="741DC8E0" w14:textId="3E92965A" w:rsidR="00EC5D32" w:rsidRPr="00B14DFD" w:rsidRDefault="00EC5D32" w:rsidP="00DC5C74">
      <w:pPr>
        <w:spacing w:line="360" w:lineRule="auto"/>
        <w:ind w:right="4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Al no estar conforme con los términos de la respuesta emitida, la parte </w:t>
      </w:r>
      <w:r w:rsidRPr="00B14DFD">
        <w:rPr>
          <w:rFonts w:ascii="Palatino Linotype" w:eastAsia="Palatino Linotype" w:hAnsi="Palatino Linotype" w:cs="Palatino Linotype"/>
          <w:b/>
          <w:sz w:val="22"/>
          <w:szCs w:val="22"/>
        </w:rPr>
        <w:t xml:space="preserve">Recurrente </w:t>
      </w:r>
      <w:r w:rsidRPr="00B14DFD">
        <w:rPr>
          <w:rFonts w:ascii="Palatino Linotype" w:eastAsia="Palatino Linotype" w:hAnsi="Palatino Linotype" w:cs="Palatino Linotype"/>
          <w:sz w:val="22"/>
          <w:szCs w:val="22"/>
        </w:rPr>
        <w:t xml:space="preserve">interpuso el recurso de revisión que nos ocupa, donde señaló como motivo de inconformidad la entrega de información incompleta y la omisión del acta que sustente la versión pública. </w:t>
      </w:r>
    </w:p>
    <w:p w14:paraId="35B03B00" w14:textId="77777777" w:rsidR="00EC5D32" w:rsidRPr="00B14DFD" w:rsidRDefault="00EC5D32" w:rsidP="00DC5C74">
      <w:pPr>
        <w:spacing w:line="360" w:lineRule="auto"/>
        <w:ind w:right="49"/>
        <w:jc w:val="both"/>
        <w:rPr>
          <w:rFonts w:ascii="Palatino Linotype" w:eastAsia="Palatino Linotype" w:hAnsi="Palatino Linotype" w:cs="Palatino Linotype"/>
          <w:sz w:val="22"/>
          <w:szCs w:val="22"/>
        </w:rPr>
      </w:pPr>
    </w:p>
    <w:p w14:paraId="6FD6F171" w14:textId="0B5C8488" w:rsidR="00391891" w:rsidRPr="00B14DFD" w:rsidRDefault="00EC5D32" w:rsidP="00DC5C74">
      <w:pPr>
        <w:spacing w:line="360" w:lineRule="auto"/>
        <w:ind w:right="4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Admitido el presente recurso de revisión, en términos del artículo 185 fracción II de la Ley de Transparencia y Acceso a la Información Pública del Estado de México y Municipios, se integró el expediente y se puso a disposición de las partes para que, en un plazo máximo de siete días hábiles, manifestaran lo que a su derecho resultara conveniente, teniendo así que la parte </w:t>
      </w:r>
      <w:r w:rsidRPr="00B14DFD">
        <w:rPr>
          <w:rFonts w:ascii="Palatino Linotype" w:eastAsia="Palatino Linotype" w:hAnsi="Palatino Linotype" w:cs="Palatino Linotype"/>
          <w:b/>
          <w:bCs/>
          <w:sz w:val="22"/>
          <w:szCs w:val="22"/>
        </w:rPr>
        <w:t>Recurrente</w:t>
      </w:r>
      <w:r w:rsidRPr="00B14DFD">
        <w:rPr>
          <w:rFonts w:ascii="Palatino Linotype" w:eastAsia="Palatino Linotype" w:hAnsi="Palatino Linotype" w:cs="Palatino Linotype"/>
          <w:sz w:val="22"/>
          <w:szCs w:val="22"/>
        </w:rPr>
        <w:t xml:space="preserve"> fue omisa en realizar alguna manifestación, mientras que el </w:t>
      </w:r>
      <w:r w:rsidRPr="00B14DFD">
        <w:rPr>
          <w:rFonts w:ascii="Palatino Linotype" w:eastAsia="Palatino Linotype" w:hAnsi="Palatino Linotype" w:cs="Palatino Linotype"/>
          <w:b/>
          <w:bCs/>
          <w:sz w:val="22"/>
          <w:szCs w:val="22"/>
        </w:rPr>
        <w:t>Sujeto Obligado</w:t>
      </w:r>
      <w:r w:rsidRPr="00B14DFD">
        <w:rPr>
          <w:rFonts w:ascii="Palatino Linotype" w:eastAsia="Palatino Linotype" w:hAnsi="Palatino Linotype" w:cs="Palatino Linotype"/>
          <w:sz w:val="22"/>
          <w:szCs w:val="22"/>
        </w:rPr>
        <w:t xml:space="preserve"> rindió informe justificado en el que confirmó </w:t>
      </w:r>
      <w:r w:rsidR="00142826" w:rsidRPr="00B14DFD">
        <w:rPr>
          <w:rFonts w:ascii="Palatino Linotype" w:hAnsi="Palatino Linotype"/>
          <w:sz w:val="22"/>
          <w:szCs w:val="22"/>
        </w:rPr>
        <w:t>la</w:t>
      </w:r>
      <w:r w:rsidR="00B7372D" w:rsidRPr="00B14DFD">
        <w:rPr>
          <w:rFonts w:ascii="Palatino Linotype" w:hAnsi="Palatino Linotype"/>
          <w:sz w:val="22"/>
          <w:szCs w:val="22"/>
        </w:rPr>
        <w:t xml:space="preserve"> </w:t>
      </w:r>
      <w:r w:rsidR="00142826" w:rsidRPr="00B14DFD">
        <w:rPr>
          <w:rFonts w:ascii="Palatino Linotype" w:hAnsi="Palatino Linotype"/>
          <w:sz w:val="22"/>
          <w:szCs w:val="22"/>
        </w:rPr>
        <w:t>respuesta</w:t>
      </w:r>
      <w:r w:rsidR="00B7372D" w:rsidRPr="00B14DFD">
        <w:rPr>
          <w:rFonts w:ascii="Palatino Linotype" w:hAnsi="Palatino Linotype"/>
          <w:sz w:val="22"/>
          <w:szCs w:val="22"/>
        </w:rPr>
        <w:t xml:space="preserve"> </w:t>
      </w:r>
      <w:r w:rsidR="00142826" w:rsidRPr="00B14DFD">
        <w:rPr>
          <w:rFonts w:ascii="Palatino Linotype" w:hAnsi="Palatino Linotype"/>
          <w:sz w:val="22"/>
          <w:szCs w:val="22"/>
        </w:rPr>
        <w:t>entregad</w:t>
      </w:r>
      <w:r w:rsidR="00025710" w:rsidRPr="00B14DFD">
        <w:rPr>
          <w:rFonts w:ascii="Palatino Linotype" w:hAnsi="Palatino Linotype"/>
          <w:sz w:val="22"/>
          <w:szCs w:val="22"/>
        </w:rPr>
        <w:t>a</w:t>
      </w:r>
      <w:r w:rsidRPr="00B14DFD">
        <w:rPr>
          <w:rFonts w:ascii="Palatino Linotype" w:hAnsi="Palatino Linotype"/>
          <w:sz w:val="22"/>
          <w:szCs w:val="22"/>
        </w:rPr>
        <w:t xml:space="preserve"> </w:t>
      </w:r>
      <w:r w:rsidR="00025710" w:rsidRPr="00B14DFD">
        <w:rPr>
          <w:rFonts w:ascii="Palatino Linotype" w:hAnsi="Palatino Linotype"/>
          <w:sz w:val="22"/>
          <w:szCs w:val="22"/>
        </w:rPr>
        <w:t>y remitió el Acta del Comité de Transparencia</w:t>
      </w:r>
      <w:r w:rsidR="00564E17" w:rsidRPr="00B14DFD">
        <w:rPr>
          <w:rFonts w:ascii="Palatino Linotype" w:hAnsi="Palatino Linotype"/>
          <w:sz w:val="22"/>
          <w:szCs w:val="22"/>
        </w:rPr>
        <w:t xml:space="preserve"> que sustenta las versiones públicas de las licencias de construcción remitidas </w:t>
      </w:r>
      <w:r w:rsidR="005A1FBC" w:rsidRPr="00B14DFD">
        <w:rPr>
          <w:rFonts w:ascii="Palatino Linotype" w:hAnsi="Palatino Linotype"/>
          <w:sz w:val="22"/>
          <w:szCs w:val="22"/>
        </w:rPr>
        <w:t>e</w:t>
      </w:r>
      <w:r w:rsidR="00564E17" w:rsidRPr="00B14DFD">
        <w:rPr>
          <w:rFonts w:ascii="Palatino Linotype" w:hAnsi="Palatino Linotype"/>
          <w:sz w:val="22"/>
          <w:szCs w:val="22"/>
        </w:rPr>
        <w:t>n respuesta.</w:t>
      </w:r>
    </w:p>
    <w:p w14:paraId="6A7707D8" w14:textId="257A6973" w:rsidR="009B2050" w:rsidRPr="00B14DFD" w:rsidRDefault="00564E17"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E</w:t>
      </w:r>
      <w:r w:rsidR="00EC5D32" w:rsidRPr="00B14DFD">
        <w:rPr>
          <w:rFonts w:ascii="Palatino Linotype" w:eastAsia="Palatino Linotype" w:hAnsi="Palatino Linotype" w:cs="Palatino Linotype"/>
          <w:sz w:val="22"/>
          <w:szCs w:val="22"/>
        </w:rPr>
        <w:t xml:space="preserve">xpuesto lo anterior, resulta </w:t>
      </w:r>
      <w:r w:rsidRPr="00B14DFD">
        <w:rPr>
          <w:rFonts w:ascii="Palatino Linotype" w:eastAsia="Palatino Linotype" w:hAnsi="Palatino Linotype" w:cs="Palatino Linotype"/>
          <w:sz w:val="22"/>
          <w:szCs w:val="22"/>
        </w:rPr>
        <w:t xml:space="preserve">necesario señalar que, quien dio respuesta a la solicitud </w:t>
      </w:r>
      <w:r w:rsidR="00EC5D32" w:rsidRPr="00B14DFD">
        <w:rPr>
          <w:rFonts w:ascii="Palatino Linotype" w:eastAsia="Palatino Linotype" w:hAnsi="Palatino Linotype" w:cs="Palatino Linotype"/>
          <w:sz w:val="22"/>
          <w:szCs w:val="22"/>
        </w:rPr>
        <w:t xml:space="preserve">de información, </w:t>
      </w:r>
      <w:r w:rsidRPr="00B14DFD">
        <w:rPr>
          <w:rFonts w:ascii="Palatino Linotype" w:eastAsia="Palatino Linotype" w:hAnsi="Palatino Linotype" w:cs="Palatino Linotype"/>
          <w:sz w:val="22"/>
          <w:szCs w:val="22"/>
        </w:rPr>
        <w:t xml:space="preserve">es la </w:t>
      </w:r>
      <w:r w:rsidR="00B7372D" w:rsidRPr="00B14DFD">
        <w:rPr>
          <w:rFonts w:ascii="Palatino Linotype" w:eastAsia="Palatino Linotype" w:hAnsi="Palatino Linotype" w:cs="Palatino Linotype"/>
          <w:sz w:val="22"/>
          <w:szCs w:val="22"/>
        </w:rPr>
        <w:t xml:space="preserve">Dirección de </w:t>
      </w:r>
      <w:r w:rsidRPr="00B14DFD">
        <w:rPr>
          <w:rFonts w:ascii="Palatino Linotype" w:hAnsi="Palatino Linotype"/>
          <w:sz w:val="22"/>
          <w:szCs w:val="22"/>
        </w:rPr>
        <w:t>Desarrollo Territorial y Urbano, qu</w:t>
      </w:r>
      <w:r w:rsidR="00EC5D32" w:rsidRPr="00B14DFD">
        <w:rPr>
          <w:rFonts w:ascii="Palatino Linotype" w:hAnsi="Palatino Linotype"/>
          <w:sz w:val="22"/>
          <w:szCs w:val="22"/>
        </w:rPr>
        <w:t>ien de conformidad con e</w:t>
      </w:r>
      <w:r w:rsidRPr="00B14DFD">
        <w:rPr>
          <w:rFonts w:ascii="Palatino Linotype" w:hAnsi="Palatino Linotype"/>
          <w:sz w:val="22"/>
          <w:szCs w:val="22"/>
        </w:rPr>
        <w:t>l</w:t>
      </w:r>
      <w:r w:rsidR="009B2050" w:rsidRPr="00B14DFD">
        <w:rPr>
          <w:rFonts w:ascii="Palatino Linotype" w:eastAsia="Palatino Linotype" w:hAnsi="Palatino Linotype" w:cs="Palatino Linotype"/>
          <w:sz w:val="22"/>
          <w:szCs w:val="22"/>
        </w:rPr>
        <w:t xml:space="preserve"> artículo </w:t>
      </w:r>
      <w:r w:rsidR="00E33D55" w:rsidRPr="00B14DFD">
        <w:rPr>
          <w:rFonts w:ascii="Palatino Linotype" w:eastAsia="Palatino Linotype" w:hAnsi="Palatino Linotype" w:cs="Palatino Linotype"/>
          <w:sz w:val="22"/>
          <w:szCs w:val="22"/>
        </w:rPr>
        <w:t>9</w:t>
      </w:r>
      <w:r w:rsidR="00767DE2" w:rsidRPr="00B14DFD">
        <w:rPr>
          <w:rFonts w:ascii="Palatino Linotype" w:eastAsia="Palatino Linotype" w:hAnsi="Palatino Linotype" w:cs="Palatino Linotype"/>
          <w:sz w:val="22"/>
          <w:szCs w:val="22"/>
        </w:rPr>
        <w:t>9</w:t>
      </w:r>
      <w:r w:rsidR="009B2050" w:rsidRPr="00B14DFD">
        <w:rPr>
          <w:rFonts w:ascii="Palatino Linotype" w:eastAsia="Palatino Linotype" w:hAnsi="Palatino Linotype" w:cs="Palatino Linotype"/>
          <w:sz w:val="22"/>
          <w:szCs w:val="22"/>
        </w:rPr>
        <w:t xml:space="preserve"> del</w:t>
      </w:r>
      <w:r w:rsidR="00E33D55" w:rsidRPr="00B14DFD">
        <w:rPr>
          <w:rFonts w:ascii="Palatino Linotype" w:eastAsia="Palatino Linotype" w:hAnsi="Palatino Linotype" w:cs="Palatino Linotype"/>
          <w:sz w:val="22"/>
          <w:szCs w:val="22"/>
        </w:rPr>
        <w:t xml:space="preserve"> Bando Municipal </w:t>
      </w:r>
      <w:r w:rsidRPr="00B14DFD">
        <w:rPr>
          <w:rFonts w:ascii="Palatino Linotype" w:eastAsia="Palatino Linotype" w:hAnsi="Palatino Linotype" w:cs="Palatino Linotype"/>
          <w:sz w:val="22"/>
          <w:szCs w:val="22"/>
        </w:rPr>
        <w:t xml:space="preserve">Vigente tiene dentro </w:t>
      </w:r>
      <w:r w:rsidR="009B2050" w:rsidRPr="00B14DFD">
        <w:rPr>
          <w:rFonts w:ascii="Palatino Linotype" w:eastAsia="Palatino Linotype" w:hAnsi="Palatino Linotype" w:cs="Palatino Linotype"/>
          <w:sz w:val="22"/>
          <w:szCs w:val="22"/>
        </w:rPr>
        <w:t xml:space="preserve">de sus atribuciones, la siguiente: </w:t>
      </w:r>
    </w:p>
    <w:p w14:paraId="7374E865" w14:textId="77777777" w:rsidR="009B2050" w:rsidRPr="00B14DFD" w:rsidRDefault="009B2050" w:rsidP="00DC5C74">
      <w:pPr>
        <w:spacing w:line="276" w:lineRule="auto"/>
        <w:ind w:left="851" w:right="616"/>
        <w:jc w:val="both"/>
        <w:rPr>
          <w:rFonts w:ascii="Palatino Linotype" w:eastAsia="Palatino Linotype" w:hAnsi="Palatino Linotype" w:cs="Palatino Linotype"/>
          <w:b/>
          <w:i/>
          <w:sz w:val="22"/>
          <w:szCs w:val="22"/>
        </w:rPr>
      </w:pPr>
    </w:p>
    <w:p w14:paraId="67045F5A" w14:textId="162BFD81" w:rsidR="009B2050" w:rsidRPr="00B14DFD" w:rsidRDefault="009B2050" w:rsidP="004B66D6">
      <w:pPr>
        <w:spacing w:line="276" w:lineRule="auto"/>
        <w:ind w:left="851" w:right="843"/>
        <w:jc w:val="both"/>
        <w:rPr>
          <w:rFonts w:ascii="Palatino Linotype" w:eastAsia="Palatino Linotype" w:hAnsi="Palatino Linotype" w:cs="Palatino Linotype"/>
          <w:bCs/>
          <w:sz w:val="22"/>
          <w:szCs w:val="22"/>
        </w:rPr>
      </w:pPr>
      <w:r w:rsidRPr="00B14DFD">
        <w:rPr>
          <w:rFonts w:ascii="Palatino Linotype" w:eastAsia="Palatino Linotype" w:hAnsi="Palatino Linotype" w:cs="Palatino Linotype"/>
          <w:bCs/>
          <w:i/>
          <w:sz w:val="22"/>
          <w:szCs w:val="22"/>
        </w:rPr>
        <w:t>“</w:t>
      </w:r>
      <w:r w:rsidR="00767DE2" w:rsidRPr="00B14DFD">
        <w:rPr>
          <w:rFonts w:ascii="Palatino Linotype" w:eastAsia="Palatino Linotype" w:hAnsi="Palatino Linotype" w:cs="Palatino Linotype"/>
          <w:b/>
          <w:i/>
          <w:sz w:val="22"/>
          <w:szCs w:val="22"/>
        </w:rPr>
        <w:t>Artículo 99.</w:t>
      </w:r>
      <w:r w:rsidR="00767DE2" w:rsidRPr="00B14DFD">
        <w:rPr>
          <w:rFonts w:ascii="Palatino Linotype" w:eastAsia="Palatino Linotype" w:hAnsi="Palatino Linotype" w:cs="Palatino Linotype"/>
          <w:bCs/>
          <w:i/>
          <w:sz w:val="22"/>
          <w:szCs w:val="22"/>
        </w:rPr>
        <w:t xml:space="preserve"> El Ayuntamiento a través de la </w:t>
      </w:r>
      <w:r w:rsidR="00767DE2" w:rsidRPr="00B14DFD">
        <w:rPr>
          <w:rFonts w:ascii="Palatino Linotype" w:eastAsia="Palatino Linotype" w:hAnsi="Palatino Linotype" w:cs="Palatino Linotype"/>
          <w:b/>
          <w:i/>
          <w:sz w:val="22"/>
          <w:szCs w:val="22"/>
        </w:rPr>
        <w:t>Dirección de Desarrollo Territorial y Urbano,</w:t>
      </w:r>
      <w:r w:rsidR="00767DE2" w:rsidRPr="00B14DFD">
        <w:rPr>
          <w:rFonts w:ascii="Palatino Linotype" w:eastAsia="Palatino Linotype" w:hAnsi="Palatino Linotype" w:cs="Palatino Linotype"/>
          <w:bCs/>
          <w:i/>
          <w:sz w:val="22"/>
          <w:szCs w:val="22"/>
        </w:rPr>
        <w:t xml:space="preserve"> </w:t>
      </w:r>
      <w:r w:rsidR="00E33D55" w:rsidRPr="00B14DFD">
        <w:rPr>
          <w:rFonts w:ascii="Palatino Linotype" w:eastAsia="Palatino Linotype" w:hAnsi="Palatino Linotype" w:cs="Palatino Linotype"/>
          <w:b/>
          <w:i/>
          <w:sz w:val="22"/>
          <w:szCs w:val="22"/>
        </w:rPr>
        <w:t>controlará el desarrollo urbano y territorial municipal a través de la supervisión de los asentamientos humanos, incluyendo la funcionalidad de los que sean sujetos al régimen condominal, realizará el control, vigilancia y autorizaciones de cambios de uso de suelo, de densidad e intensidad y altura de las edificaciones</w:t>
      </w:r>
      <w:r w:rsidR="00767DE2" w:rsidRPr="00B14DFD">
        <w:rPr>
          <w:rFonts w:ascii="Palatino Linotype" w:eastAsia="Palatino Linotype" w:hAnsi="Palatino Linotype" w:cs="Palatino Linotype"/>
          <w:bCs/>
          <w:i/>
          <w:sz w:val="22"/>
          <w:szCs w:val="22"/>
        </w:rPr>
        <w:t>, además de supervisar conjuntamente con las autoridades correspondientes, la ejecución de la infraestructura primaria y equipamiento de los fraccionamientos, conjuntos urbanos, subdivisiones, y lotificaciones en condominio, autorizados por el Gobierno del Estado de México,</w:t>
      </w:r>
      <w:r w:rsidR="00E33D55" w:rsidRPr="00B14DFD">
        <w:rPr>
          <w:rFonts w:ascii="Palatino Linotype" w:eastAsia="Palatino Linotype" w:hAnsi="Palatino Linotype" w:cs="Palatino Linotype"/>
          <w:bCs/>
          <w:i/>
          <w:sz w:val="22"/>
          <w:szCs w:val="22"/>
        </w:rPr>
        <w:t>…’’</w:t>
      </w:r>
    </w:p>
    <w:p w14:paraId="2DCAF8DB" w14:textId="77777777" w:rsidR="009B2050" w:rsidRPr="00B14DFD" w:rsidRDefault="009B2050" w:rsidP="004B66D6">
      <w:pPr>
        <w:spacing w:line="276" w:lineRule="auto"/>
        <w:ind w:left="851" w:right="843"/>
        <w:jc w:val="both"/>
        <w:rPr>
          <w:rFonts w:ascii="Palatino Linotype" w:eastAsia="Palatino Linotype" w:hAnsi="Palatino Linotype" w:cs="Palatino Linotype"/>
          <w:sz w:val="22"/>
          <w:szCs w:val="22"/>
        </w:rPr>
      </w:pPr>
    </w:p>
    <w:p w14:paraId="5BD50D10" w14:textId="6390FCF6" w:rsidR="00767DE2" w:rsidRPr="00B14DFD" w:rsidRDefault="00767DE2"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Del mismo modo, el Reglamento Orgánico Municipal de Zinacantepec establece en su artículo 60 que la Dirección de Desarrollo Territorial y Urbano </w:t>
      </w:r>
      <w:r w:rsidR="002F229E" w:rsidRPr="00B14DFD">
        <w:rPr>
          <w:rFonts w:ascii="Palatino Linotype" w:eastAsia="Palatino Linotype" w:hAnsi="Palatino Linotype" w:cs="Palatino Linotype"/>
          <w:sz w:val="22"/>
          <w:szCs w:val="22"/>
        </w:rPr>
        <w:t>contara con las siguientes funciones y atribuciones:</w:t>
      </w:r>
    </w:p>
    <w:p w14:paraId="18699758" w14:textId="77777777" w:rsidR="002F229E" w:rsidRPr="00B14DFD" w:rsidRDefault="002F229E" w:rsidP="00DC5C74">
      <w:pPr>
        <w:spacing w:line="360" w:lineRule="auto"/>
        <w:jc w:val="both"/>
        <w:rPr>
          <w:rFonts w:ascii="Palatino Linotype" w:eastAsia="Palatino Linotype" w:hAnsi="Palatino Linotype" w:cs="Palatino Linotype"/>
          <w:sz w:val="22"/>
          <w:szCs w:val="22"/>
        </w:rPr>
      </w:pPr>
    </w:p>
    <w:p w14:paraId="12AE37B2" w14:textId="4F244AEA"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w:t>
      </w:r>
      <w:r w:rsidRPr="00B14DFD">
        <w:rPr>
          <w:rFonts w:ascii="Palatino Linotype" w:eastAsia="Palatino Linotype" w:hAnsi="Palatino Linotype" w:cs="Palatino Linotype"/>
          <w:b/>
          <w:bCs/>
          <w:i/>
          <w:iCs/>
          <w:sz w:val="22"/>
          <w:szCs w:val="22"/>
        </w:rPr>
        <w:t>Artículo 60.</w:t>
      </w:r>
      <w:r w:rsidRPr="00B14DFD">
        <w:rPr>
          <w:rFonts w:ascii="Palatino Linotype" w:eastAsia="Palatino Linotype" w:hAnsi="Palatino Linotype" w:cs="Palatino Linotype"/>
          <w:i/>
          <w:iCs/>
          <w:sz w:val="22"/>
          <w:szCs w:val="22"/>
        </w:rPr>
        <w:t xml:space="preserve"> Además de las previstas en las disposiciones normativas y administrativas en la materia, la Dirección de Desarrollo Territorial y Urbano tiene las siguientes funciones y atribuciones:</w:t>
      </w:r>
    </w:p>
    <w:p w14:paraId="69920CCD" w14:textId="482B0C27"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I. Elaborar, operar y evaluar los planes de desarrollo urbano municipales y parciales, así como las correspondientes zonificaciones del uso de suelo;  </w:t>
      </w:r>
    </w:p>
    <w:p w14:paraId="212AEAAB" w14:textId="5EE0BC33"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II. Participar de forma coordinada con el Gobierno Federal y Estatal, en la elaboración, aprobación y ejecución de los planes regionales para la urbanización;  </w:t>
      </w:r>
    </w:p>
    <w:p w14:paraId="76E3AE0E" w14:textId="417A3197" w:rsidR="002F229E" w:rsidRPr="00B14DFD" w:rsidRDefault="002F229E" w:rsidP="00DC5C74">
      <w:pPr>
        <w:spacing w:line="276" w:lineRule="auto"/>
        <w:ind w:left="851" w:right="843"/>
        <w:jc w:val="both"/>
        <w:rPr>
          <w:rFonts w:ascii="Palatino Linotype" w:eastAsia="Palatino Linotype" w:hAnsi="Palatino Linotype" w:cs="Palatino Linotype"/>
          <w:b/>
          <w:bCs/>
          <w:i/>
          <w:iCs/>
          <w:sz w:val="22"/>
          <w:szCs w:val="22"/>
        </w:rPr>
      </w:pPr>
      <w:r w:rsidRPr="00B14DFD">
        <w:rPr>
          <w:rFonts w:ascii="Palatino Linotype" w:eastAsia="Palatino Linotype" w:hAnsi="Palatino Linotype" w:cs="Palatino Linotype"/>
          <w:b/>
          <w:bCs/>
          <w:i/>
          <w:iCs/>
          <w:sz w:val="22"/>
          <w:szCs w:val="22"/>
        </w:rPr>
        <w:t xml:space="preserve">III. </w:t>
      </w:r>
      <w:r w:rsidRPr="00B14DFD">
        <w:rPr>
          <w:rFonts w:ascii="Palatino Linotype" w:eastAsia="Palatino Linotype" w:hAnsi="Palatino Linotype" w:cs="Palatino Linotype"/>
          <w:b/>
          <w:bCs/>
          <w:i/>
          <w:iCs/>
          <w:sz w:val="22"/>
          <w:szCs w:val="22"/>
          <w:u w:val="single"/>
        </w:rPr>
        <w:t>Expedir licencias de construcción</w:t>
      </w:r>
      <w:r w:rsidRPr="00B14DFD">
        <w:rPr>
          <w:rFonts w:ascii="Palatino Linotype" w:eastAsia="Palatino Linotype" w:hAnsi="Palatino Linotype" w:cs="Palatino Linotype"/>
          <w:b/>
          <w:bCs/>
          <w:i/>
          <w:iCs/>
          <w:sz w:val="22"/>
          <w:szCs w:val="22"/>
        </w:rPr>
        <w:t xml:space="preserve"> de obras nuevas, constancia de regularización de obras, constancias de alineamiento, nomenclatura y números oficiales, así como la ocupación temporal de la vía pública con materiales de construcción, además de demoliciones y excavaciones, previo pago de derechos en la Tesorería Municipal; </w:t>
      </w:r>
    </w:p>
    <w:p w14:paraId="7021B497" w14:textId="2A33D182"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IV. Dar ingreso a las solicitudes para el cambio de uso de suelo, densidad, intensidad y altura de edificaciones que la ciudadanía requiera;  </w:t>
      </w:r>
    </w:p>
    <w:p w14:paraId="760DA720" w14:textId="1F23F0C4"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V. </w:t>
      </w:r>
      <w:r w:rsidRPr="00B14DFD">
        <w:rPr>
          <w:rFonts w:ascii="Palatino Linotype" w:eastAsia="Palatino Linotype" w:hAnsi="Palatino Linotype" w:cs="Palatino Linotype"/>
          <w:b/>
          <w:bCs/>
          <w:i/>
          <w:iCs/>
          <w:sz w:val="22"/>
          <w:szCs w:val="22"/>
          <w:u w:val="single"/>
        </w:rPr>
        <w:t>Informar a los ciudadanos, de los trámites que su Dirección realiza, en materia de expedición de licencias y permisos de construcción en sus diferentes modalidades</w:t>
      </w:r>
      <w:r w:rsidRPr="00B14DFD">
        <w:rPr>
          <w:rFonts w:ascii="Palatino Linotype" w:eastAsia="Palatino Linotype" w:hAnsi="Palatino Linotype" w:cs="Palatino Linotype"/>
          <w:i/>
          <w:iCs/>
          <w:sz w:val="22"/>
          <w:szCs w:val="22"/>
        </w:rPr>
        <w:t xml:space="preserve">; </w:t>
      </w:r>
    </w:p>
    <w:p w14:paraId="04D1758F" w14:textId="55FD1B10"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VI. Proponer la Constitución de Reservas Territoriales del Municipio;  </w:t>
      </w:r>
    </w:p>
    <w:p w14:paraId="1851AE3A" w14:textId="6FA43762"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VII. Impulsar la participación de la ciudadanía en los foros de consulta popular para la integración del Plan Municipal de Desarrollo Urbano, así como la ejecución, evaluación y modificación del mismo;  </w:t>
      </w:r>
    </w:p>
    <w:p w14:paraId="4AB352CC" w14:textId="21E2613F" w:rsidR="00767DE2"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VIII. En coordinación con la Comisión Edilicia de Nomenclatura, proponer al cabildo el registro de la nomenclatura y números oficiales;  </w:t>
      </w:r>
    </w:p>
    <w:p w14:paraId="758E01EA" w14:textId="2E96149B"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IX. Analizar aspectos sociales, demográficos, ambientales y económicos en el crecimiento urbano municipal;  </w:t>
      </w:r>
    </w:p>
    <w:p w14:paraId="3AED63F7" w14:textId="26146C34"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X. Identificar, declarar y conservar, en términos de las disposiciones legales respectivas, las zonas sitios y edificaciones que constituyan un testimonio valioso de la historia y de la cultura del Municipio en coordinación con el Instituto Nacional de Antropología e Historia; …”</w:t>
      </w:r>
    </w:p>
    <w:p w14:paraId="2F43885D" w14:textId="0B80A14B" w:rsidR="002F229E" w:rsidRPr="00B14DFD" w:rsidRDefault="002F229E" w:rsidP="00DC5C74">
      <w:pP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(Énfasis Añadido)</w:t>
      </w:r>
    </w:p>
    <w:p w14:paraId="5E859147" w14:textId="77777777" w:rsidR="00F2195A" w:rsidRPr="00B14DFD" w:rsidRDefault="00F2195A" w:rsidP="00DC5C74">
      <w:pPr>
        <w:spacing w:line="360" w:lineRule="auto"/>
        <w:jc w:val="both"/>
        <w:rPr>
          <w:rFonts w:ascii="Palatino Linotype" w:eastAsia="Palatino Linotype" w:hAnsi="Palatino Linotype" w:cs="Palatino Linotype"/>
          <w:sz w:val="22"/>
          <w:szCs w:val="22"/>
        </w:rPr>
      </w:pPr>
    </w:p>
    <w:p w14:paraId="4F9C7808" w14:textId="38EC5BAB" w:rsidR="009B2050" w:rsidRPr="00B14DFD" w:rsidRDefault="009B2050" w:rsidP="00DC5C74">
      <w:pPr>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sz w:val="22"/>
          <w:szCs w:val="22"/>
        </w:rPr>
        <w:t xml:space="preserve">En virtud de lo anterior, se tiene </w:t>
      </w:r>
      <w:r w:rsidR="005A1FBC" w:rsidRPr="00B14DFD">
        <w:rPr>
          <w:rFonts w:ascii="Palatino Linotype" w:eastAsia="Palatino Linotype" w:hAnsi="Palatino Linotype" w:cs="Palatino Linotype"/>
          <w:sz w:val="22"/>
          <w:szCs w:val="22"/>
        </w:rPr>
        <w:t>que,</w:t>
      </w:r>
      <w:r w:rsidRPr="00B14DFD">
        <w:rPr>
          <w:rFonts w:ascii="Palatino Linotype" w:eastAsia="Palatino Linotype" w:hAnsi="Palatino Linotype" w:cs="Palatino Linotype"/>
          <w:sz w:val="22"/>
          <w:szCs w:val="22"/>
        </w:rPr>
        <w:t xml:space="preserve"> en el caso concreto, el </w:t>
      </w:r>
      <w:r w:rsidR="00564E17" w:rsidRPr="00B14DFD">
        <w:rPr>
          <w:rFonts w:ascii="Palatino Linotype" w:eastAsia="Palatino Linotype" w:hAnsi="Palatino Linotype" w:cs="Palatino Linotype"/>
          <w:b/>
          <w:sz w:val="22"/>
          <w:szCs w:val="22"/>
        </w:rPr>
        <w:t xml:space="preserve">Titular de la Unidad de Transparencia </w:t>
      </w:r>
      <w:r w:rsidR="00564E17" w:rsidRPr="00B14DFD">
        <w:rPr>
          <w:rFonts w:ascii="Palatino Linotype" w:eastAsia="Palatino Linotype" w:hAnsi="Palatino Linotype" w:cs="Palatino Linotype"/>
          <w:bCs/>
          <w:sz w:val="22"/>
          <w:szCs w:val="22"/>
        </w:rPr>
        <w:t>siguió</w:t>
      </w:r>
      <w:r w:rsidR="00564E17"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sz w:val="22"/>
          <w:szCs w:val="22"/>
        </w:rPr>
        <w:t>el procedimiento para la atención a las solicitudes de acceso a la información, establecido en los artículos 151, 159, 160, 162, 163, 164, 165 y 166, de la Ley de Transparencia y Acceso a la Información Pública del Estado de México y Municipios, el cual es el siguiente:</w:t>
      </w:r>
    </w:p>
    <w:p w14:paraId="40B5AEC9" w14:textId="77777777" w:rsidR="009B2050" w:rsidRPr="00B14DFD" w:rsidRDefault="009B2050" w:rsidP="00DC5C74">
      <w:pPr>
        <w:pBdr>
          <w:top w:val="nil"/>
          <w:left w:val="nil"/>
          <w:bottom w:val="nil"/>
          <w:right w:val="nil"/>
          <w:between w:val="nil"/>
        </w:pBdr>
        <w:spacing w:line="360" w:lineRule="auto"/>
        <w:jc w:val="both"/>
        <w:rPr>
          <w:rFonts w:ascii="Palatino Linotype" w:hAnsi="Palatino Linotype"/>
          <w:sz w:val="22"/>
          <w:szCs w:val="22"/>
        </w:rPr>
      </w:pPr>
    </w:p>
    <w:p w14:paraId="14FF33BB" w14:textId="77777777" w:rsidR="009B2050" w:rsidRPr="00B14DFD" w:rsidRDefault="009B2050" w:rsidP="00DC5C74">
      <w:pPr>
        <w:numPr>
          <w:ilvl w:val="0"/>
          <w:numId w:val="39"/>
        </w:numPr>
        <w:pBdr>
          <w:top w:val="nil"/>
          <w:left w:val="nil"/>
          <w:bottom w:val="nil"/>
          <w:right w:val="nil"/>
          <w:between w:val="nil"/>
        </w:pBdr>
        <w:spacing w:line="360" w:lineRule="auto"/>
        <w:ind w:left="426"/>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14:paraId="1D705731" w14:textId="77777777" w:rsidR="009B2050" w:rsidRPr="00B14DFD" w:rsidRDefault="009B2050" w:rsidP="00DC5C74">
      <w:pPr>
        <w:pBdr>
          <w:top w:val="nil"/>
          <w:left w:val="nil"/>
          <w:bottom w:val="nil"/>
          <w:right w:val="nil"/>
          <w:between w:val="nil"/>
        </w:pBdr>
        <w:spacing w:line="360" w:lineRule="auto"/>
        <w:ind w:left="426"/>
        <w:jc w:val="both"/>
        <w:rPr>
          <w:rFonts w:ascii="Palatino Linotype" w:eastAsia="Palatino Linotype" w:hAnsi="Palatino Linotype" w:cs="Palatino Linotype"/>
          <w:sz w:val="22"/>
          <w:szCs w:val="22"/>
        </w:rPr>
      </w:pPr>
    </w:p>
    <w:p w14:paraId="79CDA680" w14:textId="77777777" w:rsidR="009B2050" w:rsidRPr="00B14DFD" w:rsidRDefault="009B2050" w:rsidP="00DC5C74">
      <w:pPr>
        <w:numPr>
          <w:ilvl w:val="0"/>
          <w:numId w:val="39"/>
        </w:numPr>
        <w:pBdr>
          <w:top w:val="nil"/>
          <w:left w:val="nil"/>
          <w:bottom w:val="nil"/>
          <w:right w:val="nil"/>
          <w:between w:val="nil"/>
        </w:pBdr>
        <w:spacing w:line="360" w:lineRule="auto"/>
        <w:ind w:left="426"/>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14:paraId="61796313" w14:textId="77777777" w:rsidR="009B2050" w:rsidRPr="00B14DFD" w:rsidRDefault="009B2050" w:rsidP="00DC5C74">
      <w:pPr>
        <w:pBdr>
          <w:top w:val="nil"/>
          <w:left w:val="nil"/>
          <w:bottom w:val="nil"/>
          <w:right w:val="nil"/>
          <w:between w:val="nil"/>
        </w:pBdr>
        <w:ind w:left="426"/>
        <w:rPr>
          <w:rFonts w:ascii="Palatino Linotype" w:eastAsia="Palatino Linotype" w:hAnsi="Palatino Linotype" w:cs="Palatino Linotype"/>
          <w:sz w:val="22"/>
          <w:szCs w:val="22"/>
        </w:rPr>
      </w:pPr>
    </w:p>
    <w:p w14:paraId="08DAC35F" w14:textId="77777777" w:rsidR="009B2050" w:rsidRPr="00B14DFD" w:rsidRDefault="009B2050" w:rsidP="00DC5C74">
      <w:pPr>
        <w:numPr>
          <w:ilvl w:val="0"/>
          <w:numId w:val="39"/>
        </w:numPr>
        <w:pBdr>
          <w:top w:val="nil"/>
          <w:left w:val="nil"/>
          <w:bottom w:val="nil"/>
          <w:right w:val="nil"/>
          <w:between w:val="nil"/>
        </w:pBdr>
        <w:spacing w:line="360" w:lineRule="auto"/>
        <w:ind w:left="426"/>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Las respuestas a los requerimientos informativos deberán notificarse al interesado en el menor tiempo posible, que no podrá exceder </w:t>
      </w:r>
      <w:r w:rsidRPr="00B14DFD">
        <w:rPr>
          <w:rFonts w:ascii="Palatino Linotype" w:eastAsia="Palatino Linotype" w:hAnsi="Palatino Linotype" w:cs="Palatino Linotype"/>
          <w:b/>
          <w:sz w:val="22"/>
          <w:szCs w:val="22"/>
        </w:rPr>
        <w:t>quince días, contados a partir del día siguiente a la presentación de ésta.</w:t>
      </w:r>
      <w:r w:rsidRPr="00B14DFD">
        <w:rPr>
          <w:rFonts w:ascii="Palatino Linotype" w:eastAsia="Palatino Linotype" w:hAnsi="Palatino Linotype" w:cs="Palatino Linotype"/>
          <w:sz w:val="22"/>
          <w:szCs w:val="22"/>
        </w:rPr>
        <w:t xml:space="preserve"> Excepcionalmente, el plazo referido podrá ampliarse por siete días hábiles más, cuando existan razones fundadas y motivadas, a través del Comité de Transparencia;</w:t>
      </w:r>
    </w:p>
    <w:p w14:paraId="4B85C377" w14:textId="77777777" w:rsidR="009B2050" w:rsidRPr="00B14DFD" w:rsidRDefault="009B2050" w:rsidP="00DC5C74">
      <w:pPr>
        <w:pBdr>
          <w:top w:val="nil"/>
          <w:left w:val="nil"/>
          <w:bottom w:val="nil"/>
          <w:right w:val="nil"/>
          <w:between w:val="nil"/>
        </w:pBdr>
        <w:ind w:left="426"/>
        <w:rPr>
          <w:rFonts w:ascii="Palatino Linotype" w:eastAsia="Palatino Linotype" w:hAnsi="Palatino Linotype" w:cs="Palatino Linotype"/>
          <w:sz w:val="22"/>
          <w:szCs w:val="22"/>
        </w:rPr>
      </w:pPr>
    </w:p>
    <w:p w14:paraId="65A88FA9" w14:textId="77777777" w:rsidR="009B2050" w:rsidRPr="00B14DFD" w:rsidRDefault="009B2050" w:rsidP="00DC5C74">
      <w:pPr>
        <w:numPr>
          <w:ilvl w:val="0"/>
          <w:numId w:val="39"/>
        </w:numPr>
        <w:pBdr>
          <w:top w:val="nil"/>
          <w:left w:val="nil"/>
          <w:bottom w:val="nil"/>
          <w:right w:val="nil"/>
          <w:between w:val="nil"/>
        </w:pBdr>
        <w:spacing w:line="360" w:lineRule="auto"/>
        <w:ind w:left="426"/>
        <w:jc w:val="both"/>
        <w:rPr>
          <w:rFonts w:ascii="Palatino Linotype" w:eastAsia="Palatino Linotype" w:hAnsi="Palatino Linotype" w:cs="Palatino Linotype"/>
          <w:b/>
          <w:sz w:val="22"/>
          <w:szCs w:val="22"/>
          <w:u w:val="single"/>
        </w:rPr>
      </w:pPr>
      <w:r w:rsidRPr="00B14DFD">
        <w:rPr>
          <w:rFonts w:ascii="Palatino Linotype" w:eastAsia="Palatino Linotype" w:hAnsi="Palatino Linotype" w:cs="Palatino Linotype"/>
          <w:b/>
          <w:sz w:val="22"/>
          <w:szCs w:val="22"/>
          <w:u w:val="single"/>
        </w:rPr>
        <w:t>Las Unidades de Transparencia garantizarán que las solicitudes se turnen a todas las áreas competentes que cuenten con la información o deban tenerla de acuerdo con sus facultades, funciones y atribuciones, para que realicen una búsqueda exhaustiva y razonable de la documentación solicitada, con el fin de que proporcionen las expresiones documentales que se encuentren en sus archivos o que estén constreñidos a elaborar;</w:t>
      </w:r>
    </w:p>
    <w:p w14:paraId="0E9C21A9" w14:textId="77777777" w:rsidR="009B2050" w:rsidRPr="00B14DFD" w:rsidRDefault="009B2050" w:rsidP="00DC5C74">
      <w:pPr>
        <w:pBdr>
          <w:top w:val="nil"/>
          <w:left w:val="nil"/>
          <w:bottom w:val="nil"/>
          <w:right w:val="nil"/>
          <w:between w:val="nil"/>
        </w:pBdr>
        <w:ind w:left="426"/>
        <w:rPr>
          <w:rFonts w:ascii="Palatino Linotype" w:eastAsia="Palatino Linotype" w:hAnsi="Palatino Linotype" w:cs="Palatino Linotype"/>
          <w:b/>
          <w:sz w:val="22"/>
          <w:szCs w:val="22"/>
          <w:u w:val="single"/>
        </w:rPr>
      </w:pPr>
    </w:p>
    <w:p w14:paraId="16C40D04" w14:textId="77777777" w:rsidR="009B2050" w:rsidRPr="00B14DFD" w:rsidRDefault="009B2050" w:rsidP="00DC5C74">
      <w:pPr>
        <w:numPr>
          <w:ilvl w:val="0"/>
          <w:numId w:val="39"/>
        </w:numPr>
        <w:pBdr>
          <w:top w:val="nil"/>
          <w:left w:val="nil"/>
          <w:bottom w:val="nil"/>
          <w:right w:val="nil"/>
          <w:between w:val="nil"/>
        </w:pBdr>
        <w:spacing w:line="360" w:lineRule="auto"/>
        <w:ind w:left="426"/>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sz w:val="22"/>
          <w:szCs w:val="22"/>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14:paraId="7A3403E7" w14:textId="77777777" w:rsidR="009B2050" w:rsidRPr="00B14DFD" w:rsidRDefault="009B2050" w:rsidP="00DC5C74">
      <w:pPr>
        <w:pBdr>
          <w:top w:val="nil"/>
          <w:left w:val="nil"/>
          <w:bottom w:val="nil"/>
          <w:right w:val="nil"/>
          <w:between w:val="nil"/>
        </w:pBdr>
        <w:spacing w:line="360" w:lineRule="auto"/>
        <w:ind w:left="426"/>
        <w:jc w:val="both"/>
        <w:rPr>
          <w:rFonts w:ascii="Palatino Linotype" w:eastAsia="Palatino Linotype" w:hAnsi="Palatino Linotype" w:cs="Palatino Linotype"/>
          <w:b/>
          <w:sz w:val="22"/>
          <w:szCs w:val="22"/>
        </w:rPr>
      </w:pPr>
    </w:p>
    <w:p w14:paraId="3886B0A0" w14:textId="77777777" w:rsidR="009B2050" w:rsidRPr="00B14DFD" w:rsidRDefault="009B2050" w:rsidP="00DC5C74">
      <w:pPr>
        <w:numPr>
          <w:ilvl w:val="0"/>
          <w:numId w:val="39"/>
        </w:numPr>
        <w:pBdr>
          <w:top w:val="nil"/>
          <w:left w:val="nil"/>
          <w:bottom w:val="nil"/>
          <w:right w:val="nil"/>
          <w:between w:val="nil"/>
        </w:pBdr>
        <w:spacing w:line="360" w:lineRule="auto"/>
        <w:ind w:left="426"/>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sz w:val="22"/>
          <w:szCs w:val="22"/>
        </w:rPr>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transcurrida dicha temporalidad, los Sujetos Obligados darán por concluida la solicitud y procederán de ser el caso, a la destrucción del material.</w:t>
      </w:r>
    </w:p>
    <w:p w14:paraId="2232BFC5" w14:textId="77777777" w:rsidR="009B2050" w:rsidRPr="00B14DFD" w:rsidRDefault="009B2050" w:rsidP="00DC5C74">
      <w:pPr>
        <w:spacing w:line="360" w:lineRule="auto"/>
        <w:rPr>
          <w:rFonts w:ascii="Palatino Linotype" w:hAnsi="Palatino Linotype"/>
          <w:sz w:val="22"/>
          <w:szCs w:val="22"/>
        </w:rPr>
      </w:pPr>
    </w:p>
    <w:p w14:paraId="0FF3B3A6" w14:textId="77777777" w:rsidR="009B2050" w:rsidRPr="00B14DFD" w:rsidRDefault="009B2050" w:rsidP="00DC5C74">
      <w:pPr>
        <w:pBdr>
          <w:top w:val="nil"/>
          <w:left w:val="nil"/>
          <w:bottom w:val="nil"/>
          <w:right w:val="nil"/>
          <w:between w:val="nil"/>
        </w:pBdr>
        <w:spacing w:line="360" w:lineRule="auto"/>
        <w:ind w:right="49"/>
        <w:jc w:val="both"/>
        <w:rPr>
          <w:rFonts w:ascii="Palatino Linotype" w:hAnsi="Palatino Linotype"/>
          <w:sz w:val="22"/>
          <w:szCs w:val="22"/>
        </w:rPr>
      </w:pPr>
      <w:r w:rsidRPr="00B14DFD">
        <w:rPr>
          <w:rFonts w:ascii="Palatino Linotype" w:eastAsia="Palatino Linotype" w:hAnsi="Palatino Linotype" w:cs="Palatino Linotype"/>
          <w:sz w:val="22"/>
          <w:szCs w:val="22"/>
        </w:rPr>
        <w:t xml:space="preserve">En virtud de lo anterior, se tiene que, </w:t>
      </w:r>
      <w:r w:rsidRPr="00B14DFD">
        <w:rPr>
          <w:rFonts w:ascii="Palatino Linotype" w:eastAsia="Palatino Linotype" w:hAnsi="Palatino Linotype" w:cs="Palatino Linotype"/>
          <w:b/>
          <w:sz w:val="22"/>
          <w:szCs w:val="22"/>
          <w:u w:val="single"/>
        </w:rPr>
        <w:t>el procedimiento de búsqueda de la información se tiene por atendido. </w:t>
      </w:r>
    </w:p>
    <w:p w14:paraId="133F9AEF" w14:textId="77777777" w:rsidR="009B2050" w:rsidRPr="00B14DFD" w:rsidRDefault="009B2050" w:rsidP="00DC5C74">
      <w:pPr>
        <w:spacing w:line="360" w:lineRule="auto"/>
        <w:ind w:right="-7"/>
        <w:jc w:val="both"/>
        <w:rPr>
          <w:rFonts w:ascii="Palatino Linotype" w:eastAsia="Palatino Linotype" w:hAnsi="Palatino Linotype" w:cs="Palatino Linotype"/>
          <w:sz w:val="22"/>
          <w:szCs w:val="22"/>
        </w:rPr>
      </w:pPr>
    </w:p>
    <w:p w14:paraId="0A277C13" w14:textId="0278BAC8" w:rsidR="009B2050" w:rsidRPr="00B14DFD" w:rsidRDefault="009B2050"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Ahora bien</w:t>
      </w:r>
      <w:r w:rsidR="00564E17" w:rsidRPr="00B14DFD">
        <w:rPr>
          <w:rFonts w:ascii="Palatino Linotype" w:eastAsia="Palatino Linotype" w:hAnsi="Palatino Linotype" w:cs="Palatino Linotype"/>
          <w:sz w:val="22"/>
          <w:szCs w:val="22"/>
        </w:rPr>
        <w:t xml:space="preserve">, se tiene que el </w:t>
      </w:r>
      <w:r w:rsidR="00564E17" w:rsidRPr="00B14DFD">
        <w:rPr>
          <w:rFonts w:ascii="Palatino Linotype" w:eastAsia="Palatino Linotype" w:hAnsi="Palatino Linotype" w:cs="Palatino Linotype"/>
          <w:b/>
          <w:bCs/>
          <w:sz w:val="22"/>
          <w:szCs w:val="22"/>
        </w:rPr>
        <w:t>Sujeto Obligado</w:t>
      </w:r>
      <w:r w:rsidR="00564E17" w:rsidRPr="00B14DFD">
        <w:rPr>
          <w:rFonts w:ascii="Palatino Linotype" w:eastAsia="Palatino Linotype" w:hAnsi="Palatino Linotype" w:cs="Palatino Linotype"/>
          <w:sz w:val="22"/>
          <w:szCs w:val="22"/>
        </w:rPr>
        <w:t xml:space="preserve"> asumió generar, administrar y poseer la información; sin embargo, a efecto de robustecer la esfera competencial e</w:t>
      </w:r>
      <w:r w:rsidRPr="00B14DFD">
        <w:rPr>
          <w:rFonts w:ascii="Palatino Linotype" w:eastAsia="Palatino Linotype" w:hAnsi="Palatino Linotype" w:cs="Palatino Linotype"/>
          <w:sz w:val="22"/>
          <w:szCs w:val="22"/>
        </w:rPr>
        <w:t xml:space="preserve">s necesario </w:t>
      </w:r>
      <w:r w:rsidR="00564E17" w:rsidRPr="00B14DFD">
        <w:rPr>
          <w:rFonts w:ascii="Palatino Linotype" w:eastAsia="Palatino Linotype" w:hAnsi="Palatino Linotype" w:cs="Palatino Linotype"/>
          <w:sz w:val="22"/>
          <w:szCs w:val="22"/>
        </w:rPr>
        <w:t>traer a contexto e</w:t>
      </w:r>
      <w:r w:rsidRPr="00B14DFD">
        <w:rPr>
          <w:rFonts w:ascii="Palatino Linotype" w:eastAsia="Palatino Linotype" w:hAnsi="Palatino Linotype" w:cs="Palatino Linotype"/>
          <w:sz w:val="22"/>
          <w:szCs w:val="22"/>
        </w:rPr>
        <w:t>l contenido del artículo 115 fracciones I, II y V de la Constitución Política de los Estados Unidos Mexicanos que establece en lo que nos interesa, lo siguiente: </w:t>
      </w:r>
    </w:p>
    <w:p w14:paraId="27CF8FB0" w14:textId="77777777" w:rsidR="009B2050" w:rsidRPr="00B14DFD" w:rsidRDefault="009B2050" w:rsidP="00DC5C74">
      <w:pPr>
        <w:rPr>
          <w:rFonts w:ascii="Palatino Linotype" w:eastAsia="Palatino Linotype" w:hAnsi="Palatino Linotype" w:cs="Palatino Linotype"/>
          <w:sz w:val="22"/>
          <w:szCs w:val="22"/>
        </w:rPr>
      </w:pPr>
    </w:p>
    <w:p w14:paraId="60C821E9" w14:textId="77777777" w:rsidR="009B2050" w:rsidRPr="00B14DFD" w:rsidRDefault="009B2050" w:rsidP="00D14140">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sz w:val="22"/>
          <w:szCs w:val="22"/>
        </w:rPr>
        <w:t>“</w:t>
      </w:r>
      <w:r w:rsidRPr="00B14DFD">
        <w:rPr>
          <w:rFonts w:ascii="Palatino Linotype" w:eastAsia="Palatino Linotype" w:hAnsi="Palatino Linotype" w:cs="Palatino Linotype"/>
          <w:b/>
          <w:i/>
          <w:sz w:val="22"/>
          <w:szCs w:val="22"/>
        </w:rPr>
        <w:t>Artículo 115.</w:t>
      </w:r>
      <w:r w:rsidRPr="00B14DFD">
        <w:rPr>
          <w:rFonts w:ascii="Palatino Linotype" w:eastAsia="Palatino Linotype" w:hAnsi="Palatino Linotype" w:cs="Palatino Linotype"/>
          <w:i/>
          <w:sz w:val="22"/>
          <w:szCs w:val="22"/>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78C9D2B7" w14:textId="77777777" w:rsidR="009B2050" w:rsidRPr="00B14DFD" w:rsidRDefault="009B2050" w:rsidP="00D14140">
      <w:pPr>
        <w:spacing w:line="276" w:lineRule="auto"/>
        <w:ind w:left="851" w:right="843"/>
        <w:jc w:val="both"/>
        <w:rPr>
          <w:rFonts w:ascii="Palatino Linotype" w:hAnsi="Palatino Linotype"/>
          <w:sz w:val="22"/>
          <w:szCs w:val="22"/>
        </w:rPr>
      </w:pPr>
    </w:p>
    <w:p w14:paraId="71A5A5F9"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I.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ADD2615"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w:t>
      </w:r>
    </w:p>
    <w:p w14:paraId="110AF1BD"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II. Los municipios estarán investidos de personalidad jurídica y manejarán su patrimonio conforme a la ley. Los ayuntamientos tendrán facultades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regulen las materias, procedimientos, funciones y servicios públicos de su competencia y aseguren la participación ciudadana y vecinal. </w:t>
      </w:r>
    </w:p>
    <w:p w14:paraId="6BE887BF"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 </w:t>
      </w:r>
    </w:p>
    <w:p w14:paraId="52AC8B0B" w14:textId="77777777" w:rsidR="009B2050" w:rsidRPr="00B14DFD" w:rsidRDefault="009B2050" w:rsidP="00D14140">
      <w:pPr>
        <w:spacing w:line="276" w:lineRule="auto"/>
        <w:ind w:left="851" w:right="843"/>
        <w:jc w:val="both"/>
        <w:rPr>
          <w:rFonts w:ascii="Palatino Linotype" w:hAnsi="Palatino Linotype"/>
          <w:b/>
          <w:sz w:val="22"/>
          <w:szCs w:val="22"/>
        </w:rPr>
      </w:pPr>
      <w:r w:rsidRPr="00B14DFD">
        <w:rPr>
          <w:rFonts w:ascii="Palatino Linotype" w:eastAsia="Palatino Linotype" w:hAnsi="Palatino Linotype" w:cs="Palatino Linotype"/>
          <w:b/>
          <w:i/>
          <w:sz w:val="22"/>
          <w:szCs w:val="22"/>
        </w:rPr>
        <w:t>V. Los Municipios</w:t>
      </w:r>
      <w:r w:rsidRPr="00B14DFD">
        <w:rPr>
          <w:rFonts w:ascii="Palatino Linotype" w:eastAsia="Palatino Linotype" w:hAnsi="Palatino Linotype" w:cs="Palatino Linotype"/>
          <w:i/>
          <w:sz w:val="22"/>
          <w:szCs w:val="22"/>
        </w:rPr>
        <w:t xml:space="preserve">, en los términos de las leyes federales y Estatales relativas, </w:t>
      </w:r>
      <w:r w:rsidRPr="00B14DFD">
        <w:rPr>
          <w:rFonts w:ascii="Palatino Linotype" w:eastAsia="Palatino Linotype" w:hAnsi="Palatino Linotype" w:cs="Palatino Linotype"/>
          <w:b/>
          <w:i/>
          <w:sz w:val="22"/>
          <w:szCs w:val="22"/>
        </w:rPr>
        <w:t>estarán facultados para: </w:t>
      </w:r>
    </w:p>
    <w:p w14:paraId="405F0B20"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 xml:space="preserve"> (…)</w:t>
      </w:r>
    </w:p>
    <w:p w14:paraId="193A9435"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b/>
          <w:i/>
          <w:sz w:val="22"/>
          <w:szCs w:val="22"/>
          <w:u w:val="single"/>
        </w:rPr>
        <w:t>f) Otorgar licencias y permisos para construcciones</w:t>
      </w:r>
      <w:r w:rsidRPr="00B14DFD">
        <w:rPr>
          <w:rFonts w:ascii="Palatino Linotype" w:eastAsia="Palatino Linotype" w:hAnsi="Palatino Linotype" w:cs="Palatino Linotype"/>
          <w:i/>
          <w:sz w:val="22"/>
          <w:szCs w:val="22"/>
        </w:rPr>
        <w:t>; (Sic)</w:t>
      </w:r>
    </w:p>
    <w:p w14:paraId="775476F7" w14:textId="77777777" w:rsidR="009B2050" w:rsidRPr="00B14DFD" w:rsidRDefault="009B2050" w:rsidP="00DC5C74">
      <w:pPr>
        <w:spacing w:line="360" w:lineRule="auto"/>
        <w:rPr>
          <w:rFonts w:ascii="Palatino Linotype" w:eastAsia="Palatino Linotype" w:hAnsi="Palatino Linotype" w:cs="Palatino Linotype"/>
          <w:sz w:val="22"/>
          <w:szCs w:val="22"/>
        </w:rPr>
      </w:pPr>
    </w:p>
    <w:p w14:paraId="7E64C708" w14:textId="77777777" w:rsidR="009B2050" w:rsidRPr="00B14DFD" w:rsidRDefault="009B2050"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Así, del texto transcrito se advierte que los Municipios son la base de la división territorial de los Estados, mismos que serán gobernados por un Ayuntamiento de elección popular, compuesto por un Presidente Municipal y el número de regidores y síndicos que la ley determine, los cuales estarán investidos de personalidad jurídica y patrimonio propio, en este sentido tendrán la facultad de aprobar con acuerdo a las leyes su bando, reglamentos, circulares y disposiciones administrativas de observancia general dentro de su circunscripción.</w:t>
      </w:r>
    </w:p>
    <w:p w14:paraId="7B346DEC" w14:textId="77777777" w:rsidR="009B2050" w:rsidRPr="00B14DFD" w:rsidRDefault="009B2050" w:rsidP="00DC5C74">
      <w:pPr>
        <w:spacing w:line="360" w:lineRule="auto"/>
        <w:rPr>
          <w:rFonts w:ascii="Palatino Linotype" w:hAnsi="Palatino Linotype"/>
          <w:sz w:val="22"/>
          <w:szCs w:val="22"/>
        </w:rPr>
      </w:pPr>
    </w:p>
    <w:p w14:paraId="2569E5DB" w14:textId="7DC8118A" w:rsidR="009B2050" w:rsidRPr="00B14DFD" w:rsidRDefault="009B2050"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Asimismo,</w:t>
      </w:r>
      <w:r w:rsidR="000804F6" w:rsidRPr="00B14DFD">
        <w:rPr>
          <w:rFonts w:ascii="Palatino Linotype" w:eastAsia="Palatino Linotype" w:hAnsi="Palatino Linotype" w:cs="Palatino Linotype"/>
          <w:sz w:val="22"/>
          <w:szCs w:val="22"/>
        </w:rPr>
        <w:t xml:space="preserve"> la Constitución Política de los Estados Unidos Mexicanos, faculta a los Ayuntamientos para emitir </w:t>
      </w:r>
      <w:r w:rsidR="000804F6" w:rsidRPr="00B14DFD">
        <w:rPr>
          <w:rFonts w:ascii="Palatino Linotype" w:eastAsia="Palatino Linotype" w:hAnsi="Palatino Linotype" w:cs="Palatino Linotype"/>
          <w:b/>
          <w:sz w:val="22"/>
          <w:szCs w:val="22"/>
          <w:u w:val="single"/>
        </w:rPr>
        <w:t>licencias y permisos de construcción</w:t>
      </w:r>
      <w:r w:rsidRPr="00B14DFD">
        <w:rPr>
          <w:rFonts w:ascii="Palatino Linotype" w:eastAsia="Palatino Linotype" w:hAnsi="Palatino Linotype" w:cs="Palatino Linotype"/>
          <w:b/>
          <w:sz w:val="22"/>
          <w:szCs w:val="22"/>
          <w:u w:val="single"/>
        </w:rPr>
        <w:t>. </w:t>
      </w:r>
    </w:p>
    <w:p w14:paraId="6AA3C46B" w14:textId="77777777" w:rsidR="009B2050" w:rsidRPr="00B14DFD" w:rsidRDefault="009B2050" w:rsidP="00DC5C74">
      <w:pPr>
        <w:spacing w:line="360" w:lineRule="auto"/>
        <w:rPr>
          <w:rFonts w:ascii="Palatino Linotype" w:hAnsi="Palatino Linotype"/>
          <w:sz w:val="22"/>
          <w:szCs w:val="22"/>
        </w:rPr>
      </w:pPr>
    </w:p>
    <w:p w14:paraId="27B3301D" w14:textId="77777777" w:rsidR="009B2050" w:rsidRPr="00B14DFD" w:rsidRDefault="009B2050"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Por su parte, la Ley Orgánica Municipal del Estado de México dispone lo siguiente:</w:t>
      </w:r>
    </w:p>
    <w:p w14:paraId="204989F3" w14:textId="77777777" w:rsidR="009B2050" w:rsidRPr="00B14DFD" w:rsidRDefault="009B2050" w:rsidP="00DC5C74">
      <w:pPr>
        <w:ind w:right="567"/>
        <w:jc w:val="both"/>
        <w:rPr>
          <w:rFonts w:ascii="Palatino Linotype" w:hAnsi="Palatino Linotype"/>
          <w:sz w:val="22"/>
          <w:szCs w:val="22"/>
        </w:rPr>
      </w:pPr>
    </w:p>
    <w:p w14:paraId="403DF8B5"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b/>
          <w:i/>
          <w:sz w:val="22"/>
          <w:szCs w:val="22"/>
        </w:rPr>
        <w:t>Artículo 31.-</w:t>
      </w:r>
      <w:r w:rsidRPr="00B14DFD">
        <w:rPr>
          <w:rFonts w:ascii="Palatino Linotype" w:eastAsia="Palatino Linotype" w:hAnsi="Palatino Linotype" w:cs="Palatino Linotype"/>
          <w:i/>
          <w:sz w:val="22"/>
          <w:szCs w:val="22"/>
        </w:rPr>
        <w:t xml:space="preserve"> Son atribuciones de los ayuntamientos: </w:t>
      </w:r>
    </w:p>
    <w:p w14:paraId="247B11E5"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 </w:t>
      </w:r>
    </w:p>
    <w:p w14:paraId="206A4560"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 xml:space="preserve">XXIV </w:t>
      </w:r>
      <w:proofErr w:type="spellStart"/>
      <w:r w:rsidRPr="00B14DFD">
        <w:rPr>
          <w:rFonts w:ascii="Palatino Linotype" w:eastAsia="Palatino Linotype" w:hAnsi="Palatino Linotype" w:cs="Palatino Linotype"/>
          <w:i/>
          <w:sz w:val="22"/>
          <w:szCs w:val="22"/>
        </w:rPr>
        <w:t>Quáter</w:t>
      </w:r>
      <w:proofErr w:type="spellEnd"/>
      <w:r w:rsidRPr="00B14DFD">
        <w:rPr>
          <w:rFonts w:ascii="Palatino Linotype" w:eastAsia="Palatino Linotype" w:hAnsi="Palatino Linotype" w:cs="Palatino Linotype"/>
          <w:i/>
          <w:sz w:val="22"/>
          <w:szCs w:val="22"/>
        </w:rPr>
        <w:t>. Otorgar licencias y permisos para construcciones privadas, para el funcionamiento de unidades económicas o establecimientos destinados a la enajenación, reparación o mantenimiento de vehículos automotores usados y autopartes nuevas y usadas, parques y desarrollos industriales, urbanos y de servicios. </w:t>
      </w:r>
    </w:p>
    <w:p w14:paraId="27F43CC8" w14:textId="77777777" w:rsidR="009B2050" w:rsidRPr="00B14DFD" w:rsidRDefault="009B2050" w:rsidP="00D14140">
      <w:pPr>
        <w:spacing w:line="276" w:lineRule="auto"/>
        <w:ind w:left="851" w:right="843"/>
        <w:jc w:val="both"/>
        <w:rPr>
          <w:rFonts w:ascii="Palatino Linotype" w:eastAsia="Palatino Linotype" w:hAnsi="Palatino Linotype" w:cs="Palatino Linotype"/>
          <w:i/>
          <w:sz w:val="22"/>
          <w:szCs w:val="22"/>
        </w:rPr>
      </w:pPr>
    </w:p>
    <w:p w14:paraId="5FCC9461"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b/>
          <w:i/>
          <w:sz w:val="22"/>
          <w:szCs w:val="22"/>
        </w:rPr>
        <w:t>Artículo 96.</w:t>
      </w:r>
      <w:r w:rsidRPr="00B14DFD">
        <w:rPr>
          <w:rFonts w:ascii="Palatino Linotype" w:eastAsia="Palatino Linotype" w:hAnsi="Palatino Linotype" w:cs="Palatino Linotype"/>
          <w:i/>
          <w:sz w:val="22"/>
          <w:szCs w:val="22"/>
        </w:rPr>
        <w:t xml:space="preserve"> </w:t>
      </w:r>
      <w:proofErr w:type="spellStart"/>
      <w:r w:rsidRPr="00B14DFD">
        <w:rPr>
          <w:rFonts w:ascii="Palatino Linotype" w:eastAsia="Palatino Linotype" w:hAnsi="Palatino Linotype" w:cs="Palatino Linotype"/>
          <w:i/>
          <w:sz w:val="22"/>
          <w:szCs w:val="22"/>
        </w:rPr>
        <w:t>Sexies</w:t>
      </w:r>
      <w:proofErr w:type="spellEnd"/>
      <w:r w:rsidRPr="00B14DFD">
        <w:rPr>
          <w:rFonts w:ascii="Palatino Linotype" w:eastAsia="Palatino Linotype" w:hAnsi="Palatino Linotype" w:cs="Palatino Linotype"/>
          <w:i/>
          <w:sz w:val="22"/>
          <w:szCs w:val="22"/>
        </w:rPr>
        <w:t xml:space="preserve">.- </w:t>
      </w:r>
      <w:r w:rsidRPr="00B14DFD">
        <w:rPr>
          <w:rFonts w:ascii="Palatino Linotype" w:eastAsia="Palatino Linotype" w:hAnsi="Palatino Linotype" w:cs="Palatino Linotype"/>
          <w:b/>
          <w:i/>
          <w:sz w:val="22"/>
          <w:szCs w:val="22"/>
          <w:u w:val="single"/>
        </w:rPr>
        <w:t>El Director de Desarrollo Urbano</w:t>
      </w:r>
      <w:r w:rsidRPr="00B14DFD">
        <w:rPr>
          <w:rFonts w:ascii="Palatino Linotype" w:eastAsia="Palatino Linotype" w:hAnsi="Palatino Linotype" w:cs="Palatino Linotype"/>
          <w:i/>
          <w:sz w:val="22"/>
          <w:szCs w:val="22"/>
        </w:rPr>
        <w:t xml:space="preserve"> o el Titular de la Unidad Administrativa equivalente, tiene las atribuciones siguientes: </w:t>
      </w:r>
    </w:p>
    <w:p w14:paraId="46653144" w14:textId="77777777" w:rsidR="009B2050" w:rsidRPr="00B14DFD" w:rsidRDefault="009B2050" w:rsidP="00D14140">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w:t>
      </w:r>
    </w:p>
    <w:p w14:paraId="331FEA5A"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 xml:space="preserve"> VI. Analizar las cédulas informativas de zonificación, licencias de uso de suelo y </w:t>
      </w:r>
      <w:r w:rsidRPr="00B14DFD">
        <w:rPr>
          <w:rFonts w:ascii="Palatino Linotype" w:eastAsia="Palatino Linotype" w:hAnsi="Palatino Linotype" w:cs="Palatino Linotype"/>
          <w:b/>
          <w:i/>
          <w:sz w:val="22"/>
          <w:szCs w:val="22"/>
          <w:u w:val="single"/>
        </w:rPr>
        <w:t>licencias de construcción</w:t>
      </w:r>
      <w:r w:rsidRPr="00B14DFD">
        <w:rPr>
          <w:rFonts w:ascii="Palatino Linotype" w:eastAsia="Palatino Linotype" w:hAnsi="Palatino Linotype" w:cs="Palatino Linotype"/>
          <w:i/>
          <w:sz w:val="22"/>
          <w:szCs w:val="22"/>
        </w:rPr>
        <w:t>; </w:t>
      </w:r>
    </w:p>
    <w:p w14:paraId="6A6E40B4" w14:textId="77777777" w:rsidR="009B2050" w:rsidRPr="00B14DFD" w:rsidRDefault="009B2050" w:rsidP="00D14140">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VII. Vigilar la utilización y aprovechamiento del suelo con fines urbanos, en su circunscripción territorial;</w:t>
      </w:r>
    </w:p>
    <w:p w14:paraId="22B53A92" w14:textId="77777777" w:rsidR="009B2050" w:rsidRPr="00B14DFD" w:rsidRDefault="009B2050" w:rsidP="00D14140">
      <w:pPr>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 xml:space="preserve">…” </w:t>
      </w:r>
    </w:p>
    <w:p w14:paraId="1D94AC36" w14:textId="77777777" w:rsidR="009B2050" w:rsidRPr="00B14DFD" w:rsidRDefault="009B2050" w:rsidP="00DC5C74">
      <w:pPr>
        <w:rPr>
          <w:rFonts w:ascii="Palatino Linotype" w:hAnsi="Palatino Linotype"/>
          <w:sz w:val="22"/>
          <w:szCs w:val="22"/>
        </w:rPr>
      </w:pPr>
    </w:p>
    <w:p w14:paraId="6B9F5DCB" w14:textId="5188ABAA" w:rsidR="009B2050" w:rsidRPr="00B14DFD" w:rsidRDefault="000804F6"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 xml:space="preserve">Se advierte que los Ayuntamientos, para su correcto funcionamiento deben crear unidades administrativas, entre las que se encuentra la Dirección de Desarrollo Urbano o equivalente, que es la encargada de emitir las licencias </w:t>
      </w:r>
      <w:r w:rsidR="00D14140" w:rsidRPr="00B14DFD">
        <w:rPr>
          <w:rFonts w:ascii="Palatino Linotype" w:eastAsia="Palatino Linotype" w:hAnsi="Palatino Linotype" w:cs="Palatino Linotype"/>
          <w:sz w:val="22"/>
          <w:szCs w:val="22"/>
        </w:rPr>
        <w:t xml:space="preserve">de uso de suelo y </w:t>
      </w:r>
      <w:r w:rsidRPr="00B14DFD">
        <w:rPr>
          <w:rFonts w:ascii="Palatino Linotype" w:eastAsia="Palatino Linotype" w:hAnsi="Palatino Linotype" w:cs="Palatino Linotype"/>
          <w:sz w:val="22"/>
          <w:szCs w:val="22"/>
        </w:rPr>
        <w:t>de construcción.</w:t>
      </w:r>
      <w:r w:rsidR="009B2050" w:rsidRPr="00B14DFD">
        <w:rPr>
          <w:rFonts w:ascii="Palatino Linotype" w:eastAsia="Palatino Linotype" w:hAnsi="Palatino Linotype" w:cs="Palatino Linotype"/>
          <w:sz w:val="22"/>
          <w:szCs w:val="22"/>
        </w:rPr>
        <w:t> </w:t>
      </w:r>
    </w:p>
    <w:p w14:paraId="5BDE2E34" w14:textId="77777777" w:rsidR="009B2050" w:rsidRPr="00B14DFD" w:rsidRDefault="009B2050" w:rsidP="00DC5C74">
      <w:pPr>
        <w:spacing w:line="360" w:lineRule="auto"/>
        <w:jc w:val="both"/>
        <w:rPr>
          <w:rFonts w:ascii="Palatino Linotype" w:eastAsia="Palatino Linotype" w:hAnsi="Palatino Linotype" w:cs="Palatino Linotype"/>
          <w:sz w:val="22"/>
          <w:szCs w:val="22"/>
        </w:rPr>
      </w:pPr>
    </w:p>
    <w:p w14:paraId="759F6BA9" w14:textId="727F736F" w:rsidR="009B2050" w:rsidRPr="00B14DFD" w:rsidRDefault="000804F6"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 xml:space="preserve">Asimismo, </w:t>
      </w:r>
      <w:r w:rsidR="009B2050" w:rsidRPr="00B14DFD">
        <w:rPr>
          <w:rFonts w:ascii="Palatino Linotype" w:eastAsia="Palatino Linotype" w:hAnsi="Palatino Linotype" w:cs="Palatino Linotype"/>
          <w:sz w:val="22"/>
          <w:szCs w:val="22"/>
        </w:rPr>
        <w:t>el artículo 18.6, fracción II del Código Administrativo del Estado de México, dispone que son atribuciones de los Municipios, expedir licencias, permisos y constancias en materia de construcción, de conformidad con lo dispuesto por este Libro Décimo, las Normas Técnicas, los planes municipales de desarrollo urbano y demás normatividad aplicable; así como vigilar que las construcciones en proceso, terminadas o en demolición, se ajusten a las disposiciones de previstas, a los planes municipales de desarrollo urbano, entre otras. </w:t>
      </w:r>
    </w:p>
    <w:p w14:paraId="7FF22C60" w14:textId="77777777" w:rsidR="009B2050" w:rsidRPr="00B14DFD" w:rsidRDefault="009B2050" w:rsidP="00DC5C74">
      <w:pPr>
        <w:spacing w:line="360" w:lineRule="auto"/>
        <w:rPr>
          <w:rFonts w:ascii="Palatino Linotype" w:hAnsi="Palatino Linotype"/>
          <w:sz w:val="22"/>
          <w:szCs w:val="22"/>
        </w:rPr>
      </w:pPr>
    </w:p>
    <w:p w14:paraId="089D53FE" w14:textId="28D4B2D1" w:rsidR="009B2050" w:rsidRPr="00B14DFD" w:rsidRDefault="009B2050"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 xml:space="preserve">Por su parte el Libro Décimo Octavo del Código en referencia, tiene por objeto regular las construcciones privadas que se realicen </w:t>
      </w:r>
      <w:r w:rsidR="000804F6" w:rsidRPr="00B14DFD">
        <w:rPr>
          <w:rFonts w:ascii="Palatino Linotype" w:eastAsia="Palatino Linotype" w:hAnsi="Palatino Linotype" w:cs="Palatino Linotype"/>
          <w:sz w:val="22"/>
          <w:szCs w:val="22"/>
        </w:rPr>
        <w:t>dentro de los límites territoriales municipales,</w:t>
      </w:r>
      <w:r w:rsidRPr="00B14DFD">
        <w:rPr>
          <w:rFonts w:ascii="Palatino Linotype" w:eastAsia="Palatino Linotype" w:hAnsi="Palatino Linotype" w:cs="Palatino Linotype"/>
          <w:sz w:val="22"/>
          <w:szCs w:val="22"/>
        </w:rPr>
        <w:t xml:space="preserve"> con el fin de que satisfagan condiciones de seguridad, habitabilidad, calidad, higiene, funcionalidad, sustentabilidad e integración al contexto e imagen urbana, por lo que toda construcción debe sujetarse a lo siguiente:</w:t>
      </w:r>
    </w:p>
    <w:p w14:paraId="16ABE728" w14:textId="77777777" w:rsidR="009B2050" w:rsidRPr="00B14DFD" w:rsidRDefault="009B2050" w:rsidP="00DC5C74">
      <w:pPr>
        <w:rPr>
          <w:rFonts w:ascii="Palatino Linotype" w:hAnsi="Palatino Linotype"/>
          <w:sz w:val="22"/>
          <w:szCs w:val="22"/>
        </w:rPr>
      </w:pPr>
    </w:p>
    <w:p w14:paraId="5BCF9FA1"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“Artículo 18.3.- Toda construcción se sujetará a lo siguiente: </w:t>
      </w:r>
    </w:p>
    <w:p w14:paraId="472BC2DF"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I. A las disposiciones de este Libro, del Libro Quinto del Código y su Reglamento, a las Normas Técnicas y a las demás disposiciones jurídicas aplicables; </w:t>
      </w:r>
    </w:p>
    <w:p w14:paraId="74DFC79D"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II. Requerirán para su ejecución de la correspondiente licencia de construcción, salvo los casos de excepción que se establecen en este Libro; </w:t>
      </w:r>
    </w:p>
    <w:p w14:paraId="47F9D3BC"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III. Requerirán de la respectiva constancia de terminación de obra; </w:t>
      </w:r>
    </w:p>
    <w:p w14:paraId="563CBD52"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IV. Observarán la normatividad de uso y aprovechamiento del suelo contenida en los planes de desarrollo urbano correspondientes; </w:t>
      </w:r>
    </w:p>
    <w:p w14:paraId="7337CD73"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V. Contarán con los cajones de estacionamiento que establezca el plan municipal de desarrollo urbano correspondiente, atendiendo lo que al respecto determine la normatividad aplicable; </w:t>
      </w:r>
    </w:p>
    <w:p w14:paraId="3ED1ACBD"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VI. Garantizarán su iluminación, ventilación y asoleamiento, la mitigación de efectos negativos que puedan causar a las construcciones vecinas; </w:t>
      </w:r>
    </w:p>
    <w:p w14:paraId="0CDCA129"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VII. Cumplirán los requisitos de seguridad estructural que les permitan satisfacer los fines para los cuales fueron proyectadas; </w:t>
      </w:r>
    </w:p>
    <w:p w14:paraId="071F54D9"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VIII. Estarán provistas de los servicios básicos de agua potable, desalojo de aguas residuales y energía eléctrica; </w:t>
      </w:r>
    </w:p>
    <w:p w14:paraId="5806D016"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IX. Dispondrán de espacios y muebles sanitarios de bajo consumo de agua, en número suficiente para los usuarios y de conformidad a las normas oficiales mexicanas; </w:t>
      </w:r>
    </w:p>
    <w:p w14:paraId="1869D23B"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X. Cumplirán con las previsiones correspondientes a protección civil, ingeniería sanitaria y personas con discapacidad; </w:t>
      </w:r>
    </w:p>
    <w:p w14:paraId="2EB2ED0A"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XI. Las que se ubiquen en zonas de valor arqueológico, histórico, artístico y cultural, deberán sujetarse a las restricciones que señalen el Instituto Nacional de Antropología e Historia o el Instituto Nacional de Bellas Artes y Literatura según corresponda y cumplir con las normas que señalen los ordenamientos legales aplicables; </w:t>
      </w:r>
    </w:p>
    <w:p w14:paraId="213C56AD"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XII. Las dedicadas a servicios de radiotelecomunicación o similares y anuncios publicitarios que requieran elementos estructurales, fomentarán su integración al contexto y se ajustarán a las disposiciones aplicables; y </w:t>
      </w:r>
    </w:p>
    <w:p w14:paraId="22D5ED9C"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XIII. Procurarán la utilización de tecnologías a efecto de lograr un aprovechamiento sustentable de los recursos naturales y el cuidado de la biosfera.”</w:t>
      </w:r>
    </w:p>
    <w:p w14:paraId="04094D72" w14:textId="77777777" w:rsidR="009B2050" w:rsidRPr="00B14DFD" w:rsidRDefault="009B2050" w:rsidP="00DC5C74">
      <w:pPr>
        <w:spacing w:line="360" w:lineRule="auto"/>
        <w:rPr>
          <w:rFonts w:ascii="Palatino Linotype" w:eastAsia="Palatino Linotype" w:hAnsi="Palatino Linotype" w:cs="Palatino Linotype"/>
          <w:sz w:val="22"/>
          <w:szCs w:val="22"/>
        </w:rPr>
      </w:pPr>
    </w:p>
    <w:p w14:paraId="73ECC4BC" w14:textId="77777777" w:rsidR="009B2050" w:rsidRPr="00B14DFD" w:rsidRDefault="009B2050" w:rsidP="00DC5C74">
      <w:pPr>
        <w:spacing w:line="360" w:lineRule="auto"/>
        <w:jc w:val="both"/>
        <w:rPr>
          <w:rFonts w:ascii="Palatino Linotype" w:hAnsi="Palatino Linotype"/>
          <w:sz w:val="22"/>
          <w:szCs w:val="22"/>
        </w:rPr>
      </w:pPr>
      <w:r w:rsidRPr="00B14DFD">
        <w:rPr>
          <w:rFonts w:ascii="Palatino Linotype" w:eastAsia="Palatino Linotype" w:hAnsi="Palatino Linotype" w:cs="Palatino Linotype"/>
          <w:sz w:val="22"/>
          <w:szCs w:val="22"/>
        </w:rPr>
        <w:t>Ahora bien, en términos generales conviene precisar que la licencia de construcción tiene por objeto sujetar a las edificaciones que se realicen en territorio municipal a la normatividad contenida en los Planes de Desarrollo Urbano correspondientes, el Reglamento y demás ordenamientos legales aplicables, misma que sólo surte efectos respecto del inmueble a que la misma refiera, para efectos de obra nueva, ampliación de obra existente, modificación de la obra existente, modificación del proyecto de una obra autorizada, relación de una obra existente, demolición, excavación, relleno, construcción de bardas, construcción e instalación de antenas para radiocomunicaciones, construcción e instalación de anuncios publicitarios que requieran de elementos estructurales, cambio de la construcción a régimen de condominio, ocupación temporal de la vía pública, obras de conexión de agua potable, drenaje y sus obras realizadas por particulares, como así lo señala el artículo 18.20 del código administrativo del Estado de México, que señala:</w:t>
      </w:r>
    </w:p>
    <w:p w14:paraId="5D445496" w14:textId="77777777" w:rsidR="009B2050" w:rsidRPr="00B14DFD" w:rsidRDefault="009B2050" w:rsidP="00DC5C74">
      <w:pPr>
        <w:rPr>
          <w:rFonts w:ascii="Palatino Linotype" w:eastAsia="Palatino Linotype" w:hAnsi="Palatino Linotype" w:cs="Palatino Linotype"/>
          <w:sz w:val="22"/>
          <w:szCs w:val="22"/>
        </w:rPr>
      </w:pPr>
    </w:p>
    <w:p w14:paraId="216DD4BD"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w:t>
      </w:r>
      <w:r w:rsidRPr="00B14DFD">
        <w:rPr>
          <w:rFonts w:ascii="Palatino Linotype" w:eastAsia="Palatino Linotype" w:hAnsi="Palatino Linotype" w:cs="Palatino Linotype"/>
          <w:b/>
          <w:i/>
          <w:sz w:val="22"/>
          <w:szCs w:val="22"/>
        </w:rPr>
        <w:t>Artículo 18.20.- La licencia de construcción</w:t>
      </w:r>
      <w:r w:rsidRPr="00B14DFD">
        <w:rPr>
          <w:rFonts w:ascii="Palatino Linotype" w:eastAsia="Palatino Linotype" w:hAnsi="Palatino Linotype" w:cs="Palatino Linotype"/>
          <w:i/>
          <w:sz w:val="22"/>
          <w:szCs w:val="22"/>
        </w:rPr>
        <w:t xml:space="preserve"> tiene por objeto autorizar: </w:t>
      </w:r>
    </w:p>
    <w:p w14:paraId="0D870CC3"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I. Obra nueva; </w:t>
      </w:r>
    </w:p>
    <w:p w14:paraId="11014DDD"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II. Ampliación, modificación o reparación que afecte elementos estructurales de la obra existente; </w:t>
      </w:r>
    </w:p>
    <w:p w14:paraId="7A14D386"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III. Demolición parcial o total;</w:t>
      </w:r>
    </w:p>
    <w:p w14:paraId="0C03BD62"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IV. Excavación o relleno; </w:t>
      </w:r>
    </w:p>
    <w:p w14:paraId="06851C44"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V. Construcción de bardas; </w:t>
      </w:r>
    </w:p>
    <w:p w14:paraId="3B9A1101"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VI. Obras de conexión a las redes de agua potable y drenaje; </w:t>
      </w:r>
    </w:p>
    <w:p w14:paraId="208B24F6"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VII. Modificación del proyecto de una obra autorizada; </w:t>
      </w:r>
    </w:p>
    <w:p w14:paraId="1515C3CB"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VIII. Construcción e instalación de estaciones repetidoras y antenas para radiotelecomunicaciones; </w:t>
      </w:r>
    </w:p>
    <w:p w14:paraId="7F04EEBA"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IX. Anuncios publicitarios que requieran de elementos estructurales; y </w:t>
      </w:r>
    </w:p>
    <w:p w14:paraId="7B47474F"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X. Instalaciones o modificaciones de ascensores para personas, montacargas, escaleras mecánicas o cualquier otro mecanismo de transporte electromecánico. </w:t>
      </w:r>
    </w:p>
    <w:p w14:paraId="788797B5"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La licencia de construcción tendrá vigencia de un año y podrá autorizar, además del uso de la vía pública, uno o más de los rubros señalados, conforme a la solicitud que se presente. La autoridad municipal que emita la licencia de construcción deberá revisar que en el proyecto que autoriza se observen las disposiciones de este Libro, las Normas Técnicas y demás disposiciones jurídicas aplicables y deberá otorgar o negar la misma dando respuesta en un plazo no mayor de tres días hábiles posteriores a la fecha de presentación o recepción de la solicitud que reúna todos los requisitos establecidos en la Ley. </w:t>
      </w:r>
    </w:p>
    <w:p w14:paraId="04D3FE42"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Las licencias de construcción de inmuebles destinados a la actividad comercial o industrial de bajo impacto y que sean menores a 2,000 metros cuadrados, serán expedidas, en caso de proceder, en el plazo de un día hábil a partir de la recepción de la solicitud que reúna los requisitos de Ley. </w:t>
      </w:r>
    </w:p>
    <w:p w14:paraId="53CDD50F" w14:textId="77777777" w:rsidR="009B2050" w:rsidRPr="00B14DFD" w:rsidRDefault="009B2050" w:rsidP="00DC5C74">
      <w:pPr>
        <w:spacing w:line="276" w:lineRule="auto"/>
        <w:ind w:left="851" w:right="567"/>
        <w:jc w:val="both"/>
        <w:rPr>
          <w:rFonts w:ascii="Palatino Linotype" w:hAnsi="Palatino Linotype"/>
          <w:sz w:val="22"/>
          <w:szCs w:val="22"/>
        </w:rPr>
      </w:pPr>
      <w:r w:rsidRPr="00B14DFD">
        <w:rPr>
          <w:rFonts w:ascii="Palatino Linotype" w:eastAsia="Palatino Linotype" w:hAnsi="Palatino Linotype" w:cs="Palatino Linotype"/>
          <w:i/>
          <w:sz w:val="22"/>
          <w:szCs w:val="22"/>
        </w:rPr>
        <w:t xml:space="preserve">Quedan exceptuadas de obtener la licencia de construcción a que se refiere el presente artículo, las obras que se ejecuten en bienes inmuebles que sean propiedad o posesión del Gobierno del Estado de México y destinados a la prestación de servicios públicos.” </w:t>
      </w:r>
    </w:p>
    <w:p w14:paraId="1A738B4D" w14:textId="77777777" w:rsidR="009B2050" w:rsidRPr="00B14DFD" w:rsidRDefault="009B2050" w:rsidP="00DC5C74">
      <w:pPr>
        <w:rPr>
          <w:rFonts w:ascii="Palatino Linotype" w:eastAsia="Palatino Linotype" w:hAnsi="Palatino Linotype" w:cs="Palatino Linotype"/>
          <w:sz w:val="22"/>
          <w:szCs w:val="22"/>
        </w:rPr>
      </w:pPr>
    </w:p>
    <w:p w14:paraId="5DB3BD32" w14:textId="77777777" w:rsidR="009B2050" w:rsidRPr="00B14DFD" w:rsidRDefault="009B2050"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En ese sentido se comprende, que el</w:t>
      </w:r>
      <w:r w:rsidRPr="00B14DFD">
        <w:rPr>
          <w:rFonts w:ascii="Palatino Linotype" w:eastAsia="Palatino Linotype" w:hAnsi="Palatino Linotype" w:cs="Palatino Linotype"/>
          <w:b/>
          <w:sz w:val="22"/>
          <w:szCs w:val="22"/>
        </w:rPr>
        <w:t xml:space="preserve"> Sujeto Obligado </w:t>
      </w:r>
      <w:r w:rsidRPr="00B14DFD">
        <w:rPr>
          <w:rFonts w:ascii="Palatino Linotype" w:eastAsia="Palatino Linotype" w:hAnsi="Palatino Linotype" w:cs="Palatino Linotype"/>
          <w:sz w:val="22"/>
          <w:szCs w:val="22"/>
        </w:rPr>
        <w:t xml:space="preserve">es competente para atender las cuestiones de fondo del presente medio de impugnación. </w:t>
      </w:r>
    </w:p>
    <w:p w14:paraId="536E1828" w14:textId="77777777" w:rsidR="009B2050" w:rsidRPr="00B14DFD" w:rsidRDefault="009B2050" w:rsidP="00DC5C74">
      <w:pPr>
        <w:spacing w:line="360" w:lineRule="auto"/>
        <w:jc w:val="both"/>
        <w:rPr>
          <w:rFonts w:ascii="Palatino Linotype" w:eastAsia="Palatino Linotype" w:hAnsi="Palatino Linotype" w:cs="Palatino Linotype"/>
          <w:sz w:val="22"/>
          <w:szCs w:val="22"/>
        </w:rPr>
      </w:pPr>
    </w:p>
    <w:p w14:paraId="41A18D13" w14:textId="1ED0A3EB" w:rsidR="009B2050" w:rsidRPr="00B14DFD" w:rsidRDefault="000804F6"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Además, </w:t>
      </w:r>
      <w:r w:rsidR="009B2050" w:rsidRPr="00B14DFD">
        <w:rPr>
          <w:rFonts w:ascii="Palatino Linotype" w:eastAsia="Palatino Linotype" w:hAnsi="Palatino Linotype" w:cs="Palatino Linotype"/>
          <w:sz w:val="22"/>
          <w:szCs w:val="22"/>
        </w:rPr>
        <w:t>es de precisar que la información solicitada constituye una obligación de transparencia pues la fracción XXXII del artículo 92 de la Ley de la materia, prevé lo siguiente:</w:t>
      </w:r>
    </w:p>
    <w:p w14:paraId="72BA6B55" w14:textId="77777777" w:rsidR="00944F8C" w:rsidRPr="00B14DFD" w:rsidRDefault="00944F8C" w:rsidP="00DC5C74">
      <w:pPr>
        <w:spacing w:line="276" w:lineRule="auto"/>
        <w:ind w:left="851" w:right="616"/>
        <w:jc w:val="both"/>
        <w:rPr>
          <w:rFonts w:ascii="Palatino Linotype" w:eastAsia="Palatino Linotype" w:hAnsi="Palatino Linotype" w:cs="Palatino Linotype"/>
          <w:i/>
          <w:sz w:val="22"/>
          <w:szCs w:val="22"/>
        </w:rPr>
      </w:pPr>
    </w:p>
    <w:p w14:paraId="6DADE3DF" w14:textId="6DF8895B"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i/>
          <w:sz w:val="22"/>
          <w:szCs w:val="22"/>
        </w:rPr>
        <w:t>“</w:t>
      </w:r>
      <w:r w:rsidRPr="00B14DFD">
        <w:rPr>
          <w:rFonts w:ascii="Palatino Linotype" w:eastAsia="Palatino Linotype" w:hAnsi="Palatino Linotype" w:cs="Palatino Linotype"/>
          <w:b/>
          <w:i/>
          <w:sz w:val="22"/>
          <w:szCs w:val="22"/>
        </w:rPr>
        <w:t>Artículo 92.</w:t>
      </w:r>
      <w:r w:rsidRPr="00B14DFD">
        <w:rPr>
          <w:rFonts w:ascii="Palatino Linotype" w:eastAsia="Palatino Linotype" w:hAnsi="Palatino Linotype" w:cs="Palatino Linotype"/>
          <w:i/>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30BD746" w14:textId="77777777" w:rsidR="009B2050" w:rsidRPr="00B14DFD" w:rsidRDefault="009B2050" w:rsidP="00D14140">
      <w:pPr>
        <w:spacing w:line="276" w:lineRule="auto"/>
        <w:ind w:left="851" w:right="843"/>
        <w:jc w:val="both"/>
        <w:rPr>
          <w:rFonts w:ascii="Palatino Linotype" w:hAnsi="Palatino Linotype"/>
          <w:sz w:val="22"/>
          <w:szCs w:val="22"/>
        </w:rPr>
      </w:pPr>
      <w:r w:rsidRPr="00B14DFD">
        <w:rPr>
          <w:rFonts w:ascii="Palatino Linotype" w:eastAsia="Palatino Linotype" w:hAnsi="Palatino Linotype" w:cs="Palatino Linotype"/>
          <w:b/>
          <w:i/>
          <w:sz w:val="22"/>
          <w:szCs w:val="22"/>
        </w:rPr>
        <w:t>...</w:t>
      </w:r>
    </w:p>
    <w:p w14:paraId="384E7C9C" w14:textId="77777777" w:rsidR="009B2050" w:rsidRPr="00B14DFD" w:rsidRDefault="009B2050" w:rsidP="00D14140">
      <w:pPr>
        <w:spacing w:line="276" w:lineRule="auto"/>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b/>
          <w:i/>
          <w:sz w:val="22"/>
          <w:szCs w:val="22"/>
        </w:rPr>
        <w:t>XXXII.</w:t>
      </w:r>
      <w:r w:rsidRPr="00B14DFD">
        <w:rPr>
          <w:rFonts w:ascii="Palatino Linotype" w:eastAsia="Palatino Linotype" w:hAnsi="Palatino Linotype" w:cs="Palatino Linotype"/>
          <w:i/>
          <w:sz w:val="22"/>
          <w:szCs w:val="22"/>
        </w:rPr>
        <w:t xml:space="preserve"> Las concesiones, contratos, convenios, permisos, </w:t>
      </w:r>
      <w:r w:rsidRPr="00B14DFD">
        <w:rPr>
          <w:rFonts w:ascii="Palatino Linotype" w:eastAsia="Palatino Linotype" w:hAnsi="Palatino Linotype" w:cs="Palatino Linotype"/>
          <w:b/>
          <w:i/>
          <w:sz w:val="22"/>
          <w:szCs w:val="22"/>
        </w:rPr>
        <w:t>licencias</w:t>
      </w:r>
      <w:r w:rsidRPr="00B14DFD">
        <w:rPr>
          <w:rFonts w:ascii="Palatino Linotype" w:eastAsia="Palatino Linotype" w:hAnsi="Palatino Linotype" w:cs="Palatino Linotype"/>
          <w:i/>
          <w:sz w:val="22"/>
          <w:szCs w:val="22"/>
        </w:rPr>
        <w:t xml:space="preserve"> o autorizaciones otorgados, especificando los titulares de aquéllos, debiendo publicarse su objeto, nombre o razón social del titular, vigencia, tipo, términos, condiciones, monto y modificaciones, así como si el procedimiento involucra el aprovechamiento de bienes, servicios y/o recursos públicos;”</w:t>
      </w:r>
    </w:p>
    <w:p w14:paraId="360F40E4" w14:textId="77777777" w:rsidR="009B2050" w:rsidRPr="00B14DFD" w:rsidRDefault="009B2050" w:rsidP="00DC5C74">
      <w:pPr>
        <w:spacing w:line="360" w:lineRule="auto"/>
        <w:ind w:left="567" w:right="902"/>
        <w:jc w:val="both"/>
        <w:rPr>
          <w:rFonts w:ascii="Palatino Linotype" w:hAnsi="Palatino Linotype"/>
          <w:sz w:val="22"/>
          <w:szCs w:val="22"/>
        </w:rPr>
      </w:pPr>
    </w:p>
    <w:p w14:paraId="520B164A" w14:textId="2CBF3531" w:rsidR="000804F6" w:rsidRPr="00B14DFD" w:rsidRDefault="000804F6" w:rsidP="00DC5C7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Acotado lo anterior, se advierte </w:t>
      </w:r>
      <w:r w:rsidR="00732307" w:rsidRPr="00B14DFD">
        <w:rPr>
          <w:rFonts w:ascii="Palatino Linotype" w:eastAsia="Palatino Linotype" w:hAnsi="Palatino Linotype" w:cs="Palatino Linotype"/>
          <w:sz w:val="22"/>
          <w:szCs w:val="22"/>
        </w:rPr>
        <w:t xml:space="preserve">que el </w:t>
      </w:r>
      <w:r w:rsidR="00732307" w:rsidRPr="00B14DFD">
        <w:rPr>
          <w:rFonts w:ascii="Palatino Linotype" w:eastAsia="Palatino Linotype" w:hAnsi="Palatino Linotype" w:cs="Palatino Linotype"/>
          <w:b/>
          <w:bCs/>
          <w:sz w:val="22"/>
          <w:szCs w:val="22"/>
        </w:rPr>
        <w:t>Sujeto Obligado</w:t>
      </w:r>
      <w:r w:rsidR="00732307" w:rsidRPr="00B14DFD">
        <w:rPr>
          <w:rFonts w:ascii="Palatino Linotype" w:eastAsia="Palatino Linotype" w:hAnsi="Palatino Linotype" w:cs="Palatino Linotype"/>
          <w:sz w:val="22"/>
          <w:szCs w:val="22"/>
        </w:rPr>
        <w:t xml:space="preserve"> remitió </w:t>
      </w:r>
      <w:r w:rsidRPr="00B14DFD">
        <w:rPr>
          <w:rFonts w:ascii="Palatino Linotype" w:eastAsia="Palatino Linotype" w:hAnsi="Palatino Linotype" w:cs="Palatino Linotype"/>
          <w:sz w:val="22"/>
          <w:szCs w:val="22"/>
        </w:rPr>
        <w:t xml:space="preserve">un total de </w:t>
      </w:r>
      <w:r w:rsidR="00944F8C" w:rsidRPr="00B14DFD">
        <w:rPr>
          <w:rFonts w:ascii="Palatino Linotype" w:eastAsia="Palatino Linotype" w:hAnsi="Palatino Linotype" w:cs="Palatino Linotype"/>
          <w:sz w:val="22"/>
          <w:szCs w:val="22"/>
        </w:rPr>
        <w:t xml:space="preserve">treinta y ocho </w:t>
      </w:r>
      <w:r w:rsidRPr="00B14DFD">
        <w:rPr>
          <w:rFonts w:ascii="Palatino Linotype" w:eastAsia="Palatino Linotype" w:hAnsi="Palatino Linotype" w:cs="Palatino Linotype"/>
          <w:sz w:val="22"/>
          <w:szCs w:val="22"/>
        </w:rPr>
        <w:t xml:space="preserve">licencias de construcción, las cuales, a su dicho corresponden del periodo del año 2025, es decir, del uno de enero al </w:t>
      </w:r>
      <w:r w:rsidR="00944F8C" w:rsidRPr="00B14DFD">
        <w:rPr>
          <w:rFonts w:ascii="Palatino Linotype" w:eastAsia="Palatino Linotype" w:hAnsi="Palatino Linotype" w:cs="Palatino Linotype"/>
          <w:sz w:val="22"/>
          <w:szCs w:val="22"/>
        </w:rPr>
        <w:t>diecisiete de julio de dos mil veinticinco</w:t>
      </w:r>
      <w:r w:rsidRPr="00B14DFD">
        <w:rPr>
          <w:rFonts w:ascii="Palatino Linotype" w:eastAsia="Palatino Linotype" w:hAnsi="Palatino Linotype" w:cs="Palatino Linotype"/>
          <w:sz w:val="22"/>
          <w:szCs w:val="22"/>
        </w:rPr>
        <w:t>.</w:t>
      </w:r>
    </w:p>
    <w:p w14:paraId="0680C8F5" w14:textId="77777777" w:rsidR="000804F6" w:rsidRPr="00B14DFD" w:rsidRDefault="000804F6" w:rsidP="00DC5C7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2926888" w14:textId="3E685C29" w:rsidR="00732307" w:rsidRPr="00B14DFD" w:rsidRDefault="0012132D" w:rsidP="00DC5C7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De lo anterior, se advierte que, si bien fueron remitidas las Licencias de Construcción solicitadas, también lo es que, al realizar su revisión, se constató que se encuentran en una versión pública incorrecta, toda vez que en algunos casos no se testaron datos personales, como el nombre del propietario, y además se testaron de manera excesiva datos de carácter público, como los relativos al predio.</w:t>
      </w:r>
    </w:p>
    <w:p w14:paraId="3036D93C" w14:textId="77777777" w:rsidR="000804F6" w:rsidRPr="00B14DFD" w:rsidRDefault="000804F6" w:rsidP="00DC5C74">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B08934C"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Bajo ese contexto, se procede analizarán si los datos mencionados, deben ser considerados confidenciales, en términos del artículo 143, fracción I, de la Ley de Transparencia y Acceso a la Información Pública del Estado de México y Municipios, o bien si son de carácter público.</w:t>
      </w:r>
    </w:p>
    <w:p w14:paraId="43389615" w14:textId="77777777" w:rsidR="000804F6" w:rsidRPr="00B14DFD" w:rsidRDefault="000804F6" w:rsidP="00DC5C74">
      <w:pPr>
        <w:spacing w:line="360" w:lineRule="auto"/>
        <w:contextualSpacing/>
        <w:jc w:val="both"/>
        <w:rPr>
          <w:rFonts w:ascii="Palatino Linotype" w:eastAsia="Calibri" w:hAnsi="Palatino Linotype" w:cs="Tahoma"/>
          <w:bCs/>
          <w:sz w:val="22"/>
          <w:szCs w:val="22"/>
        </w:rPr>
      </w:pPr>
    </w:p>
    <w:p w14:paraId="2307A5E0" w14:textId="77777777" w:rsidR="009B2050" w:rsidRPr="00B14DFD" w:rsidRDefault="009B2050" w:rsidP="00DC5C74">
      <w:pPr>
        <w:numPr>
          <w:ilvl w:val="0"/>
          <w:numId w:val="40"/>
        </w:numPr>
        <w:spacing w:line="360" w:lineRule="auto"/>
        <w:contextualSpacing/>
        <w:jc w:val="both"/>
        <w:rPr>
          <w:rFonts w:ascii="Palatino Linotype" w:eastAsia="Calibri" w:hAnsi="Palatino Linotype" w:cs="Tahoma"/>
          <w:b/>
          <w:sz w:val="22"/>
          <w:szCs w:val="22"/>
        </w:rPr>
      </w:pPr>
      <w:r w:rsidRPr="00B14DFD">
        <w:rPr>
          <w:rFonts w:ascii="Palatino Linotype" w:eastAsia="Calibri" w:hAnsi="Palatino Linotype" w:cs="Tahoma"/>
          <w:b/>
          <w:sz w:val="22"/>
          <w:szCs w:val="22"/>
        </w:rPr>
        <w:t>Nombre del propietario (Persona física)</w:t>
      </w:r>
    </w:p>
    <w:p w14:paraId="77733EFD" w14:textId="77777777" w:rsidR="009B2050" w:rsidRPr="00B14DFD" w:rsidRDefault="009B2050" w:rsidP="00DC5C74">
      <w:pPr>
        <w:spacing w:line="360" w:lineRule="auto"/>
        <w:contextualSpacing/>
        <w:jc w:val="both"/>
        <w:rPr>
          <w:rFonts w:ascii="Palatino Linotype" w:eastAsia="Calibri" w:hAnsi="Palatino Linotype" w:cs="Tahoma"/>
          <w:b/>
          <w:bCs/>
          <w:sz w:val="22"/>
          <w:szCs w:val="22"/>
          <w:lang w:val="es-ES_tradnl"/>
        </w:rPr>
      </w:pPr>
      <w:r w:rsidRPr="00B14DFD">
        <w:rPr>
          <w:rFonts w:ascii="Palatino Linotype" w:eastAsia="Calibri" w:hAnsi="Palatino Linotype" w:cs="Tahoma"/>
          <w:bCs/>
          <w:sz w:val="22"/>
          <w:szCs w:val="22"/>
        </w:rPr>
        <w:t xml:space="preserve">Al respecto, se considera que el nombre se integra </w:t>
      </w:r>
      <w:r w:rsidRPr="00B14DFD">
        <w:rPr>
          <w:rFonts w:ascii="Palatino Linotype" w:eastAsia="Calibri" w:hAnsi="Palatino Linotype" w:cs="Tahoma"/>
          <w:bCs/>
          <w:sz w:val="22"/>
          <w:szCs w:val="22"/>
          <w:lang w:val="es-ES_tradnl"/>
        </w:rPr>
        <w:t xml:space="preserve">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14DFD">
        <w:rPr>
          <w:rFonts w:ascii="Palatino Linotype" w:eastAsia="Calibri" w:hAnsi="Palatino Linotype" w:cs="Tahoma"/>
          <w:bCs/>
          <w:i/>
          <w:sz w:val="22"/>
          <w:szCs w:val="22"/>
          <w:lang w:val="es-ES_tradnl"/>
        </w:rPr>
        <w:t>per se</w:t>
      </w:r>
      <w:r w:rsidRPr="00B14DFD">
        <w:rPr>
          <w:rFonts w:ascii="Palatino Linotype" w:eastAsia="Calibri" w:hAnsi="Palatino Linotype" w:cs="Tahoma"/>
          <w:bCs/>
          <w:sz w:val="22"/>
          <w:szCs w:val="22"/>
          <w:lang w:val="es-ES_tradnl"/>
        </w:rPr>
        <w:t xml:space="preserve"> es un elemento que hace a una persona física identificada o identificable, por lo que, </w:t>
      </w:r>
      <w:r w:rsidRPr="00B14DFD">
        <w:rPr>
          <w:rFonts w:ascii="Palatino Linotype" w:eastAsia="Calibri" w:hAnsi="Palatino Linotype" w:cs="Tahoma"/>
          <w:b/>
          <w:bCs/>
          <w:sz w:val="22"/>
          <w:szCs w:val="22"/>
          <w:lang w:val="es-ES_tradnl"/>
        </w:rPr>
        <w:t>se considera un dato personal.</w:t>
      </w:r>
    </w:p>
    <w:p w14:paraId="1B446E18"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p>
    <w:p w14:paraId="2B403DB3" w14:textId="77777777" w:rsidR="009B2050" w:rsidRPr="00B14DFD" w:rsidRDefault="009B2050" w:rsidP="00DC5C74">
      <w:pPr>
        <w:spacing w:line="360" w:lineRule="auto"/>
        <w:contextualSpacing/>
        <w:jc w:val="both"/>
        <w:rPr>
          <w:rFonts w:ascii="Palatino Linotype" w:eastAsia="Calibri" w:hAnsi="Palatino Linotype" w:cs="Tahoma"/>
          <w:bCs/>
          <w:sz w:val="22"/>
          <w:szCs w:val="22"/>
          <w:lang w:val="es-ES_tradnl"/>
        </w:rPr>
      </w:pPr>
      <w:r w:rsidRPr="00B14DFD">
        <w:rPr>
          <w:rFonts w:ascii="Palatino Linotype" w:eastAsia="Calibri" w:hAnsi="Palatino Linotype" w:cs="Tahoma"/>
          <w:bCs/>
          <w:sz w:val="22"/>
          <w:szCs w:val="22"/>
          <w:lang w:val="es-ES_tradnl"/>
        </w:rPr>
        <w:t>Sobre el tema, se tiene presente que este Instituto emitió el Criterio Relevante 01/18, de la Segunda Época de este Instituto, que establece que el nombre del titular de una licencia, como en el caso que nos ocupa, es información confidencial, cuando no involucra aprovechamiento de recursos públicos.</w:t>
      </w:r>
    </w:p>
    <w:p w14:paraId="5A8BD198" w14:textId="77777777" w:rsidR="009B2050" w:rsidRPr="00B14DFD" w:rsidRDefault="009B2050" w:rsidP="00DC5C74">
      <w:pPr>
        <w:spacing w:line="276" w:lineRule="auto"/>
        <w:ind w:left="851" w:right="567"/>
        <w:contextualSpacing/>
        <w:jc w:val="both"/>
        <w:rPr>
          <w:rFonts w:ascii="Palatino Linotype" w:eastAsia="Calibri" w:hAnsi="Palatino Linotype" w:cs="Tahoma"/>
          <w:b/>
          <w:bCs/>
          <w:i/>
          <w:iCs/>
          <w:sz w:val="22"/>
          <w:szCs w:val="22"/>
        </w:rPr>
      </w:pPr>
    </w:p>
    <w:p w14:paraId="40F49EB1" w14:textId="77777777" w:rsidR="009B2050" w:rsidRPr="00B14DFD" w:rsidRDefault="009B2050" w:rsidP="00D14140">
      <w:pPr>
        <w:spacing w:line="276" w:lineRule="auto"/>
        <w:ind w:left="851" w:right="843"/>
        <w:contextualSpacing/>
        <w:jc w:val="both"/>
        <w:rPr>
          <w:rFonts w:ascii="Palatino Linotype" w:eastAsia="Calibri" w:hAnsi="Palatino Linotype" w:cs="Tahoma"/>
          <w:bCs/>
          <w:i/>
          <w:iCs/>
          <w:sz w:val="22"/>
          <w:szCs w:val="22"/>
        </w:rPr>
      </w:pPr>
      <w:r w:rsidRPr="00B14DFD">
        <w:rPr>
          <w:rFonts w:ascii="Palatino Linotype" w:eastAsia="Calibri" w:hAnsi="Palatino Linotype" w:cs="Tahoma"/>
          <w:b/>
          <w:bCs/>
          <w:i/>
          <w:iCs/>
          <w:sz w:val="22"/>
          <w:szCs w:val="22"/>
        </w:rPr>
        <w:t>“Nombre del titular de una licencia que no involucre el aprovechamiento de bienes, servicios y/o recursos públicos, constituye un dato personal susceptible de clasificar como confidencial.</w:t>
      </w:r>
      <w:r w:rsidRPr="00B14DFD">
        <w:rPr>
          <w:rFonts w:ascii="Palatino Linotype" w:eastAsia="Calibri" w:hAnsi="Palatino Linotype" w:cs="Tahoma"/>
          <w:bCs/>
          <w:i/>
          <w:iCs/>
          <w:sz w:val="22"/>
          <w:szCs w:val="22"/>
        </w:rPr>
        <w:t xml:space="preserve"> El artículo 1, párrafo segundo de la Constitución Política de los Estados Unidos Mexicanos determina que las normas relativas a los derechos humanos se interpretarán de conformidad con la Constitución y con los tratados internacionales de la materia favoreciendo en todo tiempo a las personas la protección más amplia, por su parte el artículo 6, apartado A, fracciones I y II, de dicho ordenamiento establece que toda información en posesión de los sujetos obligados es pública y sólo podrá limitarse de manera justificada por razones de interés público, seguridad nacional, y para proteger la vida privada y datos personales en los términos precisados por las Leyes reglamentarias. Ahora bien, el artículo 92, fracción XXXII de la Ley de Transparencia y Acceso a la Información Pública del Estado de México y Municipios, señala que el nombre de los titulares de las licencias es un dato de carácter público, no obstante, para su aplicación, dicho numeral debe ser interpretado de manera armónica y sistemática con el ordenamiento reglamentario de la materia de transparencia y protección de datos personales, pues la intromisión a los datos personales de particulares únicamente se verá justificada cuando se involucre el aprovechamiento de bienes, servicios y/o recursos públicos en términos de lo dispuesto por los artículos 6, 92, fracción XXXII, 122 y 143, fracción I, de la Ley de Transparencia referida en concordancia con lo establecido por los numerales 6 y 15 de la Ley de Protección de Datos Personales en Posesión de Sujetos Obligados de la entidad. En ese sentido, el nombre de los titulares de licencias constituye un dato personal que debe ser tratado bajo los principios y términos de la ley reglamentaria de la materia, y para su publicidad se requerirá que la expedición de la licencia correspondiente involucre el aprovechamiento de bienes, servicios y/o recursos públicos, caso contrario se deberá clasificar como confidencial.”</w:t>
      </w:r>
    </w:p>
    <w:p w14:paraId="0378CA6A"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p>
    <w:p w14:paraId="78BAAD64"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r w:rsidRPr="00B14DFD">
        <w:rPr>
          <w:rFonts w:ascii="Palatino Linotype" w:hAnsi="Palatino Linotype" w:cs="Tahoma"/>
          <w:bCs/>
          <w:sz w:val="22"/>
          <w:szCs w:val="22"/>
          <w:lang w:val="es-ES"/>
        </w:rPr>
        <w:t>En el Criterio en cita, se argumenta que si bien el nombre de los titulares de las licencias es un dato de carácter público, en términos del artículo 92, fracción XXXII, de la Ley de Transparencia y Acceso a la Información Pública del Estado de México y Municipios, dicho precepto legal debe ser interpretado de manera armónica y sistemática, pues la intromisión a los datos personales de particulares únicamente se verá justificada cuando involucre el aprovechamiento de bienes, servicios o recursos públicos; por lo que constituye un dato personal, a menos que se actualice alguno de los supuestos previamente señalados.</w:t>
      </w:r>
    </w:p>
    <w:p w14:paraId="2C9AD349"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4AA85808"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r w:rsidRPr="00B14DFD">
        <w:rPr>
          <w:rFonts w:ascii="Palatino Linotype" w:hAnsi="Palatino Linotype" w:cs="Tahoma"/>
          <w:bCs/>
          <w:sz w:val="22"/>
          <w:szCs w:val="22"/>
        </w:rPr>
        <w:t xml:space="preserve">No obstante, el artículo 94, fracción I, inciso f) de la Ley de la materia, establece que es información pública de oficio por parte de los Municipios del Estado de México, la referente al otorgamiento de Licencias de Uso de Suelo y de Construcción. Además, en los formatos </w:t>
      </w:r>
      <w:r w:rsidRPr="00B14DFD">
        <w:rPr>
          <w:rFonts w:ascii="Palatino Linotype" w:hAnsi="Palatino Linotype" w:cs="Tahoma"/>
          <w:bCs/>
          <w:sz w:val="22"/>
          <w:szCs w:val="22"/>
          <w:lang w:val="es-ES"/>
        </w:rPr>
        <w:t>6f LGT_Art_71_Fr_If (Licencias de Uso de Suelo) y 7f LGT_Art_71_Fr_If (Licencias de construcción), de los Lineamientos Generales, establecen lo siguiente:</w:t>
      </w:r>
    </w:p>
    <w:p w14:paraId="374613CF"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p>
    <w:p w14:paraId="1672AB11"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noProof/>
          <w:sz w:val="22"/>
          <w:szCs w:val="22"/>
        </w:rPr>
        <w:drawing>
          <wp:inline distT="0" distB="0" distL="0" distR="0" wp14:anchorId="2003B830" wp14:editId="49BDCF1F">
            <wp:extent cx="5671185" cy="456565"/>
            <wp:effectExtent l="0" t="0" r="5715" b="635"/>
            <wp:docPr id="1774275110"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71185" cy="456565"/>
                    </a:xfrm>
                    <a:prstGeom prst="rect">
                      <a:avLst/>
                    </a:prstGeom>
                    <a:noFill/>
                    <a:ln>
                      <a:noFill/>
                    </a:ln>
                  </pic:spPr>
                </pic:pic>
              </a:graphicData>
            </a:graphic>
          </wp:inline>
        </w:drawing>
      </w:r>
    </w:p>
    <w:p w14:paraId="48196DDD"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noProof/>
          <w:sz w:val="22"/>
          <w:szCs w:val="22"/>
        </w:rPr>
        <mc:AlternateContent>
          <mc:Choice Requires="wps">
            <w:drawing>
              <wp:anchor distT="0" distB="0" distL="114300" distR="114300" simplePos="0" relativeHeight="251659264" behindDoc="0" locked="0" layoutInCell="1" allowOverlap="1" wp14:anchorId="11BFAF42" wp14:editId="01B32609">
                <wp:simplePos x="0" y="0"/>
                <wp:positionH relativeFrom="column">
                  <wp:posOffset>3201670</wp:posOffset>
                </wp:positionH>
                <wp:positionV relativeFrom="paragraph">
                  <wp:posOffset>33020</wp:posOffset>
                </wp:positionV>
                <wp:extent cx="1638300" cy="638175"/>
                <wp:effectExtent l="19050" t="19050" r="19050" b="28575"/>
                <wp:wrapNone/>
                <wp:docPr id="46" name="Rectángulo 12"/>
                <wp:cNvGraphicFramePr/>
                <a:graphic xmlns:a="http://schemas.openxmlformats.org/drawingml/2006/main">
                  <a:graphicData uri="http://schemas.microsoft.com/office/word/2010/wordprocessingShape">
                    <wps:wsp>
                      <wps:cNvSpPr/>
                      <wps:spPr>
                        <a:xfrm>
                          <a:off x="0" y="0"/>
                          <a:ext cx="1638300" cy="638175"/>
                        </a:xfrm>
                        <a:prstGeom prst="rect">
                          <a:avLst/>
                        </a:prstGeom>
                        <a:noFill/>
                        <a:ln w="38100" cap="flat" cmpd="sng" algn="ctr">
                          <a:solidFill>
                            <a:sysClr val="windowText" lastClr="000000"/>
                          </a:solidFill>
                          <a:prstDash val="solid"/>
                        </a:ln>
                        <a:effectLst/>
                      </wps:spPr>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238E0C0" id="Rectángulo 12" o:spid="_x0000_s1026" style="position:absolute;margin-left:252.1pt;margin-top:2.6pt;width:129pt;height:50.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" filled="f" strokecolor="windowText" strokeweight="3pt"/>
            </w:pict>
          </mc:Fallback>
        </mc:AlternateContent>
      </w:r>
      <w:r w:rsidRPr="00B14DFD">
        <w:rPr>
          <w:rFonts w:ascii="Palatino Linotype" w:hAnsi="Palatino Linotype" w:cs="Tahoma"/>
          <w:noProof/>
          <w:sz w:val="22"/>
          <w:szCs w:val="22"/>
        </w:rPr>
        <w:drawing>
          <wp:inline distT="0" distB="0" distL="0" distR="0" wp14:anchorId="50C6DD71" wp14:editId="782A1E67">
            <wp:extent cx="5671185" cy="894715"/>
            <wp:effectExtent l="0" t="0" r="5715" b="635"/>
            <wp:docPr id="2144923486"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1185" cy="894715"/>
                    </a:xfrm>
                    <a:prstGeom prst="rect">
                      <a:avLst/>
                    </a:prstGeom>
                    <a:noFill/>
                    <a:ln>
                      <a:noFill/>
                    </a:ln>
                  </pic:spPr>
                </pic:pic>
              </a:graphicData>
            </a:graphic>
          </wp:inline>
        </w:drawing>
      </w:r>
    </w:p>
    <w:p w14:paraId="12988417"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001020CE"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Como se logra observar, en los formatos para publicar las obligaciones de transparencia de los sujetos obligados, establecen que para el caso de las Licencias de Uso de Suelo o de Construcción, se debe proporcionar el nombre completo, de la persona física que solicita dichas licencias. Inclusive dicha situación se precisa en los Criterios 33 y 43, relacionados a dichos formatos.</w:t>
      </w:r>
    </w:p>
    <w:p w14:paraId="05C72607"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440A8DF2" w14:textId="1E3EA7AF"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Cabe puntualizar que la</w:t>
      </w:r>
      <w:r w:rsidR="00644DDB" w:rsidRPr="00B14DFD">
        <w:rPr>
          <w:rFonts w:ascii="Palatino Linotype" w:hAnsi="Palatino Linotype" w:cs="Tahoma"/>
          <w:bCs/>
          <w:sz w:val="22"/>
          <w:szCs w:val="22"/>
        </w:rPr>
        <w:t>s</w:t>
      </w:r>
      <w:r w:rsidRPr="00B14DFD">
        <w:rPr>
          <w:rFonts w:ascii="Palatino Linotype" w:hAnsi="Palatino Linotype" w:cs="Tahoma"/>
          <w:bCs/>
          <w:sz w:val="22"/>
          <w:szCs w:val="22"/>
        </w:rPr>
        <w:t xml:space="preserve"> multicitadas Licencias, tal como se estableció en párrafos anteriores, se refieren a los documentos que contienen la autorización de la autoridad competente, para que los particulares puedan realizar diversas construcciones o modificaciones en sus predios; esto es, es información generada o que tiene en posesión el Sujeto Obligado.</w:t>
      </w:r>
    </w:p>
    <w:p w14:paraId="63F45545"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2F783652"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r w:rsidRPr="00B14DFD">
        <w:rPr>
          <w:rFonts w:ascii="Palatino Linotype" w:hAnsi="Palatino Linotype" w:cs="Tahoma"/>
          <w:bCs/>
          <w:sz w:val="22"/>
          <w:szCs w:val="22"/>
        </w:rPr>
        <w:t xml:space="preserve">Además, </w:t>
      </w:r>
      <w:r w:rsidRPr="00B14DFD">
        <w:rPr>
          <w:rFonts w:ascii="Palatino Linotype" w:hAnsi="Palatino Linotype" w:cs="Tahoma"/>
          <w:bCs/>
          <w:sz w:val="22"/>
          <w:szCs w:val="22"/>
          <w:lang w:val="es-ES"/>
        </w:rPr>
        <w:t>el Dictamen de las Comisiones Unidas de Anticorrupción y Participación Ciudadana, de Gobernación y de Estudios Legislativos, segunda; se desprende que el Poder Legislativo consideró que una de las principales contribuciones, es el catálogo de las obligaciones de transparencia, a través de un listado amplio, completo, detallado y preciso para todos los sujetos obligados del país, que permitan garantizar, el efectivo ejercicio del derecho de acceso a la información.</w:t>
      </w:r>
    </w:p>
    <w:p w14:paraId="31C8C41A"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p>
    <w:p w14:paraId="7E17EAE4"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lang w:val="es-ES"/>
        </w:rPr>
        <w:t>Conforme a lo anterior, se puede advertir que la Ley de Transparencia y Acceso a la Información Pública del Estado de México y Municipios, contempla como información pública el nombre de personas físicas solicitantes de las multicitadas licencias.</w:t>
      </w:r>
    </w:p>
    <w:p w14:paraId="769B17AC"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36E82296"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r w:rsidRPr="00B14DFD">
        <w:rPr>
          <w:rFonts w:ascii="Palatino Linotype" w:hAnsi="Palatino Linotype" w:cs="Tahoma"/>
          <w:bCs/>
          <w:sz w:val="22"/>
          <w:szCs w:val="22"/>
          <w:lang w:val="es-ES"/>
        </w:rPr>
        <w:t xml:space="preserve">Ante tales circunstancias, se desprende que, en el caso concreto, sobreviene una </w:t>
      </w:r>
      <w:r w:rsidRPr="00B14DFD">
        <w:rPr>
          <w:rFonts w:ascii="Palatino Linotype" w:hAnsi="Palatino Linotype" w:cs="Tahoma"/>
          <w:b/>
          <w:bCs/>
          <w:sz w:val="22"/>
          <w:szCs w:val="22"/>
          <w:lang w:val="es-ES"/>
        </w:rPr>
        <w:t>colisión de derechos fundamentales,</w:t>
      </w:r>
      <w:r w:rsidRPr="00B14DFD">
        <w:rPr>
          <w:rFonts w:ascii="Palatino Linotype" w:hAnsi="Palatino Linotype" w:cs="Tahoma"/>
          <w:bCs/>
          <w:sz w:val="22"/>
          <w:szCs w:val="22"/>
          <w:lang w:val="es-ES"/>
        </w:rPr>
        <w:t xml:space="preserve"> esto es, por una parte, se tiene el derecho de acceso a la información del recurrente para conocer el nombre de la persona a la cual se le otorgó una licencia para construir en un predio, y por la otra, el derecho a la protección de los nombres de aquellas a quienes obtuvieron una autorización específica, lo cual implica dar a conocer datos personales confidenciales consistentes, en el nombre de personas físicas y este vincularlo en la construcción de alguna obra o proyecto, y el lugar en el que se ubica el predio.</w:t>
      </w:r>
    </w:p>
    <w:p w14:paraId="0283AD23"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1095C6A0"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Sobre el particular, debe señalarse que, en un sistema jurídico racional, el contenido de ciertos derechos fundamentales no es absoluto y la colisión entre derechos fundamentales debe resolverse mediante una ponderación que determine el derecho que ha de prevalecer en el caso concretó, y no apelando a reglas de prioridad entre normas.</w:t>
      </w:r>
    </w:p>
    <w:p w14:paraId="5CF1905D"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3A3C1F05"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 xml:space="preserve">Por cuanto hace a la colisión entre el derecho a la información y el derecho a la intimidad o a la vida privada, el Poder Judicial de la Federación ha sostenido la </w:t>
      </w:r>
      <w:r w:rsidRPr="00B14DFD">
        <w:rPr>
          <w:rFonts w:ascii="Palatino Linotype" w:hAnsi="Palatino Linotype" w:cs="Tahoma"/>
          <w:b/>
          <w:bCs/>
          <w:sz w:val="22"/>
          <w:szCs w:val="22"/>
        </w:rPr>
        <w:t xml:space="preserve">necesidad de resolver el conflicto apuntado mediante el ejercicio de ponderación; además, que el interés público que tenga cierta información, será concepto legitimador de las intromisiones en la intimidad o la vida privada, en donde este derecho debe ceder a favor del derecho a comunicar y recibir información, atendiendo a las circunstancias de cada caso en concreto, </w:t>
      </w:r>
      <w:r w:rsidRPr="00B14DFD">
        <w:rPr>
          <w:rFonts w:ascii="Palatino Linotype" w:hAnsi="Palatino Linotype" w:cs="Tahoma"/>
          <w:bCs/>
          <w:sz w:val="22"/>
          <w:szCs w:val="22"/>
        </w:rPr>
        <w:t>tal y como se desprende de la tesis 1a. XLIII/2010, emitida por la Primera Sala de la Suprema Corte de Justicia de la Nación, publicada en el Semanario Judicial de la Federación y su Gaceta, Tomo XXXI, página 928, de marzo de 2010, Novena Época, materia constitucional.</w:t>
      </w:r>
    </w:p>
    <w:p w14:paraId="2F7ED77D"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301D93A1" w14:textId="77777777" w:rsidR="007F7E4E" w:rsidRPr="00B14DFD" w:rsidRDefault="007F7E4E" w:rsidP="00DC5C74">
      <w:pPr>
        <w:spacing w:line="360" w:lineRule="auto"/>
        <w:contextualSpacing/>
        <w:jc w:val="both"/>
        <w:rPr>
          <w:rFonts w:ascii="Palatino Linotype" w:hAnsi="Palatino Linotype" w:cs="Tahoma"/>
          <w:bCs/>
          <w:iCs/>
          <w:sz w:val="22"/>
          <w:szCs w:val="22"/>
        </w:rPr>
      </w:pPr>
      <w:r w:rsidRPr="00B14DFD">
        <w:rPr>
          <w:rFonts w:ascii="Palatino Linotype" w:hAnsi="Palatino Linotype" w:cs="Tahoma"/>
          <w:bCs/>
          <w:sz w:val="22"/>
          <w:szCs w:val="22"/>
        </w:rPr>
        <w:t>En ese mismo sentido y atendiendo a la naturaleza del derecho a la protección de datos personales, por analogía, este debe ceder cuando exista un interés público mayor de acuerdo a las circunstancias del caso.</w:t>
      </w:r>
      <w:r w:rsidRPr="00B14DFD">
        <w:rPr>
          <w:rFonts w:ascii="Palatino Linotype" w:hAnsi="Palatino Linotype" w:cs="Tahoma"/>
          <w:bCs/>
          <w:iCs/>
          <w:sz w:val="22"/>
          <w:szCs w:val="22"/>
        </w:rPr>
        <w:t xml:space="preserve"> Señalado lo anterior, resulta necesario realizar una ponderación de los dos intereses jurídicos tutelados que convergen en la controversia que se dirime; para lo cual, el artículo </w:t>
      </w:r>
      <w:r w:rsidRPr="00B14DFD">
        <w:rPr>
          <w:rFonts w:ascii="Palatino Linotype" w:hAnsi="Palatino Linotype" w:cs="Tahoma"/>
          <w:bCs/>
          <w:sz w:val="22"/>
          <w:szCs w:val="22"/>
        </w:rPr>
        <w:t>184 de la Ley de Transparencia y Acceso a la Información Pública del Estado de México y Municipios</w:t>
      </w:r>
      <w:r w:rsidRPr="00B14DFD">
        <w:rPr>
          <w:rFonts w:ascii="Palatino Linotype" w:hAnsi="Palatino Linotype" w:cs="Tahoma"/>
          <w:bCs/>
          <w:iCs/>
          <w:sz w:val="22"/>
          <w:szCs w:val="22"/>
        </w:rPr>
        <w:t xml:space="preserve"> prevé que cuando exista una colisión de derechos, este Instituto, al resolver el recurso de revisión, debe aplicar una prueba de interés público con base en elementos de idoneidad, necesidad y proporcionalidad. Para estos efectos, se entenderá por: </w:t>
      </w:r>
    </w:p>
    <w:p w14:paraId="79B54A52" w14:textId="77777777" w:rsidR="007F7E4E" w:rsidRPr="00B14DFD" w:rsidRDefault="007F7E4E" w:rsidP="00DC5C74">
      <w:pPr>
        <w:spacing w:line="360" w:lineRule="auto"/>
        <w:contextualSpacing/>
        <w:jc w:val="both"/>
        <w:rPr>
          <w:rFonts w:ascii="Palatino Linotype" w:hAnsi="Palatino Linotype" w:cs="Tahoma"/>
          <w:bCs/>
          <w:iCs/>
          <w:sz w:val="22"/>
          <w:szCs w:val="22"/>
        </w:rPr>
      </w:pPr>
    </w:p>
    <w:p w14:paraId="3AF12CE4" w14:textId="77777777" w:rsidR="007F7E4E" w:rsidRPr="00B14DFD" w:rsidRDefault="007F7E4E" w:rsidP="00DC5C74">
      <w:pPr>
        <w:numPr>
          <w:ilvl w:val="0"/>
          <w:numId w:val="41"/>
        </w:numPr>
        <w:spacing w:line="360" w:lineRule="auto"/>
        <w:contextualSpacing/>
        <w:jc w:val="both"/>
        <w:rPr>
          <w:rFonts w:ascii="Palatino Linotype" w:hAnsi="Palatino Linotype" w:cs="Tahoma"/>
          <w:bCs/>
          <w:iCs/>
          <w:sz w:val="22"/>
          <w:szCs w:val="22"/>
        </w:rPr>
      </w:pPr>
      <w:r w:rsidRPr="00B14DFD">
        <w:rPr>
          <w:rFonts w:ascii="Palatino Linotype" w:hAnsi="Palatino Linotype" w:cs="Tahoma"/>
          <w:b/>
          <w:bCs/>
          <w:iCs/>
          <w:sz w:val="22"/>
          <w:szCs w:val="22"/>
        </w:rPr>
        <w:t>Idoneidad:</w:t>
      </w:r>
      <w:r w:rsidRPr="00B14DFD">
        <w:rPr>
          <w:rFonts w:ascii="Palatino Linotype" w:hAnsi="Palatino Linotype" w:cs="Tahoma"/>
          <w:bCs/>
          <w:iCs/>
          <w:sz w:val="22"/>
          <w:szCs w:val="22"/>
        </w:rPr>
        <w:t xml:space="preserve"> La legitimidad del derecho adoptado como preferente, que sea el adecuado para el logro de un fin constitucionalmente válido o apto para conseguir el fin pretendido;</w:t>
      </w:r>
    </w:p>
    <w:p w14:paraId="5153FF78" w14:textId="77777777" w:rsidR="007F7E4E" w:rsidRPr="00B14DFD" w:rsidRDefault="007F7E4E" w:rsidP="00DC5C74">
      <w:pPr>
        <w:numPr>
          <w:ilvl w:val="0"/>
          <w:numId w:val="41"/>
        </w:numPr>
        <w:spacing w:line="360" w:lineRule="auto"/>
        <w:contextualSpacing/>
        <w:jc w:val="both"/>
        <w:rPr>
          <w:rFonts w:ascii="Palatino Linotype" w:hAnsi="Palatino Linotype" w:cs="Tahoma"/>
          <w:bCs/>
          <w:iCs/>
          <w:sz w:val="22"/>
          <w:szCs w:val="22"/>
        </w:rPr>
      </w:pPr>
      <w:r w:rsidRPr="00B14DFD">
        <w:rPr>
          <w:rFonts w:ascii="Palatino Linotype" w:hAnsi="Palatino Linotype" w:cs="Tahoma"/>
          <w:b/>
          <w:bCs/>
          <w:iCs/>
          <w:sz w:val="22"/>
          <w:szCs w:val="22"/>
        </w:rPr>
        <w:t>Necesidad:</w:t>
      </w:r>
      <w:r w:rsidRPr="00B14DFD">
        <w:rPr>
          <w:rFonts w:ascii="Palatino Linotype" w:hAnsi="Palatino Linotype" w:cs="Tahoma"/>
          <w:bCs/>
          <w:iCs/>
          <w:sz w:val="22"/>
          <w:szCs w:val="22"/>
        </w:rPr>
        <w:t xml:space="preserve"> La falta de un medio alternativo menos lesivo a la apertura de la información, para satisfacer el interés público, y</w:t>
      </w:r>
    </w:p>
    <w:p w14:paraId="1E7C73DD" w14:textId="77777777" w:rsidR="007F7E4E" w:rsidRPr="00B14DFD" w:rsidRDefault="007F7E4E" w:rsidP="00DC5C74">
      <w:pPr>
        <w:numPr>
          <w:ilvl w:val="0"/>
          <w:numId w:val="41"/>
        </w:numPr>
        <w:spacing w:line="360" w:lineRule="auto"/>
        <w:contextualSpacing/>
        <w:jc w:val="both"/>
        <w:rPr>
          <w:rFonts w:ascii="Palatino Linotype" w:hAnsi="Palatino Linotype" w:cs="Tahoma"/>
          <w:bCs/>
          <w:iCs/>
          <w:sz w:val="22"/>
          <w:szCs w:val="22"/>
        </w:rPr>
      </w:pPr>
      <w:r w:rsidRPr="00B14DFD">
        <w:rPr>
          <w:rFonts w:ascii="Palatino Linotype" w:hAnsi="Palatino Linotype" w:cs="Tahoma"/>
          <w:b/>
          <w:bCs/>
          <w:iCs/>
          <w:sz w:val="22"/>
          <w:szCs w:val="22"/>
        </w:rPr>
        <w:t>Proporcionalidad:</w:t>
      </w:r>
      <w:r w:rsidRPr="00B14DFD">
        <w:rPr>
          <w:rFonts w:ascii="Palatino Linotype" w:hAnsi="Palatino Linotype" w:cs="Tahoma"/>
          <w:bCs/>
          <w:iCs/>
          <w:sz w:val="22"/>
          <w:szCs w:val="22"/>
        </w:rPr>
        <w:t xml:space="preserve"> El equilibrio entre perjuicio y beneficio a favor del interés público, a fin de que la decisión tomada represente un beneficio mayor al perjuicio que podría causar a la población.</w:t>
      </w:r>
    </w:p>
    <w:p w14:paraId="2775B3E3"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6982D3B2"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En ese orden de ideas, resulta procedente analizar cada uno de los elementos referidos, bajo las consideraciones que se verterán a continuación.</w:t>
      </w:r>
    </w:p>
    <w:p w14:paraId="5B003166"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3173F8D0" w14:textId="77777777" w:rsidR="007F7E4E" w:rsidRPr="00B14DFD" w:rsidRDefault="007F7E4E" w:rsidP="00DC5C74">
      <w:pPr>
        <w:spacing w:line="360" w:lineRule="auto"/>
        <w:contextualSpacing/>
        <w:jc w:val="both"/>
        <w:rPr>
          <w:rFonts w:ascii="Palatino Linotype" w:hAnsi="Palatino Linotype" w:cs="Tahoma"/>
          <w:b/>
          <w:bCs/>
          <w:sz w:val="22"/>
          <w:szCs w:val="22"/>
        </w:rPr>
      </w:pPr>
      <w:r w:rsidRPr="00B14DFD">
        <w:rPr>
          <w:rFonts w:ascii="Palatino Linotype" w:hAnsi="Palatino Linotype" w:cs="Tahoma"/>
          <w:b/>
          <w:bCs/>
          <w:iCs/>
          <w:sz w:val="22"/>
          <w:szCs w:val="22"/>
        </w:rPr>
        <w:t>a) Idoneidad</w:t>
      </w:r>
      <w:r w:rsidRPr="00B14DFD">
        <w:rPr>
          <w:rFonts w:ascii="Palatino Linotype" w:hAnsi="Palatino Linotype" w:cs="Tahoma"/>
          <w:bCs/>
          <w:sz w:val="22"/>
          <w:szCs w:val="22"/>
        </w:rPr>
        <w:t>. En cuanto al primer elemento de ponderación, se debe elegir el principio que será adoptado como preferente, buscando su justificación a partir de la valoración adecuada para satisfacer el fin constitucionalmente válido o pretendido.</w:t>
      </w:r>
    </w:p>
    <w:p w14:paraId="491D0679" w14:textId="77777777" w:rsidR="007F7E4E" w:rsidRPr="00B14DFD" w:rsidRDefault="007F7E4E" w:rsidP="00DC5C74">
      <w:pPr>
        <w:spacing w:line="360" w:lineRule="auto"/>
        <w:contextualSpacing/>
        <w:jc w:val="both"/>
        <w:rPr>
          <w:rFonts w:ascii="Palatino Linotype" w:hAnsi="Palatino Linotype" w:cs="Tahoma"/>
          <w:b/>
          <w:bCs/>
          <w:sz w:val="22"/>
          <w:szCs w:val="22"/>
        </w:rPr>
      </w:pPr>
    </w:p>
    <w:p w14:paraId="798E31A9" w14:textId="2DEC7DB0"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Al respecto, se considera que debe prevalecer el derecho a la protección de datos personales del titular de dichas licencias, por encima del derecho de acceso a la información, toda vez que, en el presente caso, no se advierte que ésta involucre el aprovechamiento de bienes o servicios del Ayuntamiento, o bien, de recursos públicos, pues en el presente caso, las Licencias de Construcción y Uso de Suelo, son para un proyecto privado para remodelar un establecimiento</w:t>
      </w:r>
      <w:r w:rsidRPr="00B14DFD">
        <w:rPr>
          <w:rFonts w:ascii="Palatino Linotype" w:hAnsi="Palatino Linotype" w:cs="Tahoma"/>
          <w:bCs/>
          <w:iCs/>
          <w:sz w:val="22"/>
          <w:szCs w:val="22"/>
          <w:lang w:val="es-ES"/>
        </w:rPr>
        <w:t>. Lo anterior, toda vez que se realizó una búsqueda de información pública y no se localizó que el Sujeto Obligado, tenga injerencia en dicha construcción.</w:t>
      </w:r>
    </w:p>
    <w:p w14:paraId="5F141B33" w14:textId="77777777" w:rsidR="007F7E4E" w:rsidRPr="00B14DFD" w:rsidRDefault="007F7E4E" w:rsidP="00DC5C74">
      <w:pPr>
        <w:spacing w:line="360" w:lineRule="auto"/>
        <w:contextualSpacing/>
        <w:jc w:val="both"/>
        <w:rPr>
          <w:rFonts w:ascii="Palatino Linotype" w:hAnsi="Palatino Linotype" w:cs="Tahoma"/>
          <w:b/>
          <w:bCs/>
          <w:sz w:val="22"/>
          <w:szCs w:val="22"/>
        </w:rPr>
      </w:pPr>
    </w:p>
    <w:p w14:paraId="216468A4" w14:textId="77777777" w:rsidR="007F7E4E" w:rsidRPr="00B14DFD" w:rsidRDefault="007F7E4E" w:rsidP="00DC5C74">
      <w:pPr>
        <w:spacing w:line="360" w:lineRule="auto"/>
        <w:contextualSpacing/>
        <w:jc w:val="both"/>
        <w:rPr>
          <w:rFonts w:ascii="Palatino Linotype" w:hAnsi="Palatino Linotype" w:cs="Tahoma"/>
          <w:b/>
          <w:bCs/>
          <w:sz w:val="22"/>
          <w:szCs w:val="22"/>
        </w:rPr>
      </w:pPr>
      <w:r w:rsidRPr="00B14DFD">
        <w:rPr>
          <w:rFonts w:ascii="Palatino Linotype" w:hAnsi="Palatino Linotype" w:cs="Tahoma"/>
          <w:bCs/>
          <w:sz w:val="22"/>
          <w:szCs w:val="22"/>
        </w:rPr>
        <w:t xml:space="preserve">En ese contexto, cabe traer a colación lo previsto en la tesis aislada número 1a.CCXIV/2009, emitida por la Primera Sala de la Suprema Corte de Justicia de la Nación, publicada en la Gaceta del Semanario Judicial de la Federación, Tomo XXX, de diciembre de 2009, página 277, de la Novena Época, materia constitucional, de la cual se colige que </w:t>
      </w:r>
      <w:r w:rsidRPr="00B14DFD">
        <w:rPr>
          <w:rFonts w:ascii="Palatino Linotype" w:hAnsi="Palatino Linotype" w:cs="Tahoma"/>
          <w:b/>
          <w:bCs/>
          <w:sz w:val="22"/>
          <w:szCs w:val="22"/>
        </w:rPr>
        <w:t>las actividades que realicen las personas, dentro del ámbito privado, o dentro de la esfera particular, es información que debe protegerse.</w:t>
      </w:r>
    </w:p>
    <w:p w14:paraId="240F31BF" w14:textId="77777777" w:rsidR="007F7E4E" w:rsidRPr="00B14DFD" w:rsidRDefault="007F7E4E" w:rsidP="00DC5C74">
      <w:pPr>
        <w:spacing w:line="360" w:lineRule="auto"/>
        <w:contextualSpacing/>
        <w:jc w:val="both"/>
        <w:rPr>
          <w:rFonts w:ascii="Palatino Linotype" w:hAnsi="Palatino Linotype" w:cs="Tahoma"/>
          <w:b/>
          <w:bCs/>
          <w:sz w:val="22"/>
          <w:szCs w:val="22"/>
        </w:rPr>
      </w:pPr>
    </w:p>
    <w:p w14:paraId="75F441E0" w14:textId="6ADEB66C"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En el presente caso, entregar el nombre de la persona física identificada, iría en contra del derecho de la vida privada, pues daría cuenta de la decisión personal de la misma; es decir, de un acto de voluntad de dicho individuo para realizar una construcción o modificación a un predio o inmueble que tiene en s</w:t>
      </w:r>
      <w:r w:rsidR="00461BDF" w:rsidRPr="00B14DFD">
        <w:rPr>
          <w:rFonts w:ascii="Palatino Linotype" w:hAnsi="Palatino Linotype" w:cs="Tahoma"/>
          <w:bCs/>
          <w:sz w:val="22"/>
          <w:szCs w:val="22"/>
        </w:rPr>
        <w:t>u</w:t>
      </w:r>
      <w:r w:rsidRPr="00B14DFD">
        <w:rPr>
          <w:rFonts w:ascii="Palatino Linotype" w:hAnsi="Palatino Linotype" w:cs="Tahoma"/>
          <w:bCs/>
          <w:sz w:val="22"/>
          <w:szCs w:val="22"/>
        </w:rPr>
        <w:t xml:space="preserve"> posesión o propiedad, lo cual constituye una cuestión de carácter estrictamente íntimo.</w:t>
      </w:r>
    </w:p>
    <w:p w14:paraId="3690383E" w14:textId="77777777" w:rsidR="007F7E4E" w:rsidRPr="00B14DFD" w:rsidRDefault="007F7E4E" w:rsidP="00DC5C74">
      <w:pPr>
        <w:spacing w:line="360" w:lineRule="auto"/>
        <w:contextualSpacing/>
        <w:jc w:val="both"/>
        <w:rPr>
          <w:rFonts w:ascii="Palatino Linotype" w:hAnsi="Palatino Linotype" w:cs="Tahoma"/>
          <w:b/>
          <w:bCs/>
          <w:sz w:val="22"/>
          <w:szCs w:val="22"/>
        </w:rPr>
      </w:pPr>
    </w:p>
    <w:p w14:paraId="55CA84C1" w14:textId="0984162E"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Por otra parte, si bien las multicitadas licencias son emitidas por el Ayuntamiento</w:t>
      </w:r>
      <w:r w:rsidR="005F66A6" w:rsidRPr="00B14DFD">
        <w:rPr>
          <w:rFonts w:ascii="Palatino Linotype" w:hAnsi="Palatino Linotype" w:cs="Tahoma"/>
          <w:bCs/>
          <w:sz w:val="22"/>
          <w:szCs w:val="22"/>
        </w:rPr>
        <w:t xml:space="preserve"> de Zinacantepec</w:t>
      </w:r>
      <w:r w:rsidRPr="00B14DFD">
        <w:rPr>
          <w:rFonts w:ascii="Palatino Linotype" w:hAnsi="Palatino Linotype" w:cs="Tahoma"/>
          <w:bCs/>
          <w:sz w:val="22"/>
          <w:szCs w:val="22"/>
        </w:rPr>
        <w:t>, en cumplimiento de sus obligaciones y, por lo tanto, las mismas acreditan el correcto actuar de este; también lo es, que el nombre de la persona física solicitante al ser protegido no afecta la certeza del documento, pues este busca acreditar que en un determinado predio se puede realizar una construcción.</w:t>
      </w:r>
    </w:p>
    <w:p w14:paraId="5553BEF9"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08D22EA7"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Es bajo tales consideraciones, que se determinada que la protección del nombre de las personas físicas solicitante de las Licencias de Uso de Suelo o Construcción debe prevalecer frente al derecho de acceso a la información, pues el mismo no transparenta la gestión pública y la correcta actuación del Sujeto Obligado, pues dicha situación se acredita con el propio documento, sin necesidad el solicitante.</w:t>
      </w:r>
    </w:p>
    <w:p w14:paraId="02546821"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7B2B7AF3"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Lo anterior, toma sustento con el hecho que las Licencias de Construcción y Uso, buscan acreditar la autorización de que, en un determinado predio o inmueble, se pueden realizar diversas construcciones o modificaciones; lo cual, se cumpliría en el presente caso, con la entrega de la versión pública de las mismas.</w:t>
      </w:r>
    </w:p>
    <w:p w14:paraId="4E18A8A0" w14:textId="77777777" w:rsidR="007F7E4E" w:rsidRPr="00B14DFD" w:rsidRDefault="007F7E4E" w:rsidP="00DC5C74">
      <w:pPr>
        <w:spacing w:line="360" w:lineRule="auto"/>
        <w:contextualSpacing/>
        <w:jc w:val="both"/>
        <w:rPr>
          <w:rFonts w:ascii="Palatino Linotype" w:hAnsi="Palatino Linotype" w:cs="Tahoma"/>
          <w:bCs/>
          <w:sz w:val="22"/>
          <w:szCs w:val="22"/>
        </w:rPr>
      </w:pPr>
    </w:p>
    <w:p w14:paraId="2309E5B5" w14:textId="10975557" w:rsidR="007F7E4E" w:rsidRPr="00B14DFD" w:rsidRDefault="007F7E4E" w:rsidP="00DC5C74">
      <w:pPr>
        <w:spacing w:line="360" w:lineRule="auto"/>
        <w:contextualSpacing/>
        <w:jc w:val="both"/>
        <w:rPr>
          <w:rFonts w:ascii="Palatino Linotype" w:hAnsi="Palatino Linotype" w:cs="Tahoma"/>
          <w:bCs/>
          <w:sz w:val="22"/>
          <w:szCs w:val="22"/>
          <w:lang w:val="es-ES"/>
        </w:rPr>
      </w:pPr>
      <w:r w:rsidRPr="00B14DFD">
        <w:rPr>
          <w:rFonts w:ascii="Palatino Linotype" w:hAnsi="Palatino Linotype" w:cs="Tahoma"/>
          <w:b/>
          <w:bCs/>
          <w:sz w:val="22"/>
          <w:szCs w:val="22"/>
          <w:lang w:val="es-ES"/>
        </w:rPr>
        <w:t>b) Necesidad.</w:t>
      </w:r>
      <w:r w:rsidRPr="00B14DFD">
        <w:rPr>
          <w:rFonts w:ascii="Palatino Linotype" w:hAnsi="Palatino Linotype" w:cs="Tahoma"/>
          <w:bCs/>
          <w:sz w:val="22"/>
          <w:szCs w:val="22"/>
          <w:lang w:val="es-ES"/>
        </w:rPr>
        <w:t xml:space="preserve"> En el presente caso, no existe forma de que se observen por igual los derechos en conflicto, pues la publicación de los datos personales de la persona física titular de las licencias en comento vulnera s</w:t>
      </w:r>
      <w:r w:rsidR="00577BF6" w:rsidRPr="00B14DFD">
        <w:rPr>
          <w:rFonts w:ascii="Palatino Linotype" w:hAnsi="Palatino Linotype" w:cs="Tahoma"/>
          <w:bCs/>
          <w:sz w:val="22"/>
          <w:szCs w:val="22"/>
          <w:lang w:val="es-ES"/>
        </w:rPr>
        <w:t>u</w:t>
      </w:r>
      <w:r w:rsidRPr="00B14DFD">
        <w:rPr>
          <w:rFonts w:ascii="Palatino Linotype" w:hAnsi="Palatino Linotype" w:cs="Tahoma"/>
          <w:bCs/>
          <w:sz w:val="22"/>
          <w:szCs w:val="22"/>
          <w:lang w:val="es-ES"/>
        </w:rPr>
        <w:t xml:space="preserve"> derecho a la protección de los mismos y a su privacidad.</w:t>
      </w:r>
    </w:p>
    <w:p w14:paraId="4DBE1397"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p>
    <w:p w14:paraId="10026299"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r w:rsidRPr="00B14DFD">
        <w:rPr>
          <w:rFonts w:ascii="Palatino Linotype" w:hAnsi="Palatino Linotype" w:cs="Tahoma"/>
          <w:bCs/>
          <w:sz w:val="22"/>
          <w:szCs w:val="22"/>
          <w:lang w:val="es-ES"/>
        </w:rPr>
        <w:t xml:space="preserve">Dicha situación, toma relevancia con el hecho de que vincular el nombre de la persona física, con las licencias, se estaría dando a conocer </w:t>
      </w:r>
      <w:r w:rsidRPr="00B14DFD">
        <w:rPr>
          <w:rFonts w:ascii="Palatino Linotype" w:hAnsi="Palatino Linotype" w:cs="Tahoma"/>
          <w:b/>
          <w:bCs/>
          <w:sz w:val="22"/>
          <w:szCs w:val="22"/>
          <w:lang w:val="es-ES"/>
        </w:rPr>
        <w:t>la decisión personal</w:t>
      </w:r>
      <w:r w:rsidRPr="00B14DFD">
        <w:rPr>
          <w:rFonts w:ascii="Palatino Linotype" w:hAnsi="Palatino Linotype" w:cs="Tahoma"/>
          <w:bCs/>
          <w:sz w:val="22"/>
          <w:szCs w:val="22"/>
          <w:lang w:val="es-ES"/>
        </w:rPr>
        <w:t xml:space="preserve"> de esta, en realizar o modificar un predio, situación que recae directamente en una cuestión </w:t>
      </w:r>
      <w:r w:rsidRPr="00B14DFD">
        <w:rPr>
          <w:rFonts w:ascii="Palatino Linotype" w:hAnsi="Palatino Linotype" w:cs="Tahoma"/>
          <w:b/>
          <w:bCs/>
          <w:sz w:val="22"/>
          <w:szCs w:val="22"/>
          <w:lang w:val="es-ES"/>
        </w:rPr>
        <w:t xml:space="preserve">de su vida privada, </w:t>
      </w:r>
      <w:r w:rsidRPr="00B14DFD">
        <w:rPr>
          <w:rFonts w:ascii="Palatino Linotype" w:hAnsi="Palatino Linotype" w:cs="Tahoma"/>
          <w:bCs/>
          <w:sz w:val="22"/>
          <w:szCs w:val="22"/>
          <w:lang w:val="es-ES"/>
        </w:rPr>
        <w:t>que se encuentra protegida por la Constitución Federal y Estatal, así como, las Leyes de Protección de Datos aplicables.</w:t>
      </w:r>
    </w:p>
    <w:p w14:paraId="468D39C9"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p>
    <w:p w14:paraId="32EEA252" w14:textId="77777777" w:rsidR="007F7E4E" w:rsidRPr="00B14DFD" w:rsidRDefault="007F7E4E"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Por lo tanto, se considera menos lesivo proteger el nombre del solicitante de las licencias, pues como se precisó en párrafos anteriores, el documento no pierde su objeto, protegiendo dicho dato, toda vez que radica en la autorización de una construcción en una ubicación específica.</w:t>
      </w:r>
    </w:p>
    <w:p w14:paraId="07D5F683" w14:textId="77777777" w:rsidR="007F7E4E" w:rsidRPr="00B14DFD" w:rsidRDefault="007F7E4E" w:rsidP="00DC5C74">
      <w:pPr>
        <w:spacing w:line="360" w:lineRule="auto"/>
        <w:contextualSpacing/>
        <w:jc w:val="both"/>
        <w:rPr>
          <w:rFonts w:ascii="Palatino Linotype" w:hAnsi="Palatino Linotype" w:cs="Tahoma"/>
          <w:b/>
          <w:bCs/>
          <w:sz w:val="22"/>
          <w:szCs w:val="22"/>
        </w:rPr>
      </w:pPr>
    </w:p>
    <w:p w14:paraId="365EC772"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r w:rsidRPr="00B14DFD">
        <w:rPr>
          <w:rFonts w:ascii="Palatino Linotype" w:hAnsi="Palatino Linotype" w:cs="Tahoma"/>
          <w:b/>
          <w:bCs/>
          <w:sz w:val="22"/>
          <w:szCs w:val="22"/>
          <w:lang w:val="es-ES"/>
        </w:rPr>
        <w:t>c) Proporcionalidad en sentido estricto</w:t>
      </w:r>
      <w:r w:rsidRPr="00B14DFD">
        <w:rPr>
          <w:rFonts w:ascii="Palatino Linotype" w:hAnsi="Palatino Linotype" w:cs="Tahoma"/>
          <w:bCs/>
          <w:sz w:val="22"/>
          <w:szCs w:val="22"/>
          <w:lang w:val="es-ES"/>
        </w:rPr>
        <w:t>. En el presente caso se considera, que el objeto de las Licencias no se ve afecto, con la protección del nombre del solicítate. Por tanto, la circunstancia que implica mayor beneficio y menos perjuicios es entregar las licencias requeridas, testando, en su caso, el nombre del titular persona física, dejando visible los demás datos, con el fin que el ahora recurrente pueda constatar los términos en los que fueron otorgadas y así colmar la solicitud de información.</w:t>
      </w:r>
    </w:p>
    <w:p w14:paraId="6D1641AB" w14:textId="77777777" w:rsidR="007F7E4E" w:rsidRPr="00B14DFD" w:rsidRDefault="007F7E4E" w:rsidP="00DC5C74">
      <w:pPr>
        <w:spacing w:line="360" w:lineRule="auto"/>
        <w:contextualSpacing/>
        <w:jc w:val="both"/>
        <w:rPr>
          <w:rFonts w:ascii="Palatino Linotype" w:hAnsi="Palatino Linotype" w:cs="Tahoma"/>
          <w:bCs/>
          <w:sz w:val="22"/>
          <w:szCs w:val="22"/>
          <w:lang w:val="es-ES"/>
        </w:rPr>
      </w:pPr>
    </w:p>
    <w:p w14:paraId="09E2347C" w14:textId="77777777" w:rsidR="007F7E4E" w:rsidRPr="00B14DFD" w:rsidRDefault="007F7E4E" w:rsidP="00DC5C74">
      <w:pPr>
        <w:spacing w:line="360" w:lineRule="auto"/>
        <w:contextualSpacing/>
        <w:jc w:val="both"/>
        <w:rPr>
          <w:rFonts w:ascii="Palatino Linotype" w:hAnsi="Palatino Linotype" w:cs="Tahoma"/>
          <w:bCs/>
          <w:iCs/>
          <w:sz w:val="22"/>
          <w:szCs w:val="22"/>
        </w:rPr>
      </w:pPr>
      <w:r w:rsidRPr="00B14DFD">
        <w:rPr>
          <w:rFonts w:ascii="Palatino Linotype" w:hAnsi="Palatino Linotype" w:cs="Tahoma"/>
          <w:bCs/>
          <w:sz w:val="22"/>
          <w:szCs w:val="22"/>
          <w:lang w:val="es-ES"/>
        </w:rPr>
        <w:t>Por tales circunstancias, se considera que debe prevalecer la protección de datos personales del solicitante de las licencias, frente al derecho de acceso a la información, pues este no se ve disminuido, ya que se estarían otorgando la versión pública de los documentos que acreditan la autorización para realizar una construcción.</w:t>
      </w:r>
    </w:p>
    <w:p w14:paraId="46043A29" w14:textId="77777777" w:rsidR="007F7E4E" w:rsidRPr="00B14DFD" w:rsidRDefault="007F7E4E" w:rsidP="00DC5C74">
      <w:pPr>
        <w:spacing w:line="360" w:lineRule="auto"/>
        <w:contextualSpacing/>
        <w:jc w:val="both"/>
        <w:rPr>
          <w:rFonts w:ascii="Palatino Linotype" w:hAnsi="Palatino Linotype" w:cs="Tahoma"/>
          <w:bCs/>
          <w:iCs/>
          <w:sz w:val="22"/>
          <w:szCs w:val="22"/>
        </w:rPr>
      </w:pPr>
    </w:p>
    <w:p w14:paraId="2B380AD1" w14:textId="7FE6E783" w:rsidR="007F7E4E" w:rsidRPr="00B14DFD" w:rsidRDefault="007F7E4E" w:rsidP="00DC5C74">
      <w:pPr>
        <w:spacing w:line="360" w:lineRule="auto"/>
        <w:contextualSpacing/>
        <w:jc w:val="both"/>
        <w:rPr>
          <w:rFonts w:ascii="Palatino Linotype" w:hAnsi="Palatino Linotype" w:cs="Tahoma"/>
          <w:bCs/>
          <w:iCs/>
          <w:sz w:val="22"/>
          <w:szCs w:val="22"/>
        </w:rPr>
      </w:pPr>
      <w:r w:rsidRPr="00B14DFD">
        <w:rPr>
          <w:rFonts w:ascii="Palatino Linotype" w:hAnsi="Palatino Linotype" w:cs="Tahoma"/>
          <w:bCs/>
          <w:iCs/>
          <w:sz w:val="22"/>
          <w:szCs w:val="22"/>
        </w:rPr>
        <w:t>Por todo lo expuesto, el nombre de la persona física particular propietaria, localizadas en las Licencias de Construcción, actualizan la causal de clasificación prevista en el artículo 143, fracción I de la Ley de Transparencia y Acceso a la Información Pública del Estado de México y Municipios.</w:t>
      </w:r>
    </w:p>
    <w:p w14:paraId="07E6D74B" w14:textId="77777777" w:rsidR="007F7E4E" w:rsidRPr="00B14DFD" w:rsidRDefault="007F7E4E" w:rsidP="00DC5C74">
      <w:pPr>
        <w:spacing w:line="360" w:lineRule="auto"/>
        <w:contextualSpacing/>
        <w:jc w:val="both"/>
        <w:rPr>
          <w:rFonts w:ascii="Palatino Linotype" w:eastAsia="Calibri" w:hAnsi="Palatino Linotype" w:cs="Tahoma"/>
          <w:bCs/>
          <w:sz w:val="22"/>
          <w:szCs w:val="22"/>
        </w:rPr>
      </w:pPr>
    </w:p>
    <w:p w14:paraId="4B5F7FE7" w14:textId="4680E6BC" w:rsidR="009B2050" w:rsidRPr="00B14DFD" w:rsidRDefault="005F66A6" w:rsidP="00DC5C74">
      <w:pPr>
        <w:numPr>
          <w:ilvl w:val="0"/>
          <w:numId w:val="40"/>
        </w:numPr>
        <w:spacing w:line="360" w:lineRule="auto"/>
        <w:contextualSpacing/>
        <w:jc w:val="both"/>
        <w:rPr>
          <w:rFonts w:ascii="Palatino Linotype" w:eastAsia="Calibri" w:hAnsi="Palatino Linotype" w:cs="Tahoma"/>
          <w:b/>
          <w:sz w:val="22"/>
          <w:szCs w:val="22"/>
        </w:rPr>
      </w:pPr>
      <w:r w:rsidRPr="00B14DFD">
        <w:rPr>
          <w:rFonts w:ascii="Palatino Linotype" w:eastAsia="Calibri" w:hAnsi="Palatino Linotype" w:cs="Tahoma"/>
          <w:b/>
          <w:sz w:val="22"/>
          <w:szCs w:val="22"/>
        </w:rPr>
        <w:t>Domicilio y croquis donde se realiza</w:t>
      </w:r>
      <w:r w:rsidR="009B2050" w:rsidRPr="00B14DFD">
        <w:rPr>
          <w:rFonts w:ascii="Palatino Linotype" w:eastAsia="Calibri" w:hAnsi="Palatino Linotype" w:cs="Tahoma"/>
          <w:b/>
          <w:sz w:val="22"/>
          <w:szCs w:val="22"/>
        </w:rPr>
        <w:t xml:space="preserve"> la construcción</w:t>
      </w:r>
      <w:r w:rsidRPr="00B14DFD">
        <w:rPr>
          <w:rFonts w:ascii="Palatino Linotype" w:eastAsia="Calibri" w:hAnsi="Palatino Linotype" w:cs="Tahoma"/>
          <w:b/>
          <w:sz w:val="22"/>
          <w:szCs w:val="22"/>
        </w:rPr>
        <w:t>.</w:t>
      </w:r>
    </w:p>
    <w:p w14:paraId="72E71E79" w14:textId="18B19385" w:rsidR="005F66A6" w:rsidRPr="00B14DFD" w:rsidRDefault="005F66A6"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 xml:space="preserve">De acuerdo a lo señalado en los artículos 2.3 y 2.5 del Código Civil del Estado de México, el domicilio es un atributo de la personalidad y un derecho de las personas. Este tiene como propósito que una persona pueda establecerse temporal o permanentemente en un lugar determinado, para habitar, establecer su centro de trabajo o negocios. Por lo que el domicilio particular por regla general es confidencial, en términos del artículo 143, fracción I de la Ley de Transparencia y Acceso a la Información Pública del Estado de México y Municipios. No obstante, </w:t>
      </w:r>
      <w:r w:rsidR="002E5EF0" w:rsidRPr="00B14DFD">
        <w:rPr>
          <w:rFonts w:ascii="Palatino Linotype" w:hAnsi="Palatino Linotype" w:cs="Tahoma"/>
          <w:bCs/>
          <w:sz w:val="22"/>
          <w:szCs w:val="22"/>
        </w:rPr>
        <w:t>para el caso de las licencias de construcción sirve para conocer si la licencia de construcción coincide con el domicilio en el que se está realizando la obra de con</w:t>
      </w:r>
      <w:r w:rsidR="00577BF6" w:rsidRPr="00B14DFD">
        <w:rPr>
          <w:rFonts w:ascii="Palatino Linotype" w:hAnsi="Palatino Linotype" w:cs="Tahoma"/>
          <w:bCs/>
          <w:sz w:val="22"/>
          <w:szCs w:val="22"/>
        </w:rPr>
        <w:t>s</w:t>
      </w:r>
      <w:r w:rsidR="002E5EF0" w:rsidRPr="00B14DFD">
        <w:rPr>
          <w:rFonts w:ascii="Palatino Linotype" w:hAnsi="Palatino Linotype" w:cs="Tahoma"/>
          <w:bCs/>
          <w:sz w:val="22"/>
          <w:szCs w:val="22"/>
        </w:rPr>
        <w:t>trucción.</w:t>
      </w:r>
    </w:p>
    <w:p w14:paraId="594990C0" w14:textId="77777777" w:rsidR="005F66A6" w:rsidRPr="00B14DFD" w:rsidRDefault="005F66A6" w:rsidP="00DC5C74">
      <w:pPr>
        <w:spacing w:line="360" w:lineRule="auto"/>
        <w:contextualSpacing/>
        <w:jc w:val="both"/>
        <w:rPr>
          <w:rFonts w:ascii="Palatino Linotype" w:hAnsi="Palatino Linotype" w:cs="Tahoma"/>
          <w:bCs/>
          <w:sz w:val="22"/>
          <w:szCs w:val="22"/>
        </w:rPr>
      </w:pPr>
    </w:p>
    <w:p w14:paraId="2788E9F7" w14:textId="72E06CE9" w:rsidR="005F66A6" w:rsidRPr="00B14DFD" w:rsidRDefault="005F66A6"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Al dejar visible el domicilio en la licencia de construcción</w:t>
      </w:r>
      <w:r w:rsidR="002E5EF0" w:rsidRPr="00B14DFD">
        <w:rPr>
          <w:rFonts w:ascii="Palatino Linotype" w:hAnsi="Palatino Linotype" w:cs="Tahoma"/>
          <w:bCs/>
          <w:sz w:val="22"/>
          <w:szCs w:val="22"/>
        </w:rPr>
        <w:t xml:space="preserve"> </w:t>
      </w:r>
      <w:r w:rsidRPr="00B14DFD">
        <w:rPr>
          <w:rFonts w:ascii="Palatino Linotype" w:hAnsi="Palatino Linotype" w:cs="Tahoma"/>
          <w:bCs/>
          <w:sz w:val="22"/>
          <w:szCs w:val="22"/>
        </w:rPr>
        <w:t xml:space="preserve">permite que el </w:t>
      </w:r>
      <w:r w:rsidRPr="00B14DFD">
        <w:rPr>
          <w:rFonts w:ascii="Palatino Linotype" w:hAnsi="Palatino Linotype" w:cs="Tahoma"/>
          <w:b/>
          <w:sz w:val="22"/>
          <w:szCs w:val="22"/>
        </w:rPr>
        <w:t>Recurrente</w:t>
      </w:r>
      <w:r w:rsidRPr="00B14DFD">
        <w:rPr>
          <w:rFonts w:ascii="Palatino Linotype" w:hAnsi="Palatino Linotype" w:cs="Tahoma"/>
          <w:bCs/>
          <w:sz w:val="22"/>
          <w:szCs w:val="22"/>
        </w:rPr>
        <w:t xml:space="preserve"> conozca que el documento proporcionado realmente corresponde con la</w:t>
      </w:r>
      <w:r w:rsidR="002E5EF0" w:rsidRPr="00B14DFD">
        <w:rPr>
          <w:rFonts w:ascii="Palatino Linotype" w:hAnsi="Palatino Linotype" w:cs="Tahoma"/>
          <w:bCs/>
          <w:sz w:val="22"/>
          <w:szCs w:val="22"/>
        </w:rPr>
        <w:t>s</w:t>
      </w:r>
      <w:r w:rsidRPr="00B14DFD">
        <w:rPr>
          <w:rFonts w:ascii="Palatino Linotype" w:hAnsi="Palatino Linotype" w:cs="Tahoma"/>
          <w:bCs/>
          <w:sz w:val="22"/>
          <w:szCs w:val="22"/>
        </w:rPr>
        <w:t xml:space="preserve"> direcci</w:t>
      </w:r>
      <w:r w:rsidR="002E5EF0" w:rsidRPr="00B14DFD">
        <w:rPr>
          <w:rFonts w:ascii="Palatino Linotype" w:hAnsi="Palatino Linotype" w:cs="Tahoma"/>
          <w:bCs/>
          <w:sz w:val="22"/>
          <w:szCs w:val="22"/>
        </w:rPr>
        <w:t>ones a las cuales se emitieron y así, poder estar en posibilidad de reportar cualquier irregularidad.</w:t>
      </w:r>
    </w:p>
    <w:p w14:paraId="1EDB94A1" w14:textId="77777777" w:rsidR="005F66A6" w:rsidRPr="00B14DFD" w:rsidRDefault="005F66A6" w:rsidP="00DC5C74">
      <w:pPr>
        <w:spacing w:line="360" w:lineRule="auto"/>
        <w:contextualSpacing/>
        <w:jc w:val="both"/>
        <w:rPr>
          <w:rFonts w:ascii="Palatino Linotype" w:hAnsi="Palatino Linotype" w:cs="Tahoma"/>
          <w:bCs/>
          <w:sz w:val="22"/>
          <w:szCs w:val="22"/>
        </w:rPr>
      </w:pPr>
    </w:p>
    <w:p w14:paraId="56308821" w14:textId="77777777" w:rsidR="005F66A6" w:rsidRPr="00B14DFD" w:rsidRDefault="005F66A6"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Entonces, lejos de vulnerar la vida privada del titular de la licencia, el conocer el domicilio, en este caso en particular, contribuye a la transparencia y fomenta el control ciudadano sobre la gestión pública, al permitir verificar si los proyectos de construcción que se realizan en sus localidades cumplen con las regulaciones municipales, situaciones que pudieran afectar directamente la calidad de vida de los residentes en el área de los trabajos de construcción. La divulgación de la dirección de la licencia no solo tiene un impacto inmediato sobre la propiedad en cuestión, sino que también refuerza la capacidad de la comunidad para ejercer una vigilancia activa sobre la administración pública.</w:t>
      </w:r>
    </w:p>
    <w:p w14:paraId="0D818D2C" w14:textId="77777777" w:rsidR="002E5EF0" w:rsidRPr="00B14DFD" w:rsidRDefault="002E5EF0" w:rsidP="00DC5C74">
      <w:pPr>
        <w:spacing w:line="360" w:lineRule="auto"/>
        <w:contextualSpacing/>
        <w:jc w:val="both"/>
        <w:rPr>
          <w:rFonts w:ascii="Palatino Linotype" w:hAnsi="Palatino Linotype" w:cs="Tahoma"/>
          <w:bCs/>
          <w:sz w:val="22"/>
          <w:szCs w:val="22"/>
        </w:rPr>
      </w:pPr>
    </w:p>
    <w:p w14:paraId="5E9845F5" w14:textId="3E118B94" w:rsidR="005F66A6" w:rsidRPr="00B14DFD" w:rsidRDefault="005F66A6" w:rsidP="00DC5C74">
      <w:pPr>
        <w:spacing w:line="360" w:lineRule="auto"/>
        <w:contextualSpacing/>
        <w:jc w:val="both"/>
        <w:rPr>
          <w:rFonts w:ascii="Palatino Linotype" w:hAnsi="Palatino Linotype" w:cs="Tahoma"/>
          <w:bCs/>
          <w:sz w:val="22"/>
          <w:szCs w:val="22"/>
        </w:rPr>
      </w:pPr>
      <w:r w:rsidRPr="00B14DFD">
        <w:rPr>
          <w:rFonts w:ascii="Palatino Linotype" w:hAnsi="Palatino Linotype" w:cs="Tahoma"/>
          <w:bCs/>
          <w:sz w:val="22"/>
          <w:szCs w:val="22"/>
        </w:rPr>
        <w:t>Surte los mismos efectos en cuanto al croquis, ya que este es definido como un dibujo o esquema que representa de manera visual un domicilio o vivienda, identificando las calles aledañas, además otros elementos como la forma del terreno, jardines, cercas o caminos, es utilizado para generar una idea general sobre la orientación del inmueble, por lo que tiene similitud con el domicilio, en consecuencia, en este caso en particular, podría ser entregado en una versión pública, clasificando como confidencial cualquier dato personal que pudiera contener, tales como medidas de superficie, nombre de colindantes, entre otros.</w:t>
      </w:r>
    </w:p>
    <w:p w14:paraId="0E8BF723" w14:textId="77777777" w:rsidR="002E5EF0" w:rsidRPr="00B14DFD" w:rsidRDefault="002E5EF0" w:rsidP="00DC5C74">
      <w:pPr>
        <w:spacing w:line="360" w:lineRule="auto"/>
        <w:contextualSpacing/>
        <w:jc w:val="both"/>
        <w:rPr>
          <w:rFonts w:ascii="Palatino Linotype" w:hAnsi="Palatino Linotype" w:cs="Tahoma"/>
          <w:bCs/>
          <w:sz w:val="22"/>
          <w:szCs w:val="22"/>
        </w:rPr>
      </w:pPr>
    </w:p>
    <w:p w14:paraId="7DA94687" w14:textId="77777777" w:rsidR="009B2050" w:rsidRPr="00B14DFD" w:rsidRDefault="009B2050" w:rsidP="00DC5C74">
      <w:pPr>
        <w:spacing w:line="360" w:lineRule="auto"/>
        <w:contextualSpacing/>
        <w:jc w:val="both"/>
        <w:rPr>
          <w:rFonts w:ascii="Palatino Linotype" w:eastAsia="Calibri" w:hAnsi="Palatino Linotype" w:cs="Tahoma"/>
          <w:b/>
          <w:bCs/>
          <w:sz w:val="22"/>
          <w:szCs w:val="22"/>
        </w:rPr>
      </w:pPr>
      <w:r w:rsidRPr="00B14DFD">
        <w:rPr>
          <w:rFonts w:ascii="Palatino Linotype" w:eastAsia="Calibri" w:hAnsi="Palatino Linotype" w:cs="Tahoma"/>
          <w:b/>
          <w:bCs/>
          <w:sz w:val="22"/>
          <w:szCs w:val="22"/>
        </w:rPr>
        <w:t>Persona Jurídico Colectiva</w:t>
      </w:r>
    </w:p>
    <w:p w14:paraId="6203946A"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 xml:space="preserve">En principio, cabe señalar, la información entregada a las autoridades por parte de las personas jurídicas colectivas, debe ser confidencial cuando tenga el carácter de privada por contener datos que pudieran equipararse a los de las personas físicas. </w:t>
      </w:r>
    </w:p>
    <w:p w14:paraId="3E618B96"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p>
    <w:p w14:paraId="3F34D49B"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Lo anterior, encuentra sustento en la Tesis Aislada con número P. II/2014 (10a.), publicada en febrero de dos mil catorce, en la Gaceta del Semanario Judicial de la Federación, en su Libro 3, Tomo I, que precisa que los bienes protegidos por el derecho a la privacidad y de protección de datos de las personas morales, comprenden aquellos documentos e información que les son inherentes, que deben permanecer ajenos al conocimiento de terceros; por lo que, la información entregada a las autoridades por parte de personas morales, será confidencial cuando tenga el carácter de privada por contener datos que pudieran equipararse a los personales, o bien, reservada temporalmente, si actualiza alguno de los supuestos previstos legalmente.</w:t>
      </w:r>
    </w:p>
    <w:p w14:paraId="68CD135A"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p>
    <w:p w14:paraId="1E6C43C1"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 xml:space="preserve">En cuanto al domicilio, este Instituto advierte que se trata de un dato personal, pues como se precisó en párrafos anteriores, da cuenta del lugar donde está asentado el negocio de la persona jurídica colectiva; además, debe tomarse en cuenta que dicha empresa o asociación atendiendo a sus intereses personales, decide entregarlo a terceros o no, con el propósito de cumplir los fines para los cuales fue constituida, o las inherentes obligaciones a la que se encuentra constreñido, conforme a la legislación que le es aplicable, y por ende, debe resguardarse en la especie. </w:t>
      </w:r>
    </w:p>
    <w:p w14:paraId="3A7017B5"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p>
    <w:p w14:paraId="794A575D" w14:textId="6CF312B5" w:rsidR="009B2050" w:rsidRPr="00B14DFD" w:rsidRDefault="009B2050" w:rsidP="00DC5C74">
      <w:pPr>
        <w:spacing w:line="360" w:lineRule="auto"/>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De tales circunstancias, se considera que el domicilio de la persona jurídico colectiva es consider</w:t>
      </w:r>
      <w:r w:rsidR="002E5EF0" w:rsidRPr="00B14DFD">
        <w:rPr>
          <w:rFonts w:ascii="Palatino Linotype" w:eastAsia="Calibri" w:hAnsi="Palatino Linotype" w:cs="Tahoma"/>
          <w:bCs/>
          <w:sz w:val="22"/>
          <w:szCs w:val="22"/>
        </w:rPr>
        <w:t>ada</w:t>
      </w:r>
      <w:r w:rsidRPr="00B14DFD">
        <w:rPr>
          <w:rFonts w:ascii="Palatino Linotype" w:eastAsia="Calibri" w:hAnsi="Palatino Linotype" w:cs="Tahoma"/>
          <w:bCs/>
          <w:sz w:val="22"/>
          <w:szCs w:val="22"/>
        </w:rPr>
        <w:t xml:space="preserve"> confidencial, por lo que, se actualiza la causal de clasificación establecida en el artículo 143, fracción I de la Ley de Transparencia y Acceso a la Información Pública del Estado de México y Municipios.</w:t>
      </w:r>
    </w:p>
    <w:p w14:paraId="3406781B" w14:textId="77777777" w:rsidR="009B2050" w:rsidRPr="00B14DFD" w:rsidRDefault="009B2050" w:rsidP="00DC5C74">
      <w:pPr>
        <w:spacing w:line="360" w:lineRule="auto"/>
        <w:jc w:val="both"/>
        <w:rPr>
          <w:rFonts w:ascii="Palatino Linotype" w:eastAsia="Calibri" w:hAnsi="Palatino Linotype" w:cs="Tahoma"/>
          <w:bCs/>
          <w:sz w:val="22"/>
          <w:szCs w:val="22"/>
          <w:lang w:eastAsia="en-US"/>
        </w:rPr>
      </w:pPr>
    </w:p>
    <w:p w14:paraId="773A7E3E" w14:textId="1290B255" w:rsidR="009B2050" w:rsidRPr="00B14DFD" w:rsidRDefault="0012666F" w:rsidP="00DC5C74">
      <w:pPr>
        <w:pStyle w:val="Prrafodelista"/>
        <w:numPr>
          <w:ilvl w:val="0"/>
          <w:numId w:val="43"/>
        </w:numPr>
        <w:spacing w:line="360" w:lineRule="auto"/>
        <w:jc w:val="both"/>
        <w:rPr>
          <w:rFonts w:ascii="Palatino Linotype" w:hAnsi="Palatino Linotype" w:cs="Tahoma"/>
          <w:b/>
          <w:bCs/>
          <w:sz w:val="22"/>
          <w:szCs w:val="22"/>
        </w:rPr>
      </w:pPr>
      <w:r w:rsidRPr="00B14DFD">
        <w:rPr>
          <w:rFonts w:ascii="Palatino Linotype" w:hAnsi="Palatino Linotype" w:cs="Tahoma"/>
          <w:b/>
          <w:bCs/>
          <w:sz w:val="22"/>
          <w:szCs w:val="22"/>
        </w:rPr>
        <w:t>Nombre y n</w:t>
      </w:r>
      <w:r w:rsidR="009B2050" w:rsidRPr="00B14DFD">
        <w:rPr>
          <w:rFonts w:ascii="Palatino Linotype" w:hAnsi="Palatino Linotype" w:cs="Tahoma"/>
          <w:b/>
          <w:bCs/>
          <w:sz w:val="22"/>
          <w:szCs w:val="22"/>
        </w:rPr>
        <w:t>úmero de cédula profesional del director de obra.</w:t>
      </w:r>
    </w:p>
    <w:p w14:paraId="1A0A19F2" w14:textId="137E618A" w:rsidR="009B2050" w:rsidRPr="00B14DFD" w:rsidRDefault="009B2050" w:rsidP="00DC5C74">
      <w:pPr>
        <w:spacing w:line="360" w:lineRule="auto"/>
        <w:jc w:val="both"/>
        <w:rPr>
          <w:rFonts w:ascii="Palatino Linotype" w:eastAsia="Calibri" w:hAnsi="Palatino Linotype" w:cs="Tahoma"/>
          <w:sz w:val="22"/>
          <w:szCs w:val="22"/>
          <w:lang w:eastAsia="en-US"/>
        </w:rPr>
      </w:pPr>
      <w:r w:rsidRPr="00B14DFD">
        <w:rPr>
          <w:rFonts w:ascii="Palatino Linotype" w:eastAsia="Calibri" w:hAnsi="Palatino Linotype" w:cs="Tahoma"/>
          <w:sz w:val="22"/>
          <w:szCs w:val="22"/>
          <w:lang w:eastAsia="en-US"/>
        </w:rPr>
        <w:t xml:space="preserve">Al respeto, es necesario señalar que la cédula profesional, es aquel documento con validez legal, para certificar o demostrar que efectivamente una persona está calificado para ejercer la profesión para la cual se ha preparado y ha recibido un título profesional, conforme a lo referido en la página oficial de la Secretaría de Educación Pública (consultada el </w:t>
      </w:r>
      <w:r w:rsidR="00E82806" w:rsidRPr="00B14DFD">
        <w:rPr>
          <w:rFonts w:ascii="Palatino Linotype" w:eastAsia="Calibri" w:hAnsi="Palatino Linotype" w:cs="Tahoma"/>
          <w:sz w:val="22"/>
          <w:szCs w:val="22"/>
          <w:lang w:eastAsia="en-US"/>
        </w:rPr>
        <w:t>tres</w:t>
      </w:r>
      <w:r w:rsidRPr="00B14DFD">
        <w:rPr>
          <w:rFonts w:ascii="Palatino Linotype" w:eastAsia="Calibri" w:hAnsi="Palatino Linotype" w:cs="Tahoma"/>
          <w:sz w:val="22"/>
          <w:szCs w:val="22"/>
          <w:lang w:eastAsia="en-US"/>
        </w:rPr>
        <w:t xml:space="preserve"> de septiembre de dos mil veint</w:t>
      </w:r>
      <w:r w:rsidR="00E82806" w:rsidRPr="00B14DFD">
        <w:rPr>
          <w:rFonts w:ascii="Palatino Linotype" w:eastAsia="Calibri" w:hAnsi="Palatino Linotype" w:cs="Tahoma"/>
          <w:sz w:val="22"/>
          <w:szCs w:val="22"/>
          <w:lang w:eastAsia="en-US"/>
        </w:rPr>
        <w:t>icinco</w:t>
      </w:r>
      <w:r w:rsidRPr="00B14DFD">
        <w:rPr>
          <w:rFonts w:ascii="Palatino Linotype" w:eastAsia="Calibri" w:hAnsi="Palatino Linotype" w:cs="Tahoma"/>
          <w:sz w:val="22"/>
          <w:szCs w:val="22"/>
          <w:lang w:eastAsia="en-US"/>
        </w:rPr>
        <w:t xml:space="preserve">, a las quince horas, en la liga </w:t>
      </w:r>
      <w:hyperlink r:id="rId11" w:history="1">
        <w:r w:rsidRPr="00B14DFD">
          <w:rPr>
            <w:rFonts w:ascii="Palatino Linotype" w:eastAsia="Calibri" w:hAnsi="Palatino Linotype" w:cs="Tahoma"/>
            <w:sz w:val="22"/>
            <w:szCs w:val="22"/>
            <w:u w:val="single"/>
            <w:lang w:eastAsia="en-US"/>
          </w:rPr>
          <w:t>http://consultatucedula.mx/</w:t>
        </w:r>
      </w:hyperlink>
      <w:r w:rsidRPr="00B14DFD">
        <w:rPr>
          <w:rFonts w:ascii="Palatino Linotype" w:eastAsia="Calibri" w:hAnsi="Palatino Linotype" w:cs="Tahoma"/>
          <w:sz w:val="22"/>
          <w:szCs w:val="22"/>
          <w:lang w:eastAsia="en-US"/>
        </w:rPr>
        <w:t>).</w:t>
      </w:r>
    </w:p>
    <w:p w14:paraId="1092117D" w14:textId="77777777" w:rsidR="009B2050" w:rsidRPr="00B14DFD" w:rsidRDefault="009B2050" w:rsidP="00DC5C74">
      <w:pPr>
        <w:spacing w:line="360" w:lineRule="auto"/>
        <w:jc w:val="both"/>
        <w:rPr>
          <w:rFonts w:ascii="Palatino Linotype" w:eastAsia="Calibri" w:hAnsi="Palatino Linotype" w:cs="Tahoma"/>
          <w:sz w:val="22"/>
          <w:szCs w:val="22"/>
          <w:lang w:eastAsia="en-US"/>
        </w:rPr>
      </w:pPr>
    </w:p>
    <w:p w14:paraId="4EB5A135" w14:textId="77777777" w:rsidR="009B2050" w:rsidRPr="00B14DFD" w:rsidRDefault="009B2050" w:rsidP="00DC5C74">
      <w:pPr>
        <w:spacing w:line="360" w:lineRule="auto"/>
        <w:jc w:val="both"/>
        <w:rPr>
          <w:rFonts w:ascii="Palatino Linotype" w:eastAsia="Calibri" w:hAnsi="Palatino Linotype" w:cs="Tahoma"/>
          <w:sz w:val="22"/>
          <w:szCs w:val="22"/>
          <w:lang w:eastAsia="en-US"/>
        </w:rPr>
      </w:pPr>
      <w:r w:rsidRPr="00B14DFD">
        <w:rPr>
          <w:rFonts w:ascii="Palatino Linotype" w:eastAsia="Calibri" w:hAnsi="Palatino Linotype" w:cs="Tahoma"/>
          <w:sz w:val="22"/>
          <w:szCs w:val="22"/>
          <w:lang w:eastAsia="en-US"/>
        </w:rPr>
        <w:t>En ese orden de ideas, la cédula profesional, es el documento que adquiere toda persona a quien legalmente se le haya expedido título profesional o grado académico equivalente, con efectos de patente, previo registro de dicho título o grado la cual es otorgada por la Dirección General de Profesiones de la Secretaría de Educación Pública, ya que dicha autoridad tiene atribuciones para expedir la cédula correspondiente para el ejercicio profesional y para su identidad en todas sus actividades profesionales, lo anterior toma sustento en los artículos 3° y 23, fracción IV, de la Ley Reglamentaria del Artículo 5° Constitucional, Relativo al Ejercicio de las Profesiones en la Ciudad de México.</w:t>
      </w:r>
    </w:p>
    <w:p w14:paraId="28F63BF5" w14:textId="77777777" w:rsidR="009B2050" w:rsidRPr="00B14DFD" w:rsidRDefault="009B2050" w:rsidP="00DC5C74">
      <w:pPr>
        <w:spacing w:line="360" w:lineRule="auto"/>
        <w:jc w:val="both"/>
        <w:rPr>
          <w:rFonts w:ascii="Palatino Linotype" w:eastAsia="Calibri" w:hAnsi="Palatino Linotype" w:cs="Tahoma"/>
          <w:sz w:val="22"/>
          <w:szCs w:val="22"/>
          <w:lang w:eastAsia="en-US"/>
        </w:rPr>
      </w:pPr>
    </w:p>
    <w:p w14:paraId="0966E758" w14:textId="77777777" w:rsidR="009B2050" w:rsidRPr="00B14DFD" w:rsidRDefault="009B2050" w:rsidP="00DC5C74">
      <w:pPr>
        <w:spacing w:line="360" w:lineRule="auto"/>
        <w:jc w:val="both"/>
        <w:rPr>
          <w:rFonts w:ascii="Palatino Linotype" w:eastAsia="Calibri" w:hAnsi="Palatino Linotype" w:cs="Tahoma"/>
          <w:b/>
          <w:iCs/>
          <w:sz w:val="22"/>
          <w:szCs w:val="22"/>
          <w:lang w:eastAsia="en-US"/>
        </w:rPr>
      </w:pPr>
      <w:r w:rsidRPr="00B14DFD">
        <w:rPr>
          <w:rFonts w:ascii="Palatino Linotype" w:eastAsia="Calibri" w:hAnsi="Palatino Linotype" w:cs="Tahoma"/>
          <w:bCs/>
          <w:iCs/>
          <w:sz w:val="22"/>
          <w:szCs w:val="22"/>
          <w:lang w:eastAsia="en-US"/>
        </w:rPr>
        <w:t xml:space="preserve">En ese contexto, el documento en cuestión da cuenta de la preparación del perito y sirve como medio de identificación, para que a su titular lo relacionen con el nivel de estudios con que cuenta, por lo que, se trata de un documento de naturaleza pública; además, que puede dar el grado máximo de estudios de la persona en cuestión; en razón de lo anterior, </w:t>
      </w:r>
      <w:r w:rsidRPr="00B14DFD">
        <w:rPr>
          <w:rFonts w:ascii="Palatino Linotype" w:eastAsia="Calibri" w:hAnsi="Palatino Linotype" w:cs="Tahoma"/>
          <w:b/>
          <w:iCs/>
          <w:sz w:val="22"/>
          <w:szCs w:val="22"/>
          <w:lang w:eastAsia="en-US"/>
        </w:rPr>
        <w:t>no se actualiza la causal de clasificación en términos del artículo 143, fracción I, de la Ley de Transparencia y Acceso a la Información Pública del Estado de México.</w:t>
      </w:r>
    </w:p>
    <w:p w14:paraId="4BC5DD6E" w14:textId="77777777" w:rsidR="009B2050" w:rsidRPr="00B14DFD" w:rsidRDefault="009B2050" w:rsidP="00DC5C74">
      <w:pPr>
        <w:spacing w:line="360" w:lineRule="auto"/>
        <w:contextualSpacing/>
        <w:jc w:val="both"/>
        <w:rPr>
          <w:rFonts w:ascii="Palatino Linotype" w:eastAsia="Calibri" w:hAnsi="Palatino Linotype" w:cs="Tahoma"/>
          <w:bCs/>
          <w:sz w:val="22"/>
          <w:szCs w:val="22"/>
        </w:rPr>
      </w:pPr>
    </w:p>
    <w:p w14:paraId="00CCA33A" w14:textId="77777777" w:rsidR="009B2050" w:rsidRPr="00B14DFD" w:rsidRDefault="009B2050" w:rsidP="00DC5C74">
      <w:pPr>
        <w:numPr>
          <w:ilvl w:val="0"/>
          <w:numId w:val="42"/>
        </w:numPr>
        <w:spacing w:line="360" w:lineRule="auto"/>
        <w:ind w:right="-93"/>
        <w:contextualSpacing/>
        <w:jc w:val="both"/>
        <w:rPr>
          <w:rFonts w:ascii="Palatino Linotype" w:hAnsi="Palatino Linotype"/>
          <w:b/>
          <w:sz w:val="22"/>
          <w:szCs w:val="22"/>
          <w:lang w:val="es-ES_tradnl"/>
        </w:rPr>
      </w:pPr>
      <w:r w:rsidRPr="00B14DFD">
        <w:rPr>
          <w:rFonts w:ascii="Palatino Linotype" w:hAnsi="Palatino Linotype"/>
          <w:b/>
          <w:sz w:val="22"/>
          <w:szCs w:val="22"/>
          <w:lang w:val="es-ES_tradnl"/>
        </w:rPr>
        <w:t xml:space="preserve">Clave catastral </w:t>
      </w:r>
    </w:p>
    <w:p w14:paraId="459E8884" w14:textId="77777777" w:rsidR="009B2050" w:rsidRPr="00B14DFD" w:rsidRDefault="009B2050" w:rsidP="00DC5C74">
      <w:pPr>
        <w:spacing w:line="360" w:lineRule="auto"/>
        <w:ind w:right="-93"/>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Por cuanto hace a la clave catastral; el artículo 179, fracción I, del Código Financiero del Estado de México y Municipios, refiere que la clave catastral es un código alfanumérico único e irrepetible, que se asigna para efectos de localización geográfica, identificación inscripción, control y registro de los inmuebles; por lo que, integrado de dieciséis caracteres., los primeros tres identifican el código del municipio, los dos siguientes a la zona catastral, los subsecuentes tres a la manzana y los últimos dos, identifican el número de lote o predio.</w:t>
      </w:r>
    </w:p>
    <w:p w14:paraId="6DE7FC61" w14:textId="77777777" w:rsidR="009B2050" w:rsidRPr="00B14DFD" w:rsidRDefault="009B2050" w:rsidP="00DC5C74">
      <w:pPr>
        <w:spacing w:line="360" w:lineRule="auto"/>
        <w:ind w:right="-93"/>
        <w:contextualSpacing/>
        <w:jc w:val="both"/>
        <w:rPr>
          <w:rFonts w:ascii="Palatino Linotype" w:eastAsia="Calibri" w:hAnsi="Palatino Linotype" w:cs="Tahoma"/>
          <w:bCs/>
          <w:sz w:val="22"/>
          <w:szCs w:val="22"/>
        </w:rPr>
      </w:pPr>
    </w:p>
    <w:p w14:paraId="77CA0507" w14:textId="77777777" w:rsidR="009B2050" w:rsidRPr="00B14DFD" w:rsidRDefault="009B2050" w:rsidP="00DC5C74">
      <w:pPr>
        <w:spacing w:line="360" w:lineRule="auto"/>
        <w:ind w:right="-93"/>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El diccionario de Datos catastrales Escala 1:1000 del Instituto Nacional de Estadística y Geografía (INEGI), contempla en su glosario la definición de clave catastral, la cual, es la siguiente:</w:t>
      </w:r>
    </w:p>
    <w:p w14:paraId="1C2FDE0C" w14:textId="77777777" w:rsidR="009B2050" w:rsidRPr="00B14DFD" w:rsidRDefault="009B2050" w:rsidP="00DC5C74">
      <w:pPr>
        <w:spacing w:line="276" w:lineRule="auto"/>
        <w:ind w:left="851" w:right="616"/>
        <w:contextualSpacing/>
        <w:jc w:val="both"/>
        <w:rPr>
          <w:rFonts w:ascii="Palatino Linotype" w:eastAsia="Calibri" w:hAnsi="Palatino Linotype" w:cs="Tahoma"/>
          <w:bCs/>
          <w:i/>
          <w:sz w:val="22"/>
          <w:szCs w:val="22"/>
        </w:rPr>
      </w:pPr>
    </w:p>
    <w:p w14:paraId="7366399D" w14:textId="77777777" w:rsidR="009B2050" w:rsidRPr="00B14DFD" w:rsidRDefault="009B2050" w:rsidP="00644DDB">
      <w:pPr>
        <w:spacing w:line="276" w:lineRule="auto"/>
        <w:ind w:left="851" w:right="843"/>
        <w:contextualSpacing/>
        <w:jc w:val="both"/>
        <w:rPr>
          <w:rFonts w:ascii="Palatino Linotype" w:eastAsia="Calibri" w:hAnsi="Palatino Linotype" w:cs="Tahoma"/>
          <w:bCs/>
          <w:i/>
          <w:sz w:val="22"/>
          <w:szCs w:val="22"/>
        </w:rPr>
      </w:pPr>
      <w:r w:rsidRPr="00B14DFD">
        <w:rPr>
          <w:rFonts w:ascii="Palatino Linotype" w:eastAsia="Calibri" w:hAnsi="Palatino Linotype" w:cs="Tahoma"/>
          <w:bCs/>
          <w:i/>
          <w:sz w:val="22"/>
          <w:szCs w:val="22"/>
        </w:rPr>
        <w:t>“</w:t>
      </w:r>
      <w:r w:rsidRPr="00B14DFD">
        <w:rPr>
          <w:rFonts w:ascii="Palatino Linotype" w:eastAsia="Calibri" w:hAnsi="Palatino Linotype" w:cs="Tahoma"/>
          <w:b/>
          <w:bCs/>
          <w:i/>
          <w:sz w:val="22"/>
          <w:szCs w:val="22"/>
        </w:rPr>
        <w:t xml:space="preserve">Clave catastral: </w:t>
      </w:r>
      <w:r w:rsidRPr="00B14DFD">
        <w:rPr>
          <w:rFonts w:ascii="Palatino Linotype" w:eastAsia="Calibri" w:hAnsi="Palatino Linotype" w:cs="Tahoma"/>
          <w:bCs/>
          <w:i/>
          <w:sz w:val="22"/>
          <w:szCs w:val="22"/>
        </w:rPr>
        <w:t>El código que identifica al predio de forma única para su localización geográfica, mismo que es asignado a cada uno de ellos en el momento de su inscripción en el padrón catastral por las Unidades del estado con atribuciones catastrales”</w:t>
      </w:r>
    </w:p>
    <w:p w14:paraId="33BD3246" w14:textId="77777777" w:rsidR="009B2050" w:rsidRPr="00B14DFD" w:rsidRDefault="009B2050" w:rsidP="00DC5C74">
      <w:pPr>
        <w:spacing w:line="276" w:lineRule="auto"/>
        <w:ind w:left="851" w:right="616"/>
        <w:contextualSpacing/>
        <w:jc w:val="both"/>
        <w:rPr>
          <w:rFonts w:ascii="Palatino Linotype" w:eastAsia="Calibri" w:hAnsi="Palatino Linotype" w:cs="Tahoma"/>
          <w:bCs/>
          <w:i/>
          <w:sz w:val="22"/>
          <w:szCs w:val="22"/>
        </w:rPr>
      </w:pPr>
    </w:p>
    <w:p w14:paraId="7C3E732E" w14:textId="77777777" w:rsidR="009B2050" w:rsidRPr="00B14DFD" w:rsidRDefault="009B2050" w:rsidP="00DC5C74">
      <w:pPr>
        <w:spacing w:line="360" w:lineRule="auto"/>
        <w:ind w:right="-93"/>
        <w:contextualSpacing/>
        <w:jc w:val="both"/>
        <w:rPr>
          <w:rFonts w:ascii="Palatino Linotype" w:eastAsia="Calibri" w:hAnsi="Palatino Linotype" w:cs="Tahoma"/>
          <w:bCs/>
          <w:sz w:val="22"/>
          <w:szCs w:val="22"/>
        </w:rPr>
      </w:pPr>
      <w:r w:rsidRPr="00B14DFD">
        <w:rPr>
          <w:rFonts w:ascii="Palatino Linotype" w:eastAsia="Calibri" w:hAnsi="Palatino Linotype" w:cs="Tahoma"/>
          <w:bCs/>
          <w:sz w:val="22"/>
          <w:szCs w:val="22"/>
        </w:rPr>
        <w:t>Así mismo, dicho diccionario estipula dos tipos de Claves catastrales, siendo estas la Estándar y la Original, cuyo diccionario de datos catastrales Escala 1:1000 del INEGI, las define como</w:t>
      </w:r>
    </w:p>
    <w:p w14:paraId="02D59E0E" w14:textId="77777777" w:rsidR="009B2050" w:rsidRPr="00B14DFD" w:rsidRDefault="009B2050" w:rsidP="00DC5C74">
      <w:pPr>
        <w:spacing w:line="360" w:lineRule="auto"/>
        <w:ind w:right="-93"/>
        <w:contextualSpacing/>
        <w:jc w:val="both"/>
        <w:rPr>
          <w:rFonts w:ascii="Palatino Linotype" w:eastAsia="Calibri" w:hAnsi="Palatino Linotype" w:cs="Tahoma"/>
          <w:bCs/>
          <w:sz w:val="22"/>
          <w:szCs w:val="22"/>
        </w:rPr>
      </w:pPr>
    </w:p>
    <w:p w14:paraId="581D39C1" w14:textId="77777777" w:rsidR="009B2050" w:rsidRPr="00B14DFD" w:rsidRDefault="009B2050" w:rsidP="00644DDB">
      <w:pPr>
        <w:spacing w:line="276" w:lineRule="auto"/>
        <w:ind w:left="851" w:right="843"/>
        <w:contextualSpacing/>
        <w:jc w:val="both"/>
        <w:rPr>
          <w:rFonts w:ascii="Palatino Linotype" w:eastAsia="Calibri" w:hAnsi="Palatino Linotype" w:cs="Tahoma"/>
          <w:bCs/>
          <w:i/>
          <w:sz w:val="22"/>
          <w:szCs w:val="22"/>
        </w:rPr>
      </w:pPr>
      <w:r w:rsidRPr="00B14DFD">
        <w:rPr>
          <w:rFonts w:ascii="Palatino Linotype" w:eastAsia="Calibri" w:hAnsi="Palatino Linotype" w:cs="Tahoma"/>
          <w:bCs/>
          <w:i/>
          <w:sz w:val="22"/>
          <w:szCs w:val="22"/>
        </w:rPr>
        <w:t>“</w:t>
      </w:r>
      <w:r w:rsidRPr="00B14DFD">
        <w:rPr>
          <w:rFonts w:ascii="Palatino Linotype" w:eastAsia="Calibri" w:hAnsi="Palatino Linotype" w:cs="Tahoma"/>
          <w:b/>
          <w:bCs/>
          <w:i/>
          <w:sz w:val="22"/>
          <w:szCs w:val="22"/>
        </w:rPr>
        <w:t xml:space="preserve">CLAVE CATASTRAL ESTÁNDAR: </w:t>
      </w:r>
      <w:r w:rsidRPr="00B14DFD">
        <w:rPr>
          <w:rFonts w:ascii="Palatino Linotype" w:eastAsia="Calibri" w:hAnsi="Palatino Linotype" w:cs="Tahoma"/>
          <w:bCs/>
          <w:i/>
          <w:sz w:val="22"/>
          <w:szCs w:val="22"/>
        </w:rPr>
        <w:t xml:space="preserve">Código de 31 caracteres conformado por elementos administrativos y que identifica al objeto espacial en forma única para su localización, compuesto por: Estado (2) + Región Catastral (3) + Municipio (3) + Zona Catastral (2) + Localidad (4) + Sector Catastral (3) + </w:t>
      </w:r>
      <w:proofErr w:type="gramStart"/>
      <w:r w:rsidRPr="00B14DFD">
        <w:rPr>
          <w:rFonts w:ascii="Palatino Linotype" w:eastAsia="Calibri" w:hAnsi="Palatino Linotype" w:cs="Tahoma"/>
          <w:bCs/>
          <w:i/>
          <w:sz w:val="22"/>
          <w:szCs w:val="22"/>
        </w:rPr>
        <w:t>Manzana(</w:t>
      </w:r>
      <w:proofErr w:type="gramEnd"/>
      <w:r w:rsidRPr="00B14DFD">
        <w:rPr>
          <w:rFonts w:ascii="Palatino Linotype" w:eastAsia="Calibri" w:hAnsi="Palatino Linotype" w:cs="Tahoma"/>
          <w:bCs/>
          <w:i/>
          <w:sz w:val="22"/>
          <w:szCs w:val="22"/>
        </w:rPr>
        <w:t>3) + Predio (5) +  Condominio: edificio (2) y unidad (4).</w:t>
      </w:r>
    </w:p>
    <w:p w14:paraId="743D8392" w14:textId="77777777" w:rsidR="009B2050" w:rsidRPr="00B14DFD" w:rsidRDefault="009B2050" w:rsidP="00644DDB">
      <w:pPr>
        <w:spacing w:line="276" w:lineRule="auto"/>
        <w:ind w:left="851" w:right="843"/>
        <w:contextualSpacing/>
        <w:jc w:val="both"/>
        <w:rPr>
          <w:rFonts w:ascii="Palatino Linotype" w:eastAsia="Calibri" w:hAnsi="Palatino Linotype" w:cs="Tahoma"/>
          <w:b/>
          <w:bCs/>
          <w:i/>
          <w:sz w:val="22"/>
          <w:szCs w:val="22"/>
        </w:rPr>
      </w:pPr>
      <w:r w:rsidRPr="00B14DFD">
        <w:rPr>
          <w:rFonts w:ascii="Palatino Linotype" w:eastAsia="Calibri" w:hAnsi="Palatino Linotype" w:cs="Tahoma"/>
          <w:b/>
          <w:bCs/>
          <w:i/>
          <w:sz w:val="22"/>
          <w:szCs w:val="22"/>
        </w:rPr>
        <w:t xml:space="preserve">CLAVE CATASTRAL ORIGINAL: </w:t>
      </w:r>
      <w:r w:rsidRPr="00B14DFD">
        <w:rPr>
          <w:rFonts w:ascii="Palatino Linotype" w:eastAsia="Calibri" w:hAnsi="Palatino Linotype" w:cs="Tahoma"/>
          <w:bCs/>
          <w:i/>
          <w:sz w:val="22"/>
          <w:szCs w:val="22"/>
        </w:rPr>
        <w:t>Código que identifica al objeto espacial el cual es asignado, por el Catastro Estatal, Municipal o por el registro Agrario Nacional”</w:t>
      </w:r>
      <w:r w:rsidRPr="00B14DFD">
        <w:rPr>
          <w:rFonts w:ascii="Palatino Linotype" w:eastAsia="Calibri" w:hAnsi="Palatino Linotype" w:cs="Tahoma"/>
          <w:b/>
          <w:bCs/>
          <w:i/>
          <w:sz w:val="22"/>
          <w:szCs w:val="22"/>
        </w:rPr>
        <w:t xml:space="preserve"> </w:t>
      </w:r>
    </w:p>
    <w:p w14:paraId="76ED5C71" w14:textId="77777777" w:rsidR="009B2050" w:rsidRPr="00B14DFD" w:rsidRDefault="009B2050" w:rsidP="00DC5C74">
      <w:pPr>
        <w:spacing w:line="360" w:lineRule="auto"/>
        <w:ind w:right="-93"/>
        <w:contextualSpacing/>
        <w:jc w:val="both"/>
        <w:rPr>
          <w:rFonts w:ascii="Palatino Linotype" w:eastAsia="Calibri" w:hAnsi="Palatino Linotype" w:cs="Tahoma"/>
          <w:bCs/>
          <w:sz w:val="22"/>
          <w:szCs w:val="22"/>
        </w:rPr>
      </w:pPr>
    </w:p>
    <w:p w14:paraId="0B00442E" w14:textId="2F5B5266" w:rsidR="009B2050" w:rsidRPr="00B14DFD" w:rsidRDefault="009B2050" w:rsidP="00DC5C74">
      <w:pPr>
        <w:spacing w:line="360" w:lineRule="auto"/>
        <w:ind w:right="-93"/>
        <w:contextualSpacing/>
        <w:jc w:val="both"/>
        <w:rPr>
          <w:rFonts w:ascii="Palatino Linotype" w:eastAsia="Calibri" w:hAnsi="Palatino Linotype" w:cs="Tahoma"/>
          <w:b/>
          <w:bCs/>
          <w:sz w:val="22"/>
          <w:szCs w:val="22"/>
        </w:rPr>
      </w:pPr>
      <w:r w:rsidRPr="00B14DFD">
        <w:rPr>
          <w:rFonts w:ascii="Palatino Linotype" w:eastAsia="Calibri" w:hAnsi="Palatino Linotype" w:cs="Tahoma"/>
          <w:bCs/>
          <w:sz w:val="22"/>
          <w:szCs w:val="22"/>
        </w:rPr>
        <w:t xml:space="preserve">Conforme a lo anterior, se advierte que el dato en </w:t>
      </w:r>
      <w:r w:rsidR="00644DDB" w:rsidRPr="00B14DFD">
        <w:rPr>
          <w:rFonts w:ascii="Palatino Linotype" w:eastAsia="Calibri" w:hAnsi="Palatino Linotype" w:cs="Tahoma"/>
          <w:bCs/>
          <w:sz w:val="22"/>
          <w:szCs w:val="22"/>
        </w:rPr>
        <w:t>comento</w:t>
      </w:r>
      <w:r w:rsidRPr="00B14DFD">
        <w:rPr>
          <w:rFonts w:ascii="Palatino Linotype" w:eastAsia="Calibri" w:hAnsi="Palatino Linotype" w:cs="Tahoma"/>
          <w:bCs/>
          <w:sz w:val="22"/>
          <w:szCs w:val="22"/>
        </w:rPr>
        <w:t xml:space="preserve"> hace referencia a un predio determinado, que lo hace identificable mediante su localización geográfica e inscripción al padrón catastral de cada entidad federativa, por lo que pudiera revelar información inherente al patrimonio del propietario de dicho predio o inmueble, por lo que de igual manera </w:t>
      </w:r>
      <w:r w:rsidRPr="00B14DFD">
        <w:rPr>
          <w:rFonts w:ascii="Palatino Linotype" w:eastAsia="Calibri" w:hAnsi="Palatino Linotype" w:cs="Tahoma"/>
          <w:b/>
          <w:bCs/>
          <w:sz w:val="22"/>
          <w:szCs w:val="22"/>
        </w:rPr>
        <w:t>procede a clasificar dicho dato como confidencial.</w:t>
      </w:r>
    </w:p>
    <w:p w14:paraId="24444632" w14:textId="77777777" w:rsidR="009B2050" w:rsidRPr="00B14DFD" w:rsidRDefault="009B2050" w:rsidP="00DC5C74">
      <w:pPr>
        <w:spacing w:line="360" w:lineRule="auto"/>
        <w:ind w:right="-28"/>
        <w:contextualSpacing/>
        <w:jc w:val="both"/>
        <w:rPr>
          <w:rFonts w:ascii="Palatino Linotype" w:hAnsi="Palatino Linotype" w:cs="Tahoma"/>
          <w:bCs/>
          <w:iCs/>
          <w:sz w:val="22"/>
          <w:szCs w:val="22"/>
        </w:rPr>
      </w:pPr>
    </w:p>
    <w:p w14:paraId="7AAE540B" w14:textId="77777777" w:rsidR="00B67DC1" w:rsidRPr="00B14DFD" w:rsidRDefault="0012132D"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De lo anteriormente expuesto, se advierte que </w:t>
      </w:r>
      <w:r w:rsidR="00360330" w:rsidRPr="00B14DFD">
        <w:rPr>
          <w:rFonts w:ascii="Palatino Linotype" w:eastAsia="Palatino Linotype" w:hAnsi="Palatino Linotype" w:cs="Palatino Linotype"/>
          <w:sz w:val="22"/>
          <w:szCs w:val="22"/>
        </w:rPr>
        <w:t xml:space="preserve">en </w:t>
      </w:r>
      <w:r w:rsidRPr="00B14DFD">
        <w:rPr>
          <w:rFonts w:ascii="Palatino Linotype" w:eastAsia="Palatino Linotype" w:hAnsi="Palatino Linotype" w:cs="Palatino Linotype"/>
          <w:sz w:val="22"/>
          <w:szCs w:val="22"/>
        </w:rPr>
        <w:t>la</w:t>
      </w:r>
      <w:r w:rsidR="0012666F" w:rsidRPr="00B14DFD">
        <w:rPr>
          <w:rFonts w:ascii="Palatino Linotype" w:eastAsia="Palatino Linotype" w:hAnsi="Palatino Linotype" w:cs="Palatino Linotype"/>
          <w:sz w:val="22"/>
          <w:szCs w:val="22"/>
        </w:rPr>
        <w:t>s versiones</w:t>
      </w:r>
      <w:r w:rsidRPr="00B14DFD">
        <w:rPr>
          <w:rFonts w:ascii="Palatino Linotype" w:eastAsia="Palatino Linotype" w:hAnsi="Palatino Linotype" w:cs="Palatino Linotype"/>
          <w:sz w:val="22"/>
          <w:szCs w:val="22"/>
        </w:rPr>
        <w:t xml:space="preserve"> pública</w:t>
      </w:r>
      <w:r w:rsidR="0012666F" w:rsidRPr="00B14DFD">
        <w:rPr>
          <w:rFonts w:ascii="Palatino Linotype" w:eastAsia="Palatino Linotype" w:hAnsi="Palatino Linotype" w:cs="Palatino Linotype"/>
          <w:sz w:val="22"/>
          <w:szCs w:val="22"/>
        </w:rPr>
        <w:t>s</w:t>
      </w:r>
      <w:r w:rsidRPr="00B14DFD">
        <w:rPr>
          <w:rFonts w:ascii="Palatino Linotype" w:eastAsia="Palatino Linotype" w:hAnsi="Palatino Linotype" w:cs="Palatino Linotype"/>
          <w:sz w:val="22"/>
          <w:szCs w:val="22"/>
        </w:rPr>
        <w:t xml:space="preserve"> remitida</w:t>
      </w:r>
      <w:r w:rsidR="0012666F" w:rsidRPr="00B14DFD">
        <w:rPr>
          <w:rFonts w:ascii="Palatino Linotype" w:eastAsia="Palatino Linotype" w:hAnsi="Palatino Linotype" w:cs="Palatino Linotype"/>
          <w:sz w:val="22"/>
          <w:szCs w:val="22"/>
        </w:rPr>
        <w:t>s</w:t>
      </w:r>
      <w:r w:rsidRPr="00B14DFD">
        <w:rPr>
          <w:rFonts w:ascii="Palatino Linotype" w:eastAsia="Palatino Linotype" w:hAnsi="Palatino Linotype" w:cs="Palatino Linotype"/>
          <w:sz w:val="22"/>
          <w:szCs w:val="22"/>
        </w:rPr>
        <w:t xml:space="preserve"> por el </w:t>
      </w:r>
      <w:r w:rsidRPr="00B14DFD">
        <w:rPr>
          <w:rFonts w:ascii="Palatino Linotype" w:eastAsia="Palatino Linotype" w:hAnsi="Palatino Linotype" w:cs="Palatino Linotype"/>
          <w:b/>
          <w:bCs/>
          <w:sz w:val="22"/>
          <w:szCs w:val="22"/>
        </w:rPr>
        <w:t>Sujeto Obligado</w:t>
      </w:r>
      <w:r w:rsidRPr="00B14DFD">
        <w:rPr>
          <w:rFonts w:ascii="Palatino Linotype" w:eastAsia="Palatino Linotype" w:hAnsi="Palatino Linotype" w:cs="Palatino Linotype"/>
          <w:sz w:val="22"/>
          <w:szCs w:val="22"/>
        </w:rPr>
        <w:t xml:space="preserve"> </w:t>
      </w:r>
      <w:r w:rsidR="0012666F" w:rsidRPr="00B14DFD">
        <w:rPr>
          <w:rFonts w:ascii="Palatino Linotype" w:eastAsia="Palatino Linotype" w:hAnsi="Palatino Linotype" w:cs="Palatino Linotype"/>
          <w:sz w:val="22"/>
          <w:szCs w:val="22"/>
        </w:rPr>
        <w:t>testa</w:t>
      </w:r>
      <w:r w:rsidR="00360330" w:rsidRPr="00B14DFD">
        <w:rPr>
          <w:rFonts w:ascii="Palatino Linotype" w:eastAsia="Palatino Linotype" w:hAnsi="Palatino Linotype" w:cs="Palatino Linotype"/>
          <w:sz w:val="22"/>
          <w:szCs w:val="22"/>
        </w:rPr>
        <w:t xml:space="preserve">ron de manera excesiva </w:t>
      </w:r>
      <w:r w:rsidR="0012666F" w:rsidRPr="00B14DFD">
        <w:rPr>
          <w:rFonts w:ascii="Palatino Linotype" w:eastAsia="Palatino Linotype" w:hAnsi="Palatino Linotype" w:cs="Palatino Linotype"/>
          <w:sz w:val="22"/>
          <w:szCs w:val="22"/>
        </w:rPr>
        <w:t xml:space="preserve">información que es de carácter pública como </w:t>
      </w:r>
      <w:r w:rsidR="00FF5C28" w:rsidRPr="00B14DFD">
        <w:rPr>
          <w:rFonts w:ascii="Palatino Linotype" w:eastAsia="Palatino Linotype" w:hAnsi="Palatino Linotype" w:cs="Palatino Linotype"/>
          <w:sz w:val="22"/>
          <w:szCs w:val="22"/>
        </w:rPr>
        <w:t>los</w:t>
      </w:r>
      <w:r w:rsidR="00360330" w:rsidRPr="00B14DFD">
        <w:rPr>
          <w:rFonts w:ascii="Palatino Linotype" w:eastAsia="Palatino Linotype" w:hAnsi="Palatino Linotype" w:cs="Palatino Linotype"/>
          <w:sz w:val="22"/>
          <w:szCs w:val="22"/>
        </w:rPr>
        <w:t xml:space="preserve"> datos relativos al predio</w:t>
      </w:r>
      <w:r w:rsidR="0012666F" w:rsidRPr="00B14DFD">
        <w:rPr>
          <w:rFonts w:ascii="Palatino Linotype" w:eastAsia="Palatino Linotype" w:hAnsi="Palatino Linotype" w:cs="Palatino Linotype"/>
          <w:sz w:val="22"/>
          <w:szCs w:val="22"/>
        </w:rPr>
        <w:t xml:space="preserve">, mientras que, por otro lado, dejan a la vista datos personales como el nombre del propietario, superficie del predio, entre otros. En consecuencia, se </w:t>
      </w:r>
      <w:r w:rsidR="00360330" w:rsidRPr="00B14DFD">
        <w:rPr>
          <w:rFonts w:ascii="Palatino Linotype" w:eastAsia="Palatino Linotype" w:hAnsi="Palatino Linotype" w:cs="Palatino Linotype"/>
          <w:sz w:val="22"/>
          <w:szCs w:val="22"/>
        </w:rPr>
        <w:t xml:space="preserve">ordena </w:t>
      </w:r>
      <w:r w:rsidR="0012666F" w:rsidRPr="00B14DFD">
        <w:rPr>
          <w:rFonts w:ascii="Palatino Linotype" w:eastAsia="Palatino Linotype" w:hAnsi="Palatino Linotype" w:cs="Palatino Linotype"/>
          <w:sz w:val="22"/>
          <w:szCs w:val="22"/>
        </w:rPr>
        <w:t>entregar de nueva cuenta en una correcta versión pública las licencias de construcción remitidas en respuesta</w:t>
      </w:r>
      <w:r w:rsidR="00B67DC1" w:rsidRPr="00B14DFD">
        <w:rPr>
          <w:rFonts w:ascii="Palatino Linotype" w:eastAsia="Palatino Linotype" w:hAnsi="Palatino Linotype" w:cs="Palatino Linotype"/>
          <w:sz w:val="22"/>
          <w:szCs w:val="22"/>
        </w:rPr>
        <w:t xml:space="preserve"> </w:t>
      </w:r>
    </w:p>
    <w:p w14:paraId="4E1FC196" w14:textId="77777777" w:rsidR="00B67DC1" w:rsidRPr="00B14DFD" w:rsidRDefault="00B67DC1"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4ACCF216" w14:textId="5D74CCD3" w:rsidR="00B67DC1" w:rsidRPr="00B14DFD" w:rsidRDefault="00C44A56"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Del mismo modo, </w:t>
      </w:r>
      <w:r w:rsidR="00B67DC1" w:rsidRPr="00B14DFD">
        <w:rPr>
          <w:rFonts w:ascii="Palatino Linotype" w:eastAsia="Palatino Linotype" w:hAnsi="Palatino Linotype" w:cs="Palatino Linotype"/>
          <w:sz w:val="22"/>
          <w:szCs w:val="22"/>
        </w:rPr>
        <w:t xml:space="preserve">conviene recordar que la parte </w:t>
      </w:r>
      <w:r w:rsidR="00B67DC1" w:rsidRPr="00B14DFD">
        <w:rPr>
          <w:rFonts w:ascii="Palatino Linotype" w:eastAsia="Palatino Linotype" w:hAnsi="Palatino Linotype" w:cs="Palatino Linotype"/>
          <w:b/>
          <w:bCs/>
          <w:sz w:val="22"/>
          <w:szCs w:val="22"/>
        </w:rPr>
        <w:t>Recurrente</w:t>
      </w:r>
      <w:r w:rsidR="00B67DC1" w:rsidRPr="00B14DFD">
        <w:rPr>
          <w:rFonts w:ascii="Palatino Linotype" w:eastAsia="Palatino Linotype" w:hAnsi="Palatino Linotype" w:cs="Palatino Linotype"/>
          <w:sz w:val="22"/>
          <w:szCs w:val="22"/>
        </w:rPr>
        <w:t xml:space="preserve"> desea conocer las licencias de construcción del primero de enero al diecisiete de julio de dos mil veinticinco; sin embargo, el </w:t>
      </w:r>
      <w:r w:rsidR="00B67DC1" w:rsidRPr="00B14DFD">
        <w:rPr>
          <w:rFonts w:ascii="Palatino Linotype" w:eastAsia="Palatino Linotype" w:hAnsi="Palatino Linotype" w:cs="Palatino Linotype"/>
          <w:b/>
          <w:bCs/>
          <w:sz w:val="22"/>
          <w:szCs w:val="22"/>
        </w:rPr>
        <w:t>Sujeto Obligado</w:t>
      </w:r>
      <w:r w:rsidR="00B67DC1" w:rsidRPr="00B14DFD">
        <w:rPr>
          <w:rFonts w:ascii="Palatino Linotype" w:eastAsia="Palatino Linotype" w:hAnsi="Palatino Linotype" w:cs="Palatino Linotype"/>
          <w:sz w:val="22"/>
          <w:szCs w:val="22"/>
        </w:rPr>
        <w:t xml:space="preserve"> únicamente hizo entrega de las Licencias expedidas al mes de mayo de dos mil veinticinco, sin emitir pronunciamiento alguno relativo al periodo del primero de junio al diecisiete de julio de dos mil veinticinco, aunado a que de la revisión a los números de folio, este Organismo G</w:t>
      </w:r>
      <w:r w:rsidRPr="00B14DFD">
        <w:rPr>
          <w:rFonts w:ascii="Palatino Linotype" w:eastAsia="Palatino Linotype" w:hAnsi="Palatino Linotype" w:cs="Palatino Linotype"/>
          <w:sz w:val="22"/>
          <w:szCs w:val="22"/>
        </w:rPr>
        <w:t>a</w:t>
      </w:r>
      <w:r w:rsidR="00B67DC1" w:rsidRPr="00B14DFD">
        <w:rPr>
          <w:rFonts w:ascii="Palatino Linotype" w:eastAsia="Palatino Linotype" w:hAnsi="Palatino Linotype" w:cs="Palatino Linotype"/>
          <w:sz w:val="22"/>
          <w:szCs w:val="22"/>
        </w:rPr>
        <w:t>rante advierte que estos no se encuentran consecutivos, por lo que resulta procedente ordenar la entrega, previa búsqueda exhaustiva y razonable de las licencias de contribución faltante</w:t>
      </w:r>
      <w:r w:rsidR="00644DDB" w:rsidRPr="00B14DFD">
        <w:rPr>
          <w:rFonts w:ascii="Palatino Linotype" w:eastAsia="Palatino Linotype" w:hAnsi="Palatino Linotype" w:cs="Palatino Linotype"/>
          <w:sz w:val="22"/>
          <w:szCs w:val="22"/>
        </w:rPr>
        <w:t>s</w:t>
      </w:r>
      <w:r w:rsidR="00B67DC1" w:rsidRPr="00B14DFD">
        <w:rPr>
          <w:rFonts w:ascii="Palatino Linotype" w:eastAsia="Palatino Linotype" w:hAnsi="Palatino Linotype" w:cs="Palatino Linotype"/>
          <w:sz w:val="22"/>
          <w:szCs w:val="22"/>
        </w:rPr>
        <w:t xml:space="preserve">, en versión pública. </w:t>
      </w:r>
    </w:p>
    <w:p w14:paraId="0F966E2E" w14:textId="77777777" w:rsidR="00B67DC1" w:rsidRPr="00B14DFD" w:rsidRDefault="00B67DC1"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399BDAF2" w14:textId="0AC0736D" w:rsidR="00C44A56" w:rsidRPr="00B14DFD" w:rsidRDefault="0012666F"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Ahora bien, respecto al agravio del particular sobre </w:t>
      </w:r>
      <w:r w:rsidR="00C44A56" w:rsidRPr="00B14DFD">
        <w:rPr>
          <w:rFonts w:ascii="Palatino Linotype" w:eastAsia="Palatino Linotype" w:hAnsi="Palatino Linotype" w:cs="Palatino Linotype"/>
          <w:i/>
          <w:iCs/>
          <w:sz w:val="22"/>
          <w:szCs w:val="22"/>
        </w:rPr>
        <w:t xml:space="preserve">no entrega la totalidad de la información, </w:t>
      </w:r>
      <w:r w:rsidR="00215B21" w:rsidRPr="00B14DFD">
        <w:rPr>
          <w:rFonts w:ascii="Palatino Linotype" w:eastAsia="Palatino Linotype" w:hAnsi="Palatino Linotype" w:cs="Palatino Linotype"/>
          <w:sz w:val="22"/>
          <w:szCs w:val="22"/>
        </w:rPr>
        <w:t xml:space="preserve">se advierte que </w:t>
      </w:r>
      <w:r w:rsidR="00C44A56" w:rsidRPr="00B14DFD">
        <w:rPr>
          <w:rFonts w:ascii="Palatino Linotype" w:eastAsia="Palatino Linotype" w:hAnsi="Palatino Linotype" w:cs="Palatino Linotype"/>
          <w:sz w:val="22"/>
          <w:szCs w:val="22"/>
        </w:rPr>
        <w:t xml:space="preserve">un primer momento la parte </w:t>
      </w:r>
      <w:r w:rsidR="00C44A56" w:rsidRPr="00B14DFD">
        <w:rPr>
          <w:rFonts w:ascii="Palatino Linotype" w:eastAsia="Palatino Linotype" w:hAnsi="Palatino Linotype" w:cs="Palatino Linotype"/>
          <w:b/>
          <w:bCs/>
          <w:sz w:val="22"/>
          <w:szCs w:val="22"/>
        </w:rPr>
        <w:t>Recurrente</w:t>
      </w:r>
      <w:r w:rsidR="00C44A56" w:rsidRPr="00B14DFD">
        <w:rPr>
          <w:rFonts w:ascii="Palatino Linotype" w:eastAsia="Palatino Linotype" w:hAnsi="Palatino Linotype" w:cs="Palatino Linotype"/>
          <w:sz w:val="22"/>
          <w:szCs w:val="22"/>
        </w:rPr>
        <w:t xml:space="preserve"> también manifestó su deseo de conocer información relacionada con los permisos y todo lo que realice la Dirección de Desarrollo Territorial y Urbano, por ello el artículo 60 del Reglamento Orgánico Municipal de Zinacantepec establece que la Dirección de Desarrollo </w:t>
      </w:r>
      <w:r w:rsidR="007B48B5" w:rsidRPr="00B14DFD">
        <w:rPr>
          <w:rFonts w:ascii="Palatino Linotype" w:eastAsia="Palatino Linotype" w:hAnsi="Palatino Linotype" w:cs="Palatino Linotype"/>
          <w:sz w:val="22"/>
          <w:szCs w:val="22"/>
        </w:rPr>
        <w:t xml:space="preserve">Territorial </w:t>
      </w:r>
      <w:r w:rsidR="00C44A56" w:rsidRPr="00B14DFD">
        <w:rPr>
          <w:rFonts w:ascii="Palatino Linotype" w:eastAsia="Palatino Linotype" w:hAnsi="Palatino Linotype" w:cs="Palatino Linotype"/>
          <w:sz w:val="22"/>
          <w:szCs w:val="22"/>
        </w:rPr>
        <w:t xml:space="preserve">expedirá constancias de regularización de obras, constancias de alineamiento, nomenclatura y números oficiales, además de demoliciones y excavaciones, previo pago de derechos en la Tesorería Municipal, tal y como se advierte a continuación: </w:t>
      </w:r>
    </w:p>
    <w:p w14:paraId="228CCBD6" w14:textId="77777777" w:rsidR="00C44A56" w:rsidRPr="00B14DFD" w:rsidRDefault="00C44A56"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5C3AE013" w14:textId="54EAEBAC" w:rsidR="00C44A56" w:rsidRPr="00B14DFD" w:rsidRDefault="007B48B5" w:rsidP="00DC5C74">
      <w:pPr>
        <w:pBdr>
          <w:top w:val="nil"/>
          <w:left w:val="nil"/>
          <w:bottom w:val="nil"/>
          <w:right w:val="nil"/>
          <w:between w:val="nil"/>
        </w:pBd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w:t>
      </w:r>
      <w:r w:rsidR="00C44A56" w:rsidRPr="00B14DFD">
        <w:rPr>
          <w:rFonts w:ascii="Palatino Linotype" w:eastAsia="Palatino Linotype" w:hAnsi="Palatino Linotype" w:cs="Palatino Linotype"/>
          <w:b/>
          <w:bCs/>
          <w:i/>
          <w:iCs/>
          <w:sz w:val="22"/>
          <w:szCs w:val="22"/>
        </w:rPr>
        <w:t>Artículo 60.</w:t>
      </w:r>
      <w:r w:rsidR="00C44A56" w:rsidRPr="00B14DFD">
        <w:rPr>
          <w:rFonts w:ascii="Palatino Linotype" w:eastAsia="Palatino Linotype" w:hAnsi="Palatino Linotype" w:cs="Palatino Linotype"/>
          <w:i/>
          <w:iCs/>
          <w:sz w:val="22"/>
          <w:szCs w:val="22"/>
        </w:rPr>
        <w:t xml:space="preserve"> … la Dirección de Desarrollo Territorial y Urbano tiene las siguientes funciones y atribuciones: </w:t>
      </w:r>
    </w:p>
    <w:p w14:paraId="52BC0EF2" w14:textId="77777777" w:rsidR="00C44A56" w:rsidRPr="00B14DFD" w:rsidRDefault="00C44A56" w:rsidP="00DC5C74">
      <w:pPr>
        <w:pBdr>
          <w:top w:val="nil"/>
          <w:left w:val="nil"/>
          <w:bottom w:val="nil"/>
          <w:right w:val="nil"/>
          <w:between w:val="nil"/>
        </w:pBd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w:t>
      </w:r>
    </w:p>
    <w:p w14:paraId="3A9E0280" w14:textId="7BC86AF4" w:rsidR="00C44A56" w:rsidRPr="00B14DFD" w:rsidRDefault="00C44A56" w:rsidP="00DC5C74">
      <w:pPr>
        <w:pBdr>
          <w:top w:val="nil"/>
          <w:left w:val="nil"/>
          <w:bottom w:val="nil"/>
          <w:right w:val="nil"/>
          <w:between w:val="nil"/>
        </w:pBd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 xml:space="preserve">Expedir licencias de construcción de obras nuevas, constancia de regularización de obras, constancias de alineamiento, nomenclatura y números oficiales, así como la ocupación temporal de la vía pública con materiales de construcción, además de demoliciones y excavaciones, previo pago de derechos en la Tesorería Municipal;  </w:t>
      </w:r>
    </w:p>
    <w:p w14:paraId="5C3EA4BF" w14:textId="262BBBA5" w:rsidR="00C44A56" w:rsidRPr="00B14DFD" w:rsidRDefault="00C44A56" w:rsidP="00DC5C74">
      <w:pPr>
        <w:pBdr>
          <w:top w:val="nil"/>
          <w:left w:val="nil"/>
          <w:bottom w:val="nil"/>
          <w:right w:val="nil"/>
          <w:between w:val="nil"/>
        </w:pBd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w:t>
      </w:r>
    </w:p>
    <w:p w14:paraId="62ACF2D1" w14:textId="71252306" w:rsidR="00C44A56" w:rsidRPr="00B14DFD" w:rsidRDefault="00C44A56" w:rsidP="00DC5C74">
      <w:pPr>
        <w:pBdr>
          <w:top w:val="nil"/>
          <w:left w:val="nil"/>
          <w:bottom w:val="nil"/>
          <w:right w:val="nil"/>
          <w:between w:val="nil"/>
        </w:pBdr>
        <w:spacing w:line="276" w:lineRule="auto"/>
        <w:ind w:left="851" w:right="843"/>
        <w:jc w:val="both"/>
        <w:rPr>
          <w:rFonts w:ascii="Palatino Linotype" w:eastAsia="Palatino Linotype" w:hAnsi="Palatino Linotype" w:cs="Palatino Linotype"/>
          <w:i/>
          <w:iCs/>
          <w:sz w:val="22"/>
          <w:szCs w:val="22"/>
        </w:rPr>
      </w:pPr>
      <w:r w:rsidRPr="00B14DFD">
        <w:rPr>
          <w:rFonts w:ascii="Palatino Linotype" w:eastAsia="Palatino Linotype" w:hAnsi="Palatino Linotype" w:cs="Palatino Linotype"/>
          <w:i/>
          <w:iCs/>
          <w:sz w:val="22"/>
          <w:szCs w:val="22"/>
        </w:rPr>
        <w:t>Informar a los ciudadanos, de los trámites que su Dirección realiza, en materia de expedición de licencias y permisos de construcción en sus diferentes modalidades;</w:t>
      </w:r>
      <w:r w:rsidR="007B48B5" w:rsidRPr="00B14DFD">
        <w:rPr>
          <w:rFonts w:ascii="Palatino Linotype" w:eastAsia="Palatino Linotype" w:hAnsi="Palatino Linotype" w:cs="Palatino Linotype"/>
          <w:i/>
          <w:iCs/>
          <w:sz w:val="22"/>
          <w:szCs w:val="22"/>
        </w:rPr>
        <w:t>…”</w:t>
      </w:r>
    </w:p>
    <w:p w14:paraId="447DF327" w14:textId="77777777" w:rsidR="00C44A56" w:rsidRPr="00B14DFD" w:rsidRDefault="00C44A56"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2BE892E1" w14:textId="7AA35866" w:rsidR="006D55FD" w:rsidRPr="00B14DFD" w:rsidRDefault="006D55FD"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Del mismo modo, la página oficial del Ayuntamiento de Zinacantepec en su Registro Municipal de Tramites y Servicios, señala que la Dirección de Desarrollo Territorial y Urbano emite las siguientes constancias: </w:t>
      </w:r>
    </w:p>
    <w:p w14:paraId="61721332" w14:textId="6D63F23B" w:rsidR="006D55FD" w:rsidRPr="00B14DFD" w:rsidRDefault="006D55FD" w:rsidP="00DC5C74">
      <w:pPr>
        <w:pBdr>
          <w:top w:val="nil"/>
          <w:left w:val="nil"/>
          <w:bottom w:val="nil"/>
          <w:right w:val="nil"/>
          <w:between w:val="nil"/>
        </w:pBdr>
        <w:spacing w:line="360" w:lineRule="auto"/>
        <w:ind w:right="99"/>
        <w:jc w:val="center"/>
        <w:rPr>
          <w:rFonts w:ascii="Palatino Linotype" w:eastAsia="Palatino Linotype" w:hAnsi="Palatino Linotype" w:cs="Palatino Linotype"/>
          <w:sz w:val="22"/>
          <w:szCs w:val="22"/>
        </w:rPr>
      </w:pPr>
      <w:r w:rsidRPr="00B14DFD">
        <w:rPr>
          <w:rFonts w:ascii="Palatino Linotype" w:eastAsia="Palatino Linotype" w:hAnsi="Palatino Linotype" w:cs="Palatino Linotype"/>
          <w:noProof/>
          <w:sz w:val="22"/>
          <w:szCs w:val="22"/>
        </w:rPr>
        <w:drawing>
          <wp:inline distT="0" distB="0" distL="0" distR="0" wp14:anchorId="2E50B533" wp14:editId="3067B29C">
            <wp:extent cx="4295553" cy="4005550"/>
            <wp:effectExtent l="0" t="0" r="0" b="0"/>
            <wp:docPr id="1362541254" name="Imagen 1" descr="Interfaz de usuario gráfic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541254" name="Imagen 1" descr="Interfaz de usuario gráfica&#10;&#10;El contenido generado por IA puede ser incorrecto."/>
                    <pic:cNvPicPr/>
                  </pic:nvPicPr>
                  <pic:blipFill>
                    <a:blip r:embed="rId12"/>
                    <a:stretch>
                      <a:fillRect/>
                    </a:stretch>
                  </pic:blipFill>
                  <pic:spPr>
                    <a:xfrm>
                      <a:off x="0" y="0"/>
                      <a:ext cx="4318395" cy="4026850"/>
                    </a:xfrm>
                    <a:prstGeom prst="rect">
                      <a:avLst/>
                    </a:prstGeom>
                  </pic:spPr>
                </pic:pic>
              </a:graphicData>
            </a:graphic>
          </wp:inline>
        </w:drawing>
      </w:r>
    </w:p>
    <w:p w14:paraId="537415B2" w14:textId="616AD3D6" w:rsidR="006D55FD" w:rsidRPr="00B14DFD" w:rsidRDefault="006D55FD"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noProof/>
          <w:sz w:val="22"/>
          <w:szCs w:val="22"/>
        </w:rPr>
        <w:drawing>
          <wp:inline distT="0" distB="0" distL="0" distR="0" wp14:anchorId="5A4DAAB5" wp14:editId="2994D4C7">
            <wp:extent cx="5756275" cy="1643380"/>
            <wp:effectExtent l="0" t="0" r="0" b="0"/>
            <wp:docPr id="173412148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121488" name="Imagen 1" descr="Texto&#10;&#10;El contenido generado por IA puede ser incorrecto."/>
                    <pic:cNvPicPr/>
                  </pic:nvPicPr>
                  <pic:blipFill>
                    <a:blip r:embed="rId13"/>
                    <a:stretch>
                      <a:fillRect/>
                    </a:stretch>
                  </pic:blipFill>
                  <pic:spPr>
                    <a:xfrm>
                      <a:off x="0" y="0"/>
                      <a:ext cx="5756275" cy="1643380"/>
                    </a:xfrm>
                    <a:prstGeom prst="rect">
                      <a:avLst/>
                    </a:prstGeom>
                  </pic:spPr>
                </pic:pic>
              </a:graphicData>
            </a:graphic>
          </wp:inline>
        </w:drawing>
      </w:r>
    </w:p>
    <w:p w14:paraId="3D4CD748" w14:textId="0CA445E2" w:rsidR="006D55FD" w:rsidRPr="00B14DFD" w:rsidRDefault="006D55FD"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noProof/>
          <w:sz w:val="22"/>
          <w:szCs w:val="22"/>
        </w:rPr>
        <w:drawing>
          <wp:inline distT="0" distB="0" distL="0" distR="0" wp14:anchorId="1519A74D" wp14:editId="1F3E9F21">
            <wp:extent cx="5756275" cy="346075"/>
            <wp:effectExtent l="0" t="0" r="0" b="0"/>
            <wp:docPr id="14802562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256203" name=""/>
                    <pic:cNvPicPr/>
                  </pic:nvPicPr>
                  <pic:blipFill>
                    <a:blip r:embed="rId14"/>
                    <a:stretch>
                      <a:fillRect/>
                    </a:stretch>
                  </pic:blipFill>
                  <pic:spPr>
                    <a:xfrm>
                      <a:off x="0" y="0"/>
                      <a:ext cx="5756275" cy="346075"/>
                    </a:xfrm>
                    <a:prstGeom prst="rect">
                      <a:avLst/>
                    </a:prstGeom>
                  </pic:spPr>
                </pic:pic>
              </a:graphicData>
            </a:graphic>
          </wp:inline>
        </w:drawing>
      </w:r>
    </w:p>
    <w:p w14:paraId="28891398" w14:textId="77777777" w:rsidR="006D55FD" w:rsidRPr="00B14DFD" w:rsidRDefault="006D55FD"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049FAC1E" w14:textId="6BF06578" w:rsidR="004D0173" w:rsidRPr="00B14DFD" w:rsidRDefault="006D55FD"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rPr>
        <w:t xml:space="preserve">De lo anteriormente expuesto, se advierte que la Dirección de Desarrollo Territorial y Urbano emite </w:t>
      </w:r>
      <w:r w:rsidR="00814617" w:rsidRPr="00B14DFD">
        <w:rPr>
          <w:rFonts w:ascii="Palatino Linotype" w:eastAsia="Palatino Linotype" w:hAnsi="Palatino Linotype" w:cs="Palatino Linotype"/>
          <w:sz w:val="22"/>
          <w:szCs w:val="22"/>
        </w:rPr>
        <w:t xml:space="preserve">licencias y constancias, </w:t>
      </w:r>
      <w:r w:rsidRPr="00B14DFD">
        <w:rPr>
          <w:rFonts w:ascii="Palatino Linotype" w:eastAsia="Palatino Linotype" w:hAnsi="Palatino Linotype" w:cs="Palatino Linotype"/>
          <w:sz w:val="22"/>
          <w:szCs w:val="22"/>
        </w:rPr>
        <w:t>además de las licencias de construcción</w:t>
      </w:r>
      <w:r w:rsidR="00814617" w:rsidRPr="00B14DFD">
        <w:rPr>
          <w:rFonts w:ascii="Palatino Linotype" w:eastAsia="Palatino Linotype" w:hAnsi="Palatino Linotype" w:cs="Palatino Linotype"/>
          <w:sz w:val="22"/>
          <w:szCs w:val="22"/>
        </w:rPr>
        <w:t>; si</w:t>
      </w:r>
      <w:r w:rsidR="007B48B5" w:rsidRPr="00B14DFD">
        <w:rPr>
          <w:rFonts w:ascii="Palatino Linotype" w:eastAsia="Palatino Linotype" w:hAnsi="Palatino Linotype" w:cs="Palatino Linotype"/>
          <w:sz w:val="22"/>
          <w:szCs w:val="22"/>
        </w:rPr>
        <w:t xml:space="preserve">n embargo, de la revisión al expediente electrónico, no se advierte que el </w:t>
      </w:r>
      <w:r w:rsidR="007B48B5" w:rsidRPr="00B14DFD">
        <w:rPr>
          <w:rFonts w:ascii="Palatino Linotype" w:eastAsia="Palatino Linotype" w:hAnsi="Palatino Linotype" w:cs="Palatino Linotype"/>
          <w:b/>
          <w:bCs/>
          <w:sz w:val="22"/>
          <w:szCs w:val="22"/>
        </w:rPr>
        <w:t>Sujeto Obligado</w:t>
      </w:r>
      <w:r w:rsidR="007B48B5" w:rsidRPr="00B14DFD">
        <w:rPr>
          <w:rFonts w:ascii="Palatino Linotype" w:eastAsia="Palatino Linotype" w:hAnsi="Palatino Linotype" w:cs="Palatino Linotype"/>
          <w:sz w:val="22"/>
          <w:szCs w:val="22"/>
        </w:rPr>
        <w:t xml:space="preserve"> emitiera algún pronunciamiento al respecto; por lo que</w:t>
      </w:r>
      <w:r w:rsidR="004D0173" w:rsidRPr="00B14DFD">
        <w:rPr>
          <w:rFonts w:ascii="Palatino Linotype" w:eastAsia="Palatino Linotype" w:hAnsi="Palatino Linotype" w:cs="Palatino Linotype"/>
          <w:sz w:val="22"/>
          <w:szCs w:val="22"/>
        </w:rPr>
        <w:t xml:space="preserve">, </w:t>
      </w:r>
      <w:r w:rsidR="004D0173" w:rsidRPr="00B14DFD">
        <w:rPr>
          <w:rFonts w:ascii="Palatino Linotype" w:eastAsia="Palatino Linotype" w:hAnsi="Palatino Linotype" w:cs="Palatino Linotype"/>
          <w:sz w:val="22"/>
          <w:szCs w:val="22"/>
          <w:lang w:val="es-ES"/>
        </w:rPr>
        <w:t xml:space="preserve">el </w:t>
      </w:r>
      <w:r w:rsidR="004D0173" w:rsidRPr="00B14DFD">
        <w:rPr>
          <w:rFonts w:ascii="Palatino Linotype" w:eastAsia="Palatino Linotype" w:hAnsi="Palatino Linotype" w:cs="Palatino Linotype"/>
          <w:b/>
          <w:bCs/>
          <w:sz w:val="22"/>
          <w:szCs w:val="22"/>
          <w:lang w:val="es-ES"/>
        </w:rPr>
        <w:t>Sujeto Obligado</w:t>
      </w:r>
      <w:r w:rsidR="004D0173" w:rsidRPr="00B14DFD">
        <w:rPr>
          <w:rFonts w:ascii="Palatino Linotype" w:eastAsia="Palatino Linotype" w:hAnsi="Palatino Linotype" w:cs="Palatino Linotype"/>
          <w:sz w:val="22"/>
          <w:szCs w:val="22"/>
          <w:lang w:val="es-ES"/>
        </w:rPr>
        <w:t xml:space="preserve"> no fue congruente y exhaustivo en su respuesta de conformidad con el Criterio orientador 02/17 emitido por el entonces Instituto Nacional de Transparencia, Acceso a la Información y Protección de Datos Personales el cual establece que para garantizar el derecho de acceso a la Información, los Sujetos Obligados deberán cumplir con los principios de exhaustividad y congruencia, esto es, que la congruencia </w:t>
      </w:r>
      <w:r w:rsidR="004D0173" w:rsidRPr="00B14DFD">
        <w:rPr>
          <w:rFonts w:ascii="Palatino Linotype" w:eastAsia="Palatino Linotype" w:hAnsi="Palatino Linotype" w:cs="Palatino Linotype"/>
          <w:b/>
          <w:sz w:val="22"/>
          <w:szCs w:val="22"/>
          <w:lang w:val="es-ES"/>
        </w:rPr>
        <w:t>implica que exista concordancia entre el requerimiento formulado por el particular y la respuesta proporcionada por el sujeto obligado</w:t>
      </w:r>
      <w:r w:rsidR="004D0173" w:rsidRPr="00B14DFD">
        <w:rPr>
          <w:rFonts w:ascii="Palatino Linotype" w:eastAsia="Palatino Linotype" w:hAnsi="Palatino Linotype" w:cs="Palatino Linotype"/>
          <w:sz w:val="22"/>
          <w:szCs w:val="22"/>
          <w:lang w:val="es-ES"/>
        </w:rPr>
        <w:t xml:space="preserve">, mientras que la exhaustividad establece que el sujeto obligado </w:t>
      </w:r>
      <w:r w:rsidR="004D0173" w:rsidRPr="00B14DFD">
        <w:rPr>
          <w:rFonts w:ascii="Palatino Linotype" w:eastAsia="Palatino Linotype" w:hAnsi="Palatino Linotype" w:cs="Palatino Linotype"/>
          <w:b/>
          <w:sz w:val="22"/>
          <w:szCs w:val="22"/>
          <w:lang w:val="es-ES"/>
        </w:rPr>
        <w:t>deberá atender de manera expresa cada uno de los puntos solicitados</w:t>
      </w:r>
      <w:r w:rsidR="004D0173" w:rsidRPr="00B14DFD">
        <w:rPr>
          <w:rFonts w:ascii="Palatino Linotype" w:eastAsia="Palatino Linotype" w:hAnsi="Palatino Linotype" w:cs="Palatino Linotype"/>
          <w:sz w:val="22"/>
          <w:szCs w:val="22"/>
          <w:lang w:val="es-ES"/>
        </w:rPr>
        <w:t xml:space="preserve">, situación que en el presente caso </w:t>
      </w:r>
      <w:r w:rsidR="004D0173" w:rsidRPr="00B14DFD">
        <w:rPr>
          <w:rFonts w:ascii="Palatino Linotype" w:eastAsia="Palatino Linotype" w:hAnsi="Palatino Linotype" w:cs="Palatino Linotype"/>
          <w:b/>
          <w:sz w:val="22"/>
          <w:szCs w:val="22"/>
          <w:u w:val="single"/>
          <w:lang w:val="es-ES"/>
        </w:rPr>
        <w:t>no aconteció</w:t>
      </w:r>
      <w:r w:rsidR="004D0173" w:rsidRPr="00B14DFD">
        <w:rPr>
          <w:rFonts w:ascii="Palatino Linotype" w:eastAsia="Palatino Linotype" w:hAnsi="Palatino Linotype" w:cs="Palatino Linotype"/>
          <w:sz w:val="22"/>
          <w:szCs w:val="22"/>
          <w:lang w:val="es-ES"/>
        </w:rPr>
        <w:t xml:space="preserve">, pues el </w:t>
      </w:r>
      <w:r w:rsidR="004D0173" w:rsidRPr="00B14DFD">
        <w:rPr>
          <w:rFonts w:ascii="Palatino Linotype" w:eastAsia="Palatino Linotype" w:hAnsi="Palatino Linotype" w:cs="Palatino Linotype"/>
          <w:b/>
          <w:bCs/>
          <w:sz w:val="22"/>
          <w:szCs w:val="22"/>
          <w:lang w:val="es-ES"/>
        </w:rPr>
        <w:t>Sujeto Obligado</w:t>
      </w:r>
      <w:r w:rsidR="004D0173" w:rsidRPr="00B14DFD">
        <w:rPr>
          <w:rFonts w:ascii="Palatino Linotype" w:eastAsia="Palatino Linotype" w:hAnsi="Palatino Linotype" w:cs="Palatino Linotype"/>
          <w:sz w:val="22"/>
          <w:szCs w:val="22"/>
          <w:lang w:val="es-ES"/>
        </w:rPr>
        <w:t xml:space="preserve"> no fue congruente ni exhaustivo en proporcionar la información que requirió específicamente la parte </w:t>
      </w:r>
      <w:r w:rsidR="004D0173" w:rsidRPr="00B14DFD">
        <w:rPr>
          <w:rFonts w:ascii="Palatino Linotype" w:eastAsia="Palatino Linotype" w:hAnsi="Palatino Linotype" w:cs="Palatino Linotype"/>
          <w:b/>
          <w:sz w:val="22"/>
          <w:szCs w:val="22"/>
          <w:lang w:val="es-ES"/>
        </w:rPr>
        <w:t>Recurrente</w:t>
      </w:r>
      <w:r w:rsidR="004D0173" w:rsidRPr="00B14DFD">
        <w:rPr>
          <w:rFonts w:ascii="Palatino Linotype" w:eastAsia="Palatino Linotype" w:hAnsi="Palatino Linotype" w:cs="Palatino Linotype"/>
          <w:sz w:val="22"/>
          <w:szCs w:val="22"/>
          <w:lang w:val="es-ES"/>
        </w:rPr>
        <w:t xml:space="preserve">, situación por la que no puede tenerse por colmado el Derecho de Acceso a la Información de la parte </w:t>
      </w:r>
      <w:r w:rsidR="004D0173" w:rsidRPr="00B14DFD">
        <w:rPr>
          <w:rFonts w:ascii="Palatino Linotype" w:eastAsia="Palatino Linotype" w:hAnsi="Palatino Linotype" w:cs="Palatino Linotype"/>
          <w:b/>
          <w:bCs/>
          <w:sz w:val="22"/>
          <w:szCs w:val="22"/>
          <w:lang w:val="es-ES"/>
        </w:rPr>
        <w:t>Recurrente</w:t>
      </w:r>
      <w:r w:rsidR="004D0173" w:rsidRPr="00B14DFD">
        <w:rPr>
          <w:rFonts w:ascii="Palatino Linotype" w:eastAsia="Palatino Linotype" w:hAnsi="Palatino Linotype" w:cs="Palatino Linotype"/>
          <w:sz w:val="22"/>
          <w:szCs w:val="22"/>
          <w:lang w:val="es-ES"/>
        </w:rPr>
        <w:t xml:space="preserve"> y, por ende, se determina ordenar la entrega, previa búsqueda exhaustiva y razonable, del documento que dé </w:t>
      </w:r>
      <w:r w:rsidR="00594E95" w:rsidRPr="00B14DFD">
        <w:rPr>
          <w:rFonts w:ascii="Palatino Linotype" w:eastAsia="Palatino Linotype" w:hAnsi="Palatino Linotype" w:cs="Palatino Linotype"/>
          <w:sz w:val="22"/>
          <w:szCs w:val="22"/>
          <w:lang w:val="es-ES"/>
        </w:rPr>
        <w:t>cuenta de l</w:t>
      </w:r>
      <w:r w:rsidR="00644DDB" w:rsidRPr="00B14DFD">
        <w:rPr>
          <w:rFonts w:ascii="Palatino Linotype" w:eastAsia="Palatino Linotype" w:hAnsi="Palatino Linotype" w:cs="Palatino Linotype"/>
          <w:sz w:val="22"/>
          <w:szCs w:val="22"/>
          <w:lang w:val="es-ES"/>
        </w:rPr>
        <w:t xml:space="preserve">os permisos y constancias en materia de construcción </w:t>
      </w:r>
      <w:r w:rsidR="00594E95" w:rsidRPr="00B14DFD">
        <w:rPr>
          <w:rFonts w:ascii="Palatino Linotype" w:eastAsia="Palatino Linotype" w:hAnsi="Palatino Linotype" w:cs="Palatino Linotype"/>
          <w:sz w:val="22"/>
          <w:szCs w:val="22"/>
          <w:lang w:val="es-ES"/>
        </w:rPr>
        <w:t xml:space="preserve">que emite la </w:t>
      </w:r>
      <w:r w:rsidR="004D0173" w:rsidRPr="00B14DFD">
        <w:rPr>
          <w:rFonts w:ascii="Palatino Linotype" w:eastAsia="Palatino Linotype" w:hAnsi="Palatino Linotype" w:cs="Palatino Linotype"/>
          <w:sz w:val="22"/>
          <w:szCs w:val="22"/>
          <w:lang w:val="es-ES"/>
        </w:rPr>
        <w:t>Dirección de Desarrollo Territorial y Urbano, del primero de enero al diecisiete de julio de dos mil veinticinco, de ser procedente en versión pública.</w:t>
      </w:r>
    </w:p>
    <w:p w14:paraId="7C9AA0A9" w14:textId="77777777" w:rsidR="004D0173" w:rsidRPr="00B14DFD" w:rsidRDefault="004D0173"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lang w:val="es-ES"/>
        </w:rPr>
      </w:pPr>
    </w:p>
    <w:p w14:paraId="53126236" w14:textId="5876D825" w:rsidR="004D0173" w:rsidRPr="00B14DFD" w:rsidRDefault="004D0173"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 xml:space="preserve">Para el caso de que la información que se ordena entregar no obre en los archivos del </w:t>
      </w:r>
      <w:r w:rsidRPr="00B14DFD">
        <w:rPr>
          <w:rFonts w:ascii="Palatino Linotype" w:eastAsia="Palatino Linotype" w:hAnsi="Palatino Linotype" w:cs="Palatino Linotype"/>
          <w:b/>
          <w:bCs/>
          <w:sz w:val="22"/>
          <w:szCs w:val="22"/>
          <w:lang w:val="es-ES"/>
        </w:rPr>
        <w:t>Sujeto Obligado</w:t>
      </w:r>
      <w:r w:rsidRPr="00B14DFD">
        <w:rPr>
          <w:rFonts w:ascii="Palatino Linotype" w:eastAsia="Palatino Linotype" w:hAnsi="Palatino Linotype" w:cs="Palatino Linotype"/>
          <w:sz w:val="22"/>
          <w:szCs w:val="22"/>
          <w:lang w:val="es-ES"/>
        </w:rPr>
        <w:t>, por no haberse generado, poseído o administrado, este deberá hacerlo del conocimiento del Particular en términos del artículo 19, párrafo segundo, de la Ley de Transparencia y Acceso a la Información Pública del Estado de México y Municipios, para tenerse por colmado dicho requerimiento.</w:t>
      </w:r>
    </w:p>
    <w:p w14:paraId="427A845E" w14:textId="77777777" w:rsidR="009B2050" w:rsidRPr="00B14DFD" w:rsidRDefault="009B2050" w:rsidP="00DC5C74">
      <w:pPr>
        <w:pBdr>
          <w:top w:val="nil"/>
          <w:left w:val="nil"/>
          <w:bottom w:val="nil"/>
          <w:right w:val="nil"/>
          <w:between w:val="nil"/>
        </w:pBdr>
        <w:spacing w:line="360" w:lineRule="auto"/>
        <w:ind w:right="99"/>
        <w:jc w:val="both"/>
        <w:rPr>
          <w:rFonts w:ascii="Palatino Linotype" w:eastAsia="Palatino Linotype" w:hAnsi="Palatino Linotype" w:cs="Palatino Linotype"/>
          <w:sz w:val="22"/>
          <w:szCs w:val="22"/>
        </w:rPr>
      </w:pPr>
    </w:p>
    <w:p w14:paraId="3BE111A4" w14:textId="491373C1" w:rsidR="00833B01" w:rsidRPr="00B14DFD" w:rsidRDefault="00833B01" w:rsidP="00DC5C74">
      <w:pPr>
        <w:tabs>
          <w:tab w:val="left" w:pos="567"/>
        </w:tabs>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 xml:space="preserve">De la vista a la Dirección General de Protección de Datos Personales. </w:t>
      </w:r>
    </w:p>
    <w:p w14:paraId="63407FDE" w14:textId="624EF63B" w:rsidR="00833B01" w:rsidRPr="00B14DFD" w:rsidRDefault="00833B01" w:rsidP="00DC5C74">
      <w:pPr>
        <w:tabs>
          <w:tab w:val="left" w:pos="567"/>
        </w:tabs>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Ahora bien, de la información proporcionada en respuesta, se logra advertir que el Sujeto Obligado dejó visibles datos personales</w:t>
      </w:r>
      <w:r w:rsidR="00F0248F" w:rsidRPr="00B14DFD">
        <w:rPr>
          <w:rFonts w:ascii="Palatino Linotype" w:eastAsia="Palatino Linotype" w:hAnsi="Palatino Linotype" w:cs="Palatino Linotype"/>
          <w:sz w:val="22"/>
          <w:szCs w:val="22"/>
        </w:rPr>
        <w:t xml:space="preserve"> confidenciales, como el nombre de particulares</w:t>
      </w:r>
      <w:r w:rsidRPr="00B14DFD">
        <w:rPr>
          <w:rFonts w:ascii="Palatino Linotype" w:eastAsia="Palatino Linotype" w:hAnsi="Palatino Linotype" w:cs="Palatino Linotype"/>
          <w:sz w:val="22"/>
          <w:szCs w:val="22"/>
        </w:rPr>
        <w:t>, circunstancia que vulnera lo previsto en el artículo 143, fracción I, de la Ley de Transparencia y Acceso a la Información Pública del Estado de México y Municipios, por los argumentos expuestos anteriormente.</w:t>
      </w:r>
    </w:p>
    <w:p w14:paraId="3C76532C" w14:textId="77777777" w:rsidR="00833B01" w:rsidRPr="00B14DFD" w:rsidRDefault="00833B01" w:rsidP="00DC5C74">
      <w:pPr>
        <w:pBdr>
          <w:top w:val="nil"/>
          <w:left w:val="nil"/>
          <w:bottom w:val="nil"/>
          <w:right w:val="nil"/>
          <w:between w:val="nil"/>
        </w:pBdr>
        <w:tabs>
          <w:tab w:val="left" w:pos="567"/>
        </w:tabs>
        <w:spacing w:line="360" w:lineRule="auto"/>
        <w:ind w:left="720"/>
        <w:jc w:val="both"/>
        <w:rPr>
          <w:rFonts w:ascii="Palatino Linotype" w:eastAsia="Palatino Linotype" w:hAnsi="Palatino Linotype" w:cs="Palatino Linotype"/>
          <w:sz w:val="22"/>
          <w:szCs w:val="22"/>
        </w:rPr>
      </w:pPr>
    </w:p>
    <w:p w14:paraId="45BD37BF" w14:textId="1AE1BE8E" w:rsidR="002D0C1A" w:rsidRPr="00B14DFD" w:rsidRDefault="00833B01" w:rsidP="00DC5C74">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Por lo que, se considera procedente dar vista a la Dirección General de Protección de Datos Personales de este Instituto con fundamento en el artículo 24, fracciones XI, XII y XIII del Reglamento Interior del Instituto de Transparencia, Acceso a la Información Pública y Protección de Datos Personales del Estado de México y Municipios, a fin de que determine lo correspondiente.</w:t>
      </w:r>
    </w:p>
    <w:p w14:paraId="0B4410EC" w14:textId="77777777" w:rsidR="002D0C1A" w:rsidRPr="00B14DFD" w:rsidRDefault="002D0C1A" w:rsidP="00DC5C74">
      <w:pPr>
        <w:pBdr>
          <w:top w:val="nil"/>
          <w:left w:val="nil"/>
          <w:bottom w:val="nil"/>
          <w:right w:val="nil"/>
          <w:between w:val="nil"/>
        </w:pBdr>
        <w:tabs>
          <w:tab w:val="left" w:pos="567"/>
        </w:tabs>
        <w:spacing w:line="360" w:lineRule="auto"/>
        <w:jc w:val="both"/>
        <w:rPr>
          <w:rFonts w:ascii="Palatino Linotype" w:eastAsia="Palatino Linotype" w:hAnsi="Palatino Linotype" w:cs="Palatino Linotype"/>
          <w:sz w:val="22"/>
          <w:szCs w:val="22"/>
        </w:rPr>
      </w:pPr>
    </w:p>
    <w:p w14:paraId="7FD36BD8"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sz w:val="22"/>
          <w:szCs w:val="22"/>
          <w:lang w:val="es-ES"/>
        </w:rPr>
        <w:t xml:space="preserve">Quinto. Versión Pública. </w:t>
      </w:r>
      <w:r w:rsidRPr="00B14DFD">
        <w:rPr>
          <w:rFonts w:ascii="Palatino Linotype" w:eastAsia="Palatino Linotype" w:hAnsi="Palatino Linotype" w:cs="Palatino Linotype"/>
          <w:sz w:val="22"/>
          <w:szCs w:val="22"/>
          <w:lang w:val="es-ES"/>
        </w:rPr>
        <w:t xml:space="preserve">Para la entrega de la información, en razón de que el derecho de acceso a la información pública no es absoluto, sino que encuentra como excepciones que la información sobre la cual se peticiona el acceso, sea o contenga datos que deban ser clasificados en los términos que la misma Ley de la Materia señala, el Sujeto Obligado tendrá que hacer la elaboración de una versión pública de los documentos que vaya entregar para dar cumplimiento a esta resolución, a fin de satisfacer el derecho de acceso a la información pública de la parte </w:t>
      </w:r>
      <w:r w:rsidRPr="00B14DFD">
        <w:rPr>
          <w:rFonts w:ascii="Palatino Linotype" w:eastAsia="Palatino Linotype" w:hAnsi="Palatino Linotype" w:cs="Palatino Linotype"/>
          <w:b/>
          <w:sz w:val="22"/>
          <w:szCs w:val="22"/>
          <w:lang w:val="es-ES"/>
        </w:rPr>
        <w:t>Recurrente</w:t>
      </w:r>
      <w:r w:rsidRPr="00B14DFD">
        <w:rPr>
          <w:rFonts w:ascii="Palatino Linotype" w:eastAsia="Palatino Linotype" w:hAnsi="Palatino Linotype" w:cs="Palatino Linotype"/>
          <w:sz w:val="22"/>
          <w:szCs w:val="22"/>
          <w:lang w:val="es-ES"/>
        </w:rPr>
        <w:t xml:space="preserve"> sin menoscabar el derecho a la protección de los datos personales de terceros.</w:t>
      </w:r>
    </w:p>
    <w:p w14:paraId="6CDD2850"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p>
    <w:p w14:paraId="7B608629"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Lo anterior, de conformidad a lo que señalan los artículos 3, fracciones IX, XX, XXXII, XLV; 6, 137 y 143 fracción I, de la Ley de Transparencia y Acceso a la Información Pública del Estado de México y Municipios vigente, que se leen como sigue:</w:t>
      </w:r>
    </w:p>
    <w:p w14:paraId="4107D1E6" w14:textId="77777777" w:rsidR="002D0C1A" w:rsidRPr="00B14DFD" w:rsidRDefault="002D0C1A" w:rsidP="00DC5C74">
      <w:pPr>
        <w:spacing w:line="360" w:lineRule="auto"/>
        <w:jc w:val="both"/>
        <w:rPr>
          <w:rFonts w:ascii="Palatino Linotype" w:eastAsia="Palatino Linotype" w:hAnsi="Palatino Linotype" w:cs="Palatino Linotype"/>
          <w:b/>
          <w:i/>
          <w:sz w:val="22"/>
          <w:szCs w:val="22"/>
          <w:lang w:val="es-ES"/>
        </w:rPr>
      </w:pPr>
    </w:p>
    <w:p w14:paraId="640C39E5" w14:textId="77777777" w:rsidR="002D0C1A" w:rsidRPr="00B14DFD" w:rsidRDefault="002D0C1A" w:rsidP="00DC5C74">
      <w:pPr>
        <w:spacing w:line="276" w:lineRule="auto"/>
        <w:ind w:left="851" w:right="843"/>
        <w:jc w:val="both"/>
        <w:rPr>
          <w:rFonts w:ascii="Palatino Linotype" w:eastAsia="Palatino Linotype" w:hAnsi="Palatino Linotype" w:cs="Palatino Linotype"/>
          <w:b/>
          <w:i/>
          <w:sz w:val="22"/>
          <w:szCs w:val="22"/>
          <w:lang w:val="es-ES"/>
        </w:rPr>
      </w:pPr>
      <w:r w:rsidRPr="00B14DFD">
        <w:rPr>
          <w:rFonts w:ascii="Palatino Linotype" w:eastAsia="Palatino Linotype" w:hAnsi="Palatino Linotype" w:cs="Palatino Linotype"/>
          <w:b/>
          <w:i/>
          <w:sz w:val="22"/>
          <w:szCs w:val="22"/>
          <w:lang w:val="es-ES"/>
        </w:rPr>
        <w:t xml:space="preserve"> “Artículo 3. Para los efectos de la presente Ley se entenderá por:</w:t>
      </w:r>
    </w:p>
    <w:p w14:paraId="4416021F"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IX. Datos personales:</w:t>
      </w:r>
      <w:r w:rsidRPr="00B14DFD">
        <w:rPr>
          <w:rFonts w:ascii="Palatino Linotype" w:eastAsia="Palatino Linotype" w:hAnsi="Palatino Linotype" w:cs="Palatino Linotype"/>
          <w:i/>
          <w:sz w:val="22"/>
          <w:szCs w:val="22"/>
          <w:lang w:val="es-ES"/>
        </w:rPr>
        <w:t xml:space="preserve"> </w:t>
      </w:r>
      <w:r w:rsidRPr="00B14DFD">
        <w:rPr>
          <w:rFonts w:ascii="Palatino Linotype" w:eastAsia="Palatino Linotype" w:hAnsi="Palatino Linotype" w:cs="Palatino Linotype"/>
          <w:b/>
          <w:i/>
          <w:sz w:val="22"/>
          <w:szCs w:val="22"/>
          <w:lang w:val="es-ES"/>
        </w:rPr>
        <w:t>La información concerniente a una persona, identificada o identificable</w:t>
      </w:r>
      <w:r w:rsidRPr="00B14DFD">
        <w:rPr>
          <w:rFonts w:ascii="Palatino Linotype" w:eastAsia="Palatino Linotype" w:hAnsi="Palatino Linotype" w:cs="Palatino Linotype"/>
          <w:i/>
          <w:sz w:val="22"/>
          <w:szCs w:val="22"/>
          <w:lang w:val="es-ES"/>
        </w:rPr>
        <w:t xml:space="preserve"> según lo dispuesto por la Ley de Protección de Datos Personales del Estado de México;</w:t>
      </w:r>
    </w:p>
    <w:p w14:paraId="1B5C49BD"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XX. Información clasificada:</w:t>
      </w:r>
      <w:r w:rsidRPr="00B14DFD">
        <w:rPr>
          <w:rFonts w:ascii="Palatino Linotype" w:eastAsia="Palatino Linotype" w:hAnsi="Palatino Linotype" w:cs="Palatino Linotype"/>
          <w:i/>
          <w:sz w:val="22"/>
          <w:szCs w:val="22"/>
          <w:lang w:val="es-ES"/>
        </w:rPr>
        <w:t xml:space="preserve"> Aquella considerada por la presente Ley como reservada o confidencial;</w:t>
      </w:r>
    </w:p>
    <w:p w14:paraId="3E858F68"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XXXII. Protección de Datos Personales:</w:t>
      </w:r>
      <w:r w:rsidRPr="00B14DFD">
        <w:rPr>
          <w:rFonts w:ascii="Palatino Linotype" w:eastAsia="Palatino Linotype" w:hAnsi="Palatino Linotype" w:cs="Palatino Linotype"/>
          <w:i/>
          <w:sz w:val="22"/>
          <w:szCs w:val="22"/>
          <w:lang w:val="es-ES"/>
        </w:rPr>
        <w:t xml:space="preserve"> Derecho humano que tutela la privacidad de datos personales en poder de los sujetos obligados y sujetos particulares;</w:t>
      </w:r>
    </w:p>
    <w:p w14:paraId="24DB6804"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XLV. Versión pública</w:t>
      </w:r>
      <w:r w:rsidRPr="00B14DFD">
        <w:rPr>
          <w:rFonts w:ascii="Palatino Linotype" w:eastAsia="Palatino Linotype" w:hAnsi="Palatino Linotype" w:cs="Palatino Linotype"/>
          <w:i/>
          <w:sz w:val="22"/>
          <w:szCs w:val="22"/>
          <w:lang w:val="es-ES"/>
        </w:rPr>
        <w:t>: Documento en el que se elimine, suprime o borra la información clasificada como reservada o confidencial para permitir su acceso.”</w:t>
      </w:r>
    </w:p>
    <w:p w14:paraId="10323620"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p>
    <w:p w14:paraId="715326D7"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“Artículo 6.</w:t>
      </w:r>
      <w:r w:rsidRPr="00B14DFD">
        <w:rPr>
          <w:rFonts w:ascii="Palatino Linotype" w:eastAsia="Palatino Linotype" w:hAnsi="Palatino Linotype" w:cs="Palatino Linotype"/>
          <w:i/>
          <w:sz w:val="22"/>
          <w:szCs w:val="22"/>
          <w:lang w:val="es-ES"/>
        </w:rPr>
        <w:t xml:space="preserve">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E05EF4F"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p>
    <w:p w14:paraId="64BA5E12" w14:textId="77777777" w:rsidR="002D0C1A" w:rsidRPr="00B14DFD" w:rsidRDefault="002D0C1A" w:rsidP="00DC5C74">
      <w:pPr>
        <w:spacing w:line="276" w:lineRule="auto"/>
        <w:ind w:left="851" w:right="843"/>
        <w:jc w:val="both"/>
        <w:rPr>
          <w:rFonts w:ascii="Palatino Linotype" w:eastAsia="Palatino Linotype" w:hAnsi="Palatino Linotype" w:cs="Palatino Linotype"/>
          <w:b/>
          <w:i/>
          <w:sz w:val="22"/>
          <w:szCs w:val="22"/>
          <w:lang w:val="es-ES"/>
        </w:rPr>
      </w:pPr>
      <w:r w:rsidRPr="00B14DFD">
        <w:rPr>
          <w:rFonts w:ascii="Palatino Linotype" w:eastAsia="Palatino Linotype" w:hAnsi="Palatino Linotype" w:cs="Palatino Linotype"/>
          <w:b/>
          <w:i/>
          <w:sz w:val="22"/>
          <w:szCs w:val="22"/>
          <w:lang w:val="es-ES"/>
        </w:rPr>
        <w:t>“Artículo 137.</w:t>
      </w:r>
      <w:r w:rsidRPr="00B14DFD">
        <w:rPr>
          <w:rFonts w:ascii="Palatino Linotype" w:eastAsia="Palatino Linotype" w:hAnsi="Palatino Linotype" w:cs="Palatino Linotype"/>
          <w:i/>
          <w:sz w:val="22"/>
          <w:szCs w:val="22"/>
          <w:lang w:val="es-ES"/>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5CB7D777" w14:textId="77777777" w:rsidR="002D0C1A" w:rsidRPr="00B14DFD" w:rsidRDefault="002D0C1A" w:rsidP="00DC5C74">
      <w:pPr>
        <w:spacing w:line="276" w:lineRule="auto"/>
        <w:ind w:left="851" w:right="843"/>
        <w:jc w:val="both"/>
        <w:rPr>
          <w:rFonts w:ascii="Palatino Linotype" w:eastAsia="Palatino Linotype" w:hAnsi="Palatino Linotype" w:cs="Palatino Linotype"/>
          <w:b/>
          <w:i/>
          <w:sz w:val="22"/>
          <w:szCs w:val="22"/>
          <w:lang w:val="es-ES"/>
        </w:rPr>
      </w:pPr>
    </w:p>
    <w:p w14:paraId="13D1E4E6"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“Artículo 143</w:t>
      </w:r>
      <w:r w:rsidRPr="00B14DFD">
        <w:rPr>
          <w:rFonts w:ascii="Palatino Linotype" w:eastAsia="Palatino Linotype" w:hAnsi="Palatino Linotype" w:cs="Palatino Linotype"/>
          <w:i/>
          <w:sz w:val="22"/>
          <w:szCs w:val="22"/>
          <w:lang w:val="es-ES"/>
        </w:rPr>
        <w:t>. Para los efectos de esta Ley se considera información confidencial, la clasificada como tal, de manera permanente, por su naturaleza, cuando:</w:t>
      </w:r>
    </w:p>
    <w:p w14:paraId="7646F7E9"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I.</w:t>
      </w:r>
      <w:r w:rsidRPr="00B14DFD">
        <w:rPr>
          <w:rFonts w:ascii="Palatino Linotype" w:eastAsia="Palatino Linotype" w:hAnsi="Palatino Linotype" w:cs="Palatino Linotype"/>
          <w:i/>
          <w:sz w:val="22"/>
          <w:szCs w:val="22"/>
          <w:lang w:val="es-ES"/>
        </w:rPr>
        <w:t xml:space="preserve"> Se refiera a la información privada y los datos personales concernientes a una persona física o jurídica colectiva identificada o identificable;</w:t>
      </w:r>
    </w:p>
    <w:p w14:paraId="1BA193DE"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 Los secretos bancario, fiduciario, industrial, comercial, fiscal, bursátil y postal, cuya titularidad corresponda a particulares, sujetos de derecho internacional o a sujetos obligados cuando no involucren el ejercicio de recursos públicos; y</w:t>
      </w:r>
    </w:p>
    <w:p w14:paraId="20B2669F"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III. La que presenten los particulares a los sujetos obligados, de conformidad con lo dispuesto por las leyes o los tratados internacionales.” (Sic)</w:t>
      </w:r>
    </w:p>
    <w:p w14:paraId="7717935C" w14:textId="77777777" w:rsidR="002D0C1A" w:rsidRPr="00B14DFD" w:rsidRDefault="002D0C1A" w:rsidP="00DC5C74">
      <w:pPr>
        <w:spacing w:line="360" w:lineRule="auto"/>
        <w:jc w:val="both"/>
        <w:rPr>
          <w:rFonts w:ascii="Palatino Linotype" w:eastAsia="Palatino Linotype" w:hAnsi="Palatino Linotype" w:cs="Palatino Linotype"/>
          <w:i/>
          <w:sz w:val="22"/>
          <w:szCs w:val="22"/>
          <w:lang w:val="es-ES"/>
        </w:rPr>
      </w:pPr>
    </w:p>
    <w:p w14:paraId="5E7D3A10"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Sujeto Obligado deberá proceder a testar los datos personales que se encuentren contenidos en los documentos a entregar por parte del </w:t>
      </w:r>
      <w:r w:rsidRPr="00B14DFD">
        <w:rPr>
          <w:rFonts w:ascii="Palatino Linotype" w:eastAsia="Palatino Linotype" w:hAnsi="Palatino Linotype" w:cs="Palatino Linotype"/>
          <w:b/>
          <w:sz w:val="22"/>
          <w:szCs w:val="22"/>
          <w:lang w:val="es-ES"/>
        </w:rPr>
        <w:t>Sujeto Obligado</w:t>
      </w:r>
      <w:r w:rsidRPr="00B14DFD">
        <w:rPr>
          <w:rFonts w:ascii="Palatino Linotype" w:eastAsia="Palatino Linotype" w:hAnsi="Palatino Linotype" w:cs="Palatino Linotype"/>
          <w:sz w:val="22"/>
          <w:szCs w:val="22"/>
          <w:lang w:val="es-ES"/>
        </w:rPr>
        <w:t xml:space="preserve"> para satisfacer el derecho de acceso a la información pública de la parte </w:t>
      </w:r>
      <w:r w:rsidRPr="00B14DFD">
        <w:rPr>
          <w:rFonts w:ascii="Palatino Linotype" w:eastAsia="Palatino Linotype" w:hAnsi="Palatino Linotype" w:cs="Palatino Linotype"/>
          <w:b/>
          <w:sz w:val="22"/>
          <w:szCs w:val="22"/>
          <w:lang w:val="es-ES"/>
        </w:rPr>
        <w:t>Recurrente</w:t>
      </w:r>
      <w:r w:rsidRPr="00B14DFD">
        <w:rPr>
          <w:rFonts w:ascii="Palatino Linotype" w:eastAsia="Palatino Linotype" w:hAnsi="Palatino Linotype" w:cs="Palatino Linotype"/>
          <w:sz w:val="22"/>
          <w:szCs w:val="22"/>
          <w:lang w:val="es-ES"/>
        </w:rPr>
        <w:t>,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 que señala la fracción XII del artículo 4 de la Ley de Protección de Datos Personales en Posesión de Sujetos Obligados del Estado de México.</w:t>
      </w:r>
    </w:p>
    <w:p w14:paraId="05296B95"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p>
    <w:p w14:paraId="2110D898"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E52122B"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p>
    <w:p w14:paraId="4D8FB205"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Para lo cual, a su vez en el caso de información de carácter confidencial, se debe atender a lo que señala el artículo 149 de la Ley de Transparencia Local vigente, que se lee como sigue:</w:t>
      </w:r>
    </w:p>
    <w:p w14:paraId="1CAD3EB6"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p>
    <w:p w14:paraId="3D4B9E3D"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w:t>
      </w:r>
      <w:r w:rsidRPr="00B14DFD">
        <w:rPr>
          <w:rFonts w:ascii="Palatino Linotype" w:eastAsia="Palatino Linotype" w:hAnsi="Palatino Linotype" w:cs="Palatino Linotype"/>
          <w:b/>
          <w:i/>
          <w:sz w:val="22"/>
          <w:szCs w:val="22"/>
          <w:lang w:val="es-ES"/>
        </w:rPr>
        <w:t>Artículo 149.</w:t>
      </w:r>
      <w:r w:rsidRPr="00B14DFD">
        <w:rPr>
          <w:rFonts w:ascii="Palatino Linotype" w:eastAsia="Palatino Linotype" w:hAnsi="Palatino Linotype" w:cs="Palatino Linotype"/>
          <w:i/>
          <w:sz w:val="22"/>
          <w:szCs w:val="22"/>
          <w:lang w:val="es-ES"/>
        </w:rPr>
        <w:t xml:space="preserve"> El </w:t>
      </w:r>
      <w:r w:rsidRPr="00B14DFD">
        <w:rPr>
          <w:rFonts w:ascii="Palatino Linotype" w:eastAsia="Palatino Linotype" w:hAnsi="Palatino Linotype" w:cs="Palatino Linotype"/>
          <w:b/>
          <w:i/>
          <w:sz w:val="22"/>
          <w:szCs w:val="22"/>
          <w:lang w:val="es-ES"/>
        </w:rPr>
        <w:t>acuerdo que clasifique la información como confidencial</w:t>
      </w:r>
      <w:r w:rsidRPr="00B14DFD">
        <w:rPr>
          <w:rFonts w:ascii="Palatino Linotype" w:eastAsia="Palatino Linotype" w:hAnsi="Palatino Linotype" w:cs="Palatino Linotype"/>
          <w:i/>
          <w:sz w:val="22"/>
          <w:szCs w:val="22"/>
          <w:lang w:val="es-ES"/>
        </w:rPr>
        <w:t xml:space="preserve"> deberá contener un razonamiento lógico en el que demuestre que la información se encuentra en alguna o algunas de las hipótesis previstas en la presente Ley.”(Sic)</w:t>
      </w:r>
    </w:p>
    <w:p w14:paraId="19026700" w14:textId="77777777" w:rsidR="002D0C1A" w:rsidRPr="00B14DFD" w:rsidRDefault="002D0C1A" w:rsidP="00DC5C74">
      <w:pPr>
        <w:spacing w:line="360" w:lineRule="auto"/>
        <w:jc w:val="both"/>
        <w:rPr>
          <w:rFonts w:ascii="Palatino Linotype" w:eastAsia="Palatino Linotype" w:hAnsi="Palatino Linotype" w:cs="Palatino Linotype"/>
          <w:i/>
          <w:sz w:val="22"/>
          <w:szCs w:val="22"/>
          <w:lang w:val="es-ES"/>
        </w:rPr>
      </w:pPr>
    </w:p>
    <w:p w14:paraId="0C362081"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 xml:space="preserve">Es decir, el </w:t>
      </w:r>
      <w:r w:rsidRPr="00B14DFD">
        <w:rPr>
          <w:rFonts w:ascii="Palatino Linotype" w:eastAsia="Palatino Linotype" w:hAnsi="Palatino Linotype" w:cs="Palatino Linotype"/>
          <w:b/>
          <w:sz w:val="22"/>
          <w:szCs w:val="22"/>
          <w:lang w:val="es-ES"/>
        </w:rPr>
        <w:t>Sujeto Obligado</w:t>
      </w:r>
      <w:r w:rsidRPr="00B14DFD">
        <w:rPr>
          <w:rFonts w:ascii="Palatino Linotype" w:eastAsia="Palatino Linotype" w:hAnsi="Palatino Linotype" w:cs="Palatino Linotype"/>
          <w:sz w:val="22"/>
          <w:szCs w:val="22"/>
          <w:lang w:val="es-ES"/>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parte solicitante.</w:t>
      </w:r>
    </w:p>
    <w:p w14:paraId="02CF990A" w14:textId="77777777" w:rsidR="00644DDB" w:rsidRPr="00B14DFD" w:rsidRDefault="00644DDB" w:rsidP="00DC5C74">
      <w:pPr>
        <w:spacing w:line="360" w:lineRule="auto"/>
        <w:jc w:val="both"/>
        <w:rPr>
          <w:rFonts w:ascii="Palatino Linotype" w:eastAsia="Palatino Linotype" w:hAnsi="Palatino Linotype" w:cs="Palatino Linotype"/>
          <w:sz w:val="22"/>
          <w:szCs w:val="22"/>
          <w:lang w:val="es-ES"/>
        </w:rPr>
      </w:pPr>
    </w:p>
    <w:p w14:paraId="2145B7B7" w14:textId="417D64A0"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 xml:space="preserve">Cabe mencionar, que en la información que se ordena puede localizarse el </w:t>
      </w:r>
      <w:r w:rsidRPr="00B14DFD">
        <w:rPr>
          <w:rFonts w:ascii="Palatino Linotype" w:eastAsia="Palatino Linotype" w:hAnsi="Palatino Linotype" w:cs="Palatino Linotype"/>
          <w:i/>
          <w:sz w:val="22"/>
          <w:szCs w:val="22"/>
          <w:lang w:val="es-ES"/>
        </w:rPr>
        <w:t>nombre de los colindantes del inmueble</w:t>
      </w:r>
      <w:r w:rsidRPr="00B14DFD">
        <w:rPr>
          <w:rFonts w:ascii="Palatino Linotype" w:eastAsia="Palatino Linotype" w:hAnsi="Palatino Linotype" w:cs="Palatino Linotype"/>
          <w:sz w:val="22"/>
          <w:szCs w:val="22"/>
          <w:lang w:val="es-ES"/>
        </w:rPr>
        <w:t xml:space="preserve">, siendo necesario referir que el nombre de una persona física se integra con el sustantivo propio y el primer apellido de los padres en el orden que de común acuerdo determinen; asimismo es la manifestación principal del derecho subjetivo a la personalidad y atributo de esta en términos del artículo 2.3 del Código Civil del Estado de México, de tal suerte, el nombre </w:t>
      </w:r>
      <w:r w:rsidRPr="00B14DFD">
        <w:rPr>
          <w:rFonts w:ascii="Palatino Linotype" w:eastAsia="Palatino Linotype" w:hAnsi="Palatino Linotype" w:cs="Palatino Linotype"/>
          <w:i/>
          <w:sz w:val="22"/>
          <w:szCs w:val="22"/>
          <w:lang w:val="es-ES"/>
        </w:rPr>
        <w:t>per se</w:t>
      </w:r>
      <w:r w:rsidRPr="00B14DFD">
        <w:rPr>
          <w:rFonts w:ascii="Palatino Linotype" w:eastAsia="Palatino Linotype" w:hAnsi="Palatino Linotype" w:cs="Palatino Linotype"/>
          <w:sz w:val="22"/>
          <w:szCs w:val="22"/>
          <w:lang w:val="es-ES"/>
        </w:rPr>
        <w:t xml:space="preserve"> es un elemento que hace a una persona física identificada o identificable, por lo que actualiza el supuesto previsto en el artículo 143, fracción I, de la Ley de Transparencia y Acceso a la Información Pública del Estado de México y Municipios</w:t>
      </w:r>
      <w:r w:rsidR="00644DDB" w:rsidRPr="00B14DFD">
        <w:rPr>
          <w:rFonts w:ascii="Palatino Linotype" w:eastAsia="Palatino Linotype" w:hAnsi="Palatino Linotype" w:cs="Palatino Linotype"/>
          <w:sz w:val="22"/>
          <w:szCs w:val="22"/>
          <w:lang w:val="es-ES"/>
        </w:rPr>
        <w:t>.</w:t>
      </w:r>
    </w:p>
    <w:p w14:paraId="2AE22A4C" w14:textId="77777777" w:rsidR="00644DDB" w:rsidRPr="00B14DFD" w:rsidRDefault="00644DDB" w:rsidP="00DC5C74">
      <w:pPr>
        <w:spacing w:line="360" w:lineRule="auto"/>
        <w:jc w:val="both"/>
        <w:rPr>
          <w:rFonts w:ascii="Palatino Linotype" w:eastAsia="Palatino Linotype" w:hAnsi="Palatino Linotype" w:cs="Palatino Linotype"/>
          <w:sz w:val="22"/>
          <w:szCs w:val="22"/>
          <w:lang w:val="es-ES"/>
        </w:rPr>
      </w:pPr>
    </w:p>
    <w:p w14:paraId="45AEE891"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 xml:space="preserve">Al respecto, se destaca que la versión pública que elabore el </w:t>
      </w:r>
      <w:r w:rsidRPr="00B14DFD">
        <w:rPr>
          <w:rFonts w:ascii="Palatino Linotype" w:eastAsia="Palatino Linotype" w:hAnsi="Palatino Linotype" w:cs="Palatino Linotype"/>
          <w:b/>
          <w:sz w:val="22"/>
          <w:szCs w:val="22"/>
          <w:lang w:val="es-ES"/>
        </w:rPr>
        <w:t>Sujeto Obligado</w:t>
      </w:r>
      <w:r w:rsidRPr="00B14DFD">
        <w:rPr>
          <w:rFonts w:ascii="Palatino Linotype" w:eastAsia="Palatino Linotype" w:hAnsi="Palatino Linotype" w:cs="Palatino Linotype"/>
          <w:sz w:val="22"/>
          <w:szCs w:val="22"/>
          <w:lang w:val="es-ES"/>
        </w:rPr>
        <w:t xml:space="preserve"> debe cumplir con las formalidades exigidas en la Ley;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ya expuesto; así como con los numerales aplicables de los </w:t>
      </w:r>
      <w:r w:rsidRPr="00B14DFD">
        <w:rPr>
          <w:rFonts w:ascii="Palatino Linotype" w:eastAsia="Palatino Linotype" w:hAnsi="Palatino Linotype" w:cs="Palatino Linotype"/>
          <w:b/>
          <w:sz w:val="22"/>
          <w:szCs w:val="22"/>
          <w:lang w:val="es-ES"/>
        </w:rPr>
        <w:t>LINEAMIENTOS GENERALES EN MATERIA DE CLASIFICACIÓN Y DESCLASIFICACIÓN DE LA INFORMACIÓN, ASÍ COMO PARA LA ELABORACIÓN DE VERSIONES PÚBLICAS</w:t>
      </w:r>
      <w:r w:rsidRPr="00B14DFD">
        <w:rPr>
          <w:rFonts w:ascii="Palatino Linotype" w:eastAsia="Palatino Linotype" w:hAnsi="Palatino Linotype" w:cs="Palatino Linotype"/>
          <w:sz w:val="22"/>
          <w:szCs w:val="22"/>
          <w:lang w:val="es-ES"/>
        </w:rPr>
        <w:t>, publicados en el Diario Oficial de la Federación en fecha dieciocho de noviembre del año dos mil veintidós, mediante Acuerdo del Consejo Nacional del Sistema Nacional de Transparencia, Acceso a la Información Pública y Protección de Datos Personales, que literalmente expresan:</w:t>
      </w:r>
    </w:p>
    <w:p w14:paraId="621CD3AC" w14:textId="77777777" w:rsidR="002D0C1A" w:rsidRPr="00B14DFD" w:rsidRDefault="002D0C1A" w:rsidP="00DC5C74">
      <w:pPr>
        <w:spacing w:line="360" w:lineRule="auto"/>
        <w:jc w:val="both"/>
        <w:rPr>
          <w:rFonts w:ascii="Palatino Linotype" w:eastAsia="Palatino Linotype" w:hAnsi="Palatino Linotype" w:cs="Palatino Linotype"/>
          <w:b/>
          <w:i/>
          <w:sz w:val="22"/>
          <w:szCs w:val="22"/>
          <w:lang w:val="es-ES"/>
        </w:rPr>
      </w:pPr>
    </w:p>
    <w:p w14:paraId="06F154E4"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“Lineamientos Generales en materia de Clasificación y Desclasificación de la Información, así como para la elaboración de Versiones Públicas</w:t>
      </w:r>
    </w:p>
    <w:p w14:paraId="7352556A"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w:t>
      </w:r>
      <w:r w:rsidRPr="00B14DFD">
        <w:rPr>
          <w:rFonts w:ascii="Palatino Linotype" w:eastAsia="Palatino Linotype" w:hAnsi="Palatino Linotype" w:cs="Palatino Linotype"/>
          <w:b/>
          <w:i/>
          <w:sz w:val="22"/>
          <w:szCs w:val="22"/>
          <w:lang w:val="es-ES"/>
        </w:rPr>
        <w:t>Segundo.-</w:t>
      </w:r>
      <w:r w:rsidRPr="00B14DFD">
        <w:rPr>
          <w:rFonts w:ascii="Palatino Linotype" w:eastAsia="Palatino Linotype" w:hAnsi="Palatino Linotype" w:cs="Palatino Linotype"/>
          <w:i/>
          <w:sz w:val="22"/>
          <w:szCs w:val="22"/>
          <w:lang w:val="es-ES"/>
        </w:rPr>
        <w:t xml:space="preserve"> Para efectos de los presentes Lineamientos Generales, se entenderá por:</w:t>
      </w:r>
    </w:p>
    <w:p w14:paraId="38A3B241"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XVIII.</w:t>
      </w:r>
      <w:r w:rsidRPr="00B14DFD">
        <w:rPr>
          <w:rFonts w:ascii="Palatino Linotype" w:eastAsia="Palatino Linotype" w:hAnsi="Palatino Linotype" w:cs="Palatino Linotype"/>
          <w:i/>
          <w:sz w:val="22"/>
          <w:szCs w:val="22"/>
          <w:lang w:val="es-ES"/>
        </w:rPr>
        <w:t xml:space="preserve"> </w:t>
      </w:r>
      <w:r w:rsidRPr="00B14DFD">
        <w:rPr>
          <w:rFonts w:ascii="Palatino Linotype" w:eastAsia="Palatino Linotype" w:hAnsi="Palatino Linotype" w:cs="Palatino Linotype"/>
          <w:b/>
          <w:i/>
          <w:sz w:val="22"/>
          <w:szCs w:val="22"/>
          <w:lang w:val="es-ES"/>
        </w:rPr>
        <w:t>Versión pública:</w:t>
      </w:r>
      <w:r w:rsidRPr="00B14DFD">
        <w:rPr>
          <w:rFonts w:ascii="Palatino Linotype" w:eastAsia="Palatino Linotype" w:hAnsi="Palatino Linotype" w:cs="Palatino Linotype"/>
          <w:i/>
          <w:sz w:val="22"/>
          <w:szCs w:val="22"/>
          <w:lang w:val="es-ES"/>
        </w:rPr>
        <w:t xml:space="preserve"> El documento a partir del que se otorga acceso a la información, en el que se testan partes o secciones clasificadas, indicando el contenido de éstas de manera genérica, </w:t>
      </w:r>
      <w:r w:rsidRPr="00B14DFD">
        <w:rPr>
          <w:rFonts w:ascii="Palatino Linotype" w:eastAsia="Palatino Linotype" w:hAnsi="Palatino Linotype" w:cs="Palatino Linotype"/>
          <w:b/>
          <w:i/>
          <w:sz w:val="22"/>
          <w:szCs w:val="22"/>
          <w:u w:val="single"/>
          <w:lang w:val="es-ES"/>
        </w:rPr>
        <w:t>fundando y motivando la</w:t>
      </w:r>
      <w:r w:rsidRPr="00B14DFD">
        <w:rPr>
          <w:rFonts w:ascii="Palatino Linotype" w:eastAsia="Palatino Linotype" w:hAnsi="Palatino Linotype" w:cs="Palatino Linotype"/>
          <w:i/>
          <w:sz w:val="22"/>
          <w:szCs w:val="22"/>
          <w:lang w:val="es-ES"/>
        </w:rPr>
        <w:t xml:space="preserve"> reserva o </w:t>
      </w:r>
      <w:r w:rsidRPr="00B14DFD">
        <w:rPr>
          <w:rFonts w:ascii="Palatino Linotype" w:eastAsia="Palatino Linotype" w:hAnsi="Palatino Linotype" w:cs="Palatino Linotype"/>
          <w:b/>
          <w:i/>
          <w:sz w:val="22"/>
          <w:szCs w:val="22"/>
          <w:u w:val="single"/>
          <w:lang w:val="es-ES"/>
        </w:rPr>
        <w:t>confidencialidad</w:t>
      </w:r>
      <w:r w:rsidRPr="00B14DFD">
        <w:rPr>
          <w:rFonts w:ascii="Palatino Linotype" w:eastAsia="Palatino Linotype" w:hAnsi="Palatino Linotype" w:cs="Palatino Linotype"/>
          <w:i/>
          <w:sz w:val="22"/>
          <w:szCs w:val="22"/>
          <w:lang w:val="es-ES"/>
        </w:rPr>
        <w:t>, a través de la resolución que para tal efecto emita el Comité de Transparencia.</w:t>
      </w:r>
    </w:p>
    <w:p w14:paraId="7AFA2D12"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Cuarto.</w:t>
      </w:r>
      <w:r w:rsidRPr="00B14DFD">
        <w:rPr>
          <w:rFonts w:ascii="Palatino Linotype" w:eastAsia="Palatino Linotype" w:hAnsi="Palatino Linotype" w:cs="Palatino Linotype"/>
          <w:i/>
          <w:sz w:val="22"/>
          <w:szCs w:val="22"/>
          <w:lang w:val="es-ES"/>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6A9FF3FD"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Los sujetos obligados deberán aplicar, de manera estricta, las excepciones al derecho de acceso a la información y sólo podrán invocarlas cuando acrediten su procedencia.</w:t>
      </w:r>
    </w:p>
    <w:p w14:paraId="156012D8"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Quinto.</w:t>
      </w:r>
      <w:r w:rsidRPr="00B14DFD">
        <w:rPr>
          <w:rFonts w:ascii="Palatino Linotype" w:eastAsia="Palatino Linotype" w:hAnsi="Palatino Linotype" w:cs="Palatino Linotype"/>
          <w:i/>
          <w:sz w:val="22"/>
          <w:szCs w:val="22"/>
          <w:lang w:val="es-ES"/>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21BFAB75"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w:t>
      </w:r>
    </w:p>
    <w:p w14:paraId="512169D1"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Séptimo.</w:t>
      </w:r>
      <w:r w:rsidRPr="00B14DFD">
        <w:rPr>
          <w:rFonts w:ascii="Palatino Linotype" w:eastAsia="Palatino Linotype" w:hAnsi="Palatino Linotype" w:cs="Palatino Linotype"/>
          <w:i/>
          <w:sz w:val="22"/>
          <w:szCs w:val="22"/>
          <w:lang w:val="es-ES"/>
        </w:rPr>
        <w:t xml:space="preserve"> La clasificación de la información se llevará a cabo en el momento en que:</w:t>
      </w:r>
    </w:p>
    <w:p w14:paraId="09E54741"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I.</w:t>
      </w:r>
      <w:r w:rsidRPr="00B14DFD">
        <w:rPr>
          <w:rFonts w:ascii="Palatino Linotype" w:eastAsia="Palatino Linotype" w:hAnsi="Palatino Linotype" w:cs="Palatino Linotype"/>
          <w:i/>
          <w:sz w:val="22"/>
          <w:szCs w:val="22"/>
          <w:lang w:val="es-ES"/>
        </w:rPr>
        <w:t xml:space="preserve"> Se reciba una solicitud de acceso a la información;</w:t>
      </w:r>
    </w:p>
    <w:p w14:paraId="3BEB314D"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II.</w:t>
      </w:r>
      <w:r w:rsidRPr="00B14DFD">
        <w:rPr>
          <w:rFonts w:ascii="Palatino Linotype" w:eastAsia="Palatino Linotype" w:hAnsi="Palatino Linotype" w:cs="Palatino Linotype"/>
          <w:i/>
          <w:sz w:val="22"/>
          <w:szCs w:val="22"/>
          <w:lang w:val="es-ES"/>
        </w:rPr>
        <w:t xml:space="preserve"> Se  determine mediante resolución del Comité de Transparencia, el órgano garante </w:t>
      </w:r>
    </w:p>
    <w:p w14:paraId="48CF22A6"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competente, o en cumplimiento a una sentencia del Poder Judicial; o</w:t>
      </w:r>
    </w:p>
    <w:p w14:paraId="4D7125AD"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III.</w:t>
      </w:r>
      <w:r w:rsidRPr="00B14DFD">
        <w:rPr>
          <w:rFonts w:ascii="Palatino Linotype" w:eastAsia="Palatino Linotype" w:hAnsi="Palatino Linotype" w:cs="Palatino Linotype"/>
          <w:i/>
          <w:sz w:val="22"/>
          <w:szCs w:val="22"/>
          <w:lang w:val="es-ES"/>
        </w:rPr>
        <w:t xml:space="preserve"> Se generen versiones públicas para dar cumplimiento a las obligaciones de transparencia previstas en la Ley General, la Ley Federal y las correspondientes de las entidades federativas.</w:t>
      </w:r>
    </w:p>
    <w:p w14:paraId="08BF42DB"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Los titulares de las áreas deberán revisar la clasificación al momento de la recepción de una solicitud de acceso a la información, para verificar si encuadra en una causal de reserva o de confidencialidad.</w:t>
      </w:r>
    </w:p>
    <w:p w14:paraId="2C747957"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Octavo.</w:t>
      </w:r>
      <w:r w:rsidRPr="00B14DFD">
        <w:rPr>
          <w:rFonts w:ascii="Palatino Linotype" w:eastAsia="Palatino Linotype" w:hAnsi="Palatino Linotype" w:cs="Palatino Linotype"/>
          <w:i/>
          <w:sz w:val="22"/>
          <w:szCs w:val="22"/>
          <w:lang w:val="es-ES"/>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B5FD7C6"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Para motivar la clasificación se deberán señalar las razones o circunstancias especiales que lo llevaron a concluir que el caso particular se ajusta al supuesto previsto por la norma legal invocada como fundamento.</w:t>
      </w:r>
    </w:p>
    <w:p w14:paraId="76E5803F"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 xml:space="preserve">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 </w:t>
      </w:r>
    </w:p>
    <w:p w14:paraId="5D75EF5D"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Noveno.</w:t>
      </w:r>
      <w:r w:rsidRPr="00B14DFD">
        <w:rPr>
          <w:rFonts w:ascii="Palatino Linotype" w:eastAsia="Palatino Linotype" w:hAnsi="Palatino Linotype" w:cs="Palatino Linotype"/>
          <w:i/>
          <w:sz w:val="22"/>
          <w:szCs w:val="22"/>
          <w:lang w:val="es-ES"/>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06CB401"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Décimo.</w:t>
      </w:r>
      <w:r w:rsidRPr="00B14DFD">
        <w:rPr>
          <w:rFonts w:ascii="Palatino Linotype" w:eastAsia="Palatino Linotype" w:hAnsi="Palatino Linotype" w:cs="Palatino Linotype"/>
          <w:i/>
          <w:sz w:val="22"/>
          <w:szCs w:val="22"/>
          <w:lang w:val="es-ES"/>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35424F73"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En ausencia de los titulares de las áreas, la información será clasificada o desclasificada por la persona que lo supla, en términos de la normativa que rija la actuación del sujeto obligado.</w:t>
      </w:r>
    </w:p>
    <w:p w14:paraId="4BEEB463"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Décimo primero.</w:t>
      </w:r>
      <w:r w:rsidRPr="00B14DFD">
        <w:rPr>
          <w:rFonts w:ascii="Palatino Linotype" w:eastAsia="Palatino Linotype" w:hAnsi="Palatino Linotype" w:cs="Palatino Linotype"/>
          <w:i/>
          <w:sz w:val="22"/>
          <w:szCs w:val="22"/>
          <w:lang w:val="es-ES"/>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F8B09FE"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w:t>
      </w:r>
    </w:p>
    <w:p w14:paraId="340B0873"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b/>
          <w:i/>
          <w:sz w:val="22"/>
          <w:szCs w:val="22"/>
          <w:lang w:val="es-ES"/>
        </w:rPr>
        <w:t>CAPÍTULO VIII</w:t>
      </w:r>
    </w:p>
    <w:p w14:paraId="264FFFF1" w14:textId="77777777" w:rsidR="002D0C1A" w:rsidRPr="00B14DFD" w:rsidRDefault="002D0C1A" w:rsidP="00DC5C74">
      <w:pPr>
        <w:spacing w:line="276" w:lineRule="auto"/>
        <w:ind w:left="851" w:right="843"/>
        <w:jc w:val="both"/>
        <w:rPr>
          <w:rFonts w:ascii="Palatino Linotype" w:eastAsia="Palatino Linotype" w:hAnsi="Palatino Linotype" w:cs="Palatino Linotype"/>
          <w:b/>
          <w:i/>
          <w:sz w:val="22"/>
          <w:szCs w:val="22"/>
          <w:lang w:val="es-ES"/>
        </w:rPr>
      </w:pPr>
      <w:r w:rsidRPr="00B14DFD">
        <w:rPr>
          <w:rFonts w:ascii="Palatino Linotype" w:eastAsia="Palatino Linotype" w:hAnsi="Palatino Linotype" w:cs="Palatino Linotype"/>
          <w:b/>
          <w:i/>
          <w:sz w:val="22"/>
          <w:szCs w:val="22"/>
          <w:lang w:val="es-ES"/>
        </w:rPr>
        <w:t>DE LOS ELEMENTOS PARA LA CLASIFICACIÓN</w:t>
      </w:r>
    </w:p>
    <w:p w14:paraId="661A840F"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Quincuagésimo</w:t>
      </w:r>
      <w:r w:rsidRPr="00B14DFD">
        <w:rPr>
          <w:rFonts w:ascii="Palatino Linotype" w:eastAsia="Palatino Linotype" w:hAnsi="Palatino Linotype" w:cs="Palatino Linotype"/>
          <w:i/>
          <w:sz w:val="22"/>
          <w:szCs w:val="22"/>
          <w:lang w:val="es-ES"/>
        </w:rPr>
        <w:t>. 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w:t>
      </w:r>
    </w:p>
    <w:p w14:paraId="2249268B"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Quincuagésimo primero</w:t>
      </w:r>
      <w:r w:rsidRPr="00B14DFD">
        <w:rPr>
          <w:rFonts w:ascii="Palatino Linotype" w:eastAsia="Palatino Linotype" w:hAnsi="Palatino Linotype" w:cs="Palatino Linotype"/>
          <w:i/>
          <w:sz w:val="22"/>
          <w:szCs w:val="22"/>
          <w:lang w:val="es-ES"/>
        </w:rPr>
        <w:t>. Toda acta del Comité de Transparencia deberá contener:</w:t>
      </w:r>
    </w:p>
    <w:p w14:paraId="6B5855F8"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 xml:space="preserve">I. El número de sesión y fecha; </w:t>
      </w:r>
    </w:p>
    <w:p w14:paraId="36E70321"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 El nombre del área que solicitó la clasificación de información;</w:t>
      </w:r>
    </w:p>
    <w:p w14:paraId="576FE287"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III. La fundamentación legal y motivación correspondiente;</w:t>
      </w:r>
    </w:p>
    <w:p w14:paraId="7A523134"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IV. La resolución o resoluciones aprobadas; y</w:t>
      </w:r>
    </w:p>
    <w:p w14:paraId="3E3681C4"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 xml:space="preserve">V. La rúbrica o firma digital de cada integrante del Comité de Transparencia. </w:t>
      </w:r>
    </w:p>
    <w:p w14:paraId="4C1D0901"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Las resoluciones del Comité en las que se haya determinado confirmar o modificar la clasificación de información pública como reservada, deberán incluir, cuando menos:</w:t>
      </w:r>
    </w:p>
    <w:p w14:paraId="10EF4C2D"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 Los motivos y razonamientos que sustenten la confirmación o modificación de la prueba de daño;</w:t>
      </w:r>
    </w:p>
    <w:p w14:paraId="474A0189"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 Descripción de las partes o secciones reservadas, en caso de clasificación parcial;</w:t>
      </w:r>
    </w:p>
    <w:p w14:paraId="7D29BE88"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III. El periodo por el que mantendrá su clasificación y fecha de expiración; y</w:t>
      </w:r>
    </w:p>
    <w:p w14:paraId="457F5879"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IV. El nombre del titular y área encargada de realizar la versión pública del documento, en su caso.</w:t>
      </w:r>
    </w:p>
    <w:p w14:paraId="4171F78B"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 xml:space="preserve">En los casos en que se clasifique la información como reservada siempre se entregará o anexará la prueba de daño con la respuesta al solicitante. </w:t>
      </w:r>
    </w:p>
    <w:p w14:paraId="4C326451"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En los casos de resoluciones del Comité de Transparencia en las que se confirme la clasificación de información confidencial solo se deberán de identificar los tipos de datos protegidos, de conformidad con el lineamiento trigésimo octavo.</w:t>
      </w:r>
    </w:p>
    <w:p w14:paraId="443F4294"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b/>
          <w:i/>
          <w:sz w:val="22"/>
          <w:szCs w:val="22"/>
          <w:lang w:val="es-ES"/>
        </w:rPr>
        <w:t>Quincuagésimo segundo</w:t>
      </w:r>
      <w:r w:rsidRPr="00B14DFD">
        <w:rPr>
          <w:rFonts w:ascii="Palatino Linotype" w:eastAsia="Palatino Linotype" w:hAnsi="Palatino Linotype" w:cs="Palatino Linotype"/>
          <w:i/>
          <w:sz w:val="22"/>
          <w:szCs w:val="22"/>
          <w:lang w:val="es-ES"/>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49EA08B9"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En el caso específico de la clasificación y elaboración de versiones públicas de documentos que contengan información confidencial, las áreas de los sujetos obligados deberán:</w:t>
      </w:r>
    </w:p>
    <w:p w14:paraId="325D7CB2"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 Fijar la fecha en que se elaboró la versión pública y la fecha en la cual el Comité de Transparencia confirmó dicha versión;</w:t>
      </w:r>
    </w:p>
    <w:p w14:paraId="47858A30"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 Señalar dentro del documento el tipo de información confidencial que fue testada en cada caso específico, de conformidad con el lineamiento trigésimo octavo; y</w:t>
      </w:r>
    </w:p>
    <w:p w14:paraId="69131EE3"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III. Señalar las personas o instancias autorizadas a acceder a la información clasificada.</w:t>
      </w:r>
    </w:p>
    <w:p w14:paraId="1D94E74C"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En los documentos de difusión electrónica, señalar en la primera hoja y en el nombre del archivo, que la versión pública corresponde a un documento que contiene información confidencial.</w:t>
      </w:r>
    </w:p>
    <w:p w14:paraId="747A199C" w14:textId="77777777" w:rsidR="002D0C1A" w:rsidRPr="00B14DFD" w:rsidRDefault="002D0C1A" w:rsidP="00DC5C74">
      <w:pPr>
        <w:spacing w:line="276" w:lineRule="auto"/>
        <w:ind w:left="851" w:right="843"/>
        <w:jc w:val="both"/>
        <w:rPr>
          <w:rFonts w:ascii="Palatino Linotype" w:eastAsia="Palatino Linotype" w:hAnsi="Palatino Linotype" w:cs="Palatino Linotype"/>
          <w:i/>
          <w:sz w:val="22"/>
          <w:szCs w:val="22"/>
          <w:lang w:val="es-ES"/>
        </w:rPr>
      </w:pPr>
      <w:r w:rsidRPr="00B14DFD">
        <w:rPr>
          <w:rFonts w:ascii="Palatino Linotype" w:eastAsia="Palatino Linotype" w:hAnsi="Palatino Linotype" w:cs="Palatino Linotype"/>
          <w:i/>
          <w:sz w:val="22"/>
          <w:szCs w:val="22"/>
          <w:lang w:val="es-ES"/>
        </w:rPr>
        <w:t>Quincuagésimo cuarto. 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p>
    <w:p w14:paraId="0B356F0F" w14:textId="77777777" w:rsidR="002D0C1A" w:rsidRPr="00B14DFD" w:rsidRDefault="002D0C1A" w:rsidP="00DC5C74">
      <w:pPr>
        <w:spacing w:line="276" w:lineRule="auto"/>
        <w:ind w:left="851" w:right="843"/>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i/>
          <w:sz w:val="22"/>
          <w:szCs w:val="22"/>
          <w:lang w:val="es-ES"/>
        </w:rPr>
        <w:t xml:space="preserve">Quincuagésimo quinto. Cada área del sujeto obligado podrá designar formalmente a una o más personas como responsables del </w:t>
      </w:r>
      <w:proofErr w:type="spellStart"/>
      <w:r w:rsidRPr="00B14DFD">
        <w:rPr>
          <w:rFonts w:ascii="Palatino Linotype" w:eastAsia="Palatino Linotype" w:hAnsi="Palatino Linotype" w:cs="Palatino Linotype"/>
          <w:i/>
          <w:sz w:val="22"/>
          <w:szCs w:val="22"/>
          <w:lang w:val="es-ES"/>
        </w:rPr>
        <w:t>testado</w:t>
      </w:r>
      <w:proofErr w:type="spellEnd"/>
      <w:r w:rsidRPr="00B14DFD">
        <w:rPr>
          <w:rFonts w:ascii="Palatino Linotype" w:eastAsia="Palatino Linotype" w:hAnsi="Palatino Linotype" w:cs="Palatino Linotype"/>
          <w:i/>
          <w:sz w:val="22"/>
          <w:szCs w:val="22"/>
          <w:lang w:val="es-ES"/>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 (Sic)</w:t>
      </w:r>
    </w:p>
    <w:p w14:paraId="1BF24FD1"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p>
    <w:p w14:paraId="39ECD5B3"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 xml:space="preserve">Efectivamente, cuando se clasifica información como confidencial es importante someterlo al Comité de Transparencia, quien debe confirmar, modificar o revocar la clasificación. </w:t>
      </w:r>
    </w:p>
    <w:p w14:paraId="4DCF0686"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p>
    <w:p w14:paraId="1A3A1BFF" w14:textId="77777777" w:rsidR="002D0C1A" w:rsidRPr="00B14DFD" w:rsidRDefault="002D0C1A" w:rsidP="00DC5C74">
      <w:pPr>
        <w:spacing w:line="360" w:lineRule="auto"/>
        <w:jc w:val="both"/>
        <w:rPr>
          <w:rFonts w:ascii="Palatino Linotype" w:eastAsia="Palatino Linotype" w:hAnsi="Palatino Linotype" w:cs="Palatino Linotype"/>
          <w:sz w:val="22"/>
          <w:szCs w:val="22"/>
          <w:lang w:val="es-ES"/>
        </w:rPr>
      </w:pPr>
      <w:r w:rsidRPr="00B14DFD">
        <w:rPr>
          <w:rFonts w:ascii="Palatino Linotype" w:eastAsia="Palatino Linotype" w:hAnsi="Palatino Linotype" w:cs="Palatino Linotype"/>
          <w:sz w:val="22"/>
          <w:szCs w:val="22"/>
          <w:lang w:val="es-ES"/>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 la parte </w:t>
      </w:r>
      <w:r w:rsidRPr="00B14DFD">
        <w:rPr>
          <w:rFonts w:ascii="Palatino Linotype" w:eastAsia="Palatino Linotype" w:hAnsi="Palatino Linotype" w:cs="Palatino Linotype"/>
          <w:b/>
          <w:sz w:val="22"/>
          <w:szCs w:val="22"/>
          <w:lang w:val="es-ES"/>
        </w:rPr>
        <w:t>Recurrente</w:t>
      </w:r>
      <w:r w:rsidRPr="00B14DFD">
        <w:rPr>
          <w:rFonts w:ascii="Palatino Linotype" w:eastAsia="Palatino Linotype" w:hAnsi="Palatino Linotype" w:cs="Palatino Linotype"/>
          <w:sz w:val="22"/>
          <w:szCs w:val="22"/>
          <w:lang w:val="es-ES"/>
        </w:rPr>
        <w:t>.</w:t>
      </w:r>
    </w:p>
    <w:p w14:paraId="3B3D9BAE" w14:textId="77777777" w:rsidR="00644DDB" w:rsidRPr="00B14DFD" w:rsidRDefault="00644DDB" w:rsidP="00DC5C74">
      <w:pPr>
        <w:spacing w:line="360" w:lineRule="auto"/>
        <w:jc w:val="both"/>
        <w:rPr>
          <w:rFonts w:ascii="Palatino Linotype" w:eastAsia="Palatino Linotype" w:hAnsi="Palatino Linotype" w:cs="Palatino Linotype"/>
          <w:sz w:val="22"/>
          <w:szCs w:val="22"/>
          <w:lang w:val="es-ES"/>
        </w:rPr>
      </w:pPr>
    </w:p>
    <w:p w14:paraId="6B52E208" w14:textId="24B819A9"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sz w:val="22"/>
          <w:szCs w:val="22"/>
        </w:rPr>
        <w:t xml:space="preserve">Por lo anteriormente expuesto y con fundamento en lo prescrito en los artículos 5 párrafos </w:t>
      </w:r>
      <w:r w:rsidR="00645DE5" w:rsidRPr="00B14DFD">
        <w:rPr>
          <w:rFonts w:ascii="Palatino Linotype" w:eastAsia="Palatino Linotype" w:hAnsi="Palatino Linotype" w:cs="Palatino Linotype"/>
          <w:sz w:val="22"/>
          <w:szCs w:val="22"/>
        </w:rPr>
        <w:t>cuadragésimo cuarto, cuadragésimo quinto y cuadragésimo sexto, fracciones IV y V de la Constitución Política del Estado Libre y Soberano de México; Transitorio Cuarto, párrafo segundo del Decreto número 198 de la “LXII” Legislatura del Estado de México</w:t>
      </w:r>
      <w:r w:rsidRPr="00B14DFD">
        <w:rPr>
          <w:rFonts w:ascii="Palatino Linotype" w:eastAsia="Palatino Linotype" w:hAnsi="Palatino Linotype" w:cs="Palatino Linotype"/>
          <w:sz w:val="22"/>
          <w:szCs w:val="22"/>
        </w:rPr>
        <w:t>; 2, fracción II; 29, 36 fracciones I y II; 176, 178, 181, 185 y 186 fracción III de la Ley de Transparencia y Acceso a la Información Pública del Estado de México y Municipios, este Pleno:</w:t>
      </w:r>
    </w:p>
    <w:p w14:paraId="647EE143" w14:textId="77777777" w:rsidR="00644DDB" w:rsidRPr="00B14DFD" w:rsidRDefault="00644DDB" w:rsidP="00DC5C74">
      <w:pPr>
        <w:spacing w:line="360" w:lineRule="auto"/>
        <w:jc w:val="both"/>
        <w:rPr>
          <w:rFonts w:ascii="Palatino Linotype" w:eastAsia="Palatino Linotype" w:hAnsi="Palatino Linotype" w:cs="Palatino Linotype"/>
          <w:sz w:val="22"/>
          <w:szCs w:val="22"/>
        </w:rPr>
      </w:pPr>
    </w:p>
    <w:p w14:paraId="65B64204" w14:textId="77777777" w:rsidR="00422AF6" w:rsidRPr="00B14DFD" w:rsidRDefault="0067296C" w:rsidP="00DC5C74">
      <w:pPr>
        <w:pBdr>
          <w:top w:val="nil"/>
          <w:left w:val="nil"/>
          <w:bottom w:val="nil"/>
          <w:right w:val="nil"/>
          <w:between w:val="nil"/>
        </w:pBdr>
        <w:spacing w:line="360" w:lineRule="auto"/>
        <w:ind w:left="567"/>
        <w:jc w:val="center"/>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R E S U E L V E:</w:t>
      </w:r>
    </w:p>
    <w:p w14:paraId="4D623794" w14:textId="77777777" w:rsidR="00644DDB" w:rsidRPr="00B14DFD" w:rsidRDefault="00644DDB" w:rsidP="00DC5C74">
      <w:pPr>
        <w:spacing w:line="360" w:lineRule="auto"/>
        <w:jc w:val="both"/>
        <w:rPr>
          <w:rFonts w:ascii="Palatino Linotype" w:eastAsia="Palatino Linotype" w:hAnsi="Palatino Linotype" w:cs="Palatino Linotype"/>
          <w:b/>
          <w:sz w:val="22"/>
          <w:szCs w:val="22"/>
        </w:rPr>
      </w:pPr>
    </w:p>
    <w:p w14:paraId="1C0F9010" w14:textId="7294B149" w:rsidR="00422AF6" w:rsidRPr="00B14DFD" w:rsidRDefault="0067296C" w:rsidP="00DC5C74">
      <w:pPr>
        <w:spacing w:line="360" w:lineRule="auto"/>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 xml:space="preserve">Primero. </w:t>
      </w:r>
      <w:r w:rsidRPr="00B14DFD">
        <w:rPr>
          <w:rFonts w:ascii="Palatino Linotype" w:eastAsia="Palatino Linotype" w:hAnsi="Palatino Linotype" w:cs="Palatino Linotype"/>
          <w:sz w:val="22"/>
          <w:szCs w:val="22"/>
        </w:rPr>
        <w:t>Resultan</w:t>
      </w:r>
      <w:r w:rsidR="009D7D9D" w:rsidRPr="00B14DFD">
        <w:rPr>
          <w:rFonts w:ascii="Palatino Linotype" w:eastAsia="Palatino Linotype" w:hAnsi="Palatino Linotype" w:cs="Palatino Linotype"/>
          <w:b/>
          <w:sz w:val="22"/>
          <w:szCs w:val="22"/>
        </w:rPr>
        <w:t xml:space="preserve"> </w:t>
      </w:r>
      <w:r w:rsidR="00E3722B" w:rsidRPr="00B14DFD">
        <w:rPr>
          <w:rFonts w:ascii="Palatino Linotype" w:eastAsia="Palatino Linotype" w:hAnsi="Palatino Linotype" w:cs="Palatino Linotype"/>
          <w:b/>
          <w:sz w:val="22"/>
          <w:szCs w:val="22"/>
        </w:rPr>
        <w:t>fundado</w:t>
      </w:r>
      <w:r w:rsidRPr="00B14DFD">
        <w:rPr>
          <w:rFonts w:ascii="Palatino Linotype" w:eastAsia="Palatino Linotype" w:hAnsi="Palatino Linotype" w:cs="Palatino Linotype"/>
          <w:b/>
          <w:sz w:val="22"/>
          <w:szCs w:val="22"/>
        </w:rPr>
        <w:t xml:space="preserve">s </w:t>
      </w:r>
      <w:r w:rsidRPr="00B14DFD">
        <w:rPr>
          <w:rFonts w:ascii="Palatino Linotype" w:eastAsia="Palatino Linotype" w:hAnsi="Palatino Linotype" w:cs="Palatino Linotype"/>
          <w:sz w:val="22"/>
          <w:szCs w:val="22"/>
        </w:rPr>
        <w:t xml:space="preserve">los motivos de inconformidad hechos valer por </w:t>
      </w:r>
      <w:r w:rsidRPr="00B14DFD">
        <w:rPr>
          <w:rFonts w:ascii="Palatino Linotype" w:eastAsia="Palatino Linotype" w:hAnsi="Palatino Linotype" w:cs="Palatino Linotype"/>
          <w:bCs/>
          <w:sz w:val="22"/>
          <w:szCs w:val="22"/>
        </w:rPr>
        <w:t>la parte</w:t>
      </w:r>
      <w:r w:rsidRPr="00B14DFD">
        <w:rPr>
          <w:rFonts w:ascii="Palatino Linotype" w:eastAsia="Palatino Linotype" w:hAnsi="Palatino Linotype" w:cs="Palatino Linotype"/>
          <w:b/>
          <w:sz w:val="22"/>
          <w:szCs w:val="22"/>
        </w:rPr>
        <w:t xml:space="preserve"> Recurrente</w:t>
      </w:r>
      <w:r w:rsidRPr="00B14DFD">
        <w:rPr>
          <w:rFonts w:ascii="Palatino Linotype" w:eastAsia="Palatino Linotype" w:hAnsi="Palatino Linotype" w:cs="Palatino Linotype"/>
          <w:sz w:val="22"/>
          <w:szCs w:val="22"/>
        </w:rPr>
        <w:t xml:space="preserve"> en </w:t>
      </w:r>
      <w:r w:rsidR="00E3722B" w:rsidRPr="00B14DFD">
        <w:rPr>
          <w:rFonts w:ascii="Palatino Linotype" w:eastAsia="Palatino Linotype" w:hAnsi="Palatino Linotype" w:cs="Palatino Linotype"/>
          <w:sz w:val="22"/>
          <w:szCs w:val="22"/>
        </w:rPr>
        <w:t>el</w:t>
      </w:r>
      <w:r w:rsidRPr="00B14DFD">
        <w:rPr>
          <w:rFonts w:ascii="Palatino Linotype" w:eastAsia="Palatino Linotype" w:hAnsi="Palatino Linotype" w:cs="Palatino Linotype"/>
          <w:sz w:val="22"/>
          <w:szCs w:val="22"/>
        </w:rPr>
        <w:t xml:space="preserve"> Recurso de Revisión</w:t>
      </w:r>
      <w:r w:rsidRPr="00B14DFD">
        <w:rPr>
          <w:rFonts w:ascii="Palatino Linotype" w:eastAsia="Palatino Linotype" w:hAnsi="Palatino Linotype" w:cs="Palatino Linotype"/>
          <w:b/>
          <w:sz w:val="22"/>
          <w:szCs w:val="22"/>
        </w:rPr>
        <w:t xml:space="preserve"> </w:t>
      </w:r>
      <w:r w:rsidR="004C5C2B" w:rsidRPr="00B14DFD">
        <w:rPr>
          <w:rFonts w:ascii="Palatino Linotype" w:eastAsia="Palatino Linotype" w:hAnsi="Palatino Linotype" w:cs="Palatino Linotype"/>
          <w:b/>
          <w:sz w:val="22"/>
          <w:szCs w:val="22"/>
        </w:rPr>
        <w:t>0</w:t>
      </w:r>
      <w:r w:rsidR="00645DE5" w:rsidRPr="00B14DFD">
        <w:rPr>
          <w:rFonts w:ascii="Palatino Linotype" w:eastAsia="Palatino Linotype" w:hAnsi="Palatino Linotype" w:cs="Palatino Linotype"/>
          <w:b/>
          <w:sz w:val="22"/>
          <w:szCs w:val="22"/>
        </w:rPr>
        <w:t>9914</w:t>
      </w:r>
      <w:r w:rsidR="004C5C2B" w:rsidRPr="00B14DFD">
        <w:rPr>
          <w:rFonts w:ascii="Palatino Linotype" w:eastAsia="Palatino Linotype" w:hAnsi="Palatino Linotype" w:cs="Palatino Linotype"/>
          <w:b/>
          <w:sz w:val="22"/>
          <w:szCs w:val="22"/>
        </w:rPr>
        <w:t>/INFOEM/IP/RR/2025</w:t>
      </w:r>
      <w:r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sz w:val="22"/>
          <w:szCs w:val="22"/>
        </w:rPr>
        <w:t>por lo que,</w:t>
      </w:r>
      <w:r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bCs/>
          <w:sz w:val="22"/>
          <w:szCs w:val="22"/>
        </w:rPr>
        <w:t>en términos del</w:t>
      </w:r>
      <w:r w:rsidRPr="00B14DFD">
        <w:rPr>
          <w:rFonts w:ascii="Palatino Linotype" w:eastAsia="Palatino Linotype" w:hAnsi="Palatino Linotype" w:cs="Palatino Linotype"/>
          <w:b/>
          <w:sz w:val="22"/>
          <w:szCs w:val="22"/>
        </w:rPr>
        <w:t xml:space="preserve"> Considerando Cuarto </w:t>
      </w:r>
      <w:r w:rsidRPr="00B14DFD">
        <w:rPr>
          <w:rFonts w:ascii="Palatino Linotype" w:eastAsia="Palatino Linotype" w:hAnsi="Palatino Linotype" w:cs="Palatino Linotype"/>
          <w:sz w:val="22"/>
          <w:szCs w:val="22"/>
        </w:rPr>
        <w:t>de la presente resolución</w:t>
      </w:r>
      <w:r w:rsidRPr="00B14DFD">
        <w:rPr>
          <w:rFonts w:ascii="Palatino Linotype" w:eastAsia="Palatino Linotype" w:hAnsi="Palatino Linotype" w:cs="Palatino Linotype"/>
          <w:bCs/>
          <w:sz w:val="22"/>
          <w:szCs w:val="22"/>
        </w:rPr>
        <w:t>, se</w:t>
      </w:r>
      <w:r w:rsidRPr="00B14DFD">
        <w:rPr>
          <w:rFonts w:ascii="Palatino Linotype" w:eastAsia="Palatino Linotype" w:hAnsi="Palatino Linotype" w:cs="Palatino Linotype"/>
          <w:b/>
          <w:sz w:val="22"/>
          <w:szCs w:val="22"/>
        </w:rPr>
        <w:t xml:space="preserve"> </w:t>
      </w:r>
      <w:r w:rsidR="00645DE5" w:rsidRPr="00B14DFD">
        <w:rPr>
          <w:rFonts w:ascii="Palatino Linotype" w:eastAsia="Palatino Linotype" w:hAnsi="Palatino Linotype" w:cs="Palatino Linotype"/>
          <w:b/>
          <w:sz w:val="22"/>
          <w:szCs w:val="22"/>
        </w:rPr>
        <w:t xml:space="preserve">Modifica </w:t>
      </w:r>
      <w:r w:rsidR="00D61860" w:rsidRPr="00B14DFD">
        <w:rPr>
          <w:rFonts w:ascii="Palatino Linotype" w:eastAsia="Palatino Linotype" w:hAnsi="Palatino Linotype" w:cs="Palatino Linotype"/>
          <w:b/>
          <w:sz w:val="22"/>
          <w:szCs w:val="22"/>
        </w:rPr>
        <w:t>l</w:t>
      </w:r>
      <w:r w:rsidRPr="00B14DFD">
        <w:rPr>
          <w:rFonts w:ascii="Palatino Linotype" w:eastAsia="Palatino Linotype" w:hAnsi="Palatino Linotype" w:cs="Palatino Linotype"/>
          <w:sz w:val="22"/>
          <w:szCs w:val="22"/>
        </w:rPr>
        <w:t>a respuesta del</w:t>
      </w:r>
      <w:r w:rsidRPr="00B14DFD">
        <w:rPr>
          <w:rFonts w:ascii="Palatino Linotype" w:eastAsia="Palatino Linotype" w:hAnsi="Palatino Linotype" w:cs="Palatino Linotype"/>
          <w:b/>
          <w:sz w:val="22"/>
          <w:szCs w:val="22"/>
        </w:rPr>
        <w:t xml:space="preserve"> Sujeto Obligado.</w:t>
      </w:r>
    </w:p>
    <w:p w14:paraId="77048CF6" w14:textId="77777777" w:rsidR="00644DDB" w:rsidRPr="00B14DFD" w:rsidRDefault="00644DDB" w:rsidP="00DC5C74">
      <w:pPr>
        <w:spacing w:line="360" w:lineRule="auto"/>
        <w:jc w:val="both"/>
        <w:rPr>
          <w:rFonts w:ascii="Palatino Linotype" w:eastAsia="Palatino Linotype" w:hAnsi="Palatino Linotype" w:cs="Palatino Linotype"/>
          <w:b/>
          <w:sz w:val="22"/>
          <w:szCs w:val="22"/>
        </w:rPr>
      </w:pPr>
    </w:p>
    <w:p w14:paraId="1C166BEA" w14:textId="2444CF01" w:rsidR="00422AF6" w:rsidRPr="00B14DFD" w:rsidRDefault="0067296C" w:rsidP="00DC5C74">
      <w:pPr>
        <w:spacing w:line="360" w:lineRule="auto"/>
        <w:jc w:val="both"/>
        <w:rPr>
          <w:rFonts w:ascii="Palatino Linotype" w:eastAsia="Palatino Linotype" w:hAnsi="Palatino Linotype" w:cs="Palatino Linotype"/>
          <w:sz w:val="22"/>
          <w:szCs w:val="22"/>
        </w:rPr>
      </w:pPr>
      <w:bookmarkStart w:id="3" w:name="_heading=h.j3ppyxwlb1s2" w:colFirst="0" w:colLast="0"/>
      <w:bookmarkEnd w:id="3"/>
      <w:r w:rsidRPr="00B14DFD">
        <w:rPr>
          <w:rFonts w:ascii="Palatino Linotype" w:eastAsia="Palatino Linotype" w:hAnsi="Palatino Linotype" w:cs="Palatino Linotype"/>
          <w:b/>
          <w:sz w:val="22"/>
          <w:szCs w:val="22"/>
        </w:rPr>
        <w:t xml:space="preserve">Segundo. Se Ordena al Sujeto Obligado </w:t>
      </w:r>
      <w:r w:rsidR="00645DE5" w:rsidRPr="00B14DFD">
        <w:rPr>
          <w:rFonts w:ascii="Palatino Linotype" w:eastAsia="Palatino Linotype" w:hAnsi="Palatino Linotype" w:cs="Palatino Linotype"/>
          <w:sz w:val="22"/>
          <w:szCs w:val="22"/>
        </w:rPr>
        <w:t>que,</w:t>
      </w:r>
      <w:r w:rsidRPr="00B14DFD">
        <w:rPr>
          <w:rFonts w:ascii="Palatino Linotype" w:eastAsia="Palatino Linotype" w:hAnsi="Palatino Linotype" w:cs="Palatino Linotype"/>
          <w:sz w:val="22"/>
          <w:szCs w:val="22"/>
        </w:rPr>
        <w:t xml:space="preserve"> en términos de los</w:t>
      </w:r>
      <w:r w:rsidRPr="00B14DFD">
        <w:rPr>
          <w:rFonts w:ascii="Palatino Linotype" w:eastAsia="Palatino Linotype" w:hAnsi="Palatino Linotype" w:cs="Palatino Linotype"/>
          <w:b/>
          <w:sz w:val="22"/>
          <w:szCs w:val="22"/>
        </w:rPr>
        <w:t xml:space="preserve"> Considerandos Cuarto y Quinto </w:t>
      </w:r>
      <w:r w:rsidRPr="00B14DFD">
        <w:rPr>
          <w:rFonts w:ascii="Palatino Linotype" w:eastAsia="Palatino Linotype" w:hAnsi="Palatino Linotype" w:cs="Palatino Linotype"/>
          <w:sz w:val="22"/>
          <w:szCs w:val="22"/>
        </w:rPr>
        <w:t xml:space="preserve">de esta resolución, haga entrega a </w:t>
      </w:r>
      <w:r w:rsidRPr="00B14DFD">
        <w:rPr>
          <w:rFonts w:ascii="Palatino Linotype" w:eastAsia="Palatino Linotype" w:hAnsi="Palatino Linotype" w:cs="Palatino Linotype"/>
          <w:bCs/>
          <w:sz w:val="22"/>
          <w:szCs w:val="22"/>
        </w:rPr>
        <w:t>la parte</w:t>
      </w:r>
      <w:r w:rsidRPr="00B14DFD">
        <w:rPr>
          <w:rFonts w:ascii="Palatino Linotype" w:eastAsia="Palatino Linotype" w:hAnsi="Palatino Linotype" w:cs="Palatino Linotype"/>
          <w:b/>
          <w:sz w:val="22"/>
          <w:szCs w:val="22"/>
        </w:rPr>
        <w:t xml:space="preserve"> Recurrente</w:t>
      </w:r>
      <w:r w:rsidR="00645DE5" w:rsidRPr="00B14DFD">
        <w:rPr>
          <w:rFonts w:ascii="Palatino Linotype" w:eastAsia="Palatino Linotype" w:hAnsi="Palatino Linotype" w:cs="Palatino Linotype"/>
          <w:b/>
          <w:sz w:val="22"/>
          <w:szCs w:val="22"/>
        </w:rPr>
        <w:t>,</w:t>
      </w:r>
      <w:r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bCs/>
          <w:sz w:val="22"/>
          <w:szCs w:val="22"/>
        </w:rPr>
        <w:t>a través del</w:t>
      </w:r>
      <w:r w:rsidRPr="00B14DFD">
        <w:rPr>
          <w:rFonts w:ascii="Palatino Linotype" w:eastAsia="Palatino Linotype" w:hAnsi="Palatino Linotype" w:cs="Palatino Linotype"/>
          <w:b/>
          <w:sz w:val="22"/>
          <w:szCs w:val="22"/>
        </w:rPr>
        <w:t xml:space="preserve"> SAIMEX</w:t>
      </w:r>
      <w:r w:rsidR="00085294" w:rsidRPr="00B14DFD">
        <w:rPr>
          <w:rFonts w:ascii="Palatino Linotype" w:eastAsia="Palatino Linotype" w:hAnsi="Palatino Linotype" w:cs="Palatino Linotype"/>
          <w:b/>
          <w:sz w:val="22"/>
          <w:szCs w:val="22"/>
        </w:rPr>
        <w:t>,</w:t>
      </w:r>
      <w:r w:rsidR="0029035A" w:rsidRPr="00B14DFD">
        <w:rPr>
          <w:rFonts w:ascii="Palatino Linotype" w:eastAsia="Palatino Linotype" w:hAnsi="Palatino Linotype" w:cs="Palatino Linotype"/>
          <w:b/>
          <w:sz w:val="22"/>
          <w:szCs w:val="22"/>
        </w:rPr>
        <w:t xml:space="preserve"> </w:t>
      </w:r>
      <w:r w:rsidR="0029035A" w:rsidRPr="00B14DFD">
        <w:rPr>
          <w:rFonts w:ascii="Palatino Linotype" w:eastAsia="Palatino Linotype" w:hAnsi="Palatino Linotype" w:cs="Palatino Linotype"/>
          <w:bCs/>
          <w:sz w:val="22"/>
          <w:szCs w:val="22"/>
        </w:rPr>
        <w:t>en versión pública</w:t>
      </w:r>
      <w:r w:rsidRPr="00B14DFD">
        <w:rPr>
          <w:rFonts w:ascii="Palatino Linotype" w:eastAsia="Palatino Linotype" w:hAnsi="Palatino Linotype" w:cs="Palatino Linotype"/>
          <w:sz w:val="22"/>
          <w:szCs w:val="22"/>
        </w:rPr>
        <w:t xml:space="preserve"> </w:t>
      </w:r>
      <w:r w:rsidR="00AB1FF7" w:rsidRPr="00B14DFD">
        <w:rPr>
          <w:rFonts w:ascii="Palatino Linotype" w:eastAsia="Palatino Linotype" w:hAnsi="Palatino Linotype" w:cs="Palatino Linotype"/>
          <w:sz w:val="22"/>
          <w:szCs w:val="22"/>
        </w:rPr>
        <w:t>l</w:t>
      </w:r>
      <w:r w:rsidR="009D7D9D" w:rsidRPr="00B14DFD">
        <w:rPr>
          <w:rFonts w:ascii="Palatino Linotype" w:eastAsia="Palatino Linotype" w:hAnsi="Palatino Linotype" w:cs="Palatino Linotype"/>
          <w:sz w:val="22"/>
          <w:szCs w:val="22"/>
        </w:rPr>
        <w:t>a siguiente información</w:t>
      </w:r>
      <w:r w:rsidRPr="00B14DFD">
        <w:rPr>
          <w:rFonts w:ascii="Palatino Linotype" w:eastAsia="Palatino Linotype" w:hAnsi="Palatino Linotype" w:cs="Palatino Linotype"/>
          <w:sz w:val="22"/>
          <w:szCs w:val="22"/>
        </w:rPr>
        <w:t xml:space="preserve">: </w:t>
      </w:r>
    </w:p>
    <w:p w14:paraId="23C575C1" w14:textId="77777777" w:rsidR="00644DDB" w:rsidRPr="00B14DFD" w:rsidRDefault="00644DDB" w:rsidP="00DC5C74">
      <w:pPr>
        <w:spacing w:line="360" w:lineRule="auto"/>
        <w:jc w:val="both"/>
        <w:rPr>
          <w:rFonts w:ascii="Palatino Linotype" w:eastAsia="Palatino Linotype" w:hAnsi="Palatino Linotype" w:cs="Palatino Linotype"/>
          <w:b/>
          <w:sz w:val="22"/>
          <w:szCs w:val="22"/>
        </w:rPr>
      </w:pPr>
    </w:p>
    <w:p w14:paraId="06C2EBD9" w14:textId="48D33C2B" w:rsidR="00F0248F" w:rsidRPr="00B14DFD" w:rsidRDefault="00485242" w:rsidP="00DC5C74">
      <w:pPr>
        <w:numPr>
          <w:ilvl w:val="0"/>
          <w:numId w:val="44"/>
        </w:numPr>
        <w:pBdr>
          <w:top w:val="nil"/>
          <w:left w:val="nil"/>
          <w:bottom w:val="nil"/>
          <w:right w:val="nil"/>
          <w:between w:val="nil"/>
        </w:pBdr>
        <w:spacing w:line="360" w:lineRule="auto"/>
        <w:ind w:left="851" w:right="843" w:firstLine="0"/>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Las Lic</w:t>
      </w:r>
      <w:r w:rsidR="00F0248F" w:rsidRPr="00B14DFD">
        <w:rPr>
          <w:rFonts w:ascii="Palatino Linotype" w:eastAsia="Palatino Linotype" w:hAnsi="Palatino Linotype" w:cs="Palatino Linotype"/>
          <w:b/>
          <w:sz w:val="22"/>
          <w:szCs w:val="22"/>
        </w:rPr>
        <w:t>encias de Construcción proporcionadas en respuesta</w:t>
      </w:r>
      <w:r w:rsidR="00F0248F" w:rsidRPr="00B14DFD">
        <w:rPr>
          <w:rFonts w:ascii="Palatino Linotype" w:hAnsi="Palatino Linotype"/>
          <w:b/>
          <w:sz w:val="22"/>
          <w:szCs w:val="22"/>
        </w:rPr>
        <w:t>, en correcta versión pública.</w:t>
      </w:r>
    </w:p>
    <w:p w14:paraId="54F9843F" w14:textId="23DB3144" w:rsidR="00645DE5" w:rsidRPr="00B14DFD" w:rsidRDefault="00645DE5" w:rsidP="00DC5C74">
      <w:pPr>
        <w:numPr>
          <w:ilvl w:val="0"/>
          <w:numId w:val="44"/>
        </w:numPr>
        <w:pBdr>
          <w:top w:val="nil"/>
          <w:left w:val="nil"/>
          <w:bottom w:val="nil"/>
          <w:right w:val="nil"/>
          <w:between w:val="nil"/>
        </w:pBdr>
        <w:spacing w:line="360" w:lineRule="auto"/>
        <w:ind w:left="851" w:right="843" w:firstLine="0"/>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Las Licencias de Construcción faltante</w:t>
      </w:r>
      <w:r w:rsidR="00252014" w:rsidRPr="00B14DFD">
        <w:rPr>
          <w:rFonts w:ascii="Palatino Linotype" w:eastAsia="Palatino Linotype" w:hAnsi="Palatino Linotype" w:cs="Palatino Linotype"/>
          <w:b/>
          <w:sz w:val="22"/>
          <w:szCs w:val="22"/>
        </w:rPr>
        <w:t xml:space="preserve">s, del primero de junio al diecisiete de julio de dos mil veinticinco. </w:t>
      </w:r>
    </w:p>
    <w:p w14:paraId="6A28FF74" w14:textId="51BFA9BE" w:rsidR="00645DE5" w:rsidRPr="00B14DFD" w:rsidRDefault="00645DE5" w:rsidP="005C3788">
      <w:pPr>
        <w:numPr>
          <w:ilvl w:val="0"/>
          <w:numId w:val="44"/>
        </w:numPr>
        <w:pBdr>
          <w:top w:val="nil"/>
          <w:left w:val="nil"/>
          <w:bottom w:val="nil"/>
          <w:right w:val="nil"/>
          <w:between w:val="nil"/>
        </w:pBdr>
        <w:spacing w:line="360" w:lineRule="auto"/>
        <w:ind w:left="851" w:right="843" w:firstLine="0"/>
        <w:jc w:val="both"/>
        <w:rPr>
          <w:rFonts w:ascii="Palatino Linotype" w:eastAsia="Palatino Linotype" w:hAnsi="Palatino Linotype" w:cs="Palatino Linotype"/>
          <w:b/>
          <w:sz w:val="22"/>
          <w:szCs w:val="22"/>
        </w:rPr>
      </w:pPr>
      <w:r w:rsidRPr="00B14DFD">
        <w:rPr>
          <w:rFonts w:ascii="Palatino Linotype" w:eastAsia="Palatino Linotype" w:hAnsi="Palatino Linotype" w:cs="Palatino Linotype"/>
          <w:b/>
          <w:sz w:val="22"/>
          <w:szCs w:val="22"/>
        </w:rPr>
        <w:t>L</w:t>
      </w:r>
      <w:r w:rsidR="00644DDB" w:rsidRPr="00B14DFD">
        <w:rPr>
          <w:rFonts w:ascii="Palatino Linotype" w:eastAsia="Palatino Linotype" w:hAnsi="Palatino Linotype" w:cs="Palatino Linotype"/>
          <w:b/>
          <w:sz w:val="22"/>
          <w:szCs w:val="22"/>
        </w:rPr>
        <w:t>os permisos y constancias en materia de construcción que emite la Dirección de Desarrollo Territorial y Urbano, del primero de enero al diecisiete de julio de dos mil veinticinco.</w:t>
      </w:r>
    </w:p>
    <w:p w14:paraId="41DCF60F" w14:textId="77777777" w:rsidR="00645DE5" w:rsidRPr="00B14DFD" w:rsidRDefault="00645DE5" w:rsidP="00DC5C74">
      <w:pPr>
        <w:pBdr>
          <w:top w:val="nil"/>
          <w:left w:val="nil"/>
          <w:bottom w:val="nil"/>
          <w:right w:val="nil"/>
          <w:between w:val="nil"/>
        </w:pBdr>
        <w:spacing w:line="360" w:lineRule="auto"/>
        <w:ind w:left="851" w:right="843"/>
        <w:jc w:val="both"/>
        <w:rPr>
          <w:rFonts w:ascii="Palatino Linotype" w:eastAsia="Palatino Linotype" w:hAnsi="Palatino Linotype" w:cs="Palatino Linotype"/>
          <w:b/>
          <w:sz w:val="22"/>
          <w:szCs w:val="22"/>
        </w:rPr>
      </w:pPr>
    </w:p>
    <w:p w14:paraId="7010D66E" w14:textId="77777777" w:rsidR="00F0248F" w:rsidRPr="00B14DFD" w:rsidRDefault="00F0248F" w:rsidP="00DC5C74">
      <w:pPr>
        <w:tabs>
          <w:tab w:val="left" w:pos="993"/>
        </w:tabs>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Deberán acompañarse del Acuerdo del Comité de Transparencia de conformidad con la Ley de Transparencia y Acceso a la Información Pública del Estado de México y Municipios, en el que funde y motive las razones sobre los datos que se supriman, eliminen o testen de los soportes documentales objeto de las versiones públicas que se formulen y se pongan a disposición de la parte Recurrente, mismo que igualmente hará de su conocimiento.</w:t>
      </w:r>
    </w:p>
    <w:p w14:paraId="196CC2AB" w14:textId="77777777" w:rsidR="00645DE5" w:rsidRPr="00B14DFD" w:rsidRDefault="00645DE5" w:rsidP="00DC5C74">
      <w:pPr>
        <w:tabs>
          <w:tab w:val="left" w:pos="993"/>
        </w:tabs>
        <w:ind w:left="851" w:right="843"/>
        <w:jc w:val="both"/>
        <w:rPr>
          <w:rFonts w:ascii="Palatino Linotype" w:eastAsia="Palatino Linotype" w:hAnsi="Palatino Linotype" w:cs="Palatino Linotype"/>
          <w:i/>
          <w:sz w:val="22"/>
          <w:szCs w:val="22"/>
        </w:rPr>
      </w:pPr>
    </w:p>
    <w:p w14:paraId="2798BCE9" w14:textId="19AC7877" w:rsidR="00645DE5" w:rsidRPr="00B14DFD" w:rsidRDefault="00645DE5" w:rsidP="00DC5C74">
      <w:pPr>
        <w:tabs>
          <w:tab w:val="left" w:pos="993"/>
        </w:tabs>
        <w:ind w:left="851" w:right="843"/>
        <w:jc w:val="both"/>
        <w:rPr>
          <w:rFonts w:ascii="Palatino Linotype" w:eastAsia="Palatino Linotype" w:hAnsi="Palatino Linotype" w:cs="Palatino Linotype"/>
          <w:i/>
          <w:sz w:val="22"/>
          <w:szCs w:val="22"/>
        </w:rPr>
      </w:pPr>
      <w:r w:rsidRPr="00B14DFD">
        <w:rPr>
          <w:rFonts w:ascii="Palatino Linotype" w:eastAsia="Palatino Linotype" w:hAnsi="Palatino Linotype" w:cs="Palatino Linotype"/>
          <w:i/>
          <w:sz w:val="22"/>
          <w:szCs w:val="22"/>
        </w:rPr>
        <w:t>Para el caso de que la información que se ordena entregar en los numerales 2 y 3 no obre en los archivos del Sujeto Obligado, por no haberse generado, poseído o administrado, este deberá hacerlo del conocimiento de</w:t>
      </w:r>
      <w:r w:rsidR="002D0C1A" w:rsidRPr="00B14DFD">
        <w:rPr>
          <w:rFonts w:ascii="Palatino Linotype" w:eastAsia="Palatino Linotype" w:hAnsi="Palatino Linotype" w:cs="Palatino Linotype"/>
          <w:i/>
          <w:sz w:val="22"/>
          <w:szCs w:val="22"/>
        </w:rPr>
        <w:t xml:space="preserve"> la parte </w:t>
      </w:r>
      <w:r w:rsidR="002D0C1A" w:rsidRPr="00B14DFD">
        <w:rPr>
          <w:rFonts w:ascii="Palatino Linotype" w:eastAsia="Palatino Linotype" w:hAnsi="Palatino Linotype" w:cs="Palatino Linotype"/>
          <w:b/>
          <w:bCs/>
          <w:i/>
          <w:sz w:val="22"/>
          <w:szCs w:val="22"/>
        </w:rPr>
        <w:t>Recurrente</w:t>
      </w:r>
      <w:r w:rsidR="002D0C1A" w:rsidRPr="00B14DFD">
        <w:rPr>
          <w:rFonts w:ascii="Palatino Linotype" w:eastAsia="Palatino Linotype" w:hAnsi="Palatino Linotype" w:cs="Palatino Linotype"/>
          <w:i/>
          <w:sz w:val="22"/>
          <w:szCs w:val="22"/>
        </w:rPr>
        <w:t xml:space="preserve"> </w:t>
      </w:r>
      <w:r w:rsidRPr="00B14DFD">
        <w:rPr>
          <w:rFonts w:ascii="Palatino Linotype" w:eastAsia="Palatino Linotype" w:hAnsi="Palatino Linotype" w:cs="Palatino Linotype"/>
          <w:i/>
          <w:sz w:val="22"/>
          <w:szCs w:val="22"/>
        </w:rPr>
        <w:t>en términos del artículo 19, párrafo segundo, de la Ley de Transparencia y Acceso a la Información Pública del Estado de México y Municipios, para tenerse por colmado dicho requerimiento.</w:t>
      </w:r>
    </w:p>
    <w:p w14:paraId="53B57F71" w14:textId="77777777" w:rsidR="00644DDB" w:rsidRPr="00B14DFD" w:rsidRDefault="00644DDB" w:rsidP="00DC5C74">
      <w:pPr>
        <w:spacing w:line="360" w:lineRule="auto"/>
        <w:jc w:val="both"/>
        <w:rPr>
          <w:rFonts w:ascii="Palatino Linotype" w:eastAsia="Palatino Linotype" w:hAnsi="Palatino Linotype" w:cs="Palatino Linotype"/>
          <w:b/>
          <w:sz w:val="22"/>
          <w:szCs w:val="22"/>
        </w:rPr>
      </w:pPr>
    </w:p>
    <w:p w14:paraId="5AEB0523" w14:textId="74E7013E"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 xml:space="preserve">Tercero. Notifíquese vía SAIMEX, </w:t>
      </w:r>
      <w:r w:rsidRPr="00B14DFD">
        <w:rPr>
          <w:rFonts w:ascii="Palatino Linotype" w:eastAsia="Palatino Linotype" w:hAnsi="Palatino Linotype" w:cs="Palatino Linotype"/>
          <w:sz w:val="22"/>
          <w:szCs w:val="22"/>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2CAF9CD" w14:textId="77777777" w:rsidR="00644DDB" w:rsidRPr="00B14DFD" w:rsidRDefault="00644DDB" w:rsidP="00DC5C74">
      <w:pPr>
        <w:spacing w:line="360" w:lineRule="auto"/>
        <w:jc w:val="both"/>
        <w:rPr>
          <w:rFonts w:ascii="Palatino Linotype" w:eastAsia="Palatino Linotype" w:hAnsi="Palatino Linotype" w:cs="Palatino Linotype"/>
          <w:sz w:val="22"/>
          <w:szCs w:val="22"/>
        </w:rPr>
      </w:pPr>
    </w:p>
    <w:p w14:paraId="0530E8BC"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r w:rsidRPr="00B14DFD">
        <w:rPr>
          <w:rFonts w:ascii="Palatino Linotype" w:eastAsia="Palatino Linotype" w:hAnsi="Palatino Linotype" w:cs="Palatino Linotype"/>
          <w:b/>
          <w:sz w:val="22"/>
          <w:szCs w:val="22"/>
        </w:rPr>
        <w:t xml:space="preserve">Cuarto. </w:t>
      </w:r>
      <w:r w:rsidRPr="00B14DFD">
        <w:rPr>
          <w:rFonts w:ascii="Palatino Linotype" w:eastAsia="Palatino Linotype" w:hAnsi="Palatino Linotype" w:cs="Palatino Linotype"/>
          <w:sz w:val="22"/>
          <w:szCs w:val="22"/>
        </w:rPr>
        <w:t xml:space="preserve">De conformidad con el artículo 198 de la Ley de Transparencia y Acceso a la Información Pública del Estado de México y Municipios, de considerarlo procedente, el </w:t>
      </w:r>
      <w:r w:rsidRPr="00B14DFD">
        <w:rPr>
          <w:rFonts w:ascii="Palatino Linotype" w:eastAsia="Palatino Linotype" w:hAnsi="Palatino Linotype" w:cs="Palatino Linotype"/>
          <w:b/>
          <w:sz w:val="22"/>
          <w:szCs w:val="22"/>
        </w:rPr>
        <w:t>Sujeto Obligado</w:t>
      </w:r>
      <w:r w:rsidRPr="00B14DFD">
        <w:rPr>
          <w:rFonts w:ascii="Palatino Linotype" w:eastAsia="Palatino Linotype" w:hAnsi="Palatino Linotype" w:cs="Palatino Linotype"/>
          <w:sz w:val="22"/>
          <w:szCs w:val="22"/>
        </w:rPr>
        <w:t xml:space="preserve"> de manera fundada y motivada, podrá solicitar una ampliación de plazo para el cumplimiento de la presente resolución.</w:t>
      </w:r>
    </w:p>
    <w:p w14:paraId="1799CDE5" w14:textId="77777777" w:rsidR="00644DDB" w:rsidRPr="00B14DFD" w:rsidRDefault="00644DDB" w:rsidP="00DC5C74">
      <w:pPr>
        <w:spacing w:line="360" w:lineRule="auto"/>
        <w:jc w:val="both"/>
        <w:rPr>
          <w:rFonts w:ascii="Palatino Linotype" w:eastAsia="Palatino Linotype" w:hAnsi="Palatino Linotype" w:cs="Palatino Linotype"/>
          <w:sz w:val="22"/>
          <w:szCs w:val="22"/>
        </w:rPr>
      </w:pPr>
    </w:p>
    <w:p w14:paraId="405D1FAE" w14:textId="77777777" w:rsidR="00422AF6" w:rsidRPr="00B14DFD" w:rsidRDefault="0067296C" w:rsidP="00DC5C74">
      <w:pPr>
        <w:spacing w:line="360" w:lineRule="auto"/>
        <w:jc w:val="both"/>
        <w:rPr>
          <w:rFonts w:ascii="Palatino Linotype" w:eastAsia="Palatino Linotype" w:hAnsi="Palatino Linotype" w:cs="Palatino Linotype"/>
          <w:sz w:val="22"/>
          <w:szCs w:val="22"/>
        </w:rPr>
      </w:pPr>
      <w:bookmarkStart w:id="4" w:name="_heading=h.tyjcwt" w:colFirst="0" w:colLast="0"/>
      <w:bookmarkEnd w:id="4"/>
      <w:r w:rsidRPr="00B14DFD">
        <w:rPr>
          <w:rFonts w:ascii="Palatino Linotype" w:eastAsia="Palatino Linotype" w:hAnsi="Palatino Linotype" w:cs="Palatino Linotype"/>
          <w:b/>
          <w:sz w:val="22"/>
          <w:szCs w:val="22"/>
        </w:rPr>
        <w:t xml:space="preserve">Quinto. Notifíquese vía SAIMEX, </w:t>
      </w:r>
      <w:r w:rsidRPr="00B14DFD">
        <w:rPr>
          <w:rFonts w:ascii="Palatino Linotype" w:eastAsia="Palatino Linotype" w:hAnsi="Palatino Linotype" w:cs="Palatino Linotype"/>
          <w:sz w:val="22"/>
          <w:szCs w:val="22"/>
        </w:rPr>
        <w:t>a</w:t>
      </w:r>
      <w:r w:rsidRPr="00B14DFD">
        <w:rPr>
          <w:rFonts w:ascii="Palatino Linotype" w:eastAsia="Palatino Linotype" w:hAnsi="Palatino Linotype" w:cs="Palatino Linotype"/>
          <w:b/>
          <w:sz w:val="22"/>
          <w:szCs w:val="22"/>
        </w:rPr>
        <w:t xml:space="preserve"> </w:t>
      </w:r>
      <w:r w:rsidRPr="00B14DFD">
        <w:rPr>
          <w:rFonts w:ascii="Palatino Linotype" w:eastAsia="Palatino Linotype" w:hAnsi="Palatino Linotype" w:cs="Palatino Linotype"/>
          <w:bCs/>
          <w:sz w:val="22"/>
          <w:szCs w:val="22"/>
        </w:rPr>
        <w:t>la parte</w:t>
      </w:r>
      <w:r w:rsidRPr="00B14DFD">
        <w:rPr>
          <w:rFonts w:ascii="Palatino Linotype" w:eastAsia="Palatino Linotype" w:hAnsi="Palatino Linotype" w:cs="Palatino Linotype"/>
          <w:b/>
          <w:sz w:val="22"/>
          <w:szCs w:val="22"/>
        </w:rPr>
        <w:t xml:space="preserve"> Recurrente</w:t>
      </w:r>
      <w:r w:rsidRPr="00B14DFD">
        <w:rPr>
          <w:rFonts w:ascii="Palatino Linotype" w:eastAsia="Palatino Linotype" w:hAnsi="Palatino Linotype" w:cs="Palatino Linotype"/>
          <w:sz w:val="22"/>
          <w:szCs w:val="22"/>
        </w:rPr>
        <w:t xml:space="preserve"> la presente resolución, así como que podrá impugnar vía Juicio de Amparo en los términos de las leyes aplicables, de conformidad con lo establecido en el artículo 196 de la Ley de Transparencia y Acceso a la Información Pública del Estado de México y Municipios.</w:t>
      </w:r>
    </w:p>
    <w:p w14:paraId="57BA7A27" w14:textId="77777777" w:rsidR="00FF6F38" w:rsidRPr="00B14DFD" w:rsidRDefault="00FF6F38" w:rsidP="00DC5C74">
      <w:pPr>
        <w:spacing w:line="360" w:lineRule="auto"/>
        <w:jc w:val="both"/>
        <w:rPr>
          <w:rFonts w:ascii="Palatino Linotype" w:eastAsia="Palatino Linotype" w:hAnsi="Palatino Linotype" w:cs="Palatino Linotype"/>
          <w:b/>
          <w:bCs/>
          <w:sz w:val="22"/>
          <w:szCs w:val="22"/>
        </w:rPr>
      </w:pPr>
    </w:p>
    <w:p w14:paraId="30FBF6FA" w14:textId="027A310B" w:rsidR="005F66A6" w:rsidRPr="00B14DFD" w:rsidRDefault="002D0C1A" w:rsidP="00DC5C74">
      <w:pPr>
        <w:spacing w:line="360" w:lineRule="auto"/>
        <w:jc w:val="both"/>
        <w:rPr>
          <w:rFonts w:ascii="Palatino Linotype" w:eastAsia="Palatino Linotype" w:hAnsi="Palatino Linotype" w:cs="Palatino Linotype"/>
          <w:sz w:val="22"/>
          <w:szCs w:val="22"/>
        </w:rPr>
      </w:pPr>
      <w:r w:rsidRPr="00B14DFD">
        <w:rPr>
          <w:rFonts w:ascii="Palatino Linotype" w:hAnsi="Palatino Linotype"/>
          <w:b/>
          <w:bCs/>
          <w:sz w:val="22"/>
          <w:szCs w:val="22"/>
        </w:rPr>
        <w:t>Sexto</w:t>
      </w:r>
      <w:r w:rsidR="005F66A6" w:rsidRPr="00B14DFD">
        <w:rPr>
          <w:rFonts w:ascii="Palatino Linotype" w:hAnsi="Palatino Linotype"/>
          <w:sz w:val="22"/>
          <w:szCs w:val="22"/>
        </w:rPr>
        <w:t xml:space="preserve">. </w:t>
      </w:r>
      <w:r w:rsidR="005F66A6" w:rsidRPr="00B14DFD">
        <w:rPr>
          <w:rFonts w:ascii="Palatino Linotype" w:hAnsi="Palatino Linotype"/>
          <w:b/>
          <w:bCs/>
          <w:sz w:val="22"/>
          <w:szCs w:val="22"/>
        </w:rPr>
        <w:t xml:space="preserve">Gírese </w:t>
      </w:r>
      <w:r w:rsidR="005F66A6" w:rsidRPr="00B14DFD">
        <w:rPr>
          <w:rFonts w:ascii="Palatino Linotype" w:hAnsi="Palatino Linotype"/>
          <w:sz w:val="22"/>
          <w:szCs w:val="22"/>
        </w:rPr>
        <w:t>oficio</w:t>
      </w:r>
      <w:r w:rsidR="005F66A6" w:rsidRPr="00B14DFD">
        <w:rPr>
          <w:rFonts w:ascii="Palatino Linotype" w:hAnsi="Palatino Linotype"/>
          <w:b/>
          <w:bCs/>
          <w:sz w:val="22"/>
          <w:szCs w:val="22"/>
        </w:rPr>
        <w:t xml:space="preserve"> </w:t>
      </w:r>
      <w:r w:rsidR="005F66A6" w:rsidRPr="00B14DFD">
        <w:rPr>
          <w:rFonts w:ascii="Palatino Linotype" w:hAnsi="Palatino Linotype"/>
          <w:sz w:val="22"/>
          <w:szCs w:val="22"/>
        </w:rPr>
        <w:t xml:space="preserve">a la </w:t>
      </w:r>
      <w:r w:rsidR="005F66A6" w:rsidRPr="00B14DFD">
        <w:rPr>
          <w:rFonts w:ascii="Palatino Linotype" w:hAnsi="Palatino Linotype"/>
          <w:b/>
          <w:bCs/>
          <w:sz w:val="22"/>
          <w:szCs w:val="22"/>
        </w:rPr>
        <w:t>Dirección General de Protección de Datos Personales</w:t>
      </w:r>
      <w:r w:rsidR="005F66A6" w:rsidRPr="00B14DFD">
        <w:rPr>
          <w:rFonts w:ascii="Palatino Linotype" w:hAnsi="Palatino Linotype"/>
          <w:sz w:val="22"/>
          <w:szCs w:val="22"/>
        </w:rPr>
        <w:t xml:space="preserve"> en atención al artículo 82, fracción XXVII de la Ley de Protección de Datos Personales del Estado de México y Municipios, a fin de que determine lo conducente en términos del </w:t>
      </w:r>
      <w:r w:rsidR="005F66A6" w:rsidRPr="00B14DFD">
        <w:rPr>
          <w:rFonts w:ascii="Palatino Linotype" w:hAnsi="Palatino Linotype"/>
          <w:b/>
          <w:bCs/>
          <w:sz w:val="22"/>
          <w:szCs w:val="22"/>
        </w:rPr>
        <w:t>Considerando</w:t>
      </w:r>
      <w:r w:rsidR="005F66A6" w:rsidRPr="00B14DFD">
        <w:rPr>
          <w:rFonts w:ascii="Palatino Linotype" w:hAnsi="Palatino Linotype"/>
          <w:sz w:val="22"/>
          <w:szCs w:val="22"/>
        </w:rPr>
        <w:t xml:space="preserve"> </w:t>
      </w:r>
      <w:r w:rsidR="005F66A6" w:rsidRPr="00B14DFD">
        <w:rPr>
          <w:rFonts w:ascii="Palatino Linotype" w:hAnsi="Palatino Linotype"/>
          <w:b/>
          <w:bCs/>
          <w:sz w:val="22"/>
          <w:szCs w:val="22"/>
        </w:rPr>
        <w:t xml:space="preserve">Cuarto </w:t>
      </w:r>
      <w:r w:rsidR="005F66A6" w:rsidRPr="00B14DFD">
        <w:rPr>
          <w:rFonts w:ascii="Palatino Linotype" w:hAnsi="Palatino Linotype"/>
          <w:sz w:val="22"/>
          <w:szCs w:val="22"/>
        </w:rPr>
        <w:t>de la presente resolución.</w:t>
      </w:r>
    </w:p>
    <w:p w14:paraId="4F953691" w14:textId="29BC2F09" w:rsidR="00857AB7" w:rsidRPr="00B14DFD" w:rsidRDefault="00857AB7" w:rsidP="00DC5C74">
      <w:pPr>
        <w:spacing w:line="360" w:lineRule="auto"/>
        <w:jc w:val="both"/>
        <w:rPr>
          <w:rFonts w:ascii="Palatino Linotype" w:eastAsia="Palatino Linotype" w:hAnsi="Palatino Linotype" w:cs="Palatino Linotype"/>
          <w:sz w:val="22"/>
          <w:szCs w:val="22"/>
        </w:rPr>
      </w:pPr>
    </w:p>
    <w:p w14:paraId="2A5B4925" w14:textId="17526671" w:rsidR="00422AF6" w:rsidRPr="00B14DFD" w:rsidRDefault="0067296C" w:rsidP="00DC5C74">
      <w:pPr>
        <w:spacing w:line="360" w:lineRule="auto"/>
        <w:ind w:right="-93"/>
        <w:jc w:val="both"/>
        <w:rPr>
          <w:rFonts w:ascii="Palatino Linotype" w:eastAsia="Palatino Linotype" w:hAnsi="Palatino Linotype" w:cs="Palatino Linotype"/>
          <w:sz w:val="22"/>
          <w:szCs w:val="22"/>
        </w:rPr>
      </w:pPr>
      <w:bookmarkStart w:id="5" w:name="_heading=h.zgmzruezwlco" w:colFirst="0" w:colLast="0"/>
      <w:bookmarkStart w:id="6" w:name="_heading=h.jl0dlasot4f" w:colFirst="0" w:colLast="0"/>
      <w:bookmarkEnd w:id="5"/>
      <w:bookmarkEnd w:id="6"/>
      <w:r w:rsidRPr="00B14DFD">
        <w:rPr>
          <w:rFonts w:ascii="Palatino Linotype" w:eastAsia="Palatino Linotype" w:hAnsi="Palatino Linotype" w:cs="Palatino Linotype"/>
          <w:sz w:val="22"/>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C9554A" w:rsidRPr="00B14DFD">
        <w:rPr>
          <w:rFonts w:ascii="Palatino Linotype" w:eastAsia="Palatino Linotype" w:hAnsi="Palatino Linotype" w:cs="Palatino Linotype"/>
          <w:sz w:val="22"/>
          <w:szCs w:val="22"/>
        </w:rPr>
        <w:t>, EMITIENDO VOTO PARTICULAR</w:t>
      </w:r>
      <w:r w:rsidRPr="00B14DFD">
        <w:rPr>
          <w:rFonts w:ascii="Palatino Linotype" w:eastAsia="Palatino Linotype" w:hAnsi="Palatino Linotype" w:cs="Palatino Linotype"/>
          <w:sz w:val="22"/>
          <w:szCs w:val="22"/>
        </w:rPr>
        <w:t xml:space="preserve"> Y GUADALUPE RAMÍREZ PEÑA; EN LA </w:t>
      </w:r>
      <w:r w:rsidR="00645DE5" w:rsidRPr="00B14DFD">
        <w:rPr>
          <w:rFonts w:ascii="Palatino Linotype" w:eastAsia="Palatino Linotype" w:hAnsi="Palatino Linotype" w:cs="Palatino Linotype"/>
          <w:sz w:val="22"/>
          <w:szCs w:val="22"/>
        </w:rPr>
        <w:t xml:space="preserve">OCTAVA </w:t>
      </w:r>
      <w:r w:rsidRPr="00B14DFD">
        <w:rPr>
          <w:rFonts w:ascii="Palatino Linotype" w:eastAsia="Palatino Linotype" w:hAnsi="Palatino Linotype" w:cs="Palatino Linotype"/>
          <w:sz w:val="22"/>
          <w:szCs w:val="22"/>
        </w:rPr>
        <w:t xml:space="preserve">SESIÓN ORDINARIA CELEBRADA EL </w:t>
      </w:r>
      <w:r w:rsidR="00645DE5" w:rsidRPr="00B14DFD">
        <w:rPr>
          <w:rFonts w:ascii="Palatino Linotype" w:eastAsia="Palatino Linotype" w:hAnsi="Palatino Linotype" w:cs="Palatino Linotype"/>
          <w:sz w:val="22"/>
          <w:szCs w:val="22"/>
        </w:rPr>
        <w:t xml:space="preserve">CINCO DE MARZO </w:t>
      </w:r>
      <w:r w:rsidRPr="00B14DFD">
        <w:rPr>
          <w:rFonts w:ascii="Palatino Linotype" w:eastAsia="Palatino Linotype" w:hAnsi="Palatino Linotype" w:cs="Palatino Linotype"/>
          <w:sz w:val="22"/>
          <w:szCs w:val="22"/>
        </w:rPr>
        <w:t xml:space="preserve">DE DOS MIL </w:t>
      </w:r>
      <w:r w:rsidR="00645DE5" w:rsidRPr="00B14DFD">
        <w:rPr>
          <w:rFonts w:ascii="Palatino Linotype" w:eastAsia="Palatino Linotype" w:hAnsi="Palatino Linotype" w:cs="Palatino Linotype"/>
          <w:sz w:val="22"/>
          <w:szCs w:val="22"/>
        </w:rPr>
        <w:t>VEINTISÉIS</w:t>
      </w:r>
      <w:r w:rsidRPr="00B14DFD">
        <w:rPr>
          <w:rFonts w:ascii="Palatino Linotype" w:eastAsia="Palatino Linotype" w:hAnsi="Palatino Linotype" w:cs="Palatino Linotype"/>
          <w:sz w:val="22"/>
          <w:szCs w:val="22"/>
        </w:rPr>
        <w:t>, ANTE EL SECRETARIO TÉCNICO DEL PLENO ALEXIS TAPIA RAMÍREZ.</w:t>
      </w:r>
    </w:p>
    <w:p w14:paraId="0B11DC92" w14:textId="77777777" w:rsidR="00422AF6" w:rsidRPr="00B14DFD" w:rsidRDefault="00422AF6" w:rsidP="00DC5C74">
      <w:pPr>
        <w:spacing w:line="360" w:lineRule="auto"/>
        <w:ind w:right="-93"/>
        <w:jc w:val="both"/>
        <w:rPr>
          <w:rFonts w:ascii="Palatino Linotype" w:eastAsia="Palatino Linotype" w:hAnsi="Palatino Linotype" w:cs="Palatino Linotype"/>
          <w:sz w:val="22"/>
          <w:szCs w:val="22"/>
        </w:rPr>
      </w:pPr>
    </w:p>
    <w:p w14:paraId="4747957F" w14:textId="77777777" w:rsidR="00422AF6" w:rsidRPr="00B14DFD" w:rsidRDefault="00422AF6" w:rsidP="00DC5C74">
      <w:pPr>
        <w:spacing w:line="360" w:lineRule="auto"/>
        <w:ind w:right="-93"/>
        <w:jc w:val="both"/>
        <w:rPr>
          <w:rFonts w:ascii="Palatino Linotype" w:eastAsia="Palatino Linotype" w:hAnsi="Palatino Linotype" w:cs="Palatino Linotype"/>
          <w:sz w:val="22"/>
          <w:szCs w:val="22"/>
        </w:rPr>
      </w:pPr>
    </w:p>
    <w:sectPr w:rsidR="00422AF6" w:rsidRPr="00B14DFD" w:rsidSect="00B101F0">
      <w:headerReference w:type="default" r:id="rId15"/>
      <w:footerReference w:type="default" r:id="rId16"/>
      <w:headerReference w:type="first" r:id="rId17"/>
      <w:footerReference w:type="first" r:id="rId18"/>
      <w:type w:val="continuous"/>
      <w:pgSz w:w="12240" w:h="15840"/>
      <w:pgMar w:top="2041" w:right="1474"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6F2C5" w14:textId="77777777" w:rsidR="000C4463" w:rsidRDefault="000C4463">
      <w:r>
        <w:separator/>
      </w:r>
    </w:p>
  </w:endnote>
  <w:endnote w:type="continuationSeparator" w:id="0">
    <w:p w14:paraId="4A9C18F1" w14:textId="77777777" w:rsidR="000C4463" w:rsidRDefault="000C4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1F84B1" w14:textId="04313156" w:rsidR="006D0402" w:rsidRPr="005D3A19" w:rsidRDefault="006D0402">
    <w:pPr>
      <w:pBdr>
        <w:top w:val="nil"/>
        <w:left w:val="nil"/>
        <w:bottom w:val="nil"/>
        <w:right w:val="nil"/>
        <w:between w:val="nil"/>
      </w:pBdr>
      <w:tabs>
        <w:tab w:val="center" w:pos="4419"/>
        <w:tab w:val="right" w:pos="8838"/>
      </w:tabs>
      <w:jc w:val="right"/>
      <w:rPr>
        <w:rFonts w:ascii="Palatino Linotype" w:hAnsi="Palatino Linotype"/>
        <w:color w:val="000000"/>
        <w:sz w:val="22"/>
        <w:szCs w:val="22"/>
      </w:rPr>
    </w:pPr>
    <w:r w:rsidRPr="005D3A19">
      <w:rPr>
        <w:rFonts w:ascii="Palatino Linotype" w:hAnsi="Palatino Linotype"/>
        <w:color w:val="000000"/>
        <w:sz w:val="22"/>
        <w:szCs w:val="22"/>
      </w:rPr>
      <w:t xml:space="preserve">Página </w:t>
    </w:r>
    <w:r w:rsidRPr="005D3A19">
      <w:rPr>
        <w:rFonts w:ascii="Palatino Linotype" w:hAnsi="Palatino Linotype"/>
        <w:b/>
        <w:color w:val="000000"/>
        <w:sz w:val="22"/>
        <w:szCs w:val="22"/>
      </w:rPr>
      <w:fldChar w:fldCharType="begin"/>
    </w:r>
    <w:r w:rsidRPr="005D3A19">
      <w:rPr>
        <w:rFonts w:ascii="Palatino Linotype" w:hAnsi="Palatino Linotype"/>
        <w:b/>
        <w:color w:val="000000"/>
        <w:sz w:val="22"/>
        <w:szCs w:val="22"/>
      </w:rPr>
      <w:instrText>PAGE</w:instrText>
    </w:r>
    <w:r w:rsidRPr="005D3A19">
      <w:rPr>
        <w:rFonts w:ascii="Palatino Linotype" w:hAnsi="Palatino Linotype"/>
        <w:b/>
        <w:color w:val="000000"/>
        <w:sz w:val="22"/>
        <w:szCs w:val="22"/>
      </w:rPr>
      <w:fldChar w:fldCharType="separate"/>
    </w:r>
    <w:r w:rsidR="00170887">
      <w:rPr>
        <w:rFonts w:ascii="Palatino Linotype" w:hAnsi="Palatino Linotype"/>
        <w:b/>
        <w:noProof/>
        <w:color w:val="000000"/>
        <w:sz w:val="22"/>
        <w:szCs w:val="22"/>
      </w:rPr>
      <w:t>20</w:t>
    </w:r>
    <w:r w:rsidRPr="005D3A19">
      <w:rPr>
        <w:rFonts w:ascii="Palatino Linotype" w:hAnsi="Palatino Linotype"/>
        <w:b/>
        <w:color w:val="000000"/>
        <w:sz w:val="22"/>
        <w:szCs w:val="22"/>
      </w:rPr>
      <w:fldChar w:fldCharType="end"/>
    </w:r>
    <w:r w:rsidRPr="005D3A19">
      <w:rPr>
        <w:rFonts w:ascii="Palatino Linotype" w:hAnsi="Palatino Linotype"/>
        <w:color w:val="000000"/>
        <w:sz w:val="22"/>
        <w:szCs w:val="22"/>
      </w:rPr>
      <w:t xml:space="preserve"> de </w:t>
    </w:r>
    <w:r w:rsidRPr="005D3A19">
      <w:rPr>
        <w:rFonts w:ascii="Palatino Linotype" w:hAnsi="Palatino Linotype"/>
        <w:b/>
        <w:color w:val="000000"/>
        <w:sz w:val="22"/>
        <w:szCs w:val="22"/>
      </w:rPr>
      <w:fldChar w:fldCharType="begin"/>
    </w:r>
    <w:r w:rsidRPr="005D3A19">
      <w:rPr>
        <w:rFonts w:ascii="Palatino Linotype" w:hAnsi="Palatino Linotype"/>
        <w:b/>
        <w:color w:val="000000"/>
        <w:sz w:val="22"/>
        <w:szCs w:val="22"/>
      </w:rPr>
      <w:instrText>NUMPAGES</w:instrText>
    </w:r>
    <w:r w:rsidRPr="005D3A19">
      <w:rPr>
        <w:rFonts w:ascii="Palatino Linotype" w:hAnsi="Palatino Linotype"/>
        <w:b/>
        <w:color w:val="000000"/>
        <w:sz w:val="22"/>
        <w:szCs w:val="22"/>
      </w:rPr>
      <w:fldChar w:fldCharType="separate"/>
    </w:r>
    <w:r w:rsidR="00170887">
      <w:rPr>
        <w:rFonts w:ascii="Palatino Linotype" w:hAnsi="Palatino Linotype"/>
        <w:b/>
        <w:noProof/>
        <w:color w:val="000000"/>
        <w:sz w:val="22"/>
        <w:szCs w:val="22"/>
      </w:rPr>
      <w:t>52</w:t>
    </w:r>
    <w:r w:rsidRPr="005D3A19">
      <w:rPr>
        <w:rFonts w:ascii="Palatino Linotype" w:hAnsi="Palatino Linotype"/>
        <w:b/>
        <w:color w:val="000000"/>
        <w:sz w:val="22"/>
        <w:szCs w:val="22"/>
      </w:rPr>
      <w:fldChar w:fldCharType="end"/>
    </w:r>
  </w:p>
  <w:p w14:paraId="5332399D" w14:textId="77777777" w:rsidR="006D0402" w:rsidRDefault="006D0402">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D1221A" w14:textId="18D5A410" w:rsidR="006D0402" w:rsidRDefault="006D0402">
    <w:pPr>
      <w:pBdr>
        <w:top w:val="nil"/>
        <w:left w:val="nil"/>
        <w:bottom w:val="nil"/>
        <w:right w:val="nil"/>
        <w:between w:val="nil"/>
      </w:pBdr>
      <w:tabs>
        <w:tab w:val="center" w:pos="4419"/>
        <w:tab w:val="right" w:pos="8838"/>
      </w:tabs>
      <w:jc w:val="right"/>
      <w:rPr>
        <w:color w:val="000000"/>
      </w:rPr>
    </w:pPr>
    <w:r>
      <w:rPr>
        <w:color w:val="000000"/>
      </w:rPr>
      <w:t xml:space="preserve">Página </w:t>
    </w:r>
    <w:r>
      <w:rPr>
        <w:b/>
        <w:color w:val="000000"/>
      </w:rPr>
      <w:fldChar w:fldCharType="begin"/>
    </w:r>
    <w:r>
      <w:rPr>
        <w:b/>
        <w:color w:val="000000"/>
      </w:rPr>
      <w:instrText>PAGE</w:instrText>
    </w:r>
    <w:r>
      <w:rPr>
        <w:b/>
        <w:color w:val="000000"/>
      </w:rPr>
      <w:fldChar w:fldCharType="separate"/>
    </w:r>
    <w:r w:rsidR="00170887">
      <w:rPr>
        <w:b/>
        <w:noProof/>
        <w:color w:val="000000"/>
      </w:rPr>
      <w:t>1</w:t>
    </w:r>
    <w:r>
      <w:rPr>
        <w:b/>
        <w:color w:val="000000"/>
      </w:rPr>
      <w:fldChar w:fldCharType="end"/>
    </w:r>
    <w:r>
      <w:rPr>
        <w:color w:val="000000"/>
      </w:rPr>
      <w:t xml:space="preserve"> de </w:t>
    </w:r>
    <w:r>
      <w:rPr>
        <w:b/>
        <w:color w:val="000000"/>
      </w:rPr>
      <w:fldChar w:fldCharType="begin"/>
    </w:r>
    <w:r>
      <w:rPr>
        <w:b/>
        <w:color w:val="000000"/>
      </w:rPr>
      <w:instrText>NUMPAGES</w:instrText>
    </w:r>
    <w:r>
      <w:rPr>
        <w:b/>
        <w:color w:val="000000"/>
      </w:rPr>
      <w:fldChar w:fldCharType="separate"/>
    </w:r>
    <w:r w:rsidR="00170887">
      <w:rPr>
        <w:b/>
        <w:noProof/>
        <w:color w:val="000000"/>
      </w:rPr>
      <w:t>52</w:t>
    </w:r>
    <w:r>
      <w:rPr>
        <w:b/>
        <w:color w:val="000000"/>
      </w:rPr>
      <w:fldChar w:fldCharType="end"/>
    </w:r>
  </w:p>
  <w:p w14:paraId="52163994" w14:textId="77777777" w:rsidR="006D0402" w:rsidRDefault="006D0402">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4091BB" w14:textId="77777777" w:rsidR="000C4463" w:rsidRDefault="000C4463">
      <w:r>
        <w:separator/>
      </w:r>
    </w:p>
  </w:footnote>
  <w:footnote w:type="continuationSeparator" w:id="0">
    <w:p w14:paraId="1D43D4F3" w14:textId="77777777" w:rsidR="000C4463" w:rsidRDefault="000C446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787D8" w14:textId="77777777" w:rsidR="006D0402" w:rsidRDefault="006D0402">
    <w:pPr>
      <w:widowControl w:val="0"/>
      <w:pBdr>
        <w:top w:val="nil"/>
        <w:left w:val="nil"/>
        <w:bottom w:val="nil"/>
        <w:right w:val="nil"/>
        <w:between w:val="nil"/>
      </w:pBdr>
      <w:rPr>
        <w:color w:val="000000"/>
      </w:rPr>
    </w:pPr>
    <w:r>
      <w:rPr>
        <w:noProof/>
      </w:rPr>
      <w:drawing>
        <wp:anchor distT="0" distB="0" distL="0" distR="0" simplePos="0" relativeHeight="251658240" behindDoc="1" locked="0" layoutInCell="1" hidden="0" allowOverlap="1" wp14:anchorId="0502C96C" wp14:editId="56F5EA55">
          <wp:simplePos x="0" y="0"/>
          <wp:positionH relativeFrom="column">
            <wp:posOffset>0</wp:posOffset>
          </wp:positionH>
          <wp:positionV relativeFrom="paragraph">
            <wp:posOffset>-401954</wp:posOffset>
          </wp:positionV>
          <wp:extent cx="7809876" cy="10165823"/>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tbl>
    <w:tblPr>
      <w:tblStyle w:val="af4"/>
      <w:tblW w:w="5603" w:type="dxa"/>
      <w:tblInd w:w="3611" w:type="dxa"/>
      <w:tblLayout w:type="fixed"/>
      <w:tblLook w:val="0400" w:firstRow="0" w:lastRow="0" w:firstColumn="0" w:lastColumn="0" w:noHBand="0" w:noVBand="1"/>
    </w:tblPr>
    <w:tblGrid>
      <w:gridCol w:w="2551"/>
      <w:gridCol w:w="3052"/>
    </w:tblGrid>
    <w:tr w:rsidR="006D0402" w14:paraId="64DA2B86" w14:textId="77777777">
      <w:tc>
        <w:tcPr>
          <w:tcW w:w="2551" w:type="dxa"/>
          <w:vAlign w:val="center"/>
        </w:tcPr>
        <w:p w14:paraId="11354F65" w14:textId="449CAF07" w:rsidR="006D0402" w:rsidRDefault="006D0402" w:rsidP="00317C5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Recurso de Revisión:</w:t>
          </w:r>
        </w:p>
      </w:tc>
      <w:tc>
        <w:tcPr>
          <w:tcW w:w="3052" w:type="dxa"/>
          <w:vAlign w:val="center"/>
        </w:tcPr>
        <w:p w14:paraId="4533874B" w14:textId="4CA57239" w:rsidR="006D0402" w:rsidRDefault="006D0402" w:rsidP="00961490">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0"/>
            </w:rPr>
            <w:t>0</w:t>
          </w:r>
          <w:r w:rsidR="00317C52">
            <w:rPr>
              <w:rFonts w:ascii="Palatino Linotype" w:eastAsia="Palatino Linotype" w:hAnsi="Palatino Linotype" w:cs="Palatino Linotype"/>
              <w:b/>
              <w:color w:val="000000"/>
              <w:sz w:val="22"/>
              <w:szCs w:val="20"/>
            </w:rPr>
            <w:t>991</w:t>
          </w:r>
          <w:r>
            <w:rPr>
              <w:rFonts w:ascii="Palatino Linotype" w:eastAsia="Palatino Linotype" w:hAnsi="Palatino Linotype" w:cs="Palatino Linotype"/>
              <w:b/>
              <w:color w:val="000000"/>
              <w:sz w:val="22"/>
              <w:szCs w:val="20"/>
            </w:rPr>
            <w:t>4/INFOEM/IP/RR/2025</w:t>
          </w:r>
        </w:p>
      </w:tc>
    </w:tr>
    <w:tr w:rsidR="006D0402" w14:paraId="78C28F93" w14:textId="77777777">
      <w:trPr>
        <w:trHeight w:val="217"/>
      </w:trPr>
      <w:tc>
        <w:tcPr>
          <w:tcW w:w="2551" w:type="dxa"/>
          <w:vAlign w:val="center"/>
        </w:tcPr>
        <w:p w14:paraId="20C4A75F" w14:textId="77777777" w:rsidR="006D0402" w:rsidRDefault="006D040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Sujeto obligado:</w:t>
          </w:r>
        </w:p>
      </w:tc>
      <w:tc>
        <w:tcPr>
          <w:tcW w:w="3052" w:type="dxa"/>
          <w:vAlign w:val="center"/>
        </w:tcPr>
        <w:p w14:paraId="3355AC5F" w14:textId="27EB7EC8" w:rsidR="006D0402" w:rsidRDefault="006D0402">
          <w:pPr>
            <w:pBdr>
              <w:top w:val="nil"/>
              <w:left w:val="nil"/>
              <w:bottom w:val="nil"/>
              <w:right w:val="nil"/>
              <w:between w:val="nil"/>
            </w:pBdr>
            <w:tabs>
              <w:tab w:val="center" w:pos="4419"/>
              <w:tab w:val="right" w:pos="8838"/>
            </w:tabs>
            <w:ind w:right="168"/>
            <w:jc w:val="both"/>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Ayuntamiento de Zinacantepec</w:t>
          </w:r>
        </w:p>
      </w:tc>
    </w:tr>
    <w:tr w:rsidR="006D0402" w14:paraId="1279AFBB" w14:textId="77777777">
      <w:tc>
        <w:tcPr>
          <w:tcW w:w="2551" w:type="dxa"/>
          <w:vAlign w:val="center"/>
        </w:tcPr>
        <w:p w14:paraId="5B0AFD27" w14:textId="77777777" w:rsidR="006D0402" w:rsidRDefault="006D040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Comisionada ponente:</w:t>
          </w:r>
        </w:p>
      </w:tc>
      <w:tc>
        <w:tcPr>
          <w:tcW w:w="3052" w:type="dxa"/>
          <w:vAlign w:val="center"/>
        </w:tcPr>
        <w:p w14:paraId="4F9E99A8" w14:textId="77777777" w:rsidR="006D0402" w:rsidRDefault="006D040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2"/>
              <w:szCs w:val="22"/>
            </w:rPr>
          </w:pPr>
          <w:r>
            <w:rPr>
              <w:rFonts w:ascii="Palatino Linotype" w:eastAsia="Palatino Linotype" w:hAnsi="Palatino Linotype" w:cs="Palatino Linotype"/>
              <w:b/>
              <w:color w:val="000000"/>
              <w:sz w:val="22"/>
              <w:szCs w:val="22"/>
            </w:rPr>
            <w:t>Guadalupe Ramírez Peña</w:t>
          </w:r>
        </w:p>
      </w:tc>
    </w:tr>
  </w:tbl>
  <w:p w14:paraId="61574969" w14:textId="77777777" w:rsidR="006D0402" w:rsidRDefault="006D0402">
    <w:pPr>
      <w:pBdr>
        <w:top w:val="nil"/>
        <w:left w:val="nil"/>
        <w:bottom w:val="nil"/>
        <w:right w:val="nil"/>
        <w:between w:val="nil"/>
      </w:pBdr>
      <w:tabs>
        <w:tab w:val="center" w:pos="4419"/>
        <w:tab w:val="right" w:pos="8838"/>
      </w:tabs>
      <w:rPr>
        <w:color w:val="00000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F4C3D8" w14:textId="77777777" w:rsidR="006D0402" w:rsidRDefault="006D0402">
    <w:pPr>
      <w:widowControl w:val="0"/>
      <w:pBdr>
        <w:top w:val="nil"/>
        <w:left w:val="nil"/>
        <w:bottom w:val="nil"/>
        <w:right w:val="nil"/>
        <w:between w:val="nil"/>
      </w:pBdr>
      <w:rPr>
        <w:rFonts w:ascii="Palatino Linotype" w:eastAsia="Palatino Linotype" w:hAnsi="Palatino Linotype" w:cs="Palatino Linotype"/>
        <w:sz w:val="22"/>
        <w:szCs w:val="22"/>
      </w:rPr>
    </w:pPr>
    <w:r>
      <w:rPr>
        <w:noProof/>
      </w:rPr>
      <w:drawing>
        <wp:anchor distT="0" distB="0" distL="0" distR="0" simplePos="0" relativeHeight="251659264" behindDoc="1" locked="0" layoutInCell="1" hidden="0" allowOverlap="1" wp14:anchorId="332B9E44" wp14:editId="2B6352F2">
          <wp:simplePos x="0" y="0"/>
          <wp:positionH relativeFrom="column">
            <wp:posOffset>-929005</wp:posOffset>
          </wp:positionH>
          <wp:positionV relativeFrom="paragraph">
            <wp:posOffset>-644525</wp:posOffset>
          </wp:positionV>
          <wp:extent cx="7809865" cy="10165715"/>
          <wp:effectExtent l="0" t="0" r="0" b="0"/>
          <wp:wrapNone/>
          <wp:docPr id="4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f5"/>
      <w:tblW w:w="5603" w:type="dxa"/>
      <w:tblInd w:w="3611" w:type="dxa"/>
      <w:tblLayout w:type="fixed"/>
      <w:tblLook w:val="0400" w:firstRow="0" w:lastRow="0" w:firstColumn="0" w:lastColumn="0" w:noHBand="0" w:noVBand="1"/>
    </w:tblPr>
    <w:tblGrid>
      <w:gridCol w:w="2551"/>
      <w:gridCol w:w="3052"/>
    </w:tblGrid>
    <w:tr w:rsidR="006D0402" w14:paraId="641CC915" w14:textId="77777777">
      <w:tc>
        <w:tcPr>
          <w:tcW w:w="2551" w:type="dxa"/>
          <w:vAlign w:val="center"/>
        </w:tcPr>
        <w:p w14:paraId="185BAB77" w14:textId="021BD5D1" w:rsidR="006D0402" w:rsidRDefault="006D0402" w:rsidP="00317C5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Recurso de Revisión:</w:t>
          </w:r>
        </w:p>
      </w:tc>
      <w:tc>
        <w:tcPr>
          <w:tcW w:w="3052" w:type="dxa"/>
          <w:vAlign w:val="center"/>
        </w:tcPr>
        <w:p w14:paraId="0FCDC575" w14:textId="3EE3CF83" w:rsidR="006D0402" w:rsidRDefault="006D0402" w:rsidP="009943E1">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0"/>
            </w:rPr>
            <w:t>0</w:t>
          </w:r>
          <w:r w:rsidR="00317C52">
            <w:rPr>
              <w:rFonts w:ascii="Palatino Linotype" w:eastAsia="Palatino Linotype" w:hAnsi="Palatino Linotype" w:cs="Palatino Linotype"/>
              <w:b/>
              <w:color w:val="000000"/>
              <w:sz w:val="22"/>
              <w:szCs w:val="20"/>
            </w:rPr>
            <w:t>991</w:t>
          </w:r>
          <w:r>
            <w:rPr>
              <w:rFonts w:ascii="Palatino Linotype" w:eastAsia="Palatino Linotype" w:hAnsi="Palatino Linotype" w:cs="Palatino Linotype"/>
              <w:b/>
              <w:color w:val="000000"/>
              <w:sz w:val="22"/>
              <w:szCs w:val="20"/>
            </w:rPr>
            <w:t>4/INFOEM/IP/RR/2025</w:t>
          </w:r>
        </w:p>
      </w:tc>
    </w:tr>
    <w:tr w:rsidR="006D0402" w14:paraId="564209F5" w14:textId="77777777">
      <w:tc>
        <w:tcPr>
          <w:tcW w:w="2551" w:type="dxa"/>
          <w:vAlign w:val="center"/>
        </w:tcPr>
        <w:p w14:paraId="3F5B1195" w14:textId="77777777" w:rsidR="006D0402" w:rsidRDefault="006D040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Recurrente:</w:t>
          </w:r>
        </w:p>
      </w:tc>
      <w:tc>
        <w:tcPr>
          <w:tcW w:w="3052" w:type="dxa"/>
          <w:vAlign w:val="center"/>
        </w:tcPr>
        <w:p w14:paraId="23BE4AA3" w14:textId="77777777" w:rsidR="006D0402" w:rsidRDefault="006D040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p>
      </w:tc>
    </w:tr>
    <w:tr w:rsidR="006D0402" w14:paraId="64DF52FE" w14:textId="77777777">
      <w:trPr>
        <w:trHeight w:val="152"/>
      </w:trPr>
      <w:tc>
        <w:tcPr>
          <w:tcW w:w="2551" w:type="dxa"/>
          <w:vAlign w:val="center"/>
        </w:tcPr>
        <w:p w14:paraId="3E84E56E" w14:textId="77777777" w:rsidR="006D0402" w:rsidRDefault="006D0402">
          <w:pP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Sujeto obligado:</w:t>
          </w:r>
        </w:p>
        <w:p w14:paraId="0B62763F" w14:textId="77777777" w:rsidR="006D0402" w:rsidRDefault="006D0402">
          <w:pPr>
            <w:tabs>
              <w:tab w:val="center" w:pos="4419"/>
              <w:tab w:val="right" w:pos="8838"/>
            </w:tabs>
            <w:rPr>
              <w:rFonts w:ascii="Palatino Linotype" w:eastAsia="Palatino Linotype" w:hAnsi="Palatino Linotype" w:cs="Palatino Linotype"/>
              <w:b/>
              <w:color w:val="000000"/>
              <w:sz w:val="20"/>
              <w:szCs w:val="20"/>
            </w:rPr>
          </w:pPr>
        </w:p>
      </w:tc>
      <w:tc>
        <w:tcPr>
          <w:tcW w:w="3052" w:type="dxa"/>
          <w:vAlign w:val="center"/>
        </w:tcPr>
        <w:p w14:paraId="5B5EF4B9" w14:textId="0836AF4C" w:rsidR="006D0402" w:rsidRDefault="006D0402">
          <w:pPr>
            <w:pBdr>
              <w:top w:val="nil"/>
              <w:left w:val="nil"/>
              <w:bottom w:val="nil"/>
              <w:right w:val="nil"/>
              <w:between w:val="nil"/>
            </w:pBdr>
            <w:tabs>
              <w:tab w:val="center" w:pos="4419"/>
              <w:tab w:val="right" w:pos="8838"/>
            </w:tabs>
            <w:ind w:right="174"/>
            <w:jc w:val="both"/>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2"/>
              <w:szCs w:val="22"/>
            </w:rPr>
            <w:t>Ayuntamiento de Zinacantepec</w:t>
          </w:r>
        </w:p>
      </w:tc>
    </w:tr>
    <w:tr w:rsidR="006D0402" w14:paraId="6E9F8A77" w14:textId="77777777">
      <w:tc>
        <w:tcPr>
          <w:tcW w:w="2551" w:type="dxa"/>
          <w:vAlign w:val="center"/>
        </w:tcPr>
        <w:p w14:paraId="667FC8CA" w14:textId="77777777" w:rsidR="006D0402" w:rsidRDefault="006D040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Comisionada ponente:</w:t>
          </w:r>
        </w:p>
      </w:tc>
      <w:tc>
        <w:tcPr>
          <w:tcW w:w="3052" w:type="dxa"/>
          <w:vAlign w:val="center"/>
        </w:tcPr>
        <w:p w14:paraId="4F46EA83" w14:textId="77777777" w:rsidR="006D0402" w:rsidRDefault="006D0402">
          <w:pPr>
            <w:pBdr>
              <w:top w:val="nil"/>
              <w:left w:val="nil"/>
              <w:bottom w:val="nil"/>
              <w:right w:val="nil"/>
              <w:between w:val="nil"/>
            </w:pBdr>
            <w:tabs>
              <w:tab w:val="center" w:pos="4419"/>
              <w:tab w:val="right" w:pos="8838"/>
            </w:tabs>
            <w:rPr>
              <w:rFonts w:ascii="Palatino Linotype" w:eastAsia="Palatino Linotype" w:hAnsi="Palatino Linotype" w:cs="Palatino Linotype"/>
              <w:b/>
              <w:color w:val="000000"/>
              <w:sz w:val="20"/>
              <w:szCs w:val="20"/>
            </w:rPr>
          </w:pPr>
          <w:r>
            <w:rPr>
              <w:rFonts w:ascii="Palatino Linotype" w:eastAsia="Palatino Linotype" w:hAnsi="Palatino Linotype" w:cs="Palatino Linotype"/>
              <w:b/>
              <w:color w:val="000000"/>
              <w:sz w:val="20"/>
              <w:szCs w:val="20"/>
            </w:rPr>
            <w:t>Guadalupe Ramírez Peña</w:t>
          </w:r>
        </w:p>
      </w:tc>
    </w:tr>
  </w:tbl>
  <w:p w14:paraId="798FE020" w14:textId="77777777" w:rsidR="006D0402" w:rsidRDefault="006D0402">
    <w:pPr>
      <w:rPr>
        <w:color w:val="000000"/>
        <w:sz w:val="22"/>
        <w:szCs w:val="22"/>
      </w:rPr>
    </w:pPr>
    <w:r>
      <w:rPr>
        <w:color w:val="000000"/>
        <w:sz w:val="22"/>
        <w:szCs w:val="22"/>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30834"/>
    <w:multiLevelType w:val="hybridMultilevel"/>
    <w:tmpl w:val="A8FA2E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3C55BEE"/>
    <w:multiLevelType w:val="hybridMultilevel"/>
    <w:tmpl w:val="73E69B62"/>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2" w15:restartNumberingAfterBreak="0">
    <w:nsid w:val="05ED7D65"/>
    <w:multiLevelType w:val="hybridMultilevel"/>
    <w:tmpl w:val="3220432A"/>
    <w:lvl w:ilvl="0" w:tplc="7E002CAC">
      <w:start w:val="1"/>
      <w:numFmt w:val="upperRoman"/>
      <w:lvlText w:val="%1."/>
      <w:lvlJc w:val="left"/>
      <w:pPr>
        <w:ind w:left="1571" w:hanging="720"/>
      </w:pPr>
      <w:rPr>
        <w:rFonts w:hint="default"/>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08F97248"/>
    <w:multiLevelType w:val="hybridMultilevel"/>
    <w:tmpl w:val="0B2618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B3B04D3"/>
    <w:multiLevelType w:val="hybridMultilevel"/>
    <w:tmpl w:val="643CB8B8"/>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5" w15:restartNumberingAfterBreak="0">
    <w:nsid w:val="0F5E4EB8"/>
    <w:multiLevelType w:val="multilevel"/>
    <w:tmpl w:val="6B0ADB64"/>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15:restartNumberingAfterBreak="0">
    <w:nsid w:val="0F6539B8"/>
    <w:multiLevelType w:val="hybridMultilevel"/>
    <w:tmpl w:val="F1141CA4"/>
    <w:lvl w:ilvl="0" w:tplc="080A000D">
      <w:start w:val="1"/>
      <w:numFmt w:val="bullet"/>
      <w:lvlText w:val=""/>
      <w:lvlJc w:val="left"/>
      <w:pPr>
        <w:ind w:left="1637" w:hanging="360"/>
      </w:pPr>
      <w:rPr>
        <w:rFonts w:ascii="Wingdings" w:hAnsi="Wingding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7" w15:restartNumberingAfterBreak="0">
    <w:nsid w:val="171127E9"/>
    <w:multiLevelType w:val="hybridMultilevel"/>
    <w:tmpl w:val="7C7886B6"/>
    <w:lvl w:ilvl="0" w:tplc="080A0001">
      <w:start w:val="1"/>
      <w:numFmt w:val="bullet"/>
      <w:lvlText w:val=""/>
      <w:lvlJc w:val="left"/>
      <w:pPr>
        <w:ind w:left="1287" w:hanging="360"/>
      </w:pPr>
      <w:rPr>
        <w:rFonts w:ascii="Symbol" w:hAnsi="Symbol"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8" w15:restartNumberingAfterBreak="0">
    <w:nsid w:val="177D5C8B"/>
    <w:multiLevelType w:val="multilevel"/>
    <w:tmpl w:val="0E869228"/>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9" w15:restartNumberingAfterBreak="0">
    <w:nsid w:val="1FFB05AF"/>
    <w:multiLevelType w:val="hybridMultilevel"/>
    <w:tmpl w:val="0A7EF56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0" w15:restartNumberingAfterBreak="0">
    <w:nsid w:val="20255EDF"/>
    <w:multiLevelType w:val="hybridMultilevel"/>
    <w:tmpl w:val="96524C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2BB0D56"/>
    <w:multiLevelType w:val="hybridMultilevel"/>
    <w:tmpl w:val="A224E67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551543C"/>
    <w:multiLevelType w:val="multilevel"/>
    <w:tmpl w:val="B2E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57F2535"/>
    <w:multiLevelType w:val="hybridMultilevel"/>
    <w:tmpl w:val="5C8A767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69B3999"/>
    <w:multiLevelType w:val="multilevel"/>
    <w:tmpl w:val="B554E1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28707C06"/>
    <w:multiLevelType w:val="multilevel"/>
    <w:tmpl w:val="B0CC12D8"/>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8D6522A"/>
    <w:multiLevelType w:val="multilevel"/>
    <w:tmpl w:val="C0A05C5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2C211757"/>
    <w:multiLevelType w:val="hybridMultilevel"/>
    <w:tmpl w:val="19D8F7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34317490"/>
    <w:multiLevelType w:val="hybridMultilevel"/>
    <w:tmpl w:val="9244E622"/>
    <w:lvl w:ilvl="0" w:tplc="92BE0B36">
      <w:start w:val="1"/>
      <w:numFmt w:val="decimal"/>
      <w:lvlText w:val="%1."/>
      <w:lvlJc w:val="left"/>
      <w:pPr>
        <w:ind w:left="4613" w:hanging="360"/>
      </w:pPr>
      <w:rPr>
        <w:rFonts w:ascii="Palatino Linotype" w:hAnsi="Palatino Linotype" w:hint="default"/>
        <w:b/>
        <w:i w:val="0"/>
        <w:color w:val="auto"/>
        <w:sz w:val="24"/>
      </w:rPr>
    </w:lvl>
    <w:lvl w:ilvl="1" w:tplc="47FC0D3C">
      <w:start w:val="1"/>
      <w:numFmt w:val="upperRoman"/>
      <w:lvlText w:val="%2."/>
      <w:lvlJc w:val="left"/>
      <w:pPr>
        <w:ind w:left="1800" w:hanging="720"/>
      </w:pPr>
      <w:rPr>
        <w:rFonts w:ascii="Palatino Linotype" w:hAnsi="Palatino Linotype" w:hint="default"/>
        <w:b/>
        <w:color w:val="auto"/>
        <w:sz w:val="24"/>
      </w:rPr>
    </w:lvl>
    <w:lvl w:ilvl="2" w:tplc="080A001B">
      <w:start w:val="1"/>
      <w:numFmt w:val="lowerRoman"/>
      <w:lvlText w:val="%3."/>
      <w:lvlJc w:val="right"/>
      <w:pPr>
        <w:ind w:left="2160" w:hanging="180"/>
      </w:pPr>
    </w:lvl>
    <w:lvl w:ilvl="3" w:tplc="080A0017">
      <w:start w:val="1"/>
      <w:numFmt w:val="lowerLetter"/>
      <w:lvlText w:val="%4)"/>
      <w:lvlJc w:val="left"/>
      <w:pPr>
        <w:ind w:left="644" w:hanging="360"/>
      </w:pPr>
    </w:lvl>
    <w:lvl w:ilvl="4" w:tplc="080A0019">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4D208CF"/>
    <w:multiLevelType w:val="hybridMultilevel"/>
    <w:tmpl w:val="6466FCC6"/>
    <w:lvl w:ilvl="0" w:tplc="C8169A16">
      <w:start w:val="1"/>
      <w:numFmt w:val="bullet"/>
      <w:lvlText w:val=""/>
      <w:lvlJc w:val="left"/>
      <w:pPr>
        <w:ind w:left="720" w:hanging="360"/>
      </w:pPr>
      <w:rPr>
        <w:rFonts w:ascii="Symbol" w:hAnsi="Symbol" w:hint="default"/>
        <w:b/>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0" w15:restartNumberingAfterBreak="0">
    <w:nsid w:val="37562F9F"/>
    <w:multiLevelType w:val="hybridMultilevel"/>
    <w:tmpl w:val="8E46A9A8"/>
    <w:lvl w:ilvl="0" w:tplc="E3386776">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C0D0688"/>
    <w:multiLevelType w:val="multilevel"/>
    <w:tmpl w:val="8B84EA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3D287627"/>
    <w:multiLevelType w:val="multilevel"/>
    <w:tmpl w:val="1152F22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3DC040D1"/>
    <w:multiLevelType w:val="hybridMultilevel"/>
    <w:tmpl w:val="96001D2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3F3C26A0"/>
    <w:multiLevelType w:val="hybridMultilevel"/>
    <w:tmpl w:val="E18A27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3FA25E6F"/>
    <w:multiLevelType w:val="multilevel"/>
    <w:tmpl w:val="3C2AA2FA"/>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425B71D1"/>
    <w:multiLevelType w:val="hybridMultilevel"/>
    <w:tmpl w:val="632617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7414B0F"/>
    <w:multiLevelType w:val="hybridMultilevel"/>
    <w:tmpl w:val="AAA0360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48AE11EE"/>
    <w:multiLevelType w:val="multilevel"/>
    <w:tmpl w:val="1BCCDE56"/>
    <w:lvl w:ilvl="0">
      <w:start w:val="1"/>
      <w:numFmt w:val="bullet"/>
      <w:pStyle w:val="Listaconvietas"/>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3302F63"/>
    <w:multiLevelType w:val="multilevel"/>
    <w:tmpl w:val="5804031E"/>
    <w:lvl w:ilvl="0">
      <w:start w:val="1"/>
      <w:numFmt w:val="decimal"/>
      <w:pStyle w:val="Listaconvietas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5C834718"/>
    <w:multiLevelType w:val="hybridMultilevel"/>
    <w:tmpl w:val="66D0AB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3046A1F"/>
    <w:multiLevelType w:val="multilevel"/>
    <w:tmpl w:val="F320C90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633F2499"/>
    <w:multiLevelType w:val="hybridMultilevel"/>
    <w:tmpl w:val="9B4A0F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634634C4"/>
    <w:multiLevelType w:val="multilevel"/>
    <w:tmpl w:val="21E23444"/>
    <w:lvl w:ilvl="0">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6580326E"/>
    <w:multiLevelType w:val="multilevel"/>
    <w:tmpl w:val="D1648F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5DD11D7"/>
    <w:multiLevelType w:val="multilevel"/>
    <w:tmpl w:val="4CC2203A"/>
    <w:lvl w:ilvl="0">
      <w:start w:val="2"/>
      <w:numFmt w:val="bullet"/>
      <w:lvlText w:val="-"/>
      <w:lvlJc w:val="left"/>
      <w:pPr>
        <w:ind w:left="720" w:hanging="360"/>
      </w:pPr>
      <w:rPr>
        <w:rFonts w:ascii="Calibri" w:eastAsia="Calibri" w:hAnsi="Calibri" w:cs="Calibri"/>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6" w15:restartNumberingAfterBreak="0">
    <w:nsid w:val="660B049D"/>
    <w:multiLevelType w:val="hybridMultilevel"/>
    <w:tmpl w:val="5E8A37F6"/>
    <w:lvl w:ilvl="0" w:tplc="6B6ED7AC">
      <w:numFmt w:val="bullet"/>
      <w:lvlText w:val="-"/>
      <w:lvlJc w:val="left"/>
      <w:pPr>
        <w:ind w:left="720" w:hanging="360"/>
      </w:pPr>
      <w:rPr>
        <w:rFonts w:ascii="Palatino Linotype" w:eastAsia="Times New Roman" w:hAnsi="Palatino Linotype"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C0E1A61"/>
    <w:multiLevelType w:val="hybridMultilevel"/>
    <w:tmpl w:val="BFE66836"/>
    <w:lvl w:ilvl="0" w:tplc="080A0001">
      <w:start w:val="1"/>
      <w:numFmt w:val="bullet"/>
      <w:lvlText w:val=""/>
      <w:lvlJc w:val="left"/>
      <w:pPr>
        <w:ind w:left="720" w:hanging="360"/>
      </w:pPr>
      <w:rPr>
        <w:rFonts w:ascii="Symbol" w:hAnsi="Symbol" w:hint="default"/>
        <w:sz w:val="22"/>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E797130"/>
    <w:multiLevelType w:val="hybridMultilevel"/>
    <w:tmpl w:val="1574698C"/>
    <w:lvl w:ilvl="0" w:tplc="080A000F">
      <w:start w:val="1"/>
      <w:numFmt w:val="decimal"/>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9" w15:restartNumberingAfterBreak="0">
    <w:nsid w:val="6FF13EEA"/>
    <w:multiLevelType w:val="hybridMultilevel"/>
    <w:tmpl w:val="C5BE82B2"/>
    <w:lvl w:ilvl="0" w:tplc="080A0015">
      <w:start w:val="1"/>
      <w:numFmt w:val="upp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16C7D3F"/>
    <w:multiLevelType w:val="hybridMultilevel"/>
    <w:tmpl w:val="6B0E535E"/>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66C591C"/>
    <w:multiLevelType w:val="multilevel"/>
    <w:tmpl w:val="BBF4F5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79D412C2"/>
    <w:multiLevelType w:val="hybridMultilevel"/>
    <w:tmpl w:val="170EBC4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43" w15:restartNumberingAfterBreak="0">
    <w:nsid w:val="7B500AF4"/>
    <w:multiLevelType w:val="hybridMultilevel"/>
    <w:tmpl w:val="D2DA8B8C"/>
    <w:lvl w:ilvl="0" w:tplc="080A0017">
      <w:start w:val="1"/>
      <w:numFmt w:val="lowerLetter"/>
      <w:lvlText w:val="%1)"/>
      <w:lvlJc w:val="left"/>
      <w:pPr>
        <w:ind w:left="1287" w:hanging="360"/>
      </w:pPr>
      <w:rPr>
        <w:rFonts w:hint="default"/>
      </w:rPr>
    </w:lvl>
    <w:lvl w:ilvl="1" w:tplc="080A0003" w:tentative="1">
      <w:start w:val="1"/>
      <w:numFmt w:val="bullet"/>
      <w:lvlText w:val="o"/>
      <w:lvlJc w:val="left"/>
      <w:pPr>
        <w:ind w:left="2007" w:hanging="360"/>
      </w:pPr>
      <w:rPr>
        <w:rFonts w:ascii="Courier New" w:hAnsi="Courier New" w:cs="Courier New" w:hint="default"/>
      </w:rPr>
    </w:lvl>
    <w:lvl w:ilvl="2" w:tplc="080A0005" w:tentative="1">
      <w:start w:val="1"/>
      <w:numFmt w:val="bullet"/>
      <w:lvlText w:val=""/>
      <w:lvlJc w:val="left"/>
      <w:pPr>
        <w:ind w:left="2727" w:hanging="360"/>
      </w:pPr>
      <w:rPr>
        <w:rFonts w:ascii="Wingdings" w:hAnsi="Wingdings" w:hint="default"/>
      </w:rPr>
    </w:lvl>
    <w:lvl w:ilvl="3" w:tplc="080A0001" w:tentative="1">
      <w:start w:val="1"/>
      <w:numFmt w:val="bullet"/>
      <w:lvlText w:val=""/>
      <w:lvlJc w:val="left"/>
      <w:pPr>
        <w:ind w:left="3447" w:hanging="360"/>
      </w:pPr>
      <w:rPr>
        <w:rFonts w:ascii="Symbol" w:hAnsi="Symbol" w:hint="default"/>
      </w:rPr>
    </w:lvl>
    <w:lvl w:ilvl="4" w:tplc="080A0003" w:tentative="1">
      <w:start w:val="1"/>
      <w:numFmt w:val="bullet"/>
      <w:lvlText w:val="o"/>
      <w:lvlJc w:val="left"/>
      <w:pPr>
        <w:ind w:left="4167" w:hanging="360"/>
      </w:pPr>
      <w:rPr>
        <w:rFonts w:ascii="Courier New" w:hAnsi="Courier New" w:cs="Courier New" w:hint="default"/>
      </w:rPr>
    </w:lvl>
    <w:lvl w:ilvl="5" w:tplc="080A0005" w:tentative="1">
      <w:start w:val="1"/>
      <w:numFmt w:val="bullet"/>
      <w:lvlText w:val=""/>
      <w:lvlJc w:val="left"/>
      <w:pPr>
        <w:ind w:left="4887" w:hanging="360"/>
      </w:pPr>
      <w:rPr>
        <w:rFonts w:ascii="Wingdings" w:hAnsi="Wingdings" w:hint="default"/>
      </w:rPr>
    </w:lvl>
    <w:lvl w:ilvl="6" w:tplc="080A0001" w:tentative="1">
      <w:start w:val="1"/>
      <w:numFmt w:val="bullet"/>
      <w:lvlText w:val=""/>
      <w:lvlJc w:val="left"/>
      <w:pPr>
        <w:ind w:left="5607" w:hanging="360"/>
      </w:pPr>
      <w:rPr>
        <w:rFonts w:ascii="Symbol" w:hAnsi="Symbol" w:hint="default"/>
      </w:rPr>
    </w:lvl>
    <w:lvl w:ilvl="7" w:tplc="080A0003" w:tentative="1">
      <w:start w:val="1"/>
      <w:numFmt w:val="bullet"/>
      <w:lvlText w:val="o"/>
      <w:lvlJc w:val="left"/>
      <w:pPr>
        <w:ind w:left="6327" w:hanging="360"/>
      </w:pPr>
      <w:rPr>
        <w:rFonts w:ascii="Courier New" w:hAnsi="Courier New" w:cs="Courier New" w:hint="default"/>
      </w:rPr>
    </w:lvl>
    <w:lvl w:ilvl="8" w:tplc="080A0005" w:tentative="1">
      <w:start w:val="1"/>
      <w:numFmt w:val="bullet"/>
      <w:lvlText w:val=""/>
      <w:lvlJc w:val="left"/>
      <w:pPr>
        <w:ind w:left="7047" w:hanging="360"/>
      </w:pPr>
      <w:rPr>
        <w:rFonts w:ascii="Wingdings" w:hAnsi="Wingdings" w:hint="default"/>
      </w:rPr>
    </w:lvl>
  </w:abstractNum>
  <w:abstractNum w:abstractNumId="44" w15:restartNumberingAfterBreak="0">
    <w:nsid w:val="7C006997"/>
    <w:multiLevelType w:val="hybridMultilevel"/>
    <w:tmpl w:val="2CD8D1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15:restartNumberingAfterBreak="0">
    <w:nsid w:val="7D1315FE"/>
    <w:multiLevelType w:val="multilevel"/>
    <w:tmpl w:val="C8E232AE"/>
    <w:lvl w:ilvl="0">
      <w:start w:val="1"/>
      <w:numFmt w:val="lowerLetter"/>
      <w:lvlText w:val="%1)"/>
      <w:lvlJc w:val="left"/>
      <w:pPr>
        <w:ind w:left="644" w:hanging="359"/>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22"/>
  </w:num>
  <w:num w:numId="2">
    <w:abstractNumId w:val="21"/>
  </w:num>
  <w:num w:numId="3">
    <w:abstractNumId w:val="45"/>
  </w:num>
  <w:num w:numId="4">
    <w:abstractNumId w:val="35"/>
  </w:num>
  <w:num w:numId="5">
    <w:abstractNumId w:val="29"/>
  </w:num>
  <w:num w:numId="6">
    <w:abstractNumId w:val="37"/>
  </w:num>
  <w:num w:numId="7">
    <w:abstractNumId w:val="2"/>
  </w:num>
  <w:num w:numId="8">
    <w:abstractNumId w:val="30"/>
  </w:num>
  <w:num w:numId="9">
    <w:abstractNumId w:val="6"/>
  </w:num>
  <w:num w:numId="10">
    <w:abstractNumId w:val="40"/>
  </w:num>
  <w:num w:numId="11">
    <w:abstractNumId w:val="32"/>
  </w:num>
  <w:num w:numId="12">
    <w:abstractNumId w:val="18"/>
  </w:num>
  <w:num w:numId="13">
    <w:abstractNumId w:val="4"/>
  </w:num>
  <w:num w:numId="14">
    <w:abstractNumId w:val="43"/>
  </w:num>
  <w:num w:numId="15">
    <w:abstractNumId w:val="44"/>
  </w:num>
  <w:num w:numId="16">
    <w:abstractNumId w:val="33"/>
  </w:num>
  <w:num w:numId="17">
    <w:abstractNumId w:val="25"/>
  </w:num>
  <w:num w:numId="18">
    <w:abstractNumId w:val="1"/>
  </w:num>
  <w:num w:numId="19">
    <w:abstractNumId w:val="15"/>
  </w:num>
  <w:num w:numId="20">
    <w:abstractNumId w:val="13"/>
  </w:num>
  <w:num w:numId="21">
    <w:abstractNumId w:val="0"/>
  </w:num>
  <w:num w:numId="22">
    <w:abstractNumId w:val="38"/>
  </w:num>
  <w:num w:numId="23">
    <w:abstractNumId w:val="24"/>
  </w:num>
  <w:num w:numId="24">
    <w:abstractNumId w:val="27"/>
  </w:num>
  <w:num w:numId="25">
    <w:abstractNumId w:val="26"/>
  </w:num>
  <w:num w:numId="26">
    <w:abstractNumId w:val="20"/>
  </w:num>
  <w:num w:numId="27">
    <w:abstractNumId w:val="10"/>
  </w:num>
  <w:num w:numId="28">
    <w:abstractNumId w:val="17"/>
  </w:num>
  <w:num w:numId="29">
    <w:abstractNumId w:val="14"/>
  </w:num>
  <w:num w:numId="30">
    <w:abstractNumId w:val="16"/>
  </w:num>
  <w:num w:numId="31">
    <w:abstractNumId w:val="7"/>
  </w:num>
  <w:num w:numId="32">
    <w:abstractNumId w:val="12"/>
  </w:num>
  <w:num w:numId="33">
    <w:abstractNumId w:val="3"/>
  </w:num>
  <w:num w:numId="34">
    <w:abstractNumId w:val="39"/>
  </w:num>
  <w:num w:numId="35">
    <w:abstractNumId w:val="41"/>
  </w:num>
  <w:num w:numId="36">
    <w:abstractNumId w:val="31"/>
  </w:num>
  <w:num w:numId="37">
    <w:abstractNumId w:val="28"/>
  </w:num>
  <w:num w:numId="38">
    <w:abstractNumId w:val="36"/>
  </w:num>
  <w:num w:numId="39">
    <w:abstractNumId w:val="8"/>
  </w:num>
  <w:num w:numId="40">
    <w:abstractNumId w:val="42"/>
  </w:num>
  <w:num w:numId="41">
    <w:abstractNumId w:val="19"/>
  </w:num>
  <w:num w:numId="42">
    <w:abstractNumId w:val="23"/>
  </w:num>
  <w:num w:numId="43">
    <w:abstractNumId w:val="9"/>
  </w:num>
  <w:num w:numId="44">
    <w:abstractNumId w:val="34"/>
  </w:num>
  <w:num w:numId="45">
    <w:abstractNumId w:val="11"/>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2AF6"/>
    <w:rsid w:val="00000608"/>
    <w:rsid w:val="0000150F"/>
    <w:rsid w:val="00014020"/>
    <w:rsid w:val="00025710"/>
    <w:rsid w:val="000317C0"/>
    <w:rsid w:val="0003640A"/>
    <w:rsid w:val="00051703"/>
    <w:rsid w:val="00054C8F"/>
    <w:rsid w:val="00056A9D"/>
    <w:rsid w:val="000656AF"/>
    <w:rsid w:val="000709AF"/>
    <w:rsid w:val="0007184F"/>
    <w:rsid w:val="0007681E"/>
    <w:rsid w:val="000804F6"/>
    <w:rsid w:val="000849C2"/>
    <w:rsid w:val="00085294"/>
    <w:rsid w:val="00085C9F"/>
    <w:rsid w:val="000873AC"/>
    <w:rsid w:val="0009033C"/>
    <w:rsid w:val="0009129C"/>
    <w:rsid w:val="000C08F1"/>
    <w:rsid w:val="000C1EE6"/>
    <w:rsid w:val="000C4463"/>
    <w:rsid w:val="000C510F"/>
    <w:rsid w:val="000D6840"/>
    <w:rsid w:val="000E6E1B"/>
    <w:rsid w:val="000F0CA3"/>
    <w:rsid w:val="000F29F8"/>
    <w:rsid w:val="0010177C"/>
    <w:rsid w:val="001055C2"/>
    <w:rsid w:val="001069B1"/>
    <w:rsid w:val="00106F84"/>
    <w:rsid w:val="00110383"/>
    <w:rsid w:val="00113C35"/>
    <w:rsid w:val="001146E4"/>
    <w:rsid w:val="0012132D"/>
    <w:rsid w:val="00122F14"/>
    <w:rsid w:val="0012666F"/>
    <w:rsid w:val="001318F9"/>
    <w:rsid w:val="0014233B"/>
    <w:rsid w:val="00142826"/>
    <w:rsid w:val="0014314D"/>
    <w:rsid w:val="00146B67"/>
    <w:rsid w:val="001548C3"/>
    <w:rsid w:val="00155282"/>
    <w:rsid w:val="001624D4"/>
    <w:rsid w:val="00167D40"/>
    <w:rsid w:val="00170887"/>
    <w:rsid w:val="00176503"/>
    <w:rsid w:val="0017685E"/>
    <w:rsid w:val="001834A9"/>
    <w:rsid w:val="00190F95"/>
    <w:rsid w:val="0019489C"/>
    <w:rsid w:val="001A1CCE"/>
    <w:rsid w:val="001B1E04"/>
    <w:rsid w:val="001B5418"/>
    <w:rsid w:val="001B5846"/>
    <w:rsid w:val="001B62E4"/>
    <w:rsid w:val="001B7558"/>
    <w:rsid w:val="001C109B"/>
    <w:rsid w:val="001E021D"/>
    <w:rsid w:val="001E7890"/>
    <w:rsid w:val="002044E8"/>
    <w:rsid w:val="00205BA3"/>
    <w:rsid w:val="00207AC3"/>
    <w:rsid w:val="00207F1F"/>
    <w:rsid w:val="00215B21"/>
    <w:rsid w:val="002160C0"/>
    <w:rsid w:val="002177CF"/>
    <w:rsid w:val="0023013E"/>
    <w:rsid w:val="002360E1"/>
    <w:rsid w:val="002414BE"/>
    <w:rsid w:val="00250ACC"/>
    <w:rsid w:val="00252014"/>
    <w:rsid w:val="002535E9"/>
    <w:rsid w:val="00255DC2"/>
    <w:rsid w:val="00256D57"/>
    <w:rsid w:val="002619DF"/>
    <w:rsid w:val="00267BDD"/>
    <w:rsid w:val="002751F8"/>
    <w:rsid w:val="002827E8"/>
    <w:rsid w:val="002841E4"/>
    <w:rsid w:val="00286C79"/>
    <w:rsid w:val="0029035A"/>
    <w:rsid w:val="00291DC0"/>
    <w:rsid w:val="00293DB9"/>
    <w:rsid w:val="002940E1"/>
    <w:rsid w:val="0029612C"/>
    <w:rsid w:val="002A7BA3"/>
    <w:rsid w:val="002B5B0D"/>
    <w:rsid w:val="002C08AB"/>
    <w:rsid w:val="002C3C29"/>
    <w:rsid w:val="002C6E28"/>
    <w:rsid w:val="002C7602"/>
    <w:rsid w:val="002D0C1A"/>
    <w:rsid w:val="002D59AB"/>
    <w:rsid w:val="002E5EF0"/>
    <w:rsid w:val="002F0356"/>
    <w:rsid w:val="002F1313"/>
    <w:rsid w:val="002F229E"/>
    <w:rsid w:val="003038C3"/>
    <w:rsid w:val="003043D4"/>
    <w:rsid w:val="00312BA2"/>
    <w:rsid w:val="00313856"/>
    <w:rsid w:val="00317C52"/>
    <w:rsid w:val="00341110"/>
    <w:rsid w:val="00350BAF"/>
    <w:rsid w:val="00352D85"/>
    <w:rsid w:val="00360330"/>
    <w:rsid w:val="003612F0"/>
    <w:rsid w:val="00375A7D"/>
    <w:rsid w:val="00391891"/>
    <w:rsid w:val="0039338F"/>
    <w:rsid w:val="003A66ED"/>
    <w:rsid w:val="003C0F22"/>
    <w:rsid w:val="003C4C08"/>
    <w:rsid w:val="003D0C3D"/>
    <w:rsid w:val="003D5848"/>
    <w:rsid w:val="003E1B93"/>
    <w:rsid w:val="003E6BB6"/>
    <w:rsid w:val="003F0439"/>
    <w:rsid w:val="003F500C"/>
    <w:rsid w:val="004058E5"/>
    <w:rsid w:val="004075AF"/>
    <w:rsid w:val="004157A2"/>
    <w:rsid w:val="00422AF6"/>
    <w:rsid w:val="004259E4"/>
    <w:rsid w:val="00426C51"/>
    <w:rsid w:val="00432D0E"/>
    <w:rsid w:val="00442706"/>
    <w:rsid w:val="00443577"/>
    <w:rsid w:val="00447C41"/>
    <w:rsid w:val="00450DF7"/>
    <w:rsid w:val="00461BDF"/>
    <w:rsid w:val="00464620"/>
    <w:rsid w:val="004718C5"/>
    <w:rsid w:val="00476E1C"/>
    <w:rsid w:val="00485242"/>
    <w:rsid w:val="00485CA9"/>
    <w:rsid w:val="00494C60"/>
    <w:rsid w:val="004A1051"/>
    <w:rsid w:val="004B2EA4"/>
    <w:rsid w:val="004B5DBB"/>
    <w:rsid w:val="004B66D6"/>
    <w:rsid w:val="004C54A5"/>
    <w:rsid w:val="004C5C2B"/>
    <w:rsid w:val="004D0173"/>
    <w:rsid w:val="004D186A"/>
    <w:rsid w:val="004D754A"/>
    <w:rsid w:val="004E0C7B"/>
    <w:rsid w:val="004E0CAE"/>
    <w:rsid w:val="004E7911"/>
    <w:rsid w:val="004E7FF3"/>
    <w:rsid w:val="004F26BF"/>
    <w:rsid w:val="005008AC"/>
    <w:rsid w:val="00501A75"/>
    <w:rsid w:val="00564E17"/>
    <w:rsid w:val="00570473"/>
    <w:rsid w:val="005744DE"/>
    <w:rsid w:val="00577BF6"/>
    <w:rsid w:val="005842D0"/>
    <w:rsid w:val="00584AF5"/>
    <w:rsid w:val="00591707"/>
    <w:rsid w:val="005938DD"/>
    <w:rsid w:val="00594E95"/>
    <w:rsid w:val="00595396"/>
    <w:rsid w:val="005A1FBC"/>
    <w:rsid w:val="005B3916"/>
    <w:rsid w:val="005C64C3"/>
    <w:rsid w:val="005D201D"/>
    <w:rsid w:val="005D3A19"/>
    <w:rsid w:val="005E08A1"/>
    <w:rsid w:val="005F66A6"/>
    <w:rsid w:val="005F6991"/>
    <w:rsid w:val="00602DE7"/>
    <w:rsid w:val="00603C44"/>
    <w:rsid w:val="0063022F"/>
    <w:rsid w:val="006379D6"/>
    <w:rsid w:val="00641708"/>
    <w:rsid w:val="0064392B"/>
    <w:rsid w:val="00644DAC"/>
    <w:rsid w:val="00644DDB"/>
    <w:rsid w:val="00645DE2"/>
    <w:rsid w:val="00645DE5"/>
    <w:rsid w:val="00653524"/>
    <w:rsid w:val="00663C5A"/>
    <w:rsid w:val="0067296C"/>
    <w:rsid w:val="00681746"/>
    <w:rsid w:val="00684422"/>
    <w:rsid w:val="00686EFA"/>
    <w:rsid w:val="00687E30"/>
    <w:rsid w:val="00694076"/>
    <w:rsid w:val="00696D6E"/>
    <w:rsid w:val="0069784E"/>
    <w:rsid w:val="006A4FE0"/>
    <w:rsid w:val="006B7439"/>
    <w:rsid w:val="006C3063"/>
    <w:rsid w:val="006C680B"/>
    <w:rsid w:val="006D0402"/>
    <w:rsid w:val="006D069A"/>
    <w:rsid w:val="006D0725"/>
    <w:rsid w:val="006D55FD"/>
    <w:rsid w:val="006E46F2"/>
    <w:rsid w:val="006F462A"/>
    <w:rsid w:val="00712F32"/>
    <w:rsid w:val="00732307"/>
    <w:rsid w:val="007326B7"/>
    <w:rsid w:val="00735C6B"/>
    <w:rsid w:val="00767701"/>
    <w:rsid w:val="00767DE2"/>
    <w:rsid w:val="0077331F"/>
    <w:rsid w:val="007812EC"/>
    <w:rsid w:val="007818A4"/>
    <w:rsid w:val="007851C1"/>
    <w:rsid w:val="007868A7"/>
    <w:rsid w:val="0078769C"/>
    <w:rsid w:val="00793E42"/>
    <w:rsid w:val="007A1F68"/>
    <w:rsid w:val="007A3E1B"/>
    <w:rsid w:val="007B483B"/>
    <w:rsid w:val="007B48B5"/>
    <w:rsid w:val="007B5441"/>
    <w:rsid w:val="007C5BB8"/>
    <w:rsid w:val="007D7F0D"/>
    <w:rsid w:val="007E794E"/>
    <w:rsid w:val="007F747A"/>
    <w:rsid w:val="007F7E4E"/>
    <w:rsid w:val="00802E2D"/>
    <w:rsid w:val="00813594"/>
    <w:rsid w:val="00814617"/>
    <w:rsid w:val="00817859"/>
    <w:rsid w:val="0082107B"/>
    <w:rsid w:val="00825828"/>
    <w:rsid w:val="008318B1"/>
    <w:rsid w:val="00833B01"/>
    <w:rsid w:val="00835170"/>
    <w:rsid w:val="00840301"/>
    <w:rsid w:val="00851344"/>
    <w:rsid w:val="008553A7"/>
    <w:rsid w:val="00857AB7"/>
    <w:rsid w:val="0087368F"/>
    <w:rsid w:val="0088533A"/>
    <w:rsid w:val="008A17E4"/>
    <w:rsid w:val="008A1BF9"/>
    <w:rsid w:val="008A4450"/>
    <w:rsid w:val="008B51C0"/>
    <w:rsid w:val="008D237D"/>
    <w:rsid w:val="008D607E"/>
    <w:rsid w:val="008E068B"/>
    <w:rsid w:val="008F0EC3"/>
    <w:rsid w:val="008F2A0B"/>
    <w:rsid w:val="0090604E"/>
    <w:rsid w:val="00923BD9"/>
    <w:rsid w:val="00944F8C"/>
    <w:rsid w:val="009465AF"/>
    <w:rsid w:val="00956FEC"/>
    <w:rsid w:val="00961490"/>
    <w:rsid w:val="0096173F"/>
    <w:rsid w:val="009713D5"/>
    <w:rsid w:val="00976903"/>
    <w:rsid w:val="009943E1"/>
    <w:rsid w:val="009B2050"/>
    <w:rsid w:val="009C7B3C"/>
    <w:rsid w:val="009D4B6B"/>
    <w:rsid w:val="009D68F9"/>
    <w:rsid w:val="009D7D9D"/>
    <w:rsid w:val="009E27C7"/>
    <w:rsid w:val="009E43E0"/>
    <w:rsid w:val="009E4C02"/>
    <w:rsid w:val="009E5B2D"/>
    <w:rsid w:val="009F454D"/>
    <w:rsid w:val="00A03268"/>
    <w:rsid w:val="00A0433F"/>
    <w:rsid w:val="00A05857"/>
    <w:rsid w:val="00A21043"/>
    <w:rsid w:val="00A33A05"/>
    <w:rsid w:val="00A46C8B"/>
    <w:rsid w:val="00A553A2"/>
    <w:rsid w:val="00A74930"/>
    <w:rsid w:val="00A77768"/>
    <w:rsid w:val="00AA114E"/>
    <w:rsid w:val="00AA1CDE"/>
    <w:rsid w:val="00AA4F04"/>
    <w:rsid w:val="00AA5CCF"/>
    <w:rsid w:val="00AA5E65"/>
    <w:rsid w:val="00AB1FF7"/>
    <w:rsid w:val="00AC27CC"/>
    <w:rsid w:val="00AD1072"/>
    <w:rsid w:val="00AD4A28"/>
    <w:rsid w:val="00AE03DA"/>
    <w:rsid w:val="00AE7630"/>
    <w:rsid w:val="00B04AE3"/>
    <w:rsid w:val="00B101F0"/>
    <w:rsid w:val="00B14DFD"/>
    <w:rsid w:val="00B21CC9"/>
    <w:rsid w:val="00B24B07"/>
    <w:rsid w:val="00B27B95"/>
    <w:rsid w:val="00B56638"/>
    <w:rsid w:val="00B601D6"/>
    <w:rsid w:val="00B60DF1"/>
    <w:rsid w:val="00B62F80"/>
    <w:rsid w:val="00B672B6"/>
    <w:rsid w:val="00B67DC1"/>
    <w:rsid w:val="00B7372D"/>
    <w:rsid w:val="00B86C06"/>
    <w:rsid w:val="00B94935"/>
    <w:rsid w:val="00BB1A7A"/>
    <w:rsid w:val="00BB65F1"/>
    <w:rsid w:val="00BC26D6"/>
    <w:rsid w:val="00BC3E7A"/>
    <w:rsid w:val="00BC59DC"/>
    <w:rsid w:val="00BD37FA"/>
    <w:rsid w:val="00BF149E"/>
    <w:rsid w:val="00BF180E"/>
    <w:rsid w:val="00BF4E3E"/>
    <w:rsid w:val="00C0251E"/>
    <w:rsid w:val="00C06FC1"/>
    <w:rsid w:val="00C07CBC"/>
    <w:rsid w:val="00C10AD1"/>
    <w:rsid w:val="00C132AD"/>
    <w:rsid w:val="00C15B64"/>
    <w:rsid w:val="00C17999"/>
    <w:rsid w:val="00C33B66"/>
    <w:rsid w:val="00C372DF"/>
    <w:rsid w:val="00C41841"/>
    <w:rsid w:val="00C42A40"/>
    <w:rsid w:val="00C44A56"/>
    <w:rsid w:val="00C45E68"/>
    <w:rsid w:val="00C50360"/>
    <w:rsid w:val="00C52D17"/>
    <w:rsid w:val="00C63C2E"/>
    <w:rsid w:val="00C718CE"/>
    <w:rsid w:val="00C83DA4"/>
    <w:rsid w:val="00C84C09"/>
    <w:rsid w:val="00C863F0"/>
    <w:rsid w:val="00C877E8"/>
    <w:rsid w:val="00C954B2"/>
    <w:rsid w:val="00C9554A"/>
    <w:rsid w:val="00CA1A88"/>
    <w:rsid w:val="00CA3787"/>
    <w:rsid w:val="00CC0C77"/>
    <w:rsid w:val="00CC42BE"/>
    <w:rsid w:val="00CC6482"/>
    <w:rsid w:val="00CF29B7"/>
    <w:rsid w:val="00CF4675"/>
    <w:rsid w:val="00D00F27"/>
    <w:rsid w:val="00D12B14"/>
    <w:rsid w:val="00D14140"/>
    <w:rsid w:val="00D33DF9"/>
    <w:rsid w:val="00D47781"/>
    <w:rsid w:val="00D5069E"/>
    <w:rsid w:val="00D61860"/>
    <w:rsid w:val="00D6595E"/>
    <w:rsid w:val="00D7152A"/>
    <w:rsid w:val="00D86ABE"/>
    <w:rsid w:val="00D91F65"/>
    <w:rsid w:val="00DA0063"/>
    <w:rsid w:val="00DA1330"/>
    <w:rsid w:val="00DA65BF"/>
    <w:rsid w:val="00DB11A2"/>
    <w:rsid w:val="00DC5C74"/>
    <w:rsid w:val="00DD4939"/>
    <w:rsid w:val="00DD5479"/>
    <w:rsid w:val="00DE20E2"/>
    <w:rsid w:val="00DF43F1"/>
    <w:rsid w:val="00DF7E93"/>
    <w:rsid w:val="00E04B31"/>
    <w:rsid w:val="00E1200E"/>
    <w:rsid w:val="00E130A5"/>
    <w:rsid w:val="00E165B6"/>
    <w:rsid w:val="00E234F3"/>
    <w:rsid w:val="00E33D55"/>
    <w:rsid w:val="00E3722B"/>
    <w:rsid w:val="00E4088D"/>
    <w:rsid w:val="00E6083A"/>
    <w:rsid w:val="00E64DE0"/>
    <w:rsid w:val="00E66F70"/>
    <w:rsid w:val="00E70ADD"/>
    <w:rsid w:val="00E751DB"/>
    <w:rsid w:val="00E7583B"/>
    <w:rsid w:val="00E7651B"/>
    <w:rsid w:val="00E82806"/>
    <w:rsid w:val="00E8288F"/>
    <w:rsid w:val="00E830CF"/>
    <w:rsid w:val="00E854C8"/>
    <w:rsid w:val="00E971CE"/>
    <w:rsid w:val="00E97D6F"/>
    <w:rsid w:val="00EA1F3E"/>
    <w:rsid w:val="00EA4146"/>
    <w:rsid w:val="00EA6B80"/>
    <w:rsid w:val="00EB188A"/>
    <w:rsid w:val="00EB5D3C"/>
    <w:rsid w:val="00EC2FAC"/>
    <w:rsid w:val="00EC5D32"/>
    <w:rsid w:val="00EC6D62"/>
    <w:rsid w:val="00ED16F4"/>
    <w:rsid w:val="00EE2EB8"/>
    <w:rsid w:val="00EE3423"/>
    <w:rsid w:val="00EE4162"/>
    <w:rsid w:val="00EF03A8"/>
    <w:rsid w:val="00EF05C1"/>
    <w:rsid w:val="00EF580B"/>
    <w:rsid w:val="00F0248F"/>
    <w:rsid w:val="00F06653"/>
    <w:rsid w:val="00F114D0"/>
    <w:rsid w:val="00F20CD6"/>
    <w:rsid w:val="00F2195A"/>
    <w:rsid w:val="00F22384"/>
    <w:rsid w:val="00F244E5"/>
    <w:rsid w:val="00F34242"/>
    <w:rsid w:val="00F36DEA"/>
    <w:rsid w:val="00F569E4"/>
    <w:rsid w:val="00F6138D"/>
    <w:rsid w:val="00F65AC0"/>
    <w:rsid w:val="00F8173D"/>
    <w:rsid w:val="00F94CDD"/>
    <w:rsid w:val="00F95E0D"/>
    <w:rsid w:val="00F96BBB"/>
    <w:rsid w:val="00FA7039"/>
    <w:rsid w:val="00FB248D"/>
    <w:rsid w:val="00FC0385"/>
    <w:rsid w:val="00FE0BFB"/>
    <w:rsid w:val="00FE59DC"/>
    <w:rsid w:val="00FE5ABE"/>
    <w:rsid w:val="00FE7178"/>
    <w:rsid w:val="00FE7F51"/>
    <w:rsid w:val="00FF2C34"/>
    <w:rsid w:val="00FF5C28"/>
    <w:rsid w:val="00FF60C6"/>
    <w:rsid w:val="00FF6F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E2633"/>
  <w15:docId w15:val="{3912A0F5-CAB8-4693-BFF4-979D0A826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60330"/>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paragraph" w:styleId="Encabezado">
    <w:name w:val="header"/>
    <w:basedOn w:val="Normal"/>
    <w:link w:val="EncabezadoCar"/>
    <w:uiPriority w:val="99"/>
    <w:unhideWhenUsed/>
    <w:rsid w:val="00CD74AE"/>
    <w:pPr>
      <w:tabs>
        <w:tab w:val="center" w:pos="4419"/>
        <w:tab w:val="right" w:pos="8838"/>
      </w:tabs>
    </w:pPr>
  </w:style>
  <w:style w:type="character" w:customStyle="1" w:styleId="EncabezadoCar">
    <w:name w:val="Encabezado Car"/>
    <w:basedOn w:val="Fuentedeprrafopredeter"/>
    <w:link w:val="Encabezado"/>
    <w:uiPriority w:val="99"/>
    <w:rsid w:val="00CD74AE"/>
  </w:style>
  <w:style w:type="paragraph" w:styleId="Piedepgina">
    <w:name w:val="footer"/>
    <w:basedOn w:val="Normal"/>
    <w:link w:val="PiedepginaCar"/>
    <w:uiPriority w:val="99"/>
    <w:unhideWhenUsed/>
    <w:rsid w:val="00CD74AE"/>
    <w:pPr>
      <w:tabs>
        <w:tab w:val="center" w:pos="4419"/>
        <w:tab w:val="right" w:pos="8838"/>
      </w:tabs>
    </w:pPr>
  </w:style>
  <w:style w:type="character" w:customStyle="1" w:styleId="PiedepginaCar">
    <w:name w:val="Pie de página Car"/>
    <w:basedOn w:val="Fuentedeprrafopredeter"/>
    <w:link w:val="Piedepgina"/>
    <w:uiPriority w:val="99"/>
    <w:rsid w:val="00CD74AE"/>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CD74AE"/>
    <w:pPr>
      <w:ind w:left="720"/>
      <w:contextualSpacing/>
    </w:pPr>
  </w:style>
  <w:style w:type="character" w:styleId="Hipervnculo">
    <w:name w:val="Hyperlink"/>
    <w:aliases w:val="Hipervínculo1,Hipervínculo11,Hipervínculo12,Hipervínculo13,Hipervínculo14,Hipervínculo15"/>
    <w:basedOn w:val="Fuentedeprrafopredeter"/>
    <w:uiPriority w:val="99"/>
    <w:unhideWhenUsed/>
    <w:qFormat/>
    <w:rsid w:val="00CD74AE"/>
    <w:rPr>
      <w:color w:val="0563C1" w:themeColor="hyperlink"/>
      <w:u w:val="single"/>
    </w:rPr>
  </w:style>
  <w:style w:type="table" w:styleId="Tablaconcuadrcula">
    <w:name w:val="Table Grid"/>
    <w:basedOn w:val="Tablanormal"/>
    <w:uiPriority w:val="39"/>
    <w:rsid w:val="009C1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D2AA5"/>
    <w:pPr>
      <w:spacing w:before="100" w:beforeAutospacing="1" w:after="100" w:afterAutospacing="1"/>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3FE6"/>
  </w:style>
  <w:style w:type="table" w:customStyle="1" w:styleId="6">
    <w:name w:val="6"/>
    <w:basedOn w:val="TableNormal10"/>
    <w:tblPr>
      <w:tblStyleRowBandSize w:val="1"/>
      <w:tblStyleColBandSize w:val="1"/>
      <w:tblCellMar>
        <w:top w:w="15" w:type="dxa"/>
        <w:left w:w="15" w:type="dxa"/>
        <w:bottom w:w="15" w:type="dxa"/>
        <w:right w:w="15" w:type="dxa"/>
      </w:tblCellMar>
    </w:tblPr>
  </w:style>
  <w:style w:type="table" w:customStyle="1" w:styleId="5">
    <w:name w:val="5"/>
    <w:basedOn w:val="TableNormal10"/>
    <w:tblPr>
      <w:tblStyleRowBandSize w:val="1"/>
      <w:tblStyleColBandSize w:val="1"/>
      <w:tblCellMar>
        <w:left w:w="115" w:type="dxa"/>
        <w:right w:w="115" w:type="dxa"/>
      </w:tblCellMar>
    </w:tblPr>
  </w:style>
  <w:style w:type="table" w:customStyle="1" w:styleId="4">
    <w:name w:val="4"/>
    <w:basedOn w:val="TableNormal10"/>
    <w:tblPr>
      <w:tblStyleRowBandSize w:val="1"/>
      <w:tblStyleColBandSize w:val="1"/>
      <w:tblCellMar>
        <w:left w:w="115" w:type="dxa"/>
        <w:right w:w="115" w:type="dxa"/>
      </w:tblCellMar>
    </w:tblPr>
  </w:style>
  <w:style w:type="table" w:customStyle="1" w:styleId="3">
    <w:name w:val="3"/>
    <w:basedOn w:val="TableNormal10"/>
    <w:tblPr>
      <w:tblStyleRowBandSize w:val="1"/>
      <w:tblStyleColBandSize w:val="1"/>
      <w:tblCellMar>
        <w:top w:w="15" w:type="dxa"/>
        <w:left w:w="115" w:type="dxa"/>
        <w:bottom w:w="15" w:type="dxa"/>
        <w:right w:w="115" w:type="dxa"/>
      </w:tblCellMar>
    </w:tblPr>
  </w:style>
  <w:style w:type="table" w:customStyle="1" w:styleId="2">
    <w:name w:val="2"/>
    <w:basedOn w:val="TableNormal10"/>
    <w:tblPr>
      <w:tblStyleRowBandSize w:val="1"/>
      <w:tblStyleColBandSize w:val="1"/>
      <w:tblCellMar>
        <w:top w:w="15" w:type="dxa"/>
        <w:left w:w="115" w:type="dxa"/>
        <w:bottom w:w="15" w:type="dxa"/>
        <w:right w:w="115" w:type="dxa"/>
      </w:tblCellMar>
    </w:tblPr>
  </w:style>
  <w:style w:type="table" w:customStyle="1" w:styleId="1">
    <w:name w:val="1"/>
    <w:basedOn w:val="TableNormal10"/>
    <w:tblPr>
      <w:tblStyleRowBandSize w:val="1"/>
      <w:tblStyleColBandSize w:val="1"/>
      <w:tblCellMar>
        <w:top w:w="15" w:type="dxa"/>
        <w:left w:w="115" w:type="dxa"/>
        <w:bottom w:w="15" w:type="dxa"/>
        <w:right w:w="115" w:type="dxa"/>
      </w:tblCellMar>
    </w:tblPr>
  </w:style>
  <w:style w:type="character" w:customStyle="1" w:styleId="Mencinsinresolver1">
    <w:name w:val="Mención sin resolver1"/>
    <w:basedOn w:val="Fuentedeprrafopredeter"/>
    <w:uiPriority w:val="99"/>
    <w:semiHidden/>
    <w:unhideWhenUsed/>
    <w:rsid w:val="00B63FC6"/>
    <w:rPr>
      <w:color w:val="605E5C"/>
      <w:shd w:val="clear" w:color="auto" w:fill="E1DFDD"/>
    </w:rPr>
  </w:style>
  <w:style w:type="character" w:customStyle="1" w:styleId="Mencinsinresolver2">
    <w:name w:val="Mención sin resolver2"/>
    <w:basedOn w:val="Fuentedeprrafopredeter"/>
    <w:uiPriority w:val="99"/>
    <w:semiHidden/>
    <w:unhideWhenUsed/>
    <w:rsid w:val="00AC79ED"/>
    <w:rPr>
      <w:color w:val="605E5C"/>
      <w:shd w:val="clear" w:color="auto" w:fill="E1DFDD"/>
    </w:rPr>
  </w:style>
  <w:style w:type="paragraph" w:customStyle="1" w:styleId="Default">
    <w:name w:val="Default"/>
    <w:rsid w:val="00A27592"/>
    <w:pPr>
      <w:autoSpaceDE w:val="0"/>
      <w:autoSpaceDN w:val="0"/>
      <w:adjustRightInd w:val="0"/>
    </w:pPr>
    <w:rPr>
      <w:rFonts w:ascii="Arial" w:hAnsi="Arial" w:cs="Arial"/>
      <w:color w:val="000000"/>
    </w:rPr>
  </w:style>
  <w:style w:type="character" w:customStyle="1" w:styleId="normaltextrun">
    <w:name w:val="normaltextrun"/>
    <w:basedOn w:val="Fuentedeprrafopredeter"/>
    <w:rsid w:val="002F3C2D"/>
  </w:style>
  <w:style w:type="paragraph" w:styleId="Sinespaciado">
    <w:name w:val="No Spacing"/>
    <w:aliases w:val="Francesa,INAI"/>
    <w:link w:val="SinespaciadoCar"/>
    <w:uiPriority w:val="1"/>
    <w:qFormat/>
    <w:rsid w:val="00F01E4E"/>
    <w:rPr>
      <w:lang w:val="es-ES" w:eastAsia="es-ES"/>
    </w:rPr>
  </w:style>
  <w:style w:type="character" w:customStyle="1" w:styleId="SinespaciadoCar">
    <w:name w:val="Sin espaciado Car"/>
    <w:aliases w:val="Francesa Car,INAI Car"/>
    <w:link w:val="Sinespaciado"/>
    <w:uiPriority w:val="1"/>
    <w:locked/>
    <w:rsid w:val="00F01E4E"/>
    <w:rPr>
      <w:rFonts w:ascii="Times New Roman" w:eastAsia="Times New Roman" w:hAnsi="Times New Roman" w:cs="Times New Roman"/>
      <w:sz w:val="24"/>
      <w:szCs w:val="24"/>
      <w:lang w:val="es-ES" w:eastAsia="es-ES"/>
    </w:rPr>
  </w:style>
  <w:style w:type="table" w:customStyle="1" w:styleId="9">
    <w:name w:val="9"/>
    <w:basedOn w:val="TableNormal20"/>
    <w:tblPr>
      <w:tblStyleRowBandSize w:val="1"/>
      <w:tblStyleColBandSize w:val="1"/>
      <w:tblCellMar>
        <w:left w:w="108" w:type="dxa"/>
        <w:right w:w="108" w:type="dxa"/>
      </w:tblCellMar>
    </w:tblPr>
  </w:style>
  <w:style w:type="table" w:customStyle="1" w:styleId="8">
    <w:name w:val="8"/>
    <w:basedOn w:val="TableNormal20"/>
    <w:tblPr>
      <w:tblStyleRowBandSize w:val="1"/>
      <w:tblStyleColBandSize w:val="1"/>
      <w:tblCellMar>
        <w:top w:w="15" w:type="dxa"/>
        <w:left w:w="115" w:type="dxa"/>
        <w:bottom w:w="15" w:type="dxa"/>
        <w:right w:w="115" w:type="dxa"/>
      </w:tblCellMar>
    </w:tblPr>
  </w:style>
  <w:style w:type="table" w:customStyle="1" w:styleId="7">
    <w:name w:val="7"/>
    <w:basedOn w:val="TableNormal20"/>
    <w:tblPr>
      <w:tblStyleRowBandSize w:val="1"/>
      <w:tblStyleColBandSize w:val="1"/>
      <w:tblCellMar>
        <w:top w:w="15" w:type="dxa"/>
        <w:left w:w="115" w:type="dxa"/>
        <w:bottom w:w="15" w:type="dxa"/>
        <w:right w:w="115" w:type="dxa"/>
      </w:tblCellMar>
    </w:tblPr>
  </w:style>
  <w:style w:type="character" w:customStyle="1" w:styleId="Mencinsinresolver3">
    <w:name w:val="Mención sin resolver3"/>
    <w:basedOn w:val="Fuentedeprrafopredeter"/>
    <w:uiPriority w:val="99"/>
    <w:semiHidden/>
    <w:unhideWhenUsed/>
    <w:rsid w:val="00B91EC4"/>
    <w:rPr>
      <w:color w:val="605E5C"/>
      <w:shd w:val="clear" w:color="auto" w:fill="E1DFDD"/>
    </w:rPr>
  </w:style>
  <w:style w:type="character" w:styleId="Refdecomentario">
    <w:name w:val="annotation reference"/>
    <w:basedOn w:val="Fuentedeprrafopredeter"/>
    <w:uiPriority w:val="99"/>
    <w:semiHidden/>
    <w:unhideWhenUsed/>
    <w:rsid w:val="007266CA"/>
    <w:rPr>
      <w:sz w:val="16"/>
      <w:szCs w:val="16"/>
    </w:rPr>
  </w:style>
  <w:style w:type="paragraph" w:styleId="Textocomentario">
    <w:name w:val="annotation text"/>
    <w:basedOn w:val="Normal"/>
    <w:link w:val="TextocomentarioCar"/>
    <w:uiPriority w:val="99"/>
    <w:semiHidden/>
    <w:unhideWhenUsed/>
    <w:rsid w:val="007266CA"/>
    <w:rPr>
      <w:sz w:val="20"/>
      <w:szCs w:val="20"/>
    </w:rPr>
  </w:style>
  <w:style w:type="character" w:customStyle="1" w:styleId="TextocomentarioCar">
    <w:name w:val="Texto comentario Car"/>
    <w:basedOn w:val="Fuentedeprrafopredeter"/>
    <w:link w:val="Textocomentario"/>
    <w:uiPriority w:val="99"/>
    <w:semiHidden/>
    <w:rsid w:val="007266CA"/>
    <w:rPr>
      <w:rFonts w:eastAsia="Times New Roman" w:cs="Times New Roman"/>
      <w:sz w:val="20"/>
      <w:szCs w:val="20"/>
      <w:lang w:eastAsia="en-US"/>
    </w:rPr>
  </w:style>
  <w:style w:type="paragraph" w:styleId="Asuntodelcomentario">
    <w:name w:val="annotation subject"/>
    <w:basedOn w:val="Textocomentario"/>
    <w:next w:val="Textocomentario"/>
    <w:link w:val="AsuntodelcomentarioCar"/>
    <w:uiPriority w:val="99"/>
    <w:semiHidden/>
    <w:unhideWhenUsed/>
    <w:rsid w:val="007266CA"/>
    <w:rPr>
      <w:b/>
      <w:bCs/>
    </w:rPr>
  </w:style>
  <w:style w:type="character" w:customStyle="1" w:styleId="AsuntodelcomentarioCar">
    <w:name w:val="Asunto del comentario Car"/>
    <w:basedOn w:val="TextocomentarioCar"/>
    <w:link w:val="Asuntodelcomentario"/>
    <w:uiPriority w:val="99"/>
    <w:semiHidden/>
    <w:rsid w:val="007266CA"/>
    <w:rPr>
      <w:rFonts w:eastAsia="Times New Roman" w:cs="Times New Roman"/>
      <w:b/>
      <w:bCs/>
      <w:sz w:val="20"/>
      <w:szCs w:val="20"/>
      <w:lang w:eastAsia="en-US"/>
    </w:rPr>
  </w:style>
  <w:style w:type="character" w:styleId="Textodelmarcadordeposicin">
    <w:name w:val="Placeholder Text"/>
    <w:basedOn w:val="Fuentedeprrafopredeter"/>
    <w:uiPriority w:val="99"/>
    <w:semiHidden/>
    <w:rsid w:val="007266CA"/>
    <w:rPr>
      <w:color w:val="808080"/>
    </w:rPr>
  </w:style>
  <w:style w:type="character" w:styleId="Hipervnculovisitado">
    <w:name w:val="FollowedHyperlink"/>
    <w:basedOn w:val="Fuentedeprrafopredeter"/>
    <w:uiPriority w:val="99"/>
    <w:semiHidden/>
    <w:unhideWhenUsed/>
    <w:rsid w:val="00FC1F2B"/>
    <w:rPr>
      <w:color w:val="954F72" w:themeColor="followed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C1F2B"/>
    <w:rPr>
      <w:rFonts w:asciiTheme="minorHAnsi" w:eastAsiaTheme="minorHAnsi" w:hAnsiTheme="minorHAnsi" w:cstheme="minorBidi"/>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C1F2B"/>
    <w:rPr>
      <w:rFonts w:asciiTheme="minorHAnsi" w:eastAsiaTheme="minorHAnsi" w:hAnsiTheme="minorHAnsi" w:cstheme="minorBidi"/>
      <w:sz w:val="20"/>
      <w:szCs w:val="20"/>
      <w:lang w:eastAsia="en-U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FC1F2B"/>
    <w:rPr>
      <w:vertAlign w:val="superscript"/>
    </w:rPr>
  </w:style>
  <w:style w:type="character" w:customStyle="1" w:styleId="PuestoCar">
    <w:name w:val="Puesto Car"/>
    <w:aliases w:val="Cita textual Car"/>
    <w:basedOn w:val="Fuentedeprrafopredeter"/>
    <w:uiPriority w:val="10"/>
    <w:rsid w:val="00EC101D"/>
    <w:rPr>
      <w:rFonts w:eastAsia="Times New Roman" w:cs="Times New Roman"/>
      <w:b/>
      <w:sz w:val="72"/>
      <w:szCs w:val="72"/>
      <w:lang w:eastAsia="en-US"/>
    </w:rPr>
  </w:style>
  <w:style w:type="table" w:customStyle="1" w:styleId="Tablanormal11">
    <w:name w:val="Tabla normal 11"/>
    <w:basedOn w:val="Tablanormal"/>
    <w:uiPriority w:val="41"/>
    <w:rsid w:val="009A0A8D"/>
    <w:rPr>
      <w:rFonts w:asciiTheme="minorHAnsi" w:eastAsiaTheme="minorHAnsi" w:hAnsiTheme="minorHAnsi" w:cstheme="minorBidi"/>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a">
    <w:basedOn w:val="TableNormal3"/>
    <w:tblPr>
      <w:tblStyleRowBandSize w:val="1"/>
      <w:tblStyleColBandSize w:val="1"/>
      <w:tblCellMar>
        <w:left w:w="115" w:type="dxa"/>
        <w:right w:w="115" w:type="dxa"/>
      </w:tblCellMar>
    </w:tblPr>
  </w:style>
  <w:style w:type="table" w:customStyle="1" w:styleId="a0">
    <w:basedOn w:val="TableNormal3"/>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3"/>
    <w:tblPr>
      <w:tblStyleRowBandSize w:val="1"/>
      <w:tblStyleColBandSize w:val="1"/>
      <w:tblCellMar>
        <w:top w:w="15" w:type="dxa"/>
        <w:left w:w="115" w:type="dxa"/>
        <w:bottom w:w="15" w:type="dxa"/>
        <w:right w:w="115" w:type="dxa"/>
      </w:tblCellMar>
    </w:tblPr>
  </w:style>
  <w:style w:type="table" w:customStyle="1" w:styleId="a4">
    <w:basedOn w:val="TableNormal3"/>
    <w:tblPr>
      <w:tblStyleRowBandSize w:val="1"/>
      <w:tblStyleColBandSize w:val="1"/>
      <w:tblCellMar>
        <w:top w:w="15" w:type="dxa"/>
        <w:left w:w="115" w:type="dxa"/>
        <w:bottom w:w="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2"/>
    <w:tblPr>
      <w:tblStyleRowBandSize w:val="1"/>
      <w:tblStyleColBandSize w:val="1"/>
      <w:tblCellMar>
        <w:left w:w="115" w:type="dxa"/>
        <w:right w:w="115" w:type="dxa"/>
      </w:tblCellMar>
    </w:tblPr>
  </w:style>
  <w:style w:type="table" w:customStyle="1" w:styleId="a9">
    <w:basedOn w:val="TableNormal2"/>
    <w:tblPr>
      <w:tblStyleRowBandSize w:val="1"/>
      <w:tblStyleColBandSize w:val="1"/>
      <w:tblCellMar>
        <w:top w:w="15" w:type="dxa"/>
        <w:left w:w="115" w:type="dxa"/>
        <w:bottom w:w="15" w:type="dxa"/>
        <w:right w:w="115" w:type="dxa"/>
      </w:tblCellMar>
    </w:tblPr>
  </w:style>
  <w:style w:type="table" w:customStyle="1" w:styleId="aa">
    <w:basedOn w:val="TableNormal2"/>
    <w:tblPr>
      <w:tblStyleRowBandSize w:val="1"/>
      <w:tblStyleColBandSize w:val="1"/>
      <w:tblCellMar>
        <w:top w:w="15" w:type="dxa"/>
        <w:left w:w="115" w:type="dxa"/>
        <w:bottom w:w="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table" w:customStyle="1" w:styleId="ad">
    <w:basedOn w:val="TableNormal1"/>
    <w:tblPr>
      <w:tblStyleRowBandSize w:val="1"/>
      <w:tblStyleColBandSize w:val="1"/>
      <w:tblCellMar>
        <w:left w:w="115" w:type="dxa"/>
        <w:right w:w="115" w:type="dxa"/>
      </w:tblCellMar>
    </w:tblPr>
  </w:style>
  <w:style w:type="table" w:customStyle="1" w:styleId="ae">
    <w:basedOn w:val="TableNormal1"/>
    <w:tblPr>
      <w:tblStyleRowBandSize w:val="1"/>
      <w:tblStyleColBandSize w:val="1"/>
      <w:tblCellMar>
        <w:left w:w="115" w:type="dxa"/>
        <w:right w:w="115" w:type="dxa"/>
      </w:tblCellMar>
    </w:tblPr>
  </w:style>
  <w:style w:type="table" w:customStyle="1" w:styleId="af">
    <w:basedOn w:val="TableNormal1"/>
    <w:tblPr>
      <w:tblStyleRowBandSize w:val="1"/>
      <w:tblStyleColBandSize w:val="1"/>
      <w:tblCellMar>
        <w:left w:w="108" w:type="dxa"/>
        <w:right w:w="108" w:type="dxa"/>
      </w:tblCellMar>
    </w:tblPr>
  </w:style>
  <w:style w:type="table" w:customStyle="1" w:styleId="af0">
    <w:basedOn w:val="TableNormal1"/>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top w:w="15" w:type="dxa"/>
        <w:left w:w="115" w:type="dxa"/>
        <w:bottom w:w="15" w:type="dxa"/>
        <w:right w:w="115" w:type="dxa"/>
      </w:tblCellMar>
    </w:tblPr>
  </w:style>
  <w:style w:type="table" w:customStyle="1" w:styleId="af2">
    <w:basedOn w:val="TableNormal1"/>
    <w:tblPr>
      <w:tblStyleRowBandSize w:val="1"/>
      <w:tblStyleColBandSize w:val="1"/>
      <w:tblCellMar>
        <w:top w:w="15" w:type="dxa"/>
        <w:left w:w="115" w:type="dxa"/>
        <w:bottom w:w="15" w:type="dxa"/>
        <w:right w:w="115" w:type="dxa"/>
      </w:tblCellMar>
    </w:tblPr>
  </w:style>
  <w:style w:type="character" w:styleId="Textoennegrita">
    <w:name w:val="Strong"/>
    <w:basedOn w:val="Fuentedeprrafopredeter"/>
    <w:uiPriority w:val="22"/>
    <w:qFormat/>
    <w:rsid w:val="00AC6527"/>
    <w:rPr>
      <w:b/>
      <w:bCs/>
    </w:rPr>
  </w:style>
  <w:style w:type="character" w:customStyle="1" w:styleId="apple-tab-span">
    <w:name w:val="apple-tab-span"/>
    <w:basedOn w:val="Fuentedeprrafopredeter"/>
    <w:rsid w:val="00EB58F7"/>
  </w:style>
  <w:style w:type="paragraph" w:styleId="Listaconvietas3">
    <w:name w:val="List Bullet 3"/>
    <w:basedOn w:val="Normal"/>
    <w:uiPriority w:val="99"/>
    <w:unhideWhenUsed/>
    <w:rsid w:val="00AF720B"/>
    <w:pPr>
      <w:numPr>
        <w:numId w:val="5"/>
      </w:numPr>
      <w:contextualSpacing/>
    </w:p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f3">
    <w:basedOn w:val="TableNormal0"/>
    <w:tblPr>
      <w:tblStyleRowBandSize w:val="1"/>
      <w:tblStyleColBandSize w:val="1"/>
      <w:tblCellMar>
        <w:left w:w="115" w:type="dxa"/>
        <w:right w:w="115" w:type="dxa"/>
      </w:tblCellMar>
    </w:tblPr>
  </w:style>
  <w:style w:type="table" w:customStyle="1" w:styleId="af4">
    <w:basedOn w:val="TableNormal0"/>
    <w:tblPr>
      <w:tblStyleRowBandSize w:val="1"/>
      <w:tblStyleColBandSize w:val="1"/>
      <w:tblCellMar>
        <w:top w:w="15" w:type="dxa"/>
        <w:left w:w="115" w:type="dxa"/>
        <w:bottom w:w="15" w:type="dxa"/>
        <w:right w:w="115" w:type="dxa"/>
      </w:tblCellMar>
    </w:tblPr>
  </w:style>
  <w:style w:type="table" w:customStyle="1" w:styleId="af5">
    <w:basedOn w:val="TableNormal0"/>
    <w:tblPr>
      <w:tblStyleRowBandSize w:val="1"/>
      <w:tblStyleColBandSize w:val="1"/>
      <w:tblCellMar>
        <w:top w:w="15" w:type="dxa"/>
        <w:left w:w="115" w:type="dxa"/>
        <w:bottom w:w="15" w:type="dxa"/>
        <w:right w:w="115" w:type="dxa"/>
      </w:tblCellMar>
    </w:tblPr>
  </w:style>
  <w:style w:type="paragraph" w:styleId="Listaconvietas">
    <w:name w:val="List Bullet"/>
    <w:basedOn w:val="Normal"/>
    <w:uiPriority w:val="99"/>
    <w:unhideWhenUsed/>
    <w:rsid w:val="00E97D6F"/>
    <w:pPr>
      <w:numPr>
        <w:numId w:val="37"/>
      </w:numPr>
      <w:contextualSpacing/>
    </w:pPr>
    <w:rPr>
      <w:lang w:val="es-ES"/>
    </w:rPr>
  </w:style>
  <w:style w:type="character" w:customStyle="1" w:styleId="Mencinsinresolver4">
    <w:name w:val="Mención sin resolver4"/>
    <w:basedOn w:val="Fuentedeprrafopredeter"/>
    <w:uiPriority w:val="99"/>
    <w:semiHidden/>
    <w:unhideWhenUsed/>
    <w:rsid w:val="00E8288F"/>
    <w:rPr>
      <w:color w:val="605E5C"/>
      <w:shd w:val="clear" w:color="auto" w:fill="E1DFDD"/>
    </w:rPr>
  </w:style>
  <w:style w:type="paragraph" w:customStyle="1" w:styleId="xgmail-msonormal">
    <w:name w:val="x_gmail-msonormal"/>
    <w:basedOn w:val="Normal"/>
    <w:rsid w:val="009B2050"/>
    <w:pPr>
      <w:spacing w:before="100" w:beforeAutospacing="1" w:after="100" w:afterAutospacing="1"/>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7508">
      <w:bodyDiv w:val="1"/>
      <w:marLeft w:val="0"/>
      <w:marRight w:val="0"/>
      <w:marTop w:val="0"/>
      <w:marBottom w:val="0"/>
      <w:divBdr>
        <w:top w:val="none" w:sz="0" w:space="0" w:color="auto"/>
        <w:left w:val="none" w:sz="0" w:space="0" w:color="auto"/>
        <w:bottom w:val="none" w:sz="0" w:space="0" w:color="auto"/>
        <w:right w:val="none" w:sz="0" w:space="0" w:color="auto"/>
      </w:divBdr>
    </w:div>
    <w:div w:id="31002409">
      <w:bodyDiv w:val="1"/>
      <w:marLeft w:val="0"/>
      <w:marRight w:val="0"/>
      <w:marTop w:val="0"/>
      <w:marBottom w:val="0"/>
      <w:divBdr>
        <w:top w:val="none" w:sz="0" w:space="0" w:color="auto"/>
        <w:left w:val="none" w:sz="0" w:space="0" w:color="auto"/>
        <w:bottom w:val="none" w:sz="0" w:space="0" w:color="auto"/>
        <w:right w:val="none" w:sz="0" w:space="0" w:color="auto"/>
      </w:divBdr>
    </w:div>
    <w:div w:id="127281228">
      <w:bodyDiv w:val="1"/>
      <w:marLeft w:val="0"/>
      <w:marRight w:val="0"/>
      <w:marTop w:val="0"/>
      <w:marBottom w:val="0"/>
      <w:divBdr>
        <w:top w:val="none" w:sz="0" w:space="0" w:color="auto"/>
        <w:left w:val="none" w:sz="0" w:space="0" w:color="auto"/>
        <w:bottom w:val="none" w:sz="0" w:space="0" w:color="auto"/>
        <w:right w:val="none" w:sz="0" w:space="0" w:color="auto"/>
      </w:divBdr>
    </w:div>
    <w:div w:id="159007955">
      <w:bodyDiv w:val="1"/>
      <w:marLeft w:val="0"/>
      <w:marRight w:val="0"/>
      <w:marTop w:val="0"/>
      <w:marBottom w:val="0"/>
      <w:divBdr>
        <w:top w:val="none" w:sz="0" w:space="0" w:color="auto"/>
        <w:left w:val="none" w:sz="0" w:space="0" w:color="auto"/>
        <w:bottom w:val="none" w:sz="0" w:space="0" w:color="auto"/>
        <w:right w:val="none" w:sz="0" w:space="0" w:color="auto"/>
      </w:divBdr>
    </w:div>
    <w:div w:id="209388327">
      <w:bodyDiv w:val="1"/>
      <w:marLeft w:val="0"/>
      <w:marRight w:val="0"/>
      <w:marTop w:val="0"/>
      <w:marBottom w:val="0"/>
      <w:divBdr>
        <w:top w:val="none" w:sz="0" w:space="0" w:color="auto"/>
        <w:left w:val="none" w:sz="0" w:space="0" w:color="auto"/>
        <w:bottom w:val="none" w:sz="0" w:space="0" w:color="auto"/>
        <w:right w:val="none" w:sz="0" w:space="0" w:color="auto"/>
      </w:divBdr>
      <w:divsChild>
        <w:div w:id="831069968">
          <w:marLeft w:val="2008"/>
          <w:marRight w:val="899"/>
          <w:marTop w:val="0"/>
          <w:marBottom w:val="101"/>
          <w:divBdr>
            <w:top w:val="none" w:sz="0" w:space="0" w:color="auto"/>
            <w:left w:val="none" w:sz="0" w:space="0" w:color="auto"/>
            <w:bottom w:val="none" w:sz="0" w:space="0" w:color="auto"/>
            <w:right w:val="none" w:sz="0" w:space="0" w:color="auto"/>
          </w:divBdr>
        </w:div>
        <w:div w:id="937907235">
          <w:marLeft w:val="142"/>
          <w:marRight w:val="0"/>
          <w:marTop w:val="0"/>
          <w:marBottom w:val="101"/>
          <w:divBdr>
            <w:top w:val="none" w:sz="0" w:space="0" w:color="auto"/>
            <w:left w:val="none" w:sz="0" w:space="0" w:color="auto"/>
            <w:bottom w:val="none" w:sz="0" w:space="0" w:color="auto"/>
            <w:right w:val="none" w:sz="0" w:space="0" w:color="auto"/>
          </w:divBdr>
        </w:div>
        <w:div w:id="1678117466">
          <w:marLeft w:val="142"/>
          <w:marRight w:val="0"/>
          <w:marTop w:val="0"/>
          <w:marBottom w:val="101"/>
          <w:divBdr>
            <w:top w:val="none" w:sz="0" w:space="0" w:color="auto"/>
            <w:left w:val="none" w:sz="0" w:space="0" w:color="auto"/>
            <w:bottom w:val="none" w:sz="0" w:space="0" w:color="auto"/>
            <w:right w:val="none" w:sz="0" w:space="0" w:color="auto"/>
          </w:divBdr>
        </w:div>
        <w:div w:id="922689946">
          <w:marLeft w:val="1134"/>
          <w:marRight w:val="0"/>
          <w:marTop w:val="0"/>
          <w:marBottom w:val="101"/>
          <w:divBdr>
            <w:top w:val="none" w:sz="0" w:space="0" w:color="auto"/>
            <w:left w:val="none" w:sz="0" w:space="0" w:color="auto"/>
            <w:bottom w:val="none" w:sz="0" w:space="0" w:color="auto"/>
            <w:right w:val="none" w:sz="0" w:space="0" w:color="auto"/>
          </w:divBdr>
        </w:div>
        <w:div w:id="717438264">
          <w:marLeft w:val="1134"/>
          <w:marRight w:val="0"/>
          <w:marTop w:val="0"/>
          <w:marBottom w:val="90"/>
          <w:divBdr>
            <w:top w:val="none" w:sz="0" w:space="0" w:color="auto"/>
            <w:left w:val="none" w:sz="0" w:space="0" w:color="auto"/>
            <w:bottom w:val="none" w:sz="0" w:space="0" w:color="auto"/>
            <w:right w:val="none" w:sz="0" w:space="0" w:color="auto"/>
          </w:divBdr>
        </w:div>
        <w:div w:id="361058649">
          <w:marLeft w:val="1134"/>
          <w:marRight w:val="0"/>
          <w:marTop w:val="0"/>
          <w:marBottom w:val="90"/>
          <w:divBdr>
            <w:top w:val="none" w:sz="0" w:space="0" w:color="auto"/>
            <w:left w:val="none" w:sz="0" w:space="0" w:color="auto"/>
            <w:bottom w:val="none" w:sz="0" w:space="0" w:color="auto"/>
            <w:right w:val="none" w:sz="0" w:space="0" w:color="auto"/>
          </w:divBdr>
        </w:div>
        <w:div w:id="1498837083">
          <w:marLeft w:val="1134"/>
          <w:marRight w:val="0"/>
          <w:marTop w:val="0"/>
          <w:marBottom w:val="90"/>
          <w:divBdr>
            <w:top w:val="none" w:sz="0" w:space="0" w:color="auto"/>
            <w:left w:val="none" w:sz="0" w:space="0" w:color="auto"/>
            <w:bottom w:val="none" w:sz="0" w:space="0" w:color="auto"/>
            <w:right w:val="none" w:sz="0" w:space="0" w:color="auto"/>
          </w:divBdr>
        </w:div>
        <w:div w:id="1873807354">
          <w:marLeft w:val="1134"/>
          <w:marRight w:val="0"/>
          <w:marTop w:val="0"/>
          <w:marBottom w:val="90"/>
          <w:divBdr>
            <w:top w:val="none" w:sz="0" w:space="0" w:color="auto"/>
            <w:left w:val="none" w:sz="0" w:space="0" w:color="auto"/>
            <w:bottom w:val="none" w:sz="0" w:space="0" w:color="auto"/>
            <w:right w:val="none" w:sz="0" w:space="0" w:color="auto"/>
          </w:divBdr>
        </w:div>
        <w:div w:id="2118330463">
          <w:marLeft w:val="1134"/>
          <w:marRight w:val="0"/>
          <w:marTop w:val="0"/>
          <w:marBottom w:val="90"/>
          <w:divBdr>
            <w:top w:val="none" w:sz="0" w:space="0" w:color="auto"/>
            <w:left w:val="none" w:sz="0" w:space="0" w:color="auto"/>
            <w:bottom w:val="none" w:sz="0" w:space="0" w:color="auto"/>
            <w:right w:val="none" w:sz="0" w:space="0" w:color="auto"/>
          </w:divBdr>
        </w:div>
        <w:div w:id="1776057233">
          <w:marLeft w:val="0"/>
          <w:marRight w:val="0"/>
          <w:marTop w:val="0"/>
          <w:marBottom w:val="90"/>
          <w:divBdr>
            <w:top w:val="none" w:sz="0" w:space="0" w:color="auto"/>
            <w:left w:val="none" w:sz="0" w:space="0" w:color="auto"/>
            <w:bottom w:val="none" w:sz="0" w:space="0" w:color="auto"/>
            <w:right w:val="none" w:sz="0" w:space="0" w:color="auto"/>
          </w:divBdr>
        </w:div>
        <w:div w:id="625046997">
          <w:marLeft w:val="0"/>
          <w:marRight w:val="0"/>
          <w:marTop w:val="0"/>
          <w:marBottom w:val="90"/>
          <w:divBdr>
            <w:top w:val="none" w:sz="0" w:space="0" w:color="auto"/>
            <w:left w:val="none" w:sz="0" w:space="0" w:color="auto"/>
            <w:bottom w:val="none" w:sz="0" w:space="0" w:color="auto"/>
            <w:right w:val="none" w:sz="0" w:space="0" w:color="auto"/>
          </w:divBdr>
        </w:div>
        <w:div w:id="132993266">
          <w:marLeft w:val="0"/>
          <w:marRight w:val="0"/>
          <w:marTop w:val="0"/>
          <w:marBottom w:val="90"/>
          <w:divBdr>
            <w:top w:val="none" w:sz="0" w:space="0" w:color="auto"/>
            <w:left w:val="none" w:sz="0" w:space="0" w:color="auto"/>
            <w:bottom w:val="none" w:sz="0" w:space="0" w:color="auto"/>
            <w:right w:val="none" w:sz="0" w:space="0" w:color="auto"/>
          </w:divBdr>
        </w:div>
        <w:div w:id="62333474">
          <w:marLeft w:val="0"/>
          <w:marRight w:val="0"/>
          <w:marTop w:val="0"/>
          <w:marBottom w:val="90"/>
          <w:divBdr>
            <w:top w:val="none" w:sz="0" w:space="0" w:color="auto"/>
            <w:left w:val="none" w:sz="0" w:space="0" w:color="auto"/>
            <w:bottom w:val="none" w:sz="0" w:space="0" w:color="auto"/>
            <w:right w:val="none" w:sz="0" w:space="0" w:color="auto"/>
          </w:divBdr>
        </w:div>
        <w:div w:id="2107578680">
          <w:marLeft w:val="0"/>
          <w:marRight w:val="0"/>
          <w:marTop w:val="0"/>
          <w:marBottom w:val="90"/>
          <w:divBdr>
            <w:top w:val="none" w:sz="0" w:space="0" w:color="auto"/>
            <w:left w:val="none" w:sz="0" w:space="0" w:color="auto"/>
            <w:bottom w:val="none" w:sz="0" w:space="0" w:color="auto"/>
            <w:right w:val="none" w:sz="0" w:space="0" w:color="auto"/>
          </w:divBdr>
        </w:div>
        <w:div w:id="384765357">
          <w:marLeft w:val="0"/>
          <w:marRight w:val="0"/>
          <w:marTop w:val="0"/>
          <w:marBottom w:val="90"/>
          <w:divBdr>
            <w:top w:val="none" w:sz="0" w:space="0" w:color="auto"/>
            <w:left w:val="none" w:sz="0" w:space="0" w:color="auto"/>
            <w:bottom w:val="none" w:sz="0" w:space="0" w:color="auto"/>
            <w:right w:val="none" w:sz="0" w:space="0" w:color="auto"/>
          </w:divBdr>
        </w:div>
        <w:div w:id="1156459453">
          <w:marLeft w:val="0"/>
          <w:marRight w:val="0"/>
          <w:marTop w:val="0"/>
          <w:marBottom w:val="90"/>
          <w:divBdr>
            <w:top w:val="none" w:sz="0" w:space="0" w:color="auto"/>
            <w:left w:val="none" w:sz="0" w:space="0" w:color="auto"/>
            <w:bottom w:val="none" w:sz="0" w:space="0" w:color="auto"/>
            <w:right w:val="none" w:sz="0" w:space="0" w:color="auto"/>
          </w:divBdr>
        </w:div>
        <w:div w:id="133448775">
          <w:marLeft w:val="0"/>
          <w:marRight w:val="0"/>
          <w:marTop w:val="0"/>
          <w:marBottom w:val="90"/>
          <w:divBdr>
            <w:top w:val="none" w:sz="0" w:space="0" w:color="auto"/>
            <w:left w:val="none" w:sz="0" w:space="0" w:color="auto"/>
            <w:bottom w:val="none" w:sz="0" w:space="0" w:color="auto"/>
            <w:right w:val="none" w:sz="0" w:space="0" w:color="auto"/>
          </w:divBdr>
        </w:div>
        <w:div w:id="1774783119">
          <w:marLeft w:val="284"/>
          <w:marRight w:val="899"/>
          <w:marTop w:val="0"/>
          <w:marBottom w:val="90"/>
          <w:divBdr>
            <w:top w:val="none" w:sz="0" w:space="0" w:color="auto"/>
            <w:left w:val="none" w:sz="0" w:space="0" w:color="auto"/>
            <w:bottom w:val="none" w:sz="0" w:space="0" w:color="auto"/>
            <w:right w:val="none" w:sz="0" w:space="0" w:color="auto"/>
          </w:divBdr>
        </w:div>
        <w:div w:id="392853931">
          <w:marLeft w:val="1701"/>
          <w:marRight w:val="899"/>
          <w:marTop w:val="0"/>
          <w:marBottom w:val="90"/>
          <w:divBdr>
            <w:top w:val="none" w:sz="0" w:space="0" w:color="auto"/>
            <w:left w:val="none" w:sz="0" w:space="0" w:color="auto"/>
            <w:bottom w:val="none" w:sz="0" w:space="0" w:color="auto"/>
            <w:right w:val="none" w:sz="0" w:space="0" w:color="auto"/>
          </w:divBdr>
        </w:div>
        <w:div w:id="977882467">
          <w:marLeft w:val="1701"/>
          <w:marRight w:val="899"/>
          <w:marTop w:val="0"/>
          <w:marBottom w:val="90"/>
          <w:divBdr>
            <w:top w:val="none" w:sz="0" w:space="0" w:color="auto"/>
            <w:left w:val="none" w:sz="0" w:space="0" w:color="auto"/>
            <w:bottom w:val="none" w:sz="0" w:space="0" w:color="auto"/>
            <w:right w:val="none" w:sz="0" w:space="0" w:color="auto"/>
          </w:divBdr>
        </w:div>
        <w:div w:id="1527601971">
          <w:marLeft w:val="1700"/>
          <w:marRight w:val="893"/>
          <w:marTop w:val="0"/>
          <w:marBottom w:val="90"/>
          <w:divBdr>
            <w:top w:val="none" w:sz="0" w:space="0" w:color="auto"/>
            <w:left w:val="none" w:sz="0" w:space="0" w:color="auto"/>
            <w:bottom w:val="none" w:sz="0" w:space="0" w:color="auto"/>
            <w:right w:val="none" w:sz="0" w:space="0" w:color="auto"/>
          </w:divBdr>
        </w:div>
        <w:div w:id="1297225945">
          <w:marLeft w:val="1700"/>
          <w:marRight w:val="893"/>
          <w:marTop w:val="0"/>
          <w:marBottom w:val="90"/>
          <w:divBdr>
            <w:top w:val="none" w:sz="0" w:space="0" w:color="auto"/>
            <w:left w:val="none" w:sz="0" w:space="0" w:color="auto"/>
            <w:bottom w:val="none" w:sz="0" w:space="0" w:color="auto"/>
            <w:right w:val="none" w:sz="0" w:space="0" w:color="auto"/>
          </w:divBdr>
        </w:div>
        <w:div w:id="1058431180">
          <w:marLeft w:val="1700"/>
          <w:marRight w:val="893"/>
          <w:marTop w:val="0"/>
          <w:marBottom w:val="90"/>
          <w:divBdr>
            <w:top w:val="none" w:sz="0" w:space="0" w:color="auto"/>
            <w:left w:val="none" w:sz="0" w:space="0" w:color="auto"/>
            <w:bottom w:val="none" w:sz="0" w:space="0" w:color="auto"/>
            <w:right w:val="none" w:sz="0" w:space="0" w:color="auto"/>
          </w:divBdr>
        </w:div>
        <w:div w:id="595527591">
          <w:marLeft w:val="1700"/>
          <w:marRight w:val="893"/>
          <w:marTop w:val="0"/>
          <w:marBottom w:val="90"/>
          <w:divBdr>
            <w:top w:val="none" w:sz="0" w:space="0" w:color="auto"/>
            <w:left w:val="none" w:sz="0" w:space="0" w:color="auto"/>
            <w:bottom w:val="none" w:sz="0" w:space="0" w:color="auto"/>
            <w:right w:val="none" w:sz="0" w:space="0" w:color="auto"/>
          </w:divBdr>
        </w:div>
        <w:div w:id="397022278">
          <w:marLeft w:val="1700"/>
          <w:marRight w:val="893"/>
          <w:marTop w:val="0"/>
          <w:marBottom w:val="90"/>
          <w:divBdr>
            <w:top w:val="none" w:sz="0" w:space="0" w:color="auto"/>
            <w:left w:val="none" w:sz="0" w:space="0" w:color="auto"/>
            <w:bottom w:val="none" w:sz="0" w:space="0" w:color="auto"/>
            <w:right w:val="none" w:sz="0" w:space="0" w:color="auto"/>
          </w:divBdr>
        </w:div>
        <w:div w:id="1527063520">
          <w:marLeft w:val="1700"/>
          <w:marRight w:val="893"/>
          <w:marTop w:val="0"/>
          <w:marBottom w:val="90"/>
          <w:divBdr>
            <w:top w:val="none" w:sz="0" w:space="0" w:color="auto"/>
            <w:left w:val="none" w:sz="0" w:space="0" w:color="auto"/>
            <w:bottom w:val="none" w:sz="0" w:space="0" w:color="auto"/>
            <w:right w:val="none" w:sz="0" w:space="0" w:color="auto"/>
          </w:divBdr>
        </w:div>
        <w:div w:id="1764760232">
          <w:marLeft w:val="1700"/>
          <w:marRight w:val="893"/>
          <w:marTop w:val="0"/>
          <w:marBottom w:val="90"/>
          <w:divBdr>
            <w:top w:val="none" w:sz="0" w:space="0" w:color="auto"/>
            <w:left w:val="none" w:sz="0" w:space="0" w:color="auto"/>
            <w:bottom w:val="none" w:sz="0" w:space="0" w:color="auto"/>
            <w:right w:val="none" w:sz="0" w:space="0" w:color="auto"/>
          </w:divBdr>
        </w:div>
        <w:div w:id="519204345">
          <w:marLeft w:val="1700"/>
          <w:marRight w:val="893"/>
          <w:marTop w:val="0"/>
          <w:marBottom w:val="90"/>
          <w:divBdr>
            <w:top w:val="none" w:sz="0" w:space="0" w:color="auto"/>
            <w:left w:val="none" w:sz="0" w:space="0" w:color="auto"/>
            <w:bottom w:val="none" w:sz="0" w:space="0" w:color="auto"/>
            <w:right w:val="none" w:sz="0" w:space="0" w:color="auto"/>
          </w:divBdr>
        </w:div>
        <w:div w:id="321664269">
          <w:marLeft w:val="1701"/>
          <w:marRight w:val="899"/>
          <w:marTop w:val="0"/>
          <w:marBottom w:val="90"/>
          <w:divBdr>
            <w:top w:val="none" w:sz="0" w:space="0" w:color="auto"/>
            <w:left w:val="none" w:sz="0" w:space="0" w:color="auto"/>
            <w:bottom w:val="none" w:sz="0" w:space="0" w:color="auto"/>
            <w:right w:val="none" w:sz="0" w:space="0" w:color="auto"/>
          </w:divBdr>
        </w:div>
        <w:div w:id="1248224715">
          <w:marLeft w:val="1701"/>
          <w:marRight w:val="899"/>
          <w:marTop w:val="0"/>
          <w:marBottom w:val="101"/>
          <w:divBdr>
            <w:top w:val="none" w:sz="0" w:space="0" w:color="auto"/>
            <w:left w:val="none" w:sz="0" w:space="0" w:color="auto"/>
            <w:bottom w:val="none" w:sz="0" w:space="0" w:color="auto"/>
            <w:right w:val="none" w:sz="0" w:space="0" w:color="auto"/>
          </w:divBdr>
        </w:div>
        <w:div w:id="889077230">
          <w:marLeft w:val="1701"/>
          <w:marRight w:val="899"/>
          <w:marTop w:val="0"/>
          <w:marBottom w:val="101"/>
          <w:divBdr>
            <w:top w:val="none" w:sz="0" w:space="0" w:color="auto"/>
            <w:left w:val="none" w:sz="0" w:space="0" w:color="auto"/>
            <w:bottom w:val="none" w:sz="0" w:space="0" w:color="auto"/>
            <w:right w:val="none" w:sz="0" w:space="0" w:color="auto"/>
          </w:divBdr>
        </w:div>
        <w:div w:id="1954239455">
          <w:marLeft w:val="1701"/>
          <w:marRight w:val="899"/>
          <w:marTop w:val="0"/>
          <w:marBottom w:val="101"/>
          <w:divBdr>
            <w:top w:val="none" w:sz="0" w:space="0" w:color="auto"/>
            <w:left w:val="none" w:sz="0" w:space="0" w:color="auto"/>
            <w:bottom w:val="none" w:sz="0" w:space="0" w:color="auto"/>
            <w:right w:val="none" w:sz="0" w:space="0" w:color="auto"/>
          </w:divBdr>
        </w:div>
        <w:div w:id="563756713">
          <w:marLeft w:val="1701"/>
          <w:marRight w:val="899"/>
          <w:marTop w:val="0"/>
          <w:marBottom w:val="101"/>
          <w:divBdr>
            <w:top w:val="none" w:sz="0" w:space="0" w:color="auto"/>
            <w:left w:val="none" w:sz="0" w:space="0" w:color="auto"/>
            <w:bottom w:val="none" w:sz="0" w:space="0" w:color="auto"/>
            <w:right w:val="none" w:sz="0" w:space="0" w:color="auto"/>
          </w:divBdr>
        </w:div>
        <w:div w:id="1691948491">
          <w:marLeft w:val="1701"/>
          <w:marRight w:val="899"/>
          <w:marTop w:val="0"/>
          <w:marBottom w:val="101"/>
          <w:divBdr>
            <w:top w:val="none" w:sz="0" w:space="0" w:color="auto"/>
            <w:left w:val="none" w:sz="0" w:space="0" w:color="auto"/>
            <w:bottom w:val="none" w:sz="0" w:space="0" w:color="auto"/>
            <w:right w:val="none" w:sz="0" w:space="0" w:color="auto"/>
          </w:divBdr>
        </w:div>
        <w:div w:id="337268331">
          <w:marLeft w:val="1701"/>
          <w:marRight w:val="899"/>
          <w:marTop w:val="0"/>
          <w:marBottom w:val="101"/>
          <w:divBdr>
            <w:top w:val="none" w:sz="0" w:space="0" w:color="auto"/>
            <w:left w:val="none" w:sz="0" w:space="0" w:color="auto"/>
            <w:bottom w:val="none" w:sz="0" w:space="0" w:color="auto"/>
            <w:right w:val="none" w:sz="0" w:space="0" w:color="auto"/>
          </w:divBdr>
        </w:div>
        <w:div w:id="1971325485">
          <w:marLeft w:val="1701"/>
          <w:marRight w:val="899"/>
          <w:marTop w:val="0"/>
          <w:marBottom w:val="101"/>
          <w:divBdr>
            <w:top w:val="none" w:sz="0" w:space="0" w:color="auto"/>
            <w:left w:val="none" w:sz="0" w:space="0" w:color="auto"/>
            <w:bottom w:val="none" w:sz="0" w:space="0" w:color="auto"/>
            <w:right w:val="none" w:sz="0" w:space="0" w:color="auto"/>
          </w:divBdr>
        </w:div>
        <w:div w:id="1798059708">
          <w:marLeft w:val="1701"/>
          <w:marRight w:val="899"/>
          <w:marTop w:val="0"/>
          <w:marBottom w:val="101"/>
          <w:divBdr>
            <w:top w:val="none" w:sz="0" w:space="0" w:color="auto"/>
            <w:left w:val="none" w:sz="0" w:space="0" w:color="auto"/>
            <w:bottom w:val="none" w:sz="0" w:space="0" w:color="auto"/>
            <w:right w:val="none" w:sz="0" w:space="0" w:color="auto"/>
          </w:divBdr>
        </w:div>
        <w:div w:id="1858736981">
          <w:marLeft w:val="1701"/>
          <w:marRight w:val="899"/>
          <w:marTop w:val="0"/>
          <w:marBottom w:val="101"/>
          <w:divBdr>
            <w:top w:val="none" w:sz="0" w:space="0" w:color="auto"/>
            <w:left w:val="none" w:sz="0" w:space="0" w:color="auto"/>
            <w:bottom w:val="none" w:sz="0" w:space="0" w:color="auto"/>
            <w:right w:val="none" w:sz="0" w:space="0" w:color="auto"/>
          </w:divBdr>
        </w:div>
        <w:div w:id="1147355357">
          <w:marLeft w:val="1701"/>
          <w:marRight w:val="899"/>
          <w:marTop w:val="0"/>
          <w:marBottom w:val="101"/>
          <w:divBdr>
            <w:top w:val="none" w:sz="0" w:space="0" w:color="auto"/>
            <w:left w:val="none" w:sz="0" w:space="0" w:color="auto"/>
            <w:bottom w:val="none" w:sz="0" w:space="0" w:color="auto"/>
            <w:right w:val="none" w:sz="0" w:space="0" w:color="auto"/>
          </w:divBdr>
        </w:div>
        <w:div w:id="1806854428">
          <w:marLeft w:val="1701"/>
          <w:marRight w:val="899"/>
          <w:marTop w:val="0"/>
          <w:marBottom w:val="101"/>
          <w:divBdr>
            <w:top w:val="none" w:sz="0" w:space="0" w:color="auto"/>
            <w:left w:val="none" w:sz="0" w:space="0" w:color="auto"/>
            <w:bottom w:val="none" w:sz="0" w:space="0" w:color="auto"/>
            <w:right w:val="none" w:sz="0" w:space="0" w:color="auto"/>
          </w:divBdr>
        </w:div>
        <w:div w:id="1949315085">
          <w:marLeft w:val="1701"/>
          <w:marRight w:val="899"/>
          <w:marTop w:val="0"/>
          <w:marBottom w:val="101"/>
          <w:divBdr>
            <w:top w:val="none" w:sz="0" w:space="0" w:color="auto"/>
            <w:left w:val="none" w:sz="0" w:space="0" w:color="auto"/>
            <w:bottom w:val="none" w:sz="0" w:space="0" w:color="auto"/>
            <w:right w:val="none" w:sz="0" w:space="0" w:color="auto"/>
          </w:divBdr>
        </w:div>
        <w:div w:id="1838154922">
          <w:marLeft w:val="1701"/>
          <w:marRight w:val="899"/>
          <w:marTop w:val="0"/>
          <w:marBottom w:val="101"/>
          <w:divBdr>
            <w:top w:val="none" w:sz="0" w:space="0" w:color="auto"/>
            <w:left w:val="none" w:sz="0" w:space="0" w:color="auto"/>
            <w:bottom w:val="none" w:sz="0" w:space="0" w:color="auto"/>
            <w:right w:val="none" w:sz="0" w:space="0" w:color="auto"/>
          </w:divBdr>
        </w:div>
        <w:div w:id="1832141729">
          <w:marLeft w:val="1701"/>
          <w:marRight w:val="899"/>
          <w:marTop w:val="0"/>
          <w:marBottom w:val="101"/>
          <w:divBdr>
            <w:top w:val="none" w:sz="0" w:space="0" w:color="auto"/>
            <w:left w:val="none" w:sz="0" w:space="0" w:color="auto"/>
            <w:bottom w:val="none" w:sz="0" w:space="0" w:color="auto"/>
            <w:right w:val="none" w:sz="0" w:space="0" w:color="auto"/>
          </w:divBdr>
        </w:div>
        <w:div w:id="395595366">
          <w:marLeft w:val="1701"/>
          <w:marRight w:val="899"/>
          <w:marTop w:val="0"/>
          <w:marBottom w:val="101"/>
          <w:divBdr>
            <w:top w:val="none" w:sz="0" w:space="0" w:color="auto"/>
            <w:left w:val="none" w:sz="0" w:space="0" w:color="auto"/>
            <w:bottom w:val="none" w:sz="0" w:space="0" w:color="auto"/>
            <w:right w:val="none" w:sz="0" w:space="0" w:color="auto"/>
          </w:divBdr>
        </w:div>
        <w:div w:id="757991551">
          <w:marLeft w:val="1701"/>
          <w:marRight w:val="899"/>
          <w:marTop w:val="0"/>
          <w:marBottom w:val="101"/>
          <w:divBdr>
            <w:top w:val="none" w:sz="0" w:space="0" w:color="auto"/>
            <w:left w:val="none" w:sz="0" w:space="0" w:color="auto"/>
            <w:bottom w:val="none" w:sz="0" w:space="0" w:color="auto"/>
            <w:right w:val="none" w:sz="0" w:space="0" w:color="auto"/>
          </w:divBdr>
        </w:div>
      </w:divsChild>
    </w:div>
    <w:div w:id="297299677">
      <w:bodyDiv w:val="1"/>
      <w:marLeft w:val="0"/>
      <w:marRight w:val="0"/>
      <w:marTop w:val="0"/>
      <w:marBottom w:val="0"/>
      <w:divBdr>
        <w:top w:val="none" w:sz="0" w:space="0" w:color="auto"/>
        <w:left w:val="none" w:sz="0" w:space="0" w:color="auto"/>
        <w:bottom w:val="none" w:sz="0" w:space="0" w:color="auto"/>
        <w:right w:val="none" w:sz="0" w:space="0" w:color="auto"/>
      </w:divBdr>
    </w:div>
    <w:div w:id="314575055">
      <w:bodyDiv w:val="1"/>
      <w:marLeft w:val="0"/>
      <w:marRight w:val="0"/>
      <w:marTop w:val="0"/>
      <w:marBottom w:val="0"/>
      <w:divBdr>
        <w:top w:val="none" w:sz="0" w:space="0" w:color="auto"/>
        <w:left w:val="none" w:sz="0" w:space="0" w:color="auto"/>
        <w:bottom w:val="none" w:sz="0" w:space="0" w:color="auto"/>
        <w:right w:val="none" w:sz="0" w:space="0" w:color="auto"/>
      </w:divBdr>
    </w:div>
    <w:div w:id="317155364">
      <w:bodyDiv w:val="1"/>
      <w:marLeft w:val="0"/>
      <w:marRight w:val="0"/>
      <w:marTop w:val="0"/>
      <w:marBottom w:val="0"/>
      <w:divBdr>
        <w:top w:val="none" w:sz="0" w:space="0" w:color="auto"/>
        <w:left w:val="none" w:sz="0" w:space="0" w:color="auto"/>
        <w:bottom w:val="none" w:sz="0" w:space="0" w:color="auto"/>
        <w:right w:val="none" w:sz="0" w:space="0" w:color="auto"/>
      </w:divBdr>
    </w:div>
    <w:div w:id="525294623">
      <w:bodyDiv w:val="1"/>
      <w:marLeft w:val="0"/>
      <w:marRight w:val="0"/>
      <w:marTop w:val="0"/>
      <w:marBottom w:val="0"/>
      <w:divBdr>
        <w:top w:val="none" w:sz="0" w:space="0" w:color="auto"/>
        <w:left w:val="none" w:sz="0" w:space="0" w:color="auto"/>
        <w:bottom w:val="none" w:sz="0" w:space="0" w:color="auto"/>
        <w:right w:val="none" w:sz="0" w:space="0" w:color="auto"/>
      </w:divBdr>
    </w:div>
    <w:div w:id="580795488">
      <w:bodyDiv w:val="1"/>
      <w:marLeft w:val="0"/>
      <w:marRight w:val="0"/>
      <w:marTop w:val="0"/>
      <w:marBottom w:val="0"/>
      <w:divBdr>
        <w:top w:val="none" w:sz="0" w:space="0" w:color="auto"/>
        <w:left w:val="none" w:sz="0" w:space="0" w:color="auto"/>
        <w:bottom w:val="none" w:sz="0" w:space="0" w:color="auto"/>
        <w:right w:val="none" w:sz="0" w:space="0" w:color="auto"/>
      </w:divBdr>
    </w:div>
    <w:div w:id="634993855">
      <w:bodyDiv w:val="1"/>
      <w:marLeft w:val="0"/>
      <w:marRight w:val="0"/>
      <w:marTop w:val="0"/>
      <w:marBottom w:val="0"/>
      <w:divBdr>
        <w:top w:val="none" w:sz="0" w:space="0" w:color="auto"/>
        <w:left w:val="none" w:sz="0" w:space="0" w:color="auto"/>
        <w:bottom w:val="none" w:sz="0" w:space="0" w:color="auto"/>
        <w:right w:val="none" w:sz="0" w:space="0" w:color="auto"/>
      </w:divBdr>
    </w:div>
    <w:div w:id="752818789">
      <w:bodyDiv w:val="1"/>
      <w:marLeft w:val="0"/>
      <w:marRight w:val="0"/>
      <w:marTop w:val="0"/>
      <w:marBottom w:val="0"/>
      <w:divBdr>
        <w:top w:val="none" w:sz="0" w:space="0" w:color="auto"/>
        <w:left w:val="none" w:sz="0" w:space="0" w:color="auto"/>
        <w:bottom w:val="none" w:sz="0" w:space="0" w:color="auto"/>
        <w:right w:val="none" w:sz="0" w:space="0" w:color="auto"/>
      </w:divBdr>
    </w:div>
    <w:div w:id="767047531">
      <w:bodyDiv w:val="1"/>
      <w:marLeft w:val="0"/>
      <w:marRight w:val="0"/>
      <w:marTop w:val="0"/>
      <w:marBottom w:val="0"/>
      <w:divBdr>
        <w:top w:val="none" w:sz="0" w:space="0" w:color="auto"/>
        <w:left w:val="none" w:sz="0" w:space="0" w:color="auto"/>
        <w:bottom w:val="none" w:sz="0" w:space="0" w:color="auto"/>
        <w:right w:val="none" w:sz="0" w:space="0" w:color="auto"/>
      </w:divBdr>
    </w:div>
    <w:div w:id="881939350">
      <w:bodyDiv w:val="1"/>
      <w:marLeft w:val="0"/>
      <w:marRight w:val="0"/>
      <w:marTop w:val="0"/>
      <w:marBottom w:val="0"/>
      <w:divBdr>
        <w:top w:val="none" w:sz="0" w:space="0" w:color="auto"/>
        <w:left w:val="none" w:sz="0" w:space="0" w:color="auto"/>
        <w:bottom w:val="none" w:sz="0" w:space="0" w:color="auto"/>
        <w:right w:val="none" w:sz="0" w:space="0" w:color="auto"/>
      </w:divBdr>
    </w:div>
    <w:div w:id="889072379">
      <w:bodyDiv w:val="1"/>
      <w:marLeft w:val="0"/>
      <w:marRight w:val="0"/>
      <w:marTop w:val="0"/>
      <w:marBottom w:val="0"/>
      <w:divBdr>
        <w:top w:val="none" w:sz="0" w:space="0" w:color="auto"/>
        <w:left w:val="none" w:sz="0" w:space="0" w:color="auto"/>
        <w:bottom w:val="none" w:sz="0" w:space="0" w:color="auto"/>
        <w:right w:val="none" w:sz="0" w:space="0" w:color="auto"/>
      </w:divBdr>
    </w:div>
    <w:div w:id="892040195">
      <w:bodyDiv w:val="1"/>
      <w:marLeft w:val="0"/>
      <w:marRight w:val="0"/>
      <w:marTop w:val="0"/>
      <w:marBottom w:val="0"/>
      <w:divBdr>
        <w:top w:val="none" w:sz="0" w:space="0" w:color="auto"/>
        <w:left w:val="none" w:sz="0" w:space="0" w:color="auto"/>
        <w:bottom w:val="none" w:sz="0" w:space="0" w:color="auto"/>
        <w:right w:val="none" w:sz="0" w:space="0" w:color="auto"/>
      </w:divBdr>
    </w:div>
    <w:div w:id="899441852">
      <w:bodyDiv w:val="1"/>
      <w:marLeft w:val="0"/>
      <w:marRight w:val="0"/>
      <w:marTop w:val="0"/>
      <w:marBottom w:val="0"/>
      <w:divBdr>
        <w:top w:val="none" w:sz="0" w:space="0" w:color="auto"/>
        <w:left w:val="none" w:sz="0" w:space="0" w:color="auto"/>
        <w:bottom w:val="none" w:sz="0" w:space="0" w:color="auto"/>
        <w:right w:val="none" w:sz="0" w:space="0" w:color="auto"/>
      </w:divBdr>
    </w:div>
    <w:div w:id="1046443562">
      <w:bodyDiv w:val="1"/>
      <w:marLeft w:val="0"/>
      <w:marRight w:val="0"/>
      <w:marTop w:val="0"/>
      <w:marBottom w:val="0"/>
      <w:divBdr>
        <w:top w:val="none" w:sz="0" w:space="0" w:color="auto"/>
        <w:left w:val="none" w:sz="0" w:space="0" w:color="auto"/>
        <w:bottom w:val="none" w:sz="0" w:space="0" w:color="auto"/>
        <w:right w:val="none" w:sz="0" w:space="0" w:color="auto"/>
      </w:divBdr>
    </w:div>
    <w:div w:id="1059284532">
      <w:bodyDiv w:val="1"/>
      <w:marLeft w:val="0"/>
      <w:marRight w:val="0"/>
      <w:marTop w:val="0"/>
      <w:marBottom w:val="0"/>
      <w:divBdr>
        <w:top w:val="none" w:sz="0" w:space="0" w:color="auto"/>
        <w:left w:val="none" w:sz="0" w:space="0" w:color="auto"/>
        <w:bottom w:val="none" w:sz="0" w:space="0" w:color="auto"/>
        <w:right w:val="none" w:sz="0" w:space="0" w:color="auto"/>
      </w:divBdr>
    </w:div>
    <w:div w:id="1079257866">
      <w:bodyDiv w:val="1"/>
      <w:marLeft w:val="0"/>
      <w:marRight w:val="0"/>
      <w:marTop w:val="0"/>
      <w:marBottom w:val="0"/>
      <w:divBdr>
        <w:top w:val="none" w:sz="0" w:space="0" w:color="auto"/>
        <w:left w:val="none" w:sz="0" w:space="0" w:color="auto"/>
        <w:bottom w:val="none" w:sz="0" w:space="0" w:color="auto"/>
        <w:right w:val="none" w:sz="0" w:space="0" w:color="auto"/>
      </w:divBdr>
    </w:div>
    <w:div w:id="1094588612">
      <w:bodyDiv w:val="1"/>
      <w:marLeft w:val="0"/>
      <w:marRight w:val="0"/>
      <w:marTop w:val="0"/>
      <w:marBottom w:val="0"/>
      <w:divBdr>
        <w:top w:val="none" w:sz="0" w:space="0" w:color="auto"/>
        <w:left w:val="none" w:sz="0" w:space="0" w:color="auto"/>
        <w:bottom w:val="none" w:sz="0" w:space="0" w:color="auto"/>
        <w:right w:val="none" w:sz="0" w:space="0" w:color="auto"/>
      </w:divBdr>
    </w:div>
    <w:div w:id="1101608025">
      <w:bodyDiv w:val="1"/>
      <w:marLeft w:val="0"/>
      <w:marRight w:val="0"/>
      <w:marTop w:val="0"/>
      <w:marBottom w:val="0"/>
      <w:divBdr>
        <w:top w:val="none" w:sz="0" w:space="0" w:color="auto"/>
        <w:left w:val="none" w:sz="0" w:space="0" w:color="auto"/>
        <w:bottom w:val="none" w:sz="0" w:space="0" w:color="auto"/>
        <w:right w:val="none" w:sz="0" w:space="0" w:color="auto"/>
      </w:divBdr>
    </w:div>
    <w:div w:id="1129938219">
      <w:bodyDiv w:val="1"/>
      <w:marLeft w:val="0"/>
      <w:marRight w:val="0"/>
      <w:marTop w:val="0"/>
      <w:marBottom w:val="0"/>
      <w:divBdr>
        <w:top w:val="none" w:sz="0" w:space="0" w:color="auto"/>
        <w:left w:val="none" w:sz="0" w:space="0" w:color="auto"/>
        <w:bottom w:val="none" w:sz="0" w:space="0" w:color="auto"/>
        <w:right w:val="none" w:sz="0" w:space="0" w:color="auto"/>
      </w:divBdr>
    </w:div>
    <w:div w:id="1161189841">
      <w:bodyDiv w:val="1"/>
      <w:marLeft w:val="0"/>
      <w:marRight w:val="0"/>
      <w:marTop w:val="0"/>
      <w:marBottom w:val="0"/>
      <w:divBdr>
        <w:top w:val="none" w:sz="0" w:space="0" w:color="auto"/>
        <w:left w:val="none" w:sz="0" w:space="0" w:color="auto"/>
        <w:bottom w:val="none" w:sz="0" w:space="0" w:color="auto"/>
        <w:right w:val="none" w:sz="0" w:space="0" w:color="auto"/>
      </w:divBdr>
    </w:div>
    <w:div w:id="1269049244">
      <w:bodyDiv w:val="1"/>
      <w:marLeft w:val="0"/>
      <w:marRight w:val="0"/>
      <w:marTop w:val="0"/>
      <w:marBottom w:val="0"/>
      <w:divBdr>
        <w:top w:val="none" w:sz="0" w:space="0" w:color="auto"/>
        <w:left w:val="none" w:sz="0" w:space="0" w:color="auto"/>
        <w:bottom w:val="none" w:sz="0" w:space="0" w:color="auto"/>
        <w:right w:val="none" w:sz="0" w:space="0" w:color="auto"/>
      </w:divBdr>
    </w:div>
    <w:div w:id="1299606495">
      <w:bodyDiv w:val="1"/>
      <w:marLeft w:val="0"/>
      <w:marRight w:val="0"/>
      <w:marTop w:val="0"/>
      <w:marBottom w:val="0"/>
      <w:divBdr>
        <w:top w:val="none" w:sz="0" w:space="0" w:color="auto"/>
        <w:left w:val="none" w:sz="0" w:space="0" w:color="auto"/>
        <w:bottom w:val="none" w:sz="0" w:space="0" w:color="auto"/>
        <w:right w:val="none" w:sz="0" w:space="0" w:color="auto"/>
      </w:divBdr>
    </w:div>
    <w:div w:id="1317223524">
      <w:bodyDiv w:val="1"/>
      <w:marLeft w:val="0"/>
      <w:marRight w:val="0"/>
      <w:marTop w:val="0"/>
      <w:marBottom w:val="0"/>
      <w:divBdr>
        <w:top w:val="none" w:sz="0" w:space="0" w:color="auto"/>
        <w:left w:val="none" w:sz="0" w:space="0" w:color="auto"/>
        <w:bottom w:val="none" w:sz="0" w:space="0" w:color="auto"/>
        <w:right w:val="none" w:sz="0" w:space="0" w:color="auto"/>
      </w:divBdr>
    </w:div>
    <w:div w:id="1333528386">
      <w:bodyDiv w:val="1"/>
      <w:marLeft w:val="0"/>
      <w:marRight w:val="0"/>
      <w:marTop w:val="0"/>
      <w:marBottom w:val="0"/>
      <w:divBdr>
        <w:top w:val="none" w:sz="0" w:space="0" w:color="auto"/>
        <w:left w:val="none" w:sz="0" w:space="0" w:color="auto"/>
        <w:bottom w:val="none" w:sz="0" w:space="0" w:color="auto"/>
        <w:right w:val="none" w:sz="0" w:space="0" w:color="auto"/>
      </w:divBdr>
    </w:div>
    <w:div w:id="1334606221">
      <w:bodyDiv w:val="1"/>
      <w:marLeft w:val="0"/>
      <w:marRight w:val="0"/>
      <w:marTop w:val="0"/>
      <w:marBottom w:val="0"/>
      <w:divBdr>
        <w:top w:val="none" w:sz="0" w:space="0" w:color="auto"/>
        <w:left w:val="none" w:sz="0" w:space="0" w:color="auto"/>
        <w:bottom w:val="none" w:sz="0" w:space="0" w:color="auto"/>
        <w:right w:val="none" w:sz="0" w:space="0" w:color="auto"/>
      </w:divBdr>
    </w:div>
    <w:div w:id="1407264735">
      <w:bodyDiv w:val="1"/>
      <w:marLeft w:val="0"/>
      <w:marRight w:val="0"/>
      <w:marTop w:val="0"/>
      <w:marBottom w:val="0"/>
      <w:divBdr>
        <w:top w:val="none" w:sz="0" w:space="0" w:color="auto"/>
        <w:left w:val="none" w:sz="0" w:space="0" w:color="auto"/>
        <w:bottom w:val="none" w:sz="0" w:space="0" w:color="auto"/>
        <w:right w:val="none" w:sz="0" w:space="0" w:color="auto"/>
      </w:divBdr>
    </w:div>
    <w:div w:id="1444420955">
      <w:bodyDiv w:val="1"/>
      <w:marLeft w:val="0"/>
      <w:marRight w:val="0"/>
      <w:marTop w:val="0"/>
      <w:marBottom w:val="0"/>
      <w:divBdr>
        <w:top w:val="none" w:sz="0" w:space="0" w:color="auto"/>
        <w:left w:val="none" w:sz="0" w:space="0" w:color="auto"/>
        <w:bottom w:val="none" w:sz="0" w:space="0" w:color="auto"/>
        <w:right w:val="none" w:sz="0" w:space="0" w:color="auto"/>
      </w:divBdr>
    </w:div>
    <w:div w:id="1490291442">
      <w:bodyDiv w:val="1"/>
      <w:marLeft w:val="0"/>
      <w:marRight w:val="0"/>
      <w:marTop w:val="0"/>
      <w:marBottom w:val="0"/>
      <w:divBdr>
        <w:top w:val="none" w:sz="0" w:space="0" w:color="auto"/>
        <w:left w:val="none" w:sz="0" w:space="0" w:color="auto"/>
        <w:bottom w:val="none" w:sz="0" w:space="0" w:color="auto"/>
        <w:right w:val="none" w:sz="0" w:space="0" w:color="auto"/>
      </w:divBdr>
    </w:div>
    <w:div w:id="1589122115">
      <w:bodyDiv w:val="1"/>
      <w:marLeft w:val="0"/>
      <w:marRight w:val="0"/>
      <w:marTop w:val="0"/>
      <w:marBottom w:val="0"/>
      <w:divBdr>
        <w:top w:val="none" w:sz="0" w:space="0" w:color="auto"/>
        <w:left w:val="none" w:sz="0" w:space="0" w:color="auto"/>
        <w:bottom w:val="none" w:sz="0" w:space="0" w:color="auto"/>
        <w:right w:val="none" w:sz="0" w:space="0" w:color="auto"/>
      </w:divBdr>
    </w:div>
    <w:div w:id="1652639351">
      <w:bodyDiv w:val="1"/>
      <w:marLeft w:val="0"/>
      <w:marRight w:val="0"/>
      <w:marTop w:val="0"/>
      <w:marBottom w:val="0"/>
      <w:divBdr>
        <w:top w:val="none" w:sz="0" w:space="0" w:color="auto"/>
        <w:left w:val="none" w:sz="0" w:space="0" w:color="auto"/>
        <w:bottom w:val="none" w:sz="0" w:space="0" w:color="auto"/>
        <w:right w:val="none" w:sz="0" w:space="0" w:color="auto"/>
      </w:divBdr>
    </w:div>
    <w:div w:id="1668744511">
      <w:bodyDiv w:val="1"/>
      <w:marLeft w:val="0"/>
      <w:marRight w:val="0"/>
      <w:marTop w:val="0"/>
      <w:marBottom w:val="0"/>
      <w:divBdr>
        <w:top w:val="none" w:sz="0" w:space="0" w:color="auto"/>
        <w:left w:val="none" w:sz="0" w:space="0" w:color="auto"/>
        <w:bottom w:val="none" w:sz="0" w:space="0" w:color="auto"/>
        <w:right w:val="none" w:sz="0" w:space="0" w:color="auto"/>
      </w:divBdr>
    </w:div>
    <w:div w:id="1707023684">
      <w:bodyDiv w:val="1"/>
      <w:marLeft w:val="0"/>
      <w:marRight w:val="0"/>
      <w:marTop w:val="0"/>
      <w:marBottom w:val="0"/>
      <w:divBdr>
        <w:top w:val="none" w:sz="0" w:space="0" w:color="auto"/>
        <w:left w:val="none" w:sz="0" w:space="0" w:color="auto"/>
        <w:bottom w:val="none" w:sz="0" w:space="0" w:color="auto"/>
        <w:right w:val="none" w:sz="0" w:space="0" w:color="auto"/>
      </w:divBdr>
    </w:div>
    <w:div w:id="1752892627">
      <w:bodyDiv w:val="1"/>
      <w:marLeft w:val="0"/>
      <w:marRight w:val="0"/>
      <w:marTop w:val="0"/>
      <w:marBottom w:val="0"/>
      <w:divBdr>
        <w:top w:val="none" w:sz="0" w:space="0" w:color="auto"/>
        <w:left w:val="none" w:sz="0" w:space="0" w:color="auto"/>
        <w:bottom w:val="none" w:sz="0" w:space="0" w:color="auto"/>
        <w:right w:val="none" w:sz="0" w:space="0" w:color="auto"/>
      </w:divBdr>
    </w:div>
    <w:div w:id="1766615008">
      <w:bodyDiv w:val="1"/>
      <w:marLeft w:val="0"/>
      <w:marRight w:val="0"/>
      <w:marTop w:val="0"/>
      <w:marBottom w:val="0"/>
      <w:divBdr>
        <w:top w:val="none" w:sz="0" w:space="0" w:color="auto"/>
        <w:left w:val="none" w:sz="0" w:space="0" w:color="auto"/>
        <w:bottom w:val="none" w:sz="0" w:space="0" w:color="auto"/>
        <w:right w:val="none" w:sz="0" w:space="0" w:color="auto"/>
      </w:divBdr>
    </w:div>
    <w:div w:id="1784613162">
      <w:bodyDiv w:val="1"/>
      <w:marLeft w:val="0"/>
      <w:marRight w:val="0"/>
      <w:marTop w:val="0"/>
      <w:marBottom w:val="0"/>
      <w:divBdr>
        <w:top w:val="none" w:sz="0" w:space="0" w:color="auto"/>
        <w:left w:val="none" w:sz="0" w:space="0" w:color="auto"/>
        <w:bottom w:val="none" w:sz="0" w:space="0" w:color="auto"/>
        <w:right w:val="none" w:sz="0" w:space="0" w:color="auto"/>
      </w:divBdr>
    </w:div>
    <w:div w:id="1792896478">
      <w:bodyDiv w:val="1"/>
      <w:marLeft w:val="0"/>
      <w:marRight w:val="0"/>
      <w:marTop w:val="0"/>
      <w:marBottom w:val="0"/>
      <w:divBdr>
        <w:top w:val="none" w:sz="0" w:space="0" w:color="auto"/>
        <w:left w:val="none" w:sz="0" w:space="0" w:color="auto"/>
        <w:bottom w:val="none" w:sz="0" w:space="0" w:color="auto"/>
        <w:right w:val="none" w:sz="0" w:space="0" w:color="auto"/>
      </w:divBdr>
    </w:div>
    <w:div w:id="1834369209">
      <w:bodyDiv w:val="1"/>
      <w:marLeft w:val="0"/>
      <w:marRight w:val="0"/>
      <w:marTop w:val="0"/>
      <w:marBottom w:val="0"/>
      <w:divBdr>
        <w:top w:val="none" w:sz="0" w:space="0" w:color="auto"/>
        <w:left w:val="none" w:sz="0" w:space="0" w:color="auto"/>
        <w:bottom w:val="none" w:sz="0" w:space="0" w:color="auto"/>
        <w:right w:val="none" w:sz="0" w:space="0" w:color="auto"/>
      </w:divBdr>
    </w:div>
    <w:div w:id="1866364557">
      <w:bodyDiv w:val="1"/>
      <w:marLeft w:val="0"/>
      <w:marRight w:val="0"/>
      <w:marTop w:val="0"/>
      <w:marBottom w:val="0"/>
      <w:divBdr>
        <w:top w:val="none" w:sz="0" w:space="0" w:color="auto"/>
        <w:left w:val="none" w:sz="0" w:space="0" w:color="auto"/>
        <w:bottom w:val="none" w:sz="0" w:space="0" w:color="auto"/>
        <w:right w:val="none" w:sz="0" w:space="0" w:color="auto"/>
      </w:divBdr>
    </w:div>
    <w:div w:id="1875120523">
      <w:bodyDiv w:val="1"/>
      <w:marLeft w:val="0"/>
      <w:marRight w:val="0"/>
      <w:marTop w:val="0"/>
      <w:marBottom w:val="0"/>
      <w:divBdr>
        <w:top w:val="none" w:sz="0" w:space="0" w:color="auto"/>
        <w:left w:val="none" w:sz="0" w:space="0" w:color="auto"/>
        <w:bottom w:val="none" w:sz="0" w:space="0" w:color="auto"/>
        <w:right w:val="none" w:sz="0" w:space="0" w:color="auto"/>
      </w:divBdr>
    </w:div>
    <w:div w:id="2132701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onsultatucedula.mx/"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2oAQFtBYMY1XaEqqC7L3lrJYjhg==">CgMxLjAyCWguMWZvYjl0ZTIJaC4zem55c2g3Mg5oLmozcHB5eHdsYjFzMjIIaC50eWpjd3QyDmguemdtenJ1ZXp3bGNvMg1oLmpsMGRsYXNvdDRmOAByITFhbW1ZRFRwRW9VTUVIVnAwT25ldjVCYkZ0R3pFUThneQ==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7396478-F3C5-49B3-B8BC-8706E943C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52</Pages>
  <Words>14261</Words>
  <Characters>78440</Characters>
  <Application>Microsoft Office Word</Application>
  <DocSecurity>0</DocSecurity>
  <Lines>653</Lines>
  <Paragraphs>185</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92516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Cuenta Microsoft</dc:creator>
  <cp:lastModifiedBy>Maricela Villagómez Martínez</cp:lastModifiedBy>
  <cp:revision>2</cp:revision>
  <cp:lastPrinted>2025-09-11T17:01:00Z</cp:lastPrinted>
  <dcterms:created xsi:type="dcterms:W3CDTF">2026-04-07T18:19:00Z</dcterms:created>
  <dcterms:modified xsi:type="dcterms:W3CDTF">2026-04-07T18:19:00Z</dcterms:modified>
</cp:coreProperties>
</file>