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42A" w:rsidRDefault="0008055E">
      <w:pPr>
        <w:spacing w:line="360" w:lineRule="auto"/>
        <w:jc w:val="both"/>
        <w:rPr>
          <w:rFonts w:ascii="Palatino Linotype" w:eastAsia="Palatino Linotype" w:hAnsi="Palatino Linotype" w:cs="Palatino Linotype"/>
          <w:sz w:val="22"/>
          <w:szCs w:val="22"/>
        </w:rPr>
      </w:pPr>
      <w:bookmarkStart w:id="0" w:name="_GoBack"/>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bCs/>
          <w:sz w:val="22"/>
          <w:szCs w:val="22"/>
        </w:rPr>
        <w:t>dieciocho de febrero de dos mil veintiséis</w:t>
      </w:r>
      <w:r>
        <w:rPr>
          <w:rFonts w:ascii="Palatino Linotype" w:eastAsia="Palatino Linotype" w:hAnsi="Palatino Linotype" w:cs="Palatino Linotype"/>
          <w:sz w:val="22"/>
          <w:szCs w:val="22"/>
        </w:rPr>
        <w:t xml:space="preserve">.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tabs>
          <w:tab w:val="left" w:pos="581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formado con motivo del recurso de revisión </w:t>
      </w:r>
      <w:r>
        <w:rPr>
          <w:rFonts w:ascii="Palatino Linotype" w:eastAsia="Palatino Linotype" w:hAnsi="Palatino Linotype" w:cs="Palatino Linotype"/>
          <w:b/>
          <w:bCs/>
          <w:sz w:val="22"/>
          <w:szCs w:val="22"/>
        </w:rPr>
        <w:t>14689/INFOEM/IP/RR/2025</w:t>
      </w:r>
      <w:r>
        <w:rPr>
          <w:rFonts w:ascii="Palatino Linotype" w:eastAsia="Palatino Linotype" w:hAnsi="Palatino Linotype" w:cs="Palatino Linotype"/>
          <w:sz w:val="22"/>
          <w:szCs w:val="22"/>
        </w:rPr>
        <w:t>, interpuesto por</w:t>
      </w:r>
      <w:r>
        <w:rPr>
          <w:rFonts w:ascii="Palatino Linotype" w:eastAsia="Palatino Linotype" w:hAnsi="Palatino Linotype" w:cs="Palatino Linotype"/>
          <w:b/>
          <w:bCs/>
          <w:sz w:val="22"/>
          <w:szCs w:val="22"/>
        </w:rPr>
        <w:t xml:space="preserve"> un particular de manera anónima,</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contra de la respuesta a la solicitud de información con número de folio</w:t>
      </w:r>
      <w:r>
        <w:rPr>
          <w:rFonts w:ascii="Palatino Linotype" w:eastAsia="Palatino Linotype" w:hAnsi="Palatino Linotype" w:cs="Palatino Linotype"/>
          <w:b/>
          <w:bCs/>
          <w:sz w:val="22"/>
          <w:szCs w:val="22"/>
        </w:rPr>
        <w:t xml:space="preserve"> 05843/TOLUCA</w:t>
      </w:r>
      <w:r>
        <w:rPr>
          <w:rFonts w:ascii="Palatino Linotype" w:eastAsia="Palatino Linotype" w:hAnsi="Palatino Linotype" w:cs="Palatino Linotype"/>
          <w:b/>
          <w:bCs/>
          <w:sz w:val="22"/>
          <w:szCs w:val="22"/>
        </w:rPr>
        <w:t xml:space="preserve">/IP/2025, </w:t>
      </w:r>
      <w:r>
        <w:rPr>
          <w:rFonts w:ascii="Palatino Linotype" w:eastAsia="Palatino Linotype" w:hAnsi="Palatino Linotype" w:cs="Palatino Linotype"/>
          <w:sz w:val="22"/>
          <w:szCs w:val="22"/>
        </w:rPr>
        <w:t xml:space="preserve">por parte del </w:t>
      </w:r>
      <w:r>
        <w:rPr>
          <w:rFonts w:ascii="Palatino Linotype" w:eastAsia="Palatino Linotype" w:hAnsi="Palatino Linotype" w:cs="Palatino Linotype"/>
          <w:b/>
          <w:bCs/>
          <w:sz w:val="22"/>
          <w:szCs w:val="22"/>
        </w:rPr>
        <w:t xml:space="preserve">Ayuntamiento de Toluca,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rsidR="00D8442A" w:rsidRDefault="00D8442A">
      <w:pPr>
        <w:tabs>
          <w:tab w:val="left" w:pos="5812"/>
        </w:tabs>
        <w:spacing w:line="360" w:lineRule="auto"/>
        <w:jc w:val="both"/>
        <w:rPr>
          <w:rFonts w:ascii="Palatino Linotype" w:eastAsia="Palatino Linotype" w:hAnsi="Palatino Linotype" w:cs="Palatino Linotype"/>
          <w:sz w:val="22"/>
          <w:szCs w:val="22"/>
        </w:rPr>
      </w:pPr>
    </w:p>
    <w:p w:rsidR="00D8442A" w:rsidRDefault="0008055E">
      <w:pP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 A N T E C E D E N T E S</w:t>
      </w:r>
    </w:p>
    <w:p w:rsidR="00D8442A" w:rsidRDefault="0008055E">
      <w:pPr>
        <w:spacing w:line="360" w:lineRule="auto"/>
        <w:jc w:val="both"/>
        <w:rPr>
          <w:rFonts w:ascii="Palatino Linotype" w:eastAsia="Palatino Linotype" w:hAnsi="Palatino Linotype" w:cs="Palatino Linotype"/>
          <w:sz w:val="22"/>
          <w:szCs w:val="22"/>
        </w:rPr>
      </w:pPr>
      <w:bookmarkStart w:id="1" w:name="_heading=h.4d34og8" w:colFirst="0" w:colLast="0"/>
      <w:bookmarkEnd w:id="1"/>
      <w:r>
        <w:rPr>
          <w:rFonts w:ascii="Palatino Linotype" w:eastAsia="Palatino Linotype" w:hAnsi="Palatino Linotype" w:cs="Palatino Linotype"/>
          <w:b/>
          <w:bCs/>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seis de noviembre de dos mil </w:t>
      </w:r>
      <w:r>
        <w:rPr>
          <w:rFonts w:ascii="Palatino Linotype" w:eastAsia="Palatino Linotype" w:hAnsi="Palatino Linotype" w:cs="Palatino Linotype"/>
          <w:b/>
          <w:bCs/>
          <w:sz w:val="22"/>
          <w:szCs w:val="22"/>
        </w:rPr>
        <w:t>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presentó, a través del Sistema de Acceso a la Información Mexiquense, en lo subsecuente 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ante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la solicitud de acceso a la información pública, mediante la cual requirió la información siguiente</w:t>
      </w:r>
      <w:r>
        <w:rPr>
          <w:rFonts w:ascii="Palatino Linotype" w:eastAsia="Palatino Linotype" w:hAnsi="Palatino Linotype" w:cs="Palatino Linotype"/>
          <w:sz w:val="22"/>
          <w:szCs w:val="22"/>
        </w:rPr>
        <w:t xml:space="preserve">: </w:t>
      </w:r>
    </w:p>
    <w:p w:rsidR="00D8442A" w:rsidRDefault="00D8442A">
      <w:pPr>
        <w:spacing w:line="276" w:lineRule="auto"/>
        <w:ind w:left="851" w:right="616"/>
        <w:jc w:val="both"/>
        <w:rPr>
          <w:rFonts w:ascii="Palatino Linotype" w:eastAsia="Palatino Linotype" w:hAnsi="Palatino Linotype" w:cs="Palatino Linotype"/>
          <w:i/>
          <w:iCs/>
          <w:sz w:val="22"/>
          <w:szCs w:val="22"/>
        </w:rPr>
      </w:pPr>
      <w:bookmarkStart w:id="2" w:name="_heading=h.gjdgxs" w:colFirst="0" w:colLast="0"/>
      <w:bookmarkEnd w:id="2"/>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solicita la Certificación de competencia del titular de la unidad de transparencia, los expediente laboral completo con el alta de issemym de todos el personal que labora en la unidad de transparencia con fup y recios de nomina de la quincena 1 a l</w:t>
      </w:r>
      <w:r>
        <w:rPr>
          <w:rFonts w:ascii="Palatino Linotype" w:eastAsia="Palatino Linotype" w:hAnsi="Palatino Linotype" w:cs="Palatino Linotype"/>
          <w:i/>
          <w:iCs/>
          <w:sz w:val="22"/>
          <w:szCs w:val="22"/>
        </w:rPr>
        <w:t xml:space="preserve">a 20 de 2025.” (sic) </w:t>
      </w:r>
    </w:p>
    <w:p w:rsidR="00D8442A" w:rsidRDefault="00D8442A">
      <w:pPr>
        <w:spacing w:line="276" w:lineRule="auto"/>
        <w:ind w:left="851" w:right="616"/>
        <w:jc w:val="both"/>
        <w:rPr>
          <w:rFonts w:ascii="Palatino Linotype" w:eastAsia="Palatino Linotype" w:hAnsi="Palatino Linotype" w:cs="Palatino Linotype"/>
          <w:b/>
          <w:bCs/>
          <w:i/>
          <w:iCs/>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Pr>
          <w:rFonts w:ascii="Palatino Linotype" w:eastAsia="Palatino Linotype" w:hAnsi="Palatino Linotype" w:cs="Palatino Linotype"/>
          <w:b/>
          <w:bCs/>
          <w:sz w:val="22"/>
          <w:szCs w:val="22"/>
        </w:rPr>
        <w:t xml:space="preserve">Modalidad de Entrega: </w:t>
      </w:r>
      <w:r>
        <w:rPr>
          <w:rFonts w:ascii="Palatino Linotype" w:eastAsia="Palatino Linotype" w:hAnsi="Palatino Linotype" w:cs="Palatino Linotype"/>
          <w:sz w:val="22"/>
          <w:szCs w:val="22"/>
        </w:rPr>
        <w:t xml:space="preserve">A través del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tabs>
          <w:tab w:val="left" w:pos="311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2. 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veintiocho de noviembre de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envió su respuesta a la solicitud de acceso a la información a través de SAIMEX, sustancialmente en los t</w:t>
      </w:r>
      <w:r>
        <w:rPr>
          <w:rFonts w:ascii="Palatino Linotype" w:eastAsia="Palatino Linotype" w:hAnsi="Palatino Linotype" w:cs="Palatino Linotype"/>
          <w:sz w:val="22"/>
          <w:szCs w:val="22"/>
        </w:rPr>
        <w:t xml:space="preserve">érminos siguientes:   </w:t>
      </w:r>
    </w:p>
    <w:p w:rsidR="00D8442A" w:rsidRDefault="0008055E">
      <w:pPr>
        <w:spacing w:line="276" w:lineRule="auto"/>
        <w:ind w:left="851" w:right="7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w:t>
      </w:r>
      <w:r>
        <w:rPr>
          <w:rFonts w:ascii="Palatino Linotype" w:eastAsia="Palatino Linotype" w:hAnsi="Palatino Linotype" w:cs="Palatino Linotype"/>
          <w:i/>
          <w:iCs/>
          <w:sz w:val="22"/>
          <w:szCs w:val="22"/>
        </w:rPr>
        <w:t>s, le contestamos que:</w:t>
      </w:r>
    </w:p>
    <w:p w:rsidR="00D8442A" w:rsidRDefault="0008055E">
      <w:pPr>
        <w:spacing w:line="276" w:lineRule="auto"/>
        <w:ind w:left="851" w:right="7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atención a la solicitud con folio 05843/TOLUCA/IP/2025, me permito adjuntar al presente la respuesta correspondiente, Sin más por el momento, reciba un saludo.</w:t>
      </w:r>
    </w:p>
    <w:p w:rsidR="00D8442A" w:rsidRDefault="0008055E">
      <w:pPr>
        <w:spacing w:line="276" w:lineRule="auto"/>
        <w:ind w:left="851" w:right="7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ATENTAMENTE</w:t>
      </w:r>
    </w:p>
    <w:p w:rsidR="00D8442A" w:rsidRDefault="0008055E">
      <w:pPr>
        <w:spacing w:line="276" w:lineRule="auto"/>
        <w:ind w:left="851" w:right="7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Dr. Nahum Miguel Mendoza Morales” (sic)</w:t>
      </w:r>
    </w:p>
    <w:p w:rsidR="00D8442A" w:rsidRDefault="00D8442A">
      <w:pPr>
        <w:spacing w:line="360" w:lineRule="auto"/>
        <w:ind w:right="49"/>
        <w:jc w:val="both"/>
        <w:rPr>
          <w:rFonts w:ascii="Palatino Linotype" w:eastAsia="Palatino Linotype" w:hAnsi="Palatino Linotype" w:cs="Palatino Linotype"/>
          <w:b/>
          <w:bCs/>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Adjuntando a su respuesta los archivos electrónicos denominados </w:t>
      </w:r>
      <w:r>
        <w:rPr>
          <w:rFonts w:ascii="Palatino Linotype" w:eastAsia="Palatino Linotype" w:hAnsi="Palatino Linotype" w:cs="Palatino Linotype"/>
          <w:b/>
          <w:bCs/>
          <w:i/>
          <w:iCs/>
          <w:sz w:val="22"/>
          <w:szCs w:val="22"/>
        </w:rPr>
        <w:t xml:space="preserve">“NOTIF. CIUDADANO S. 5843.pdf </w:t>
      </w:r>
      <w:r>
        <w:rPr>
          <w:rFonts w:ascii="Palatino Linotype" w:eastAsia="Palatino Linotype" w:hAnsi="Palatino Linotype" w:cs="Palatino Linotype"/>
          <w:sz w:val="22"/>
          <w:szCs w:val="22"/>
        </w:rPr>
        <w:t>y</w:t>
      </w:r>
      <w:r>
        <w:rPr>
          <w:rFonts w:ascii="Palatino Linotype" w:eastAsia="Palatino Linotype" w:hAnsi="Palatino Linotype" w:cs="Palatino Linotype"/>
          <w:b/>
          <w:bCs/>
          <w:i/>
          <w:iCs/>
          <w:sz w:val="22"/>
          <w:szCs w:val="22"/>
        </w:rPr>
        <w:t xml:space="preserve"> saimex 05843.docx”, </w:t>
      </w:r>
      <w:r>
        <w:rPr>
          <w:rFonts w:ascii="Palatino Linotype" w:eastAsia="Palatino Linotype" w:hAnsi="Palatino Linotype" w:cs="Palatino Linotype"/>
          <w:sz w:val="22"/>
          <w:szCs w:val="22"/>
        </w:rPr>
        <w:t xml:space="preserve">mediante los cuales informó: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206010000/7023/2025 de fecha veinticuatro de noviembre de dos mil veinticinco, suscrito por la </w:t>
      </w:r>
      <w:r>
        <w:rPr>
          <w:rFonts w:ascii="Palatino Linotype" w:eastAsia="Palatino Linotype" w:hAnsi="Palatino Linotype" w:cs="Palatino Linotype"/>
          <w:color w:val="000000"/>
          <w:sz w:val="22"/>
          <w:szCs w:val="22"/>
        </w:rPr>
        <w:t xml:space="preserve">Directora General de Administración, en el que informó la entrega de la respuesta emitida por la Dirección de Recursos Humanos. </w:t>
      </w:r>
    </w:p>
    <w:p w:rsidR="00D8442A" w:rsidRDefault="0008055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Nota informativa número 1167/2025 de fecha veinticuatro de noviembre de dos mil veinticinco, suscrito por la Directora de Recur</w:t>
      </w:r>
      <w:r>
        <w:rPr>
          <w:rFonts w:ascii="Palatino Linotype" w:eastAsia="Palatino Linotype" w:hAnsi="Palatino Linotype" w:cs="Palatino Linotype"/>
          <w:color w:val="000000"/>
          <w:sz w:val="22"/>
          <w:szCs w:val="22"/>
        </w:rPr>
        <w:t>sos Humanos, en el que informó que después de realizar una búsqueda exhaustiva no se encontró registro alguno donde contenga lo requerido.</w:t>
      </w:r>
    </w:p>
    <w:p w:rsidR="00D8442A" w:rsidRDefault="0008055E">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cuanto a </w:t>
      </w:r>
      <w:r>
        <w:rPr>
          <w:rFonts w:ascii="Palatino Linotype" w:eastAsia="Palatino Linotype" w:hAnsi="Palatino Linotype" w:cs="Palatino Linotype"/>
          <w:i/>
          <w:iCs/>
          <w:color w:val="000000"/>
          <w:sz w:val="22"/>
          <w:szCs w:val="22"/>
        </w:rPr>
        <w:t>"... recios de nómina de la quincena 1 a la 20 de 2025."</w:t>
      </w:r>
      <w:r>
        <w:rPr>
          <w:rFonts w:ascii="Palatino Linotype" w:eastAsia="Palatino Linotype" w:hAnsi="Palatino Linotype" w:cs="Palatino Linotype"/>
          <w:color w:val="000000"/>
          <w:sz w:val="22"/>
          <w:szCs w:val="22"/>
        </w:rPr>
        <w:t xml:space="preserve"> informó que la información la podrá consultar en</w:t>
      </w:r>
      <w:r>
        <w:rPr>
          <w:rFonts w:ascii="Palatino Linotype" w:eastAsia="Palatino Linotype" w:hAnsi="Palatino Linotype" w:cs="Palatino Linotype"/>
          <w:color w:val="000000"/>
          <w:sz w:val="22"/>
          <w:szCs w:val="22"/>
        </w:rPr>
        <w:t xml:space="preserve"> la página de internet: </w:t>
      </w:r>
      <w:hyperlink r:id="rId8" w:anchor="/info-fraccion/11/197/28">
        <w:r>
          <w:rPr>
            <w:rFonts w:ascii="Palatino Linotype" w:eastAsia="Palatino Linotype" w:hAnsi="Palatino Linotype" w:cs="Palatino Linotype"/>
            <w:color w:val="000000"/>
            <w:sz w:val="22"/>
            <w:szCs w:val="22"/>
            <w:u w:val="single"/>
          </w:rPr>
          <w:t>https://ipomex.org.mx/ipomex/#/info-fraccion/11/197/28</w:t>
        </w:r>
      </w:hyperlink>
      <w:r>
        <w:rPr>
          <w:rFonts w:ascii="Palatino Linotype" w:eastAsia="Palatino Linotype" w:hAnsi="Palatino Linotype" w:cs="Palatino Linotype"/>
          <w:color w:val="000000"/>
          <w:sz w:val="22"/>
          <w:szCs w:val="22"/>
        </w:rPr>
        <w:t xml:space="preserve"> remuneraciones </w:t>
      </w:r>
    </w:p>
    <w:p w:rsidR="00D8442A" w:rsidRDefault="00D8442A">
      <w:pPr>
        <w:spacing w:line="360" w:lineRule="auto"/>
        <w:ind w:right="49"/>
        <w:jc w:val="both"/>
        <w:rPr>
          <w:rFonts w:ascii="Palatino Linotype" w:eastAsia="Palatino Linotype" w:hAnsi="Palatino Linotype" w:cs="Palatino Linotype"/>
          <w:b/>
          <w:bCs/>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3.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diecinueve de diciembre de dos mil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bCs/>
          <w:sz w:val="22"/>
          <w:szCs w:val="22"/>
        </w:rPr>
        <w:t xml:space="preserve">SAIMEX, </w:t>
      </w:r>
      <w:r>
        <w:rPr>
          <w:rFonts w:ascii="Palatino Linotype" w:eastAsia="Palatino Linotype" w:hAnsi="Palatino Linotype" w:cs="Palatino Linotype"/>
          <w:sz w:val="22"/>
          <w:szCs w:val="22"/>
        </w:rPr>
        <w:t>en donde se manifestó de la siguiente manera:</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3"/>
        </w:numPr>
        <w:pBdr>
          <w:top w:val="nil"/>
          <w:left w:val="nil"/>
          <w:bottom w:val="nil"/>
          <w:right w:val="nil"/>
          <w:between w:val="nil"/>
        </w:pBdr>
        <w:tabs>
          <w:tab w:val="left" w:pos="1134"/>
          <w:tab w:val="left" w:pos="2745"/>
        </w:tabs>
        <w:spacing w:line="276" w:lineRule="auto"/>
        <w:ind w:left="851" w:right="616"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 xml:space="preserve">Acto impugnado: </w:t>
      </w:r>
    </w:p>
    <w:p w:rsidR="00D8442A" w:rsidRDefault="0008055E">
      <w:pPr>
        <w:pBdr>
          <w:top w:val="nil"/>
          <w:left w:val="nil"/>
          <w:bottom w:val="nil"/>
          <w:right w:val="nil"/>
          <w:between w:val="nil"/>
        </w:pBdr>
        <w:tabs>
          <w:tab w:val="left" w:pos="1134"/>
          <w:tab w:val="left" w:pos="2745"/>
        </w:tabs>
        <w:spacing w:line="276" w:lineRule="auto"/>
        <w:ind w:left="851" w:right="6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“NO SE ATIENDE LA SOLICITUD NO ME ENTREGARON LA INFORMACIÓN SOLICITADA” (Sic)</w:t>
      </w:r>
    </w:p>
    <w:p w:rsidR="00D8442A" w:rsidRDefault="00D8442A">
      <w:pPr>
        <w:pBdr>
          <w:top w:val="nil"/>
          <w:left w:val="nil"/>
          <w:bottom w:val="nil"/>
          <w:right w:val="nil"/>
          <w:between w:val="nil"/>
        </w:pBdr>
        <w:tabs>
          <w:tab w:val="left" w:pos="1134"/>
          <w:tab w:val="left" w:pos="2745"/>
        </w:tabs>
        <w:spacing w:line="276" w:lineRule="auto"/>
        <w:ind w:left="851" w:right="616"/>
        <w:jc w:val="both"/>
        <w:rPr>
          <w:rFonts w:ascii="Palatino Linotype" w:eastAsia="Palatino Linotype" w:hAnsi="Palatino Linotype" w:cs="Palatino Linotype"/>
          <w:b/>
          <w:bCs/>
          <w:color w:val="000000"/>
          <w:sz w:val="22"/>
          <w:szCs w:val="22"/>
        </w:rPr>
      </w:pPr>
    </w:p>
    <w:p w:rsidR="00D8442A" w:rsidRDefault="0008055E">
      <w:pPr>
        <w:tabs>
          <w:tab w:val="left" w:pos="1134"/>
        </w:tabs>
        <w:spacing w:line="276" w:lineRule="auto"/>
        <w:ind w:left="851" w:right="616"/>
        <w:jc w:val="both"/>
        <w:rPr>
          <w:rFonts w:ascii="Palatino Linotype" w:eastAsia="Palatino Linotype" w:hAnsi="Palatino Linotype" w:cs="Palatino Linotype"/>
          <w:sz w:val="22"/>
          <w:szCs w:val="22"/>
        </w:rPr>
      </w:pPr>
      <w:bookmarkStart w:id="4" w:name="_heading=h.30j0zll" w:colFirst="0" w:colLast="0"/>
      <w:bookmarkEnd w:id="4"/>
      <w:r>
        <w:rPr>
          <w:rFonts w:ascii="Palatino Linotype" w:eastAsia="Palatino Linotype" w:hAnsi="Palatino Linotype" w:cs="Palatino Linotype"/>
          <w:b/>
          <w:bCs/>
          <w:sz w:val="22"/>
          <w:szCs w:val="22"/>
        </w:rPr>
        <w:t>b) Razones o motivos de inconformidad</w:t>
      </w:r>
      <w:r>
        <w:rPr>
          <w:rFonts w:ascii="Palatino Linotype" w:eastAsia="Palatino Linotype" w:hAnsi="Palatino Linotype" w:cs="Palatino Linotype"/>
          <w:sz w:val="22"/>
          <w:szCs w:val="22"/>
        </w:rPr>
        <w:t xml:space="preserve">: </w:t>
      </w:r>
    </w:p>
    <w:p w:rsidR="00D8442A" w:rsidRDefault="0008055E">
      <w:pPr>
        <w:tabs>
          <w:tab w:val="left" w:pos="1134"/>
        </w:tabs>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“NO SE ATIENDE LA SOLICITUD NO ME ENTREGARON LA INFORMACIÓN SOLICITADA” (Sic)</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4. Turno. </w:t>
      </w:r>
      <w:r>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2"/>
          <w:szCs w:val="22"/>
        </w:rPr>
        <w:t xml:space="preserve"> a la Información Pública y Protección de Datos Personales del Estado de México y Municipios, a la Comisionada </w:t>
      </w:r>
      <w:r>
        <w:rPr>
          <w:rFonts w:ascii="Palatino Linotype" w:eastAsia="Palatino Linotype" w:hAnsi="Palatino Linotype" w:cs="Palatino Linotype"/>
          <w:b/>
          <w:bCs/>
          <w:sz w:val="22"/>
          <w:szCs w:val="22"/>
        </w:rPr>
        <w:t xml:space="preserve">Guadalupe Ramírez Peña, </w:t>
      </w:r>
      <w:r>
        <w:rPr>
          <w:rFonts w:ascii="Palatino Linotype" w:eastAsia="Palatino Linotype" w:hAnsi="Palatino Linotype" w:cs="Palatino Linotype"/>
          <w:sz w:val="22"/>
          <w:szCs w:val="22"/>
        </w:rPr>
        <w:t>a efecto de que analizara sobre su admisión o su desechamiento.</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Pr>
          <w:rFonts w:ascii="Palatino Linotype" w:eastAsia="Palatino Linotype" w:hAnsi="Palatino Linotype" w:cs="Palatino Linotype"/>
          <w:b/>
          <w:bCs/>
          <w:sz w:val="22"/>
          <w:szCs w:val="22"/>
        </w:rPr>
        <w:t>5. Admisión del Recurso de revisión.</w:t>
      </w:r>
      <w:r>
        <w:rPr>
          <w:rFonts w:ascii="Palatino Linotype" w:eastAsia="Palatino Linotype" w:hAnsi="Palatino Linotype" w:cs="Palatino Linotype"/>
          <w:sz w:val="22"/>
          <w:szCs w:val="22"/>
        </w:rPr>
        <w:t xml:space="preserve"> El</w:t>
      </w:r>
      <w:r>
        <w:rPr>
          <w:rFonts w:ascii="Palatino Linotype" w:eastAsia="Palatino Linotype" w:hAnsi="Palatino Linotype" w:cs="Palatino Linotype"/>
          <w:b/>
          <w:bCs/>
          <w:sz w:val="22"/>
          <w:szCs w:val="22"/>
        </w:rPr>
        <w:t xml:space="preserve"> quince de enero </w:t>
      </w:r>
      <w:r>
        <w:rPr>
          <w:rFonts w:ascii="Palatino Linotype" w:eastAsia="Palatino Linotype" w:hAnsi="Palatino Linotype" w:cs="Palatino Linotype"/>
          <w:b/>
          <w:bCs/>
          <w:sz w:val="22"/>
          <w:szCs w:val="22"/>
        </w:rPr>
        <w:t xml:space="preserve">de dos mil veintiséis, </w:t>
      </w:r>
      <w:r>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w:t>
      </w:r>
      <w:r>
        <w:rPr>
          <w:rFonts w:ascii="Palatino Linotype" w:eastAsia="Palatino Linotype" w:hAnsi="Palatino Linotype" w:cs="Palatino Linotype"/>
          <w:sz w:val="22"/>
          <w:szCs w:val="22"/>
        </w:rPr>
        <w:t xml:space="preserve">hábiles para que las partes manifestaran lo que a su derecho resultara conveniente, ofrecieran pruebas, formularan alegatos y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presentara su informe justificado.</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widowControl w:val="0"/>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6. Manifestaciones. </w:t>
      </w:r>
      <w:r>
        <w:rPr>
          <w:rFonts w:ascii="Palatino Linotype" w:eastAsia="Palatino Linotype" w:hAnsi="Palatino Linotype" w:cs="Palatino Linotype"/>
          <w:sz w:val="22"/>
          <w:szCs w:val="22"/>
        </w:rPr>
        <w:t xml:space="preserve">De las constancias que integran el expediente electrónico del SAIMEX, se observa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rindió su informe justificado, el </w:t>
      </w:r>
      <w:r>
        <w:rPr>
          <w:rFonts w:ascii="Palatino Linotype" w:eastAsia="Palatino Linotype" w:hAnsi="Palatino Linotype" w:cs="Palatino Linotype"/>
          <w:b/>
          <w:bCs/>
          <w:sz w:val="22"/>
          <w:szCs w:val="22"/>
        </w:rPr>
        <w:t>veintiuno y veintiséis de enero de dos mil veintiséis,</w:t>
      </w:r>
      <w:r>
        <w:rPr>
          <w:rFonts w:ascii="Palatino Linotype" w:eastAsia="Palatino Linotype" w:hAnsi="Palatino Linotype" w:cs="Palatino Linotype"/>
          <w:sz w:val="22"/>
          <w:szCs w:val="22"/>
        </w:rPr>
        <w:t xml:space="preserve"> ello a través de los archivos electrónicos “</w:t>
      </w:r>
      <w:r>
        <w:rPr>
          <w:rFonts w:ascii="Palatino Linotype" w:eastAsia="Palatino Linotype" w:hAnsi="Palatino Linotype" w:cs="Palatino Linotype"/>
          <w:b/>
          <w:bCs/>
          <w:i/>
          <w:iCs/>
          <w:sz w:val="22"/>
          <w:szCs w:val="22"/>
        </w:rPr>
        <w:t xml:space="preserve">14689-2025-DGA.pdf </w:t>
      </w:r>
      <w:r>
        <w:rPr>
          <w:rFonts w:ascii="Palatino Linotype" w:eastAsia="Palatino Linotype" w:hAnsi="Palatino Linotype" w:cs="Palatino Linotype"/>
          <w:sz w:val="22"/>
          <w:szCs w:val="22"/>
        </w:rPr>
        <w:t>y</w:t>
      </w:r>
      <w:r>
        <w:rPr>
          <w:rFonts w:ascii="Palatino Linotype" w:eastAsia="Palatino Linotype" w:hAnsi="Palatino Linotype" w:cs="Palatino Linotype"/>
          <w:b/>
          <w:bCs/>
          <w:i/>
          <w:iCs/>
          <w:sz w:val="22"/>
          <w:szCs w:val="22"/>
        </w:rPr>
        <w:t xml:space="preserve"> Ratificación 14689.pdf”, </w:t>
      </w:r>
      <w:r>
        <w:rPr>
          <w:rFonts w:ascii="Palatino Linotype" w:eastAsia="Palatino Linotype" w:hAnsi="Palatino Linotype" w:cs="Palatino Linotype"/>
          <w:sz w:val="22"/>
          <w:szCs w:val="22"/>
        </w:rPr>
        <w:t xml:space="preserve">los cuales contienen los siguientes documentos: </w:t>
      </w:r>
    </w:p>
    <w:p w:rsidR="00D8442A" w:rsidRDefault="00D8442A">
      <w:pPr>
        <w:widowControl w:val="0"/>
        <w:spacing w:line="360" w:lineRule="auto"/>
        <w:ind w:right="49"/>
        <w:jc w:val="both"/>
        <w:rPr>
          <w:rFonts w:ascii="Palatino Linotype" w:eastAsia="Palatino Linotype" w:hAnsi="Palatino Linotype" w:cs="Palatino Linotype"/>
          <w:sz w:val="22"/>
          <w:szCs w:val="22"/>
        </w:rPr>
      </w:pPr>
    </w:p>
    <w:p w:rsidR="00D8442A" w:rsidRDefault="0008055E">
      <w:pPr>
        <w:widowControl w:val="0"/>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número 206010000/495/2026 de fecha veinte de enero de dos mil veintiséis, suscrito por la Directora General de Administración, en el que ratifica la respuesta inicial de la</w:t>
      </w:r>
      <w:r>
        <w:rPr>
          <w:rFonts w:ascii="Palatino Linotype" w:eastAsia="Palatino Linotype" w:hAnsi="Palatino Linotype" w:cs="Palatino Linotype"/>
          <w:color w:val="000000"/>
          <w:sz w:val="22"/>
          <w:szCs w:val="22"/>
        </w:rPr>
        <w:t xml:space="preserve"> Dirección de Recursos Humanos. </w:t>
      </w:r>
    </w:p>
    <w:p w:rsidR="00D8442A" w:rsidRDefault="0008055E">
      <w:pPr>
        <w:widowControl w:val="0"/>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de fecha veintiséis de enero de dos mil veintiséis, suscrito por el Titular de la Unidad de Transparencia, mediante el cual ratificó la respuesta emitida por la Dirección General de Administración. </w:t>
      </w:r>
    </w:p>
    <w:p w:rsidR="00D8442A" w:rsidRDefault="00D8442A">
      <w:pPr>
        <w:widowControl w:val="0"/>
        <w:spacing w:line="360" w:lineRule="auto"/>
        <w:ind w:right="49"/>
        <w:jc w:val="both"/>
        <w:rPr>
          <w:rFonts w:ascii="Palatino Linotype" w:eastAsia="Palatino Linotype" w:hAnsi="Palatino Linotype" w:cs="Palatino Linotype"/>
          <w:sz w:val="22"/>
          <w:szCs w:val="22"/>
        </w:rPr>
      </w:pPr>
    </w:p>
    <w:p w:rsidR="00D8442A" w:rsidRDefault="0008055E">
      <w:pPr>
        <w:widowControl w:val="0"/>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Documentos que f</w:t>
      </w:r>
      <w:r>
        <w:rPr>
          <w:rFonts w:ascii="Palatino Linotype" w:eastAsia="Palatino Linotype" w:hAnsi="Palatino Linotype" w:cs="Palatino Linotype"/>
          <w:sz w:val="22"/>
          <w:szCs w:val="22"/>
        </w:rPr>
        <w:t xml:space="preserve">ueron hechos del conocimiento 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bCs/>
          <w:sz w:val="22"/>
          <w:szCs w:val="22"/>
        </w:rPr>
        <w:t>once de febrero de dos mil veintiséis</w:t>
      </w:r>
      <w:r>
        <w:rPr>
          <w:rFonts w:ascii="Palatino Linotype" w:eastAsia="Palatino Linotype" w:hAnsi="Palatino Linotype" w:cs="Palatino Linotype"/>
          <w:sz w:val="22"/>
          <w:szCs w:val="22"/>
        </w:rPr>
        <w:t xml:space="preserve">, para que manifestara lo que a su derecho resultara conveniente. No obstante, omitió realizar manifestaciones, por lo que se tiene por precluido su derecho </w:t>
      </w:r>
      <w:r>
        <w:rPr>
          <w:rFonts w:ascii="Palatino Linotype" w:eastAsia="Palatino Linotype" w:hAnsi="Palatino Linotype" w:cs="Palatino Linotype"/>
          <w:sz w:val="22"/>
          <w:szCs w:val="22"/>
        </w:rPr>
        <w:t xml:space="preserve">para tal efecto. </w:t>
      </w:r>
    </w:p>
    <w:p w:rsidR="00D8442A" w:rsidRDefault="00D8442A">
      <w:pPr>
        <w:widowControl w:val="0"/>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7. 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bCs/>
          <w:sz w:val="22"/>
          <w:szCs w:val="22"/>
        </w:rPr>
        <w:t>dieciocho de febrero de dos mil veinticinco,</w:t>
      </w:r>
      <w:r>
        <w:rPr>
          <w:rFonts w:ascii="Palatino Linotype" w:eastAsia="Palatino Linotype" w:hAnsi="Palatino Linotype" w:cs="Palatino Linotype"/>
          <w:sz w:val="22"/>
          <w:szCs w:val="22"/>
        </w:rPr>
        <w:t xml:space="preserve"> la Comisionada Ponente</w:t>
      </w:r>
      <w:r>
        <w:rPr>
          <w:rFonts w:ascii="Palatino Linotype" w:eastAsia="Palatino Linotype" w:hAnsi="Palatino Linotype" w:cs="Palatino Linotype"/>
          <w:sz w:val="22"/>
          <w:szCs w:val="22"/>
        </w:rPr>
        <w:t xml:space="preserve"> determinó el cierre de instrucción en términos de la fracción VI del artículo 185 de la Ley de Transparencia y Acceso a la Información Pública del Estado de México y Municipios.</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sustanciado el expediente electrónico y no e</w:t>
      </w:r>
      <w:r>
        <w:rPr>
          <w:rFonts w:ascii="Palatino Linotype" w:eastAsia="Palatino Linotype" w:hAnsi="Palatino Linotype" w:cs="Palatino Linotype"/>
          <w:sz w:val="22"/>
          <w:szCs w:val="22"/>
        </w:rPr>
        <w:t xml:space="preserve">xiste diligencia pendiente de desahogo, se emite la Resolución que conforme a Derecho proceda, de acuerdo con los siguientes: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widowControl w:val="0"/>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 C O N S I D E R A N D O S</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w:t>
      </w:r>
      <w:r>
        <w:rPr>
          <w:rFonts w:ascii="Palatino Linotype" w:eastAsia="Palatino Linotype" w:hAnsi="Palatino Linotype" w:cs="Palatino Linotype"/>
          <w:sz w:val="22"/>
          <w:szCs w:val="22"/>
        </w:rPr>
        <w:t xml:space="preserve"> de Datos Personales del Estado de México y Municipios, es competente para conocer y resolver el presente recurso de revisión interpuesto por la parte recurrente, conforme a lo dispuesto en los artículos 6, apartado A de la Constitución Política de los Est</w:t>
      </w:r>
      <w:r>
        <w:rPr>
          <w:rFonts w:ascii="Palatino Linotype" w:eastAsia="Palatino Linotype" w:hAnsi="Palatino Linotype" w:cs="Palatino Linotype"/>
          <w:sz w:val="22"/>
          <w:szCs w:val="22"/>
        </w:rPr>
        <w:t>ados Unidos Mexicanos; 5 párrafos cuadragésimo cuarto, cuadragésimo quinto y cuadragésimo sexto, fracciones IV y V de la Constitución Política del Estado Libre y Soberano de México; Transitorio Cuarto, párrafo segundo del Decreto número 198 de la “LXII” Le</w:t>
      </w:r>
      <w:r>
        <w:rPr>
          <w:rFonts w:ascii="Palatino Linotype" w:eastAsia="Palatino Linotype" w:hAnsi="Palatino Linotype" w:cs="Palatino Linotype"/>
          <w:sz w:val="22"/>
          <w:szCs w:val="22"/>
        </w:rPr>
        <w:t>gislatura del Estado de México; 2, fracción II; 29, 36 fracciones I y II; 176, 178, 181, 185, fracción I, 186 y 188 de la Ley Transparencia y Acceso a la Información Pública del Estado de México y Municipios; 9, fracciones I y XXIII y 11 del Reglamento Int</w:t>
      </w:r>
      <w:r>
        <w:rPr>
          <w:rFonts w:ascii="Palatino Linotype" w:eastAsia="Palatino Linotype" w:hAnsi="Palatino Linotype" w:cs="Palatino Linotype"/>
          <w:sz w:val="22"/>
          <w:szCs w:val="22"/>
        </w:rPr>
        <w:t>erior del Instituto de Transparencia, Acceso a la Información Pública y Protección de Datos Personales del Estado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6" w:name="_heading=h.tyjcwt" w:colFirst="0" w:colLast="0"/>
      <w:bookmarkEnd w:id="6"/>
      <w:r>
        <w:rPr>
          <w:rFonts w:ascii="Palatino Linotype" w:eastAsia="Palatino Linotype" w:hAnsi="Palatino Linotype" w:cs="Palatino Linotype"/>
          <w:b/>
          <w:bCs/>
          <w:sz w:val="22"/>
          <w:szCs w:val="22"/>
        </w:rPr>
        <w:t>Segundo. Oportunidad y Procedibilidad del Recurso de Revisión</w:t>
      </w:r>
      <w:r>
        <w:rPr>
          <w:rFonts w:ascii="Palatino Linotype" w:eastAsia="Palatino Linotype" w:hAnsi="Palatino Linotype" w:cs="Palatino Linotype"/>
          <w:sz w:val="22"/>
          <w:szCs w:val="22"/>
        </w:rPr>
        <w:t>. Previo al estudio del fondo del asunto, se procede a a</w:t>
      </w:r>
      <w:r>
        <w:rPr>
          <w:rFonts w:ascii="Palatino Linotype" w:eastAsia="Palatino Linotype" w:hAnsi="Palatino Linotype" w:cs="Palatino Linotype"/>
          <w:sz w:val="22"/>
          <w:szCs w:val="22"/>
        </w:rPr>
        <w:t>nalizar los requisitos de oportunidad y procedibilidad que debe reunir el recurso de revisión interpuesto, previstos en los artículos 178 y 180 de la Ley de Transparencia y Acceso a la Información Pública del Estado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w:t>
      </w:r>
      <w:r>
        <w:rPr>
          <w:rFonts w:ascii="Palatino Linotype" w:eastAsia="Palatino Linotype" w:hAnsi="Palatino Linotype" w:cs="Palatino Linotype"/>
          <w:sz w:val="22"/>
          <w:szCs w:val="22"/>
        </w:rPr>
        <w:t xml:space="preserve">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remitió la respuesta a la solicitud de información el </w:t>
      </w:r>
      <w:r>
        <w:rPr>
          <w:rFonts w:ascii="Palatino Linotype" w:eastAsia="Palatino Linotype" w:hAnsi="Palatino Linotype" w:cs="Palatino Linotype"/>
          <w:b/>
          <w:bCs/>
          <w:sz w:val="22"/>
          <w:szCs w:val="22"/>
        </w:rPr>
        <w:t xml:space="preserve">veintiocho de noviembre de dos mil veinticinco, </w:t>
      </w:r>
      <w:r>
        <w:rPr>
          <w:rFonts w:ascii="Palatino Linotype" w:eastAsia="Palatino Linotype" w:hAnsi="Palatino Linotype" w:cs="Palatino Linotype"/>
          <w:sz w:val="22"/>
          <w:szCs w:val="22"/>
        </w:rPr>
        <w:t xml:space="preserve">mientras que el recurso de revisión interpuesto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se tuvo por presentado el </w:t>
      </w:r>
      <w:r>
        <w:rPr>
          <w:rFonts w:ascii="Palatino Linotype" w:eastAsia="Palatino Linotype" w:hAnsi="Palatino Linotype" w:cs="Palatino Linotype"/>
          <w:b/>
          <w:bCs/>
          <w:sz w:val="22"/>
          <w:szCs w:val="22"/>
        </w:rPr>
        <w:t xml:space="preserve">diecinueve de diciembre de dos mil veinticinco, </w:t>
      </w:r>
      <w:r>
        <w:rPr>
          <w:rFonts w:ascii="Palatino Linotype" w:eastAsia="Palatino Linotype" w:hAnsi="Palatino Linotype" w:cs="Palatino Linotype"/>
          <w:sz w:val="22"/>
          <w:szCs w:val="22"/>
        </w:rPr>
        <w:t>esto es</w:t>
      </w:r>
      <w:r>
        <w:rPr>
          <w:rFonts w:ascii="Palatino Linotype" w:eastAsia="Palatino Linotype" w:hAnsi="Palatino Linotype" w:cs="Palatino Linotype"/>
          <w:sz w:val="22"/>
          <w:szCs w:val="22"/>
        </w:rPr>
        <w:t xml:space="preserve">, el décimo quinto día hábil a aquel en el que tuvo conocimiento de la respuesta impugnada.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al considerar la fecha en que se formuló la solicitud y la fecha en que respondió a esta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en las disposiciones legales referidas.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por cuanto hace a la procedibil</w:t>
      </w:r>
      <w:r>
        <w:rPr>
          <w:rFonts w:ascii="Palatino Linotype" w:eastAsia="Palatino Linotype" w:hAnsi="Palatino Linotype" w:cs="Palatino Linotype"/>
          <w:sz w:val="22"/>
          <w:szCs w:val="22"/>
        </w:rPr>
        <w:t xml:space="preserve">idad del recurso de revisión, es de suma importancia señalar que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no proporcionó nombre o seudónimo con el que desea que se le identifique</w:t>
      </w:r>
      <w:r>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como se advierte en el detalle de seguimiento del SAIMEX, no obstante lo anterior, no proporcion</w:t>
      </w:r>
      <w:r>
        <w:rPr>
          <w:rFonts w:ascii="Palatino Linotype" w:eastAsia="Palatino Linotype" w:hAnsi="Palatino Linotype" w:cs="Palatino Linotype"/>
          <w:sz w:val="22"/>
          <w:szCs w:val="22"/>
        </w:rPr>
        <w:t>ar el nombre no es motivo para archivar la solicitud de acceso a la información pública como concluida, conforme a lo previsto en el artículo 155, penúltimo párrafo de la Ley de Transparencia y Acceso a la Información Pública del Estado de México y Municip</w:t>
      </w:r>
      <w:r>
        <w:rPr>
          <w:rFonts w:ascii="Palatino Linotype" w:eastAsia="Palatino Linotype" w:hAnsi="Palatino Linotype" w:cs="Palatino Linotype"/>
          <w:sz w:val="22"/>
          <w:szCs w:val="22"/>
        </w:rPr>
        <w:t>ios que establece lo siguiente:</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Las solicitudes anónimas,</w:t>
      </w:r>
      <w:r>
        <w:rPr>
          <w:rFonts w:ascii="Palatino Linotype" w:eastAsia="Palatino Linotype" w:hAnsi="Palatino Linotype" w:cs="Palatino Linotype"/>
          <w:i/>
          <w:iCs/>
          <w:sz w:val="22"/>
          <w:szCs w:val="22"/>
        </w:rPr>
        <w:t xml:space="preserve"> con nombre incompleto o</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seudónimo </w:t>
      </w:r>
      <w:r>
        <w:rPr>
          <w:rFonts w:ascii="Palatino Linotype" w:eastAsia="Palatino Linotype" w:hAnsi="Palatino Linotype" w:cs="Palatino Linotype"/>
          <w:b/>
          <w:bCs/>
          <w:i/>
          <w:iCs/>
          <w:sz w:val="22"/>
          <w:szCs w:val="22"/>
        </w:rPr>
        <w:t>serán procedentes para su trámite por parte del sujeto obligado ante quien se presente</w:t>
      </w:r>
      <w:r>
        <w:rPr>
          <w:rFonts w:ascii="Palatino Linotype" w:eastAsia="Palatino Linotype" w:hAnsi="Palatino Linotype" w:cs="Palatino Linotype"/>
          <w:i/>
          <w:iCs/>
          <w:sz w:val="22"/>
          <w:szCs w:val="22"/>
        </w:rPr>
        <w:t>. No podrá requerirse información adicional con motivo del nombre proporcion</w:t>
      </w:r>
      <w:r>
        <w:rPr>
          <w:rFonts w:ascii="Palatino Linotype" w:eastAsia="Palatino Linotype" w:hAnsi="Palatino Linotype" w:cs="Palatino Linotype"/>
          <w:i/>
          <w:iCs/>
          <w:sz w:val="22"/>
          <w:szCs w:val="22"/>
        </w:rPr>
        <w:t>ado por el solicitante."</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D8442A" w:rsidRDefault="00D8442A">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p>
    <w:p w:rsidR="00D8442A" w:rsidRDefault="0008055E">
      <w:pPr>
        <w:tabs>
          <w:tab w:val="left" w:pos="7938"/>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w:t>
      </w:r>
      <w:r>
        <w:rPr>
          <w:rFonts w:ascii="Palatino Linotype" w:eastAsia="Palatino Linotype" w:hAnsi="Palatino Linotype" w:cs="Palatino Linotype"/>
          <w:sz w:val="22"/>
          <w:szCs w:val="22"/>
        </w:rPr>
        <w:t>ecisados por el artículo 180 de la Ley de Transparencia y Acceso a la Información Pública del Estado de México y Municipios, en atención a que fue presentado mediante el formato visible en el SAIMEX.</w:t>
      </w:r>
    </w:p>
    <w:p w:rsidR="00D8442A" w:rsidRDefault="00D8442A">
      <w:pPr>
        <w:tabs>
          <w:tab w:val="left" w:pos="7938"/>
        </w:tabs>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advierte que resulta procedente la inter</w:t>
      </w:r>
      <w:r>
        <w:rPr>
          <w:rFonts w:ascii="Palatino Linotype" w:eastAsia="Palatino Linotype" w:hAnsi="Palatino Linotype" w:cs="Palatino Linotype"/>
          <w:sz w:val="22"/>
          <w:szCs w:val="22"/>
        </w:rPr>
        <w:t xml:space="preserve">posición del recurso, según lo manifestado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D8442A" w:rsidRDefault="00D8442A">
      <w:pPr>
        <w:spacing w:line="276" w:lineRule="auto"/>
        <w:ind w:left="851" w:right="616"/>
        <w:jc w:val="both"/>
        <w:rPr>
          <w:rFonts w:ascii="Palatino Linotype" w:eastAsia="Palatino Linotype" w:hAnsi="Palatino Linotype" w:cs="Palatino Linotype"/>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179.</w:t>
      </w:r>
      <w:r>
        <w:rPr>
          <w:rFonts w:ascii="Palatino Linotype" w:eastAsia="Palatino Linotype" w:hAnsi="Palatino Linotype" w:cs="Palatino Linotype"/>
          <w:i/>
          <w:iCs/>
          <w:sz w:val="22"/>
          <w:szCs w:val="22"/>
        </w:rPr>
        <w:t xml:space="preserve"> El recurso de revisión es un medio de protección</w:t>
      </w:r>
      <w:r>
        <w:rPr>
          <w:rFonts w:ascii="Palatino Linotype" w:eastAsia="Palatino Linotype" w:hAnsi="Palatino Linotype" w:cs="Palatino Linotype"/>
          <w:i/>
          <w:iCs/>
          <w:sz w:val="22"/>
          <w:szCs w:val="22"/>
        </w:rPr>
        <w:t xml:space="preserve"> que la Ley otorga a los particulares, para hacer valer su derecho de acceso a la información pública, y procederá en contra de las siguientes causas: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 La negativa a la información solicitada</w:t>
      </w:r>
      <w:r>
        <w:rPr>
          <w:rFonts w:ascii="Palatino Linotype" w:eastAsia="Palatino Linotype" w:hAnsi="Palatino Linotype" w:cs="Palatino Linotype"/>
          <w:b/>
          <w:bCs/>
          <w:i/>
          <w:iCs/>
          <w:sz w:val="22"/>
          <w:szCs w:val="22"/>
          <w:u w:val="single"/>
        </w:rPr>
        <w:t>;</w:t>
      </w:r>
      <w:r>
        <w:rPr>
          <w:rFonts w:ascii="Palatino Linotype" w:eastAsia="Palatino Linotype" w:hAnsi="Palatino Linotype" w:cs="Palatino Linotype"/>
          <w:b/>
          <w:bCs/>
          <w:i/>
          <w:iCs/>
          <w:sz w:val="22"/>
          <w:szCs w:val="22"/>
        </w:rPr>
        <w:t xml:space="preserve">” </w:t>
      </w:r>
    </w:p>
    <w:p w:rsidR="00D8442A" w:rsidRDefault="0008055E">
      <w:pPr>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sz w:val="22"/>
          <w:szCs w:val="22"/>
        </w:rPr>
        <w:t>(Énfasis añadido)</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Materia de la revisión. </w:t>
      </w:r>
      <w:r>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bCs/>
          <w:sz w:val="22"/>
          <w:szCs w:val="22"/>
        </w:rPr>
        <w:t>verificar si la respuesta e informe justificad</w:t>
      </w:r>
      <w:r>
        <w:rPr>
          <w:rFonts w:ascii="Palatino Linotype" w:eastAsia="Palatino Linotype" w:hAnsi="Palatino Linotype" w:cs="Palatino Linotype"/>
          <w:b/>
          <w:bCs/>
          <w:sz w:val="22"/>
          <w:szCs w:val="22"/>
        </w:rPr>
        <w:t xml:space="preserve">o otorgados por el Sujeto Obligado son adecuados y suficientes para satisfacer el derecho de acceso a la información pública </w:t>
      </w:r>
      <w:r>
        <w:rPr>
          <w:rFonts w:ascii="Palatino Linotype" w:eastAsia="Palatino Linotype" w:hAnsi="Palatino Linotype" w:cs="Palatino Linotype"/>
          <w:sz w:val="22"/>
          <w:szCs w:val="22"/>
        </w:rPr>
        <w:t xml:space="preserve">de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o en su defecto, en caso de ser procedente, ordenar la entrega de información.</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8" w:name="_heading=h.2et92p0" w:colFirst="0" w:colLast="0"/>
      <w:bookmarkEnd w:id="8"/>
      <w:r>
        <w:rPr>
          <w:rFonts w:ascii="Palatino Linotype" w:eastAsia="Palatino Linotype" w:hAnsi="Palatino Linotype" w:cs="Palatino Linotype"/>
          <w:b/>
          <w:bCs/>
          <w:sz w:val="22"/>
          <w:szCs w:val="22"/>
        </w:rPr>
        <w:t xml:space="preserve">Cuarto. Estudio del asunto </w:t>
      </w:r>
      <w:r>
        <w:rPr>
          <w:rFonts w:ascii="Palatino Linotype" w:eastAsia="Palatino Linotype" w:hAnsi="Palatino Linotype" w:cs="Palatino Linotype"/>
          <w:sz w:val="22"/>
          <w:szCs w:val="22"/>
        </w:rPr>
        <w:t xml:space="preserve">Antes de entrar al análisis de los pronunciamientos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w:t>
      </w:r>
      <w:r>
        <w:rPr>
          <w:rFonts w:ascii="Palatino Linotype" w:eastAsia="Palatino Linotype" w:hAnsi="Palatino Linotype" w:cs="Palatino Linotype"/>
          <w:sz w:val="22"/>
          <w:szCs w:val="22"/>
        </w:rPr>
        <w:t>obtenida, adquirida, transformada, administrada o en posesión de los Sujetos Obligados, como así también lo señala la Ley de Transparencia y Acceso a la Información Pública del Estado de México y Municipios en su artículo 4, que toda la información generad</w:t>
      </w:r>
      <w:r>
        <w:rPr>
          <w:rFonts w:ascii="Palatino Linotype" w:eastAsia="Palatino Linotype" w:hAnsi="Palatino Linotype" w:cs="Palatino Linotype"/>
          <w:sz w:val="22"/>
          <w:szCs w:val="22"/>
        </w:rPr>
        <w:t>a, obtenida, adquirida, transformada, administrada o en posesión de los sujetos obligados, es pública y accesible, de manera permanente a cualquier persona, privilegiando el principio de máxima publicidad, como así lo establece dicha determinación, que a c</w:t>
      </w:r>
      <w:r>
        <w:rPr>
          <w:rFonts w:ascii="Palatino Linotype" w:eastAsia="Palatino Linotype" w:hAnsi="Palatino Linotype" w:cs="Palatino Linotype"/>
          <w:sz w:val="22"/>
          <w:szCs w:val="22"/>
        </w:rPr>
        <w:t>ontinuación se transcribe para un mejor entendimiento:</w:t>
      </w:r>
    </w:p>
    <w:p w:rsidR="00D8442A" w:rsidRDefault="00D8442A">
      <w:pPr>
        <w:pBdr>
          <w:top w:val="nil"/>
          <w:left w:val="nil"/>
          <w:bottom w:val="nil"/>
          <w:right w:val="nil"/>
          <w:between w:val="nil"/>
        </w:pBdr>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w:t>
      </w:r>
      <w:r>
        <w:rPr>
          <w:rFonts w:ascii="Palatino Linotype" w:eastAsia="Palatino Linotype" w:hAnsi="Palatino Linotype" w:cs="Palatino Linotype"/>
          <w:i/>
          <w:iCs/>
          <w:sz w:val="22"/>
          <w:szCs w:val="22"/>
        </w:rPr>
        <w:t>de acreditar personalidad ni interés jurídico. </w:t>
      </w:r>
    </w:p>
    <w:p w:rsidR="00D8442A" w:rsidRDefault="0008055E">
      <w:pPr>
        <w:pBdr>
          <w:top w:val="nil"/>
          <w:left w:val="nil"/>
          <w:bottom w:val="nil"/>
          <w:right w:val="nil"/>
          <w:between w:val="nil"/>
        </w:pBd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 en los términos y condicio</w:t>
      </w:r>
      <w:r>
        <w:rPr>
          <w:rFonts w:ascii="Palatino Linotype" w:eastAsia="Palatino Linotype" w:hAnsi="Palatino Linotype" w:cs="Palatino Linotype"/>
          <w:b/>
          <w:bCs/>
          <w:i/>
          <w:iCs/>
          <w:sz w:val="22"/>
          <w:szCs w:val="22"/>
        </w:rPr>
        <w:t>nes que se establezcan en los tratados internacionales de los que el Estado mexicano sea parte, en la Ley General, la presente Ley y demás disposiciones de la materia, privilegiando el principio de máxima publicidad de la información. Solo podrá ser clasif</w:t>
      </w:r>
      <w:r>
        <w:rPr>
          <w:rFonts w:ascii="Palatino Linotype" w:eastAsia="Palatino Linotype" w:hAnsi="Palatino Linotype" w:cs="Palatino Linotype"/>
          <w:b/>
          <w:bCs/>
          <w:i/>
          <w:iCs/>
          <w:sz w:val="22"/>
          <w:szCs w:val="22"/>
        </w:rPr>
        <w:t>icada excepcionalmente Ley de Transparencia y Acceso a la Información Pública del Estado de México y Municipios 29 como reservada temporalmente por razones de interés público, en los términos de las causas legítimas y estrictamente necesarias previstas por</w:t>
      </w:r>
      <w:r>
        <w:rPr>
          <w:rFonts w:ascii="Palatino Linotype" w:eastAsia="Palatino Linotype" w:hAnsi="Palatino Linotype" w:cs="Palatino Linotype"/>
          <w:b/>
          <w:bCs/>
          <w:i/>
          <w:iCs/>
          <w:sz w:val="22"/>
          <w:szCs w:val="22"/>
        </w:rPr>
        <w:t xml:space="preserve"> esta Ley.</w:t>
      </w:r>
    </w:p>
    <w:p w:rsidR="00D8442A" w:rsidRDefault="0008055E">
      <w:pPr>
        <w:pBdr>
          <w:top w:val="nil"/>
          <w:left w:val="nil"/>
          <w:bottom w:val="nil"/>
          <w:right w:val="nil"/>
          <w:between w:val="nil"/>
        </w:pBd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precedente, se de</w:t>
      </w:r>
      <w:r>
        <w:rPr>
          <w:rFonts w:ascii="Palatino Linotype" w:eastAsia="Palatino Linotype" w:hAnsi="Palatino Linotype" w:cs="Palatino Linotype"/>
          <w:sz w:val="22"/>
          <w:szCs w:val="22"/>
        </w:rPr>
        <w:t>sprende que los Sujetos Obligados tiene la obligación o deber de atender las solicitudes de acceso a la información pública que se les hagan de su conocimiento y proporcionar la información pública que obren en su poder como así lo establece el artículo 12</w:t>
      </w:r>
      <w:r>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iCs/>
          <w:sz w:val="22"/>
          <w:szCs w:val="22"/>
        </w:rPr>
        <w:t xml:space="preserve">conforme al interés del solicitante; no estarán obligados a generarla, resumirla, efectuar cálculos o practicar investigaciones.”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el derecho de acceso a la información pública se satisface en aquellos casos en que se entregue documento en q</w:t>
      </w:r>
      <w:r>
        <w:rPr>
          <w:rFonts w:ascii="Palatino Linotype" w:eastAsia="Palatino Linotype" w:hAnsi="Palatino Linotype" w:cs="Palatino Linotype"/>
          <w:sz w:val="22"/>
          <w:szCs w:val="22"/>
        </w:rPr>
        <w:t>ue conste la información requerida, toda vez que, los Sujetos Obligados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iCs/>
          <w:sz w:val="22"/>
          <w:szCs w:val="22"/>
        </w:rPr>
        <w:t>ad hoc</w:t>
      </w:r>
      <w:r>
        <w:rPr>
          <w:rFonts w:ascii="Palatino Linotype" w:eastAsia="Palatino Linotype" w:hAnsi="Palatino Linotype" w:cs="Palatino Linotype"/>
          <w:sz w:val="22"/>
          <w:szCs w:val="22"/>
        </w:rPr>
        <w:t>, para sati</w:t>
      </w:r>
      <w:r>
        <w:rPr>
          <w:rFonts w:ascii="Palatino Linotype" w:eastAsia="Palatino Linotype" w:hAnsi="Palatino Linotype" w:cs="Palatino Linotype"/>
          <w:sz w:val="22"/>
          <w:szCs w:val="22"/>
        </w:rPr>
        <w:t>sfacer el derecho de acceso a la información pública, como así lo establece el criterio orientador 03/17 emitido por el entonces Instituto Nacional de Transparencia, Acceso a la Información Pública y Protección de Datos Personales, el cual señala lo siguie</w:t>
      </w:r>
      <w:r>
        <w:rPr>
          <w:rFonts w:ascii="Palatino Linotype" w:eastAsia="Palatino Linotype" w:hAnsi="Palatino Linotype" w:cs="Palatino Linotype"/>
          <w:sz w:val="22"/>
          <w:szCs w:val="22"/>
        </w:rPr>
        <w:t>nte: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“NO EXISTE OBLIGACIÓN DE ELABORAR DOCUMENTOS AD HOC PARA ATENDER LAS SOLICITUDES DE ACCESO A LA INFORMACIÓN.</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w:t>
      </w:r>
      <w:r>
        <w:rPr>
          <w:rFonts w:ascii="Palatino Linotype" w:eastAsia="Palatino Linotype" w:hAnsi="Palatino Linotype" w:cs="Palatino Linotype"/>
          <w:i/>
          <w:iCs/>
          <w:sz w:val="22"/>
          <w:szCs w:val="22"/>
        </w:rPr>
        <w:t>cia y Acceso a la Información Pública, señalan que los sujetos obligados deberán otorgar acceso a los documentos que se encuentren en sus archivos o que estén obligados a documentar, de acuerdo con sus facultades, competencias o funciones, conforme a Las c</w:t>
      </w:r>
      <w:r>
        <w:rPr>
          <w:rFonts w:ascii="Palatino Linotype" w:eastAsia="Palatino Linotype" w:hAnsi="Palatino Linotype" w:cs="Palatino Linotype"/>
          <w:i/>
          <w:iCs/>
          <w:sz w:val="22"/>
          <w:szCs w:val="22"/>
        </w:rPr>
        <w:t xml:space="preserve">aracterísticas físicas de la información o del lugar donde se encuentre. Por lo anterior, los sujetos obligados deben garantizar el derecho de acceso a la información del particular, proporcionando la información con la que cuentan en el formato en que la </w:t>
      </w:r>
      <w:r>
        <w:rPr>
          <w:rFonts w:ascii="Palatino Linotype" w:eastAsia="Palatino Linotype" w:hAnsi="Palatino Linotype" w:cs="Palatino Linotype"/>
          <w:i/>
          <w:iCs/>
          <w:sz w:val="22"/>
          <w:szCs w:val="22"/>
        </w:rPr>
        <w:t>misma obre en sus archivos; sin necesidad de elaborar documentos ad hoc para atender las solicitudes de información.”</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y aunado a lo antepuesto, el último párrafo del artículo 24 de la Ley de la materia, dispone que los Sujetos Obligados só</w:t>
      </w:r>
      <w:r>
        <w:rPr>
          <w:rFonts w:ascii="Palatino Linotype" w:eastAsia="Palatino Linotype" w:hAnsi="Palatino Linotype" w:cs="Palatino Linotype"/>
          <w:sz w:val="22"/>
          <w:szCs w:val="22"/>
        </w:rPr>
        <w:t xml:space="preserve">lo proporcionarán la información pública que generen, administren o posean en el ejercicio de sus atribuciones; por consiguiente, la información pública se encuentra a disposición de cualquier persona, lo que implica que es deber de los Sujetos Obligados, </w:t>
      </w:r>
      <w:r>
        <w:rPr>
          <w:rFonts w:ascii="Palatino Linotype" w:eastAsia="Palatino Linotype" w:hAnsi="Palatino Linotype" w:cs="Palatino Linotype"/>
          <w:sz w:val="22"/>
          <w:szCs w:val="22"/>
        </w:rPr>
        <w:t>garantizar el Derecho de Acceso a la Información Pública.</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w:t>
      </w:r>
      <w:r>
        <w:rPr>
          <w:rFonts w:ascii="Palatino Linotype" w:eastAsia="Palatino Linotype" w:hAnsi="Palatino Linotype" w:cs="Palatino Linotype"/>
          <w:sz w:val="22"/>
          <w:szCs w:val="22"/>
        </w:rPr>
        <w:t>s Obligados para cuidar esta información a través del acuerdo clasificatorio del comité de transparencia y la versión pública que emita el servidor público habilitado de cada Sujeto Obligado; como así se establece en la Ley de Transparencia y Acceso a la I</w:t>
      </w:r>
      <w:r>
        <w:rPr>
          <w:rFonts w:ascii="Palatino Linotype" w:eastAsia="Palatino Linotype" w:hAnsi="Palatino Linotype" w:cs="Palatino Linotype"/>
          <w:sz w:val="22"/>
          <w:szCs w:val="22"/>
        </w:rPr>
        <w:t>nformación Pública del Estado de México y Municipios.</w:t>
      </w:r>
    </w:p>
    <w:p w:rsidR="00D8442A" w:rsidRDefault="00D844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w:t>
      </w:r>
      <w:r>
        <w:rPr>
          <w:rFonts w:ascii="Palatino Linotype" w:eastAsia="Palatino Linotype" w:hAnsi="Palatino Linotype" w:cs="Palatino Linotype"/>
          <w:sz w:val="22"/>
          <w:szCs w:val="22"/>
        </w:rPr>
        <w:t>irectivas, directrices, circulares, contratos, convenios, instructivos, notas, memorandos, estadísticas o bien, cualquier otro registro que documente el ejercicio de las facultades, funciones y competencias de los Sujetos Obligados; los que, podrán estar e</w:t>
      </w:r>
      <w:r>
        <w:rPr>
          <w:rFonts w:ascii="Palatino Linotype" w:eastAsia="Palatino Linotype" w:hAnsi="Palatino Linotype" w:cs="Palatino Linotype"/>
          <w:sz w:val="22"/>
          <w:szCs w:val="22"/>
        </w:rPr>
        <w:t>n cualquier medio, sea escrito, impreso, sonoro, visual, electrónico, informático u holográfico de conformidad con el artículo 3, fracción XI de la Ley de la materia, el cual señala lo siguiente: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3. </w:t>
      </w:r>
      <w:r>
        <w:rPr>
          <w:rFonts w:ascii="Palatino Linotype" w:eastAsia="Palatino Linotype" w:hAnsi="Palatino Linotype" w:cs="Palatino Linotype"/>
          <w:i/>
          <w:iCs/>
          <w:sz w:val="22"/>
          <w:szCs w:val="22"/>
        </w:rPr>
        <w:t>Para los efectos de la presente Ley se entend</w:t>
      </w:r>
      <w:r>
        <w:rPr>
          <w:rFonts w:ascii="Palatino Linotype" w:eastAsia="Palatino Linotype" w:hAnsi="Palatino Linotype" w:cs="Palatino Linotype"/>
          <w:i/>
          <w:iCs/>
          <w:sz w:val="22"/>
          <w:szCs w:val="22"/>
        </w:rPr>
        <w:t>erá por:</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XI. Documento:</w:t>
      </w:r>
      <w:r>
        <w:rPr>
          <w:rFonts w:ascii="Palatino Linotype" w:eastAsia="Palatino Linotype" w:hAnsi="Palatino Linotype" w:cs="Palatino Linotype"/>
          <w:i/>
          <w:iCs/>
          <w:sz w:val="22"/>
          <w:szCs w:val="22"/>
        </w:rPr>
        <w:t xml:space="preserve"> Los expedientes, reportes, estudios, actas, resoluciones, oficios, correspondencia, acuerdos, directivas, directrices, circulares, contratos, convenios, instructivos, notas, memorandos, estadísticas o bien, cualquier otro registro</w:t>
      </w:r>
      <w:r>
        <w:rPr>
          <w:rFonts w:ascii="Palatino Linotype" w:eastAsia="Palatino Linotype" w:hAnsi="Palatino Linotype" w:cs="Palatino Linotype"/>
          <w:i/>
          <w:iCs/>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w:t>
      </w:r>
      <w:r>
        <w:rPr>
          <w:rFonts w:ascii="Palatino Linotype" w:eastAsia="Palatino Linotype" w:hAnsi="Palatino Linotype" w:cs="Palatino Linotype"/>
          <w:i/>
          <w:iCs/>
          <w:sz w:val="22"/>
          <w:szCs w:val="22"/>
        </w:rPr>
        <w:t>noro, visual, electrónico, informático u holográfico</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w:t>
      </w:r>
      <w:r>
        <w:rPr>
          <w:rFonts w:ascii="Palatino Linotype" w:eastAsia="Palatino Linotype" w:hAnsi="Palatino Linotype" w:cs="Palatino Linotype"/>
          <w:sz w:val="22"/>
          <w:szCs w:val="22"/>
        </w:rPr>
        <w:t>México y Municipios; publicado en el Periódico Oficial del Gobierno del Estado Libre y Soberano de México “Gaceta del Gobierno”, el diecinueve de octubre de dos mil once, cuyo rubro y texto refieren lo siguiente:</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w:t>
      </w:r>
      <w:r>
        <w:rPr>
          <w:rFonts w:ascii="Palatino Linotype" w:eastAsia="Palatino Linotype" w:hAnsi="Palatino Linotype" w:cs="Palatino Linotype"/>
          <w:i/>
          <w:iCs/>
          <w:sz w:val="22"/>
          <w:szCs w:val="22"/>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iCs/>
          <w:sz w:val="22"/>
          <w:szCs w:val="22"/>
        </w:rPr>
        <w:t xml:space="preserve"> su fuente, soporte o fecha de elaboración.</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D8442A" w:rsidRDefault="0008055E">
      <w:pPr>
        <w:numPr>
          <w:ilvl w:val="0"/>
          <w:numId w:val="1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Que se trate de información registrada en cualquier soporte documental, que en ejercicio de las </w:t>
      </w:r>
      <w:r>
        <w:rPr>
          <w:rFonts w:ascii="Palatino Linotype" w:eastAsia="Palatino Linotype" w:hAnsi="Palatino Linotype" w:cs="Palatino Linotype"/>
          <w:i/>
          <w:iCs/>
          <w:sz w:val="22"/>
          <w:szCs w:val="22"/>
        </w:rPr>
        <w:t>atribuciones conferidas, sea generada por los Sujetos Obligados;</w:t>
      </w:r>
    </w:p>
    <w:p w:rsidR="00D8442A" w:rsidRDefault="0008055E">
      <w:pPr>
        <w:numPr>
          <w:ilvl w:val="0"/>
          <w:numId w:val="11"/>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Que se trate de información registrada en cualquier soporte documental, que en ejercicio de las atribuciones conferidas, sea administrada por los Sujetos Obligados, y</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 xml:space="preserve">3. </w:t>
      </w:r>
      <w:r>
        <w:rPr>
          <w:rFonts w:ascii="Palatino Linotype" w:eastAsia="Palatino Linotype" w:hAnsi="Palatino Linotype" w:cs="Palatino Linotype"/>
          <w:b/>
          <w:bCs/>
          <w:i/>
          <w:iCs/>
          <w:sz w:val="22"/>
          <w:szCs w:val="22"/>
        </w:rPr>
        <w:t>Que se trate de infor</w:t>
      </w:r>
      <w:r>
        <w:rPr>
          <w:rFonts w:ascii="Palatino Linotype" w:eastAsia="Palatino Linotype" w:hAnsi="Palatino Linotype" w:cs="Palatino Linotype"/>
          <w:b/>
          <w:bCs/>
          <w:i/>
          <w:iCs/>
          <w:sz w:val="22"/>
          <w:szCs w:val="22"/>
        </w:rPr>
        <w:t xml:space="preserve">mación registrada en cualquier soporte documental, que en ejercicio de las atribuciones conferidas, se encuentre en posesión de los Sujetos Obligados.” </w:t>
      </w:r>
      <w:r>
        <w:rPr>
          <w:rFonts w:ascii="Palatino Linotype" w:eastAsia="Palatino Linotype" w:hAnsi="Palatino Linotype" w:cs="Palatino Linotype"/>
          <w:i/>
          <w:iCs/>
          <w:sz w:val="22"/>
          <w:szCs w:val="22"/>
        </w:rPr>
        <w:t>(Énfasis añadido)</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ahí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w:t>
      </w:r>
      <w:r>
        <w:rPr>
          <w:rFonts w:ascii="Palatino Linotype" w:eastAsia="Palatino Linotype" w:hAnsi="Palatino Linotype" w:cs="Palatino Linotype"/>
          <w:sz w:val="22"/>
          <w:szCs w:val="22"/>
        </w:rPr>
        <w:t>que se genere de acuerdo con sus facultades, atribuciones señaladas por la Ley en la materia, así como de interés público, es decir, aquella que resulta relevante o beneficiosa para la sociedad y no simplemente de interés individual, y cuya divulgación res</w:t>
      </w:r>
      <w:r>
        <w:rPr>
          <w:rFonts w:ascii="Palatino Linotype" w:eastAsia="Palatino Linotype" w:hAnsi="Palatino Linotype" w:cs="Palatino Linotype"/>
          <w:sz w:val="22"/>
          <w:szCs w:val="22"/>
        </w:rPr>
        <w:t>ulta útil para que el público comprenda las actividades que llevan a cabo los Sujetos Obligados.</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w:t>
      </w:r>
      <w:r>
        <w:rPr>
          <w:rFonts w:ascii="Palatino Linotype" w:eastAsia="Palatino Linotype" w:hAnsi="Palatino Linotype" w:cs="Palatino Linotype"/>
          <w:sz w:val="22"/>
          <w:szCs w:val="22"/>
        </w:rPr>
        <w:t xml:space="preserve">parte solicitante requirió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le proporcionara lo siguiente: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numPr>
          <w:ilvl w:val="0"/>
          <w:numId w:val="4"/>
        </w:numPr>
        <w:pBdr>
          <w:top w:val="nil"/>
          <w:left w:val="nil"/>
          <w:bottom w:val="nil"/>
          <w:right w:val="nil"/>
          <w:between w:val="nil"/>
        </w:pBdr>
        <w:spacing w:line="360" w:lineRule="auto"/>
        <w:ind w:left="1134" w:right="616" w:hanging="283"/>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Del titular de la Unidad de Transparencia: </w:t>
      </w:r>
    </w:p>
    <w:p w:rsidR="00D8442A" w:rsidRDefault="0008055E">
      <w:pPr>
        <w:numPr>
          <w:ilvl w:val="0"/>
          <w:numId w:val="9"/>
        </w:numPr>
        <w:pBdr>
          <w:top w:val="nil"/>
          <w:left w:val="nil"/>
          <w:bottom w:val="nil"/>
          <w:right w:val="nil"/>
          <w:between w:val="nil"/>
        </w:pBdr>
        <w:spacing w:line="360" w:lineRule="auto"/>
        <w:ind w:left="1560" w:right="616" w:hanging="28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Certificación de competencia laboral </w:t>
      </w:r>
    </w:p>
    <w:p w:rsidR="00D8442A" w:rsidRDefault="00D8442A">
      <w:pPr>
        <w:pBdr>
          <w:top w:val="nil"/>
          <w:left w:val="nil"/>
          <w:bottom w:val="nil"/>
          <w:right w:val="nil"/>
          <w:between w:val="nil"/>
        </w:pBdr>
        <w:spacing w:line="360" w:lineRule="auto"/>
        <w:ind w:left="1134" w:right="616" w:hanging="283"/>
        <w:rPr>
          <w:rFonts w:ascii="Palatino Linotype" w:eastAsia="Palatino Linotype" w:hAnsi="Palatino Linotype" w:cs="Palatino Linotype"/>
          <w:color w:val="000000"/>
          <w:sz w:val="22"/>
          <w:szCs w:val="22"/>
        </w:rPr>
      </w:pPr>
    </w:p>
    <w:p w:rsidR="00D8442A" w:rsidRDefault="0008055E">
      <w:pPr>
        <w:numPr>
          <w:ilvl w:val="0"/>
          <w:numId w:val="4"/>
        </w:numPr>
        <w:pBdr>
          <w:top w:val="nil"/>
          <w:left w:val="nil"/>
          <w:bottom w:val="nil"/>
          <w:right w:val="nil"/>
          <w:between w:val="nil"/>
        </w:pBdr>
        <w:spacing w:line="360" w:lineRule="auto"/>
        <w:ind w:left="1134" w:right="616" w:hanging="283"/>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De los servidores públicos de la Unidad de Transparencia: </w:t>
      </w:r>
    </w:p>
    <w:p w:rsidR="00D8442A" w:rsidRDefault="0008055E">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Expediente laboral </w:t>
      </w:r>
    </w:p>
    <w:p w:rsidR="00D8442A" w:rsidRDefault="0008055E">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Alta issemym </w:t>
      </w:r>
    </w:p>
    <w:p w:rsidR="00D8442A" w:rsidRDefault="0008055E">
      <w:pPr>
        <w:numPr>
          <w:ilvl w:val="0"/>
          <w:numId w:val="8"/>
        </w:numPr>
        <w:pBdr>
          <w:top w:val="nil"/>
          <w:left w:val="nil"/>
          <w:bottom w:val="nil"/>
          <w:right w:val="nil"/>
          <w:between w:val="nil"/>
        </w:pBdr>
        <w:spacing w:line="360" w:lineRule="auto"/>
        <w:ind w:left="1560" w:right="616" w:hanging="28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Recibos de nómina de la primera quincena de enero a la segunda quincena de octubre de dos mil veinticinco.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se pronunció por conducto de la Directora de Recursos Humanos quien informó que</w:t>
      </w:r>
      <w:r>
        <w:t xml:space="preserve"> </w:t>
      </w:r>
      <w:r>
        <w:rPr>
          <w:rFonts w:ascii="Palatino Linotype" w:eastAsia="Palatino Linotype" w:hAnsi="Palatino Linotype" w:cs="Palatino Linotype"/>
          <w:sz w:val="22"/>
          <w:szCs w:val="22"/>
        </w:rPr>
        <w:t>después de realizar una búsqueda e</w:t>
      </w:r>
      <w:r>
        <w:rPr>
          <w:rFonts w:ascii="Palatino Linotype" w:eastAsia="Palatino Linotype" w:hAnsi="Palatino Linotype" w:cs="Palatino Linotype"/>
          <w:sz w:val="22"/>
          <w:szCs w:val="22"/>
        </w:rPr>
        <w:t xml:space="preserve">xhaustiva no se encontró registro alguno donde contenga lo requerido; aunado a ello refirió que en cuanto a </w:t>
      </w:r>
      <w:r>
        <w:rPr>
          <w:rFonts w:ascii="Palatino Linotype" w:eastAsia="Palatino Linotype" w:hAnsi="Palatino Linotype" w:cs="Palatino Linotype"/>
          <w:i/>
          <w:iCs/>
          <w:sz w:val="22"/>
          <w:szCs w:val="22"/>
        </w:rPr>
        <w:t>"... recios de nómina de la quincena 1 a la 20 de 2025."</w:t>
      </w:r>
      <w:r>
        <w:rPr>
          <w:rFonts w:ascii="Palatino Linotype" w:eastAsia="Palatino Linotype" w:hAnsi="Palatino Linotype" w:cs="Palatino Linotype"/>
          <w:sz w:val="22"/>
          <w:szCs w:val="22"/>
        </w:rPr>
        <w:t xml:space="preserve">, la podrá consultar en la página de internet: </w:t>
      </w:r>
      <w:hyperlink r:id="rId9" w:anchor="/info-fraccion/11/197/28">
        <w:r>
          <w:rPr>
            <w:rFonts w:ascii="Palatino Linotype" w:eastAsia="Palatino Linotype" w:hAnsi="Palatino Linotype" w:cs="Palatino Linotype"/>
            <w:color w:val="000000"/>
            <w:sz w:val="22"/>
            <w:szCs w:val="22"/>
            <w:u w:val="single"/>
          </w:rPr>
          <w:t>https://ipomex.org.mx/ipomex/#/info-fraccion/11/197/28</w:t>
        </w:r>
      </w:hyperlink>
      <w:r>
        <w:rPr>
          <w:rFonts w:ascii="Palatino Linotype" w:eastAsia="Palatino Linotype" w:hAnsi="Palatino Linotype" w:cs="Palatino Linotype"/>
          <w:sz w:val="22"/>
          <w:szCs w:val="22"/>
        </w:rPr>
        <w:t xml:space="preserve"> remuneraciones.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esta tesitura, una vez conocida la respuesta emitida por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al no estar conforme con los términos de la misma, interpuso el recurso de revisión que nos ocupa, inconformándose medularmente por la negativa a la información solicitada.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las cosas, durante la etapa de manifestaciones e informe justificado, se tie</w:t>
      </w:r>
      <w:r>
        <w:rPr>
          <w:rFonts w:ascii="Palatino Linotype" w:eastAsia="Palatino Linotype" w:hAnsi="Palatino Linotype" w:cs="Palatino Linotype"/>
          <w:sz w:val="22"/>
          <w:szCs w:val="22"/>
        </w:rPr>
        <w:t xml:space="preserve">ne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ratifico su respuesta inicial; mientras que la parte</w:t>
      </w:r>
      <w:r>
        <w:rPr>
          <w:rFonts w:ascii="Palatino Linotype" w:eastAsia="Palatino Linotype" w:hAnsi="Palatino Linotype" w:cs="Palatino Linotype"/>
          <w:b/>
          <w:bCs/>
          <w:sz w:val="22"/>
          <w:szCs w:val="22"/>
        </w:rPr>
        <w:t xml:space="preserve"> Recurrente </w:t>
      </w:r>
      <w:r>
        <w:rPr>
          <w:rFonts w:ascii="Palatino Linotype" w:eastAsia="Palatino Linotype" w:hAnsi="Palatino Linotype" w:cs="Palatino Linotype"/>
          <w:sz w:val="22"/>
          <w:szCs w:val="22"/>
        </w:rPr>
        <w:t>fue omisa en rendir sus manifestaciones, por lo que se tiene por precluido el plazo para tal efecto y se procede a emitir la resolución que conforme a derecho corresp</w:t>
      </w:r>
      <w:r>
        <w:rPr>
          <w:rFonts w:ascii="Palatino Linotype" w:eastAsia="Palatino Linotype" w:hAnsi="Palatino Linotype" w:cs="Palatino Linotype"/>
          <w:sz w:val="22"/>
          <w:szCs w:val="22"/>
        </w:rPr>
        <w:t xml:space="preserve">onda.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en principio es de recordar que, quien dio atención a la solicitud de información fue la Dirección de Recursos Humanos adscrita a la Dirección General de Administración, situación por la que, de acuerdo con el artículo 162 de la </w:t>
      </w:r>
      <w:r>
        <w:rPr>
          <w:rFonts w:ascii="Palatino Linotype" w:eastAsia="Palatino Linotype" w:hAnsi="Palatino Linotype" w:cs="Palatino Linotype"/>
          <w:sz w:val="22"/>
          <w:szCs w:val="22"/>
        </w:rPr>
        <w:t xml:space="preserve">Ley de Transparencia y Acceso a la Información Pública del Estado de México y Municipios, se establece que las Unidades de Transparencia garantizarán que las solicitudes de acceso a la información se turnen a todas las áreas competentes que cuenten con la </w:t>
      </w:r>
      <w:r>
        <w:rPr>
          <w:rFonts w:ascii="Palatino Linotype" w:eastAsia="Palatino Linotype" w:hAnsi="Palatino Linotype" w:cs="Palatino Linotype"/>
          <w:sz w:val="22"/>
          <w:szCs w:val="22"/>
        </w:rPr>
        <w:t xml:space="preserve">información o deban tenerla -de acuerdo a las facultades, competencias y funciones-, con el objeto de que dichas áreas realicen una búsqueda exhaustiva y razonable de la información requerida.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En ese sentido, según Jarquín, Soledad (2019), en el “Diccion</w:t>
      </w:r>
      <w:r>
        <w:rPr>
          <w:rFonts w:ascii="Palatino Linotype" w:eastAsia="Palatino Linotype" w:hAnsi="Palatino Linotype" w:cs="Palatino Linotype"/>
          <w:sz w:val="22"/>
          <w:szCs w:val="22"/>
        </w:rPr>
        <w:t xml:space="preserve">ario de Transparencia y Acceso a la Información Pública” (p. 68), </w:t>
      </w:r>
      <w:r>
        <w:rPr>
          <w:rFonts w:ascii="Palatino Linotype" w:eastAsia="Palatino Linotype" w:hAnsi="Palatino Linotype" w:cs="Palatino Linotype"/>
          <w:b/>
          <w:bCs/>
          <w:sz w:val="22"/>
          <w:szCs w:val="22"/>
        </w:rPr>
        <w:t>la búsqueda exhaustiva</w:t>
      </w:r>
      <w:r>
        <w:rPr>
          <w:rFonts w:ascii="Palatino Linotype" w:eastAsia="Palatino Linotype" w:hAnsi="Palatino Linotype" w:cs="Palatino Linotype"/>
          <w:sz w:val="22"/>
          <w:szCs w:val="22"/>
        </w:rPr>
        <w:t xml:space="preserve"> es la obligación del área administrativa del Sujeto Obligado que cuenta o puede contar con la información requerida, la cual consiste en localizar toda aquella que ati</w:t>
      </w:r>
      <w:r>
        <w:rPr>
          <w:rFonts w:ascii="Palatino Linotype" w:eastAsia="Palatino Linotype" w:hAnsi="Palatino Linotype" w:cs="Palatino Linotype"/>
          <w:sz w:val="22"/>
          <w:szCs w:val="22"/>
        </w:rPr>
        <w:t>enda la solicitud, hasta agotar por completo las posibilidades de indagación.</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ello, es de referir que el Ente Recurrido turnó la solicitud de información a la unidad administrativa competente, la cual de conformidad con el Código Reglamentario del </w:t>
      </w:r>
      <w:r>
        <w:rPr>
          <w:rFonts w:ascii="Palatino Linotype" w:eastAsia="Palatino Linotype" w:hAnsi="Palatino Linotype" w:cs="Palatino Linotype"/>
          <w:b/>
          <w:bCs/>
          <w:sz w:val="22"/>
          <w:szCs w:val="22"/>
        </w:rPr>
        <w:t>Suj</w:t>
      </w:r>
      <w:r>
        <w:rPr>
          <w:rFonts w:ascii="Palatino Linotype" w:eastAsia="Palatino Linotype" w:hAnsi="Palatino Linotype" w:cs="Palatino Linotype"/>
          <w:b/>
          <w:bCs/>
          <w:sz w:val="22"/>
          <w:szCs w:val="22"/>
        </w:rPr>
        <w:t>eto Obligado</w:t>
      </w:r>
      <w:r>
        <w:rPr>
          <w:rFonts w:ascii="Palatino Linotype" w:eastAsia="Palatino Linotype" w:hAnsi="Palatino Linotype" w:cs="Palatino Linotype"/>
          <w:sz w:val="22"/>
          <w:szCs w:val="22"/>
        </w:rPr>
        <w:t xml:space="preserve">, cuenta con las siguientes atribuciones: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 DIRECCIÓN GENERAL DE ADMINISTRACIÓN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3.40</w:t>
      </w:r>
      <w:r>
        <w:rPr>
          <w:rFonts w:ascii="Palatino Linotype" w:eastAsia="Palatino Linotype" w:hAnsi="Palatino Linotype" w:cs="Palatino Linotype"/>
          <w:i/>
          <w:iCs/>
          <w:sz w:val="22"/>
          <w:szCs w:val="22"/>
        </w:rPr>
        <w:t>. La o el titular de la Dirección General de Administración, tiene las siguientes atribuciones: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Coordinar y dirigir los sistemas de reclutamiento, selección, contratación e inducción y desarrollo de personal;</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Autorizar las altas, bajas, cambios, permisos, licencias, comisiones del personal entre otras, para su trámite y efectos;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 DIREC</w:t>
      </w:r>
      <w:r>
        <w:rPr>
          <w:rFonts w:ascii="Palatino Linotype" w:eastAsia="Palatino Linotype" w:hAnsi="Palatino Linotype" w:cs="Palatino Linotype"/>
          <w:b/>
          <w:bCs/>
          <w:i/>
          <w:iCs/>
          <w:sz w:val="22"/>
          <w:szCs w:val="22"/>
        </w:rPr>
        <w:t>CIÓN DE RECURSOS HUMANOS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3.42</w:t>
      </w:r>
      <w:r>
        <w:rPr>
          <w:rFonts w:ascii="Palatino Linotype" w:eastAsia="Palatino Linotype" w:hAnsi="Palatino Linotype" w:cs="Palatino Linotype"/>
          <w:i/>
          <w:iCs/>
          <w:sz w:val="22"/>
          <w:szCs w:val="22"/>
        </w:rPr>
        <w:t xml:space="preserve">. La o el titular de la Dirección de Recursos Humanos cuenta con las siguientes atribuciones: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Elaborar, operar y mejorar los procedimientos administrativos de control para la selección, reclutamiento, contratación,</w:t>
      </w:r>
      <w:r>
        <w:rPr>
          <w:rFonts w:ascii="Palatino Linotype" w:eastAsia="Palatino Linotype" w:hAnsi="Palatino Linotype" w:cs="Palatino Linotype"/>
          <w:i/>
          <w:iCs/>
          <w:sz w:val="22"/>
          <w:szCs w:val="22"/>
        </w:rPr>
        <w:t xml:space="preserve"> escalafón, capacitación, retiro, sanción, comisión y desarrollo del personal al servicio del Municipio;</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Aplicar las disposiciones legales laborales que rigen al personal del Ayuntamiento;</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Registrar las altas, reingresos, bajas, cambios de catego</w:t>
      </w:r>
      <w:r>
        <w:rPr>
          <w:rFonts w:ascii="Palatino Linotype" w:eastAsia="Palatino Linotype" w:hAnsi="Palatino Linotype" w:cs="Palatino Linotype"/>
          <w:i/>
          <w:iCs/>
          <w:sz w:val="22"/>
          <w:szCs w:val="22"/>
        </w:rPr>
        <w:t>ría y adscripción, permisos y licencias por incapacidad, entre otras, del personal, y su correcta aplicación;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 Coadyuvar con la Tesorería Municipal en la elaboración y distribución oportuna de la nómina para el pago al personal que labora en el Ayuntami</w:t>
      </w:r>
      <w:r>
        <w:rPr>
          <w:rFonts w:ascii="Palatino Linotype" w:eastAsia="Palatino Linotype" w:hAnsi="Palatino Linotype" w:cs="Palatino Linotype"/>
          <w:i/>
          <w:iCs/>
          <w:sz w:val="22"/>
          <w:szCs w:val="22"/>
        </w:rPr>
        <w:t>ento, por concepto de sueldos, prestaciones, liquidaciones y finiquitos apegándose al presupuesto autorizado aplicado a través del capítulo 1000; así como en lo relativo a las determinaciones de los impuestos y la emisión de los CFDI correspondientes una v</w:t>
      </w:r>
      <w:r>
        <w:rPr>
          <w:rFonts w:ascii="Palatino Linotype" w:eastAsia="Palatino Linotype" w:hAnsi="Palatino Linotype" w:cs="Palatino Linotype"/>
          <w:i/>
          <w:iCs/>
          <w:sz w:val="22"/>
          <w:szCs w:val="22"/>
        </w:rPr>
        <w:t>ez realizado el pago…”</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que, se colige que quien dio atención a la solicitud de información, fue la unidad administrativa competente.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 se procede al estudio de la información solicitada, al tenor de lo siguiente:</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4"/>
        </w:numPr>
        <w:pBdr>
          <w:top w:val="nil"/>
          <w:left w:val="nil"/>
          <w:bottom w:val="nil"/>
          <w:right w:val="nil"/>
          <w:between w:val="nil"/>
        </w:pBdr>
        <w:ind w:left="567" w:right="49" w:hanging="283"/>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Certificación de competencia laboral del Titular de la Unidad de Transparencia.</w:t>
      </w:r>
    </w:p>
    <w:p w:rsidR="00D8442A" w:rsidRDefault="00D8442A">
      <w:pPr>
        <w:pBdr>
          <w:top w:val="nil"/>
          <w:left w:val="nil"/>
          <w:bottom w:val="nil"/>
          <w:right w:val="nil"/>
          <w:between w:val="nil"/>
        </w:pBdr>
        <w:ind w:left="567" w:right="49" w:hanging="360"/>
        <w:rPr>
          <w:rFonts w:ascii="Palatino Linotype" w:eastAsia="Palatino Linotype" w:hAnsi="Palatino Linotype" w:cs="Palatino Linotype"/>
          <w:b/>
          <w:bCs/>
          <w:color w:val="000000"/>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Respecto a este requerimiento, resulta oportuno traer a contexto lo referido </w:t>
      </w:r>
      <w:r>
        <w:rPr>
          <w:rFonts w:ascii="Palatino Linotype" w:eastAsia="Palatino Linotype" w:hAnsi="Palatino Linotype" w:cs="Palatino Linotype"/>
          <w:sz w:val="22"/>
          <w:szCs w:val="22"/>
        </w:rPr>
        <w:t xml:space="preserve">en la Ley de Transparencia y Acceso a la Información Pública del Estado de México y Municipios, misma que establece: </w:t>
      </w:r>
    </w:p>
    <w:p w:rsidR="00D8442A" w:rsidRDefault="00D8442A">
      <w:pPr>
        <w:spacing w:line="276" w:lineRule="auto"/>
        <w:ind w:left="851" w:right="616"/>
        <w:jc w:val="both"/>
        <w:rPr>
          <w:rFonts w:ascii="Palatino Linotype" w:eastAsia="Palatino Linotype" w:hAnsi="Palatino Linotype" w:cs="Palatino Linotype"/>
          <w:b/>
          <w:bCs/>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57</w:t>
      </w:r>
      <w:r>
        <w:rPr>
          <w:rFonts w:ascii="Palatino Linotype" w:eastAsia="Palatino Linotype" w:hAnsi="Palatino Linotype" w:cs="Palatino Linotype"/>
          <w:i/>
          <w:iCs/>
          <w:sz w:val="22"/>
          <w:szCs w:val="22"/>
        </w:rPr>
        <w:t xml:space="preserve">. El responsable de la Unidad de Transparencia deberá tener el perfil adecuado para el cumplimiento de las obligaciones que se derivan de la presente Ley. </w:t>
      </w:r>
      <w:r>
        <w:rPr>
          <w:rFonts w:ascii="Palatino Linotype" w:eastAsia="Palatino Linotype" w:hAnsi="Palatino Linotype" w:cs="Palatino Linotype"/>
          <w:b/>
          <w:bCs/>
          <w:i/>
          <w:iCs/>
          <w:sz w:val="22"/>
          <w:szCs w:val="22"/>
          <w:u w:val="single"/>
        </w:rPr>
        <w:t>Para ser nombrado titular de la Unidad de Transparencia, deberá cumplir</w:t>
      </w:r>
      <w:r>
        <w:rPr>
          <w:rFonts w:ascii="Palatino Linotype" w:eastAsia="Palatino Linotype" w:hAnsi="Palatino Linotype" w:cs="Palatino Linotype"/>
          <w:i/>
          <w:iCs/>
          <w:sz w:val="22"/>
          <w:szCs w:val="22"/>
          <w:u w:val="single"/>
        </w:rPr>
        <w:t>,</w:t>
      </w:r>
      <w:r>
        <w:rPr>
          <w:rFonts w:ascii="Palatino Linotype" w:eastAsia="Palatino Linotype" w:hAnsi="Palatino Linotype" w:cs="Palatino Linotype"/>
          <w:i/>
          <w:iCs/>
          <w:sz w:val="22"/>
          <w:szCs w:val="22"/>
        </w:rPr>
        <w:t xml:space="preserve"> por lo menos, con los siguie</w:t>
      </w:r>
      <w:r>
        <w:rPr>
          <w:rFonts w:ascii="Palatino Linotype" w:eastAsia="Palatino Linotype" w:hAnsi="Palatino Linotype" w:cs="Palatino Linotype"/>
          <w:i/>
          <w:iCs/>
          <w:sz w:val="22"/>
          <w:szCs w:val="22"/>
        </w:rPr>
        <w:t xml:space="preserve">ntes requisitos: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Contar con conocimiento o, tratándose de las entidades gubernamentales estatales y los municipios </w:t>
      </w:r>
      <w:r>
        <w:rPr>
          <w:rFonts w:ascii="Palatino Linotype" w:eastAsia="Palatino Linotype" w:hAnsi="Palatino Linotype" w:cs="Palatino Linotype"/>
          <w:b/>
          <w:bCs/>
          <w:i/>
          <w:iCs/>
          <w:sz w:val="22"/>
          <w:szCs w:val="22"/>
          <w:u w:val="single"/>
        </w:rPr>
        <w:t>certificación en materia de acceso a la información, transparencia y protección de datos personales</w:t>
      </w:r>
      <w:r>
        <w:rPr>
          <w:rFonts w:ascii="Palatino Linotype" w:eastAsia="Palatino Linotype" w:hAnsi="Palatino Linotype" w:cs="Palatino Linotype"/>
          <w:i/>
          <w:iCs/>
          <w:sz w:val="22"/>
          <w:szCs w:val="22"/>
        </w:rPr>
        <w:t>, que para tal efecto emita el Instituto;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ello, para ser nombrado Titular de la Unidad de Transparencia, deberá contar con la certificación en materia de acceso a la información y protección de datos personales que emite el Instituto.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w:t>
      </w:r>
      <w:r>
        <w:rPr>
          <w:rFonts w:ascii="Palatino Linotype" w:eastAsia="Palatino Linotype" w:hAnsi="Palatino Linotype" w:cs="Palatino Linotype"/>
          <w:sz w:val="22"/>
          <w:szCs w:val="22"/>
        </w:rPr>
        <w:t>ás es importante señalar que, se localizó la Convocatoria del Primer Proceso de Evaluación para obtener la Certificación en el Estándar Laboral EC 1057 “Garantizar el Derecho de Acceso a la Información Pública” 2025, el cual fue aprobado en la Séptima Sesi</w:t>
      </w:r>
      <w:r>
        <w:rPr>
          <w:rFonts w:ascii="Palatino Linotype" w:eastAsia="Palatino Linotype" w:hAnsi="Palatino Linotype" w:cs="Palatino Linotype"/>
          <w:sz w:val="22"/>
          <w:szCs w:val="22"/>
        </w:rPr>
        <w:t xml:space="preserve">ón Ordinaria celebrada el veintiséis de febrero de dos mil veinticinco. </w:t>
      </w:r>
    </w:p>
    <w:p w:rsidR="00D8442A" w:rsidRDefault="00D8442A">
      <w:pPr>
        <w:spacing w:line="360" w:lineRule="auto"/>
        <w:rPr>
          <w:rFonts w:ascii="Palatino Linotype" w:eastAsia="Palatino Linotype" w:hAnsi="Palatino Linotype" w:cs="Palatino Linotype"/>
          <w:sz w:val="22"/>
          <w:szCs w:val="22"/>
        </w:rPr>
      </w:pPr>
    </w:p>
    <w:p w:rsidR="00D8442A" w:rsidRDefault="0008055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371750" cy="2040737"/>
            <wp:effectExtent l="0" t="0" r="0" b="0"/>
            <wp:docPr id="2143108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371750" cy="2040737"/>
                    </a:xfrm>
                    <a:prstGeom prst="rect">
                      <a:avLst/>
                    </a:prstGeom>
                    <a:ln/>
                  </pic:spPr>
                </pic:pic>
              </a:graphicData>
            </a:graphic>
          </wp:inline>
        </w:drawing>
      </w:r>
    </w:p>
    <w:p w:rsidR="00D8442A" w:rsidRDefault="0008055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rsidR="00D8442A" w:rsidRDefault="0008055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71185" cy="723265"/>
            <wp:effectExtent l="0" t="0" r="0" b="0"/>
            <wp:docPr id="2143108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71185" cy="723265"/>
                    </a:xfrm>
                    <a:prstGeom prst="rect">
                      <a:avLst/>
                    </a:prstGeom>
                    <a:ln/>
                  </pic:spPr>
                </pic:pic>
              </a:graphicData>
            </a:graphic>
          </wp:inline>
        </w:drawing>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de la búsqueda realizada en el Portal de Información Pública de Oficio Mexiquense, se encontró que el actual Titular de la Unidad de Transparencia ostentó su c</w:t>
      </w:r>
      <w:r>
        <w:rPr>
          <w:rFonts w:ascii="Palatino Linotype" w:eastAsia="Palatino Linotype" w:hAnsi="Palatino Linotype" w:cs="Palatino Linotype"/>
          <w:sz w:val="22"/>
          <w:szCs w:val="22"/>
        </w:rPr>
        <w:t>argo el uno de enero de dos mil veinticinco, tal como se advierte a continuación:</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876300"/>
            <wp:effectExtent l="0" t="0" r="0" b="0"/>
            <wp:docPr id="2143108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876300"/>
                    </a:xfrm>
                    <a:prstGeom prst="rect">
                      <a:avLst/>
                    </a:prstGeom>
                    <a:ln/>
                  </pic:spPr>
                </pic:pic>
              </a:graphicData>
            </a:graphic>
          </wp:inline>
        </w:drawing>
      </w:r>
      <w:r>
        <w:rPr>
          <w:rFonts w:ascii="Palatino Linotype" w:eastAsia="Palatino Linotype" w:hAnsi="Palatino Linotype" w:cs="Palatino Linotype"/>
          <w:sz w:val="22"/>
          <w:szCs w:val="22"/>
        </w:rPr>
        <w:t xml:space="preserve"> </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forma que, se considera que, el servidor público debe contar con dicha certificación de competencia laboral ya que, como se mencionó, a la fecha en que ostentó el</w:t>
      </w:r>
      <w:r>
        <w:rPr>
          <w:rFonts w:ascii="Palatino Linotype" w:eastAsia="Palatino Linotype" w:hAnsi="Palatino Linotype" w:cs="Palatino Linotype"/>
          <w:sz w:val="22"/>
          <w:szCs w:val="22"/>
        </w:rPr>
        <w:t xml:space="preserve"> cargo fue el uno de enero de dos mil veinticinco y la solicitud de información se presentó el seis de noviembre de dos mil veinticinco, entendiéndose que a la fecha de la solicitud el servidor público ya debe contar con la certificación. </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Señalado lo ant</w:t>
      </w:r>
      <w:r>
        <w:rPr>
          <w:rFonts w:ascii="Palatino Linotype" w:eastAsia="Palatino Linotype" w:hAnsi="Palatino Linotype" w:cs="Palatino Linotype"/>
          <w:sz w:val="22"/>
          <w:szCs w:val="22"/>
        </w:rPr>
        <w:t xml:space="preserve">erior, conviene recordar que en respuesta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 la Directora de Recursos Humanos informó que después de realizar una búsqueda exhaustiva no se encontró registro alguno donde contenga lo requerido, lo cual no resulta claro, ya que no refiere específicamente si cuenta o no con las certificaci</w:t>
      </w:r>
      <w:r>
        <w:rPr>
          <w:rFonts w:ascii="Palatino Linotype" w:eastAsia="Palatino Linotype" w:hAnsi="Palatino Linotype" w:cs="Palatino Linotype"/>
          <w:sz w:val="22"/>
          <w:szCs w:val="22"/>
        </w:rPr>
        <w:t xml:space="preserve">ones de competencia laboral del servidor público solicitado, pues como ya fue precisado en líneas que anteceden, a la fecha de la solicitud dicha certificación debe obrar en los archivos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de tal forma que, se considera que no existe cer</w:t>
      </w:r>
      <w:r>
        <w:rPr>
          <w:rFonts w:ascii="Palatino Linotype" w:eastAsia="Palatino Linotype" w:hAnsi="Palatino Linotype" w:cs="Palatino Linotype"/>
          <w:sz w:val="22"/>
          <w:szCs w:val="22"/>
        </w:rPr>
        <w:t>tidumbre respecto de la atención otorgada a este punto de la solicitud; por consiguiente, se considera procedente ordenar la entrega del Certificados de Competencia Laboral del Titular de la Unidad de Transparencia, en versión pública de procedente, en tér</w:t>
      </w:r>
      <w:r>
        <w:rPr>
          <w:rFonts w:ascii="Palatino Linotype" w:eastAsia="Palatino Linotype" w:hAnsi="Palatino Linotype" w:cs="Palatino Linotype"/>
          <w:sz w:val="22"/>
          <w:szCs w:val="22"/>
        </w:rPr>
        <w:t xml:space="preserve">minos del considerando quinto. </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numPr>
          <w:ilvl w:val="0"/>
          <w:numId w:val="10"/>
        </w:numPr>
        <w:pBdr>
          <w:top w:val="nil"/>
          <w:left w:val="nil"/>
          <w:bottom w:val="nil"/>
          <w:right w:val="nil"/>
          <w:between w:val="nil"/>
        </w:pBdr>
        <w:ind w:right="616"/>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De los servidores públicos de la Unidad de Transparencia: Expediente laboral </w:t>
      </w:r>
    </w:p>
    <w:p w:rsidR="00D8442A" w:rsidRDefault="00D8442A">
      <w:pPr>
        <w:pBdr>
          <w:top w:val="nil"/>
          <w:left w:val="nil"/>
          <w:bottom w:val="nil"/>
          <w:right w:val="nil"/>
          <w:between w:val="nil"/>
        </w:pBdr>
        <w:ind w:left="720" w:right="616" w:hanging="360"/>
        <w:rPr>
          <w:rFonts w:ascii="Palatino Linotype" w:eastAsia="Palatino Linotype" w:hAnsi="Palatino Linotype" w:cs="Palatino Linotype"/>
          <w:b/>
          <w:bCs/>
          <w:color w:val="000000"/>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Respecto a este punto de la solicitud, resulta conveniente traer a colación el artículo 47, de la Ley del Trabajo de los Servidores Públicos del Estado de México y Municipios, el cual establece, que para ingresar al servicio público se requiere, entre otro</w:t>
      </w:r>
      <w:r>
        <w:rPr>
          <w:rFonts w:ascii="Palatino Linotype" w:eastAsia="Palatino Linotype" w:hAnsi="Palatino Linotype" w:cs="Palatino Linotype"/>
          <w:sz w:val="22"/>
          <w:szCs w:val="22"/>
        </w:rPr>
        <w:t xml:space="preserve">s, presentar una solicitud utilizando la forma oficial que se autorice por la dependencia correspondiente tal como se observa a continuación: </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47. Para ingresar al servicio público se requiere: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 Presentar una solicitud utilizando la forma oficial que se autorice por la institución pública o dependencia correspondiente;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II. Ser de nacionalidad mexicana, con la excepción prevista en el artículo 17 de la presente ley;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III. Estar en pleno ejercic</w:t>
      </w:r>
      <w:r>
        <w:rPr>
          <w:rFonts w:ascii="Palatino Linotype" w:eastAsia="Palatino Linotype" w:hAnsi="Palatino Linotype" w:cs="Palatino Linotype"/>
          <w:b/>
          <w:bCs/>
          <w:i/>
          <w:iCs/>
          <w:sz w:val="22"/>
          <w:szCs w:val="22"/>
        </w:rPr>
        <w:t xml:space="preserve">io de sus derechos civiles y políticos, en su caso;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IV. Acreditar, cuando proceda, el cumplimiento de la Ley del Servicio Militar Nacional;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 Derogada.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VI. No haber sido separado anteriormente del servicio por las causas previstas en el artículo 93 de </w:t>
      </w:r>
      <w:r>
        <w:rPr>
          <w:rFonts w:ascii="Palatino Linotype" w:eastAsia="Palatino Linotype" w:hAnsi="Palatino Linotype" w:cs="Palatino Linotype"/>
          <w:b/>
          <w:bCs/>
          <w:i/>
          <w:iCs/>
          <w:sz w:val="22"/>
          <w:szCs w:val="22"/>
        </w:rPr>
        <w:t xml:space="preserve">la presente ley;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VII. Tener buena salud, lo que se comprobará con los certificados médicos correspondientes, en la forma en que se establezca en cada institución pública;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VIII. Cumplir con los requisitos que se establezcan para los diferentes puestos;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IX. Acreditar por medio de los exámenes correspondientes los conocimientos y aptitudes necesarios para el desempeño del puesto; y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X. No estar inhabilitado para el ejercicio del servicio público.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XI. Presentar certificado expedido por la Unidad del Regist</w:t>
      </w:r>
      <w:r>
        <w:rPr>
          <w:rFonts w:ascii="Palatino Linotype" w:eastAsia="Palatino Linotype" w:hAnsi="Palatino Linotype" w:cs="Palatino Linotype"/>
          <w:b/>
          <w:bCs/>
          <w:i/>
          <w:iCs/>
          <w:sz w:val="22"/>
          <w:szCs w:val="22"/>
        </w:rPr>
        <w:t xml:space="preserve">ro de Deudores Alimentarios Morosos en el que conste, si se encuentra inscrito o no en el mismo. </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La institución o dependencia que reciba un certificado en que conste que la persona que se incorpora al servicio público se encuentra inscrito el Registro de</w:t>
      </w:r>
      <w:r>
        <w:rPr>
          <w:rFonts w:ascii="Palatino Linotype" w:eastAsia="Palatino Linotype" w:hAnsi="Palatino Linotype" w:cs="Palatino Linotype"/>
          <w:i/>
          <w:iCs/>
          <w:sz w:val="22"/>
          <w:szCs w:val="22"/>
        </w:rPr>
        <w:t xml:space="preserve"> Deudores Alimentarios Morosos deberá dar aviso al juez de conocimiento de dicha circunstancia, para los efectos legales a que haya lugar.”</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Es así que, sobre el expediente del personal de los Sujetos Obligados, resulta oportuno traer a contexto el conteni</w:t>
      </w:r>
      <w:r>
        <w:rPr>
          <w:rFonts w:ascii="Palatino Linotype" w:eastAsia="Palatino Linotype" w:hAnsi="Palatino Linotype" w:cs="Palatino Linotype"/>
          <w:sz w:val="22"/>
          <w:szCs w:val="22"/>
        </w:rPr>
        <w:t xml:space="preserve">do del artículo 98 fracción XVII, de la Ley anteriormente mencionada que refiere que son obligaciones de las instituciones públicas, el </w:t>
      </w:r>
      <w:r>
        <w:rPr>
          <w:rFonts w:ascii="Palatino Linotype" w:eastAsia="Palatino Linotype" w:hAnsi="Palatino Linotype" w:cs="Palatino Linotype"/>
          <w:b/>
          <w:bCs/>
          <w:sz w:val="22"/>
          <w:szCs w:val="22"/>
          <w:u w:val="single"/>
        </w:rPr>
        <w:t>integrar los expedientes de los servidores públicos</w:t>
      </w:r>
      <w:r>
        <w:rPr>
          <w:rFonts w:ascii="Palatino Linotype" w:eastAsia="Palatino Linotype" w:hAnsi="Palatino Linotype" w:cs="Palatino Linotype"/>
          <w:sz w:val="22"/>
          <w:szCs w:val="22"/>
        </w:rPr>
        <w:t xml:space="preserve"> y proporcionar las constancias que éstos soliciten para el trámite d</w:t>
      </w:r>
      <w:r>
        <w:rPr>
          <w:rFonts w:ascii="Palatino Linotype" w:eastAsia="Palatino Linotype" w:hAnsi="Palatino Linotype" w:cs="Palatino Linotype"/>
          <w:sz w:val="22"/>
          <w:szCs w:val="22"/>
        </w:rPr>
        <w:t>e los asuntos de su interés en los términos que señalen los ordenamientos respectivos, se inserta su contenido íntegro:</w:t>
      </w:r>
    </w:p>
    <w:p w:rsidR="00D8442A" w:rsidRDefault="0008055E">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“TITULO CUARTO</w:t>
      </w:r>
    </w:p>
    <w:p w:rsidR="00D8442A" w:rsidRDefault="0008055E">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las Obligaciones de las Instituciones Públicas</w:t>
      </w:r>
    </w:p>
    <w:p w:rsidR="00D8442A" w:rsidRDefault="0008055E">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CAPITULO I</w:t>
      </w:r>
    </w:p>
    <w:p w:rsidR="00D8442A" w:rsidRDefault="0008055E">
      <w:pPr>
        <w:pBdr>
          <w:top w:val="nil"/>
          <w:left w:val="nil"/>
          <w:bottom w:val="nil"/>
          <w:right w:val="nil"/>
          <w:between w:val="nil"/>
        </w:pBdr>
        <w:spacing w:line="276" w:lineRule="auto"/>
        <w:ind w:left="851" w:right="616"/>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las Obligaciones en General</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98. Son obligaciones de las instituciones públicas:</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XVII. Integrar los expedientes de los servidores públicos </w:t>
      </w:r>
      <w:r>
        <w:rPr>
          <w:rFonts w:ascii="Palatino Linotype" w:eastAsia="Palatino Linotype" w:hAnsi="Palatino Linotype" w:cs="Palatino Linotype"/>
          <w:i/>
          <w:iCs/>
          <w:sz w:val="22"/>
          <w:szCs w:val="22"/>
        </w:rPr>
        <w:t>y proporcionar las constancias que éstos soliciten para el trámite de los asuntos de su interés en los términos que señalen los ordenam</w:t>
      </w:r>
      <w:r>
        <w:rPr>
          <w:rFonts w:ascii="Palatino Linotype" w:eastAsia="Palatino Linotype" w:hAnsi="Palatino Linotype" w:cs="Palatino Linotype"/>
          <w:i/>
          <w:iCs/>
          <w:sz w:val="22"/>
          <w:szCs w:val="22"/>
        </w:rPr>
        <w:t>ientos respectivos.</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D8442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lo expuesto hasta este punto, se tiene la obligación de integrar el expediente de personal, donde obran todos aquellos documentos que se relacionan con cada uno de los servidores públicos, así como los documentos que amparen que se cumplieron los requi</w:t>
      </w:r>
      <w:r>
        <w:rPr>
          <w:rFonts w:ascii="Palatino Linotype" w:eastAsia="Palatino Linotype" w:hAnsi="Palatino Linotype" w:cs="Palatino Linotype"/>
          <w:sz w:val="22"/>
          <w:szCs w:val="22"/>
        </w:rPr>
        <w:t>sitos establecidos en el artículo 47 de la Ley en Materia.</w:t>
      </w:r>
    </w:p>
    <w:p w:rsidR="00D8442A" w:rsidRDefault="00D8442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rsidR="00D8442A" w:rsidRDefault="0008055E">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tocante a los </w:t>
      </w:r>
      <w:r>
        <w:rPr>
          <w:rFonts w:ascii="Palatino Linotype" w:eastAsia="Palatino Linotype" w:hAnsi="Palatino Linotype" w:cs="Palatino Linotype"/>
          <w:i/>
          <w:iCs/>
          <w:sz w:val="22"/>
          <w:szCs w:val="22"/>
        </w:rPr>
        <w:t>documentos que integran los expedientes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solicitados por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se procede a señalar los requisitos generales contenidos en los articulados 47, 48 y 49, de l</w:t>
      </w:r>
      <w:r>
        <w:rPr>
          <w:rFonts w:ascii="Palatino Linotype" w:eastAsia="Palatino Linotype" w:hAnsi="Palatino Linotype" w:cs="Palatino Linotype"/>
          <w:sz w:val="22"/>
          <w:szCs w:val="22"/>
        </w:rPr>
        <w:t>a Ley del Trabado de los Servidores Públicos del Estado de México y Municipios, así como el documento idóneo con el que se pudiera acreditar, siendo estos los siguientes:</w:t>
      </w:r>
    </w:p>
    <w:p w:rsidR="00D8442A" w:rsidRDefault="00D8442A">
      <w:pPr>
        <w:rPr>
          <w:rFonts w:ascii="Palatino Linotype" w:eastAsia="Palatino Linotype" w:hAnsi="Palatino Linotype" w:cs="Palatino Linotype"/>
          <w:sz w:val="22"/>
          <w:szCs w:val="22"/>
        </w:rPr>
      </w:pPr>
    </w:p>
    <w:tbl>
      <w:tblPr>
        <w:tblStyle w:val="af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D8442A">
        <w:trPr>
          <w:tblHeader/>
        </w:trPr>
        <w:tc>
          <w:tcPr>
            <w:tcW w:w="3767" w:type="dxa"/>
            <w:shd w:val="clear" w:color="auto" w:fill="DBEEF3"/>
            <w:vAlign w:val="center"/>
          </w:tcPr>
          <w:p w:rsidR="00D8442A" w:rsidRDefault="0008055E">
            <w:pPr>
              <w:tabs>
                <w:tab w:val="left" w:pos="284"/>
                <w:tab w:val="left" w:pos="426"/>
              </w:tabs>
              <w:ind w:right="49"/>
              <w:jc w:val="center"/>
              <w:rPr>
                <w:rFonts w:ascii="Palatino Linotype" w:eastAsia="Palatino Linotype" w:hAnsi="Palatino Linotype" w:cs="Palatino Linotype"/>
                <w:b/>
                <w:bCs/>
              </w:rPr>
            </w:pPr>
            <w:r>
              <w:rPr>
                <w:rFonts w:ascii="Palatino Linotype" w:eastAsia="Palatino Linotype" w:hAnsi="Palatino Linotype" w:cs="Palatino Linotype"/>
                <w:b/>
                <w:bCs/>
              </w:rPr>
              <w:t>Requisito establecido en la Ley del Trabajo de los Servidores Públicos del Estado y Municipios</w:t>
            </w:r>
          </w:p>
        </w:tc>
        <w:tc>
          <w:tcPr>
            <w:tcW w:w="2607" w:type="dxa"/>
            <w:shd w:val="clear" w:color="auto" w:fill="DBEEF3"/>
            <w:vAlign w:val="center"/>
          </w:tcPr>
          <w:p w:rsidR="00D8442A" w:rsidRDefault="0008055E">
            <w:pPr>
              <w:tabs>
                <w:tab w:val="left" w:pos="284"/>
                <w:tab w:val="left" w:pos="426"/>
              </w:tabs>
              <w:ind w:right="49"/>
              <w:jc w:val="center"/>
              <w:rPr>
                <w:rFonts w:ascii="Palatino Linotype" w:eastAsia="Palatino Linotype" w:hAnsi="Palatino Linotype" w:cs="Palatino Linotype"/>
                <w:b/>
                <w:bCs/>
              </w:rPr>
            </w:pPr>
            <w:r>
              <w:rPr>
                <w:rFonts w:ascii="Palatino Linotype" w:eastAsia="Palatino Linotype" w:hAnsi="Palatino Linotype" w:cs="Palatino Linotype"/>
                <w:b/>
                <w:bCs/>
              </w:rPr>
              <w:t>Documento que lo acredita</w:t>
            </w:r>
          </w:p>
        </w:tc>
        <w:tc>
          <w:tcPr>
            <w:tcW w:w="2410" w:type="dxa"/>
            <w:shd w:val="clear" w:color="auto" w:fill="DBEEF3"/>
            <w:vAlign w:val="center"/>
          </w:tcPr>
          <w:p w:rsidR="00D8442A" w:rsidRDefault="0008055E">
            <w:pPr>
              <w:tabs>
                <w:tab w:val="left" w:pos="284"/>
                <w:tab w:val="left" w:pos="426"/>
              </w:tabs>
              <w:ind w:right="49"/>
              <w:jc w:val="center"/>
              <w:rPr>
                <w:rFonts w:ascii="Palatino Linotype" w:eastAsia="Palatino Linotype" w:hAnsi="Palatino Linotype" w:cs="Palatino Linotype"/>
                <w:b/>
                <w:bCs/>
              </w:rPr>
            </w:pPr>
            <w:r>
              <w:rPr>
                <w:rFonts w:ascii="Palatino Linotype" w:eastAsia="Palatino Linotype" w:hAnsi="Palatino Linotype" w:cs="Palatino Linotype"/>
                <w:b/>
                <w:bCs/>
              </w:rPr>
              <w:t>Clasificación de la Información</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Presentar una solicitud utilizando la forma oficial que se autorice por la institución pública o dependencia correspondiente.</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Solicitud de empleo, ficha curricular, currículum vitae o documento análogo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r w:rsidR="00D8442A">
        <w:trPr>
          <w:trHeight w:val="517"/>
        </w:trPr>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Ser de nacionalidad mexicana.</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Act</w:t>
            </w:r>
            <w:r>
              <w:rPr>
                <w:rFonts w:ascii="Palatino Linotype" w:eastAsia="Palatino Linotype" w:hAnsi="Palatino Linotype" w:cs="Palatino Linotype"/>
              </w:rPr>
              <w:t>a de nacimiento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Estar en pleno ejercicio de sus derechos civiles y políticos.</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Derogado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N/A</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Acreditar, cuando proceda, el cumplimiento de la Ley del Servicio Militar Nacional.</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Cartilla de Servicio Militar</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No haber sido separado anteriormente del servicio por las causas previstas en el artículo 93 de la presente ley.</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Manifestación bajo protesta de decir verdad.</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Documento íntegro</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Tener buena salud, lo que se comprobará con los certificados médicos.</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Certifica</w:t>
            </w:r>
            <w:r>
              <w:rPr>
                <w:rFonts w:ascii="Palatino Linotype" w:eastAsia="Palatino Linotype" w:hAnsi="Palatino Linotype" w:cs="Palatino Linotype"/>
              </w:rPr>
              <w:t>do Médico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Cumplir con los requisitos que se establezcan para los diferentes puestos.</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En este caso, son aplicables los documentos previstos por la Ley Orgánica Municipal del Estado de México y Municipios, en virtud de que se trata de ayuntamientos.</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Documento íntegro</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Acreditar por medio de los exámenes correspondientes los conocimientos y a</w:t>
            </w:r>
            <w:r>
              <w:rPr>
                <w:rFonts w:ascii="Palatino Linotype" w:eastAsia="Palatino Linotype" w:hAnsi="Palatino Linotype" w:cs="Palatino Linotype"/>
              </w:rPr>
              <w:t>ptitudes necesarios para el desempeño del puesto.</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El documento obtenido por haber acreditado los exámenes de oposición o de conocimientos o aptitudes necesarios para ejercer el cargo.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No estar inhabilitado para el ejercicio del servici</w:t>
            </w:r>
            <w:r>
              <w:rPr>
                <w:rFonts w:ascii="Palatino Linotype" w:eastAsia="Palatino Linotype" w:hAnsi="Palatino Linotype" w:cs="Palatino Linotype"/>
              </w:rPr>
              <w:t>o público.</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Constancia de no inhabilitación.</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Documento íntegro</w:t>
            </w:r>
          </w:p>
        </w:tc>
      </w:tr>
      <w:tr w:rsidR="00D8442A">
        <w:tc>
          <w:tcPr>
            <w:tcW w:w="376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607" w:type="dxa"/>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Certificado de No Deudor Alimentario Moro</w:t>
            </w:r>
            <w:r>
              <w:rPr>
                <w:rFonts w:ascii="Palatino Linotype" w:eastAsia="Palatino Linotype" w:hAnsi="Palatino Linotype" w:cs="Palatino Linotype"/>
              </w:rPr>
              <w:t>so.</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r w:rsidR="00D8442A">
        <w:tc>
          <w:tcPr>
            <w:tcW w:w="3767" w:type="dxa"/>
            <w:shd w:val="clear" w:color="auto" w:fill="auto"/>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Para iniciar la prestación de los servicios</w:t>
            </w:r>
          </w:p>
        </w:tc>
        <w:tc>
          <w:tcPr>
            <w:tcW w:w="2607" w:type="dxa"/>
            <w:shd w:val="clear" w:color="auto" w:fill="auto"/>
            <w:vAlign w:val="center"/>
          </w:tcPr>
          <w:p w:rsidR="00D8442A" w:rsidRDefault="0008055E">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Nombramiento, contrato o formato único de Movimientos de Personal.</w:t>
            </w:r>
          </w:p>
        </w:tc>
        <w:tc>
          <w:tcPr>
            <w:tcW w:w="2410" w:type="dxa"/>
            <w:vAlign w:val="center"/>
          </w:tcPr>
          <w:p w:rsidR="00D8442A" w:rsidRDefault="0008055E">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bl>
    <w:p w:rsidR="00D8442A" w:rsidRDefault="00D8442A">
      <w:pPr>
        <w:tabs>
          <w:tab w:val="left" w:pos="8222"/>
        </w:tabs>
        <w:spacing w:line="360" w:lineRule="auto"/>
        <w:ind w:right="49"/>
        <w:jc w:val="both"/>
        <w:rPr>
          <w:rFonts w:ascii="Palatino Linotype" w:eastAsia="Palatino Linotype" w:hAnsi="Palatino Linotype" w:cs="Palatino Linotype"/>
          <w:sz w:val="22"/>
          <w:szCs w:val="22"/>
        </w:rPr>
      </w:pPr>
    </w:p>
    <w:p w:rsidR="00D8442A" w:rsidRDefault="0008055E">
      <w:pPr>
        <w:tabs>
          <w:tab w:val="left" w:pos="8222"/>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w:t>
      </w:r>
      <w:r>
        <w:rPr>
          <w:rFonts w:ascii="Palatino Linotype" w:eastAsia="Palatino Linotype" w:hAnsi="Palatino Linotype" w:cs="Palatino Linotype"/>
          <w:sz w:val="22"/>
          <w:szCs w:val="22"/>
        </w:rPr>
        <w:t>a ocupar determinados puestos; por otra parte, la publicidad de la información ayuda a rendir cuentas a la población, respecto a que las dependencias gubernamentales cumplen con lo establecido en los ordenamientos jurídicos, ya que permite a las personas v</w:t>
      </w:r>
      <w:r>
        <w:rPr>
          <w:rFonts w:ascii="Palatino Linotype" w:eastAsia="Palatino Linotype" w:hAnsi="Palatino Linotype" w:cs="Palatino Linotype"/>
          <w:sz w:val="22"/>
          <w:szCs w:val="22"/>
        </w:rPr>
        <w:t>erificar que una Dependencia o Ayuntamiento, contrata a servidores públicos capaces e idóneos para cumplir con sus funciones y cumplen con los requisitos respectivos.</w:t>
      </w:r>
    </w:p>
    <w:p w:rsidR="00D8442A" w:rsidRDefault="00D8442A">
      <w:pPr>
        <w:tabs>
          <w:tab w:val="left" w:pos="8222"/>
        </w:tabs>
        <w:spacing w:line="360" w:lineRule="auto"/>
        <w:ind w:right="49"/>
        <w:jc w:val="both"/>
        <w:rPr>
          <w:rFonts w:ascii="Palatino Linotype" w:eastAsia="Palatino Linotype" w:hAnsi="Palatino Linotype" w:cs="Palatino Linotype"/>
          <w:sz w:val="22"/>
          <w:szCs w:val="22"/>
        </w:rPr>
      </w:pPr>
    </w:p>
    <w:p w:rsidR="00D8442A" w:rsidRDefault="0008055E">
      <w:pPr>
        <w:tabs>
          <w:tab w:val="left" w:pos="8222"/>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atención a lo anterior, se procede al análisis pormenorizado de las documentales que </w:t>
      </w:r>
      <w:r>
        <w:rPr>
          <w:rFonts w:ascii="Palatino Linotype" w:eastAsia="Palatino Linotype" w:hAnsi="Palatino Linotype" w:cs="Palatino Linotype"/>
          <w:sz w:val="22"/>
          <w:szCs w:val="22"/>
        </w:rPr>
        <w:t>conforman los expedientes laborales del personal para efecto de determinar la procedencia de su entrega:</w:t>
      </w:r>
    </w:p>
    <w:p w:rsidR="00D8442A" w:rsidRDefault="00D8442A">
      <w:pPr>
        <w:tabs>
          <w:tab w:val="left" w:pos="8222"/>
        </w:tabs>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tabs>
          <w:tab w:val="left" w:pos="284"/>
        </w:tabs>
        <w:spacing w:line="360" w:lineRule="auto"/>
        <w:ind w:left="426"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Solicitud de empleo o documento análogo</w:t>
      </w:r>
    </w:p>
    <w:p w:rsidR="00D8442A" w:rsidRDefault="000805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w:t>
      </w:r>
      <w:r>
        <w:rPr>
          <w:rFonts w:ascii="Palatino Linotype" w:eastAsia="Palatino Linotype" w:hAnsi="Palatino Linotype" w:cs="Palatino Linotype"/>
          <w:sz w:val="22"/>
          <w:szCs w:val="22"/>
        </w:rPr>
        <w:t xml:space="preserve">tuye por diversos datos personales como: nombre, domicilio particular, correo electrónico y número de teléfono particular e incluso, en ciertos formatos, información de estado de salud, hábitos personales o de consanguíneos, sin embargo, también da cuenta </w:t>
      </w:r>
      <w:r>
        <w:rPr>
          <w:rFonts w:ascii="Palatino Linotype" w:eastAsia="Palatino Linotype" w:hAnsi="Palatino Linotype" w:cs="Palatino Linotype"/>
          <w:sz w:val="22"/>
          <w:szCs w:val="22"/>
        </w:rPr>
        <w:t xml:space="preserve">de información que en el presente caso resulta ser de interés público, como experiencia laboral y grados de estudio. </w:t>
      </w:r>
    </w:p>
    <w:p w:rsidR="00D8442A" w:rsidRDefault="00D8442A">
      <w:pPr>
        <w:widowControl w:val="0"/>
        <w:spacing w:line="360" w:lineRule="auto"/>
        <w:jc w:val="both"/>
        <w:rPr>
          <w:rFonts w:ascii="Palatino Linotype" w:eastAsia="Palatino Linotype" w:hAnsi="Palatino Linotype" w:cs="Palatino Linotype"/>
          <w:sz w:val="22"/>
          <w:szCs w:val="22"/>
        </w:rPr>
      </w:pPr>
    </w:p>
    <w:p w:rsidR="00D8442A" w:rsidRDefault="000805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w:t>
      </w:r>
      <w:r>
        <w:rPr>
          <w:rFonts w:ascii="Palatino Linotype" w:eastAsia="Palatino Linotype" w:hAnsi="Palatino Linotype" w:cs="Palatino Linotype"/>
          <w:sz w:val="22"/>
          <w:szCs w:val="22"/>
        </w:rPr>
        <w:t xml:space="preserve">o, para ingresar al servicio público se requiere presentar una solicitud por escrito, es decir, la entrega de este documento resulta ser un requisito indispensable para poder prestar servicios dentro de la Administración Pública. </w:t>
      </w:r>
    </w:p>
    <w:p w:rsidR="00D8442A" w:rsidRDefault="00D8442A">
      <w:pPr>
        <w:widowControl w:val="0"/>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Bajo este orden de ideas</w:t>
      </w:r>
      <w:r>
        <w:rPr>
          <w:rFonts w:ascii="Palatino Linotype" w:eastAsia="Palatino Linotype" w:hAnsi="Palatino Linotype" w:cs="Palatino Linotype"/>
          <w:sz w:val="22"/>
          <w:szCs w:val="22"/>
        </w:rPr>
        <w:t>, este documento si bien, cuenta con datos personales que en nada abonan a la transparencia y rendición de cuentas, ya que atañen únicamente a la esfera privada del servidor público, también lo es que además de contener información que acredita el nivel ac</w:t>
      </w:r>
      <w:r>
        <w:rPr>
          <w:rFonts w:ascii="Palatino Linotype" w:eastAsia="Palatino Linotype" w:hAnsi="Palatino Linotype" w:cs="Palatino Linotype"/>
          <w:sz w:val="22"/>
          <w:szCs w:val="22"/>
        </w:rPr>
        <w:t>adémico o preparación de los servidores públicos, es un requisito indispensable de ingreso al servicio público, por lo que, su acceso toma relevancia al guardar relación directa con la contratación del servidor público y con el ejercicio de sus atribucione</w:t>
      </w:r>
      <w:r>
        <w:rPr>
          <w:rFonts w:ascii="Palatino Linotype" w:eastAsia="Palatino Linotype" w:hAnsi="Palatino Linotype" w:cs="Palatino Linotype"/>
          <w:sz w:val="22"/>
          <w:szCs w:val="22"/>
        </w:rPr>
        <w:t xml:space="preserve">s.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al tratarse de un documento de interés público, que contiene datos que actualizan la causal de clasificación establecida en el artículo 143, fracción I, de la Ley de Transparencia y Acceso a la Información Pública del Estado de México </w:t>
      </w:r>
      <w:r>
        <w:rPr>
          <w:rFonts w:ascii="Palatino Linotype" w:eastAsia="Palatino Linotype" w:hAnsi="Palatino Linotype" w:cs="Palatino Linotype"/>
          <w:sz w:val="22"/>
          <w:szCs w:val="22"/>
        </w:rPr>
        <w:t xml:space="preserve">y Municipios, se debe proporcionar en versión pública; sin embargo,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fue omiso en pronunciarse sobre las solicitudes de empleo de todos los servidores públicos que integran al Sujeto Obligado, por lo que al ser un documento obligatorio pa</w:t>
      </w:r>
      <w:r>
        <w:rPr>
          <w:rFonts w:ascii="Palatino Linotype" w:eastAsia="Palatino Linotype" w:hAnsi="Palatino Linotype" w:cs="Palatino Linotype"/>
          <w:sz w:val="22"/>
          <w:szCs w:val="22"/>
        </w:rPr>
        <w:t>ra ingresar al servicio público se presume que debe obrar en los archivos de dicho ente público; por lo tanto procede ordenar su entrega en versión pública.</w:t>
      </w:r>
    </w:p>
    <w:p w:rsidR="00D8442A" w:rsidRDefault="00D8442A">
      <w:pPr>
        <w:pBdr>
          <w:top w:val="nil"/>
          <w:left w:val="nil"/>
          <w:bottom w:val="nil"/>
          <w:right w:val="nil"/>
          <w:between w:val="nil"/>
        </w:pBdr>
        <w:ind w:left="720" w:hanging="360"/>
        <w:rPr>
          <w:rFonts w:ascii="Palatino Linotype" w:eastAsia="Palatino Linotype" w:hAnsi="Palatino Linotype" w:cs="Palatino Linotype"/>
          <w:b/>
          <w:bCs/>
          <w:color w:val="000000"/>
          <w:sz w:val="22"/>
          <w:szCs w:val="22"/>
        </w:rPr>
      </w:pPr>
    </w:p>
    <w:p w:rsidR="00D8442A" w:rsidRDefault="0008055E">
      <w:pPr>
        <w:numPr>
          <w:ilvl w:val="0"/>
          <w:numId w:val="4"/>
        </w:num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Currículum vitae </w:t>
      </w: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Respecto a este punto de análisis, es el documento que contiene la información relacionada con la trayectoria académica, profesional y laboral de un Servidor Público por medio del cual se acredita la capacidad, habilidades, experiencia o pericia de una per</w:t>
      </w:r>
      <w:r>
        <w:rPr>
          <w:rFonts w:ascii="Palatino Linotype" w:eastAsia="Palatino Linotype" w:hAnsi="Palatino Linotype" w:cs="Palatino Linotype"/>
          <w:sz w:val="22"/>
          <w:szCs w:val="22"/>
        </w:rPr>
        <w:t>sona para ocupar un cargo, puesto o comisión, que permitan realizar una comparación de las actividades que ha realizado con las que habrá de desarrollar, y determinar si cumple con el perfil del cargo a ocupar, del cual se desprende el último cargo que ocu</w:t>
      </w:r>
      <w:r>
        <w:rPr>
          <w:rFonts w:ascii="Palatino Linotype" w:eastAsia="Palatino Linotype" w:hAnsi="Palatino Linotype" w:cs="Palatino Linotype"/>
          <w:sz w:val="22"/>
          <w:szCs w:val="22"/>
        </w:rPr>
        <w:t>pó.</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si bien, el documento referido es elaborado por cada persona sin ninguna validez oficial, el cual tiene como objetivo que las personas conozcan la trayectoria de quien lo presenta, situación que toma mayor relevancia al tratarse</w:t>
      </w:r>
      <w:r>
        <w:rPr>
          <w:rFonts w:ascii="Palatino Linotype" w:eastAsia="Palatino Linotype" w:hAnsi="Palatino Linotype" w:cs="Palatino Linotype"/>
          <w:sz w:val="22"/>
          <w:szCs w:val="22"/>
        </w:rPr>
        <w:t xml:space="preserve"> de aquel que ostenta un cargo en la administración; por lo que, existe un interés público para dar a conocer su contenido, pues transparenta que el personal que labora para el </w:t>
      </w:r>
      <w:r>
        <w:rPr>
          <w:rFonts w:ascii="Palatino Linotype" w:eastAsia="Palatino Linotype" w:hAnsi="Palatino Linotype" w:cs="Palatino Linotype"/>
          <w:b/>
          <w:bCs/>
          <w:sz w:val="22"/>
          <w:szCs w:val="22"/>
        </w:rPr>
        <w:t> Sujeto Obligado</w:t>
      </w:r>
      <w:r>
        <w:rPr>
          <w:rFonts w:ascii="Palatino Linotype" w:eastAsia="Palatino Linotype" w:hAnsi="Palatino Linotype" w:cs="Palatino Linotype"/>
          <w:sz w:val="22"/>
          <w:szCs w:val="22"/>
        </w:rPr>
        <w:t xml:space="preserve"> cuenta con las capacidades, conocimientos y experiencia necesa</w:t>
      </w:r>
      <w:r>
        <w:rPr>
          <w:rFonts w:ascii="Palatino Linotype" w:eastAsia="Palatino Linotype" w:hAnsi="Palatino Linotype" w:cs="Palatino Linotype"/>
          <w:sz w:val="22"/>
          <w:szCs w:val="22"/>
        </w:rPr>
        <w:t>ria para el cabal cumplimiento de sus funciones.</w:t>
      </w:r>
    </w:p>
    <w:p w:rsidR="00D8442A" w:rsidRDefault="00D844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que se sustenta, con lo señalado por el entonces Instituto Nacional de Transparencia Acceso a la Información y Protección de Datos Personales, en su criterio orientador 03/2009 que indica que una de las formas en la que los ciudadanos puede evaluar las </w:t>
      </w:r>
      <w:r>
        <w:rPr>
          <w:rFonts w:ascii="Palatino Linotype" w:eastAsia="Palatino Linotype" w:hAnsi="Palatino Linotype" w:cs="Palatino Linotype"/>
          <w:sz w:val="22"/>
          <w:szCs w:val="22"/>
        </w:rPr>
        <w:t>aptitudes de los servidores públicos para desempeñar el cargo público que les ha sido encomendado, es mediante la publicidad de ciertos datos contenidos en los currículums vitae, o bien en las solicitudes de empleo, el cual para mayor ilustración se transc</w:t>
      </w:r>
      <w:r>
        <w:rPr>
          <w:rFonts w:ascii="Palatino Linotype" w:eastAsia="Palatino Linotype" w:hAnsi="Palatino Linotype" w:cs="Palatino Linotype"/>
          <w:sz w:val="22"/>
          <w:szCs w:val="22"/>
        </w:rPr>
        <w:t>ribe a continuación:</w:t>
      </w:r>
    </w:p>
    <w:p w:rsidR="00D8442A" w:rsidRDefault="00D8442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Curriculum Vitae de servidores públicos. Es obligación de los sujetos obligados otorgar acceso a versiones públicas de los mismos ante una solicitud de acceso. </w:t>
      </w:r>
      <w:r>
        <w:rPr>
          <w:rFonts w:ascii="Palatino Linotype" w:eastAsia="Palatino Linotype" w:hAnsi="Palatino Linotype" w:cs="Palatino Linotype"/>
          <w:i/>
          <w:iCs/>
          <w:sz w:val="22"/>
          <w:szCs w:val="22"/>
        </w:rPr>
        <w:t>Uno de los objetivos de la Ley Federal de Transparencia y Acceso a la Información Pública Gubernamental, de acuerdo con su artículo 4, fracción IV, es favorecer la rendición de cuentas a las personas, de manera que puedan valorar el desempeño de los sujeto</w:t>
      </w:r>
      <w:r>
        <w:rPr>
          <w:rFonts w:ascii="Palatino Linotype" w:eastAsia="Palatino Linotype" w:hAnsi="Palatino Linotype" w:cs="Palatino Linotype"/>
          <w:i/>
          <w:iCs/>
          <w:sz w:val="22"/>
          <w:szCs w:val="22"/>
        </w:rPr>
        <w:t>s obligados. Si bien en el currículo vitae se describe información de una persona relacionada con su formación académica, trayectoria profesional, datos de contacto, datos biográficos, entre otros, los cuales constituyen datos personales, de acuerdo con lo</w:t>
      </w:r>
      <w:r>
        <w:rPr>
          <w:rFonts w:ascii="Palatino Linotype" w:eastAsia="Palatino Linotype" w:hAnsi="Palatino Linotype" w:cs="Palatino Linotype"/>
          <w:i/>
          <w:iCs/>
          <w:sz w:val="22"/>
          <w:szCs w:val="22"/>
        </w:rPr>
        <w:t xml:space="preserve"> previsto en el artículo 3, fracción II de la Ley Federal de Transparencia y Acceso a la Información Pública Gubernamental, y en consecuencia, representan información confidencial, en términos de lo establecido en el artículo 18, fracción II de la Ley Fede</w:t>
      </w:r>
      <w:r>
        <w:rPr>
          <w:rFonts w:ascii="Palatino Linotype" w:eastAsia="Palatino Linotype" w:hAnsi="Palatino Linotype" w:cs="Palatino Linotype"/>
          <w:i/>
          <w:iCs/>
          <w:sz w:val="22"/>
          <w:szCs w:val="22"/>
        </w:rPr>
        <w:t xml:space="preserve">ral de Transparencia y Acceso a la Información Pública Gubernamental, tratándose del curriculum vitae de un servidor público, una de las formas en que los ciudadanos pueden evaluar sus aptitudes para desempeñar el cargo público que le ha sido encomendado, </w:t>
      </w:r>
      <w:r>
        <w:rPr>
          <w:rFonts w:ascii="Palatino Linotype" w:eastAsia="Palatino Linotype" w:hAnsi="Palatino Linotype" w:cs="Palatino Linotype"/>
          <w:i/>
          <w:iCs/>
          <w:sz w:val="22"/>
          <w:szCs w:val="22"/>
        </w:rPr>
        <w:t>es mediante la publicidad de ciertos datos de los ahí contenidos. En esa tesitura, entre los datos personales del curriculum vitae de un servidor público susceptibles de hacerse del conocimiento público, ante una solicitud de acceso, se encuentran los rela</w:t>
      </w:r>
      <w:r>
        <w:rPr>
          <w:rFonts w:ascii="Palatino Linotype" w:eastAsia="Palatino Linotype" w:hAnsi="Palatino Linotype" w:cs="Palatino Linotype"/>
          <w:i/>
          <w:iCs/>
          <w:sz w:val="22"/>
          <w:szCs w:val="22"/>
        </w:rPr>
        <w:t>tivos a su trayectoria académica, profesional, laboral, así como todos aquellos que acrediten su capacidad, habilidades o pericia para ocupar el cargo público.”</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tesitura, debe apuntarse que esta constituye una obligación de transparencia, pues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w:t>
      </w:r>
      <w:r>
        <w:rPr>
          <w:rFonts w:ascii="Palatino Linotype" w:eastAsia="Palatino Linotype" w:hAnsi="Palatino Linotype" w:cs="Palatino Linotype"/>
          <w:sz w:val="22"/>
          <w:szCs w:val="22"/>
        </w:rPr>
        <w:t>publicidad, transparencia y certeza, como lo estipula el artículo 92, fracción XXI de la ley aplicable a la materia, que es del tenor literal siguiente: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Los sujetos obligados deberán poner a disposición del público de manera permanente y act</w:t>
      </w:r>
      <w:r>
        <w:rPr>
          <w:rFonts w:ascii="Palatino Linotype" w:eastAsia="Palatino Linotype" w:hAnsi="Palatino Linotype" w:cs="Palatino Linotype"/>
          <w:i/>
          <w:iCs/>
          <w:sz w:val="22"/>
          <w:szCs w:val="22"/>
        </w:rPr>
        <w:t>ualizada de forma sencilla, precisa y entendible, en los respectivos medios electrónicos, de acuerdo con sus facultades, atribuciones, funciones u objeto social, según corresponda, la información, por lo menos, de los temas, documentos y políticas que a co</w:t>
      </w:r>
      <w:r>
        <w:rPr>
          <w:rFonts w:ascii="Palatino Linotype" w:eastAsia="Palatino Linotype" w:hAnsi="Palatino Linotype" w:cs="Palatino Linotype"/>
          <w:i/>
          <w:iCs/>
          <w:sz w:val="22"/>
          <w:szCs w:val="22"/>
        </w:rPr>
        <w:t>ntinuación se señalan:</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 La información curricular, desde el nivel de jefe de departamento o equivalente, hasta el titular del sujeto obligado</w:t>
      </w:r>
      <w:r>
        <w:rPr>
          <w:rFonts w:ascii="Palatino Linotype" w:eastAsia="Palatino Linotype" w:hAnsi="Palatino Linotype" w:cs="Palatino Linotype"/>
          <w:i/>
          <w:iCs/>
          <w:sz w:val="22"/>
          <w:szCs w:val="22"/>
        </w:rPr>
        <w:t xml:space="preserve">, así como, en su caso, las sanciones administrativas de que haya sido objeto”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(Énfasis añadido)</w:t>
      </w:r>
    </w:p>
    <w:p w:rsidR="00D8442A" w:rsidRDefault="00D8442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w:t>
      </w:r>
      <w:r>
        <w:rPr>
          <w:rFonts w:ascii="Palatino Linotype" w:eastAsia="Palatino Linotype" w:hAnsi="Palatino Linotype" w:cs="Palatino Linotype"/>
          <w:sz w:val="22"/>
          <w:szCs w:val="22"/>
        </w:rPr>
        <w:t xml:space="preserve">aprecia en el dispositivo legal citado, lo sujetos obligados deben publicar la información curricular de los(as) servidores(as) públicos(as) y/o personas que desempeñen actualmente un empleo, cargo o comisión y/o ejerzan actos de autoridad en el </w:t>
      </w:r>
      <w:r>
        <w:rPr>
          <w:rFonts w:ascii="Palatino Linotype" w:eastAsia="Palatino Linotype" w:hAnsi="Palatino Linotype" w:cs="Palatino Linotype"/>
          <w:b/>
          <w:bCs/>
          <w:sz w:val="22"/>
          <w:szCs w:val="22"/>
        </w:rPr>
        <w:t>Sujeto Obl</w:t>
      </w:r>
      <w:r>
        <w:rPr>
          <w:rFonts w:ascii="Palatino Linotype" w:eastAsia="Palatino Linotype" w:hAnsi="Palatino Linotype" w:cs="Palatino Linotype"/>
          <w:b/>
          <w:bCs/>
          <w:sz w:val="22"/>
          <w:szCs w:val="22"/>
        </w:rPr>
        <w:t xml:space="preserve">igado, </w:t>
      </w:r>
      <w:r>
        <w:rPr>
          <w:rFonts w:ascii="Palatino Linotype" w:eastAsia="Palatino Linotype" w:hAnsi="Palatino Linotype" w:cs="Palatino Linotype"/>
          <w:sz w:val="22"/>
          <w:szCs w:val="22"/>
        </w:rPr>
        <w:t>como se apreció en la cita, debe precisarse que dicha circunstancia no es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óbice para que se encuentre impedido a contar con dicha información respecto de todos los servidores públicos con los que tenga una relación laboral.</w:t>
      </w:r>
    </w:p>
    <w:p w:rsidR="00D8442A" w:rsidRDefault="00D8442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se desprende que una de las formas en que los ciudadanos pueden evaluar las aptitudes para desempeñar un cargo público determinado, es mediante la publicidad de ciertos datos contenidos en la ficha curricular, tales como: la trayectoria aca</w:t>
      </w:r>
      <w:r>
        <w:rPr>
          <w:rFonts w:ascii="Palatino Linotype" w:eastAsia="Palatino Linotype" w:hAnsi="Palatino Linotype" w:cs="Palatino Linotype"/>
          <w:sz w:val="22"/>
          <w:szCs w:val="22"/>
        </w:rPr>
        <w:t>démica, profesional, laboral, así como todos aquellos que acrediten su capacidad, habilidades y pericia para ocupar el puesto público. Lo anterior, para favorecer la rendición de cuentas, pues la publicidad de lo anterior tiene como fin verificar el correc</w:t>
      </w:r>
      <w:r>
        <w:rPr>
          <w:rFonts w:ascii="Palatino Linotype" w:eastAsia="Palatino Linotype" w:hAnsi="Palatino Linotype" w:cs="Palatino Linotype"/>
          <w:sz w:val="22"/>
          <w:szCs w:val="22"/>
        </w:rPr>
        <w:t>to desempeño de los sujetos obligados, no obstante, al no hacer entrega de este, resulta procedente ordenar previa búsqueda exhaustiva y razonable el Currículum Vitae, Ficha Curricular, Solicitud de empleo o documento análogo de los servidores públicos ads</w:t>
      </w:r>
      <w:r>
        <w:rPr>
          <w:rFonts w:ascii="Palatino Linotype" w:eastAsia="Palatino Linotype" w:hAnsi="Palatino Linotype" w:cs="Palatino Linotype"/>
          <w:sz w:val="22"/>
          <w:szCs w:val="22"/>
        </w:rPr>
        <w:t>critos al Organismo.</w:t>
      </w:r>
    </w:p>
    <w:p w:rsidR="00D8442A" w:rsidRDefault="00D8442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r>
      <w:r>
        <w:rPr>
          <w:rFonts w:ascii="Palatino Linotype" w:eastAsia="Palatino Linotype" w:hAnsi="Palatino Linotype" w:cs="Palatino Linotype"/>
          <w:b/>
          <w:bCs/>
          <w:sz w:val="22"/>
          <w:szCs w:val="22"/>
        </w:rPr>
        <w:t>Documento que acredite la nacionalidad (acta de nacimiento)</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Dentro de la fracción II del artículo 47 de la Ley del Trabajo de los Servidores Públicos del Estado de México, el requisito consiste en ser de nacionalidad mexicana, por l</w:t>
      </w:r>
      <w:r>
        <w:rPr>
          <w:rFonts w:ascii="Palatino Linotype" w:eastAsia="Palatino Linotype" w:hAnsi="Palatino Linotype" w:cs="Palatino Linotype"/>
          <w:sz w:val="22"/>
          <w:szCs w:val="22"/>
        </w:rPr>
        <w:t>o que el documento que colmaría este punto de la solicitud de manera enunciativa más no limitativa sería el acta de nacimiento, es por ello que conviene precisar que las actas emitidas por el Registro Civil dan cuenta de un atributo de la personalidad, tal</w:t>
      </w:r>
      <w:r>
        <w:rPr>
          <w:rFonts w:ascii="Palatino Linotype" w:eastAsia="Palatino Linotype" w:hAnsi="Palatino Linotype" w:cs="Palatino Linotype"/>
          <w:sz w:val="22"/>
          <w:szCs w:val="22"/>
        </w:rPr>
        <w:t xml:space="preserve"> como lo establece el artículo 2.3 del Código Civil del Estado México. En ese orden de ideas, el artículo 3.5 del citado Código Civil establece que el estado civil de las personas sólo se comprueba con las constancias relativas del Registro Civil, tal como</w:t>
      </w:r>
      <w:r>
        <w:rPr>
          <w:rFonts w:ascii="Palatino Linotype" w:eastAsia="Palatino Linotype" w:hAnsi="Palatino Linotype" w:cs="Palatino Linotype"/>
          <w:sz w:val="22"/>
          <w:szCs w:val="22"/>
        </w:rPr>
        <w:t xml:space="preserve"> lo es el Acta de Nacimiento.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3">
        <w:r>
          <w:rPr>
            <w:rFonts w:ascii="Palatino Linotype" w:eastAsia="Palatino Linotype" w:hAnsi="Palatino Linotype" w:cs="Palatino Linotype"/>
            <w:color w:val="000000"/>
            <w:sz w:val="22"/>
            <w:szCs w:val="22"/>
            <w:u w:val="single"/>
          </w:rPr>
          <w:t>http://www.diputados.</w:t>
        </w:r>
        <w:r>
          <w:rPr>
            <w:rFonts w:ascii="Palatino Linotype" w:eastAsia="Palatino Linotype" w:hAnsi="Palatino Linotype" w:cs="Palatino Linotype"/>
            <w:color w:val="000000"/>
            <w:sz w:val="22"/>
            <w:szCs w:val="22"/>
            <w:u w:val="single"/>
          </w:rPr>
          <w:t>gob.mx/documentos/N_Acta_Nacimiento.pdf</w:t>
        </w:r>
      </w:hyperlink>
      <w:r>
        <w:rPr>
          <w:rFonts w:ascii="Palatino Linotype" w:eastAsia="Palatino Linotype" w:hAnsi="Palatino Linotype" w:cs="Palatino Linotype"/>
          <w:sz w:val="22"/>
          <w:szCs w:val="22"/>
        </w:rPr>
        <w:t xml:space="preserve"> , se advierte que el Acta de Nacimiento se componte de quince elementos siendo los siguientes: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Folio de Impresión.</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Denominación del Documento.</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 Identificador Electrónico.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 Elementos del Registro.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 Datos de la Persona Registrada.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 Datos de Filiación de la Persona Registrada.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g) Anotaciones Marginales.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h) Certificación.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Código Bidimensional QR que contiene información encriptada del acta.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j) Leyenda “Soy México”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k) Firma Electrónica Avan</w:t>
      </w:r>
      <w:r>
        <w:rPr>
          <w:rFonts w:ascii="Palatino Linotype" w:eastAsia="Palatino Linotype" w:hAnsi="Palatino Linotype" w:cs="Palatino Linotype"/>
          <w:sz w:val="22"/>
          <w:szCs w:val="22"/>
        </w:rPr>
        <w:t xml:space="preserve">zada.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 Firma y datos de la autoridad emisora.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 Código QR.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 Código de Verificación.</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 Leyenda de instrucciones para la verificación del documento.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del análisis de los apartados d) elementos de registro, e) datos de la persona registrada y f) datos de filiación de la persona registrada, el Acta de Nacimiento, contiene la Clave Única de Registro de Población (CURP) de la persona regist</w:t>
      </w:r>
      <w:r>
        <w:rPr>
          <w:rFonts w:ascii="Palatino Linotype" w:eastAsia="Palatino Linotype" w:hAnsi="Palatino Linotype" w:cs="Palatino Linotype"/>
          <w:sz w:val="22"/>
          <w:szCs w:val="22"/>
        </w:rPr>
        <w:t xml:space="preserve">rada y de las personas que detenten la filiación, número de certificado que expide la Secretaría de Salud para acreditar el nacimiento de una persona, sexo, fecha de nacimiento, lugar de nacimiento, entre otros.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Dada esta relevancia, al ser el acta de na</w:t>
      </w:r>
      <w:r>
        <w:rPr>
          <w:rFonts w:ascii="Palatino Linotype" w:eastAsia="Palatino Linotype" w:hAnsi="Palatino Linotype" w:cs="Palatino Linotype"/>
          <w:sz w:val="22"/>
          <w:szCs w:val="22"/>
        </w:rPr>
        <w:t>cimiento un documento mediante el cual se le otorga identidad a una persona, además de tratarse de información que no se encuentra relacionada con el ejercicio de un cargo público, sino con el ejercicio de los derechos personales de su titular, se estima q</w:t>
      </w:r>
      <w:r>
        <w:rPr>
          <w:rFonts w:ascii="Palatino Linotype" w:eastAsia="Palatino Linotype" w:hAnsi="Palatino Linotype" w:cs="Palatino Linotype"/>
          <w:sz w:val="22"/>
          <w:szCs w:val="22"/>
        </w:rPr>
        <w:t>ue dicho documento debe ser clasificado como información confidencial en su totalidad, al considerar que actualiza la causal de clasificación establecida en el artículo 143, fracción I, de la Ley de Transparencia y Acceso a la Información Pública del Estad</w:t>
      </w:r>
      <w:r>
        <w:rPr>
          <w:rFonts w:ascii="Palatino Linotype" w:eastAsia="Palatino Linotype" w:hAnsi="Palatino Linotype" w:cs="Palatino Linotype"/>
          <w:sz w:val="22"/>
          <w:szCs w:val="22"/>
        </w:rPr>
        <w:t>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spacing w:line="360" w:lineRule="auto"/>
        <w:ind w:right="51"/>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Constancia o certificado médico </w:t>
      </w: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de señalar que cualquier información que dé cuenta del estado de salud de una persona, concierne a su vida íntima y privada; lo anterior, pues el artículo 4°, fracción XII, de la </w:t>
      </w:r>
      <w:r>
        <w:rPr>
          <w:rFonts w:ascii="Palatino Linotype" w:eastAsia="Palatino Linotype" w:hAnsi="Palatino Linotype" w:cs="Palatino Linotype"/>
          <w:sz w:val="22"/>
          <w:szCs w:val="22"/>
        </w:rPr>
        <w:t>Ley de Protección de Datos Personales en Posesión de Sujetos Obligados del Estado de México y Municipios, establece que los datos personales sensibles, son aquellos cuya utilización indebida, puedan dar origen a discriminación o conlleven a un riesgo grave</w:t>
      </w:r>
      <w:r>
        <w:rPr>
          <w:rFonts w:ascii="Palatino Linotype" w:eastAsia="Palatino Linotype" w:hAnsi="Palatino Linotype" w:cs="Palatino Linotype"/>
          <w:sz w:val="22"/>
          <w:szCs w:val="22"/>
        </w:rPr>
        <w:t xml:space="preserve"> para éste, entre los cuales se encuentran los que den cuenta del estado de salud, ya sea físico o mental.</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considera que la información contenida en el certificado médico únicamente identifica el estado de salud físico y mental</w:t>
      </w:r>
      <w:r>
        <w:rPr>
          <w:rFonts w:ascii="Palatino Linotype" w:eastAsia="Palatino Linotype" w:hAnsi="Palatino Linotype" w:cs="Palatino Linotype"/>
          <w:sz w:val="22"/>
          <w:szCs w:val="22"/>
        </w:rPr>
        <w:t xml:space="preserve"> de los servidores públicos, lo cual guarda el carácter confidencial, en términos del artículo 143, fracción I, de la Ley de Transparencia y Acceso a la Información Pública del Estado de México y Municipios.</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Cartilla militar.</w:t>
      </w: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w:t>
      </w:r>
      <w:r>
        <w:rPr>
          <w:rFonts w:ascii="Palatino Linotype" w:eastAsia="Palatino Linotype" w:hAnsi="Palatino Linotype" w:cs="Palatino Linotype"/>
          <w:sz w:val="22"/>
          <w:szCs w:val="22"/>
        </w:rPr>
        <w:t>lo 151 del Reglamento de la Ley establece que la cartilla de identificación que acredita la identidad y el cumplimiento de los deberes militares contendrán lo siguiente:</w:t>
      </w:r>
    </w:p>
    <w:p w:rsidR="00D8442A" w:rsidRDefault="00D8442A">
      <w:pPr>
        <w:pBdr>
          <w:top w:val="nil"/>
          <w:left w:val="nil"/>
          <w:bottom w:val="nil"/>
          <w:right w:val="nil"/>
          <w:between w:val="nil"/>
        </w:pBdr>
        <w:spacing w:line="276" w:lineRule="auto"/>
        <w:ind w:left="567" w:right="559"/>
        <w:jc w:val="both"/>
        <w:rPr>
          <w:rFonts w:ascii="Palatino Linotype" w:eastAsia="Palatino Linotype" w:hAnsi="Palatino Linotype" w:cs="Palatino Linotype"/>
          <w:b/>
          <w:bCs/>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151.-</w:t>
      </w:r>
      <w:r>
        <w:rPr>
          <w:rFonts w:ascii="Palatino Linotype" w:eastAsia="Palatino Linotype" w:hAnsi="Palatino Linotype" w:cs="Palatino Linotype"/>
          <w:i/>
          <w:iCs/>
          <w:sz w:val="22"/>
          <w:szCs w:val="22"/>
        </w:rPr>
        <w:t xml:space="preserve"> Una vez inscritos los mexicanos, se les expedirá gratuitamente la cartilla de identificación que acreditará su identidad y el cumplimiento de sus deberes militares, y contendrá:</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Un retrato de frente;</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Sus generales (nombre y apellidos paterno y ma</w:t>
      </w:r>
      <w:r>
        <w:rPr>
          <w:rFonts w:ascii="Palatino Linotype" w:eastAsia="Palatino Linotype" w:hAnsi="Palatino Linotype" w:cs="Palatino Linotype"/>
          <w:i/>
          <w:iCs/>
          <w:sz w:val="22"/>
          <w:szCs w:val="22"/>
        </w:rPr>
        <w:t>terno, edad, ocupación, estado civil y domicilio);</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Matrícula;</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Clase a que pertenece;</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Corporación a que se le destine;</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 Unidad a la que deba incorporarse en caso de movilización;</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 Firma de la autoridad que la expida;</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VIII.- Firma del</w:t>
      </w:r>
      <w:r>
        <w:rPr>
          <w:rFonts w:ascii="Palatino Linotype" w:eastAsia="Palatino Linotype" w:hAnsi="Palatino Linotype" w:cs="Palatino Linotype"/>
          <w:i/>
          <w:iCs/>
          <w:sz w:val="22"/>
          <w:szCs w:val="22"/>
        </w:rPr>
        <w:t xml:space="preserve"> interesado, si sabe hacerlo;</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IX.- Sello de la Junta Municipal de Reclutamiento o Consulado;</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X.- Huella digital.”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Mientras que el artículo 17 y 18 del Reglamento de la Ley del Servicio Militar, rezan así:</w:t>
      </w:r>
    </w:p>
    <w:p w:rsidR="00D8442A" w:rsidRDefault="00D8442A">
      <w:pPr>
        <w:spacing w:line="276" w:lineRule="auto"/>
        <w:ind w:left="567" w:right="902"/>
        <w:jc w:val="both"/>
        <w:rPr>
          <w:rFonts w:ascii="Palatino Linotype" w:eastAsia="Palatino Linotype" w:hAnsi="Palatino Linotype" w:cs="Palatino Linotype"/>
          <w:b/>
          <w:bCs/>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17.</w:t>
      </w:r>
      <w:r>
        <w:rPr>
          <w:rFonts w:ascii="Palatino Linotype" w:eastAsia="Palatino Linotype" w:hAnsi="Palatino Linotype" w:cs="Palatino Linotype"/>
          <w:i/>
          <w:iCs/>
          <w:sz w:val="22"/>
          <w:szCs w:val="22"/>
        </w:rPr>
        <w:t>- La inscripción de cada mexicano se</w:t>
      </w:r>
      <w:r>
        <w:rPr>
          <w:rFonts w:ascii="Palatino Linotype" w:eastAsia="Palatino Linotype" w:hAnsi="Palatino Linotype" w:cs="Palatino Linotype"/>
          <w:i/>
          <w:iCs/>
          <w:sz w:val="22"/>
          <w:szCs w:val="22"/>
        </w:rPr>
        <w:t xml:space="preserve"> hará una sola vez, entregándole gratuitamente una cartilla de identificación según modelo número uno.</w:t>
      </w:r>
    </w:p>
    <w:p w:rsidR="00D8442A" w:rsidRDefault="00D8442A">
      <w:pPr>
        <w:spacing w:line="276" w:lineRule="auto"/>
        <w:ind w:left="851" w:right="616"/>
        <w:jc w:val="both"/>
        <w:rPr>
          <w:rFonts w:ascii="Palatino Linotype" w:eastAsia="Palatino Linotype" w:hAnsi="Palatino Linotype" w:cs="Palatino Linotype"/>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w:t>
      </w:r>
      <w:r>
        <w:rPr>
          <w:rFonts w:ascii="Palatino Linotype" w:eastAsia="Palatino Linotype" w:hAnsi="Palatino Linotype" w:cs="Palatino Linotype"/>
          <w:b/>
          <w:bCs/>
          <w:i/>
          <w:iCs/>
          <w:sz w:val="22"/>
          <w:szCs w:val="22"/>
        </w:rPr>
        <w:t>ARTÍCULO 18.-</w:t>
      </w:r>
      <w:r>
        <w:rPr>
          <w:rFonts w:ascii="Palatino Linotype" w:eastAsia="Palatino Linotype" w:hAnsi="Palatino Linotype" w:cs="Palatino Linotype"/>
          <w:i/>
          <w:iCs/>
          <w:sz w:val="22"/>
          <w:szCs w:val="22"/>
        </w:rPr>
        <w:t> Una vez hecha la inscripción ante las juntas municipales de reclutamiento o consulados y como consecuencia inmediata, se formarán en dich</w:t>
      </w:r>
      <w:r>
        <w:rPr>
          <w:rFonts w:ascii="Palatino Linotype" w:eastAsia="Palatino Linotype" w:hAnsi="Palatino Linotype" w:cs="Palatino Linotype"/>
          <w:i/>
          <w:iCs/>
          <w:sz w:val="22"/>
          <w:szCs w:val="22"/>
        </w:rPr>
        <w:t>as oficinas los siguientes documentos: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Cartilla de identificación que se entregará al interesado...”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los preceptos legales trascritos, se obtiene que el documento que permite acreditar la inscripción de cada mexicano, en cumplimiento a la Ley del Servicio Militar, lo es la cartilla de identificación que se entrega al interesado. La cual contiene entre </w:t>
      </w:r>
      <w:r>
        <w:rPr>
          <w:rFonts w:ascii="Palatino Linotype" w:eastAsia="Palatino Linotype" w:hAnsi="Palatino Linotype" w:cs="Palatino Linotype"/>
          <w:sz w:val="22"/>
          <w:szCs w:val="22"/>
        </w:rPr>
        <w:t>otra información, el retrato de frente; sus generales (nombre y apellidos paterno y materno, edad, ocupación, estado civil y domicilio); matrícula; clase a que pertenece; corporación a que se le destine; unidad a la que deba incorporarse en caso de moviliz</w:t>
      </w:r>
      <w:r>
        <w:rPr>
          <w:rFonts w:ascii="Palatino Linotype" w:eastAsia="Palatino Linotype" w:hAnsi="Palatino Linotype" w:cs="Palatino Linotype"/>
          <w:sz w:val="22"/>
          <w:szCs w:val="22"/>
        </w:rPr>
        <w:t xml:space="preserve">ación; firma de la autoridad que la expida; firma del interesado, si sabe hacerlo; sello de la Junta Municipal de Reclutamiento o Consulado; y huella digital, por lo que se puede observar, el dato que puede considerarse de interés público es el nombre del </w:t>
      </w:r>
      <w:r>
        <w:rPr>
          <w:rFonts w:ascii="Palatino Linotype" w:eastAsia="Palatino Linotype" w:hAnsi="Palatino Linotype" w:cs="Palatino Linotype"/>
          <w:sz w:val="22"/>
          <w:szCs w:val="22"/>
        </w:rPr>
        <w:t>servidor público, puesto que el resto consiste en información que no abona a la transparencia ni a la correcta rendición de cuentas de los sujetos obligados, pues es relativa a la relación que se tiene en cuanto a la obligación de realizar el servicios mil</w:t>
      </w:r>
      <w:r>
        <w:rPr>
          <w:rFonts w:ascii="Palatino Linotype" w:eastAsia="Palatino Linotype" w:hAnsi="Palatino Linotype" w:cs="Palatino Linotype"/>
          <w:sz w:val="22"/>
          <w:szCs w:val="22"/>
        </w:rPr>
        <w:t xml:space="preserve">itar, y no así de las funciones que ejerza como servidor público, por lo que dicho documento debe tener el mismo tratamiento que el acta de nacimiento, es decir su clasificación total, motivo por el cual, de contar con este documento, se deberá clasificar </w:t>
      </w:r>
      <w:r>
        <w:rPr>
          <w:rFonts w:ascii="Palatino Linotype" w:eastAsia="Palatino Linotype" w:hAnsi="Palatino Linotype" w:cs="Palatino Linotype"/>
          <w:sz w:val="22"/>
          <w:szCs w:val="22"/>
        </w:rPr>
        <w:t>mediante el acuerdo del Comité de Transparencia en su totalidad.</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Constancia de no inhabilitación.</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w:t>
      </w:r>
      <w:r>
        <w:rPr>
          <w:rFonts w:ascii="Palatino Linotype" w:eastAsia="Palatino Linotype" w:hAnsi="Palatino Linotype" w:cs="Palatino Linotype"/>
          <w:sz w:val="22"/>
          <w:szCs w:val="22"/>
        </w:rPr>
        <w:t xml:space="preserve">de México, con relación al 47, fracción X de la Ley del Trabajo de los Servidores públicos del Estado de México y Municipios.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4">
        <w:r>
          <w:rPr>
            <w:rFonts w:ascii="Palatino Linotype" w:eastAsia="Palatino Linotype" w:hAnsi="Palatino Linotype" w:cs="Palatino Linotype"/>
            <w:color w:val="000000"/>
            <w:sz w:val="22"/>
            <w:szCs w:val="22"/>
            <w:u w:val="single"/>
          </w:rPr>
          <w:t>www.secogem.gob.mx/constancias/</w:t>
        </w:r>
      </w:hyperlink>
      <w:r>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t</w:t>
      </w:r>
      <w:r>
        <w:rPr>
          <w:rFonts w:ascii="Palatino Linotype" w:eastAsia="Palatino Linotype" w:hAnsi="Palatino Linotype" w:cs="Palatino Linotype"/>
          <w:sz w:val="22"/>
          <w:szCs w:val="22"/>
        </w:rPr>
        <w:t xml:space="preserve">oda vez que este documento es generado en ejercicio de funciones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es de naturaleza pública, sin embargo, no pasa desapercibido mencionar que puede contener datos que actualizan la causal prevista en la fracción I del artículo 143 de la </w:t>
      </w:r>
      <w:r>
        <w:rPr>
          <w:rFonts w:ascii="Palatino Linotype" w:eastAsia="Palatino Linotype" w:hAnsi="Palatino Linotype" w:cs="Palatino Linotype"/>
          <w:sz w:val="22"/>
          <w:szCs w:val="22"/>
        </w:rPr>
        <w:t>Ley de Transparencia del Estado de México y Municipios, por lo tanto, deberá ser proporcionado en versión pública.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Certificado de no deudor alimentario moroso </w:t>
      </w:r>
    </w:p>
    <w:p w:rsidR="00D8442A" w:rsidRDefault="000805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hace los certificados de no deudor alimentario moroso, es de indicar que la Ley Gene</w:t>
      </w:r>
      <w:r>
        <w:rPr>
          <w:rFonts w:ascii="Palatino Linotype" w:eastAsia="Palatino Linotype" w:hAnsi="Palatino Linotype" w:cs="Palatino Linotype"/>
          <w:sz w:val="22"/>
          <w:szCs w:val="22"/>
        </w:rPr>
        <w:t xml:space="preserve">ral de los Derechos de las Niñas, Niños y Adolescentes </w:t>
      </w:r>
      <w:hyperlink r:id="rId15">
        <w:r>
          <w:rPr>
            <w:rFonts w:ascii="Palatino Linotype" w:eastAsia="Palatino Linotype" w:hAnsi="Palatino Linotype" w:cs="Palatino Linotype"/>
            <w:sz w:val="22"/>
            <w:szCs w:val="22"/>
            <w:u w:val="single"/>
          </w:rPr>
          <w:t>https://www.diputados.gob.mx/LeyesBiblio/pdf/LGDNNA.pdf</w:t>
        </w:r>
      </w:hyperlink>
      <w:r>
        <w:rPr>
          <w:rFonts w:ascii="Palatino Linotype" w:eastAsia="Palatino Linotype" w:hAnsi="Palatino Linotype" w:cs="Palatino Linotype"/>
          <w:sz w:val="22"/>
          <w:szCs w:val="22"/>
        </w:rPr>
        <w:t xml:space="preserve"> en sus artículos 1, 13, 18 y 46, regula de manera enunciativa y no lim</w:t>
      </w:r>
      <w:r>
        <w:rPr>
          <w:rFonts w:ascii="Palatino Linotype" w:eastAsia="Palatino Linotype" w:hAnsi="Palatino Linotype" w:cs="Palatino Linotype"/>
          <w:sz w:val="22"/>
          <w:szCs w:val="22"/>
        </w:rPr>
        <w:t>itativa, entre otros derechos, garantizar el pleno ejercicio, respeto, protección y promoción de los derechos humanos, derecho a la vida, a la paz, a la supervivencia y al desarrollo, el recibir alimentos para lograr el sano desarrollo del menor en su ámbi</w:t>
      </w:r>
      <w:r>
        <w:rPr>
          <w:rFonts w:ascii="Palatino Linotype" w:eastAsia="Palatino Linotype" w:hAnsi="Palatino Linotype" w:cs="Palatino Linotype"/>
          <w:sz w:val="22"/>
          <w:szCs w:val="22"/>
        </w:rPr>
        <w:t>to, bio-psico-social, y establece como obligación de los progenitores para con sus hijos, el proporcionarles, apoyo, cuidados, educación y protección a su salud.</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ahí que, se crea el Registro Nacional de Obligaciones Alimentarias cuyo objeto es concentr</w:t>
      </w:r>
      <w:r>
        <w:rPr>
          <w:rFonts w:ascii="Palatino Linotype" w:eastAsia="Palatino Linotype" w:hAnsi="Palatino Linotype" w:cs="Palatino Linotype"/>
          <w:sz w:val="22"/>
          <w:szCs w:val="22"/>
        </w:rPr>
        <w:t>ar la información de deudores y acreedores de obligaciones alimentarias, a fin de dar efectiva protección y restitución de los derechos de niñas, niños y adolescentes. Los Tribunales Superiores de las entidades federativas y de la Ciudad de México suminist</w:t>
      </w:r>
      <w:r>
        <w:rPr>
          <w:rFonts w:ascii="Palatino Linotype" w:eastAsia="Palatino Linotype" w:hAnsi="Palatino Linotype" w:cs="Palatino Linotype"/>
          <w:sz w:val="22"/>
          <w:szCs w:val="22"/>
        </w:rPr>
        <w:t>rarán, intercambiarán, sistematizarán, consultarán, analizarán y actualizarán, la información que se genere sobre el incumplimiento de las obligaciones alimentarias en el ámbito de sus competencias utilizando los sistemas e instrumentos tecnológicos del Si</w:t>
      </w:r>
      <w:r>
        <w:rPr>
          <w:rFonts w:ascii="Palatino Linotype" w:eastAsia="Palatino Linotype" w:hAnsi="Palatino Linotype" w:cs="Palatino Linotype"/>
          <w:sz w:val="22"/>
          <w:szCs w:val="22"/>
        </w:rPr>
        <w:t>stema Nacional DIF para que con ella integre al Registro Nacional de Obligaciones.</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calidad de deudor moroso se difundirá en el Registro Nacional de Obligaciones Alimentarias, el cual, será público con base en lo dispuesto en la Ley General de Protección de Datos Personales en Posesión de Sujetos Obligados. Es de recalcar que las Autor</w:t>
      </w:r>
      <w:r>
        <w:rPr>
          <w:rFonts w:ascii="Palatino Linotype" w:eastAsia="Palatino Linotype" w:hAnsi="Palatino Linotype" w:cs="Palatino Linotype"/>
          <w:sz w:val="22"/>
          <w:szCs w:val="22"/>
        </w:rPr>
        <w:t>idades de los tres órdenes de gobierno (Federal, Estatal y Municipal) en el ámbito de sus competencias, dispondrán lo necesario a fin de establecer como requisito la presentación del certificado de no inscripción en el Registro Nacional de Obligaciones Ali</w:t>
      </w:r>
      <w:r>
        <w:rPr>
          <w:rFonts w:ascii="Palatino Linotype" w:eastAsia="Palatino Linotype" w:hAnsi="Palatino Linotype" w:cs="Palatino Linotype"/>
          <w:sz w:val="22"/>
          <w:szCs w:val="22"/>
        </w:rPr>
        <w:t>mentarias; es decir, la denominación que se le dio fue el de Registro de Deudores Alimentarios Morosos, ya que, la palabra moroso deriva de mora; la mora es el retraso en el cumplimiento de las obligaciones y se incurre en ella desde el momento en que fene</w:t>
      </w:r>
      <w:r>
        <w:rPr>
          <w:rFonts w:ascii="Palatino Linotype" w:eastAsia="Palatino Linotype" w:hAnsi="Palatino Linotype" w:cs="Palatino Linotype"/>
          <w:sz w:val="22"/>
          <w:szCs w:val="22"/>
        </w:rPr>
        <w:t>ció el plazo que se señaló para el cumplimiento de una obligación.</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en el Proyecto de Decreto por el que se Reforman y Adicionan Diversas Disposiciones para crear el Registro de Deudores Alimentarios del Estado de México, disponible en la dire</w:t>
      </w:r>
      <w:r>
        <w:rPr>
          <w:rFonts w:ascii="Palatino Linotype" w:eastAsia="Palatino Linotype" w:hAnsi="Palatino Linotype" w:cs="Palatino Linotype"/>
          <w:sz w:val="22"/>
          <w:szCs w:val="22"/>
        </w:rPr>
        <w:t xml:space="preserve">cción electrónica </w:t>
      </w:r>
      <w:hyperlink r:id="rId16">
        <w:r>
          <w:rPr>
            <w:rFonts w:ascii="Palatino Linotype" w:eastAsia="Palatino Linotype" w:hAnsi="Palatino Linotype" w:cs="Palatino Linotype"/>
            <w:sz w:val="22"/>
            <w:szCs w:val="22"/>
            <w:u w:val="single"/>
          </w:rPr>
          <w:t>https://legislacion.edomex.gob.mx/sites/legislacion.edomex.gob.mx/files/files/pdf/gct/2014/nov144.PDF</w:t>
        </w:r>
      </w:hyperlink>
      <w:r>
        <w:rPr>
          <w:rFonts w:ascii="Palatino Linotype" w:eastAsia="Palatino Linotype" w:hAnsi="Palatino Linotype" w:cs="Palatino Linotype"/>
          <w:sz w:val="22"/>
          <w:szCs w:val="22"/>
        </w:rPr>
        <w:t>, advierte lo si</w:t>
      </w:r>
      <w:r>
        <w:rPr>
          <w:rFonts w:ascii="Palatino Linotype" w:eastAsia="Palatino Linotype" w:hAnsi="Palatino Linotype" w:cs="Palatino Linotype"/>
          <w:sz w:val="22"/>
          <w:szCs w:val="22"/>
        </w:rPr>
        <w:t xml:space="preserve">guiente: </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“4.146 Bis.- El área del Registro de Deudores Alimentarios Morosos, es una unidad administrativa del Registro Civil. Actos inscribibles en el Registro de Deudores Alimentarios Morosos.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4.146 Ter.- En el Registro de Deudores Alimentarios Morosos se inscriben a las personas que el Juez de lo Familiar determina en términos del artículo 4.136 del presente Código.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Serán objeto de registro los empleadores que incumplan una orden de descuento </w:t>
      </w:r>
      <w:r>
        <w:rPr>
          <w:rFonts w:ascii="Palatino Linotype" w:eastAsia="Palatino Linotype" w:hAnsi="Palatino Linotype" w:cs="Palatino Linotype"/>
          <w:i/>
          <w:iCs/>
          <w:sz w:val="22"/>
          <w:szCs w:val="22"/>
        </w:rPr>
        <w:t>para alimentos ordenada por el órgano jurisdiccional.</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De los datos que contendrá el Registro de Deudores Alimentarios Morosos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4.146 Quáter.- El Registro de Deudores Alimentarios Morosos contendrá: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Nombre y Clave Única del Registro de Poblac</w:t>
      </w:r>
      <w:r>
        <w:rPr>
          <w:rFonts w:ascii="Palatino Linotype" w:eastAsia="Palatino Linotype" w:hAnsi="Palatino Linotype" w:cs="Palatino Linotype"/>
          <w:i/>
          <w:iCs/>
          <w:sz w:val="22"/>
          <w:szCs w:val="22"/>
        </w:rPr>
        <w:t xml:space="preserve">ión del deudor alimentario;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Nombre del acreedor o acreedores alimentarios;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Datos del acta que acredite el vínculo entre deudor y acreedor alimentario, en su caso;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Monto de la pensión decretada o convenida, en su caso, número de pagos incump</w:t>
      </w:r>
      <w:r>
        <w:rPr>
          <w:rFonts w:ascii="Palatino Linotype" w:eastAsia="Palatino Linotype" w:hAnsi="Palatino Linotype" w:cs="Palatino Linotype"/>
          <w:i/>
          <w:iCs/>
          <w:sz w:val="22"/>
          <w:szCs w:val="22"/>
        </w:rPr>
        <w:t xml:space="preserve">lidos y monto del adeudo alimentario;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 Órgano jurisdiccional que ordenó el registro;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Datos del expediente jurisdiccional de la que deriva su inscripción. </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w:t>
      </w:r>
      <w:r>
        <w:rPr>
          <w:rFonts w:ascii="Palatino Linotype" w:eastAsia="Palatino Linotype" w:hAnsi="Palatino Linotype" w:cs="Palatino Linotype"/>
          <w:i/>
          <w:iCs/>
          <w:sz w:val="22"/>
          <w:szCs w:val="22"/>
        </w:rPr>
        <w:t>r alimentario. El Instituto de la Función Registral informará al Registro Civil si fue procedente la anotación, en cuyo caso dará aviso al Juez del conocimiento para que el acreedor alimentario haga cobrable las cantidades adeudadas en la vía judicial resp</w:t>
      </w:r>
      <w:r>
        <w:rPr>
          <w:rFonts w:ascii="Palatino Linotype" w:eastAsia="Palatino Linotype" w:hAnsi="Palatino Linotype" w:cs="Palatino Linotype"/>
          <w:i/>
          <w:iCs/>
          <w:sz w:val="22"/>
          <w:szCs w:val="22"/>
        </w:rPr>
        <w:t>ectiva.</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Datos del Certificado expedido por la Unidad del Registro de Deudores Alimentarios Morosos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4.146 Quinquies.- El Certificado expedido por la Unidad del Registro de Deudores Alimentarios Morosos contendrá lo siguiente: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Nombre y Clave Ú</w:t>
      </w:r>
      <w:r>
        <w:rPr>
          <w:rFonts w:ascii="Palatino Linotype" w:eastAsia="Palatino Linotype" w:hAnsi="Palatino Linotype" w:cs="Palatino Linotype"/>
          <w:i/>
          <w:iCs/>
          <w:sz w:val="22"/>
          <w:szCs w:val="22"/>
        </w:rPr>
        <w:t xml:space="preserve">nica de Registro de Población del solicitante;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La información sobre su inscripción o no en el registro de deudores alimentarios morosos.</w:t>
      </w:r>
    </w:p>
    <w:p w:rsidR="00D8442A" w:rsidRDefault="00D8442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De ser el caso que el solicitante se encuentre inscrito en el registro, la constancia incluirá además lo siguient</w:t>
      </w:r>
      <w:r>
        <w:rPr>
          <w:rFonts w:ascii="Palatino Linotype" w:eastAsia="Palatino Linotype" w:hAnsi="Palatino Linotype" w:cs="Palatino Linotype"/>
          <w:i/>
          <w:iCs/>
          <w:sz w:val="22"/>
          <w:szCs w:val="22"/>
        </w:rPr>
        <w:t>e:</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Número de acreedores alimentarios;</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Monto de la pensión alimenticia decretada o convenida;</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Órgano jurisdiccional que ordenó el registro;</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IV. Datos del expediente jurisdiccional de la que deriva su inscripción.</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Certificado a que se refiere </w:t>
      </w:r>
      <w:r>
        <w:rPr>
          <w:rFonts w:ascii="Palatino Linotype" w:eastAsia="Palatino Linotype" w:hAnsi="Palatino Linotype" w:cs="Palatino Linotype"/>
          <w:i/>
          <w:iCs/>
          <w:sz w:val="22"/>
          <w:szCs w:val="22"/>
        </w:rPr>
        <w:t>el presente artículo será expedido el mismo día hábil de su solicitud…”</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respecto a aquellos servidores públicos que se encuentren o no inscritos en dicho registro, procede su entrega en versión pública, ya que al ser un requisito sine qua non para ingresar al servicio público, se convierte en información que da cer</w:t>
      </w:r>
      <w:r>
        <w:rPr>
          <w:rFonts w:ascii="Palatino Linotype" w:eastAsia="Palatino Linotype" w:hAnsi="Palatino Linotype" w:cs="Palatino Linotype"/>
          <w:sz w:val="22"/>
          <w:szCs w:val="22"/>
        </w:rPr>
        <w:t>teza a la ciudadanía de que el Servidor Público que ostenta un cargo cumplió con los requisitos señalados en la Ley del Trabajo de los Servidores Públicos del Estado y Municipios. Ahora, no pasa desapercibido, que el Certificado de No Deudor Alimentario pu</w:t>
      </w:r>
      <w:r>
        <w:rPr>
          <w:rFonts w:ascii="Palatino Linotype" w:eastAsia="Palatino Linotype" w:hAnsi="Palatino Linotype" w:cs="Palatino Linotype"/>
          <w:sz w:val="22"/>
          <w:szCs w:val="22"/>
        </w:rPr>
        <w:t xml:space="preserve">diera contener información confidencial, como lo es de manera enunciativa más no limitativa el CURP y el RFC; por lo tanto, no procede su clasificación total sino su entrega en versión pública. </w:t>
      </w:r>
    </w:p>
    <w:p w:rsidR="00D8442A" w:rsidRDefault="00D844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por lo anteriormente expuesto, que los expedientes labora</w:t>
      </w:r>
      <w:r>
        <w:rPr>
          <w:rFonts w:ascii="Palatino Linotype" w:eastAsia="Palatino Linotype" w:hAnsi="Palatino Linotype" w:cs="Palatino Linotype"/>
          <w:sz w:val="22"/>
          <w:szCs w:val="22"/>
        </w:rPr>
        <w:t xml:space="preserve">les de los servidores públicos que integran a la Unidad de Transparencia del Ayuntamiento de Toluca, es información que tiene obligación de  integrar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pues en este obran todos aquellos documentos que ampara que se cumplieron con los requ</w:t>
      </w:r>
      <w:r>
        <w:rPr>
          <w:rFonts w:ascii="Palatino Linotype" w:eastAsia="Palatino Linotype" w:hAnsi="Palatino Linotype" w:cs="Palatino Linotype"/>
          <w:sz w:val="22"/>
          <w:szCs w:val="22"/>
        </w:rPr>
        <w:t xml:space="preserve">isitos establecidos en el artículo 47 de la Ley en Materia; por lo que contrario con lo referido por la Dirección de Recursos Humanos en respuesta, si cuenta con documentos que den cuenta de lo solicitado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por lo que resulta procede</w:t>
      </w:r>
      <w:r>
        <w:rPr>
          <w:rFonts w:ascii="Palatino Linotype" w:eastAsia="Palatino Linotype" w:hAnsi="Palatino Linotype" w:cs="Palatino Linotype"/>
          <w:sz w:val="22"/>
          <w:szCs w:val="22"/>
        </w:rPr>
        <w:t xml:space="preserve">nte ordenar su entrega en versión pública. </w:t>
      </w:r>
    </w:p>
    <w:p w:rsidR="00D8442A" w:rsidRDefault="00D8442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De los servidores públicos de la Unidad de Transparencia: Alta issemym</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respecto de la naturaleza de la información solicitada, en primera instancia, respecto del alta del ISSEMYM, el artículo 86, fracción II de la Ley del Trabajo de los Servidores Públicos del Estado y Municipios establece como derecho de los serv</w:t>
      </w:r>
      <w:r>
        <w:rPr>
          <w:rFonts w:ascii="Palatino Linotype" w:eastAsia="Palatino Linotype" w:hAnsi="Palatino Linotype" w:cs="Palatino Linotype"/>
          <w:sz w:val="22"/>
          <w:szCs w:val="22"/>
        </w:rPr>
        <w:t>idores públicos el de gozar de los beneficios de la seguridad social: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86. Los servidores públicos tendrán los siguientes derechos: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 Gozar de los beneficios de la seguridad social en la forma y términos establecidos por la Ley de Seguridad Social para los Servidores Públicos del Estado y Municipios;</w:t>
      </w:r>
      <w:r>
        <w:rPr>
          <w:rFonts w:ascii="Palatino Linotype" w:eastAsia="Palatino Linotype" w:hAnsi="Palatino Linotype" w:cs="Palatino Linotype"/>
          <w:i/>
          <w:iCs/>
          <w:sz w:val="22"/>
          <w:szCs w:val="22"/>
        </w:rPr>
        <w:t xml:space="preserve">…”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D8442A" w:rsidRDefault="00D8442A">
      <w:pPr>
        <w:spacing w:line="360" w:lineRule="auto"/>
        <w:ind w:right="-93"/>
        <w:jc w:val="both"/>
        <w:rPr>
          <w:rFonts w:ascii="Palatino Linotype" w:eastAsia="Palatino Linotype" w:hAnsi="Palatino Linotype" w:cs="Palatino Linotype"/>
          <w:sz w:val="22"/>
          <w:szCs w:val="22"/>
        </w:rPr>
      </w:pPr>
    </w:p>
    <w:p w:rsidR="00D8442A" w:rsidRDefault="0008055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Debido a que los beneficios de la seguridad social para los se</w:t>
      </w:r>
      <w:r>
        <w:rPr>
          <w:rFonts w:ascii="Palatino Linotype" w:eastAsia="Palatino Linotype" w:hAnsi="Palatino Linotype" w:cs="Palatino Linotype"/>
          <w:sz w:val="22"/>
          <w:szCs w:val="22"/>
        </w:rPr>
        <w:t>rvidores públicos los brinda el Instituto de Seguridad Social del Estado y Municipios (ISSEMYM), nos referiremos a la Ley de Seguridad Social para los Servidores Públicos del Estado de México y Municipios, en los siguientes artículos:</w:t>
      </w:r>
    </w:p>
    <w:p w:rsidR="00D8442A" w:rsidRDefault="00D8442A">
      <w:pPr>
        <w:spacing w:line="276" w:lineRule="auto"/>
        <w:ind w:left="567" w:right="709"/>
        <w:jc w:val="both"/>
        <w:rPr>
          <w:rFonts w:ascii="Palatino Linotype" w:eastAsia="Palatino Linotype" w:hAnsi="Palatino Linotype" w:cs="Palatino Linotype"/>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5.- Para l</w:t>
      </w:r>
      <w:r>
        <w:rPr>
          <w:rFonts w:ascii="Palatino Linotype" w:eastAsia="Palatino Linotype" w:hAnsi="Palatino Linotype" w:cs="Palatino Linotype"/>
          <w:i/>
          <w:iCs/>
          <w:sz w:val="22"/>
          <w:szCs w:val="22"/>
        </w:rPr>
        <w:t>os efectos de esta ley se entiende por:</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 Servidor público,</w:t>
      </w:r>
      <w:r>
        <w:rPr>
          <w:rFonts w:ascii="Palatino Linotype" w:eastAsia="Palatino Linotype" w:hAnsi="Palatino Linotype" w:cs="Palatino Linotype"/>
          <w:i/>
          <w:iCs/>
          <w:sz w:val="22"/>
          <w:szCs w:val="22"/>
        </w:rPr>
        <w:t xml:space="preserve"> a toda persona que desempeñe un empleo, cargo o comisión ya sea por elección popular o por nombramiento, o bien, preste sus servicios mediante contrato por tiempo u obra determinados, así como </w:t>
      </w:r>
      <w:r>
        <w:rPr>
          <w:rFonts w:ascii="Palatino Linotype" w:eastAsia="Palatino Linotype" w:hAnsi="Palatino Linotype" w:cs="Palatino Linotype"/>
          <w:i/>
          <w:iCs/>
          <w:sz w:val="22"/>
          <w:szCs w:val="22"/>
        </w:rPr>
        <w:t xml:space="preserve">las que se encuentren en lista de raya, en cualquiera de las instituciones públicas a que se refiere la fracción II de este artículo. Quedan exceptuadas aquellas que estén sujetas a contrato civil o mercantil, o a pago de honorarios;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6.-</w:t>
      </w:r>
      <w:r>
        <w:rPr>
          <w:rFonts w:ascii="Palatino Linotype" w:eastAsia="Palatino Linotype" w:hAnsi="Palatino Linotype" w:cs="Palatino Linotype"/>
          <w:i/>
          <w:iCs/>
          <w:sz w:val="22"/>
          <w:szCs w:val="22"/>
        </w:rPr>
        <w:t xml:space="preserve"> Los de</w:t>
      </w:r>
      <w:r>
        <w:rPr>
          <w:rFonts w:ascii="Palatino Linotype" w:eastAsia="Palatino Linotype" w:hAnsi="Palatino Linotype" w:cs="Palatino Linotype"/>
          <w:i/>
          <w:iCs/>
          <w:sz w:val="22"/>
          <w:szCs w:val="22"/>
        </w:rPr>
        <w:t>rechos que otorga la presente ley a los servidores públicos se generan a partir de su ingreso al servicio independientemente de la fecha en que el Instituto reciba las cuotas y aportaciones establecidas.</w:t>
      </w:r>
    </w:p>
    <w:p w:rsidR="00D8442A" w:rsidRDefault="0008055E">
      <w:pPr>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Las instituciones públicas deberán remitir al Instit</w:t>
      </w:r>
      <w:r>
        <w:rPr>
          <w:rFonts w:ascii="Palatino Linotype" w:eastAsia="Palatino Linotype" w:hAnsi="Palatino Linotype" w:cs="Palatino Linotype"/>
          <w:b/>
          <w:bCs/>
          <w:i/>
          <w:iCs/>
          <w:sz w:val="22"/>
          <w:szCs w:val="22"/>
          <w:u w:val="single"/>
        </w:rPr>
        <w:t>uto, en un plazo no mayor de 10 días hábiles a partir del ingreso al servicio del servidor público, los datos necesarios para su registro y control.</w:t>
      </w:r>
    </w:p>
    <w:p w:rsidR="00D8442A" w:rsidRDefault="0008055E">
      <w:pPr>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ARTÍCULO 7.- Los derechohabientes y las Instituciones públicas están obligados a proporcionar al Instituto,</w:t>
      </w:r>
      <w:r>
        <w:rPr>
          <w:rFonts w:ascii="Palatino Linotype" w:eastAsia="Palatino Linotype" w:hAnsi="Palatino Linotype" w:cs="Palatino Linotype"/>
          <w:b/>
          <w:bCs/>
          <w:i/>
          <w:iCs/>
          <w:sz w:val="22"/>
          <w:szCs w:val="22"/>
          <w:u w:val="single"/>
        </w:rPr>
        <w:t xml:space="preserve"> los datos que les soliciten relacionados con la aplicación de esta ley.</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35.- Las </w:t>
      </w:r>
      <w:r>
        <w:rPr>
          <w:rFonts w:ascii="Palatino Linotype" w:eastAsia="Palatino Linotype" w:hAnsi="Palatino Linotype" w:cs="Palatino Linotype"/>
          <w:b/>
          <w:bCs/>
          <w:i/>
          <w:iCs/>
          <w:sz w:val="22"/>
          <w:szCs w:val="22"/>
        </w:rPr>
        <w:t>instituciones públicas deberán enterar al Instituto el importe de las cuotas retenidas quincenalmente a los servidores públicos,</w:t>
      </w:r>
      <w:r>
        <w:rPr>
          <w:rFonts w:ascii="Palatino Linotype" w:eastAsia="Palatino Linotype" w:hAnsi="Palatino Linotype" w:cs="Palatino Linotype"/>
          <w:i/>
          <w:iCs/>
          <w:sz w:val="22"/>
          <w:szCs w:val="22"/>
        </w:rPr>
        <w:t xml:space="preserve"> así como el de las aportaciones que </w:t>
      </w:r>
      <w:r>
        <w:rPr>
          <w:rFonts w:ascii="Palatino Linotype" w:eastAsia="Palatino Linotype" w:hAnsi="Palatino Linotype" w:cs="Palatino Linotype"/>
          <w:i/>
          <w:iCs/>
          <w:sz w:val="22"/>
          <w:szCs w:val="22"/>
        </w:rPr>
        <w:t>les correspondan, dentro de los cinco días siguientes al de la fecha en que efectúen la retención. En el mismo plazo, deberán enterar el importe de los descuentos que por créditos u otros conceptos que ordene el propio Instituto, en cumplimiento de lo disp</w:t>
      </w:r>
      <w:r>
        <w:rPr>
          <w:rFonts w:ascii="Palatino Linotype" w:eastAsia="Palatino Linotype" w:hAnsi="Palatino Linotype" w:cs="Palatino Linotype"/>
          <w:i/>
          <w:iCs/>
          <w:sz w:val="22"/>
          <w:szCs w:val="22"/>
        </w:rPr>
        <w:t>uesto por esta ley.</w:t>
      </w:r>
    </w:p>
    <w:p w:rsidR="00D8442A" w:rsidRDefault="0008055E">
      <w:pPr>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sz w:val="22"/>
          <w:szCs w:val="22"/>
        </w:rPr>
        <w:t>El entero de cuotas y aportaciones que los ayuntamientos convengan a través de descuento de las participaciones federales que les correspondan, se realizará de forma mensual.”</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una interpretación sistemática de estos artículos se advierte que cada institución pública tiene la obligación de registrar ante el Instituto de Seguridad Social del Estado y Municipios (ISSEMYM), a aquellos servidores públicos que hayan ingresado al se</w:t>
      </w:r>
      <w:r>
        <w:rPr>
          <w:rFonts w:ascii="Palatino Linotype" w:eastAsia="Palatino Linotype" w:hAnsi="Palatino Linotype" w:cs="Palatino Linotype"/>
          <w:sz w:val="22"/>
          <w:szCs w:val="22"/>
        </w:rPr>
        <w:t>rvicio; asimismo, cada institución, tienen la obligación de proporcionar al ISSEMYM los datos referentes los movimientos que surjan con motivo de la prestación del servicio.</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Manual de Procedimientos para la Administración de la Plataforma de</w:t>
      </w:r>
      <w:r>
        <w:rPr>
          <w:rFonts w:ascii="Palatino Linotype" w:eastAsia="Palatino Linotype" w:hAnsi="Palatino Linotype" w:cs="Palatino Linotype"/>
          <w:sz w:val="22"/>
          <w:szCs w:val="22"/>
        </w:rPr>
        <w:t xml:space="preserve"> Recaudación e Información de Seguridad Social PRISMA ISSEMYM, se desarrollan las obligaciones que tiene cada institución para realizar los procedimientos de alta, baja, cambio o modificaciones de datos y el uso de la plataforma:</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u w:val="single"/>
        </w:rPr>
        <w:t>“PROCEDIMIENTO</w:t>
      </w:r>
      <w:r>
        <w:rPr>
          <w:rFonts w:ascii="Palatino Linotype" w:eastAsia="Palatino Linotype" w:hAnsi="Palatino Linotype" w:cs="Palatino Linotype"/>
          <w:i/>
          <w:iCs/>
          <w:sz w:val="22"/>
          <w:szCs w:val="22"/>
          <w:u w:val="single"/>
        </w:rPr>
        <w:t>:</w:t>
      </w:r>
      <w:r>
        <w:rPr>
          <w:rFonts w:ascii="Palatino Linotype" w:eastAsia="Palatino Linotype" w:hAnsi="Palatino Linotype" w:cs="Palatino Linotype"/>
          <w:i/>
          <w:iCs/>
          <w:sz w:val="22"/>
          <w:szCs w:val="22"/>
        </w:rPr>
        <w:t xml:space="preserve"> REGISTRO </w:t>
      </w:r>
      <w:r>
        <w:rPr>
          <w:rFonts w:ascii="Palatino Linotype" w:eastAsia="Palatino Linotype" w:hAnsi="Palatino Linotype" w:cs="Palatino Linotype"/>
          <w:i/>
          <w:iCs/>
          <w:sz w:val="22"/>
          <w:szCs w:val="22"/>
        </w:rPr>
        <w:t>DE ALTA DE INSTITUCIONES PÚBLICAS AL RÉGIMEN DE SEGURIDAD SOCIAL, A TRAVÉS DE LA PLATAFORMA DE RECAUDACIÓN E INFORMACIÓN DE SEGURIDAD SOCIAL (PRISMA ISSEMYM</w:t>
      </w:r>
      <w:r>
        <w:rPr>
          <w:rFonts w:ascii="Palatino Linotype" w:eastAsia="Palatino Linotype" w:hAnsi="Palatino Linotype" w:cs="Palatino Linotype"/>
          <w:sz w:val="22"/>
          <w:szCs w:val="22"/>
        </w:rPr>
        <w:t>)</w:t>
      </w:r>
    </w:p>
    <w:p w:rsidR="00D8442A" w:rsidRDefault="00D8442A">
      <w:pPr>
        <w:spacing w:line="276" w:lineRule="auto"/>
        <w:ind w:left="851" w:right="616"/>
        <w:jc w:val="both"/>
        <w:rPr>
          <w:rFonts w:ascii="Palatino Linotype" w:eastAsia="Palatino Linotype" w:hAnsi="Palatino Linotype" w:cs="Palatino Linotype"/>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OBJETIVO: </w:t>
      </w:r>
      <w:r>
        <w:rPr>
          <w:rFonts w:ascii="Palatino Linotype" w:eastAsia="Palatino Linotype" w:hAnsi="Palatino Linotype" w:cs="Palatino Linotype"/>
          <w:b/>
          <w:bCs/>
          <w:i/>
          <w:iCs/>
          <w:sz w:val="22"/>
          <w:szCs w:val="22"/>
        </w:rPr>
        <w:t>Proporcionar a los servidores públicos las prestaciones que establece la Ley de Segurid</w:t>
      </w:r>
      <w:r>
        <w:rPr>
          <w:rFonts w:ascii="Palatino Linotype" w:eastAsia="Palatino Linotype" w:hAnsi="Palatino Linotype" w:cs="Palatino Linotype"/>
          <w:b/>
          <w:bCs/>
          <w:i/>
          <w:iCs/>
          <w:sz w:val="22"/>
          <w:szCs w:val="22"/>
        </w:rPr>
        <w:t>ad Social</w:t>
      </w:r>
      <w:r>
        <w:rPr>
          <w:rFonts w:ascii="Palatino Linotype" w:eastAsia="Palatino Linotype" w:hAnsi="Palatino Linotype" w:cs="Palatino Linotype"/>
          <w:i/>
          <w:iCs/>
          <w:sz w:val="22"/>
          <w:szCs w:val="22"/>
        </w:rPr>
        <w:t xml:space="preserve"> para los Servidores Públicos del Estado de México y Municipios, </w:t>
      </w:r>
      <w:r>
        <w:rPr>
          <w:rFonts w:ascii="Palatino Linotype" w:eastAsia="Palatino Linotype" w:hAnsi="Palatino Linotype" w:cs="Palatino Linotype"/>
          <w:b/>
          <w:bCs/>
          <w:i/>
          <w:iCs/>
          <w:sz w:val="22"/>
          <w:szCs w:val="22"/>
          <w:u w:val="single"/>
        </w:rPr>
        <w:t>mediante el registro del alta de Instituciones Públicas al régimen de seguridad social,</w:t>
      </w:r>
      <w:r>
        <w:rPr>
          <w:rFonts w:ascii="Palatino Linotype" w:eastAsia="Palatino Linotype" w:hAnsi="Palatino Linotype" w:cs="Palatino Linotype"/>
          <w:i/>
          <w:iCs/>
          <w:sz w:val="22"/>
          <w:szCs w:val="22"/>
        </w:rPr>
        <w:t xml:space="preserve"> a través de la Plataforma de Recaudación e Información de Seguridad Social (PRISMA ISSEMYM).</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ALCANCE: Aplica al personal adscrito a la Ventanilla Única de Atención Integral a Instituciones Públicas del Instituto de Seguridad Social del Estado de México y Municipios, que realiza los trámites de alta de las Instituciones Públicas afiliadas al régime</w:t>
      </w:r>
      <w:r>
        <w:rPr>
          <w:rFonts w:ascii="Palatino Linotype" w:eastAsia="Palatino Linotype" w:hAnsi="Palatino Linotype" w:cs="Palatino Linotype"/>
          <w:i/>
          <w:iCs/>
          <w:sz w:val="22"/>
          <w:szCs w:val="22"/>
        </w:rPr>
        <w:t>n de seguridad social en la Plataforma de Recaudación e Información de Seguridad Social (PRISMA ISSEMYM).</w:t>
      </w:r>
      <w:r>
        <w:rPr>
          <w:rFonts w:ascii="Palatino Linotype" w:eastAsia="Palatino Linotype" w:hAnsi="Palatino Linotype" w:cs="Palatino Linotype"/>
          <w:i/>
          <w:iCs/>
          <w:sz w:val="22"/>
          <w:szCs w:val="22"/>
        </w:rPr>
        <w:br/>
        <w:t>RESPONSABILIDADES: La Ventanilla Única de Atención Integral a Instituciones Públicas es la unidad administrativa responsable de dar de alta a las Inst</w:t>
      </w:r>
      <w:r>
        <w:rPr>
          <w:rFonts w:ascii="Palatino Linotype" w:eastAsia="Palatino Linotype" w:hAnsi="Palatino Linotype" w:cs="Palatino Linotype"/>
          <w:i/>
          <w:iCs/>
          <w:sz w:val="22"/>
          <w:szCs w:val="22"/>
        </w:rPr>
        <w:t>ituciones Públicas al régimen de seguridad social del ISSEMYM, con el propósito de mantener los controles correspondientes.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Jefe de la Ventanilla Única de Atención Integral a Instituciones Públicas deberá: —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Autorizar el oficio para solicitar las cue</w:t>
      </w:r>
      <w:r>
        <w:rPr>
          <w:rFonts w:ascii="Palatino Linotype" w:eastAsia="Palatino Linotype" w:hAnsi="Palatino Linotype" w:cs="Palatino Linotype"/>
          <w:i/>
          <w:iCs/>
          <w:sz w:val="22"/>
          <w:szCs w:val="22"/>
        </w:rPr>
        <w:t>ntas contables de la Institución Pública que se dará de alta.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Notificar mediante oficio al Departamento de Cobranza las cuentas contables asignadas a la Institución Pública.</w:t>
      </w:r>
    </w:p>
    <w:p w:rsidR="00D8442A" w:rsidRDefault="0008055E">
      <w:pP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Notificar mediante oficio a las Instituciones Públicas que solicitaron su alta</w:t>
      </w:r>
      <w:r>
        <w:rPr>
          <w:rFonts w:ascii="Palatino Linotype" w:eastAsia="Palatino Linotype" w:hAnsi="Palatino Linotype" w:cs="Palatino Linotype"/>
          <w:b/>
          <w:bCs/>
          <w:i/>
          <w:iCs/>
          <w:sz w:val="22"/>
          <w:szCs w:val="22"/>
        </w:rPr>
        <w:t xml:space="preserve"> al ISSEMYM, la clave de afiliación correspondiente.</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Firmar de visto bueno el reporte automatizado de las altas de las Instituciones Públicas generadas en la Plataforma de Recaudación e Información de Seguridad Social (PRISMA ISSEMYM).</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Usuario Adminis</w:t>
      </w:r>
      <w:r>
        <w:rPr>
          <w:rFonts w:ascii="Palatino Linotype" w:eastAsia="Palatino Linotype" w:hAnsi="Palatino Linotype" w:cs="Palatino Linotype"/>
          <w:i/>
          <w:iCs/>
          <w:sz w:val="22"/>
          <w:szCs w:val="22"/>
        </w:rPr>
        <w:t xml:space="preserve">trador de la Ventanilla Única de Atención Integral a Instituciones Públicas deberá: </w:t>
      </w:r>
    </w:p>
    <w:p w:rsidR="00D8442A" w:rsidRDefault="0008055E">
      <w:pP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Generar el alta de la Institución Pública en la Plataforma de Recaudación e Información de Seguridad Social (PRISMA ISSEMYM).</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Rubricar el reporte de alta de la Institu</w:t>
      </w:r>
      <w:r>
        <w:rPr>
          <w:rFonts w:ascii="Palatino Linotype" w:eastAsia="Palatino Linotype" w:hAnsi="Palatino Linotype" w:cs="Palatino Linotype"/>
          <w:i/>
          <w:iCs/>
          <w:sz w:val="22"/>
          <w:szCs w:val="22"/>
        </w:rPr>
        <w:t>ción Pública como responsable de la elaboración.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Obtener el visto bueno del Jefe de la Ventanilla Única y del Subdirector de Relaciones Institucionales en el alta de la Institución Pública.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Notificar a la Institución Pública que ha sido afiliada al ISS</w:t>
      </w:r>
      <w:r>
        <w:rPr>
          <w:rFonts w:ascii="Palatino Linotype" w:eastAsia="Palatino Linotype" w:hAnsi="Palatino Linotype" w:cs="Palatino Linotype"/>
          <w:b/>
          <w:bCs/>
          <w:i/>
          <w:iCs/>
          <w:sz w:val="22"/>
          <w:szCs w:val="22"/>
        </w:rPr>
        <w:t>EMYM,</w:t>
      </w:r>
      <w:r>
        <w:rPr>
          <w:rFonts w:ascii="Palatino Linotype" w:eastAsia="Palatino Linotype" w:hAnsi="Palatino Linotype" w:cs="Palatino Linotype"/>
          <w:i/>
          <w:iCs/>
          <w:sz w:val="22"/>
          <w:szCs w:val="22"/>
        </w:rPr>
        <w:t xml:space="preserve"> solicitando la presencia del usuario autorizado para la entrega de su clave de usuario y contraseña.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Generar la clave y contraseña de usuario autorizado para su acceso a la Plataforma de Recaudación e Información de Seguridad Social (PRISMA ISSEMYM</w:t>
      </w: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Entregar al usuario autorizado la clave de usuario y contraseña, la "Hoja de Términos y Condiciones" y el oficio de notificación.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Integrar el expediente de la Institución Pública con la documentación soporte de su alta en la Plataforma de Recaudación e Información de Seguridad Social (PRISMA ISSEMYM).</w:t>
      </w:r>
      <w:r>
        <w:rPr>
          <w:rFonts w:ascii="Palatino Linotype" w:eastAsia="Palatino Linotype" w:hAnsi="Palatino Linotype" w:cs="Palatino Linotype"/>
          <w:i/>
          <w:iCs/>
          <w:sz w:val="22"/>
          <w:szCs w:val="22"/>
        </w:rPr>
        <w:br/>
        <w:t>DEFINICIONES:</w:t>
      </w:r>
    </w:p>
    <w:p w:rsidR="00D8442A" w:rsidRDefault="0008055E">
      <w:pPr>
        <w:tabs>
          <w:tab w:val="left" w:pos="1275"/>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Usuario Administrador: Persona designada por el Jefe de la Ventanil</w:t>
      </w:r>
      <w:r>
        <w:rPr>
          <w:rFonts w:ascii="Palatino Linotype" w:eastAsia="Palatino Linotype" w:hAnsi="Palatino Linotype" w:cs="Palatino Linotype"/>
          <w:i/>
          <w:iCs/>
          <w:sz w:val="22"/>
          <w:szCs w:val="22"/>
        </w:rPr>
        <w:t>la Única de Atención Integral a Instituciones Públicas para realizar el alta, baja, cambios y/o modificaciones de los registros de las Instituciones Públicas en la Plataforma PRISMA ISSEMYM.</w:t>
      </w:r>
    </w:p>
    <w:p w:rsidR="00D8442A" w:rsidRDefault="0008055E">
      <w:pPr>
        <w:tabs>
          <w:tab w:val="left" w:pos="1275"/>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Institución Pública: Los poderes públicos del Estado, </w:t>
      </w:r>
      <w:r>
        <w:rPr>
          <w:rFonts w:ascii="Palatino Linotype" w:eastAsia="Palatino Linotype" w:hAnsi="Palatino Linotype" w:cs="Palatino Linotype"/>
          <w:b/>
          <w:bCs/>
          <w:i/>
          <w:iCs/>
          <w:sz w:val="22"/>
          <w:szCs w:val="22"/>
        </w:rPr>
        <w:t>los ayuntam</w:t>
      </w:r>
      <w:r>
        <w:rPr>
          <w:rFonts w:ascii="Palatino Linotype" w:eastAsia="Palatino Linotype" w:hAnsi="Palatino Linotype" w:cs="Palatino Linotype"/>
          <w:b/>
          <w:bCs/>
          <w:i/>
          <w:iCs/>
          <w:sz w:val="22"/>
          <w:szCs w:val="22"/>
        </w:rPr>
        <w:t>ientos</w:t>
      </w:r>
      <w:r>
        <w:rPr>
          <w:rFonts w:ascii="Palatino Linotype" w:eastAsia="Palatino Linotype" w:hAnsi="Palatino Linotype" w:cs="Palatino Linotype"/>
          <w:i/>
          <w:iCs/>
          <w:sz w:val="22"/>
          <w:szCs w:val="22"/>
        </w:rPr>
        <w:t xml:space="preserve"> y los tribunales administrativos, así como los organismos auxiliares y fideicomisos públicos de carácter estatal y municipal.” </w:t>
      </w:r>
    </w:p>
    <w:p w:rsidR="00D8442A" w:rsidRDefault="00D8442A">
      <w:pPr>
        <w:tabs>
          <w:tab w:val="left" w:pos="1275"/>
        </w:tabs>
        <w:spacing w:line="360" w:lineRule="auto"/>
        <w:ind w:right="49"/>
        <w:jc w:val="both"/>
        <w:rPr>
          <w:rFonts w:ascii="Palatino Linotype" w:eastAsia="Palatino Linotype" w:hAnsi="Palatino Linotype" w:cs="Palatino Linotype"/>
          <w:sz w:val="22"/>
          <w:szCs w:val="22"/>
        </w:rPr>
      </w:pPr>
    </w:p>
    <w:p w:rsidR="00D8442A" w:rsidRDefault="0008055E">
      <w:pPr>
        <w:tabs>
          <w:tab w:val="left" w:pos="1275"/>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en términos lo establecido en los artículos 6, 7 y 35 de la Ley de Seguridad Social para los Servidores</w:t>
      </w:r>
      <w:r>
        <w:rPr>
          <w:rFonts w:ascii="Palatino Linotype" w:eastAsia="Palatino Linotype" w:hAnsi="Palatino Linotype" w:cs="Palatino Linotype"/>
          <w:sz w:val="22"/>
          <w:szCs w:val="22"/>
        </w:rPr>
        <w:t xml:space="preserve"> Públicos del Estado de México y Municipios,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ostenta atribuciones para efectos de referir respecto de la materia de la solicitud, bajo la premisa de que son las Instituciones Públicas quienes remiten al Instituto, en un plazo no mayor de</w:t>
      </w:r>
      <w:r>
        <w:rPr>
          <w:rFonts w:ascii="Palatino Linotype" w:eastAsia="Palatino Linotype" w:hAnsi="Palatino Linotype" w:cs="Palatino Linotype"/>
          <w:sz w:val="22"/>
          <w:szCs w:val="22"/>
        </w:rPr>
        <w:t xml:space="preserve"> 10 días hábiles a partir del ingreso al servicio del servidor público, los datos necesarios para su registro y control, así como enterar al Instituto el importe de las cuotas retenidas quincenalmente a los servidores públicos.</w:t>
      </w:r>
    </w:p>
    <w:p w:rsidR="00D8442A" w:rsidRDefault="00D8442A">
      <w:pPr>
        <w:tabs>
          <w:tab w:val="left" w:pos="1275"/>
        </w:tabs>
        <w:spacing w:line="360" w:lineRule="auto"/>
        <w:ind w:right="49"/>
        <w:jc w:val="both"/>
        <w:rPr>
          <w:rFonts w:ascii="Palatino Linotype" w:eastAsia="Palatino Linotype" w:hAnsi="Palatino Linotype" w:cs="Palatino Linotype"/>
          <w:sz w:val="22"/>
          <w:szCs w:val="22"/>
        </w:rPr>
      </w:pPr>
    </w:p>
    <w:p w:rsidR="00D8442A" w:rsidRDefault="0008055E">
      <w:pPr>
        <w:tabs>
          <w:tab w:val="left" w:pos="1275"/>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se evidencia</w:t>
      </w:r>
      <w:r>
        <w:rPr>
          <w:rFonts w:ascii="Palatino Linotype" w:eastAsia="Palatino Linotype" w:hAnsi="Palatino Linotype" w:cs="Palatino Linotype"/>
          <w:sz w:val="22"/>
          <w:szCs w:val="22"/>
        </w:rPr>
        <w:t xml:space="preserv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es susceptible de conservar en el expediente de personal el documento que sirve para que un servidor público cause alta del servicio público y sea registrado en la plataforma del ISSEMYM dicho movimiento, siendo las instituciones pú</w:t>
      </w:r>
      <w:r>
        <w:rPr>
          <w:rFonts w:ascii="Palatino Linotype" w:eastAsia="Palatino Linotype" w:hAnsi="Palatino Linotype" w:cs="Palatino Linotype"/>
          <w:sz w:val="22"/>
          <w:szCs w:val="22"/>
        </w:rPr>
        <w:t xml:space="preserve">blicas las encargadas de informar dicha situación. </w:t>
      </w:r>
    </w:p>
    <w:p w:rsidR="00D8442A" w:rsidRDefault="00D8442A">
      <w:pPr>
        <w:tabs>
          <w:tab w:val="left" w:pos="1275"/>
        </w:tabs>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Luego entonces, se desprende que si bien es cierto,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no atendió este requerimiento de información por considerar que no encontró registro alguno donde contenga lo requerido, no menos ci</w:t>
      </w:r>
      <w:r>
        <w:rPr>
          <w:rFonts w:ascii="Palatino Linotype" w:eastAsia="Palatino Linotype" w:hAnsi="Palatino Linotype" w:cs="Palatino Linotype"/>
          <w:sz w:val="22"/>
          <w:szCs w:val="22"/>
        </w:rPr>
        <w:t>erto es que si tiene atribuciones para generar, poseer y administrar la documentación que da cuenta del alta de los servidores públicos que integran la Unidad de Transparencia, toda vez que como se vislumbró en la cita realizada, esta fue registrada ante e</w:t>
      </w:r>
      <w:r>
        <w:rPr>
          <w:rFonts w:ascii="Palatino Linotype" w:eastAsia="Palatino Linotype" w:hAnsi="Palatino Linotype" w:cs="Palatino Linotype"/>
          <w:sz w:val="22"/>
          <w:szCs w:val="22"/>
        </w:rPr>
        <w:t xml:space="preserve">l Instituto de Seguridad Social del Estado de México y Municipios, en consecuencia le reviste el carácter de información pública conforme lo dispuesto por los artículos 3, fracción XI, 4 párrafo segundo </w:t>
      </w:r>
      <w:r>
        <w:rPr>
          <w:rFonts w:ascii="Palatino Linotype" w:eastAsia="Palatino Linotype" w:hAnsi="Palatino Linotype" w:cs="Palatino Linotype"/>
          <w:sz w:val="22"/>
          <w:szCs w:val="22"/>
          <w:highlight w:val="white"/>
        </w:rPr>
        <w:t xml:space="preserve">de la Ley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highlight w:val="white"/>
        </w:rPr>
        <w:t>Transparencia y Acceso a la Información Pú</w:t>
      </w:r>
      <w:r>
        <w:rPr>
          <w:rFonts w:ascii="Palatino Linotype" w:eastAsia="Palatino Linotype" w:hAnsi="Palatino Linotype" w:cs="Palatino Linotype"/>
          <w:sz w:val="22"/>
          <w:szCs w:val="22"/>
          <w:highlight w:val="white"/>
        </w:rPr>
        <w:t xml:space="preserve">blica, por lo que </w:t>
      </w:r>
      <w:r>
        <w:rPr>
          <w:rFonts w:ascii="Palatino Linotype" w:eastAsia="Palatino Linotype" w:hAnsi="Palatino Linotype" w:cs="Palatino Linotype"/>
          <w:sz w:val="22"/>
          <w:szCs w:val="22"/>
        </w:rPr>
        <w:t>se colige que está en posibilidad de entregarla tal y como lo disponen los artículos 12 y 24 último párrafo del ordenamiento legal en cita, en consecuencia, lo procedente sería ordenar la entrega del mismo en versión pública y conforme al</w:t>
      </w:r>
      <w:r>
        <w:rPr>
          <w:rFonts w:ascii="Palatino Linotype" w:eastAsia="Palatino Linotype" w:hAnsi="Palatino Linotype" w:cs="Palatino Linotype"/>
          <w:sz w:val="22"/>
          <w:szCs w:val="22"/>
        </w:rPr>
        <w:t xml:space="preserve"> considerando quinto.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Recibos de nómina de la primera quincena de enero a la segunda quincena de octubre de dos mil veinticinco, de los servidores públicos de la Unidad de Transparencia. </w:t>
      </w: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se refiere a la materia del punto de análisis, conviene referir que la Ley del Trabajo de los Servidores Públicos del Estado y Municipios hace referencia a los comprobantes que las instituciones públicas realizan para documentar el pago de salar</w:t>
      </w:r>
      <w:r>
        <w:rPr>
          <w:rFonts w:ascii="Palatino Linotype" w:eastAsia="Palatino Linotype" w:hAnsi="Palatino Linotype" w:cs="Palatino Linotype"/>
          <w:sz w:val="22"/>
          <w:szCs w:val="22"/>
        </w:rPr>
        <w:t xml:space="preserve">ios, prima vacacional, aguinaldo y demás prestaciones otorgadas a un servidor público, denominándose "recibos o comprobantes de pago", los cuales constituyen un instrumento mediante el cual el sujeto obligado acredita las remuneraciones al personal y, que </w:t>
      </w:r>
      <w:r>
        <w:rPr>
          <w:rFonts w:ascii="Palatino Linotype" w:eastAsia="Palatino Linotype" w:hAnsi="Palatino Linotype" w:cs="Palatino Linotype"/>
          <w:sz w:val="22"/>
          <w:szCs w:val="22"/>
        </w:rPr>
        <w:t>de acuerdo al uso implantado en la colectividad se denominan "recibos de nómina".</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efecto de robustecer lo anterior, es preciso hacer alusión, en primera instancia, a lo establecido en las normas de carácter general del Manual Único de Contabilidad Guber</w:t>
      </w:r>
      <w:r>
        <w:rPr>
          <w:rFonts w:ascii="Palatino Linotype" w:eastAsia="Palatino Linotype" w:hAnsi="Palatino Linotype" w:cs="Palatino Linotype"/>
          <w:sz w:val="22"/>
          <w:szCs w:val="22"/>
        </w:rPr>
        <w:t>namental para las Dependencias y Entidades Públicas del Gobierno y Municipios del Estado de México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 xml:space="preserve">en donde se señala que el Régimen Fiscal para las entidades públicas es el correspondiente a </w:t>
      </w:r>
      <w:r>
        <w:rPr>
          <w:rFonts w:ascii="Palatino Linotype" w:eastAsia="Palatino Linotype" w:hAnsi="Palatino Linotype" w:cs="Palatino Linotype"/>
          <w:i/>
          <w:iCs/>
          <w:sz w:val="22"/>
          <w:szCs w:val="22"/>
        </w:rPr>
        <w:t xml:space="preserve">personas morales con fines no lucrativos, </w:t>
      </w:r>
      <w:r>
        <w:rPr>
          <w:rFonts w:ascii="Palatino Linotype" w:eastAsia="Palatino Linotype" w:hAnsi="Palatino Linotype" w:cs="Palatino Linotype"/>
          <w:sz w:val="22"/>
          <w:szCs w:val="22"/>
        </w:rPr>
        <w:t>y en segundo lugar re</w:t>
      </w:r>
      <w:r>
        <w:rPr>
          <w:rFonts w:ascii="Palatino Linotype" w:eastAsia="Palatino Linotype" w:hAnsi="Palatino Linotype" w:cs="Palatino Linotype"/>
          <w:sz w:val="22"/>
          <w:szCs w:val="22"/>
        </w:rPr>
        <w:t>mitirnos al párrafo séptimo del artículo 86 del Título III del Régimen de las Personas Morales con fines no lucrativos, de la Ley del Impuesto Sobre la Renta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que a la letra señala lo siguiente:</w:t>
      </w:r>
    </w:p>
    <w:p w:rsidR="00D8442A" w:rsidRDefault="00D8442A">
      <w:pPr>
        <w:ind w:left="851" w:right="902"/>
        <w:jc w:val="both"/>
        <w:rPr>
          <w:rFonts w:ascii="Palatino Linotype" w:eastAsia="Palatino Linotype" w:hAnsi="Palatino Linotype" w:cs="Palatino Linotype"/>
          <w:b/>
          <w:bCs/>
          <w:i/>
          <w:iCs/>
          <w:sz w:val="22"/>
          <w:szCs w:val="22"/>
        </w:rPr>
      </w:pPr>
    </w:p>
    <w:p w:rsidR="00D8442A" w:rsidRDefault="0008055E">
      <w:pP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Artículo.- 86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Los partidos y asociaciones políticas, leg</w:t>
      </w:r>
      <w:r>
        <w:rPr>
          <w:rFonts w:ascii="Palatino Linotype" w:eastAsia="Palatino Linotype" w:hAnsi="Palatino Linotype" w:cs="Palatino Linotype"/>
          <w:i/>
          <w:iCs/>
          <w:sz w:val="22"/>
          <w:szCs w:val="22"/>
        </w:rPr>
        <w:t xml:space="preserve">almente reconocidos, la Federación, las entidades federativas, </w:t>
      </w:r>
      <w:r>
        <w:rPr>
          <w:rFonts w:ascii="Palatino Linotype" w:eastAsia="Palatino Linotype" w:hAnsi="Palatino Linotype" w:cs="Palatino Linotype"/>
          <w:b/>
          <w:bCs/>
          <w:i/>
          <w:iCs/>
          <w:sz w:val="22"/>
          <w:szCs w:val="22"/>
        </w:rPr>
        <w:t>los municipios</w:t>
      </w:r>
      <w:r>
        <w:rPr>
          <w:rFonts w:ascii="Palatino Linotype" w:eastAsia="Palatino Linotype" w:hAnsi="Palatino Linotype" w:cs="Palatino Linotype"/>
          <w:i/>
          <w:iCs/>
          <w:sz w:val="22"/>
          <w:szCs w:val="22"/>
        </w:rPr>
        <w:t xml:space="preserve"> y las instituciones que por Ley estén obligadas a entregar al Gobierno Federal el importe íntegro de su remanente de operación y los organismos descentralizados que no tributen c</w:t>
      </w:r>
      <w:r>
        <w:rPr>
          <w:rFonts w:ascii="Palatino Linotype" w:eastAsia="Palatino Linotype" w:hAnsi="Palatino Linotype" w:cs="Palatino Linotype"/>
          <w:i/>
          <w:iCs/>
          <w:sz w:val="22"/>
          <w:szCs w:val="22"/>
        </w:rPr>
        <w:t xml:space="preserve">onforme al Título II de esta Ley </w:t>
      </w:r>
      <w:r>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w:t>
      </w:r>
      <w:r>
        <w:rPr>
          <w:rFonts w:ascii="Palatino Linotype" w:eastAsia="Palatino Linotype" w:hAnsi="Palatino Linotype" w:cs="Palatino Linotype"/>
          <w:b/>
          <w:bCs/>
          <w:i/>
          <w:iCs/>
          <w:sz w:val="22"/>
          <w:szCs w:val="22"/>
        </w:rPr>
        <w:t>gación correspondiente, los cuales podrán utilizarse como constancia o recibo de pago</w:t>
      </w:r>
      <w:r>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Pr>
          <w:rFonts w:ascii="Palatino Linotype" w:eastAsia="Palatino Linotype" w:hAnsi="Palatino Linotype" w:cs="Palatino Linotype"/>
          <w:sz w:val="22"/>
          <w:szCs w:val="22"/>
        </w:rPr>
        <w:t xml:space="preserve">”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Pr>
          <w:rFonts w:ascii="Palatino Linotype" w:eastAsia="Palatino Linotype" w:hAnsi="Palatino Linotype" w:cs="Palatino Linotype"/>
          <w:b/>
          <w:bCs/>
          <w:sz w:val="22"/>
          <w:szCs w:val="22"/>
        </w:rPr>
        <w:t xml:space="preserve">comprobantes fiscales correspondientes a las personas que reciban pagos por conceptos de salarios, </w:t>
      </w:r>
      <w:r>
        <w:rPr>
          <w:rFonts w:ascii="Palatino Linotype" w:eastAsia="Palatino Linotype" w:hAnsi="Palatino Linotype" w:cs="Palatino Linotype"/>
          <w:sz w:val="22"/>
          <w:szCs w:val="22"/>
        </w:rPr>
        <w:t>mismos que pueden ser utiliza</w:t>
      </w:r>
      <w:r>
        <w:rPr>
          <w:rFonts w:ascii="Palatino Linotype" w:eastAsia="Palatino Linotype" w:hAnsi="Palatino Linotype" w:cs="Palatino Linotype"/>
          <w:sz w:val="22"/>
          <w:szCs w:val="22"/>
        </w:rPr>
        <w:t xml:space="preserve">dos como </w:t>
      </w:r>
      <w:r>
        <w:rPr>
          <w:rFonts w:ascii="Palatino Linotype" w:eastAsia="Palatino Linotype" w:hAnsi="Palatino Linotype" w:cs="Palatino Linotype"/>
          <w:b/>
          <w:bCs/>
          <w:sz w:val="22"/>
          <w:szCs w:val="22"/>
        </w:rPr>
        <w:t>constancia 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recibo de pago</w:t>
      </w:r>
      <w:r>
        <w:rPr>
          <w:rFonts w:ascii="Palatino Linotype" w:eastAsia="Palatino Linotype" w:hAnsi="Palatino Linotype" w:cs="Palatino Linotype"/>
          <w:sz w:val="22"/>
          <w:szCs w:val="22"/>
        </w:rPr>
        <w:t>.</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rsidR="00D8442A" w:rsidRDefault="00D8442A">
      <w:pPr>
        <w:tabs>
          <w:tab w:val="left" w:pos="9072"/>
        </w:tabs>
        <w:ind w:left="851" w:right="902"/>
        <w:jc w:val="both"/>
        <w:rPr>
          <w:rFonts w:ascii="Palatino Linotype" w:eastAsia="Palatino Linotype" w:hAnsi="Palatino Linotype" w:cs="Palatino Linotype"/>
          <w:b/>
          <w:bCs/>
          <w:i/>
          <w:iCs/>
          <w:sz w:val="22"/>
          <w:szCs w:val="22"/>
        </w:rPr>
      </w:pP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220 K.-</w:t>
      </w:r>
      <w:r>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9072"/>
        </w:tabs>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 Recibos de pagos de salarios o las constancias documentales del pago de salario cuando sea por depósito o me</w:t>
      </w:r>
      <w:r>
        <w:rPr>
          <w:rFonts w:ascii="Palatino Linotype" w:eastAsia="Palatino Linotype" w:hAnsi="Palatino Linotype" w:cs="Palatino Linotype"/>
          <w:b/>
          <w:bCs/>
          <w:i/>
          <w:iCs/>
          <w:sz w:val="22"/>
          <w:szCs w:val="22"/>
        </w:rPr>
        <w:t>diante información electrónica;</w:t>
      </w: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Recibos o las constancias de depósito o del medio de información magnética o electrónica que sean utilizadas para el pago de salarios, prima vacacional, aguinaldo y demás prestaciones establecidas en la presente ley; y</w:t>
      </w:r>
      <w:r>
        <w:rPr>
          <w:rFonts w:ascii="Palatino Linotype" w:eastAsia="Palatino Linotype" w:hAnsi="Palatino Linotype" w:cs="Palatino Linotype"/>
          <w:i/>
          <w:iCs/>
          <w:sz w:val="22"/>
          <w:szCs w:val="22"/>
        </w:rPr>
        <w:t>…</w:t>
      </w: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w:t>
      </w:r>
      <w:r>
        <w:rPr>
          <w:rFonts w:ascii="Palatino Linotype" w:eastAsia="Palatino Linotype" w:hAnsi="Palatino Linotype" w:cs="Palatino Linotype"/>
          <w:i/>
          <w:iCs/>
          <w:sz w:val="22"/>
          <w:szCs w:val="22"/>
        </w:rPr>
        <w:t>boral, y los mencionados en la fracción V, conforme lo señalen las leyes que los rijan.</w:t>
      </w:r>
    </w:p>
    <w:p w:rsidR="00D8442A" w:rsidRDefault="0008055E">
      <w:pPr>
        <w:tabs>
          <w:tab w:val="left" w:pos="9072"/>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w:t>
      </w:r>
      <w:r>
        <w:rPr>
          <w:rFonts w:ascii="Palatino Linotype" w:eastAsia="Palatino Linotype" w:hAnsi="Palatino Linotype" w:cs="Palatino Linotype"/>
          <w:i/>
          <w:iCs/>
          <w:sz w:val="22"/>
          <w:szCs w:val="22"/>
        </w:rPr>
        <w:t>ectrónica o cualquier medio descubierto por la ciencia y las constancias expedidas por el encargado del área de personal de éstas, harán prueba plena.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incumplimiento por lo dispuesto por este artículo, establecerá la presunción de ser ciertos los hechos</w:t>
      </w:r>
      <w:r>
        <w:rPr>
          <w:rFonts w:ascii="Palatino Linotype" w:eastAsia="Palatino Linotype" w:hAnsi="Palatino Linotype" w:cs="Palatino Linotype"/>
          <w:i/>
          <w:iCs/>
          <w:sz w:val="22"/>
          <w:szCs w:val="22"/>
        </w:rPr>
        <w:t xml:space="preserve"> que el actor exprese en su demanda, en relación con tales documentos, salvo prueba en contrario.”</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la base del precepto legal citado, se advierte que </w:t>
      </w:r>
      <w:r>
        <w:rPr>
          <w:rFonts w:ascii="Palatino Linotype" w:eastAsia="Palatino Linotype" w:hAnsi="Palatino Linotype" w:cs="Palatino Linotype"/>
          <w:i/>
          <w:iCs/>
          <w:sz w:val="22"/>
          <w:szCs w:val="22"/>
        </w:rPr>
        <w:t xml:space="preserve">toda institución pública o dependencia pública del Estado de México debe conservar las constancias </w:t>
      </w:r>
      <w:r>
        <w:rPr>
          <w:rFonts w:ascii="Palatino Linotype" w:eastAsia="Palatino Linotype" w:hAnsi="Palatino Linotype" w:cs="Palatino Linotype"/>
          <w:i/>
          <w:iCs/>
          <w:sz w:val="22"/>
          <w:szCs w:val="22"/>
        </w:rPr>
        <w:t xml:space="preserve">de pago de salarios, prima vacacional, aguinaldo y demás prestaciones legales de acuerdo con la forma en que se haya realizado el pago; es decir, en efectivo, cheque, depósito, transferencia u otra, debiendo conservar dicha documentación durante el último </w:t>
      </w:r>
      <w:r>
        <w:rPr>
          <w:rFonts w:ascii="Palatino Linotype" w:eastAsia="Palatino Linotype" w:hAnsi="Palatino Linotype" w:cs="Palatino Linotype"/>
          <w:i/>
          <w:iCs/>
          <w:sz w:val="22"/>
          <w:szCs w:val="22"/>
        </w:rPr>
        <w:t>año y un año después de que se extingue la relación laboral a través de los sistemas de digitalización o de información magnética o electrónica</w:t>
      </w:r>
      <w:r>
        <w:rPr>
          <w:rFonts w:ascii="Palatino Linotype" w:eastAsia="Palatino Linotype" w:hAnsi="Palatino Linotype" w:cs="Palatino Linotype"/>
          <w:sz w:val="22"/>
          <w:szCs w:val="22"/>
        </w:rPr>
        <w:t>.</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tanto, los recibos de nómina o comprobantes digitales por concepto de nómina tienen como objetivo presenta</w:t>
      </w:r>
      <w:r>
        <w:rPr>
          <w:rFonts w:ascii="Palatino Linotype" w:eastAsia="Palatino Linotype" w:hAnsi="Palatino Linotype" w:cs="Palatino Linotype"/>
          <w:sz w:val="22"/>
          <w:szCs w:val="22"/>
        </w:rPr>
        <w:t>r la información del pago de las remuneraciones de cada uno de los servidores públicos de la entidad fiscalizable de que se trate correspondiente a un periodo determinado.</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Expuesto lo anterior, resulta importante recordar que en respuesta la Dirección de </w:t>
      </w:r>
      <w:r>
        <w:rPr>
          <w:rFonts w:ascii="Palatino Linotype" w:eastAsia="Palatino Linotype" w:hAnsi="Palatino Linotype" w:cs="Palatino Linotype"/>
          <w:sz w:val="22"/>
          <w:szCs w:val="22"/>
        </w:rPr>
        <w:t xml:space="preserve">Recursos Humanos informó que la información referente a los recibos de nómina podrían consultarse en la siguiente liga electrónica: </w:t>
      </w:r>
      <w:hyperlink r:id="rId17" w:anchor="/info-fraccion/11/197/28">
        <w:r>
          <w:rPr>
            <w:rFonts w:ascii="Palatino Linotype" w:eastAsia="Palatino Linotype" w:hAnsi="Palatino Linotype" w:cs="Palatino Linotype"/>
            <w:color w:val="000000"/>
            <w:sz w:val="22"/>
            <w:szCs w:val="22"/>
            <w:u w:val="single"/>
          </w:rPr>
          <w:t>https://ipomex.org.mx/ipomex/#/info-fraccion/</w:t>
        </w:r>
        <w:r>
          <w:rPr>
            <w:rFonts w:ascii="Palatino Linotype" w:eastAsia="Palatino Linotype" w:hAnsi="Palatino Linotype" w:cs="Palatino Linotype"/>
            <w:color w:val="000000"/>
            <w:sz w:val="22"/>
            <w:szCs w:val="22"/>
            <w:u w:val="single"/>
          </w:rPr>
          <w:t>11/197/28</w:t>
        </w:r>
      </w:hyperlink>
      <w:r>
        <w:rPr>
          <w:rFonts w:ascii="Palatino Linotype" w:eastAsia="Palatino Linotype" w:hAnsi="Palatino Linotype" w:cs="Palatino Linotype"/>
          <w:sz w:val="22"/>
          <w:szCs w:val="22"/>
        </w:rPr>
        <w:t xml:space="preserve"> remuneraciones, por lo que, este Organismo Garante advierte que esta remite a lo siguiente: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3372485"/>
            <wp:effectExtent l="0" t="0" r="0" b="0"/>
            <wp:docPr id="2143108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372485"/>
                    </a:xfrm>
                    <a:prstGeom prst="rect">
                      <a:avLst/>
                    </a:prstGeom>
                    <a:ln/>
                  </pic:spPr>
                </pic:pic>
              </a:graphicData>
            </a:graphic>
          </wp:inline>
        </w:drawing>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9" w:name="_heading=h.jrfxjtyonkfb" w:colFirst="0" w:colLast="0"/>
      <w:bookmarkEnd w:id="9"/>
      <w:r>
        <w:rPr>
          <w:rFonts w:ascii="Palatino Linotype" w:eastAsia="Palatino Linotype" w:hAnsi="Palatino Linotype" w:cs="Palatino Linotype"/>
          <w:sz w:val="22"/>
          <w:szCs w:val="22"/>
        </w:rPr>
        <w:t>De la imagen insertada se advierte que contrario a lo referido por el área competente que asume contar con la información, la liga remitida en respues</w:t>
      </w:r>
      <w:r>
        <w:rPr>
          <w:rFonts w:ascii="Palatino Linotype" w:eastAsia="Palatino Linotype" w:hAnsi="Palatino Linotype" w:cs="Palatino Linotype"/>
          <w:sz w:val="22"/>
          <w:szCs w:val="22"/>
        </w:rPr>
        <w:t xml:space="preserve">ta no dirige a la información solicitada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por lo que, este Organismo Garante considera oportuno ordenar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la entrega, de los recibos de nómina de los servidores públicos que integran la Unidad de Transparencia, de la primera quincena de enero a la segunda quincena de octubre de dos mil veinticinco, en versión pública. </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Versión Pública. </w:t>
      </w:r>
      <w:r>
        <w:rPr>
          <w:rFonts w:ascii="Palatino Linotype" w:eastAsia="Palatino Linotype" w:hAnsi="Palatino Linotype" w:cs="Palatino Linotype"/>
          <w:sz w:val="22"/>
          <w:szCs w:val="22"/>
        </w:rPr>
        <w:t>Como fue debidamente apuntado,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 satisfacer la solicitud de acceso a la información; sin embargo, dada la naturaleza de la información de la cual se ordena su entrega, deberá hacerse en versión pública, toda vez que en los documentos </w:t>
      </w:r>
      <w:r>
        <w:rPr>
          <w:rFonts w:ascii="Palatino Linotype" w:eastAsia="Palatino Linotype" w:hAnsi="Palatino Linotype" w:cs="Palatino Linotype"/>
          <w:sz w:val="22"/>
          <w:szCs w:val="22"/>
        </w:rPr>
        <w:t>que se ordenan, existe la posibilidad de que obren datos que son considerados confidenciales, cuyo acceso debe ser restringido que deben testarse al momento de la versión pública, atento a lo siguiente:</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derecho de acceso a la información pública tiene </w:t>
      </w:r>
      <w:r>
        <w:rPr>
          <w:rFonts w:ascii="Palatino Linotype" w:eastAsia="Palatino Linotype" w:hAnsi="Palatino Linotype" w:cs="Palatino Linotype"/>
          <w:sz w:val="22"/>
          <w:szCs w:val="22"/>
        </w:rPr>
        <w:t>como limitante el respeto a la intimidad y a la vida privada de las personas, es por ello que este Instituto debe cuidar que los datos personales que obren en poder de los Sujetos Obligados sean protegidos y únicamente se den a conocer aquéllos que garanti</w:t>
      </w:r>
      <w:r>
        <w:rPr>
          <w:rFonts w:ascii="Palatino Linotype" w:eastAsia="Palatino Linotype" w:hAnsi="Palatino Linotype" w:cs="Palatino Linotype"/>
          <w:sz w:val="22"/>
          <w:szCs w:val="22"/>
        </w:rPr>
        <w:t>cen la rendición de cuentas y la transparencia en el ejercicio de las atribuciones que tienen conferidas.</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w:t>
      </w:r>
      <w:r>
        <w:rPr>
          <w:rFonts w:ascii="Palatino Linotype" w:eastAsia="Palatino Linotype" w:hAnsi="Palatino Linotype" w:cs="Palatino Linotype"/>
          <w:sz w:val="22"/>
          <w:szCs w:val="22"/>
        </w:rPr>
        <w:t>n de versiones públicas en las que se suprima aquella información relacionada con la vida privada de las personas.</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los artículos 3, fracciones IX, XX, XXI, XXXII, XLV; 6, 91, 132, 137, 143, fracción I, de la Ley de Transparencia y Acceso a la</w:t>
      </w:r>
      <w:r>
        <w:rPr>
          <w:rFonts w:ascii="Palatino Linotype" w:eastAsia="Palatino Linotype" w:hAnsi="Palatino Linotype" w:cs="Palatino Linotype"/>
          <w:sz w:val="22"/>
          <w:szCs w:val="22"/>
        </w:rPr>
        <w:t xml:space="preserve"> Información Pública del Estado de México y Municipios vigente establecen:</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w:t>
      </w: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3.</w:t>
      </w:r>
      <w:r>
        <w:rPr>
          <w:rFonts w:ascii="Palatino Linotype" w:eastAsia="Palatino Linotype" w:hAnsi="Palatino Linotype" w:cs="Palatino Linotype"/>
          <w:i/>
          <w:iCs/>
          <w:sz w:val="22"/>
          <w:szCs w:val="22"/>
        </w:rPr>
        <w:t xml:space="preserve"> Para los efectos de la presente Ley se entenderá por:</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 Datos personales</w:t>
      </w:r>
      <w:r>
        <w:rPr>
          <w:rFonts w:ascii="Palatino Linotype" w:eastAsia="Palatino Linotype" w:hAnsi="Palatino Linotype" w:cs="Palatino Linotype"/>
          <w:i/>
          <w:iCs/>
          <w:sz w:val="22"/>
          <w:szCs w:val="22"/>
        </w:rPr>
        <w:t>: La información concerniente a una persona, identificada o identificable según lo dispues</w:t>
      </w:r>
      <w:r>
        <w:rPr>
          <w:rFonts w:ascii="Palatino Linotype" w:eastAsia="Palatino Linotype" w:hAnsi="Palatino Linotype" w:cs="Palatino Linotype"/>
          <w:i/>
          <w:iCs/>
          <w:sz w:val="22"/>
          <w:szCs w:val="22"/>
        </w:rPr>
        <w:t>to por la Ley de Protección de Datos Personales del Estado de México;</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 Información clasificada</w:t>
      </w:r>
      <w:r>
        <w:rPr>
          <w:rFonts w:ascii="Palatino Linotype" w:eastAsia="Palatino Linotype" w:hAnsi="Palatino Linotype" w:cs="Palatino Linotype"/>
          <w:i/>
          <w:iCs/>
          <w:sz w:val="22"/>
          <w:szCs w:val="22"/>
        </w:rPr>
        <w:t>: Aquella considerada por la presente Ley como reservada o confidencial;</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 Información confidencial</w:t>
      </w:r>
      <w:r>
        <w:rPr>
          <w:rFonts w:ascii="Palatino Linotype" w:eastAsia="Palatino Linotype" w:hAnsi="Palatino Linotype" w:cs="Palatino Linotype"/>
          <w:i/>
          <w:iCs/>
          <w:sz w:val="22"/>
          <w:szCs w:val="22"/>
        </w:rPr>
        <w:t>: Se considera como información confidencial los secret</w:t>
      </w:r>
      <w:r>
        <w:rPr>
          <w:rFonts w:ascii="Palatino Linotype" w:eastAsia="Palatino Linotype" w:hAnsi="Palatino Linotype" w:cs="Palatino Linotype"/>
          <w:i/>
          <w:iCs/>
          <w:sz w:val="22"/>
          <w:szCs w:val="22"/>
        </w:rPr>
        <w:t>os bancario, fiduciario, industrial, comercial, fiscal, bursátil y postal, cuya titularidad corresponda a particulares, sujetos de derecho internacional o a sujetos obligados cuando no involucren el ejercicio de recursos públicos;</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XXXII. Protección de Da</w:t>
      </w:r>
      <w:r>
        <w:rPr>
          <w:rFonts w:ascii="Palatino Linotype" w:eastAsia="Palatino Linotype" w:hAnsi="Palatino Linotype" w:cs="Palatino Linotype"/>
          <w:b/>
          <w:bCs/>
          <w:i/>
          <w:iCs/>
          <w:sz w:val="22"/>
          <w:szCs w:val="22"/>
        </w:rPr>
        <w:t>tos Personales</w:t>
      </w:r>
      <w:r>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tabs>
          <w:tab w:val="left" w:pos="1276"/>
        </w:tabs>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XLV. Versión pública</w:t>
      </w:r>
      <w:r>
        <w:rPr>
          <w:rFonts w:ascii="Palatino Linotype" w:eastAsia="Palatino Linotype" w:hAnsi="Palatino Linotype" w:cs="Palatino Linotype"/>
          <w:i/>
          <w:iCs/>
          <w:sz w:val="22"/>
          <w:szCs w:val="22"/>
        </w:rPr>
        <w:t>: Documento en el que se elimine, suprime o borra la información clasificada como reservada o confid</w:t>
      </w:r>
      <w:r>
        <w:rPr>
          <w:rFonts w:ascii="Palatino Linotype" w:eastAsia="Palatino Linotype" w:hAnsi="Palatino Linotype" w:cs="Palatino Linotype"/>
          <w:i/>
          <w:iCs/>
          <w:sz w:val="22"/>
          <w:szCs w:val="22"/>
        </w:rPr>
        <w:t>encial para permitir su acceso.</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Artículo 6</w:t>
      </w:r>
      <w:r>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w:t>
      </w:r>
      <w:r>
        <w:rPr>
          <w:rFonts w:ascii="Palatino Linotype" w:eastAsia="Palatino Linotype" w:hAnsi="Palatino Linotype" w:cs="Palatino Linotype"/>
          <w:i/>
          <w:iCs/>
          <w:sz w:val="22"/>
          <w:szCs w:val="22"/>
        </w:rPr>
        <w:t xml:space="preserve">ue deban hacerlo en observancia de las disposiciones aplicables. En el caso de los derechos de acceso, rectificación, cancelación u oposición; los principios, procedimientos, medidas de seguridad en el tratamiento y demás disposiciones en materia de datos </w:t>
      </w:r>
      <w:r>
        <w:rPr>
          <w:rFonts w:ascii="Palatino Linotype" w:eastAsia="Palatino Linotype" w:hAnsi="Palatino Linotype" w:cs="Palatino Linotype"/>
          <w:i/>
          <w:iCs/>
          <w:sz w:val="22"/>
          <w:szCs w:val="22"/>
        </w:rPr>
        <w:t>personales, se deberá estar a lo dispuesto en las leyes de la materia.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91.</w:t>
      </w:r>
      <w:r>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iCs/>
          <w:sz w:val="22"/>
          <w:szCs w:val="22"/>
        </w:rPr>
        <w:b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132.</w:t>
      </w:r>
      <w:r>
        <w:rPr>
          <w:rFonts w:ascii="Palatino Linotype" w:eastAsia="Palatino Linotype" w:hAnsi="Palatino Linotype" w:cs="Palatino Linotype"/>
          <w:i/>
          <w:iCs/>
          <w:sz w:val="22"/>
          <w:szCs w:val="22"/>
        </w:rPr>
        <w:t xml:space="preserve"> La clasificación de la información se llevará a cabo en el momento en que:</w:t>
      </w:r>
    </w:p>
    <w:p w:rsidR="00D8442A" w:rsidRDefault="0008055E">
      <w:pPr>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Se reciba una solicitud de acceso a la información;</w:t>
      </w:r>
    </w:p>
    <w:p w:rsidR="00D8442A" w:rsidRDefault="0008055E">
      <w:pPr>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Se determine mediante resolución de autoridad competente; o</w:t>
      </w:r>
    </w:p>
    <w:p w:rsidR="00D8442A" w:rsidRDefault="0008055E">
      <w:pPr>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137.</w:t>
      </w:r>
      <w:r>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w:t>
      </w:r>
      <w:r>
        <w:rPr>
          <w:rFonts w:ascii="Palatino Linotype" w:eastAsia="Palatino Linotype" w:hAnsi="Palatino Linotype" w:cs="Palatino Linotype"/>
          <w:i/>
          <w:iCs/>
          <w:sz w:val="22"/>
          <w:szCs w:val="22"/>
        </w:rPr>
        <w:t>a para efectos de atender una solicitud de información, deberán elaborar una versión pública en la que se testen las partes o secciones clasificadas, indicando su contenido de manera genérica y fundando y motivando su clasificación.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Artículo 143.</w:t>
      </w:r>
      <w:r>
        <w:rPr>
          <w:rFonts w:ascii="Palatino Linotype" w:eastAsia="Palatino Linotype" w:hAnsi="Palatino Linotype" w:cs="Palatino Linotype"/>
          <w:i/>
          <w:iCs/>
          <w:sz w:val="22"/>
          <w:szCs w:val="22"/>
        </w:rPr>
        <w:t xml:space="preserve"> Para los</w:t>
      </w:r>
      <w:r>
        <w:rPr>
          <w:rFonts w:ascii="Palatino Linotype" w:eastAsia="Palatino Linotype" w:hAnsi="Palatino Linotype" w:cs="Palatino Linotype"/>
          <w:i/>
          <w:iCs/>
          <w:sz w:val="22"/>
          <w:szCs w:val="22"/>
        </w:rPr>
        <w:t xml:space="preserve"> efectos de esta Ley se considera información confidencial, la clasificada como tal, de manera permanente, por su naturaleza, cuando:</w:t>
      </w:r>
    </w:p>
    <w:p w:rsidR="00D8442A" w:rsidRDefault="0008055E">
      <w:pPr>
        <w:spacing w:line="276" w:lineRule="auto"/>
        <w:ind w:left="1134"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w:t>
      </w:r>
      <w:r>
        <w:rPr>
          <w:rFonts w:ascii="Palatino Linotype" w:eastAsia="Palatino Linotype" w:hAnsi="Palatino Linotype" w:cs="Palatino Linotype"/>
          <w:i/>
          <w:iCs/>
          <w:sz w:val="22"/>
          <w:szCs w:val="22"/>
        </w:rPr>
        <w:t>tificada o identificable...”</w:t>
      </w:r>
    </w:p>
    <w:p w:rsidR="00D8442A" w:rsidRDefault="00D8442A">
      <w:pPr>
        <w:spacing w:line="360" w:lineRule="auto"/>
        <w:ind w:right="50"/>
        <w:jc w:val="both"/>
        <w:rPr>
          <w:rFonts w:ascii="Palatino Linotype" w:eastAsia="Palatino Linotype" w:hAnsi="Palatino Linotype" w:cs="Palatino Linotype"/>
          <w:sz w:val="22"/>
          <w:szCs w:val="22"/>
        </w:rPr>
      </w:pPr>
    </w:p>
    <w:p w:rsidR="00D8442A" w:rsidRDefault="0008055E">
      <w:pP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los preceptos anteriores se desprende que cuando un documento que vaya a ser entregado vía acceso a la información pública, contenga tanto información de interés público como información que debe ser clasificada, se hará la</w:t>
      </w:r>
      <w:r>
        <w:rPr>
          <w:rFonts w:ascii="Palatino Linotype" w:eastAsia="Palatino Linotype" w:hAnsi="Palatino Linotype" w:cs="Palatino Linotype"/>
          <w:sz w:val="22"/>
          <w:szCs w:val="22"/>
        </w:rPr>
        <w:t xml:space="preserve"> entrega del mismo, testando las secciones o datos que deban ser clasificados; por ende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w:t>
      </w:r>
      <w:r>
        <w:rPr>
          <w:rFonts w:ascii="Palatino Linotype" w:eastAsia="Palatino Linotype" w:hAnsi="Palatino Linotype" w:cs="Palatino Linotype"/>
          <w:sz w:val="22"/>
          <w:szCs w:val="22"/>
        </w:rPr>
        <w:t>rmación pública de la parte Recurrente, esto es, los datos concernientes a una persona identificada o identificable, o aquellos datos que tengan el carácter de sensibles, es decir los que afectan  la esfera más íntima de su titular o cuya utilización indeb</w:t>
      </w:r>
      <w:r>
        <w:rPr>
          <w:rFonts w:ascii="Palatino Linotype" w:eastAsia="Palatino Linotype" w:hAnsi="Palatino Linotype" w:cs="Palatino Linotype"/>
          <w:sz w:val="22"/>
          <w:szCs w:val="22"/>
        </w:rPr>
        <w:t>ida pueda dar origen a discriminación o conlleven un riesgo grave para aquel de acuerdo a los que señala la fracción XII del artículo 4 de la Ley de Protección de Datos Personales en posesión de Sujeto Obligados del Estado de México.</w:t>
      </w:r>
    </w:p>
    <w:p w:rsidR="00D8442A" w:rsidRDefault="00D8442A">
      <w:pPr>
        <w:spacing w:line="360" w:lineRule="auto"/>
        <w:ind w:right="50"/>
        <w:jc w:val="both"/>
        <w:rPr>
          <w:rFonts w:ascii="Palatino Linotype" w:eastAsia="Palatino Linotype" w:hAnsi="Palatino Linotype" w:cs="Palatino Linotype"/>
          <w:sz w:val="22"/>
          <w:szCs w:val="22"/>
        </w:rPr>
      </w:pPr>
    </w:p>
    <w:p w:rsidR="00D8442A" w:rsidRDefault="0008055E">
      <w:pP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Datos que deberá clas</w:t>
      </w:r>
      <w:r>
        <w:rPr>
          <w:rFonts w:ascii="Palatino Linotype" w:eastAsia="Palatino Linotype" w:hAnsi="Palatino Linotype" w:cs="Palatino Linotype"/>
          <w:sz w:val="22"/>
          <w:szCs w:val="22"/>
        </w:rPr>
        <w:t>ificar como confidenciales por tratarse precisamente de información privada, puesto que los datos personales son irrenunciables, intransferibles e indelegables y los Sujetos Obligados no deberán hacer entrega de los mismos a personas ajenas a su titular.</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w:t>
      </w:r>
      <w:r>
        <w:rPr>
          <w:rFonts w:ascii="Palatino Linotype" w:eastAsia="Palatino Linotype" w:hAnsi="Palatino Linotype" w:cs="Palatino Linotype"/>
          <w:sz w:val="22"/>
          <w:szCs w:val="22"/>
        </w:rPr>
        <w:t xml:space="preserve">n el caso específico, la información que se ordena si bien tiene el carácter información pública en razón de que se trata de documentos que se encuentran en posesión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derivado del ejercicio de sus atribuciones, tal como quedo acotado en </w:t>
      </w:r>
      <w:r>
        <w:rPr>
          <w:rFonts w:ascii="Palatino Linotype" w:eastAsia="Palatino Linotype" w:hAnsi="Palatino Linotype" w:cs="Palatino Linotype"/>
          <w:sz w:val="22"/>
          <w:szCs w:val="22"/>
        </w:rPr>
        <w:t>el cuerpo de la presente Resolución, también contienen los datos personales de servidores públicos, que de hacerse públicos afectarían su intimidad y vida privada; es por ello que es criterio reiterado en las resoluciones de este Pleno que, además de los d</w:t>
      </w:r>
      <w:r>
        <w:rPr>
          <w:rFonts w:ascii="Palatino Linotype" w:eastAsia="Palatino Linotype" w:hAnsi="Palatino Linotype" w:cs="Palatino Linotype"/>
          <w:sz w:val="22"/>
          <w:szCs w:val="22"/>
        </w:rPr>
        <w:t xml:space="preserve">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bCs/>
          <w:sz w:val="22"/>
          <w:szCs w:val="22"/>
        </w:rPr>
        <w:t>Registro Federal de Contribuyen</w:t>
      </w:r>
      <w:r>
        <w:rPr>
          <w:rFonts w:ascii="Palatino Linotype" w:eastAsia="Palatino Linotype" w:hAnsi="Palatino Linotype" w:cs="Palatino Linotype"/>
          <w:b/>
          <w:bCs/>
          <w:sz w:val="22"/>
          <w:szCs w:val="22"/>
        </w:rPr>
        <w:t>tes</w:t>
      </w:r>
      <w:r>
        <w:rPr>
          <w:rFonts w:ascii="Palatino Linotype" w:eastAsia="Palatino Linotype" w:hAnsi="Palatino Linotype" w:cs="Palatino Linotype"/>
          <w:sz w:val="22"/>
          <w:szCs w:val="22"/>
        </w:rPr>
        <w:t xml:space="preserve"> (RFC), la </w:t>
      </w:r>
      <w:r>
        <w:rPr>
          <w:rFonts w:ascii="Palatino Linotype" w:eastAsia="Palatino Linotype" w:hAnsi="Palatino Linotype" w:cs="Palatino Linotype"/>
          <w:b/>
          <w:bCs/>
          <w:sz w:val="22"/>
          <w:szCs w:val="22"/>
        </w:rPr>
        <w:t>Clave Única de Registro de Población</w:t>
      </w:r>
      <w:r>
        <w:rPr>
          <w:rFonts w:ascii="Palatino Linotype" w:eastAsia="Palatino Linotype" w:hAnsi="Palatino Linotype" w:cs="Palatino Linotype"/>
          <w:sz w:val="22"/>
          <w:szCs w:val="22"/>
        </w:rPr>
        <w:t xml:space="preserve"> (CURP), la </w:t>
      </w:r>
      <w:r>
        <w:rPr>
          <w:rFonts w:ascii="Palatino Linotype" w:eastAsia="Palatino Linotype" w:hAnsi="Palatino Linotype" w:cs="Palatino Linotype"/>
          <w:b/>
          <w:bCs/>
          <w:sz w:val="22"/>
          <w:szCs w:val="22"/>
        </w:rPr>
        <w:t>Clave de cualquier tipo de seguridad social</w:t>
      </w:r>
      <w:r>
        <w:rPr>
          <w:rFonts w:ascii="Palatino Linotype" w:eastAsia="Palatino Linotype" w:hAnsi="Palatino Linotype" w:cs="Palatino Linotype"/>
          <w:sz w:val="22"/>
          <w:szCs w:val="22"/>
        </w:rPr>
        <w:t xml:space="preserve"> (ISSEMYM, u otros), los </w:t>
      </w:r>
      <w:r>
        <w:rPr>
          <w:rFonts w:ascii="Palatino Linotype" w:eastAsia="Palatino Linotype" w:hAnsi="Palatino Linotype" w:cs="Palatino Linotype"/>
          <w:b/>
          <w:bCs/>
          <w:sz w:val="22"/>
          <w:szCs w:val="22"/>
        </w:rPr>
        <w:t>números de cuentas bancarias</w:t>
      </w:r>
      <w:r>
        <w:rPr>
          <w:rFonts w:ascii="Palatino Linotype" w:eastAsia="Palatino Linotype" w:hAnsi="Palatino Linotype" w:cs="Palatino Linotype"/>
          <w:sz w:val="22"/>
          <w:szCs w:val="22"/>
        </w:rPr>
        <w:t xml:space="preserve">, claves estandarizadas – interbancarias - (CLABES) y de tarjetas, los </w:t>
      </w:r>
      <w:r>
        <w:rPr>
          <w:rFonts w:ascii="Palatino Linotype" w:eastAsia="Palatino Linotype" w:hAnsi="Palatino Linotype" w:cs="Palatino Linotype"/>
          <w:b/>
          <w:bCs/>
          <w:sz w:val="22"/>
          <w:szCs w:val="22"/>
        </w:rPr>
        <w:t>préstamos o descuentos</w:t>
      </w:r>
      <w:r>
        <w:rPr>
          <w:rFonts w:ascii="Palatino Linotype" w:eastAsia="Palatino Linotype" w:hAnsi="Palatino Linotype" w:cs="Palatino Linotype"/>
          <w:sz w:val="22"/>
          <w:szCs w:val="22"/>
        </w:rPr>
        <w:t xml:space="preserve"> que </w:t>
      </w:r>
      <w:r>
        <w:rPr>
          <w:rFonts w:ascii="Palatino Linotype" w:eastAsia="Palatino Linotype" w:hAnsi="Palatino Linotype" w:cs="Palatino Linotype"/>
          <w:sz w:val="22"/>
          <w:szCs w:val="22"/>
        </w:rPr>
        <w:t>se le hagan a la persona y que no tengan relación con los impuestos o la cuota por seguridad social, el</w:t>
      </w:r>
      <w:r>
        <w:rPr>
          <w:rFonts w:ascii="Palatino Linotype" w:eastAsia="Palatino Linotype" w:hAnsi="Palatino Linotype" w:cs="Palatino Linotype"/>
          <w:b/>
          <w:bCs/>
          <w:sz w:val="22"/>
          <w:szCs w:val="22"/>
        </w:rPr>
        <w:t xml:space="preserve"> número de empleado, </w:t>
      </w:r>
      <w:r>
        <w:rPr>
          <w:rFonts w:ascii="Palatino Linotype" w:eastAsia="Palatino Linotype" w:hAnsi="Palatino Linotype" w:cs="Palatino Linotype"/>
          <w:sz w:val="22"/>
          <w:szCs w:val="22"/>
        </w:rPr>
        <w:t xml:space="preserve">y, de ser el caso, el </w:t>
      </w:r>
      <w:r>
        <w:rPr>
          <w:rFonts w:ascii="Palatino Linotype" w:eastAsia="Palatino Linotype" w:hAnsi="Palatino Linotype" w:cs="Palatino Linotype"/>
          <w:b/>
          <w:bCs/>
          <w:sz w:val="22"/>
          <w:szCs w:val="22"/>
        </w:rPr>
        <w:t>folio fiscal</w:t>
      </w:r>
      <w:r>
        <w:rPr>
          <w:rFonts w:ascii="Palatino Linotype" w:eastAsia="Palatino Linotype" w:hAnsi="Palatino Linotype" w:cs="Palatino Linotype"/>
          <w:sz w:val="22"/>
          <w:szCs w:val="22"/>
        </w:rPr>
        <w:t xml:space="preserve">, la </w:t>
      </w:r>
      <w:r>
        <w:rPr>
          <w:rFonts w:ascii="Palatino Linotype" w:eastAsia="Palatino Linotype" w:hAnsi="Palatino Linotype" w:cs="Palatino Linotype"/>
          <w:b/>
          <w:bCs/>
          <w:sz w:val="22"/>
          <w:szCs w:val="22"/>
        </w:rPr>
        <w:t xml:space="preserve">cadena original, </w:t>
      </w:r>
      <w:r>
        <w:rPr>
          <w:rFonts w:ascii="Palatino Linotype" w:eastAsia="Palatino Linotype" w:hAnsi="Palatino Linotype" w:cs="Palatino Linotype"/>
          <w:sz w:val="22"/>
          <w:szCs w:val="22"/>
        </w:rPr>
        <w:t>los</w:t>
      </w:r>
      <w:r>
        <w:rPr>
          <w:rFonts w:ascii="Palatino Linotype" w:eastAsia="Palatino Linotype" w:hAnsi="Palatino Linotype" w:cs="Palatino Linotype"/>
          <w:b/>
          <w:bCs/>
          <w:sz w:val="22"/>
          <w:szCs w:val="22"/>
        </w:rPr>
        <w:t xml:space="preserve"> códigos bidimensionales o códigos QR,</w:t>
      </w:r>
      <w:r>
        <w:rPr>
          <w:rFonts w:ascii="Palatino Linotype" w:eastAsia="Palatino Linotype" w:hAnsi="Palatino Linotype" w:cs="Palatino Linotype"/>
          <w:sz w:val="22"/>
          <w:szCs w:val="22"/>
        </w:rPr>
        <w:t xml:space="preserve"> y cualquier información de carácte</w:t>
      </w:r>
      <w:r>
        <w:rPr>
          <w:rFonts w:ascii="Palatino Linotype" w:eastAsia="Palatino Linotype" w:hAnsi="Palatino Linotype" w:cs="Palatino Linotype"/>
          <w:sz w:val="22"/>
          <w:szCs w:val="22"/>
        </w:rPr>
        <w:t>r fiscal.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w:t>
      </w:r>
      <w:r>
        <w:rPr>
          <w:rFonts w:ascii="Palatino Linotype" w:eastAsia="Palatino Linotype" w:hAnsi="Palatino Linotype" w:cs="Palatino Linotype"/>
          <w:sz w:val="22"/>
          <w:szCs w:val="22"/>
        </w:rPr>
        <w:t xml:space="preserve"> personas ajenas a su titular.</w:t>
      </w:r>
    </w:p>
    <w:p w:rsidR="00D8442A" w:rsidRDefault="00D8442A">
      <w:pPr>
        <w:spacing w:line="360" w:lineRule="auto"/>
        <w:ind w:right="50"/>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al </w:t>
      </w:r>
      <w:r>
        <w:rPr>
          <w:rFonts w:ascii="Palatino Linotype" w:eastAsia="Palatino Linotype" w:hAnsi="Palatino Linotype" w:cs="Palatino Linotype"/>
          <w:b/>
          <w:bCs/>
          <w:sz w:val="22"/>
          <w:szCs w:val="22"/>
        </w:rPr>
        <w:t>Registro Federal de Contribuyentes, RFC,</w:t>
      </w:r>
      <w:r>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w:t>
      </w:r>
      <w:r>
        <w:rPr>
          <w:rFonts w:ascii="Palatino Linotype" w:eastAsia="Palatino Linotype" w:hAnsi="Palatino Linotype" w:cs="Palatino Linotype"/>
          <w:sz w:val="22"/>
          <w:szCs w:val="22"/>
        </w:rPr>
        <w:t>nalmente la homoclave, por lo que para su obtención es necesario acreditar ante la autoridad fiscal previamente la identidad de la persona, su fecha de nacimiento, entre otros aspectos.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las personas físicas tramitan su inscripción en el regist</w:t>
      </w:r>
      <w:r>
        <w:rPr>
          <w:rFonts w:ascii="Palatino Linotype" w:eastAsia="Palatino Linotype" w:hAnsi="Palatino Linotype" w:cs="Palatino Linotype"/>
          <w:sz w:val="22"/>
          <w:szCs w:val="22"/>
        </w:rPr>
        <w:t>ro con el propósito de realizar —mediante esa clave de identificación— operaciones o actividades de naturaleza fiscal, la cual, les permite hacerse identificables respecto de una situación fiscal determinada.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es compartido por el Instituto Nac</w:t>
      </w:r>
      <w:r>
        <w:rPr>
          <w:rFonts w:ascii="Palatino Linotype" w:eastAsia="Palatino Linotype" w:hAnsi="Palatino Linotype" w:cs="Palatino Linotype"/>
          <w:sz w:val="22"/>
          <w:szCs w:val="22"/>
        </w:rPr>
        <w:t>ional de Transparencia, Acceso a la Información y Protección de Datos Personales, INAI, a través del Criterio de interpretación con clave de control SO/019/2017, el cual es del tenor literal siguiente:</w:t>
      </w:r>
    </w:p>
    <w:p w:rsidR="00D8442A" w:rsidRDefault="00D8442A">
      <w:pPr>
        <w:ind w:left="851" w:right="900"/>
        <w:jc w:val="both"/>
        <w:rPr>
          <w:rFonts w:ascii="Palatino Linotype" w:eastAsia="Palatino Linotype" w:hAnsi="Palatino Linotype" w:cs="Palatino Linotype"/>
          <w:b/>
          <w:bCs/>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“Registro Federal de Contribuyentes (RFC) de personas físicas</w:t>
      </w:r>
      <w:r>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sz w:val="22"/>
          <w:szCs w:val="22"/>
        </w:rPr>
        <w:t>el Registro Federal de Contribuyentes, RFC, se vincula al nombre de su titular y permite identificar la edad de la persona, su fecha de nacimiento, así como su homoclave, la cual es única e irrepetible y determina la identificación de dicha persona para ef</w:t>
      </w:r>
      <w:r>
        <w:rPr>
          <w:rFonts w:ascii="Palatino Linotype" w:eastAsia="Palatino Linotype" w:hAnsi="Palatino Linotype" w:cs="Palatino Linotype"/>
          <w:sz w:val="22"/>
          <w:szCs w:val="22"/>
        </w:rPr>
        <w:t>ectos fiscales, por lo que constituye un dato personal que concierne a una persona física identificada e identificable en términos de los artículos 3, fracción IX de la Ley de Transparencia y Acceso a la Información Pública del Estado de México y Municipio</w:t>
      </w:r>
      <w:r>
        <w:rPr>
          <w:rFonts w:ascii="Palatino Linotype" w:eastAsia="Palatino Linotype" w:hAnsi="Palatino Linotype" w:cs="Palatino Linotype"/>
          <w:sz w:val="22"/>
          <w:szCs w:val="22"/>
        </w:rPr>
        <w:t>s, y  4 fracciones XI y XII de la Ley de Protección de Datos Personales en Posesión de los Sujetos Obligados del Estado de México y Municipios.</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igual manera la </w:t>
      </w:r>
      <w:r>
        <w:rPr>
          <w:rFonts w:ascii="Palatino Linotype" w:eastAsia="Palatino Linotype" w:hAnsi="Palatino Linotype" w:cs="Palatino Linotype"/>
          <w:b/>
          <w:bCs/>
          <w:sz w:val="22"/>
          <w:szCs w:val="22"/>
        </w:rPr>
        <w:t>Clave Única de Registro de Población</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CURP,</w:t>
      </w:r>
      <w:r>
        <w:rPr>
          <w:rFonts w:ascii="Palatino Linotype" w:eastAsia="Palatino Linotype" w:hAnsi="Palatino Linotype" w:cs="Palatino Linotype"/>
          <w:sz w:val="22"/>
          <w:szCs w:val="22"/>
        </w:rPr>
        <w:t xml:space="preserve"> constituye un dato personal, ya que tiene como f</w:t>
      </w:r>
      <w:r>
        <w:rPr>
          <w:rFonts w:ascii="Palatino Linotype" w:eastAsia="Palatino Linotype" w:hAnsi="Palatino Linotype" w:cs="Palatino Linotype"/>
          <w:sz w:val="22"/>
          <w:szCs w:val="22"/>
        </w:rPr>
        <w:t>inalidad registrar a cada una de las personas que integran la población del país, con datos que permitan certificar y acreditar fehacientemente su identidad, en virtud de que se integra por datos personales que únicamente le conciernen a un particular como</w:t>
      </w:r>
      <w:r>
        <w:rPr>
          <w:rFonts w:ascii="Palatino Linotype" w:eastAsia="Palatino Linotype" w:hAnsi="Palatino Linotype" w:cs="Palatino Linotype"/>
          <w:sz w:val="22"/>
          <w:szCs w:val="22"/>
        </w:rPr>
        <w:t xml:space="preserve"> son su fecha de nacimiento, su nombre, sus apellidos y su lugar de nacimiento; información que permite distinguirlo del resto de los habitantes, por tal motivo, se considera que es de carácter confidencial.</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Argumento que es compartido por el Instituto Na</w:t>
      </w:r>
      <w:r>
        <w:rPr>
          <w:rFonts w:ascii="Palatino Linotype" w:eastAsia="Palatino Linotype" w:hAnsi="Palatino Linotype" w:cs="Palatino Linotype"/>
          <w:sz w:val="22"/>
          <w:szCs w:val="22"/>
        </w:rPr>
        <w:t>cional de Transparencia, Acceso a la Información y Protección de Datos Personales, INAI, conforme al Criterio de interpretación con Clave de control SO/018/2017, el cual refiere:</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“Clave Única de Registro de Población (CURP). </w:t>
      </w:r>
      <w:r>
        <w:rPr>
          <w:rFonts w:ascii="Palatino Linotype" w:eastAsia="Palatino Linotype" w:hAnsi="Palatino Linotype" w:cs="Palatino Linotype"/>
          <w:i/>
          <w:iCs/>
          <w:sz w:val="22"/>
          <w:szCs w:val="22"/>
        </w:rPr>
        <w:t>La Clave Única de Registro de</w:t>
      </w:r>
      <w:r>
        <w:rPr>
          <w:rFonts w:ascii="Palatino Linotype" w:eastAsia="Palatino Linotype" w:hAnsi="Palatino Linotype" w:cs="Palatino Linotype"/>
          <w:i/>
          <w:iCs/>
          <w:sz w:val="22"/>
          <w:szCs w:val="22"/>
        </w:rPr>
        <w:t xml:space="preserve"> Población se integra por datos personales que sólo conciernen al particular titular de la misma, como lo son su nombre, apellidos, fecha de nacimiento, lugar de nacimiento y sexo. Dichos datos, constituyen información que distingue plenamente a una person</w:t>
      </w:r>
      <w:r>
        <w:rPr>
          <w:rFonts w:ascii="Palatino Linotype" w:eastAsia="Palatino Linotype" w:hAnsi="Palatino Linotype" w:cs="Palatino Linotype"/>
          <w:i/>
          <w:iCs/>
          <w:sz w:val="22"/>
          <w:szCs w:val="22"/>
        </w:rPr>
        <w:t>a física del resto de los habitantes del país, por lo que la CURP está considerada como información confidencial.”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respecta a la </w:t>
      </w:r>
      <w:r>
        <w:rPr>
          <w:rFonts w:ascii="Palatino Linotype" w:eastAsia="Palatino Linotype" w:hAnsi="Palatino Linotype" w:cs="Palatino Linotype"/>
          <w:b/>
          <w:bCs/>
          <w:sz w:val="22"/>
          <w:szCs w:val="22"/>
        </w:rPr>
        <w:t>clave de seguridad social</w:t>
      </w:r>
      <w:r>
        <w:rPr>
          <w:rFonts w:ascii="Palatino Linotype" w:eastAsia="Palatino Linotype" w:hAnsi="Palatino Linotype" w:cs="Palatino Linotype"/>
          <w:sz w:val="22"/>
          <w:szCs w:val="22"/>
        </w:rPr>
        <w:t>, en virtud de que su divulgación no aporta a la transparencia o a la rendición de cuentas</w:t>
      </w:r>
      <w:r>
        <w:rPr>
          <w:rFonts w:ascii="Palatino Linotype" w:eastAsia="Palatino Linotype" w:hAnsi="Palatino Linotype" w:cs="Palatino Linotype"/>
          <w:sz w:val="22"/>
          <w:szCs w:val="22"/>
        </w:rPr>
        <w:t xml:space="preserve"> y sí provoca una transgresión a la vida privada e intimidad de la persona, esta información también resulta ser de carácter confidencial.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Respecto de los </w:t>
      </w:r>
      <w:r>
        <w:rPr>
          <w:rFonts w:ascii="Palatino Linotype" w:eastAsia="Palatino Linotype" w:hAnsi="Palatino Linotype" w:cs="Palatino Linotype"/>
          <w:b/>
          <w:bCs/>
          <w:sz w:val="22"/>
          <w:szCs w:val="22"/>
        </w:rPr>
        <w:t>números de cuentas bancari</w:t>
      </w:r>
      <w:r>
        <w:rPr>
          <w:rFonts w:ascii="Palatino Linotype" w:eastAsia="Palatino Linotype" w:hAnsi="Palatino Linotype" w:cs="Palatino Linotype"/>
          <w:sz w:val="22"/>
          <w:szCs w:val="22"/>
        </w:rPr>
        <w:t xml:space="preserve">as, </w:t>
      </w:r>
      <w:r>
        <w:rPr>
          <w:rFonts w:ascii="Palatino Linotype" w:eastAsia="Palatino Linotype" w:hAnsi="Palatino Linotype" w:cs="Palatino Linotype"/>
          <w:b/>
          <w:bCs/>
          <w:sz w:val="22"/>
          <w:szCs w:val="22"/>
        </w:rPr>
        <w:t>claves estandarizadas –interbancarias- (CLABES) y de tarjetas</w:t>
      </w:r>
      <w:r>
        <w:rPr>
          <w:rFonts w:ascii="Palatino Linotype" w:eastAsia="Palatino Linotype" w:hAnsi="Palatino Linotype" w:cs="Palatino Linotype"/>
          <w:sz w:val="22"/>
          <w:szCs w:val="22"/>
        </w:rPr>
        <w:t>, el Plen</w:t>
      </w:r>
      <w:r>
        <w:rPr>
          <w:rFonts w:ascii="Palatino Linotype" w:eastAsia="Palatino Linotype" w:hAnsi="Palatino Linotype" w:cs="Palatino Linotype"/>
          <w:sz w:val="22"/>
          <w:szCs w:val="22"/>
        </w:rPr>
        <w:t>o de este Instituto ha determinado que esa información debe clasificarse como confidencial, y elaborarse una versión pública en la que se teste la misma.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resulta importante destacar que el número de cuenta bancaria de las personas físicas es i</w:t>
      </w:r>
      <w:r>
        <w:rPr>
          <w:rFonts w:ascii="Palatino Linotype" w:eastAsia="Palatino Linotype" w:hAnsi="Palatino Linotype" w:cs="Palatino Linotype"/>
          <w:sz w:val="22"/>
          <w:szCs w:val="22"/>
        </w:rPr>
        <w:t>nformación que sólo su titular o personas autorizadas poseen para el acceso o consulta de información patrimonial, o para la realización de operaciones bancarias de diversa naturaleza, por lo que la difusión pública del mismo facilitaría la afectación al p</w:t>
      </w:r>
      <w:r>
        <w:rPr>
          <w:rFonts w:ascii="Palatino Linotype" w:eastAsia="Palatino Linotype" w:hAnsi="Palatino Linotype" w:cs="Palatino Linotype"/>
          <w:sz w:val="22"/>
          <w:szCs w:val="22"/>
        </w:rPr>
        <w:t>atrimonio del titular de la cuenta.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w:t>
      </w:r>
      <w:r>
        <w:rPr>
          <w:rFonts w:ascii="Palatino Linotype" w:eastAsia="Palatino Linotype" w:hAnsi="Palatino Linotype" w:cs="Palatino Linotype"/>
          <w:sz w:val="22"/>
          <w:szCs w:val="22"/>
        </w:rPr>
        <w:t>n se estaría poniendo en riesgo la seguridad de su titular.</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no es así tratándose de las cuentas</w:t>
      </w:r>
      <w:r>
        <w:rPr>
          <w:rFonts w:ascii="Palatino Linotype" w:eastAsia="Palatino Linotype" w:hAnsi="Palatino Linotype" w:cs="Palatino Linotype"/>
          <w:sz w:val="22"/>
          <w:szCs w:val="22"/>
        </w:rPr>
        <w:t xml:space="preserve"> bancarias o claves interbancarias de los Sujetos Obligados ya que su publicidad cede a la rendición de cuentas al transparentar la forma en que son administrados los recursos públicos.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argumentado encuentra sustento en los Criterios de interpretación </w:t>
      </w:r>
      <w:r>
        <w:rPr>
          <w:rFonts w:ascii="Palatino Linotype" w:eastAsia="Palatino Linotype" w:hAnsi="Palatino Linotype" w:cs="Palatino Linotype"/>
          <w:sz w:val="22"/>
          <w:szCs w:val="22"/>
        </w:rPr>
        <w:t>con  Clave de control SO/010/2017 y SO/011/2017, emitidos por el Instituto Nacional de Transparencia, Acceso a la Información y Protección de Datos Personales, INAI, que llevan por rubro y texto los siguientes:</w:t>
      </w:r>
    </w:p>
    <w:p w:rsidR="00D8442A" w:rsidRDefault="00D8442A">
      <w:pPr>
        <w:ind w:left="851" w:right="900"/>
        <w:jc w:val="both"/>
        <w:rPr>
          <w:rFonts w:ascii="Palatino Linotype" w:eastAsia="Palatino Linotype" w:hAnsi="Palatino Linotype" w:cs="Palatino Linotype"/>
          <w:i/>
          <w:iCs/>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Cuentas bancarias y/o CLABE interbancaria d</w:t>
      </w:r>
      <w:r>
        <w:rPr>
          <w:rFonts w:ascii="Palatino Linotype" w:eastAsia="Palatino Linotype" w:hAnsi="Palatino Linotype" w:cs="Palatino Linotype"/>
          <w:b/>
          <w:bCs/>
          <w:i/>
          <w:iCs/>
          <w:sz w:val="22"/>
          <w:szCs w:val="22"/>
        </w:rPr>
        <w:t>e personas físicas y morales privadas.</w:t>
      </w:r>
      <w:r>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w:t>
      </w:r>
      <w:r>
        <w:rPr>
          <w:rFonts w:ascii="Palatino Linotype" w:eastAsia="Palatino Linotype" w:hAnsi="Palatino Linotype" w:cs="Palatino Linotype"/>
          <w:i/>
          <w:iCs/>
          <w:sz w:val="22"/>
          <w:szCs w:val="22"/>
        </w:rPr>
        <w:t>e sus clientes, a través de los cuales se puede acceder a información relacionada con su patrimonio y realizar diversas transacciones; por tanto, constituye información clasificada con fundamento en los artículos 116 de la Ley General de Transparencia y Ac</w:t>
      </w:r>
      <w:r>
        <w:rPr>
          <w:rFonts w:ascii="Palatino Linotype" w:eastAsia="Palatino Linotype" w:hAnsi="Palatino Linotype" w:cs="Palatino Linotype"/>
          <w:i/>
          <w:iCs/>
          <w:sz w:val="22"/>
          <w:szCs w:val="22"/>
        </w:rPr>
        <w:t>ceso a la Información Pública y 113 de la Ley Federal de Transparencia y Acceso a la Información Pública.”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iCs/>
          <w:sz w:val="22"/>
          <w:szCs w:val="22"/>
        </w:rPr>
        <w:t xml:space="preserve"> La difusión d</w:t>
      </w:r>
      <w:r>
        <w:rPr>
          <w:rFonts w:ascii="Palatino Linotype" w:eastAsia="Palatino Linotype" w:hAnsi="Palatino Linotype" w:cs="Palatino Linotype"/>
          <w:i/>
          <w:iCs/>
          <w:sz w:val="22"/>
          <w:szCs w:val="22"/>
        </w:rPr>
        <w:t>e las cuentas bancarias y claves interbancarias pertenecientes a un sujeto obligado favorece la rendición de cuentas al transparentar la forma en que se administran los recursos públicos, razón por la cual no pueden considerarse como información clasificad</w:t>
      </w:r>
      <w:r>
        <w:rPr>
          <w:rFonts w:ascii="Palatino Linotype" w:eastAsia="Palatino Linotype" w:hAnsi="Palatino Linotype" w:cs="Palatino Linotype"/>
          <w:i/>
          <w:iCs/>
          <w:sz w:val="22"/>
          <w:szCs w:val="22"/>
        </w:rPr>
        <w:t>a.”</w:t>
      </w:r>
    </w:p>
    <w:p w:rsidR="00D8442A" w:rsidRDefault="00D8442A">
      <w:pPr>
        <w:ind w:left="851" w:right="900"/>
        <w:jc w:val="both"/>
        <w:rPr>
          <w:rFonts w:ascii="Palatino Linotype" w:eastAsia="Palatino Linotype" w:hAnsi="Palatino Linotype" w:cs="Palatino Linotype"/>
          <w:i/>
          <w:iCs/>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10" w:name="_heading=h.35nkun2" w:colFirst="0" w:colLast="0"/>
      <w:bookmarkEnd w:id="10"/>
      <w:r>
        <w:rPr>
          <w:rFonts w:ascii="Palatino Linotype" w:eastAsia="Palatino Linotype" w:hAnsi="Palatino Linotype" w:cs="Palatino Linotype"/>
          <w:sz w:val="22"/>
          <w:szCs w:val="22"/>
        </w:rPr>
        <w:t xml:space="preserve">Por cuanto hace a los </w:t>
      </w:r>
      <w:r>
        <w:rPr>
          <w:rFonts w:ascii="Palatino Linotype" w:eastAsia="Palatino Linotype" w:hAnsi="Palatino Linotype" w:cs="Palatino Linotype"/>
          <w:b/>
          <w:bCs/>
          <w:sz w:val="22"/>
          <w:szCs w:val="22"/>
        </w:rPr>
        <w:t>préstamos o descuentos de carácter personal</w:t>
      </w:r>
      <w:r>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entender los límites y alcances de es</w:t>
      </w:r>
      <w:r>
        <w:rPr>
          <w:rFonts w:ascii="Palatino Linotype" w:eastAsia="Palatino Linotype" w:hAnsi="Palatino Linotype" w:cs="Palatino Linotype"/>
          <w:sz w:val="22"/>
          <w:szCs w:val="22"/>
        </w:rPr>
        <w:t>ta restricción, es oportuno recurrir al artículo 84 de la Ley del Trabajo de los Servidores Públicos del Estado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276" w:lineRule="auto"/>
        <w:ind w:left="851" w:right="900"/>
        <w:jc w:val="both"/>
        <w:rPr>
          <w:rFonts w:ascii="Palatino Linotype" w:eastAsia="Palatino Linotype" w:hAnsi="Palatino Linotype" w:cs="Palatino Linotype"/>
          <w:b/>
          <w:bCs/>
          <w:i/>
          <w:iCs/>
          <w:sz w:val="22"/>
          <w:szCs w:val="22"/>
        </w:rPr>
      </w:pPr>
      <w:bookmarkStart w:id="11" w:name="_heading=h.1ksv4uv" w:colFirst="0" w:colLast="0"/>
      <w:bookmarkEnd w:id="11"/>
      <w:r>
        <w:rPr>
          <w:rFonts w:ascii="Palatino Linotype" w:eastAsia="Palatino Linotype" w:hAnsi="Palatino Linotype" w:cs="Palatino Linotype"/>
          <w:b/>
          <w:bCs/>
          <w:i/>
          <w:iCs/>
          <w:sz w:val="22"/>
          <w:szCs w:val="22"/>
        </w:rPr>
        <w:t xml:space="preserve">“ARTÍCULO 84. </w:t>
      </w:r>
      <w:r>
        <w:rPr>
          <w:rFonts w:ascii="Palatino Linotype" w:eastAsia="Palatino Linotype" w:hAnsi="Palatino Linotype" w:cs="Palatino Linotype"/>
          <w:i/>
          <w:iCs/>
          <w:sz w:val="22"/>
          <w:szCs w:val="22"/>
        </w:rPr>
        <w:t>Sólo podrán hacerse retenciones, descuentos o deducciones al sueldo de los servidores públicos por concepto de:</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Gravámenes fiscales relacionados con el sueldo;</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Cuotas sindicales</w:t>
      </w:r>
      <w:r>
        <w:rPr>
          <w:rFonts w:ascii="Palatino Linotype" w:eastAsia="Palatino Linotype" w:hAnsi="Palatino Linotype" w:cs="Palatino Linotype"/>
          <w:i/>
          <w:iCs/>
          <w:sz w:val="22"/>
          <w:szCs w:val="22"/>
        </w:rPr>
        <w:t>;</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Descuentos ordenados por el Instituto de Seguridad Social del E</w:t>
      </w:r>
      <w:r>
        <w:rPr>
          <w:rFonts w:ascii="Palatino Linotype" w:eastAsia="Palatino Linotype" w:hAnsi="Palatino Linotype" w:cs="Palatino Linotype"/>
          <w:i/>
          <w:iCs/>
          <w:sz w:val="22"/>
          <w:szCs w:val="22"/>
        </w:rPr>
        <w:t>stado de México y Municipios, con motivo de cuotas y obligaciones contraídas con éste por los servidores públicos;</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w:t>
      </w:r>
      <w:r>
        <w:rPr>
          <w:rFonts w:ascii="Palatino Linotype" w:eastAsia="Palatino Linotype" w:hAnsi="Palatino Linotype" w:cs="Palatino Linotype"/>
          <w:i/>
          <w:iCs/>
          <w:sz w:val="22"/>
          <w:szCs w:val="22"/>
        </w:rPr>
        <w:t xml:space="preserve"> como de interés social;</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Faltas de puntualidad o de asistencia injustificadas;</w:t>
      </w:r>
    </w:p>
    <w:p w:rsidR="00D8442A" w:rsidRDefault="0008055E">
      <w:pPr>
        <w:spacing w:line="276" w:lineRule="auto"/>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 Pensiones alimenticias ordenadas por la autoridad judicial;</w:t>
      </w:r>
      <w:r>
        <w:rPr>
          <w:rFonts w:ascii="Palatino Linotype" w:eastAsia="Palatino Linotype" w:hAnsi="Palatino Linotype" w:cs="Palatino Linotype"/>
          <w:i/>
          <w:iCs/>
          <w:sz w:val="22"/>
          <w:szCs w:val="22"/>
        </w:rPr>
        <w:t xml:space="preserve"> o</w:t>
      </w:r>
    </w:p>
    <w:p w:rsidR="00D8442A" w:rsidRDefault="0008055E">
      <w:pPr>
        <w:spacing w:line="276" w:lineRule="auto"/>
        <w:ind w:left="1134"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IX. Cualquier otro convenido con instituciones de servicios y aceptado por el servidor público.</w:t>
      </w:r>
    </w:p>
    <w:p w:rsidR="00D8442A" w:rsidRDefault="0008055E">
      <w:pPr>
        <w:spacing w:line="276" w:lineRule="auto"/>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monto</w:t>
      </w:r>
      <w:r>
        <w:rPr>
          <w:rFonts w:ascii="Palatino Linotype" w:eastAsia="Palatino Linotype" w:hAnsi="Palatino Linotype" w:cs="Palatino Linotype"/>
          <w:i/>
          <w:iCs/>
          <w:sz w:val="22"/>
          <w:szCs w:val="22"/>
        </w:rPr>
        <w:t xml:space="preserve"> total de las retenciones, descuentos o deducciones no podrá exceder del 30% de la remuneración total, excepto en los casos a que se refieren las fracciones IV, V y VI de este artículo, en que podrán ser de hasta el 50%, salvo en los casos en que se demues</w:t>
      </w:r>
      <w:r>
        <w:rPr>
          <w:rFonts w:ascii="Palatino Linotype" w:eastAsia="Palatino Linotype" w:hAnsi="Palatino Linotype" w:cs="Palatino Linotype"/>
          <w:i/>
          <w:iCs/>
          <w:sz w:val="22"/>
          <w:szCs w:val="22"/>
        </w:rPr>
        <w:t xml:space="preserve">tre que el crédito se concedió con base en los ingresos familiares para hacer posible el derecho constitucional a una vivienda digna, o se refieran a lo establecido en la fracción VIII de este artículo, en que se ajustará a lo determinado por la autoridad </w:t>
      </w:r>
      <w:r>
        <w:rPr>
          <w:rFonts w:ascii="Palatino Linotype" w:eastAsia="Palatino Linotype" w:hAnsi="Palatino Linotype" w:cs="Palatino Linotype"/>
          <w:i/>
          <w:iCs/>
          <w:sz w:val="22"/>
          <w:szCs w:val="22"/>
        </w:rPr>
        <w:t xml:space="preserve">judicial.” </w:t>
      </w:r>
    </w:p>
    <w:p w:rsidR="00D8442A" w:rsidRDefault="00D8442A">
      <w:pPr>
        <w:spacing w:line="276" w:lineRule="auto"/>
        <w:ind w:left="851" w:right="900"/>
        <w:jc w:val="both"/>
        <w:rPr>
          <w:rFonts w:ascii="Palatino Linotype" w:eastAsia="Palatino Linotype" w:hAnsi="Palatino Linotype" w:cs="Palatino Linotype"/>
          <w:i/>
          <w:i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puede observar, el precepto citado establece claramente cuáles son esos descuentos o gravámenes que directamente se relacionan con las obligaciones adquiridas como servidores públicos y aquéllos que únicamente inciden en su vida privad</w:t>
      </w:r>
      <w:r>
        <w:rPr>
          <w:rFonts w:ascii="Palatino Linotype" w:eastAsia="Palatino Linotype" w:hAnsi="Palatino Linotype" w:cs="Palatino Linotype"/>
          <w:sz w:val="22"/>
          <w:szCs w:val="22"/>
        </w:rPr>
        <w:t xml:space="preserve">a. </w:t>
      </w:r>
    </w:p>
    <w:p w:rsidR="00D8442A" w:rsidRDefault="00D8442A">
      <w:pPr>
        <w:spacing w:line="276"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este modo, los </w:t>
      </w:r>
      <w:r>
        <w:rPr>
          <w:rFonts w:ascii="Palatino Linotype" w:eastAsia="Palatino Linotype" w:hAnsi="Palatino Linotype" w:cs="Palatino Linotype"/>
          <w:b/>
          <w:bCs/>
          <w:sz w:val="22"/>
          <w:szCs w:val="22"/>
        </w:rPr>
        <w:t>descuentos o deducciones por cuotas sindicales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pensiones alimenticias</w:t>
      </w:r>
      <w:r>
        <w:rPr>
          <w:rFonts w:ascii="Palatino Linotype" w:eastAsia="Palatino Linotype" w:hAnsi="Palatino Linotype" w:cs="Palatino Linotype"/>
          <w:sz w:val="22"/>
          <w:szCs w:val="22"/>
        </w:rPr>
        <w:t xml:space="preserve"> o </w:t>
      </w:r>
      <w:r>
        <w:rPr>
          <w:rFonts w:ascii="Palatino Linotype" w:eastAsia="Palatino Linotype" w:hAnsi="Palatino Linotype" w:cs="Palatino Linotype"/>
          <w:b/>
          <w:bCs/>
          <w:sz w:val="22"/>
          <w:szCs w:val="22"/>
        </w:rPr>
        <w:t>créditos adquiridos con instituciones privadas</w:t>
      </w:r>
      <w:r>
        <w:rPr>
          <w:rFonts w:ascii="Palatino Linotype" w:eastAsia="Palatino Linotype" w:hAnsi="Palatino Linotype" w:cs="Palatino Linotype"/>
          <w:sz w:val="22"/>
          <w:szCs w:val="22"/>
        </w:rPr>
        <w:t>, entre otros que no se relacionen con el gasto público, al revelar parte de las decisiones que adopta una persona</w:t>
      </w:r>
      <w:r>
        <w:rPr>
          <w:rFonts w:ascii="Palatino Linotype" w:eastAsia="Palatino Linotype" w:hAnsi="Palatino Linotype" w:cs="Palatino Linotype"/>
          <w:sz w:val="22"/>
          <w:szCs w:val="22"/>
        </w:rPr>
        <w:t xml:space="preserve"> respecto del uso y destino de su remuneración salarial, lo cual incide en la manera en que se integra su patrimonio, </w:t>
      </w:r>
      <w:r>
        <w:rPr>
          <w:rFonts w:ascii="Palatino Linotype" w:eastAsia="Palatino Linotype" w:hAnsi="Palatino Linotype" w:cs="Palatino Linotype"/>
          <w:b/>
          <w:bCs/>
          <w:sz w:val="22"/>
          <w:szCs w:val="22"/>
        </w:rPr>
        <w:t>es información que no es de carácter público, sino que constituye información confidencial</w:t>
      </w:r>
      <w:r>
        <w:rPr>
          <w:rFonts w:ascii="Palatino Linotype" w:eastAsia="Palatino Linotype" w:hAnsi="Palatino Linotype" w:cs="Palatino Linotype"/>
          <w:sz w:val="22"/>
          <w:szCs w:val="22"/>
        </w:rPr>
        <w:t xml:space="preserve"> en virtud de que corresponde con decisiones per</w:t>
      </w:r>
      <w:r>
        <w:rPr>
          <w:rFonts w:ascii="Palatino Linotype" w:eastAsia="Palatino Linotype" w:hAnsi="Palatino Linotype" w:cs="Palatino Linotype"/>
          <w:sz w:val="22"/>
          <w:szCs w:val="22"/>
        </w:rPr>
        <w:t>sonales, y por tanto, se debe clasificar.</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w:t>
      </w:r>
      <w:r>
        <w:rPr>
          <w:rFonts w:ascii="Palatino Linotype" w:eastAsia="Palatino Linotype" w:hAnsi="Palatino Linotype" w:cs="Palatino Linotype"/>
          <w:sz w:val="22"/>
          <w:szCs w:val="22"/>
        </w:rPr>
        <w:t xml:space="preserve">sonal, misma que se relaciona con su esfera más íntima de privacidad, asimismo, en aquellos casos en los que sólo se tenga una deducción, inclusive es posible deducir el importe de la misma, derivado de los cálculos que se hagan respecto al sueldo bruto y </w:t>
      </w:r>
      <w:r>
        <w:rPr>
          <w:rFonts w:ascii="Palatino Linotype" w:eastAsia="Palatino Linotype" w:hAnsi="Palatino Linotype" w:cs="Palatino Linotype"/>
          <w:sz w:val="22"/>
          <w:szCs w:val="22"/>
        </w:rPr>
        <w:t>sueldo neto.</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relación al </w:t>
      </w:r>
      <w:r>
        <w:rPr>
          <w:rFonts w:ascii="Palatino Linotype" w:eastAsia="Palatino Linotype" w:hAnsi="Palatino Linotype" w:cs="Palatino Linotype"/>
          <w:b/>
          <w:bCs/>
          <w:sz w:val="22"/>
          <w:szCs w:val="22"/>
        </w:rPr>
        <w:t>número de empleado</w:t>
      </w:r>
      <w:r>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w:t>
      </w:r>
      <w:r>
        <w:rPr>
          <w:rFonts w:ascii="Palatino Linotype" w:eastAsia="Palatino Linotype" w:hAnsi="Palatino Linotype" w:cs="Palatino Linotype"/>
          <w:sz w:val="22"/>
          <w:szCs w:val="22"/>
        </w:rPr>
        <w:t>adas con su situación laboral particular, siendo un número único, permanente e intransferible que se asigna para llevar un registro de los trabajadores</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Bajo esos argumentos, se entendería que la información relativa al número de empleado constituye info</w:t>
      </w:r>
      <w:r>
        <w:rPr>
          <w:rFonts w:ascii="Palatino Linotype" w:eastAsia="Palatino Linotype" w:hAnsi="Palatino Linotype" w:cs="Palatino Linotype"/>
          <w:sz w:val="22"/>
          <w:szCs w:val="22"/>
        </w:rPr>
        <w:t>rmación confidencial al tratarse de un número de identificación personal a través del cual se puede consultar la situación laboral personal, empero el Pleno del el Instituto Nacional de Transparencia, Acceso a la Información, y Protección de Datos Personal</w:t>
      </w:r>
      <w:r>
        <w:rPr>
          <w:rFonts w:ascii="Palatino Linotype" w:eastAsia="Palatino Linotype" w:hAnsi="Palatino Linotype" w:cs="Palatino Linotype"/>
          <w:sz w:val="22"/>
          <w:szCs w:val="22"/>
        </w:rPr>
        <w:t>es, INAI  se ha pronunciado sobre su publicidad, a través del Criterio de interpretación con Clave de control SO/006/2019, que indica lo siguiente:</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tabs>
          <w:tab w:val="left" w:pos="7655"/>
        </w:tabs>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Número de empleado. </w:t>
      </w:r>
      <w:r>
        <w:rPr>
          <w:rFonts w:ascii="Palatino Linotype" w:eastAsia="Palatino Linotype" w:hAnsi="Palatino Linotype" w:cs="Palatino Linotype"/>
          <w:i/>
          <w:iCs/>
          <w:sz w:val="22"/>
          <w:szCs w:val="22"/>
        </w:rPr>
        <w:t xml:space="preserve">Cuando el número de empleado o su equivalente, se integra con datos personales de los </w:t>
      </w:r>
      <w:r>
        <w:rPr>
          <w:rFonts w:ascii="Palatino Linotype" w:eastAsia="Palatino Linotype" w:hAnsi="Palatino Linotype" w:cs="Palatino Linotype"/>
          <w:i/>
          <w:iCs/>
          <w:sz w:val="22"/>
          <w:szCs w:val="22"/>
        </w:rPr>
        <w:t>trabajadores o funciona como una clave de acceso que no requiere adicionalmente de una contraseña para ingresar a sistemas o bases de datos personales, procede su clasificación como información confidencial.”</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atención al criterio de interpretación, se </w:t>
      </w:r>
      <w:r>
        <w:rPr>
          <w:rFonts w:ascii="Palatino Linotype" w:eastAsia="Palatino Linotype" w:hAnsi="Palatino Linotype" w:cs="Palatino Linotype"/>
          <w:sz w:val="22"/>
          <w:szCs w:val="22"/>
        </w:rPr>
        <w:t xml:space="preserve">advierten dos supuestos para catalogar la información concerniente al número de empleado o equivalente, el primero es considerar la información como confidencial, siempre y cuando se integre con datos personales o que permita acceder a ellos sin necesidad </w:t>
      </w:r>
      <w:r>
        <w:rPr>
          <w:rFonts w:ascii="Palatino Linotype" w:eastAsia="Palatino Linotype" w:hAnsi="Palatino Linotype" w:cs="Palatino Linotype"/>
          <w:sz w:val="22"/>
          <w:szCs w:val="22"/>
        </w:rPr>
        <w:t>de alguna contraseña, y el segundo supuesto es considerar que la información es susceptible de entregarse siempre que requiera una contraseña para acceder a los datos personales o cuando su conformación no revele los mismos, por consiguiente, en el caso co</w:t>
      </w:r>
      <w:r>
        <w:rPr>
          <w:rFonts w:ascii="Palatino Linotype" w:eastAsia="Palatino Linotype" w:hAnsi="Palatino Linotype" w:cs="Palatino Linotype"/>
          <w:sz w:val="22"/>
          <w:szCs w:val="22"/>
        </w:rPr>
        <w:t xml:space="preserve">ncreto,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w:t>
      </w:r>
      <w:r>
        <w:rPr>
          <w:rFonts w:ascii="Palatino Linotype" w:eastAsia="Palatino Linotype" w:hAnsi="Palatino Linotype" w:cs="Palatino Linotype"/>
          <w:sz w:val="22"/>
          <w:szCs w:val="22"/>
        </w:rPr>
        <w:t xml:space="preserve"> emitido por su Comité de Transparencia conforme a la Ley de la Materia.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De la información fiscal</w:t>
      </w:r>
      <w:r>
        <w:rPr>
          <w:rFonts w:ascii="Palatino Linotype" w:eastAsia="Palatino Linotype" w:hAnsi="Palatino Linotype" w:cs="Palatino Linotype"/>
          <w:sz w:val="22"/>
          <w:szCs w:val="22"/>
        </w:rPr>
        <w:t xml:space="preserve">: </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b/>
          <w:bCs/>
          <w:sz w:val="22"/>
          <w:szCs w:val="22"/>
        </w:rPr>
        <w:t>Cadena Original</w:t>
      </w:r>
      <w:r>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w:t>
      </w:r>
      <w:r>
        <w:rPr>
          <w:rFonts w:ascii="Palatino Linotype" w:eastAsia="Palatino Linotype" w:hAnsi="Palatino Linotype" w:cs="Palatino Linotype"/>
          <w:sz w:val="22"/>
          <w:szCs w:val="22"/>
        </w:rPr>
        <w:t xml:space="preserve">anera enunciativa, más no limitativa, el RFC del receptor, es decir del servidor público. En dicho supuesto, la cadena original constituiría información que únicamente atañe al contribuyente, siendo tarea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analizar dicha circunstancia co</w:t>
      </w:r>
      <w:r>
        <w:rPr>
          <w:rFonts w:ascii="Palatino Linotype" w:eastAsia="Palatino Linotype" w:hAnsi="Palatino Linotype" w:cs="Palatino Linotype"/>
          <w:sz w:val="22"/>
          <w:szCs w:val="22"/>
        </w:rPr>
        <w:t>n la finalidad de proteger, de ser el caso, la información a través de su clasificación por actualizarse el supuesto de confidencialidad.</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w:t>
      </w:r>
      <w:r>
        <w:rPr>
          <w:rFonts w:ascii="Palatino Linotype" w:eastAsia="Palatino Linotype" w:hAnsi="Palatino Linotype" w:cs="Palatino Linotype"/>
          <w:b/>
          <w:bCs/>
          <w:sz w:val="22"/>
          <w:szCs w:val="22"/>
        </w:rPr>
        <w:t>códigos bidimensionales</w:t>
      </w:r>
      <w:r>
        <w:rPr>
          <w:rFonts w:ascii="Palatino Linotype" w:eastAsia="Palatino Linotype" w:hAnsi="Palatino Linotype" w:cs="Palatino Linotype"/>
          <w:sz w:val="22"/>
          <w:szCs w:val="22"/>
        </w:rPr>
        <w:t xml:space="preserve"> o </w:t>
      </w:r>
      <w:r>
        <w:rPr>
          <w:rFonts w:ascii="Palatino Linotype" w:eastAsia="Palatino Linotype" w:hAnsi="Palatino Linotype" w:cs="Palatino Linotype"/>
          <w:b/>
          <w:bCs/>
          <w:sz w:val="22"/>
          <w:szCs w:val="22"/>
        </w:rPr>
        <w:t xml:space="preserve">códigos QR, </w:t>
      </w:r>
      <w:r>
        <w:rPr>
          <w:rFonts w:ascii="Palatino Linotype" w:eastAsia="Palatino Linotype" w:hAnsi="Palatino Linotype" w:cs="Palatino Linotype"/>
          <w:sz w:val="22"/>
          <w:szCs w:val="22"/>
        </w:rPr>
        <w:t>al corresponder a barras en dos dimensiones que, al igual que los códigos d</w:t>
      </w:r>
      <w:r>
        <w:rPr>
          <w:rFonts w:ascii="Palatino Linotype" w:eastAsia="Palatino Linotype" w:hAnsi="Palatino Linotype" w:cs="Palatino Linotype"/>
          <w:sz w:val="22"/>
          <w:szCs w:val="22"/>
        </w:rPr>
        <w:t>e barras o códigos unidimensionales, son utilizados para almacenar diversos tipos de datos de manera codificada, los cuales a través de lectores que pueden ser obtenidos por cualquier persona, pueden contener datos personales, no susceptibles de conocimien</w:t>
      </w:r>
      <w:r>
        <w:rPr>
          <w:rFonts w:ascii="Palatino Linotype" w:eastAsia="Palatino Linotype" w:hAnsi="Palatino Linotype" w:cs="Palatino Linotype"/>
          <w:sz w:val="22"/>
          <w:szCs w:val="22"/>
        </w:rPr>
        <w:t xml:space="preserve">to público, debiendo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tal sentido, si derivado del análisis efectuado por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el presente caso, se despr</w:t>
      </w:r>
      <w:r>
        <w:rPr>
          <w:rFonts w:ascii="Palatino Linotype" w:eastAsia="Palatino Linotype" w:hAnsi="Palatino Linotype" w:cs="Palatino Linotype"/>
          <w:sz w:val="22"/>
          <w:szCs w:val="22"/>
        </w:rPr>
        <w:t>ende que, de la información fiscal contenida en los comprobantes fiscales digitales por internet, tales como cadenas, sellos digitales y/o códigos bidimensionales, se pueden obtener datos personales como el Registro Federal de Contribuyentes, la Clave Únic</w:t>
      </w:r>
      <w:r>
        <w:rPr>
          <w:rFonts w:ascii="Palatino Linotype" w:eastAsia="Palatino Linotype" w:hAnsi="Palatino Linotype" w:cs="Palatino Linotype"/>
          <w:sz w:val="22"/>
          <w:szCs w:val="22"/>
        </w:rPr>
        <w:t>a del Registro de Población, entre otros no susceptibles de conocimiento público que, de difundirse, pudieran vulnerar la esfera más íntima de privacidad de su titular, deberá clasificarla como confidencial, de manera fundada y motivada en términos del art</w:t>
      </w:r>
      <w:r>
        <w:rPr>
          <w:rFonts w:ascii="Palatino Linotype" w:eastAsia="Palatino Linotype" w:hAnsi="Palatino Linotype" w:cs="Palatino Linotype"/>
          <w:sz w:val="22"/>
          <w:szCs w:val="22"/>
        </w:rPr>
        <w:t>ículo 143, fracción I de la Ley de Transparencia y Acceso a la Información Pública del Estado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relación a las</w:t>
      </w:r>
      <w:r>
        <w:rPr>
          <w:rFonts w:ascii="Palatino Linotype" w:eastAsia="Palatino Linotype" w:hAnsi="Palatino Linotype" w:cs="Palatino Linotype"/>
          <w:b/>
          <w:bCs/>
          <w:sz w:val="22"/>
          <w:szCs w:val="22"/>
        </w:rPr>
        <w:t xml:space="preserve"> fotografías de los servidores públicos. </w:t>
      </w:r>
      <w:r>
        <w:rPr>
          <w:rFonts w:ascii="Palatino Linotype" w:eastAsia="Palatino Linotype" w:hAnsi="Palatino Linotype" w:cs="Palatino Linotype"/>
          <w:sz w:val="22"/>
          <w:szCs w:val="22"/>
        </w:rPr>
        <w:t>Fotografía en documento que acredite el último grado de estudios. Por lo que h</w:t>
      </w:r>
      <w:r>
        <w:rPr>
          <w:rFonts w:ascii="Palatino Linotype" w:eastAsia="Palatino Linotype" w:hAnsi="Palatino Linotype" w:cs="Palatino Linotype"/>
          <w:sz w:val="22"/>
          <w:szCs w:val="22"/>
        </w:rPr>
        <w:t>ace a las fotografías, es preciso señalar que estas dan cuenta de las características físicas de los servidores públicos; por lo que, no debe perderse de vista que la imagen personal es la apariencia física, la cual puede ser captada en dibujo, pintura, es</w:t>
      </w:r>
      <w:r>
        <w:rPr>
          <w:rFonts w:ascii="Palatino Linotype" w:eastAsia="Palatino Linotype" w:hAnsi="Palatino Linotype" w:cs="Palatino Linotype"/>
          <w:sz w:val="22"/>
          <w:szCs w:val="22"/>
        </w:rPr>
        <w:t>cultura, fotografía, y video; la imagen así captada puede ser reproducida, publicada y divulgada por diversos medios, desde volantes impresos de la forma más rudimentaria, hasta filmaciones y fotografías transmitidas por televisión cine, video, correo elec</w:t>
      </w:r>
      <w:r>
        <w:rPr>
          <w:rFonts w:ascii="Palatino Linotype" w:eastAsia="Palatino Linotype" w:hAnsi="Palatino Linotype" w:cs="Palatino Linotype"/>
          <w:sz w:val="22"/>
          <w:szCs w:val="22"/>
        </w:rPr>
        <w:t>trónico o Internet.</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w:t>
      </w:r>
      <w:r>
        <w:rPr>
          <w:rFonts w:ascii="Palatino Linotype" w:eastAsia="Palatino Linotype" w:hAnsi="Palatino Linotype" w:cs="Palatino Linotype"/>
          <w:sz w:val="22"/>
          <w:szCs w:val="22"/>
        </w:rPr>
        <w:t>opio reconocimiento como sujeto individual; lo que en el presente caso, acreditaría e identificaría a una persona como servidor público, por lo que es posible advertir que existe cierto interés público, cuando la fotografía obra en documentos de servidores</w:t>
      </w:r>
      <w:r>
        <w:rPr>
          <w:rFonts w:ascii="Palatino Linotype" w:eastAsia="Palatino Linotype" w:hAnsi="Palatino Linotype" w:cs="Palatino Linotype"/>
          <w:sz w:val="22"/>
          <w:szCs w:val="22"/>
        </w:rPr>
        <w:t xml:space="preserve"> públicos vinculados con el cumplimiento de disposiciones legales.</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existen documentos que contienen la fotografía con los cuales se permite identificar que una persona que se acredita como trabajador gubernamental, realmente tiene el cargo con el </w:t>
      </w:r>
      <w:r>
        <w:rPr>
          <w:rFonts w:ascii="Palatino Linotype" w:eastAsia="Palatino Linotype" w:hAnsi="Palatino Linotype" w:cs="Palatino Linotype"/>
          <w:sz w:val="22"/>
          <w:szCs w:val="22"/>
        </w:rPr>
        <w:t>que se ostenta, otros documentos con los cuales se rinde cuentas a la ciudadanía, por ejemplo cuando se cubre el perfil de puesto; además cuando se brinda servicios a la ciudadanía, es de relevancia conocer e identificar a todos sus trabajadores, no import</w:t>
      </w:r>
      <w:r>
        <w:rPr>
          <w:rFonts w:ascii="Palatino Linotype" w:eastAsia="Palatino Linotype" w:hAnsi="Palatino Linotype" w:cs="Palatino Linotype"/>
          <w:sz w:val="22"/>
          <w:szCs w:val="22"/>
        </w:rPr>
        <w:t>a el nivel o rango (con excepción del personal operativo en materia de seguridad, respecto del cual el Pleno de este Instituto ya se ha pronunciado en el sentido de que la información que los haga identificados o identificables debe clasificarse como reser</w:t>
      </w:r>
      <w:r>
        <w:rPr>
          <w:rFonts w:ascii="Palatino Linotype" w:eastAsia="Palatino Linotype" w:hAnsi="Palatino Linotype" w:cs="Palatino Linotype"/>
          <w:sz w:val="22"/>
          <w:szCs w:val="22"/>
        </w:rPr>
        <w:t>vada).</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w:t>
      </w:r>
      <w:r>
        <w:rPr>
          <w:rFonts w:ascii="Palatino Linotype" w:eastAsia="Palatino Linotype" w:hAnsi="Palatino Linotype" w:cs="Palatino Linotype"/>
          <w:sz w:val="22"/>
          <w:szCs w:val="22"/>
        </w:rPr>
        <w:t>ra específica a fotografías de servidores públicos, sí establecen un criterio para que este dato personal pueda ser considerado como público, cuando se pretende acreditar que una persona es servidor público.</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Debe tenerse presente que el actuar de los serv</w:t>
      </w:r>
      <w:r>
        <w:rPr>
          <w:rFonts w:ascii="Palatino Linotype" w:eastAsia="Palatino Linotype" w:hAnsi="Palatino Linotype" w:cs="Palatino Linotype"/>
          <w:sz w:val="22"/>
          <w:szCs w:val="22"/>
        </w:rPr>
        <w:t>idores públicos incide de manera específica en los derechos de los particulares, pues el acto de un servidor público en ejercicio de sus funciones, de manera directa genera derechos y obligaciones pues se considera un acto administrativo o acto de autorida</w:t>
      </w:r>
      <w:r>
        <w:rPr>
          <w:rFonts w:ascii="Palatino Linotype" w:eastAsia="Palatino Linotype" w:hAnsi="Palatino Linotype" w:cs="Palatino Linotype"/>
          <w:sz w:val="22"/>
          <w:szCs w:val="22"/>
        </w:rPr>
        <w:t>d, por lo que es primordial, que estos trabajadores se identifiquen ante la ciudadanía, por lo que otorgar acceso a los documentos que obran en los archivos de los sujetos obligados y que además están directamente relacionados con el cumplimiento de dispos</w:t>
      </w:r>
      <w:r>
        <w:rPr>
          <w:rFonts w:ascii="Palatino Linotype" w:eastAsia="Palatino Linotype" w:hAnsi="Palatino Linotype" w:cs="Palatino Linotype"/>
          <w:sz w:val="22"/>
          <w:szCs w:val="22"/>
        </w:rPr>
        <w:t xml:space="preserve">iciones normativas o el ejercicio de funciones revisten un interés público. </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w:t>
      </w:r>
      <w:r>
        <w:rPr>
          <w:rFonts w:ascii="Palatino Linotype" w:eastAsia="Palatino Linotype" w:hAnsi="Palatino Linotype" w:cs="Palatino Linotype"/>
          <w:sz w:val="22"/>
          <w:szCs w:val="22"/>
        </w:rPr>
        <w:t>ores públicos, deben ser consideradas un dato personal, que no puede ser clasificado como confidencial, pues en este caso, es superado por el interés público de conocer si en realidad, la persona que se ostenta en carácter de servidor público, se encuentra</w:t>
      </w:r>
      <w:r>
        <w:rPr>
          <w:rFonts w:ascii="Palatino Linotype" w:eastAsia="Palatino Linotype" w:hAnsi="Palatino Linotype" w:cs="Palatino Linotype"/>
          <w:sz w:val="22"/>
          <w:szCs w:val="22"/>
        </w:rPr>
        <w:t xml:space="preserve"> en ese encargo, si realiza las funciones o si cumple con los requisitos legales; sin que se considere como factor diferenciador para determinar la publicidad o clasificación el cargo o nivel jerárquico en el que se desempeñe el servidor público.</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w:t>
      </w:r>
      <w:r>
        <w:rPr>
          <w:rFonts w:ascii="Palatino Linotype" w:eastAsia="Palatino Linotype" w:hAnsi="Palatino Linotype" w:cs="Palatino Linotype"/>
          <w:sz w:val="22"/>
          <w:szCs w:val="22"/>
        </w:rPr>
        <w:t xml:space="preserve"> y/o superiores.</w:t>
      </w:r>
    </w:p>
    <w:p w:rsidR="00D8442A" w:rsidRDefault="00D8442A">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w:t>
      </w:r>
      <w:r>
        <w:rPr>
          <w:rFonts w:ascii="Palatino Linotype" w:eastAsia="Palatino Linotype" w:hAnsi="Palatino Linotype" w:cs="Palatino Linotype"/>
          <w:sz w:val="22"/>
          <w:szCs w:val="22"/>
        </w:rPr>
        <w:t>rtículo 143, fracción I, de la Ley de Transparencia y Acceso a la Información Pública del Estado de México y Municipios, por lo que en la versión pública que se ordena, no podrá clasificarse esa información. Cabe hacer la aclaración que aquellos documentos</w:t>
      </w:r>
      <w:r>
        <w:rPr>
          <w:rFonts w:ascii="Palatino Linotype" w:eastAsia="Palatino Linotype" w:hAnsi="Palatino Linotype" w:cs="Palatino Linotype"/>
          <w:sz w:val="22"/>
          <w:szCs w:val="22"/>
        </w:rPr>
        <w:t xml:space="preserve"> que sean clasificados en su totalidad por no revestir de interés público, como lo es la credencial de elector, la fotografía correrá la misma suerte que el documento en cuestión, únicamente para dicha expresión documental. </w:t>
      </w:r>
    </w:p>
    <w:p w:rsidR="00D8442A" w:rsidRDefault="00D8442A">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Firma de servidores públicos.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En el presente asunto, debido a que la firma se encuentra en el Aviso de Movimientos, esta guarda el carácter de público y, por lo tanto, no actualiza la causal de clasificación prevista en el artículo 143, fracción I, de la Ley de Transparencia y Acceso a</w:t>
      </w:r>
      <w:r>
        <w:rPr>
          <w:rFonts w:ascii="Palatino Linotype" w:eastAsia="Palatino Linotype" w:hAnsi="Palatino Linotype" w:cs="Palatino Linotype"/>
          <w:sz w:val="22"/>
          <w:szCs w:val="22"/>
        </w:rPr>
        <w:t xml:space="preserve"> la Información Pública del Estado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Ahora bien, con relación a la firma de servidores públicos en documentos que comprueban su formación profesional, entre los que pueden estar aquellos que dan cuenta de su grado académico o de estu</w:t>
      </w:r>
      <w:r>
        <w:rPr>
          <w:rFonts w:ascii="Palatino Linotype" w:eastAsia="Palatino Linotype" w:hAnsi="Palatino Linotype" w:cs="Palatino Linotype"/>
          <w:b/>
          <w:bCs/>
          <w:sz w:val="22"/>
          <w:szCs w:val="22"/>
        </w:rPr>
        <w:t xml:space="preserve">dios, como el título y cédula profesional, </w:t>
      </w:r>
      <w:r>
        <w:rPr>
          <w:rFonts w:ascii="Palatino Linotype" w:eastAsia="Palatino Linotype" w:hAnsi="Palatino Linotype" w:cs="Palatino Linotype"/>
          <w:sz w:val="22"/>
          <w:szCs w:val="22"/>
        </w:rPr>
        <w:t xml:space="preserve">se debe precisar que, se trata de servidores públicos en su calidad de particular, por lo que, es de señalar que la firma es un dato personal confidencial y únicamente será público dicho dato cuando sirva para la </w:t>
      </w:r>
      <w:r>
        <w:rPr>
          <w:rFonts w:ascii="Palatino Linotype" w:eastAsia="Palatino Linotype" w:hAnsi="Palatino Linotype" w:cs="Palatino Linotype"/>
          <w:sz w:val="22"/>
          <w:szCs w:val="22"/>
        </w:rPr>
        <w:t>emisión de un acto de autoridad, en ejercicio de sus funciones.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w:t>
      </w:r>
      <w:r>
        <w:rPr>
          <w:rFonts w:ascii="Palatino Linotype" w:eastAsia="Palatino Linotype" w:hAnsi="Palatino Linotype" w:cs="Palatino Linotype"/>
          <w:sz w:val="22"/>
          <w:szCs w:val="22"/>
        </w:rPr>
        <w:t>ebido ejercicio de sus atribuciones, lo cual no acontece en el caso de los documentos que acreditan la formación académica.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publicidad de dicho dato, se robustece con el criterio orientador 02/19, emitido por el entonces Instituto Nacional de Transparencia, Acceso a la Información y Protección de Datos Personales, que establece lo siguiente:</w:t>
      </w:r>
    </w:p>
    <w:p w:rsidR="00D8442A" w:rsidRDefault="00D8442A">
      <w:pPr>
        <w:pBdr>
          <w:top w:val="nil"/>
          <w:left w:val="nil"/>
          <w:bottom w:val="nil"/>
          <w:right w:val="nil"/>
          <w:between w:val="nil"/>
        </w:pBdr>
        <w:ind w:right="-7"/>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Firma y rúbrica de servidores p</w:t>
      </w:r>
      <w:r>
        <w:rPr>
          <w:rFonts w:ascii="Palatino Linotype" w:eastAsia="Palatino Linotype" w:hAnsi="Palatino Linotype" w:cs="Palatino Linotype"/>
          <w:b/>
          <w:bCs/>
          <w:i/>
          <w:iCs/>
          <w:sz w:val="22"/>
          <w:szCs w:val="22"/>
        </w:rPr>
        <w:t>úblicos.</w:t>
      </w:r>
      <w:r>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D8442A" w:rsidRDefault="0008055E">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w:t>
      </w:r>
      <w:r>
        <w:rPr>
          <w:rFonts w:ascii="Palatino Linotype" w:eastAsia="Palatino Linotype" w:hAnsi="Palatino Linotype" w:cs="Palatino Linotype"/>
          <w:sz w:val="22"/>
          <w:szCs w:val="22"/>
        </w:rPr>
        <w:t>s así que no procede su clasificación.</w:t>
      </w: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expuesto, de obrar la firma del servidor público en documentos que acrediten su grado académico o de estudios, procede la clasificación, en términos del artículo 143, fracción I de la Ley de Transparenci</w:t>
      </w:r>
      <w:r>
        <w:rPr>
          <w:rFonts w:ascii="Palatino Linotype" w:eastAsia="Palatino Linotype" w:hAnsi="Palatino Linotype" w:cs="Palatino Linotype"/>
          <w:sz w:val="22"/>
          <w:szCs w:val="22"/>
        </w:rPr>
        <w:t>a y Acceso a la Información Pública del Estado de México y Municipios, pues da cuenta de la aceptación de un grado ante la Secretaría de Educación Pública.</w:t>
      </w:r>
    </w:p>
    <w:p w:rsidR="00D8442A" w:rsidRDefault="00D8442A">
      <w:pPr>
        <w:spacing w:line="360" w:lineRule="auto"/>
        <w:ind w:right="50"/>
        <w:jc w:val="both"/>
        <w:rPr>
          <w:rFonts w:ascii="Palatino Linotype" w:eastAsia="Palatino Linotype" w:hAnsi="Palatino Linotype" w:cs="Palatino Linotype"/>
          <w:sz w:val="22"/>
          <w:szCs w:val="22"/>
        </w:rPr>
      </w:pPr>
    </w:p>
    <w:p w:rsidR="00D8442A" w:rsidRDefault="0008055E">
      <w:pP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 contexto, es de señalar que la clasificación de la información no opera con la simple supres</w:t>
      </w:r>
      <w:r>
        <w:rPr>
          <w:rFonts w:ascii="Palatino Linotype" w:eastAsia="Palatino Linotype" w:hAnsi="Palatino Linotype" w:cs="Palatino Linotype"/>
          <w:sz w:val="22"/>
          <w:szCs w:val="22"/>
        </w:rPr>
        <w:t>ión de datos que se haga en los documentos de que se trate o con la simple decisión que tome el Servidor Público Habilitado o el Responsable de la Unidad de Transparencia del Sujeto Obligado, sino que ello deberá realizarse en términos de lo que disponen l</w:t>
      </w:r>
      <w:r>
        <w:rPr>
          <w:rFonts w:ascii="Palatino Linotype" w:eastAsia="Palatino Linotype" w:hAnsi="Palatino Linotype" w:cs="Palatino Linotype"/>
          <w:sz w:val="22"/>
          <w:szCs w:val="22"/>
        </w:rPr>
        <w:t>os artículos 49 fracción VIII, 53, fracción X y 59, fracción V, de la Ley en consulta, cuyo sentido literal es el siguiente:</w:t>
      </w:r>
    </w:p>
    <w:p w:rsidR="00D8442A" w:rsidRDefault="00D8442A">
      <w:pPr>
        <w:spacing w:line="360" w:lineRule="auto"/>
        <w:ind w:right="50"/>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49.</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Comités de Transparencia</w:t>
      </w:r>
      <w:r>
        <w:rPr>
          <w:rFonts w:ascii="Palatino Linotype" w:eastAsia="Palatino Linotype" w:hAnsi="Palatino Linotype" w:cs="Palatino Linotype"/>
          <w:i/>
          <w:iCs/>
          <w:sz w:val="22"/>
          <w:szCs w:val="22"/>
        </w:rPr>
        <w:t xml:space="preserve"> tendrán las siguientes atribuciones: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 Aprobar, modificar o revocar la clasificació</w:t>
      </w:r>
      <w:r>
        <w:rPr>
          <w:rFonts w:ascii="Palatino Linotype" w:eastAsia="Palatino Linotype" w:hAnsi="Palatino Linotype" w:cs="Palatino Linotype"/>
          <w:b/>
          <w:bCs/>
          <w:i/>
          <w:iCs/>
          <w:sz w:val="22"/>
          <w:szCs w:val="22"/>
        </w:rPr>
        <w:t>n de la información</w:t>
      </w: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53.</w:t>
      </w:r>
      <w:r>
        <w:rPr>
          <w:rFonts w:ascii="Palatino Linotype" w:eastAsia="Palatino Linotype" w:hAnsi="Palatino Linotype" w:cs="Palatino Linotype"/>
          <w:i/>
          <w:iCs/>
          <w:sz w:val="22"/>
          <w:szCs w:val="22"/>
        </w:rPr>
        <w:t xml:space="preserve"> Las </w:t>
      </w:r>
      <w:r>
        <w:rPr>
          <w:rFonts w:ascii="Palatino Linotype" w:eastAsia="Palatino Linotype" w:hAnsi="Palatino Linotype" w:cs="Palatino Linotype"/>
          <w:b/>
          <w:bCs/>
          <w:i/>
          <w:iCs/>
          <w:sz w:val="22"/>
          <w:szCs w:val="22"/>
        </w:rPr>
        <w:t>Unidades de Transparencia</w:t>
      </w:r>
      <w:r>
        <w:rPr>
          <w:rFonts w:ascii="Palatino Linotype" w:eastAsia="Palatino Linotype" w:hAnsi="Palatino Linotype" w:cs="Palatino Linotype"/>
          <w:i/>
          <w:iCs/>
          <w:sz w:val="22"/>
          <w:szCs w:val="22"/>
        </w:rPr>
        <w:t xml:space="preserve"> tendrán las siguientes </w:t>
      </w:r>
      <w:r>
        <w:rPr>
          <w:rFonts w:ascii="Palatino Linotype" w:eastAsia="Palatino Linotype" w:hAnsi="Palatino Linotype" w:cs="Palatino Linotype"/>
          <w:b/>
          <w:bCs/>
          <w:i/>
          <w:iCs/>
          <w:sz w:val="22"/>
          <w:szCs w:val="22"/>
        </w:rPr>
        <w:t>funciones</w:t>
      </w:r>
      <w:r>
        <w:rPr>
          <w:rFonts w:ascii="Palatino Linotype" w:eastAsia="Palatino Linotype" w:hAnsi="Palatino Linotype" w:cs="Palatino Linotype"/>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 Presentar ante el Comité, el proyecto de clasificación de información</w:t>
      </w:r>
      <w:r>
        <w:rPr>
          <w:rFonts w:ascii="Palatino Linotype" w:eastAsia="Palatino Linotype" w:hAnsi="Palatino Linotype" w:cs="Palatino Linotype"/>
          <w:i/>
          <w:iCs/>
          <w:sz w:val="22"/>
          <w:szCs w:val="22"/>
        </w:rPr>
        <w:t xml:space="preserve">…”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59.</w:t>
      </w:r>
      <w:r>
        <w:rPr>
          <w:rFonts w:ascii="Palatino Linotype" w:eastAsia="Palatino Linotype" w:hAnsi="Palatino Linotype" w:cs="Palatino Linotype"/>
          <w:i/>
          <w:iCs/>
          <w:sz w:val="22"/>
          <w:szCs w:val="22"/>
        </w:rPr>
        <w:t xml:space="preserve"> Los </w:t>
      </w:r>
      <w:r>
        <w:rPr>
          <w:rFonts w:ascii="Palatino Linotype" w:eastAsia="Palatino Linotype" w:hAnsi="Palatino Linotype" w:cs="Palatino Linotype"/>
          <w:b/>
          <w:bCs/>
          <w:i/>
          <w:iCs/>
          <w:sz w:val="22"/>
          <w:szCs w:val="22"/>
        </w:rPr>
        <w:t>servidores públicos habilitados</w:t>
      </w:r>
      <w:r>
        <w:rPr>
          <w:rFonts w:ascii="Palatino Linotype" w:eastAsia="Palatino Linotype" w:hAnsi="Palatino Linotype" w:cs="Palatino Linotype"/>
          <w:i/>
          <w:iCs/>
          <w:sz w:val="22"/>
          <w:szCs w:val="22"/>
        </w:rPr>
        <w:t xml:space="preserve"> tendrán las </w:t>
      </w:r>
      <w:r>
        <w:rPr>
          <w:rFonts w:ascii="Palatino Linotype" w:eastAsia="Palatino Linotype" w:hAnsi="Palatino Linotype" w:cs="Palatino Linotype"/>
          <w:b/>
          <w:bCs/>
          <w:i/>
          <w:iCs/>
          <w:sz w:val="22"/>
          <w:szCs w:val="22"/>
        </w:rPr>
        <w:t>funciones</w:t>
      </w:r>
      <w:r>
        <w:rPr>
          <w:rFonts w:ascii="Palatino Linotype" w:eastAsia="Palatino Linotype" w:hAnsi="Palatino Linotype" w:cs="Palatino Linotype"/>
          <w:i/>
          <w:iCs/>
          <w:sz w:val="22"/>
          <w:szCs w:val="22"/>
        </w:rPr>
        <w:t xml:space="preserve"> siguientes:</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Pr>
          <w:rFonts w:ascii="Palatino Linotype" w:eastAsia="Palatino Linotype" w:hAnsi="Palatino Linotype" w:cs="Palatino Linotype"/>
          <w:i/>
          <w:iCs/>
          <w:sz w:val="22"/>
          <w:szCs w:val="22"/>
        </w:rPr>
        <w:t>, la cual tendrá los fundamentos y argumentos en que se basa dicha propuesta…”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Denotándose de dichos elementos normativos que el </w:t>
      </w:r>
      <w:r>
        <w:rPr>
          <w:rFonts w:ascii="Palatino Linotype" w:eastAsia="Palatino Linotype" w:hAnsi="Palatino Linotype" w:cs="Palatino Linotype"/>
          <w:sz w:val="22"/>
          <w:szCs w:val="22"/>
        </w:rPr>
        <w:t>determinar la clasificación de la información es un trabajo en conjunto tanto de los Servidores Públicos Habilitados, de las Unidades de Transparencia y del Comité de Transparencia del Sujeto Obligado, teniendo el deber los primeros de ellos de presentar a</w:t>
      </w:r>
      <w:r>
        <w:rPr>
          <w:rFonts w:ascii="Palatino Linotype" w:eastAsia="Palatino Linotype" w:hAnsi="Palatino Linotype" w:cs="Palatino Linotype"/>
          <w:sz w:val="22"/>
          <w:szCs w:val="22"/>
        </w:rPr>
        <w:t>nte la Unidad de Transparencia la propuesta de la clasificación de la información, para que luego ésta presente ante al Comité de Transparencia de así resultar procedente el proyecto de clasificación de la información y finalmente sea éste último quien apr</w:t>
      </w:r>
      <w:r>
        <w:rPr>
          <w:rFonts w:ascii="Palatino Linotype" w:eastAsia="Palatino Linotype" w:hAnsi="Palatino Linotype" w:cs="Palatino Linotype"/>
          <w:sz w:val="22"/>
          <w:szCs w:val="22"/>
        </w:rPr>
        <w:t>uebe, modifique o revoque la clasificación de la información solicitada.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w:t>
      </w:r>
      <w:r>
        <w:rPr>
          <w:rFonts w:ascii="Palatino Linotype" w:eastAsia="Palatino Linotype" w:hAnsi="Palatino Linotype" w:cs="Palatino Linotype"/>
          <w:sz w:val="22"/>
          <w:szCs w:val="22"/>
        </w:rPr>
        <w:t>igue:</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149.</w:t>
      </w:r>
      <w:r>
        <w:rPr>
          <w:rFonts w:ascii="Palatino Linotype" w:eastAsia="Palatino Linotype" w:hAnsi="Palatino Linotype" w:cs="Palatino Linotype"/>
          <w:i/>
          <w:iCs/>
          <w:sz w:val="22"/>
          <w:szCs w:val="22"/>
        </w:rPr>
        <w:t xml:space="preserve"> El </w:t>
      </w:r>
      <w:r>
        <w:rPr>
          <w:rFonts w:ascii="Palatino Linotype" w:eastAsia="Palatino Linotype" w:hAnsi="Palatino Linotype" w:cs="Palatino Linotype"/>
          <w:b/>
          <w:bCs/>
          <w:i/>
          <w:iCs/>
          <w:sz w:val="22"/>
          <w:szCs w:val="22"/>
        </w:rPr>
        <w:t>acuerdo que clasifique la información como confidencial</w:t>
      </w:r>
      <w:r>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w:t>
      </w:r>
      <w:r>
        <w:rPr>
          <w:rFonts w:ascii="Palatino Linotype" w:eastAsia="Palatino Linotype" w:hAnsi="Palatino Linotype" w:cs="Palatino Linotype"/>
          <w:sz w:val="22"/>
          <w:szCs w:val="22"/>
        </w:rPr>
        <w:t xml:space="preserve"> que contempla la Ley de la Materia en su artículo 143; ya que de lo contrario, se crearía la incertidumbre jurídica en relación a si lo entregado es formalmente una versión pública, o un documento ilegible, incompleto o tachado; en otras palabras si no se</w:t>
      </w:r>
      <w:r>
        <w:rPr>
          <w:rFonts w:ascii="Palatino Linotype" w:eastAsia="Palatino Linotype" w:hAnsi="Palatino Linotype" w:cs="Palatino Linotype"/>
          <w:sz w:val="22"/>
          <w:szCs w:val="22"/>
        </w:rPr>
        <w:t xml:space="preserve"> exponen de manera puntual las razones de la versión pública de la documentación entregada se estaría violentando el derecho de acceso a la información de la persona solicitante.</w:t>
      </w:r>
    </w:p>
    <w:p w:rsidR="00D8442A" w:rsidRDefault="00D8442A">
      <w:pPr>
        <w:spacing w:line="360" w:lineRule="auto"/>
        <w:ind w:right="51"/>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respecto a las formalidades que deberá llevar el acuerdo de clasif</w:t>
      </w:r>
      <w:r>
        <w:rPr>
          <w:rFonts w:ascii="Palatino Linotype" w:eastAsia="Palatino Linotype" w:hAnsi="Palatino Linotype" w:cs="Palatino Linotype"/>
          <w:sz w:val="22"/>
          <w:szCs w:val="22"/>
        </w:rPr>
        <w:t xml:space="preserve">icación que deberá emitir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w:t>
      </w:r>
      <w:r>
        <w:rPr>
          <w:rFonts w:ascii="Palatino Linotype" w:eastAsia="Palatino Linotype" w:hAnsi="Palatino Linotype" w:cs="Palatino Linotype"/>
          <w:sz w:val="22"/>
          <w:szCs w:val="22"/>
        </w:rPr>
        <w:t>boración de Versiones Públicas, señalan lo siguiente:</w:t>
      </w:r>
    </w:p>
    <w:p w:rsidR="00D8442A" w:rsidRDefault="00D8442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“Quincuagésimo. </w:t>
      </w:r>
      <w:r>
        <w:rPr>
          <w:rFonts w:ascii="Palatino Linotype" w:eastAsia="Palatino Linotype" w:hAnsi="Palatino Linotype" w:cs="Palatino Linotype"/>
          <w:i/>
          <w:iCs/>
          <w:sz w:val="22"/>
          <w:szCs w:val="22"/>
        </w:rPr>
        <w:t>Los titulares de las áreas de los sujetos obligados podrán establecer sus propios modelos o formatos para la elaboración de versiones públicas de documentos o expedientes, siempre y cu</w:t>
      </w:r>
      <w:r>
        <w:rPr>
          <w:rFonts w:ascii="Palatino Linotype" w:eastAsia="Palatino Linotype" w:hAnsi="Palatino Linotype" w:cs="Palatino Linotype"/>
          <w:i/>
          <w:iCs/>
          <w:sz w:val="22"/>
          <w:szCs w:val="22"/>
        </w:rPr>
        <w:t xml:space="preserve">ando cumplan lo establecido en los presentes Lineamientos, así como en las correspondientes Leyes Generales.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Quincuagésimo primero. </w:t>
      </w:r>
      <w:r>
        <w:rPr>
          <w:rFonts w:ascii="Palatino Linotype" w:eastAsia="Palatino Linotype" w:hAnsi="Palatino Linotype" w:cs="Palatino Linotype"/>
          <w:i/>
          <w:iCs/>
          <w:sz w:val="22"/>
          <w:szCs w:val="22"/>
        </w:rPr>
        <w:t xml:space="preserve">Toda acta del Comité de Transparencia deberá contener: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El número de sesión y fecha;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nombre del área que solicitó la clasificación de información;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fundamentación legal y motivación correspondiente;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La resolución o resoluciones aprobadas; y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La rúbrica o firma digital de cada integrante del Comité de Transparencia.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La</w:t>
      </w:r>
      <w:r>
        <w:rPr>
          <w:rFonts w:ascii="Palatino Linotype" w:eastAsia="Palatino Linotype" w:hAnsi="Palatino Linotype" w:cs="Palatino Linotype"/>
          <w:i/>
          <w:iCs/>
          <w:sz w:val="22"/>
          <w:szCs w:val="22"/>
        </w:rPr>
        <w:t xml:space="preserve">s resoluciones del Comité en las que se haya determinado confirmar o modificar la clasificación de información pública como reservada, deberán incluir, cuando menos: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Los motivos y razonamientos que sustenten la confirmación o modificación de la prueba </w:t>
      </w:r>
      <w:r>
        <w:rPr>
          <w:rFonts w:ascii="Palatino Linotype" w:eastAsia="Palatino Linotype" w:hAnsi="Palatino Linotype" w:cs="Palatino Linotype"/>
          <w:i/>
          <w:iCs/>
          <w:sz w:val="22"/>
          <w:szCs w:val="22"/>
        </w:rPr>
        <w:t>de daño;</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Descripción de las partes o secciones reservadas, en caso de clasificación parcial</w:t>
      </w:r>
      <w:r>
        <w:rPr>
          <w:rFonts w:ascii="Palatino Linotype" w:eastAsia="Palatino Linotype" w:hAnsi="Palatino Linotype" w:cs="Palatino Linotype"/>
          <w:b/>
          <w:bCs/>
          <w:i/>
          <w:iCs/>
          <w:sz w:val="22"/>
          <w:szCs w:val="22"/>
        </w:rPr>
        <w:t xml:space="preserv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El periodo por el que mantendrá su clasificación y fecha de expiración; y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El nombre del titular y área encargada de realizar la versión pública del </w:t>
      </w:r>
      <w:r>
        <w:rPr>
          <w:rFonts w:ascii="Palatino Linotype" w:eastAsia="Palatino Linotype" w:hAnsi="Palatino Linotype" w:cs="Palatino Linotype"/>
          <w:i/>
          <w:iCs/>
          <w:sz w:val="22"/>
          <w:szCs w:val="22"/>
        </w:rPr>
        <w:t xml:space="preserve">documento, en su caso.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la elaborac</w:t>
      </w:r>
      <w:r>
        <w:rPr>
          <w:rFonts w:ascii="Palatino Linotype" w:eastAsia="Palatino Linotype" w:hAnsi="Palatino Linotype" w:cs="Palatino Linotype"/>
          <w:sz w:val="22"/>
          <w:szCs w:val="22"/>
        </w:rPr>
        <w:t>ión de las versiones públicas, además, se deberán observar las formalidades establecidas en los Lineamientos Quincuagésimo segundo, Quincuagésimo cuarto, Quincuagésimo quinto, Quincuagésimo séptimo y Quincuagésimo octavo, que establecen lo siguiente:</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Qui</w:t>
      </w:r>
      <w:r>
        <w:rPr>
          <w:rFonts w:ascii="Palatino Linotype" w:eastAsia="Palatino Linotype" w:hAnsi="Palatino Linotype" w:cs="Palatino Linotype"/>
          <w:b/>
          <w:bCs/>
          <w:i/>
          <w:iCs/>
          <w:sz w:val="22"/>
          <w:szCs w:val="22"/>
        </w:rPr>
        <w:t>ncuagésimo segundo</w:t>
      </w:r>
      <w:r>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w:t>
      </w:r>
      <w:r>
        <w:rPr>
          <w:rFonts w:ascii="Palatino Linotype" w:eastAsia="Palatino Linotype" w:hAnsi="Palatino Linotype" w:cs="Palatino Linotype"/>
          <w:i/>
          <w:iCs/>
          <w:sz w:val="22"/>
          <w:szCs w:val="22"/>
        </w:rPr>
        <w:t>que el espacio utilizado para testar la información no podrá ser empleado para la sobreposición de contenido distinto al autorizado por el Comité.</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el caso específico de la clasificación y elaboración de versiones públicas de documentos que contengan inf</w:t>
      </w:r>
      <w:r>
        <w:rPr>
          <w:rFonts w:ascii="Palatino Linotype" w:eastAsia="Palatino Linotype" w:hAnsi="Palatino Linotype" w:cs="Palatino Linotype"/>
          <w:i/>
          <w:iCs/>
          <w:sz w:val="22"/>
          <w:szCs w:val="22"/>
        </w:rPr>
        <w:t xml:space="preserve">ormación confidencial, las áreas de los sujetos obligados deberán: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Señalar dentro del documento el tipo de información conf</w:t>
      </w:r>
      <w:r>
        <w:rPr>
          <w:rFonts w:ascii="Palatino Linotype" w:eastAsia="Palatino Linotype" w:hAnsi="Palatino Linotype" w:cs="Palatino Linotype"/>
          <w:i/>
          <w:iCs/>
          <w:sz w:val="22"/>
          <w:szCs w:val="22"/>
        </w:rPr>
        <w:t>idencial que fue testada en cada caso específico, de conformidad con el lineamiento trigésimo octavo; y</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Señalar las personas o instancias autorizadas a acceder a la información clasificada.</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D8442A" w:rsidRDefault="0008055E">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Quincuagésimo cuarto. </w:t>
      </w:r>
      <w:r>
        <w:rPr>
          <w:rFonts w:ascii="Palatino Linotype" w:eastAsia="Palatino Linotype" w:hAnsi="Palatino Linotype" w:cs="Palatino Linotype"/>
          <w:i/>
          <w:iCs/>
          <w:sz w:val="22"/>
          <w:szCs w:val="22"/>
        </w:rPr>
        <w:t>Cuando el Comité de Transparencia confirme l</w:t>
      </w:r>
      <w:r>
        <w:rPr>
          <w:rFonts w:ascii="Palatino Linotype" w:eastAsia="Palatino Linotype" w:hAnsi="Palatino Linotype" w:cs="Palatino Linotype"/>
          <w:i/>
          <w:iCs/>
          <w:sz w:val="22"/>
          <w:szCs w:val="22"/>
        </w:rPr>
        <w:t>a clasificación de documentos reservados y/o confidenciales, sea total o parcialmente; se deberá anexar al expediente la resolución que determinó la clasificación o, en su defecto, identificar en la carátula del expediente del cual formen parte, la fecha y</w:t>
      </w:r>
      <w:r>
        <w:rPr>
          <w:rFonts w:ascii="Palatino Linotype" w:eastAsia="Palatino Linotype" w:hAnsi="Palatino Linotype" w:cs="Palatino Linotype"/>
          <w:i/>
          <w:iCs/>
          <w:sz w:val="22"/>
          <w:szCs w:val="22"/>
        </w:rPr>
        <w:t xml:space="preserve"> sesión del Comité de Transparencia en la que se confirmó dicha clasificación.</w:t>
      </w:r>
      <w:r>
        <w:rPr>
          <w:rFonts w:ascii="Palatino Linotype" w:eastAsia="Palatino Linotype" w:hAnsi="Palatino Linotype" w:cs="Palatino Linotype"/>
          <w:b/>
          <w:bCs/>
          <w:i/>
          <w:iCs/>
          <w:sz w:val="22"/>
          <w:szCs w:val="22"/>
        </w:rPr>
        <w:t xml:space="preserve">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Quincuagésimo quinto. </w:t>
      </w:r>
      <w:r>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w:t>
      </w:r>
      <w:r>
        <w:rPr>
          <w:rFonts w:ascii="Palatino Linotype" w:eastAsia="Palatino Linotype" w:hAnsi="Palatino Linotype" w:cs="Palatino Linotype"/>
          <w:i/>
          <w:iCs/>
          <w:sz w:val="22"/>
          <w:szCs w:val="22"/>
        </w:rPr>
        <w:t>n o supervisión de las versiones públicas de los documentos o expedientes, verificando que cumplan con los requisitos señalados en las Leyes Generales, los presentes Lineamientos y demás normativa aplicable antes de su confirmación por el Comité de Transpa</w:t>
      </w:r>
      <w:r>
        <w:rPr>
          <w:rFonts w:ascii="Palatino Linotype" w:eastAsia="Palatino Linotype" w:hAnsi="Palatino Linotype" w:cs="Palatino Linotype"/>
          <w:i/>
          <w:iCs/>
          <w:sz w:val="22"/>
          <w:szCs w:val="22"/>
        </w:rPr>
        <w:t>rencia.</w:t>
      </w:r>
    </w:p>
    <w:p w:rsidR="00D8442A" w:rsidRDefault="0008055E">
      <w:pPr>
        <w:spacing w:line="276" w:lineRule="auto"/>
        <w:ind w:left="851"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Quincuagésimo séptimo</w:t>
      </w:r>
      <w:r>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relativa a las Obligaciones de Transparencia que contempla el Título V de la Ley General y las demás </w:t>
      </w:r>
      <w:r>
        <w:rPr>
          <w:rFonts w:ascii="Palatino Linotype" w:eastAsia="Palatino Linotype" w:hAnsi="Palatino Linotype" w:cs="Palatino Linotype"/>
          <w:i/>
          <w:iCs/>
          <w:sz w:val="22"/>
          <w:szCs w:val="22"/>
        </w:rPr>
        <w:t xml:space="preserve">disposiciones legales aplicables;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w:t>
      </w:r>
      <w:r>
        <w:rPr>
          <w:rFonts w:ascii="Palatino Linotype" w:eastAsia="Palatino Linotype" w:hAnsi="Palatino Linotype" w:cs="Palatino Linotype"/>
          <w:i/>
          <w:iCs/>
          <w:sz w:val="22"/>
          <w:szCs w:val="22"/>
        </w:rPr>
        <w:t xml:space="preserve"> y</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 a</w:t>
      </w:r>
      <w:r>
        <w:rPr>
          <w:rFonts w:ascii="Palatino Linotype" w:eastAsia="Palatino Linotype" w:hAnsi="Palatino Linotype" w:cs="Palatino Linotype"/>
          <w:i/>
          <w:iCs/>
          <w:sz w:val="22"/>
          <w:szCs w:val="22"/>
        </w:rPr>
        <w:t xml:space="preserve">nterior, siempre y cuando no se acredite alguna causal de clasificación, prevista en las leyes o en los tratados internacionales suscritas por el Estado mexicano.  </w:t>
      </w:r>
    </w:p>
    <w:p w:rsidR="00D8442A" w:rsidRDefault="0008055E">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Quincuagésimo octavo</w:t>
      </w:r>
      <w:r>
        <w:rPr>
          <w:rFonts w:ascii="Palatino Linotype" w:eastAsia="Palatino Linotype" w:hAnsi="Palatino Linotype" w:cs="Palatino Linotype"/>
          <w:i/>
          <w:iCs/>
          <w:sz w:val="22"/>
          <w:szCs w:val="22"/>
        </w:rPr>
        <w:t>. Los sujetos obligados garantizarán que los sistemas o medios empleado</w:t>
      </w:r>
      <w:r>
        <w:rPr>
          <w:rFonts w:ascii="Palatino Linotype" w:eastAsia="Palatino Linotype" w:hAnsi="Palatino Linotype" w:cs="Palatino Linotype"/>
          <w:i/>
          <w:iCs/>
          <w:sz w:val="22"/>
          <w:szCs w:val="22"/>
        </w:rPr>
        <w:t>s para eliminar la información en las versiones públicas sean irreversibles, de tal forma que no permitan su recuperación o la visualización de la misma.”</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como, en mérito de lo expuesto en líneas anteriores, resultan fundadas las razones o motivos </w:t>
      </w:r>
      <w:r>
        <w:rPr>
          <w:rFonts w:ascii="Palatino Linotype" w:eastAsia="Palatino Linotype" w:hAnsi="Palatino Linotype" w:cs="Palatino Linotype"/>
          <w:sz w:val="22"/>
          <w:szCs w:val="22"/>
        </w:rPr>
        <w:t xml:space="preserve">de inconformidad hechos valer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dentro del recurso de revisión </w:t>
      </w:r>
      <w:r>
        <w:rPr>
          <w:rFonts w:ascii="Palatino Linotype" w:eastAsia="Palatino Linotype" w:hAnsi="Palatino Linotype" w:cs="Palatino Linotype"/>
          <w:b/>
          <w:bCs/>
          <w:sz w:val="22"/>
          <w:szCs w:val="22"/>
        </w:rPr>
        <w:t>14689/INFOEM/IP/RR/2025</w:t>
      </w:r>
      <w:r>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Pr>
          <w:rFonts w:ascii="Palatino Linotype" w:eastAsia="Palatino Linotype" w:hAnsi="Palatino Linotype" w:cs="Palatino Linotype"/>
          <w:b/>
          <w:bCs/>
          <w:sz w:val="22"/>
          <w:szCs w:val="22"/>
        </w:rPr>
        <w:t xml:space="preserve">Revoca </w:t>
      </w:r>
      <w:r>
        <w:rPr>
          <w:rFonts w:ascii="Palatino Linotype" w:eastAsia="Palatino Linotype" w:hAnsi="Palatino Linotype" w:cs="Palatino Linotype"/>
          <w:sz w:val="22"/>
          <w:szCs w:val="22"/>
        </w:rPr>
        <w:t xml:space="preserve">la respuesta del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a la solicitud de información </w:t>
      </w:r>
      <w:r>
        <w:rPr>
          <w:rFonts w:ascii="Palatino Linotype" w:eastAsia="Palatino Linotype" w:hAnsi="Palatino Linotype" w:cs="Palatino Linotype"/>
          <w:b/>
          <w:bCs/>
          <w:sz w:val="22"/>
          <w:szCs w:val="22"/>
        </w:rPr>
        <w:t>05843/TOLUCA/</w:t>
      </w:r>
      <w:r>
        <w:rPr>
          <w:rFonts w:ascii="Palatino Linotype" w:eastAsia="Palatino Linotype" w:hAnsi="Palatino Linotype" w:cs="Palatino Linotype"/>
          <w:b/>
          <w:bCs/>
          <w:sz w:val="22"/>
          <w:szCs w:val="22"/>
        </w:rPr>
        <w:t>IP/2025.</w:t>
      </w:r>
      <w:r>
        <w:rPr>
          <w:rFonts w:ascii="Palatino Linotype" w:eastAsia="Palatino Linotype" w:hAnsi="Palatino Linotype" w:cs="Palatino Linotype"/>
          <w:sz w:val="22"/>
          <w:szCs w:val="22"/>
        </w:rPr>
        <w:t xml:space="preserve">  </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w:t>
      </w:r>
      <w:r>
        <w:rPr>
          <w:rFonts w:ascii="Palatino Linotype" w:eastAsia="Palatino Linotype" w:hAnsi="Palatino Linotype" w:cs="Palatino Linotype"/>
          <w:sz w:val="22"/>
          <w:szCs w:val="22"/>
        </w:rPr>
        <w:t>eto número 198 de la “LXII” Legislatura del Estado de México; 2, fracción II; 29, 36 fracciones I y II; 176, 178, 181, 185 y 186 fracción II de la Ley de Transparencia y Acceso a la Información Pública del Estado de México y Municipios, este Pleno:</w:t>
      </w:r>
    </w:p>
    <w:p w:rsidR="00D8442A" w:rsidRDefault="00D8442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D8442A" w:rsidRDefault="0008055E">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III. R</w:t>
      </w:r>
      <w:r>
        <w:rPr>
          <w:rFonts w:ascii="Palatino Linotype" w:eastAsia="Palatino Linotype" w:hAnsi="Palatino Linotype" w:cs="Palatino Linotype"/>
          <w:b/>
          <w:bCs/>
          <w:sz w:val="22"/>
          <w:szCs w:val="22"/>
        </w:rPr>
        <w:t xml:space="preserve"> E S U E L V E</w:t>
      </w:r>
    </w:p>
    <w:p w:rsidR="00D8442A" w:rsidRDefault="00D8442A">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rsidR="00D8442A" w:rsidRDefault="000805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bCs/>
          <w:sz w:val="22"/>
          <w:szCs w:val="22"/>
        </w:rPr>
        <w:t>14689/INFOEM/IP/RR/2025</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bCs/>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bCs/>
          <w:sz w:val="22"/>
          <w:szCs w:val="22"/>
        </w:rPr>
        <w:t xml:space="preserve">Revoca </w:t>
      </w:r>
      <w:r>
        <w:rPr>
          <w:rFonts w:ascii="Palatino Linotype" w:eastAsia="Palatino Linotype" w:hAnsi="Palatino Linotype" w:cs="Palatino Linotype"/>
          <w:sz w:val="22"/>
          <w:szCs w:val="22"/>
        </w:rPr>
        <w:t>la respu</w:t>
      </w:r>
      <w:r>
        <w:rPr>
          <w:rFonts w:ascii="Palatino Linotype" w:eastAsia="Palatino Linotype" w:hAnsi="Palatino Linotype" w:cs="Palatino Linotype"/>
          <w:sz w:val="22"/>
          <w:szCs w:val="22"/>
        </w:rPr>
        <w:t xml:space="preserve">esta emitida por el </w:t>
      </w:r>
      <w:r>
        <w:rPr>
          <w:rFonts w:ascii="Palatino Linotype" w:eastAsia="Palatino Linotype" w:hAnsi="Palatino Linotype" w:cs="Palatino Linotype"/>
          <w:b/>
          <w:bCs/>
          <w:sz w:val="22"/>
          <w:szCs w:val="22"/>
        </w:rPr>
        <w:t xml:space="preserve">Sujeto Obligado. </w:t>
      </w:r>
    </w:p>
    <w:p w:rsidR="00D8442A" w:rsidRDefault="00D8442A">
      <w:pPr>
        <w:spacing w:line="360" w:lineRule="auto"/>
        <w:jc w:val="both"/>
        <w:rPr>
          <w:rFonts w:ascii="Palatino Linotype" w:eastAsia="Palatino Linotype" w:hAnsi="Palatino Linotype" w:cs="Palatino Linotype"/>
          <w:b/>
          <w:bCs/>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bookmarkStart w:id="13" w:name="_heading=h.3rdcrjn" w:colFirst="0" w:colLast="0"/>
      <w:bookmarkEnd w:id="13"/>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Ordena </w:t>
      </w: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haga entrega, a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vía </w:t>
      </w:r>
      <w:r>
        <w:rPr>
          <w:rFonts w:ascii="Palatino Linotype" w:eastAsia="Palatino Linotype" w:hAnsi="Palatino Linotype" w:cs="Palatino Linotype"/>
          <w:b/>
          <w:bCs/>
          <w:sz w:val="22"/>
          <w:szCs w:val="22"/>
        </w:rPr>
        <w:t xml:space="preserve">SAIMEX, </w:t>
      </w:r>
      <w:r>
        <w:rPr>
          <w:rFonts w:ascii="Palatino Linotype" w:eastAsia="Palatino Linotype" w:hAnsi="Palatino Linotype" w:cs="Palatino Linotype"/>
          <w:sz w:val="22"/>
          <w:szCs w:val="22"/>
        </w:rPr>
        <w:t xml:space="preserve">en términos del </w:t>
      </w:r>
      <w:r>
        <w:rPr>
          <w:rFonts w:ascii="Palatino Linotype" w:eastAsia="Palatino Linotype" w:hAnsi="Palatino Linotype" w:cs="Palatino Linotype"/>
          <w:b/>
          <w:bCs/>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Cuarto y Quinto</w:t>
      </w:r>
      <w:r>
        <w:rPr>
          <w:rFonts w:ascii="Palatino Linotype" w:eastAsia="Palatino Linotype" w:hAnsi="Palatino Linotype" w:cs="Palatino Linotype"/>
          <w:sz w:val="22"/>
          <w:szCs w:val="22"/>
        </w:rPr>
        <w:t xml:space="preserve">, previa búsqueda exhaustiva y razonable, de ser procedente en versión pública, de lo </w:t>
      </w:r>
      <w:r>
        <w:rPr>
          <w:rFonts w:ascii="Palatino Linotype" w:eastAsia="Palatino Linotype" w:hAnsi="Palatino Linotype" w:cs="Palatino Linotype"/>
          <w:sz w:val="22"/>
          <w:szCs w:val="22"/>
        </w:rPr>
        <w:t>siguiente:</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numPr>
          <w:ilvl w:val="0"/>
          <w:numId w:val="2"/>
        </w:numPr>
        <w:pBdr>
          <w:top w:val="nil"/>
          <w:left w:val="nil"/>
          <w:bottom w:val="nil"/>
          <w:right w:val="nil"/>
          <w:between w:val="nil"/>
        </w:pBdr>
        <w:tabs>
          <w:tab w:val="left" w:pos="1134"/>
          <w:tab w:val="left" w:pos="8222"/>
        </w:tabs>
        <w:spacing w:line="276" w:lineRule="auto"/>
        <w:ind w:left="851" w:right="616"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Certificado de competencia laboral del Titular de la Unidad de Transparencia, en funciones al seis de noviembre de dos mil veinticinco.</w:t>
      </w:r>
    </w:p>
    <w:p w:rsidR="00D8442A" w:rsidRDefault="00D8442A">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b/>
          <w:bCs/>
          <w:color w:val="000000"/>
          <w:sz w:val="22"/>
          <w:szCs w:val="22"/>
        </w:rPr>
      </w:pPr>
    </w:p>
    <w:p w:rsidR="00D8442A" w:rsidRDefault="0008055E">
      <w:pPr>
        <w:numPr>
          <w:ilvl w:val="0"/>
          <w:numId w:val="2"/>
        </w:numPr>
        <w:pBdr>
          <w:top w:val="nil"/>
          <w:left w:val="nil"/>
          <w:bottom w:val="nil"/>
          <w:right w:val="nil"/>
          <w:between w:val="nil"/>
        </w:pBdr>
        <w:tabs>
          <w:tab w:val="left" w:pos="1134"/>
          <w:tab w:val="left" w:pos="8222"/>
        </w:tabs>
        <w:spacing w:line="276" w:lineRule="auto"/>
        <w:ind w:left="851" w:right="616"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De los servidores públicos que integran la Unidad de Transparencia, en funciones al seis de noviembre de dos mil veinticinco, lo siguiente: </w:t>
      </w:r>
    </w:p>
    <w:p w:rsidR="00D8442A" w:rsidRDefault="0008055E">
      <w:pPr>
        <w:numPr>
          <w:ilvl w:val="0"/>
          <w:numId w:val="5"/>
        </w:numPr>
        <w:pBdr>
          <w:top w:val="nil"/>
          <w:left w:val="nil"/>
          <w:bottom w:val="nil"/>
          <w:right w:val="nil"/>
          <w:between w:val="nil"/>
        </w:pBdr>
        <w:tabs>
          <w:tab w:val="left" w:pos="993"/>
          <w:tab w:val="left" w:pos="1134"/>
          <w:tab w:val="left" w:pos="1418"/>
          <w:tab w:val="left" w:pos="1560"/>
          <w:tab w:val="left" w:pos="8222"/>
        </w:tabs>
        <w:spacing w:line="276" w:lineRule="auto"/>
        <w:ind w:left="1276" w:right="616" w:firstLine="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Documentos que conforman los expedientes laborales.</w:t>
      </w:r>
    </w:p>
    <w:p w:rsidR="00D8442A" w:rsidRDefault="00D8442A">
      <w:pPr>
        <w:pBdr>
          <w:top w:val="nil"/>
          <w:left w:val="nil"/>
          <w:bottom w:val="nil"/>
          <w:right w:val="nil"/>
          <w:between w:val="nil"/>
        </w:pBdr>
        <w:tabs>
          <w:tab w:val="left" w:pos="993"/>
          <w:tab w:val="left" w:pos="1134"/>
          <w:tab w:val="left" w:pos="1418"/>
          <w:tab w:val="left" w:pos="1560"/>
          <w:tab w:val="left" w:pos="8222"/>
        </w:tabs>
        <w:spacing w:line="276" w:lineRule="auto"/>
        <w:ind w:left="1276" w:right="616"/>
        <w:rPr>
          <w:rFonts w:ascii="Palatino Linotype" w:eastAsia="Palatino Linotype" w:hAnsi="Palatino Linotype" w:cs="Palatino Linotype"/>
          <w:color w:val="000000"/>
          <w:sz w:val="22"/>
          <w:szCs w:val="22"/>
        </w:rPr>
      </w:pPr>
    </w:p>
    <w:p w:rsidR="00D8442A" w:rsidRDefault="0008055E">
      <w:pPr>
        <w:numPr>
          <w:ilvl w:val="0"/>
          <w:numId w:val="5"/>
        </w:numPr>
        <w:pBdr>
          <w:top w:val="nil"/>
          <w:left w:val="nil"/>
          <w:bottom w:val="nil"/>
          <w:right w:val="nil"/>
          <w:between w:val="nil"/>
        </w:pBdr>
        <w:tabs>
          <w:tab w:val="left" w:pos="1134"/>
          <w:tab w:val="left" w:pos="1418"/>
          <w:tab w:val="left" w:pos="1560"/>
          <w:tab w:val="left" w:pos="8222"/>
        </w:tabs>
        <w:ind w:left="1276" w:firstLine="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documento que dé cuenta del alta del ISSEMYM. </w:t>
      </w:r>
    </w:p>
    <w:p w:rsidR="00D8442A" w:rsidRDefault="00D8442A">
      <w:pPr>
        <w:pBdr>
          <w:top w:val="nil"/>
          <w:left w:val="nil"/>
          <w:bottom w:val="nil"/>
          <w:right w:val="nil"/>
          <w:between w:val="nil"/>
        </w:pBdr>
        <w:tabs>
          <w:tab w:val="left" w:pos="1134"/>
          <w:tab w:val="left" w:pos="1418"/>
          <w:tab w:val="left" w:pos="1560"/>
          <w:tab w:val="left" w:pos="8222"/>
        </w:tabs>
        <w:ind w:left="1276"/>
        <w:rPr>
          <w:rFonts w:ascii="Palatino Linotype" w:eastAsia="Palatino Linotype" w:hAnsi="Palatino Linotype" w:cs="Palatino Linotype"/>
          <w:color w:val="000000"/>
          <w:sz w:val="22"/>
          <w:szCs w:val="22"/>
        </w:rPr>
      </w:pPr>
    </w:p>
    <w:p w:rsidR="00D8442A" w:rsidRDefault="0008055E">
      <w:pPr>
        <w:numPr>
          <w:ilvl w:val="0"/>
          <w:numId w:val="5"/>
        </w:numPr>
        <w:pBdr>
          <w:top w:val="nil"/>
          <w:left w:val="nil"/>
          <w:bottom w:val="nil"/>
          <w:right w:val="nil"/>
          <w:between w:val="nil"/>
        </w:pBdr>
        <w:tabs>
          <w:tab w:val="left" w:pos="1134"/>
          <w:tab w:val="left" w:pos="1418"/>
          <w:tab w:val="left" w:pos="1560"/>
          <w:tab w:val="left" w:pos="8222"/>
        </w:tabs>
        <w:spacing w:line="276" w:lineRule="auto"/>
        <w:ind w:left="1276" w:right="616"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Los recibos de nómina de la primera quincena de enero a la segunda quincena de octubre de dos mil veinticinco. </w:t>
      </w:r>
    </w:p>
    <w:p w:rsidR="00D8442A" w:rsidRDefault="00D8442A">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i/>
          <w:iCs/>
          <w:sz w:val="22"/>
          <w:szCs w:val="22"/>
        </w:rPr>
      </w:pPr>
    </w:p>
    <w:p w:rsidR="00D8442A" w:rsidRDefault="0008055E">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w:t>
      </w:r>
      <w:r>
        <w:rPr>
          <w:rFonts w:ascii="Palatino Linotype" w:eastAsia="Palatino Linotype" w:hAnsi="Palatino Linotype" w:cs="Palatino Linotype"/>
          <w:i/>
          <w:iCs/>
          <w:sz w:val="22"/>
          <w:szCs w:val="22"/>
        </w:rPr>
        <w:t>a Información Pública del Estado de México y Municipios, en el que funde y motive las razones sobre los datos que se supriman o eliminen de los soportes documentales objeto de las versiones públicas que se formulen y se pongan a disposición de la parte</w:t>
      </w:r>
      <w:r>
        <w:rPr>
          <w:rFonts w:ascii="Palatino Linotype" w:eastAsia="Palatino Linotype" w:hAnsi="Palatino Linotype" w:cs="Palatino Linotype"/>
          <w:b/>
          <w:bCs/>
          <w:i/>
          <w:iCs/>
          <w:sz w:val="22"/>
          <w:szCs w:val="22"/>
        </w:rPr>
        <w:t xml:space="preserve"> Rec</w:t>
      </w:r>
      <w:r>
        <w:rPr>
          <w:rFonts w:ascii="Palatino Linotype" w:eastAsia="Palatino Linotype" w:hAnsi="Palatino Linotype" w:cs="Palatino Linotype"/>
          <w:b/>
          <w:bCs/>
          <w:i/>
          <w:iCs/>
          <w:sz w:val="22"/>
          <w:szCs w:val="22"/>
        </w:rPr>
        <w:t>urrente</w:t>
      </w:r>
      <w:r>
        <w:rPr>
          <w:rFonts w:ascii="Palatino Linotype" w:eastAsia="Palatino Linotype" w:hAnsi="Palatino Linotype" w:cs="Palatino Linotype"/>
          <w:i/>
          <w:iCs/>
          <w:sz w:val="22"/>
          <w:szCs w:val="22"/>
        </w:rPr>
        <w:t>, mismo que igualmente hará de su conocimiento,</w:t>
      </w:r>
      <w:r>
        <w:t xml:space="preserve"> </w:t>
      </w:r>
      <w:r>
        <w:rPr>
          <w:rFonts w:ascii="Palatino Linotype" w:eastAsia="Palatino Linotype" w:hAnsi="Palatino Linotype" w:cs="Palatino Linotype"/>
          <w:b/>
          <w:bCs/>
          <w:i/>
          <w:iCs/>
          <w:sz w:val="22"/>
          <w:szCs w:val="22"/>
          <w:u w:val="single"/>
        </w:rPr>
        <w:t>en el que se incluyan los motivos y fundamentos de la clasificación en su totalidad como información confidencial de las documentales correspondientes.</w:t>
      </w:r>
    </w:p>
    <w:p w:rsidR="00D8442A" w:rsidRDefault="00D8442A">
      <w:pPr>
        <w:pBdr>
          <w:top w:val="nil"/>
          <w:left w:val="nil"/>
          <w:bottom w:val="nil"/>
          <w:right w:val="nil"/>
          <w:between w:val="nil"/>
        </w:pBdr>
        <w:tabs>
          <w:tab w:val="left" w:pos="1134"/>
          <w:tab w:val="left" w:pos="8222"/>
        </w:tabs>
        <w:spacing w:line="276" w:lineRule="auto"/>
        <w:ind w:left="851" w:right="616"/>
        <w:jc w:val="both"/>
        <w:rPr>
          <w:rFonts w:ascii="Palatino Linotype" w:eastAsia="Palatino Linotype" w:hAnsi="Palatino Linotype" w:cs="Palatino Linotype"/>
          <w:i/>
          <w:iCs/>
          <w:sz w:val="22"/>
          <w:szCs w:val="22"/>
        </w:rPr>
      </w:pPr>
    </w:p>
    <w:p w:rsidR="00D8442A" w:rsidRDefault="000805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vía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w:t>
      </w:r>
      <w:r>
        <w:rPr>
          <w:rFonts w:ascii="Palatino Linotype" w:eastAsia="Palatino Linotype" w:hAnsi="Palatino Linotype" w:cs="Palatino Linotype"/>
          <w:sz w:val="22"/>
          <w:szCs w:val="22"/>
        </w:rPr>
        <w:t xml:space="preserve"> dé cumplimiento a lo ordenado dentro del plazo de diez días hábiles, e informe a este Instituto en un plazo de tres días hábiles siguientes sobre el cumplimiento dado a la presente y, se le apercibe que en caso de negarse a cumplir la presente resolución </w:t>
      </w:r>
      <w:r>
        <w:rPr>
          <w:rFonts w:ascii="Palatino Linotype" w:eastAsia="Palatino Linotype" w:hAnsi="Palatino Linotype" w:cs="Palatino Linotype"/>
          <w:sz w:val="22"/>
          <w:szCs w:val="22"/>
        </w:rPr>
        <w:t>o hacerlo de manera parcial, se le impondrá una medida de apremio de conformidad con lo previsto en los artículos 198, 200, fracción III; 214, 215 y 216 de la Ley  de Transparencia y Acceso a la Información Pública del Estado de México y Municipios.</w:t>
      </w:r>
    </w:p>
    <w:p w:rsidR="00D8442A" w:rsidRDefault="00D8442A">
      <w:pPr>
        <w:spacing w:line="360" w:lineRule="auto"/>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w:t>
      </w:r>
      <w:r>
        <w:rPr>
          <w:rFonts w:ascii="Palatino Linotype" w:eastAsia="Palatino Linotype" w:hAnsi="Palatino Linotype" w:cs="Palatino Linotype"/>
          <w:b/>
          <w:bCs/>
          <w:sz w:val="22"/>
          <w:szCs w:val="22"/>
        </w:rPr>
        <w:t xml:space="preserve">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w:t>
      </w:r>
      <w:r>
        <w:rPr>
          <w:rFonts w:ascii="Palatino Linotype" w:eastAsia="Palatino Linotype" w:hAnsi="Palatino Linotype" w:cs="Palatino Linotype"/>
          <w:sz w:val="22"/>
          <w:szCs w:val="22"/>
        </w:rPr>
        <w:t>el cumplimiento de la presente resolución.</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Notifíquese </w:t>
      </w:r>
      <w:r>
        <w:rPr>
          <w:rFonts w:ascii="Palatino Linotype" w:eastAsia="Palatino Linotype" w:hAnsi="Palatino Linotype" w:cs="Palatino Linotype"/>
          <w:sz w:val="22"/>
          <w:szCs w:val="22"/>
        </w:rPr>
        <w:t>vía</w:t>
      </w:r>
      <w:r>
        <w:rPr>
          <w:rFonts w:ascii="Palatino Linotype" w:eastAsia="Palatino Linotype" w:hAnsi="Palatino Linotype" w:cs="Palatino Linotype"/>
          <w:b/>
          <w:bCs/>
          <w:sz w:val="22"/>
          <w:szCs w:val="22"/>
        </w:rPr>
        <w:t xml:space="preserve"> SAIMEX, </w:t>
      </w:r>
      <w:r>
        <w:rPr>
          <w:rFonts w:ascii="Palatino Linotype" w:eastAsia="Palatino Linotype" w:hAnsi="Palatino Linotype" w:cs="Palatino Linotype"/>
          <w:sz w:val="22"/>
          <w:szCs w:val="22"/>
        </w:rPr>
        <w:t>a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w:t>
      </w:r>
      <w:r>
        <w:rPr>
          <w:rFonts w:ascii="Palatino Linotype" w:eastAsia="Palatino Linotype" w:hAnsi="Palatino Linotype" w:cs="Palatino Linotype"/>
          <w:sz w:val="22"/>
          <w:szCs w:val="22"/>
        </w:rPr>
        <w:t>tículo 196 de la Ley de Transparencia y Acceso a la Información Pública del Estado de México y Municipios.</w:t>
      </w:r>
    </w:p>
    <w:p w:rsidR="00D8442A" w:rsidRDefault="00D8442A">
      <w:pPr>
        <w:spacing w:line="360" w:lineRule="auto"/>
        <w:ind w:right="49"/>
        <w:jc w:val="both"/>
        <w:rPr>
          <w:rFonts w:ascii="Palatino Linotype" w:eastAsia="Palatino Linotype" w:hAnsi="Palatino Linotype" w:cs="Palatino Linotype"/>
          <w:sz w:val="22"/>
          <w:szCs w:val="22"/>
        </w:rPr>
      </w:pPr>
    </w:p>
    <w:p w:rsidR="00D8442A" w:rsidRDefault="0008055E">
      <w:pPr>
        <w:spacing w:line="360" w:lineRule="auto"/>
        <w:jc w:val="both"/>
        <w:rPr>
          <w:rFonts w:ascii="Palatino Linotype" w:eastAsia="Palatino Linotype" w:hAnsi="Palatino Linotype" w:cs="Palatino Linotype"/>
          <w:sz w:val="22"/>
          <w:szCs w:val="22"/>
        </w:rPr>
      </w:pPr>
      <w:bookmarkStart w:id="14" w:name="_heading=h.w4na7lgazhwk" w:colFirst="0" w:colLast="0"/>
      <w:bookmarkEnd w:id="14"/>
      <w:r>
        <w:rPr>
          <w:rFonts w:ascii="Palatino Linotype" w:eastAsia="Palatino Linotype" w:hAnsi="Palatino Linotype" w:cs="Palatino Linotype"/>
          <w:sz w:val="22"/>
          <w:szCs w:val="22"/>
        </w:rPr>
        <w:t xml:space="preserve">ASÍ LO APROBÓ POR UNANIMIDAD DE VOTOS EL PLENO DEL INSTITUTO DE TRANSPARENCIA, ACCESO A LA INFORMACIÓN PÚBLICA Y PROTECCIÓN DE DATOS PERSONALES DEL </w:t>
      </w:r>
      <w:r>
        <w:rPr>
          <w:rFonts w:ascii="Palatino Linotype" w:eastAsia="Palatino Linotype" w:hAnsi="Palatino Linotype" w:cs="Palatino Linotype"/>
          <w:sz w:val="22"/>
          <w:szCs w:val="22"/>
        </w:rPr>
        <w:t>ESTADO DE MÉXICO Y MUNICIPIOS, CONFORMADO POR LOS COMISIONADOS JOSÉ MARTÍNEZ VILCHIS; MARÍA DEL ROSARIO MEJÍA AYALA; EMITIENDO VOTO PARTICULAR CONCURRENTE, SHARON CRISTINA MORALES MARTÍNEZ, EMITIENDO VOTO PARTICULAR, LUIS GUSTAVO PARRA NORIEGA; EMITIENDO V</w:t>
      </w:r>
      <w:r>
        <w:rPr>
          <w:rFonts w:ascii="Palatino Linotype" w:eastAsia="Palatino Linotype" w:hAnsi="Palatino Linotype" w:cs="Palatino Linotype"/>
          <w:sz w:val="22"/>
          <w:szCs w:val="22"/>
        </w:rPr>
        <w:t>OTO PARTICULAR CONCURRENTE, Y GUADALUPE RAMÍREZ PEÑA, EMITIENDO VOTO PARTICULAR; EN LA SEXTA SESIÓN ORDINARIA CELEBRADA EL DIECIOCHO DE FEBRERO DE DOS MIL VEINTISÉIS, ANTE EL SECRETARIO TÉCNICO DEL PLENO ALEXIS TAPIA RAMÍREZ.</w:t>
      </w:r>
    </w:p>
    <w:p w:rsidR="00D8442A" w:rsidRDefault="00D8442A">
      <w:pPr>
        <w:spacing w:line="360" w:lineRule="auto"/>
        <w:ind w:right="141"/>
        <w:jc w:val="both"/>
        <w:rPr>
          <w:rFonts w:ascii="Palatino Linotype" w:eastAsia="Palatino Linotype" w:hAnsi="Palatino Linotype" w:cs="Palatino Linotype"/>
          <w:sz w:val="22"/>
          <w:szCs w:val="22"/>
        </w:rPr>
      </w:pPr>
    </w:p>
    <w:p w:rsidR="00D8442A" w:rsidRDefault="00D8442A">
      <w:pPr>
        <w:spacing w:line="360" w:lineRule="auto"/>
        <w:ind w:right="141"/>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p w:rsidR="00D8442A" w:rsidRDefault="00D8442A">
      <w:pPr>
        <w:spacing w:line="360" w:lineRule="auto"/>
        <w:jc w:val="both"/>
        <w:rPr>
          <w:rFonts w:ascii="Palatino Linotype" w:eastAsia="Palatino Linotype" w:hAnsi="Palatino Linotype" w:cs="Palatino Linotype"/>
          <w:sz w:val="22"/>
          <w:szCs w:val="22"/>
        </w:rPr>
      </w:pPr>
    </w:p>
    <w:sectPr w:rsidR="00D8442A">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8055E">
      <w:r>
        <w:separator/>
      </w:r>
    </w:p>
  </w:endnote>
  <w:endnote w:type="continuationSeparator" w:id="0">
    <w:p w:rsidR="00000000" w:rsidRDefault="00080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58CF1D5A-C6F2-4658-91F2-1C04BB807A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0B9891-FDC1-4FD8-BCA3-136CACAD186B}"/>
    <w:embedBold r:id="rId3" w:fontKey="{FE1719C3-4C57-417F-9BBA-BAD3D1569C82}"/>
  </w:font>
  <w:font w:name="Cambria">
    <w:panose1 w:val="02040503050406030204"/>
    <w:charset w:val="00"/>
    <w:family w:val="roman"/>
    <w:pitch w:val="variable"/>
    <w:sig w:usb0="E00006FF" w:usb1="420024FF" w:usb2="02000000" w:usb3="00000000" w:csb0="0000019F" w:csb1="00000000"/>
    <w:embedRegular r:id="rId4" w:fontKey="{DD4E0DC3-C074-4719-9091-A7D94140F578}"/>
    <w:embedBold r:id="rId5" w:fontKey="{4960D8A9-97E1-41B9-A7F2-A554607EFBB5}"/>
    <w:embedBoldItalic r:id="rId6" w:fontKey="{CD67E2A7-CB0B-425A-AE75-FF4EDCFBFBD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7" w:fontKey="{3846A80D-9DCF-457A-9FCF-99B5023EFA59}"/>
  </w:font>
  <w:font w:name="Georgia">
    <w:panose1 w:val="02040502050405020303"/>
    <w:charset w:val="00"/>
    <w:family w:val="auto"/>
    <w:pitch w:val="default"/>
    <w:embedItalic r:id="rId8" w:fontKey="{DE9800C3-21FC-4627-B318-8070268C9F7D}"/>
  </w:font>
  <w:font w:name="Palatino Linotype">
    <w:panose1 w:val="02040502050505030304"/>
    <w:charset w:val="00"/>
    <w:family w:val="roman"/>
    <w:pitch w:val="variable"/>
    <w:sig w:usb0="E0000287" w:usb1="40000013" w:usb2="00000000" w:usb3="00000000" w:csb0="0000019F" w:csb1="00000000"/>
    <w:embedRegular r:id="rId9" w:fontKey="{4001B02D-F4D3-44DC-A63E-38A2B408C37D}"/>
    <w:embedBold r:id="rId10" w:fontKey="{C9BD725A-41A6-4690-BBEE-9626594048D9}"/>
    <w:embedItalic r:id="rId11" w:fontKey="{89638B1F-9330-4BEB-9AA5-81A22C30F905}"/>
    <w:embedBoldItalic r:id="rId12" w:fontKey="{A3BF2BC5-9D05-4CD4-B2DE-86FB67ADEB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42A" w:rsidRDefault="0008055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3</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61</w:t>
    </w:r>
    <w:r>
      <w:rPr>
        <w:rFonts w:ascii="Palatino Linotype" w:eastAsia="Palatino Linotype" w:hAnsi="Palatino Linotype" w:cs="Palatino Linotype"/>
        <w:b/>
        <w:bCs/>
        <w:color w:val="000000"/>
        <w:sz w:val="20"/>
        <w:szCs w:val="20"/>
      </w:rPr>
      <w:fldChar w:fldCharType="end"/>
    </w:r>
  </w:p>
  <w:p w:rsidR="00D8442A" w:rsidRDefault="00D8442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42A" w:rsidRDefault="0008055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61</w:t>
    </w:r>
    <w:r>
      <w:rPr>
        <w:rFonts w:ascii="Palatino Linotype" w:eastAsia="Palatino Linotype" w:hAnsi="Palatino Linotype" w:cs="Palatino Linotype"/>
        <w:b/>
        <w:bCs/>
        <w:color w:val="000000"/>
        <w:sz w:val="20"/>
        <w:szCs w:val="20"/>
      </w:rPr>
      <w:fldChar w:fldCharType="end"/>
    </w:r>
  </w:p>
  <w:p w:rsidR="00D8442A" w:rsidRDefault="00D8442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8055E">
      <w:r>
        <w:separator/>
      </w:r>
    </w:p>
  </w:footnote>
  <w:footnote w:type="continuationSeparator" w:id="0">
    <w:p w:rsidR="00000000" w:rsidRDefault="0008055E">
      <w:r>
        <w:continuationSeparator/>
      </w:r>
    </w:p>
  </w:footnote>
  <w:footnote w:id="1">
    <w:p w:rsidR="00D8442A" w:rsidRDefault="0008055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42A" w:rsidRDefault="0008055E">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-488274</wp:posOffset>
          </wp:positionV>
          <wp:extent cx="7809865" cy="10165715"/>
          <wp:effectExtent l="0" t="0" r="0" b="0"/>
          <wp:wrapNone/>
          <wp:docPr id="2143108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5811" w:type="dxa"/>
      <w:tblInd w:w="3261" w:type="dxa"/>
      <w:tblLayout w:type="fixed"/>
      <w:tblLook w:val="0400" w:firstRow="0" w:lastRow="0" w:firstColumn="0" w:lastColumn="0" w:noHBand="0" w:noVBand="1"/>
    </w:tblPr>
    <w:tblGrid>
      <w:gridCol w:w="2489"/>
      <w:gridCol w:w="3322"/>
    </w:tblGrid>
    <w:tr w:rsidR="00D8442A">
      <w:tc>
        <w:tcPr>
          <w:tcW w:w="2489" w:type="dxa"/>
          <w:shd w:val="clear" w:color="auto" w:fill="auto"/>
        </w:tcPr>
        <w:p w:rsidR="00D8442A" w:rsidRDefault="0008055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22" w:type="dxa"/>
          <w:shd w:val="clear" w:color="auto" w:fill="auto"/>
          <w:vAlign w:val="center"/>
        </w:tcPr>
        <w:p w:rsidR="00D8442A" w:rsidRDefault="0008055E">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14689/INFOEM/IP/RR/2025</w:t>
          </w:r>
        </w:p>
      </w:tc>
    </w:tr>
    <w:tr w:rsidR="00D8442A">
      <w:trPr>
        <w:trHeight w:val="228"/>
      </w:trPr>
      <w:tc>
        <w:tcPr>
          <w:tcW w:w="2489" w:type="dxa"/>
          <w:shd w:val="clear" w:color="auto" w:fill="auto"/>
          <w:vAlign w:val="center"/>
        </w:tcPr>
        <w:p w:rsidR="00D8442A" w:rsidRDefault="0008055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322" w:type="dxa"/>
          <w:shd w:val="clear" w:color="auto" w:fill="auto"/>
          <w:vAlign w:val="center"/>
        </w:tcPr>
        <w:p w:rsidR="00D8442A" w:rsidRDefault="0008055E">
          <w:pPr>
            <w:ind w:left="-45" w:right="16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8442A">
      <w:tc>
        <w:tcPr>
          <w:tcW w:w="2489" w:type="dxa"/>
          <w:shd w:val="clear" w:color="auto" w:fill="auto"/>
          <w:vAlign w:val="center"/>
        </w:tcPr>
        <w:p w:rsidR="00D8442A" w:rsidRDefault="0008055E">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22" w:type="dxa"/>
          <w:shd w:val="clear" w:color="auto" w:fill="auto"/>
          <w:vAlign w:val="center"/>
        </w:tcPr>
        <w:p w:rsidR="00D8442A" w:rsidRDefault="0008055E">
          <w:pPr>
            <w:ind w:left="-53"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8442A" w:rsidRDefault="0008055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42A" w:rsidRDefault="0008055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-1080126</wp:posOffset>
          </wp:positionH>
          <wp:positionV relativeFrom="paragraph">
            <wp:posOffset>-369901</wp:posOffset>
          </wp:positionV>
          <wp:extent cx="7809865" cy="10165715"/>
          <wp:effectExtent l="0" t="0" r="0" b="0"/>
          <wp:wrapNone/>
          <wp:docPr id="2143108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6095" w:type="dxa"/>
      <w:tblInd w:w="3261" w:type="dxa"/>
      <w:tblLayout w:type="fixed"/>
      <w:tblLook w:val="0400" w:firstRow="0" w:lastRow="0" w:firstColumn="0" w:lastColumn="0" w:noHBand="0" w:noVBand="1"/>
    </w:tblPr>
    <w:tblGrid>
      <w:gridCol w:w="2489"/>
      <w:gridCol w:w="3606"/>
    </w:tblGrid>
    <w:tr w:rsidR="00D8442A">
      <w:tc>
        <w:tcPr>
          <w:tcW w:w="2489" w:type="dxa"/>
          <w:shd w:val="clear" w:color="auto" w:fill="auto"/>
        </w:tcPr>
        <w:p w:rsidR="00D8442A" w:rsidRDefault="0008055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06" w:type="dxa"/>
          <w:shd w:val="clear" w:color="auto" w:fill="auto"/>
          <w:vAlign w:val="center"/>
        </w:tcPr>
        <w:p w:rsidR="00D8442A" w:rsidRDefault="0008055E">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14689/INFOEM/IP/RR/2025</w:t>
          </w:r>
        </w:p>
      </w:tc>
    </w:tr>
    <w:tr w:rsidR="00D8442A">
      <w:tc>
        <w:tcPr>
          <w:tcW w:w="2489" w:type="dxa"/>
          <w:shd w:val="clear" w:color="auto" w:fill="auto"/>
        </w:tcPr>
        <w:p w:rsidR="00D8442A" w:rsidRDefault="0008055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06" w:type="dxa"/>
          <w:shd w:val="clear" w:color="auto" w:fill="auto"/>
          <w:vAlign w:val="center"/>
        </w:tcPr>
        <w:p w:rsidR="00D8442A" w:rsidRDefault="00D8442A">
          <w:pPr>
            <w:ind w:right="175"/>
            <w:jc w:val="both"/>
            <w:rPr>
              <w:rFonts w:ascii="Palatino Linotype" w:eastAsia="Palatino Linotype" w:hAnsi="Palatino Linotype" w:cs="Palatino Linotype"/>
              <w:b/>
              <w:bCs/>
              <w:sz w:val="22"/>
              <w:szCs w:val="22"/>
            </w:rPr>
          </w:pPr>
        </w:p>
      </w:tc>
    </w:tr>
    <w:tr w:rsidR="00D8442A">
      <w:trPr>
        <w:trHeight w:val="228"/>
      </w:trPr>
      <w:tc>
        <w:tcPr>
          <w:tcW w:w="2489" w:type="dxa"/>
          <w:shd w:val="clear" w:color="auto" w:fill="auto"/>
          <w:vAlign w:val="center"/>
        </w:tcPr>
        <w:p w:rsidR="00D8442A" w:rsidRDefault="0008055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06" w:type="dxa"/>
          <w:shd w:val="clear" w:color="auto" w:fill="auto"/>
          <w:vAlign w:val="center"/>
        </w:tcPr>
        <w:p w:rsidR="00D8442A" w:rsidRDefault="0008055E">
          <w:pPr>
            <w:ind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D8442A">
      <w:tc>
        <w:tcPr>
          <w:tcW w:w="2489" w:type="dxa"/>
          <w:shd w:val="clear" w:color="auto" w:fill="auto"/>
          <w:vAlign w:val="center"/>
        </w:tcPr>
        <w:p w:rsidR="00D8442A" w:rsidRDefault="0008055E">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06" w:type="dxa"/>
          <w:shd w:val="clear" w:color="auto" w:fill="auto"/>
          <w:vAlign w:val="center"/>
        </w:tcPr>
        <w:p w:rsidR="00D8442A" w:rsidRDefault="0008055E">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8442A" w:rsidRDefault="00D8442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26866"/>
    <w:multiLevelType w:val="multilevel"/>
    <w:tmpl w:val="9AD67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1E19AB"/>
    <w:multiLevelType w:val="multilevel"/>
    <w:tmpl w:val="C722F10C"/>
    <w:lvl w:ilvl="0">
      <w:start w:val="1"/>
      <w:numFmt w:val="lowerLetter"/>
      <w:lvlText w:val="%1)"/>
      <w:lvlJc w:val="left"/>
      <w:pPr>
        <w:ind w:left="1571" w:hanging="360"/>
      </w:pPr>
      <w:rPr>
        <w:b w:val="0"/>
        <w:bCs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16B673A5"/>
    <w:multiLevelType w:val="multilevel"/>
    <w:tmpl w:val="BF00F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8D7329"/>
    <w:multiLevelType w:val="multilevel"/>
    <w:tmpl w:val="5504E0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F4D14AC"/>
    <w:multiLevelType w:val="multilevel"/>
    <w:tmpl w:val="975E5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9E016B"/>
    <w:multiLevelType w:val="multilevel"/>
    <w:tmpl w:val="4DB2301C"/>
    <w:lvl w:ilvl="0">
      <w:start w:val="1"/>
      <w:numFmt w:val="decimal"/>
      <w:pStyle w:val="Listaconvietas3"/>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3DAB0C29"/>
    <w:multiLevelType w:val="multilevel"/>
    <w:tmpl w:val="72C4311E"/>
    <w:lvl w:ilvl="0">
      <w:start w:val="1"/>
      <w:numFmt w:val="decimal"/>
      <w:pStyle w:val="Listaconvieta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A112974"/>
    <w:multiLevelType w:val="multilevel"/>
    <w:tmpl w:val="01BA9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324048"/>
    <w:multiLevelType w:val="multilevel"/>
    <w:tmpl w:val="B100C110"/>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75C8386F"/>
    <w:multiLevelType w:val="multilevel"/>
    <w:tmpl w:val="80CC7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6C239EB"/>
    <w:multiLevelType w:val="multilevel"/>
    <w:tmpl w:val="5094B90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7"/>
  </w:num>
  <w:num w:numId="2">
    <w:abstractNumId w:val="5"/>
  </w:num>
  <w:num w:numId="3">
    <w:abstractNumId w:val="10"/>
  </w:num>
  <w:num w:numId="4">
    <w:abstractNumId w:val="2"/>
  </w:num>
  <w:num w:numId="5">
    <w:abstractNumId w:val="1"/>
  </w:num>
  <w:num w:numId="6">
    <w:abstractNumId w:val="9"/>
  </w:num>
  <w:num w:numId="7">
    <w:abstractNumId w:val="4"/>
  </w:num>
  <w:num w:numId="8">
    <w:abstractNumId w:val="6"/>
  </w:num>
  <w:num w:numId="9">
    <w:abstractNumId w:val="8"/>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42A"/>
    <w:rsid w:val="0008055E"/>
    <w:rsid w:val="00D844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B05F0-C45D-4CE8-8F22-C4BA48EE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8"/>
      </w:numPr>
      <w:contextualSpacing/>
    </w:pPr>
    <w:rPr>
      <w:lang w:eastAsia="es-ES"/>
    </w:r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Tablaconcuadrcula2">
    <w:name w:val="Tabla con cuadrícula2"/>
    <w:basedOn w:val="Tablanormal"/>
    <w:next w:val="Tablaconcuadrcula"/>
    <w:uiPriority w:val="39"/>
    <w:rsid w:val="00785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c">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hyperlink" Target="http://www.diputados.gob.mx/documentos/N_Acta_Nacimiento.pdf"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pomex.org.mx/ipomex/" TargetMode="External"/><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14/nov14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iputados.gob.mx/LeyesBiblio/pdf/LGDNNA.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yperlink" Target="http://www.secogem.gob.mx/constancia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5CFxATa7bEqjffhUA6kwPX1gQ==">CgMxLjAyCWguNGQzNG9nODIIaC5namRneHMyCWguM2R5NnZrbTIJaC4zMGowemxsMgloLjJzOGV5bzEyCGgudHlqY3d0MgloLjN6bnlzaDcyCWguMmV0OTJwMDIOaC5qcmZ4anR5b25rZmIyCWguMzVua3VuMjIJaC4xa3N2NHV2MgloLjI2aW4xcmcyCWguM3JkY3JqbjIOaC53NG5hN2xnYXpod2s4AHIhMTZyR3BkVFlrVV8tczExaDVkSHRRaHJHTVY2M2x6dEda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17069</Words>
  <Characters>93881</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2026-04-06T20:59:00Z</dcterms:created>
  <dcterms:modified xsi:type="dcterms:W3CDTF">2026-04-06T20:59:00Z</dcterms:modified>
</cp:coreProperties>
</file>