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1A5819" w14:textId="77777777" w:rsidR="004F1BF4" w:rsidRPr="00A3631F" w:rsidRDefault="009C0D03">
      <w:pPr>
        <w:pBdr>
          <w:top w:val="nil"/>
          <w:left w:val="nil"/>
          <w:bottom w:val="nil"/>
          <w:right w:val="nil"/>
          <w:between w:val="nil"/>
        </w:pBdr>
        <w:spacing w:line="360" w:lineRule="auto"/>
        <w:ind w:right="-704"/>
        <w:jc w:val="both"/>
        <w:rPr>
          <w:rFonts w:ascii="Palatino Linotype" w:eastAsia="Palatino Linotype" w:hAnsi="Palatino Linotype" w:cs="Palatino Linotype"/>
          <w:b/>
          <w:bCs/>
          <w:color w:val="000000"/>
        </w:rPr>
      </w:pPr>
      <w:bookmarkStart w:id="0" w:name="_GoBack"/>
      <w:bookmarkEnd w:id="0"/>
      <w:r w:rsidRPr="00A3631F">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de </w:t>
      </w:r>
      <w:r w:rsidRPr="00A3631F">
        <w:rPr>
          <w:rFonts w:ascii="Palatino Linotype" w:eastAsia="Palatino Linotype" w:hAnsi="Palatino Linotype" w:cs="Palatino Linotype"/>
          <w:b/>
          <w:bCs/>
          <w:color w:val="000000"/>
        </w:rPr>
        <w:t>fecha tres (03) de junio de dos mil veintiséis.</w:t>
      </w:r>
    </w:p>
    <w:p w14:paraId="41B2A1DB" w14:textId="77777777" w:rsidR="004F1BF4" w:rsidRPr="00A3631F" w:rsidRDefault="004F1BF4">
      <w:pPr>
        <w:pBdr>
          <w:top w:val="nil"/>
          <w:left w:val="nil"/>
          <w:bottom w:val="nil"/>
          <w:right w:val="nil"/>
          <w:between w:val="nil"/>
        </w:pBdr>
        <w:spacing w:line="360" w:lineRule="auto"/>
        <w:ind w:right="-704"/>
        <w:jc w:val="both"/>
        <w:rPr>
          <w:rFonts w:ascii="Palatino Linotype" w:eastAsia="Palatino Linotype" w:hAnsi="Palatino Linotype" w:cs="Palatino Linotype"/>
          <w:color w:val="000000"/>
        </w:rPr>
      </w:pPr>
    </w:p>
    <w:p w14:paraId="7CF8222D" w14:textId="77777777" w:rsidR="004F1BF4" w:rsidRPr="00A3631F" w:rsidRDefault="009C0D03">
      <w:pPr>
        <w:pBdr>
          <w:top w:val="nil"/>
          <w:left w:val="nil"/>
          <w:bottom w:val="nil"/>
          <w:right w:val="nil"/>
          <w:between w:val="nil"/>
        </w:pBdr>
        <w:spacing w:line="360" w:lineRule="auto"/>
        <w:ind w:right="-704"/>
        <w:jc w:val="both"/>
        <w:rPr>
          <w:rFonts w:ascii="Palatino Linotype" w:eastAsia="Palatino Linotype" w:hAnsi="Palatino Linotype" w:cs="Palatino Linotype"/>
          <w:color w:val="000000"/>
        </w:rPr>
      </w:pPr>
      <w:bookmarkStart w:id="1" w:name="_heading=h.gjdgxs" w:colFirst="0" w:colLast="0"/>
      <w:bookmarkEnd w:id="1"/>
      <w:r w:rsidRPr="00A3631F">
        <w:rPr>
          <w:rFonts w:ascii="Palatino Linotype" w:eastAsia="Palatino Linotype" w:hAnsi="Palatino Linotype" w:cs="Palatino Linotype"/>
          <w:b/>
          <w:bCs/>
          <w:color w:val="000000"/>
        </w:rPr>
        <w:t>VISTO</w:t>
      </w:r>
      <w:r w:rsidRPr="00A3631F">
        <w:rPr>
          <w:rFonts w:ascii="Palatino Linotype" w:eastAsia="Palatino Linotype" w:hAnsi="Palatino Linotype" w:cs="Palatino Linotype"/>
          <w:color w:val="000000"/>
        </w:rPr>
        <w:t xml:space="preserve"> el expediente electrónico formado con motivo   del Recursos de Revisión </w:t>
      </w:r>
      <w:r w:rsidRPr="00A3631F">
        <w:rPr>
          <w:rFonts w:ascii="Palatino Linotype" w:eastAsia="Palatino Linotype" w:hAnsi="Palatino Linotype" w:cs="Palatino Linotype"/>
          <w:b/>
          <w:bCs/>
          <w:color w:val="000000"/>
        </w:rPr>
        <w:t xml:space="preserve">12858/INFOEM/IP/RR/2025 </w:t>
      </w:r>
      <w:r w:rsidRPr="00A3631F">
        <w:rPr>
          <w:rFonts w:ascii="Palatino Linotype" w:eastAsia="Palatino Linotype" w:hAnsi="Palatino Linotype" w:cs="Palatino Linotype"/>
          <w:color w:val="000000"/>
        </w:rPr>
        <w:t xml:space="preserve">promovido por </w:t>
      </w:r>
      <w:r w:rsidRPr="00A3631F">
        <w:rPr>
          <w:rFonts w:ascii="Palatino Linotype" w:eastAsia="Palatino Linotype" w:hAnsi="Palatino Linotype" w:cs="Palatino Linotype"/>
          <w:b/>
          <w:bCs/>
        </w:rPr>
        <w:t>una persona que no proporcionó datos de identificación</w:t>
      </w:r>
      <w:r w:rsidRPr="00A3631F">
        <w:rPr>
          <w:rFonts w:ascii="Palatino Linotype" w:eastAsia="Palatino Linotype" w:hAnsi="Palatino Linotype" w:cs="Palatino Linotype"/>
          <w:color w:val="000000"/>
        </w:rPr>
        <w:t xml:space="preserve">, a través del Sistema de Acceso a la Información Mexiquense (SAIMEX), a quien en lo sucesivo se le identificará como </w:t>
      </w:r>
      <w:r w:rsidRPr="00A3631F">
        <w:rPr>
          <w:rFonts w:ascii="Palatino Linotype" w:eastAsia="Palatino Linotype" w:hAnsi="Palatino Linotype" w:cs="Palatino Linotype"/>
          <w:b/>
          <w:bCs/>
          <w:color w:val="000000"/>
        </w:rPr>
        <w:t>EL RECURRENTE</w:t>
      </w:r>
      <w:r w:rsidRPr="00A3631F">
        <w:rPr>
          <w:rFonts w:ascii="Palatino Linotype" w:eastAsia="Palatino Linotype" w:hAnsi="Palatino Linotype" w:cs="Palatino Linotype"/>
          <w:color w:val="000000"/>
        </w:rPr>
        <w:t xml:space="preserve">, en contra de las respuestas del </w:t>
      </w:r>
      <w:r w:rsidRPr="00A3631F">
        <w:rPr>
          <w:rFonts w:ascii="Palatino Linotype" w:eastAsia="Palatino Linotype" w:hAnsi="Palatino Linotype" w:cs="Palatino Linotype"/>
          <w:b/>
          <w:bCs/>
          <w:color w:val="000000"/>
        </w:rPr>
        <w:t>Ayuntamiento de Toluca,</w:t>
      </w:r>
      <w:r w:rsidRPr="00A3631F">
        <w:rPr>
          <w:rFonts w:ascii="Palatino Linotype" w:eastAsia="Palatino Linotype" w:hAnsi="Palatino Linotype" w:cs="Palatino Linotype"/>
          <w:color w:val="000000"/>
        </w:rPr>
        <w:t xml:space="preserve"> en </w:t>
      </w:r>
      <w:r w:rsidRPr="00A3631F">
        <w:rPr>
          <w:rFonts w:ascii="Palatino Linotype" w:eastAsia="Palatino Linotype" w:hAnsi="Palatino Linotype" w:cs="Palatino Linotype"/>
        </w:rPr>
        <w:t>adelante</w:t>
      </w:r>
      <w:r w:rsidRPr="00A3631F">
        <w:rPr>
          <w:rFonts w:ascii="Palatino Linotype" w:eastAsia="Palatino Linotype" w:hAnsi="Palatino Linotype" w:cs="Palatino Linotype"/>
          <w:color w:val="000000"/>
        </w:rPr>
        <w:t xml:space="preserve"> </w:t>
      </w:r>
      <w:r w:rsidRPr="00A3631F">
        <w:rPr>
          <w:rFonts w:ascii="Palatino Linotype" w:eastAsia="Palatino Linotype" w:hAnsi="Palatino Linotype" w:cs="Palatino Linotype"/>
          <w:b/>
          <w:bCs/>
          <w:color w:val="000000"/>
        </w:rPr>
        <w:t>EL SUJETO OBLIGADO</w:t>
      </w:r>
      <w:r w:rsidRPr="00A3631F">
        <w:rPr>
          <w:rFonts w:ascii="Palatino Linotype" w:eastAsia="Palatino Linotype" w:hAnsi="Palatino Linotype" w:cs="Palatino Linotype"/>
          <w:color w:val="000000"/>
        </w:rPr>
        <w:t>, se procede a dictar la presente resolución, con base en los siguientes:</w:t>
      </w:r>
    </w:p>
    <w:p w14:paraId="56440D76" w14:textId="77777777" w:rsidR="004F1BF4" w:rsidRPr="00A3631F" w:rsidRDefault="004F1BF4">
      <w:pPr>
        <w:pBdr>
          <w:top w:val="nil"/>
          <w:left w:val="nil"/>
          <w:bottom w:val="nil"/>
          <w:right w:val="nil"/>
          <w:between w:val="nil"/>
        </w:pBdr>
        <w:spacing w:line="360" w:lineRule="auto"/>
        <w:ind w:right="-704"/>
        <w:jc w:val="both"/>
        <w:rPr>
          <w:rFonts w:ascii="Palatino Linotype" w:eastAsia="Palatino Linotype" w:hAnsi="Palatino Linotype" w:cs="Palatino Linotype"/>
          <w:color w:val="000000"/>
        </w:rPr>
      </w:pPr>
    </w:p>
    <w:p w14:paraId="0BC53E1D" w14:textId="77777777" w:rsidR="004F1BF4" w:rsidRPr="00A3631F" w:rsidRDefault="009C0D03">
      <w:pPr>
        <w:pBdr>
          <w:top w:val="nil"/>
          <w:left w:val="nil"/>
          <w:bottom w:val="nil"/>
          <w:right w:val="nil"/>
          <w:between w:val="nil"/>
        </w:pBdr>
        <w:spacing w:line="360" w:lineRule="auto"/>
        <w:ind w:right="-704"/>
        <w:jc w:val="center"/>
        <w:rPr>
          <w:rFonts w:ascii="Palatino Linotype" w:eastAsia="Palatino Linotype" w:hAnsi="Palatino Linotype" w:cs="Palatino Linotype"/>
          <w:b/>
          <w:bCs/>
          <w:color w:val="000000"/>
        </w:rPr>
      </w:pPr>
      <w:r w:rsidRPr="00A3631F">
        <w:rPr>
          <w:rFonts w:ascii="Palatino Linotype" w:eastAsia="Palatino Linotype" w:hAnsi="Palatino Linotype" w:cs="Palatino Linotype"/>
          <w:b/>
          <w:bCs/>
          <w:color w:val="000000"/>
        </w:rPr>
        <w:t>A N T E C E D E N T E S</w:t>
      </w:r>
    </w:p>
    <w:p w14:paraId="28EC94A3" w14:textId="77777777" w:rsidR="004F1BF4" w:rsidRPr="00A3631F" w:rsidRDefault="004F1BF4">
      <w:pPr>
        <w:spacing w:line="360" w:lineRule="auto"/>
        <w:ind w:right="-704"/>
        <w:rPr>
          <w:rFonts w:ascii="Palatino Linotype" w:eastAsia="Palatino Linotype" w:hAnsi="Palatino Linotype" w:cs="Palatino Linotype"/>
        </w:rPr>
      </w:pPr>
    </w:p>
    <w:p w14:paraId="170EEA3D" w14:textId="77777777" w:rsidR="004F1BF4" w:rsidRPr="00A3631F" w:rsidRDefault="009C0D03">
      <w:pPr>
        <w:numPr>
          <w:ilvl w:val="0"/>
          <w:numId w:val="5"/>
        </w:numPr>
        <w:pBdr>
          <w:top w:val="nil"/>
          <w:left w:val="nil"/>
          <w:bottom w:val="nil"/>
          <w:right w:val="nil"/>
          <w:between w:val="nil"/>
        </w:pBdr>
        <w:spacing w:line="360" w:lineRule="auto"/>
        <w:ind w:left="0" w:right="-704" w:firstLine="0"/>
        <w:jc w:val="both"/>
        <w:rPr>
          <w:color w:val="000000"/>
        </w:rPr>
      </w:pPr>
      <w:r w:rsidRPr="00A3631F">
        <w:rPr>
          <w:rFonts w:ascii="Palatino Linotype" w:eastAsia="Palatino Linotype" w:hAnsi="Palatino Linotype" w:cs="Palatino Linotype"/>
          <w:color w:val="000000"/>
        </w:rPr>
        <w:t xml:space="preserve">El </w:t>
      </w:r>
      <w:r w:rsidRPr="00A3631F">
        <w:rPr>
          <w:rFonts w:ascii="Palatino Linotype" w:eastAsia="Palatino Linotype" w:hAnsi="Palatino Linotype" w:cs="Palatino Linotype"/>
          <w:b/>
          <w:bCs/>
          <w:color w:val="000000"/>
        </w:rPr>
        <w:t xml:space="preserve">veinticinco de septiembre de dos mil veinticinco, </w:t>
      </w:r>
      <w:r w:rsidRPr="00A3631F">
        <w:rPr>
          <w:rFonts w:ascii="Palatino Linotype" w:eastAsia="Palatino Linotype" w:hAnsi="Palatino Linotype" w:cs="Palatino Linotype"/>
          <w:color w:val="000000"/>
        </w:rPr>
        <w:t xml:space="preserve">el </w:t>
      </w:r>
      <w:r w:rsidRPr="00A3631F">
        <w:rPr>
          <w:rFonts w:ascii="Palatino Linotype" w:eastAsia="Palatino Linotype" w:hAnsi="Palatino Linotype" w:cs="Palatino Linotype"/>
          <w:b/>
          <w:bCs/>
          <w:color w:val="000000"/>
        </w:rPr>
        <w:t>RECURRENTE</w:t>
      </w:r>
      <w:r w:rsidRPr="00A3631F">
        <w:rPr>
          <w:rFonts w:ascii="Palatino Linotype" w:eastAsia="Palatino Linotype" w:hAnsi="Palatino Linotype" w:cs="Palatino Linotype"/>
          <w:color w:val="000000"/>
        </w:rPr>
        <w:t xml:space="preserve"> </w:t>
      </w:r>
      <w:r w:rsidRPr="00A3631F">
        <w:rPr>
          <w:rFonts w:ascii="Palatino Linotype" w:eastAsia="Palatino Linotype" w:hAnsi="Palatino Linotype" w:cs="Palatino Linotype"/>
        </w:rPr>
        <w:t>ingresó</w:t>
      </w:r>
      <w:r w:rsidRPr="00A3631F">
        <w:rPr>
          <w:rFonts w:ascii="Palatino Linotype" w:eastAsia="Palatino Linotype" w:hAnsi="Palatino Linotype" w:cs="Palatino Linotype"/>
          <w:color w:val="000000"/>
        </w:rPr>
        <w:t xml:space="preserve"> la solicitud de información, el Sistema de Acceso a la Información</w:t>
      </w:r>
      <w:r w:rsidRPr="00A3631F">
        <w:rPr>
          <w:rFonts w:ascii="Palatino Linotype" w:eastAsia="Palatino Linotype" w:hAnsi="Palatino Linotype" w:cs="Palatino Linotype"/>
          <w:b/>
          <w:bCs/>
          <w:color w:val="000000"/>
        </w:rPr>
        <w:t xml:space="preserve"> , </w:t>
      </w:r>
      <w:r w:rsidRPr="00A3631F">
        <w:rPr>
          <w:rFonts w:ascii="Palatino Linotype" w:eastAsia="Palatino Linotype" w:hAnsi="Palatino Linotype" w:cs="Palatino Linotype"/>
          <w:color w:val="000000"/>
        </w:rPr>
        <w:t xml:space="preserve">quedando  registrada con el número </w:t>
      </w:r>
      <w:r w:rsidRPr="00A3631F">
        <w:rPr>
          <w:rFonts w:ascii="Palatino Linotype" w:eastAsia="Palatino Linotype" w:hAnsi="Palatino Linotype" w:cs="Palatino Linotype"/>
          <w:b/>
          <w:bCs/>
          <w:color w:val="000000"/>
        </w:rPr>
        <w:t xml:space="preserve">04757/TOLUCA/IP/2025, </w:t>
      </w:r>
      <w:r w:rsidRPr="00A3631F">
        <w:rPr>
          <w:rFonts w:ascii="Palatino Linotype" w:eastAsia="Palatino Linotype" w:hAnsi="Palatino Linotype" w:cs="Palatino Linotype"/>
        </w:rPr>
        <w:t xml:space="preserve">en la que </w:t>
      </w:r>
      <w:r w:rsidRPr="00A3631F">
        <w:rPr>
          <w:rFonts w:ascii="Palatino Linotype" w:eastAsia="Palatino Linotype" w:hAnsi="Palatino Linotype" w:cs="Palatino Linotype"/>
          <w:color w:val="000000"/>
        </w:rPr>
        <w:t>se solicitó la siguiente información:</w:t>
      </w:r>
    </w:p>
    <w:p w14:paraId="323CE267" w14:textId="77777777" w:rsidR="004F1BF4" w:rsidRPr="00A3631F" w:rsidRDefault="004F1BF4">
      <w:pPr>
        <w:ind w:right="-704"/>
        <w:jc w:val="both"/>
        <w:rPr>
          <w:rFonts w:ascii="Palatino Linotype" w:eastAsia="Palatino Linotype" w:hAnsi="Palatino Linotype" w:cs="Palatino Linotype"/>
          <w:i/>
          <w:iCs/>
        </w:rPr>
      </w:pPr>
    </w:p>
    <w:p w14:paraId="64C664C1" w14:textId="77777777" w:rsidR="004F1BF4" w:rsidRPr="00A3631F" w:rsidRDefault="009C0D03">
      <w:pPr>
        <w:pBdr>
          <w:top w:val="nil"/>
          <w:left w:val="nil"/>
          <w:bottom w:val="nil"/>
          <w:right w:val="nil"/>
          <w:between w:val="nil"/>
        </w:pBdr>
        <w:ind w:left="1134" w:right="-704"/>
        <w:jc w:val="both"/>
        <w:rPr>
          <w:rFonts w:ascii="Palatino Linotype" w:eastAsia="Palatino Linotype" w:hAnsi="Palatino Linotype" w:cs="Palatino Linotype"/>
          <w:i/>
          <w:iCs/>
          <w:color w:val="000000"/>
        </w:rPr>
      </w:pPr>
      <w:r w:rsidRPr="00A3631F">
        <w:rPr>
          <w:rFonts w:ascii="Palatino Linotype" w:eastAsia="Palatino Linotype" w:hAnsi="Palatino Linotype" w:cs="Palatino Linotype"/>
          <w:i/>
          <w:iCs/>
          <w:color w:val="000000"/>
        </w:rPr>
        <w:t xml:space="preserve">“Se solicita los contratos con FONTOVA del año 2025, las facturas pagadas, el numero de cuenta al cual se le hizo la transferencia, el informe mensual, trimestral semestre o anual de sus actividades y estado de los juicios, etc, cuantos servidores públicos de despidieron, dieron de baja o renuncia en ese año, su renuncia. de esos servidores públicos dados de baja o que renunciaron cuantos demandaron el nombre completo de los que demandaron la demanda presentada y el estado que guarda, de esas demandas o juicio laborales cuantos están concluidos con la resolución y el estado de la resolución. todos los laudos recibidos en el año cuando de ellos se han pagado la evidencia documental del pago y los que o se ha pagado por que. la plantilla de personal del la Consejería Jurídica por que sabemos que Alama Merino no solo cobra en el despacho sino tiene mas de 30 aviadores y mas de 20 </w:t>
      </w:r>
      <w:r w:rsidRPr="00A3631F">
        <w:rPr>
          <w:rFonts w:ascii="Palatino Linotype" w:eastAsia="Palatino Linotype" w:hAnsi="Palatino Linotype" w:cs="Palatino Linotype"/>
          <w:i/>
          <w:iCs/>
          <w:color w:val="000000"/>
        </w:rPr>
        <w:lastRenderedPageBreak/>
        <w:t>personas adscritas a la Consejería Jurídica y sabemos sus nombre solo lo vamos a demostrar en los medios de comunicación. sabemos que FONTOVA y CORAL NEGRO SON DE ELLA y hace lo mismo. el poder otorgado por el municipio, todos los oficios recibidos en la Consejería Jurídica, la Dirección General de Administración y sus áreas en presidencia o cualquier área que emitió este despacho, quien también en los Juzgados Laborales sus Abogados ofrecen negociaciones a los e servidores públicos les dicen que ellos les ponen un abogado para agilizar su tramite y les paguen más rápido el municipio pero que les den el 50 por ciento de lo que cobren entonces negocio redondo ellos despiden a las persona y después les ofrecen abogados esto será de conocimiento con documentos que lo demuestra que son un circulo de corrupción. y o pueden negar la información por que es de iteres público y debería estar en ipomex y la oculta y tampoco la pueden reservar es público ya basta de este abuso y corrupción”(Sic)</w:t>
      </w:r>
    </w:p>
    <w:p w14:paraId="2A142A10" w14:textId="77777777" w:rsidR="004F1BF4" w:rsidRPr="00A3631F" w:rsidRDefault="004F1BF4">
      <w:pPr>
        <w:pBdr>
          <w:top w:val="nil"/>
          <w:left w:val="nil"/>
          <w:bottom w:val="nil"/>
          <w:right w:val="nil"/>
          <w:between w:val="nil"/>
        </w:pBdr>
        <w:spacing w:line="360" w:lineRule="auto"/>
        <w:ind w:left="1134" w:right="-704"/>
        <w:jc w:val="both"/>
        <w:rPr>
          <w:rFonts w:ascii="Palatino Linotype" w:eastAsia="Palatino Linotype" w:hAnsi="Palatino Linotype" w:cs="Palatino Linotype"/>
          <w:i/>
          <w:iCs/>
        </w:rPr>
      </w:pPr>
    </w:p>
    <w:p w14:paraId="629E7B81" w14:textId="77777777" w:rsidR="004F1BF4" w:rsidRPr="00A3631F" w:rsidRDefault="009C0D03">
      <w:pPr>
        <w:numPr>
          <w:ilvl w:val="0"/>
          <w:numId w:val="2"/>
        </w:numPr>
        <w:pBdr>
          <w:top w:val="nil"/>
          <w:left w:val="nil"/>
          <w:bottom w:val="nil"/>
          <w:right w:val="nil"/>
          <w:between w:val="nil"/>
        </w:pBdr>
        <w:spacing w:line="360" w:lineRule="auto"/>
        <w:ind w:left="1134" w:right="-704"/>
        <w:jc w:val="both"/>
        <w:rPr>
          <w:rFonts w:ascii="Palatino Linotype" w:eastAsia="Palatino Linotype" w:hAnsi="Palatino Linotype" w:cs="Palatino Linotype"/>
          <w:b/>
          <w:bCs/>
          <w:color w:val="000000"/>
        </w:rPr>
      </w:pPr>
      <w:r w:rsidRPr="00A3631F">
        <w:rPr>
          <w:rFonts w:ascii="Palatino Linotype" w:eastAsia="Palatino Linotype" w:hAnsi="Palatino Linotype" w:cs="Palatino Linotype"/>
          <w:b/>
          <w:bCs/>
          <w:color w:val="000000"/>
        </w:rPr>
        <w:t>Modalidad de entrega</w:t>
      </w:r>
      <w:r w:rsidRPr="00A3631F">
        <w:rPr>
          <w:rFonts w:ascii="Palatino Linotype" w:eastAsia="Palatino Linotype" w:hAnsi="Palatino Linotype" w:cs="Palatino Linotype"/>
          <w:color w:val="000000"/>
        </w:rPr>
        <w:t xml:space="preserve">: a través de </w:t>
      </w:r>
      <w:r w:rsidRPr="00A3631F">
        <w:rPr>
          <w:rFonts w:ascii="Palatino Linotype" w:eastAsia="Palatino Linotype" w:hAnsi="Palatino Linotype" w:cs="Palatino Linotype"/>
          <w:b/>
          <w:bCs/>
          <w:color w:val="000000"/>
        </w:rPr>
        <w:t>SAIMEX.</w:t>
      </w:r>
    </w:p>
    <w:p w14:paraId="74F4FFF1" w14:textId="77777777" w:rsidR="004F1BF4" w:rsidRPr="00A3631F" w:rsidRDefault="004F1BF4">
      <w:pPr>
        <w:pBdr>
          <w:top w:val="nil"/>
          <w:left w:val="nil"/>
          <w:bottom w:val="nil"/>
          <w:right w:val="nil"/>
          <w:between w:val="nil"/>
        </w:pBdr>
        <w:spacing w:line="360" w:lineRule="auto"/>
        <w:ind w:right="-704"/>
        <w:jc w:val="both"/>
        <w:rPr>
          <w:rFonts w:ascii="Palatino Linotype" w:eastAsia="Palatino Linotype" w:hAnsi="Palatino Linotype" w:cs="Palatino Linotype"/>
          <w:color w:val="000000"/>
        </w:rPr>
      </w:pPr>
    </w:p>
    <w:p w14:paraId="760BB8F5" w14:textId="77777777" w:rsidR="004F1BF4" w:rsidRPr="00A3631F" w:rsidRDefault="009C0D03">
      <w:pPr>
        <w:numPr>
          <w:ilvl w:val="0"/>
          <w:numId w:val="5"/>
        </w:numPr>
        <w:pBdr>
          <w:top w:val="nil"/>
          <w:left w:val="nil"/>
          <w:bottom w:val="nil"/>
          <w:right w:val="nil"/>
          <w:between w:val="nil"/>
        </w:pBdr>
        <w:spacing w:line="360" w:lineRule="auto"/>
        <w:ind w:left="0" w:right="-704" w:firstLine="0"/>
        <w:jc w:val="both"/>
        <w:rPr>
          <w:color w:val="000000"/>
        </w:rPr>
      </w:pPr>
      <w:r w:rsidRPr="00A3631F">
        <w:rPr>
          <w:rFonts w:ascii="Palatino Linotype" w:eastAsia="Palatino Linotype" w:hAnsi="Palatino Linotype" w:cs="Palatino Linotype"/>
          <w:color w:val="000000"/>
        </w:rPr>
        <w:t xml:space="preserve">El </w:t>
      </w:r>
      <w:r w:rsidRPr="00A3631F">
        <w:rPr>
          <w:rFonts w:ascii="Palatino Linotype" w:eastAsia="Palatino Linotype" w:hAnsi="Palatino Linotype" w:cs="Palatino Linotype"/>
          <w:b/>
          <w:bCs/>
          <w:color w:val="000000"/>
        </w:rPr>
        <w:t xml:space="preserve">dieciséis de octubre de dos mil veinticinco, </w:t>
      </w:r>
      <w:r w:rsidRPr="00A3631F">
        <w:rPr>
          <w:rFonts w:ascii="Palatino Linotype" w:eastAsia="Palatino Linotype" w:hAnsi="Palatino Linotype" w:cs="Palatino Linotype"/>
          <w:color w:val="000000"/>
        </w:rPr>
        <w:t xml:space="preserve">el </w:t>
      </w:r>
      <w:r w:rsidRPr="00A3631F">
        <w:rPr>
          <w:rFonts w:ascii="Palatino Linotype" w:eastAsia="Palatino Linotype" w:hAnsi="Palatino Linotype" w:cs="Palatino Linotype"/>
          <w:b/>
          <w:bCs/>
          <w:color w:val="000000"/>
        </w:rPr>
        <w:t xml:space="preserve">SUJETO OBLIGADO </w:t>
      </w:r>
      <w:r w:rsidRPr="00A3631F">
        <w:rPr>
          <w:rFonts w:ascii="Palatino Linotype" w:eastAsia="Palatino Linotype" w:hAnsi="Palatino Linotype" w:cs="Palatino Linotype"/>
          <w:color w:val="000000"/>
        </w:rPr>
        <w:t>dio respuesta por medio de  archivos electrónicos en formato pdf, de cuyo contenido se desprende lo siguiente:</w:t>
      </w:r>
    </w:p>
    <w:p w14:paraId="3AC38B50" w14:textId="77777777" w:rsidR="004F1BF4" w:rsidRPr="00A3631F" w:rsidRDefault="004F1BF4">
      <w:pPr>
        <w:pBdr>
          <w:top w:val="nil"/>
          <w:left w:val="nil"/>
          <w:bottom w:val="nil"/>
          <w:right w:val="nil"/>
          <w:between w:val="nil"/>
        </w:pBdr>
        <w:ind w:left="720" w:right="-704"/>
        <w:rPr>
          <w:rFonts w:ascii="Palatino Linotype" w:eastAsia="Palatino Linotype" w:hAnsi="Palatino Linotype" w:cs="Palatino Linotype"/>
          <w:color w:val="000000"/>
        </w:rPr>
      </w:pPr>
    </w:p>
    <w:p w14:paraId="7AC43CB9" w14:textId="77777777" w:rsidR="004F1BF4" w:rsidRPr="00A3631F" w:rsidRDefault="009C0D03">
      <w:pPr>
        <w:pBdr>
          <w:top w:val="nil"/>
          <w:left w:val="nil"/>
          <w:bottom w:val="nil"/>
          <w:right w:val="nil"/>
          <w:between w:val="nil"/>
        </w:pBdr>
        <w:ind w:left="720" w:right="-704"/>
        <w:jc w:val="both"/>
        <w:rPr>
          <w:rFonts w:ascii="Palatino Linotype" w:eastAsia="Palatino Linotype" w:hAnsi="Palatino Linotype" w:cs="Palatino Linotype"/>
          <w:i/>
          <w:iCs/>
          <w:color w:val="000000"/>
        </w:rPr>
      </w:pPr>
      <w:r w:rsidRPr="00A3631F">
        <w:rPr>
          <w:rFonts w:ascii="Palatino Linotype" w:eastAsia="Palatino Linotype" w:hAnsi="Palatino Linotype" w:cs="Palatino Linotype"/>
          <w:b/>
          <w:bCs/>
          <w:i/>
          <w:iCs/>
          <w:color w:val="000000"/>
        </w:rPr>
        <w:t xml:space="preserve">NOTIF. CIUDADANO S. 4757.pdf: </w:t>
      </w:r>
      <w:r w:rsidRPr="00A3631F">
        <w:rPr>
          <w:rFonts w:ascii="Palatino Linotype" w:eastAsia="Palatino Linotype" w:hAnsi="Palatino Linotype" w:cs="Palatino Linotype"/>
          <w:i/>
          <w:iCs/>
          <w:color w:val="000000"/>
        </w:rPr>
        <w:t>Donde Directora General de Administración entrega respuesta emitida por Directora de Recursos Materiales, quien a su vez refiere que después de una búsqueda exhaustiva no existen registros documentales con la razón social requerida en el año 2025.</w:t>
      </w:r>
    </w:p>
    <w:p w14:paraId="555A7C0B" w14:textId="77777777" w:rsidR="004F1BF4" w:rsidRPr="00A3631F" w:rsidRDefault="004F1BF4">
      <w:pPr>
        <w:pBdr>
          <w:top w:val="nil"/>
          <w:left w:val="nil"/>
          <w:bottom w:val="nil"/>
          <w:right w:val="nil"/>
          <w:between w:val="nil"/>
        </w:pBdr>
        <w:ind w:left="720" w:right="-704"/>
        <w:jc w:val="both"/>
        <w:rPr>
          <w:rFonts w:ascii="Palatino Linotype" w:eastAsia="Palatino Linotype" w:hAnsi="Palatino Linotype" w:cs="Palatino Linotype"/>
          <w:i/>
          <w:iCs/>
          <w:color w:val="000000"/>
        </w:rPr>
      </w:pPr>
    </w:p>
    <w:p w14:paraId="0B558F23" w14:textId="77777777" w:rsidR="004F1BF4" w:rsidRPr="00A3631F" w:rsidRDefault="009C0D03">
      <w:pPr>
        <w:pBdr>
          <w:top w:val="nil"/>
          <w:left w:val="nil"/>
          <w:bottom w:val="nil"/>
          <w:right w:val="nil"/>
          <w:between w:val="nil"/>
        </w:pBdr>
        <w:ind w:left="720" w:right="-704"/>
        <w:jc w:val="both"/>
        <w:rPr>
          <w:rFonts w:ascii="Palatino Linotype" w:eastAsia="Palatino Linotype" w:hAnsi="Palatino Linotype" w:cs="Palatino Linotype"/>
          <w:b/>
          <w:bCs/>
          <w:i/>
          <w:iCs/>
          <w:color w:val="000000"/>
        </w:rPr>
      </w:pPr>
      <w:r w:rsidRPr="00A3631F">
        <w:rPr>
          <w:rFonts w:ascii="Palatino Linotype" w:eastAsia="Palatino Linotype" w:hAnsi="Palatino Linotype" w:cs="Palatino Linotype"/>
          <w:b/>
          <w:bCs/>
          <w:i/>
          <w:iCs/>
          <w:color w:val="000000"/>
        </w:rPr>
        <w:t xml:space="preserve">Respuesta 04757.pdf: </w:t>
      </w:r>
      <w:r w:rsidRPr="00A3631F">
        <w:rPr>
          <w:rFonts w:ascii="Palatino Linotype" w:eastAsia="Palatino Linotype" w:hAnsi="Palatino Linotype" w:cs="Palatino Linotype"/>
          <w:i/>
          <w:iCs/>
          <w:color w:val="000000"/>
        </w:rPr>
        <w:t>Donde el Secretario particular de la Presidencia informa que derivado de una búsqueda exhaustiva y razonable en sus archivos no obran expresiones documentales que colmen lo solicitado.</w:t>
      </w:r>
    </w:p>
    <w:p w14:paraId="6C60DCB9" w14:textId="77777777" w:rsidR="004F1BF4" w:rsidRPr="00A3631F" w:rsidRDefault="004F1BF4">
      <w:pPr>
        <w:pBdr>
          <w:top w:val="nil"/>
          <w:left w:val="nil"/>
          <w:bottom w:val="nil"/>
          <w:right w:val="nil"/>
          <w:between w:val="nil"/>
        </w:pBdr>
        <w:ind w:left="720" w:right="-704"/>
        <w:jc w:val="both"/>
        <w:rPr>
          <w:rFonts w:ascii="Palatino Linotype" w:eastAsia="Palatino Linotype" w:hAnsi="Palatino Linotype" w:cs="Palatino Linotype"/>
          <w:b/>
          <w:bCs/>
          <w:i/>
          <w:iCs/>
          <w:color w:val="000000"/>
        </w:rPr>
      </w:pPr>
    </w:p>
    <w:p w14:paraId="5B008916" w14:textId="77777777" w:rsidR="004F1BF4" w:rsidRPr="00A3631F" w:rsidRDefault="009C0D03">
      <w:pPr>
        <w:numPr>
          <w:ilvl w:val="0"/>
          <w:numId w:val="5"/>
        </w:numPr>
        <w:pBdr>
          <w:top w:val="nil"/>
          <w:left w:val="nil"/>
          <w:bottom w:val="nil"/>
          <w:right w:val="nil"/>
          <w:between w:val="nil"/>
        </w:pBdr>
        <w:spacing w:line="360" w:lineRule="auto"/>
        <w:ind w:left="0" w:right="-704" w:firstLine="0"/>
        <w:jc w:val="both"/>
        <w:rPr>
          <w:color w:val="000000"/>
        </w:rPr>
      </w:pPr>
      <w:r w:rsidRPr="00A3631F">
        <w:rPr>
          <w:rFonts w:ascii="Palatino Linotype" w:eastAsia="Palatino Linotype" w:hAnsi="Palatino Linotype" w:cs="Palatino Linotype"/>
          <w:color w:val="000000"/>
        </w:rPr>
        <w:t xml:space="preserve">El </w:t>
      </w:r>
      <w:r w:rsidRPr="00A3631F">
        <w:rPr>
          <w:rFonts w:ascii="Palatino Linotype" w:eastAsia="Palatino Linotype" w:hAnsi="Palatino Linotype" w:cs="Palatino Linotype"/>
          <w:b/>
          <w:bCs/>
          <w:color w:val="000000"/>
        </w:rPr>
        <w:t>seis de noviembre de dos mil veinticinco</w:t>
      </w:r>
      <w:r w:rsidRPr="00A3631F">
        <w:rPr>
          <w:rFonts w:ascii="Palatino Linotype" w:eastAsia="Palatino Linotype" w:hAnsi="Palatino Linotype" w:cs="Palatino Linotype"/>
          <w:color w:val="000000"/>
        </w:rPr>
        <w:t xml:space="preserve">, el </w:t>
      </w:r>
      <w:r w:rsidRPr="00A3631F">
        <w:rPr>
          <w:rFonts w:ascii="Palatino Linotype" w:eastAsia="Palatino Linotype" w:hAnsi="Palatino Linotype" w:cs="Palatino Linotype"/>
          <w:b/>
          <w:bCs/>
          <w:color w:val="000000"/>
        </w:rPr>
        <w:t>RECURRENTE</w:t>
      </w:r>
      <w:r w:rsidRPr="00A3631F">
        <w:rPr>
          <w:rFonts w:ascii="Palatino Linotype" w:eastAsia="Palatino Linotype" w:hAnsi="Palatino Linotype" w:cs="Palatino Linotype"/>
          <w:color w:val="000000"/>
        </w:rPr>
        <w:t xml:space="preserve"> interpuso recurso de revisión en contra de la respuesta emitida por el </w:t>
      </w:r>
      <w:r w:rsidRPr="00A3631F">
        <w:rPr>
          <w:rFonts w:ascii="Palatino Linotype" w:eastAsia="Palatino Linotype" w:hAnsi="Palatino Linotype" w:cs="Palatino Linotype"/>
          <w:b/>
          <w:bCs/>
          <w:color w:val="000000"/>
        </w:rPr>
        <w:t>SUJETO OBLIGADO</w:t>
      </w:r>
      <w:r w:rsidRPr="00A3631F">
        <w:rPr>
          <w:rFonts w:ascii="Palatino Linotype" w:eastAsia="Palatino Linotype" w:hAnsi="Palatino Linotype" w:cs="Palatino Linotype"/>
          <w:color w:val="000000"/>
        </w:rPr>
        <w:t>, señalando las siguientes razones o motivos de inconformidad:</w:t>
      </w:r>
    </w:p>
    <w:p w14:paraId="65D67683" w14:textId="77777777" w:rsidR="004F1BF4" w:rsidRPr="00A3631F" w:rsidRDefault="009C0D03">
      <w:pPr>
        <w:numPr>
          <w:ilvl w:val="0"/>
          <w:numId w:val="1"/>
        </w:numPr>
        <w:ind w:right="-704"/>
        <w:jc w:val="both"/>
        <w:rPr>
          <w:rFonts w:ascii="Palatino Linotype" w:eastAsia="Palatino Linotype" w:hAnsi="Palatino Linotype" w:cs="Palatino Linotype"/>
          <w:b/>
          <w:bCs/>
          <w:color w:val="000000"/>
        </w:rPr>
      </w:pPr>
      <w:bookmarkStart w:id="2" w:name="_heading=h.1fob9te" w:colFirst="0" w:colLast="0"/>
      <w:bookmarkEnd w:id="2"/>
      <w:r w:rsidRPr="00A3631F">
        <w:rPr>
          <w:rFonts w:ascii="Palatino Linotype" w:eastAsia="Palatino Linotype" w:hAnsi="Palatino Linotype" w:cs="Palatino Linotype"/>
          <w:b/>
          <w:bCs/>
          <w:color w:val="000000"/>
        </w:rPr>
        <w:lastRenderedPageBreak/>
        <w:t xml:space="preserve">ACTO IMPUGNADO: </w:t>
      </w:r>
    </w:p>
    <w:p w14:paraId="6F8D7BE5" w14:textId="77777777" w:rsidR="004F1BF4" w:rsidRPr="00A3631F" w:rsidRDefault="009C0D03">
      <w:pPr>
        <w:ind w:left="1134" w:right="-704"/>
        <w:jc w:val="both"/>
        <w:rPr>
          <w:rFonts w:ascii="Palatino Linotype" w:eastAsia="Palatino Linotype" w:hAnsi="Palatino Linotype" w:cs="Palatino Linotype"/>
          <w:i/>
          <w:iCs/>
        </w:rPr>
      </w:pPr>
      <w:r w:rsidRPr="00A3631F">
        <w:rPr>
          <w:rFonts w:ascii="Palatino Linotype" w:eastAsia="Palatino Linotype" w:hAnsi="Palatino Linotype" w:cs="Palatino Linotype"/>
          <w:i/>
          <w:iCs/>
          <w:color w:val="000000"/>
        </w:rPr>
        <w:t>“niega la información solicitada cuando es publica la Directora de Recursos Humanos todo niega dice que además infoem o le hará nada que ya se van y e ese link no están los recibos solicitados</w:t>
      </w:r>
      <w:r w:rsidRPr="00A3631F">
        <w:rPr>
          <w:rFonts w:ascii="Palatino Linotype" w:eastAsia="Palatino Linotype" w:hAnsi="Palatino Linotype" w:cs="Palatino Linotype"/>
          <w:i/>
          <w:iCs/>
        </w:rPr>
        <w:t>”(Sic.)</w:t>
      </w:r>
    </w:p>
    <w:p w14:paraId="21D6E725" w14:textId="77777777" w:rsidR="004F1BF4" w:rsidRPr="00A3631F" w:rsidRDefault="004F1BF4">
      <w:pPr>
        <w:pBdr>
          <w:top w:val="nil"/>
          <w:left w:val="nil"/>
          <w:bottom w:val="nil"/>
          <w:right w:val="nil"/>
          <w:between w:val="nil"/>
        </w:pBdr>
        <w:ind w:left="1134" w:right="-704"/>
        <w:jc w:val="both"/>
        <w:rPr>
          <w:rFonts w:ascii="Palatino Linotype" w:eastAsia="Palatino Linotype" w:hAnsi="Palatino Linotype" w:cs="Palatino Linotype"/>
          <w:color w:val="000000"/>
        </w:rPr>
      </w:pPr>
    </w:p>
    <w:p w14:paraId="4C6E4018" w14:textId="77777777" w:rsidR="004F1BF4" w:rsidRPr="00A3631F" w:rsidRDefault="009C0D03">
      <w:pPr>
        <w:numPr>
          <w:ilvl w:val="0"/>
          <w:numId w:val="11"/>
        </w:numPr>
        <w:ind w:right="-704"/>
        <w:jc w:val="both"/>
        <w:rPr>
          <w:rFonts w:ascii="Palatino Linotype" w:eastAsia="Palatino Linotype" w:hAnsi="Palatino Linotype" w:cs="Palatino Linotype"/>
          <w:b/>
          <w:bCs/>
          <w:color w:val="000000"/>
        </w:rPr>
      </w:pPr>
      <w:bookmarkStart w:id="3" w:name="_heading=h.3znysh7" w:colFirst="0" w:colLast="0"/>
      <w:bookmarkEnd w:id="3"/>
      <w:r w:rsidRPr="00A3631F">
        <w:rPr>
          <w:rFonts w:ascii="Palatino Linotype" w:eastAsia="Palatino Linotype" w:hAnsi="Palatino Linotype" w:cs="Palatino Linotype"/>
          <w:b/>
          <w:bCs/>
          <w:color w:val="000000"/>
        </w:rPr>
        <w:t xml:space="preserve">RAZONES O MOTIVOS DE INCONFORMIDAD: </w:t>
      </w:r>
    </w:p>
    <w:p w14:paraId="3C9DC7C3" w14:textId="77777777" w:rsidR="004F1BF4" w:rsidRPr="00A3631F" w:rsidRDefault="009C0D03">
      <w:pPr>
        <w:ind w:left="1134" w:right="-704"/>
        <w:jc w:val="both"/>
        <w:rPr>
          <w:rFonts w:ascii="Palatino Linotype" w:eastAsia="Palatino Linotype" w:hAnsi="Palatino Linotype" w:cs="Palatino Linotype"/>
          <w:i/>
          <w:iCs/>
        </w:rPr>
      </w:pPr>
      <w:r w:rsidRPr="00A3631F">
        <w:rPr>
          <w:rFonts w:ascii="Palatino Linotype" w:eastAsia="Palatino Linotype" w:hAnsi="Palatino Linotype" w:cs="Palatino Linotype"/>
          <w:i/>
          <w:iCs/>
          <w:color w:val="000000"/>
        </w:rPr>
        <w:t>“</w:t>
      </w:r>
      <w:r w:rsidRPr="00A3631F">
        <w:rPr>
          <w:rFonts w:ascii="Palatino Linotype" w:eastAsia="Palatino Linotype" w:hAnsi="Palatino Linotype" w:cs="Palatino Linotype"/>
          <w:i/>
          <w:iCs/>
        </w:rPr>
        <w:t>niega la información solicitada cuando es publica la Directora de Recursos Humanos todo niega dice que además infoem o le hará nada que ya se van y e ese link no están los recibos solicitados”(Sic).</w:t>
      </w:r>
    </w:p>
    <w:p w14:paraId="0C056506" w14:textId="77777777" w:rsidR="004F1BF4" w:rsidRPr="00A3631F" w:rsidRDefault="004F1BF4">
      <w:pPr>
        <w:pBdr>
          <w:top w:val="nil"/>
          <w:left w:val="nil"/>
          <w:bottom w:val="nil"/>
          <w:right w:val="nil"/>
          <w:between w:val="nil"/>
        </w:pBdr>
        <w:ind w:left="1134" w:right="-704"/>
        <w:jc w:val="both"/>
        <w:rPr>
          <w:rFonts w:ascii="Palatino Linotype" w:eastAsia="Palatino Linotype" w:hAnsi="Palatino Linotype" w:cs="Palatino Linotype"/>
          <w:color w:val="000000"/>
        </w:rPr>
      </w:pPr>
    </w:p>
    <w:p w14:paraId="46016135" w14:textId="77777777" w:rsidR="004F1BF4" w:rsidRPr="00A3631F" w:rsidRDefault="004F1BF4">
      <w:pPr>
        <w:ind w:right="-704"/>
        <w:jc w:val="both"/>
        <w:rPr>
          <w:rFonts w:ascii="Palatino Linotype" w:eastAsia="Palatino Linotype" w:hAnsi="Palatino Linotype" w:cs="Palatino Linotype"/>
          <w:b/>
          <w:bCs/>
          <w:i/>
          <w:iCs/>
          <w:color w:val="000000"/>
        </w:rPr>
      </w:pPr>
    </w:p>
    <w:p w14:paraId="3DFB19C7" w14:textId="77777777" w:rsidR="004F1BF4" w:rsidRPr="00A3631F" w:rsidRDefault="009C0D03">
      <w:pPr>
        <w:numPr>
          <w:ilvl w:val="0"/>
          <w:numId w:val="5"/>
        </w:numPr>
        <w:pBdr>
          <w:top w:val="nil"/>
          <w:left w:val="nil"/>
          <w:bottom w:val="nil"/>
          <w:right w:val="nil"/>
          <w:between w:val="nil"/>
        </w:pBdr>
        <w:spacing w:line="360" w:lineRule="auto"/>
        <w:ind w:left="0" w:right="-704" w:firstLine="0"/>
        <w:jc w:val="both"/>
        <w:rPr>
          <w:color w:val="000000"/>
        </w:rPr>
      </w:pPr>
      <w:r w:rsidRPr="00A3631F">
        <w:rPr>
          <w:rFonts w:ascii="Palatino Linotype" w:eastAsia="Palatino Linotype" w:hAnsi="Palatino Linotype" w:cs="Palatino Linotype"/>
          <w:color w:val="000000"/>
        </w:rPr>
        <w:t>Consecutivamente</w:t>
      </w:r>
      <w:r w:rsidRPr="00A3631F">
        <w:rPr>
          <w:rFonts w:ascii="Palatino Linotype" w:eastAsia="Palatino Linotype" w:hAnsi="Palatino Linotype" w:cs="Palatino Linotype"/>
          <w:i/>
          <w:iCs/>
          <w:color w:val="000000"/>
        </w:rPr>
        <w:t xml:space="preserve">, </w:t>
      </w:r>
      <w:r w:rsidRPr="00A3631F">
        <w:rPr>
          <w:rFonts w:ascii="Palatino Linotype" w:eastAsia="Palatino Linotype" w:hAnsi="Palatino Linotype" w:cs="Palatino Linotype"/>
          <w:color w:val="000000"/>
        </w:rPr>
        <w:t xml:space="preserve">con fundamento en lo dispuesto por el artículo 185 fracción I de la Ley de Transparencia y Acceso a la Información Pública del Estado de México y Municipios, el recurso fue turnado a la ponencia de la </w:t>
      </w:r>
      <w:r w:rsidRPr="00A3631F">
        <w:rPr>
          <w:rFonts w:ascii="Palatino Linotype" w:eastAsia="Palatino Linotype" w:hAnsi="Palatino Linotype" w:cs="Palatino Linotype"/>
          <w:b/>
          <w:bCs/>
          <w:color w:val="000000"/>
        </w:rPr>
        <w:t>Comisionada</w:t>
      </w:r>
      <w:r w:rsidRPr="00A3631F">
        <w:rPr>
          <w:rFonts w:ascii="Palatino Linotype" w:eastAsia="Palatino Linotype" w:hAnsi="Palatino Linotype" w:cs="Palatino Linotype"/>
          <w:color w:val="000000"/>
        </w:rPr>
        <w:t xml:space="preserve"> </w:t>
      </w:r>
      <w:r w:rsidRPr="00A3631F">
        <w:rPr>
          <w:rFonts w:ascii="Palatino Linotype" w:eastAsia="Palatino Linotype" w:hAnsi="Palatino Linotype" w:cs="Palatino Linotype"/>
          <w:b/>
          <w:bCs/>
          <w:color w:val="000000"/>
        </w:rPr>
        <w:t>María del Rosario Mejía Ayala</w:t>
      </w:r>
      <w:r w:rsidRPr="00A3631F">
        <w:rPr>
          <w:rFonts w:ascii="Palatino Linotype" w:eastAsia="Palatino Linotype" w:hAnsi="Palatino Linotype" w:cs="Palatino Linotype"/>
          <w:color w:val="000000"/>
        </w:rPr>
        <w:t>,</w:t>
      </w:r>
      <w:r w:rsidRPr="00A3631F">
        <w:rPr>
          <w:rFonts w:ascii="Palatino Linotype" w:eastAsia="Palatino Linotype" w:hAnsi="Palatino Linotype" w:cs="Palatino Linotype"/>
          <w:b/>
          <w:bCs/>
          <w:color w:val="000000"/>
        </w:rPr>
        <w:t xml:space="preserve"> </w:t>
      </w:r>
      <w:r w:rsidRPr="00A3631F">
        <w:rPr>
          <w:rFonts w:ascii="Palatino Linotype" w:eastAsia="Palatino Linotype" w:hAnsi="Palatino Linotype" w:cs="Palatino Linotype"/>
        </w:rPr>
        <w:t>para</w:t>
      </w:r>
      <w:r w:rsidRPr="00A3631F">
        <w:rPr>
          <w:rFonts w:ascii="Palatino Linotype" w:eastAsia="Palatino Linotype" w:hAnsi="Palatino Linotype" w:cs="Palatino Linotype"/>
          <w:color w:val="000000"/>
        </w:rPr>
        <w:t xml:space="preserve"> su análisis.</w:t>
      </w:r>
    </w:p>
    <w:p w14:paraId="6518B3DE" w14:textId="77777777" w:rsidR="004F1BF4" w:rsidRPr="00A3631F" w:rsidRDefault="004F1BF4">
      <w:pPr>
        <w:pBdr>
          <w:top w:val="nil"/>
          <w:left w:val="nil"/>
          <w:bottom w:val="nil"/>
          <w:right w:val="nil"/>
          <w:between w:val="nil"/>
        </w:pBdr>
        <w:spacing w:line="360" w:lineRule="auto"/>
        <w:ind w:right="-704"/>
        <w:jc w:val="both"/>
        <w:rPr>
          <w:rFonts w:ascii="Palatino Linotype" w:eastAsia="Palatino Linotype" w:hAnsi="Palatino Linotype" w:cs="Palatino Linotype"/>
          <w:color w:val="000000"/>
        </w:rPr>
      </w:pPr>
    </w:p>
    <w:p w14:paraId="7FB93DE9" w14:textId="77777777" w:rsidR="004F1BF4" w:rsidRPr="00A3631F" w:rsidRDefault="009C0D03">
      <w:pPr>
        <w:numPr>
          <w:ilvl w:val="0"/>
          <w:numId w:val="5"/>
        </w:numPr>
        <w:pBdr>
          <w:top w:val="nil"/>
          <w:left w:val="nil"/>
          <w:bottom w:val="nil"/>
          <w:right w:val="nil"/>
          <w:between w:val="nil"/>
        </w:pBdr>
        <w:spacing w:line="360" w:lineRule="auto"/>
        <w:ind w:left="0" w:right="-704" w:firstLine="0"/>
        <w:jc w:val="both"/>
        <w:rPr>
          <w:color w:val="000000"/>
        </w:rPr>
      </w:pPr>
      <w:r w:rsidRPr="00A3631F">
        <w:rPr>
          <w:rFonts w:ascii="Palatino Linotype" w:eastAsia="Palatino Linotype" w:hAnsi="Palatino Linotype" w:cs="Palatino Linotype"/>
          <w:color w:val="000000"/>
        </w:rPr>
        <w:t xml:space="preserve">La Comisionada </w:t>
      </w:r>
      <w:r w:rsidRPr="00A3631F">
        <w:rPr>
          <w:rFonts w:ascii="Palatino Linotype" w:eastAsia="Palatino Linotype" w:hAnsi="Palatino Linotype" w:cs="Palatino Linotype"/>
        </w:rPr>
        <w:t>p</w:t>
      </w:r>
      <w:r w:rsidRPr="00A3631F">
        <w:rPr>
          <w:rFonts w:ascii="Palatino Linotype" w:eastAsia="Palatino Linotype" w:hAnsi="Palatino Linotype" w:cs="Palatino Linotype"/>
          <w:color w:val="000000"/>
        </w:rPr>
        <w:t xml:space="preserve">onente con fundamento en lo dispuesto por el artículo 185 fracción II de la ley de la materia, a través del </w:t>
      </w:r>
      <w:r w:rsidRPr="00A3631F">
        <w:rPr>
          <w:rFonts w:ascii="Palatino Linotype" w:eastAsia="Palatino Linotype" w:hAnsi="Palatino Linotype" w:cs="Palatino Linotype"/>
          <w:b/>
          <w:bCs/>
          <w:color w:val="000000"/>
        </w:rPr>
        <w:t xml:space="preserve">acuerdo de admisión </w:t>
      </w:r>
      <w:r w:rsidRPr="00A3631F">
        <w:rPr>
          <w:rFonts w:ascii="Palatino Linotype" w:eastAsia="Palatino Linotype" w:hAnsi="Palatino Linotype" w:cs="Palatino Linotype"/>
          <w:color w:val="000000"/>
        </w:rPr>
        <w:t xml:space="preserve">del </w:t>
      </w:r>
      <w:r w:rsidRPr="00A3631F">
        <w:rPr>
          <w:rFonts w:ascii="Palatino Linotype" w:eastAsia="Palatino Linotype" w:hAnsi="Palatino Linotype" w:cs="Palatino Linotype"/>
          <w:b/>
          <w:bCs/>
          <w:color w:val="000000"/>
        </w:rPr>
        <w:t xml:space="preserve">once de noviembre de dos mil veinticinco, </w:t>
      </w:r>
      <w:r w:rsidRPr="00A3631F">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Pr="00A3631F">
        <w:rPr>
          <w:rFonts w:ascii="Palatino Linotype" w:eastAsia="Palatino Linotype" w:hAnsi="Palatino Linotype" w:cs="Palatino Linotype"/>
        </w:rPr>
        <w:t>manifestara</w:t>
      </w:r>
      <w:r w:rsidRPr="00A3631F">
        <w:rPr>
          <w:rFonts w:ascii="Palatino Linotype" w:eastAsia="Palatino Linotype" w:hAnsi="Palatino Linotype" w:cs="Palatino Linotype"/>
          <w:color w:val="000000"/>
        </w:rPr>
        <w:t xml:space="preserve"> lo que a su derecho conviniera, </w:t>
      </w:r>
      <w:r w:rsidRPr="00A3631F">
        <w:rPr>
          <w:rFonts w:ascii="Palatino Linotype" w:eastAsia="Palatino Linotype" w:hAnsi="Palatino Linotype" w:cs="Palatino Linotype"/>
        </w:rPr>
        <w:t>ofreciera</w:t>
      </w:r>
      <w:r w:rsidRPr="00A3631F">
        <w:rPr>
          <w:rFonts w:ascii="Palatino Linotype" w:eastAsia="Palatino Linotype" w:hAnsi="Palatino Linotype" w:cs="Palatino Linotype"/>
          <w:color w:val="000000"/>
        </w:rPr>
        <w:t xml:space="preserve"> pruebas y alegatos según corresponda al caso concreto, de esta forma para que el </w:t>
      </w:r>
      <w:r w:rsidRPr="00A3631F">
        <w:rPr>
          <w:rFonts w:ascii="Palatino Linotype" w:eastAsia="Palatino Linotype" w:hAnsi="Palatino Linotype" w:cs="Palatino Linotype"/>
          <w:b/>
          <w:bCs/>
          <w:color w:val="000000"/>
        </w:rPr>
        <w:t xml:space="preserve">SUJETO OBLIGADO </w:t>
      </w:r>
      <w:r w:rsidRPr="00A3631F">
        <w:rPr>
          <w:rFonts w:ascii="Palatino Linotype" w:eastAsia="Palatino Linotype" w:hAnsi="Palatino Linotype" w:cs="Palatino Linotype"/>
        </w:rPr>
        <w:t>presentase</w:t>
      </w:r>
      <w:r w:rsidRPr="00A3631F">
        <w:rPr>
          <w:rFonts w:ascii="Palatino Linotype" w:eastAsia="Palatino Linotype" w:hAnsi="Palatino Linotype" w:cs="Palatino Linotype"/>
          <w:color w:val="000000"/>
        </w:rPr>
        <w:t xml:space="preserve"> el Informe Justificado procedente.</w:t>
      </w:r>
    </w:p>
    <w:p w14:paraId="008913ED" w14:textId="77777777" w:rsidR="004F1BF4" w:rsidRPr="00A3631F" w:rsidRDefault="004F1BF4">
      <w:pPr>
        <w:pBdr>
          <w:top w:val="nil"/>
          <w:left w:val="nil"/>
          <w:bottom w:val="nil"/>
          <w:right w:val="nil"/>
          <w:between w:val="nil"/>
        </w:pBdr>
        <w:ind w:left="708" w:right="-704"/>
        <w:rPr>
          <w:rFonts w:ascii="Palatino Linotype" w:eastAsia="Palatino Linotype" w:hAnsi="Palatino Linotype" w:cs="Palatino Linotype"/>
          <w:color w:val="000000"/>
        </w:rPr>
      </w:pPr>
    </w:p>
    <w:p w14:paraId="25CE1D60" w14:textId="77777777" w:rsidR="004F1BF4" w:rsidRPr="00A3631F" w:rsidRDefault="009C0D03">
      <w:pPr>
        <w:numPr>
          <w:ilvl w:val="0"/>
          <w:numId w:val="5"/>
        </w:numPr>
        <w:pBdr>
          <w:top w:val="nil"/>
          <w:left w:val="nil"/>
          <w:bottom w:val="nil"/>
          <w:right w:val="nil"/>
          <w:between w:val="nil"/>
        </w:pBdr>
        <w:spacing w:line="360" w:lineRule="auto"/>
        <w:ind w:left="0" w:right="-704" w:firstLine="0"/>
        <w:jc w:val="both"/>
        <w:rPr>
          <w:i/>
          <w:iCs/>
          <w:color w:val="000000"/>
        </w:rPr>
      </w:pPr>
      <w:r w:rsidRPr="00A3631F">
        <w:rPr>
          <w:rFonts w:ascii="Palatino Linotype" w:eastAsia="Palatino Linotype" w:hAnsi="Palatino Linotype" w:cs="Palatino Linotype"/>
          <w:color w:val="000000"/>
        </w:rPr>
        <w:t xml:space="preserve">En esa línea, tal y como se observa en el expediente electrónico el </w:t>
      </w:r>
      <w:r w:rsidRPr="00A3631F">
        <w:rPr>
          <w:rFonts w:ascii="Palatino Linotype" w:eastAsia="Palatino Linotype" w:hAnsi="Palatino Linotype" w:cs="Palatino Linotype"/>
          <w:b/>
          <w:bCs/>
          <w:color w:val="000000"/>
        </w:rPr>
        <w:t xml:space="preserve">SUJETO OBLIGADO </w:t>
      </w:r>
      <w:r w:rsidRPr="00A3631F">
        <w:rPr>
          <w:rFonts w:ascii="Palatino Linotype" w:eastAsia="Palatino Linotype" w:hAnsi="Palatino Linotype" w:cs="Palatino Linotype"/>
          <w:color w:val="000000"/>
        </w:rPr>
        <w:t xml:space="preserve">en fechas </w:t>
      </w:r>
      <w:r w:rsidRPr="00A3631F">
        <w:rPr>
          <w:rFonts w:ascii="Palatino Linotype" w:eastAsia="Palatino Linotype" w:hAnsi="Palatino Linotype" w:cs="Palatino Linotype"/>
          <w:b/>
          <w:bCs/>
          <w:color w:val="000000"/>
        </w:rPr>
        <w:t>veintiuno de noviembre y tres de diciembre de dos mil veinticinco</w:t>
      </w:r>
      <w:r w:rsidRPr="00A3631F">
        <w:rPr>
          <w:rFonts w:ascii="Palatino Linotype" w:eastAsia="Palatino Linotype" w:hAnsi="Palatino Linotype" w:cs="Palatino Linotype"/>
          <w:color w:val="000000"/>
        </w:rPr>
        <w:t xml:space="preserve"> al rendir su informe justificado presentó archivos electrónico</w:t>
      </w:r>
      <w:r w:rsidRPr="00A3631F">
        <w:t xml:space="preserve">s </w:t>
      </w:r>
      <w:r w:rsidRPr="00A3631F">
        <w:rPr>
          <w:rFonts w:ascii="Palatino Linotype" w:eastAsia="Palatino Linotype" w:hAnsi="Palatino Linotype" w:cs="Palatino Linotype"/>
          <w:b/>
          <w:bCs/>
          <w:color w:val="000000"/>
        </w:rPr>
        <w:t xml:space="preserve">Ratificación 12858.pdf </w:t>
      </w:r>
      <w:r w:rsidRPr="00A3631F">
        <w:rPr>
          <w:rFonts w:ascii="Palatino Linotype" w:eastAsia="Palatino Linotype" w:hAnsi="Palatino Linotype" w:cs="Palatino Linotype"/>
          <w:color w:val="000000"/>
        </w:rPr>
        <w:t xml:space="preserve">donde el Titular de la Unidad de Transparencia medularmente ratifica la respuesta de Secretaría </w:t>
      </w:r>
      <w:r w:rsidRPr="00A3631F">
        <w:rPr>
          <w:rFonts w:ascii="Palatino Linotype" w:eastAsia="Palatino Linotype" w:hAnsi="Palatino Linotype" w:cs="Palatino Linotype"/>
          <w:color w:val="000000"/>
        </w:rPr>
        <w:lastRenderedPageBreak/>
        <w:t xml:space="preserve">particular de la Presidencia, Dirección general de Administración y servidores públicos habilitados,  así mismo el archivo </w:t>
      </w:r>
      <w:r w:rsidRPr="00A3631F">
        <w:rPr>
          <w:rFonts w:ascii="Palatino Linotype" w:eastAsia="Palatino Linotype" w:hAnsi="Palatino Linotype" w:cs="Palatino Linotype"/>
          <w:b/>
          <w:bCs/>
          <w:color w:val="000000"/>
        </w:rPr>
        <w:t xml:space="preserve">12858-2025-ANEXOS.pdf </w:t>
      </w:r>
      <w:r w:rsidRPr="00A3631F">
        <w:rPr>
          <w:rFonts w:ascii="Palatino Linotype" w:eastAsia="Palatino Linotype" w:hAnsi="Palatino Linotype" w:cs="Palatino Linotype"/>
        </w:rPr>
        <w:t>dónde el</w:t>
      </w:r>
      <w:r w:rsidRPr="00A3631F">
        <w:rPr>
          <w:rFonts w:ascii="Palatino Linotype" w:eastAsia="Palatino Linotype" w:hAnsi="Palatino Linotype" w:cs="Palatino Linotype"/>
          <w:color w:val="000000"/>
        </w:rPr>
        <w:t xml:space="preserve"> Secretario Particular de la Presidencia medularmente confirma su respuesta inicial  y el archivo </w:t>
      </w:r>
      <w:r w:rsidRPr="00A3631F">
        <w:rPr>
          <w:rFonts w:ascii="Palatino Linotype" w:eastAsia="Palatino Linotype" w:hAnsi="Palatino Linotype" w:cs="Palatino Linotype"/>
          <w:b/>
          <w:bCs/>
          <w:color w:val="000000"/>
        </w:rPr>
        <w:t>12858-2025-ANEXOS_DGA.pdf</w:t>
      </w:r>
      <w:r w:rsidRPr="00A3631F">
        <w:rPr>
          <w:rFonts w:ascii="Palatino Linotype" w:eastAsia="Palatino Linotype" w:hAnsi="Palatino Linotype" w:cs="Palatino Linotype"/>
          <w:color w:val="000000"/>
        </w:rPr>
        <w:t xml:space="preserve"> donde la Directora General de Administración ratifica su respuesta inicial;  por su parte el </w:t>
      </w:r>
      <w:r w:rsidRPr="00A3631F">
        <w:rPr>
          <w:rFonts w:ascii="Palatino Linotype" w:eastAsia="Palatino Linotype" w:hAnsi="Palatino Linotype" w:cs="Palatino Linotype"/>
          <w:b/>
          <w:bCs/>
          <w:color w:val="000000"/>
        </w:rPr>
        <w:t xml:space="preserve">RECURRENTE </w:t>
      </w:r>
      <w:r w:rsidRPr="00A3631F">
        <w:rPr>
          <w:rFonts w:ascii="Palatino Linotype" w:eastAsia="Palatino Linotype" w:hAnsi="Palatino Linotype" w:cs="Palatino Linotype"/>
          <w:color w:val="000000"/>
        </w:rPr>
        <w:t xml:space="preserve">fue omiso en presentar </w:t>
      </w:r>
      <w:r w:rsidRPr="00A3631F">
        <w:rPr>
          <w:rFonts w:ascii="Palatino Linotype" w:eastAsia="Palatino Linotype" w:hAnsi="Palatino Linotype" w:cs="Palatino Linotype"/>
        </w:rPr>
        <w:t>m</w:t>
      </w:r>
      <w:r w:rsidRPr="00A3631F">
        <w:rPr>
          <w:rFonts w:ascii="Palatino Linotype" w:eastAsia="Palatino Linotype" w:hAnsi="Palatino Linotype" w:cs="Palatino Linotype"/>
          <w:color w:val="000000"/>
        </w:rPr>
        <w:t xml:space="preserve">anifestaciones que a su derecho </w:t>
      </w:r>
      <w:r w:rsidRPr="00A3631F">
        <w:rPr>
          <w:rFonts w:ascii="Palatino Linotype" w:eastAsia="Palatino Linotype" w:hAnsi="Palatino Linotype" w:cs="Palatino Linotype"/>
        </w:rPr>
        <w:t>conviniera</w:t>
      </w:r>
      <w:r w:rsidRPr="00A3631F">
        <w:rPr>
          <w:rFonts w:ascii="Palatino Linotype" w:eastAsia="Palatino Linotype" w:hAnsi="Palatino Linotype" w:cs="Palatino Linotype"/>
          <w:color w:val="000000"/>
        </w:rPr>
        <w:t xml:space="preserve"> y asistieran.</w:t>
      </w:r>
    </w:p>
    <w:p w14:paraId="6F49C124" w14:textId="77777777" w:rsidR="004F1BF4" w:rsidRPr="00A3631F" w:rsidRDefault="004F1BF4">
      <w:pPr>
        <w:pBdr>
          <w:top w:val="nil"/>
          <w:left w:val="nil"/>
          <w:bottom w:val="nil"/>
          <w:right w:val="nil"/>
          <w:between w:val="nil"/>
        </w:pBdr>
        <w:spacing w:line="360" w:lineRule="auto"/>
        <w:ind w:left="786" w:right="-704"/>
        <w:jc w:val="both"/>
        <w:rPr>
          <w:rFonts w:ascii="Palatino Linotype" w:eastAsia="Palatino Linotype" w:hAnsi="Palatino Linotype" w:cs="Palatino Linotype"/>
          <w:i/>
          <w:iCs/>
          <w:color w:val="000000"/>
        </w:rPr>
      </w:pPr>
    </w:p>
    <w:p w14:paraId="7B83828A" w14:textId="77777777" w:rsidR="004F1BF4" w:rsidRPr="00A3631F" w:rsidRDefault="009C0D03">
      <w:pPr>
        <w:numPr>
          <w:ilvl w:val="0"/>
          <w:numId w:val="5"/>
        </w:numPr>
        <w:pBdr>
          <w:top w:val="nil"/>
          <w:left w:val="nil"/>
          <w:bottom w:val="nil"/>
          <w:right w:val="nil"/>
          <w:between w:val="nil"/>
        </w:pBdr>
        <w:spacing w:line="360" w:lineRule="auto"/>
        <w:ind w:left="0" w:right="-704" w:firstLine="0"/>
        <w:jc w:val="both"/>
        <w:rPr>
          <w:rFonts w:ascii="Palatino Linotype" w:eastAsia="Palatino Linotype" w:hAnsi="Palatino Linotype" w:cs="Palatino Linotype"/>
          <w:b/>
          <w:bCs/>
          <w:color w:val="000000"/>
        </w:rPr>
      </w:pPr>
      <w:bookmarkStart w:id="4" w:name="_heading=h.2et92p0" w:colFirst="0" w:colLast="0"/>
      <w:bookmarkEnd w:id="4"/>
      <w:r w:rsidRPr="00A3631F">
        <w:rPr>
          <w:rFonts w:ascii="Palatino Linotype" w:eastAsia="Palatino Linotype" w:hAnsi="Palatino Linotype" w:cs="Palatino Linotype"/>
          <w:color w:val="000000"/>
        </w:rPr>
        <w:t xml:space="preserve">En </w:t>
      </w:r>
      <w:r w:rsidRPr="00A3631F">
        <w:rPr>
          <w:rFonts w:ascii="Palatino Linotype" w:eastAsia="Palatino Linotype" w:hAnsi="Palatino Linotype" w:cs="Palatino Linotype"/>
          <w:b/>
          <w:bCs/>
          <w:color w:val="000000"/>
        </w:rPr>
        <w:t>fecha veintisiete de mayo de dos mil veinticinco</w:t>
      </w:r>
      <w:r w:rsidRPr="00A3631F">
        <w:rPr>
          <w:rFonts w:ascii="Palatino Linotype" w:eastAsia="Palatino Linotype" w:hAnsi="Palatino Linotype" w:cs="Palatino Linotype"/>
          <w:color w:val="000000"/>
        </w:rPr>
        <w:t>, se acordó ampliar el término para resolver el presente asunto.</w:t>
      </w:r>
    </w:p>
    <w:p w14:paraId="7F33E57C" w14:textId="77777777" w:rsidR="004F1BF4" w:rsidRPr="00A3631F" w:rsidRDefault="004F1BF4">
      <w:pPr>
        <w:pBdr>
          <w:top w:val="nil"/>
          <w:left w:val="nil"/>
          <w:bottom w:val="nil"/>
          <w:right w:val="nil"/>
          <w:between w:val="nil"/>
        </w:pBdr>
        <w:ind w:left="720" w:right="-704"/>
        <w:rPr>
          <w:rFonts w:ascii="Palatino Linotype" w:eastAsia="Palatino Linotype" w:hAnsi="Palatino Linotype" w:cs="Palatino Linotype"/>
          <w:b/>
          <w:bCs/>
          <w:color w:val="000000"/>
        </w:rPr>
      </w:pPr>
    </w:p>
    <w:p w14:paraId="04F7C1E8" w14:textId="77777777" w:rsidR="004F1BF4" w:rsidRPr="00A3631F" w:rsidRDefault="009C0D03">
      <w:pPr>
        <w:numPr>
          <w:ilvl w:val="0"/>
          <w:numId w:val="5"/>
        </w:numPr>
        <w:pBdr>
          <w:top w:val="nil"/>
          <w:left w:val="nil"/>
          <w:bottom w:val="nil"/>
          <w:right w:val="nil"/>
          <w:between w:val="nil"/>
        </w:pBdr>
        <w:spacing w:line="360" w:lineRule="auto"/>
        <w:ind w:left="0" w:right="-704" w:firstLine="0"/>
        <w:jc w:val="both"/>
        <w:rPr>
          <w:color w:val="000000"/>
        </w:rPr>
      </w:pPr>
      <w:r w:rsidRPr="00A3631F">
        <w:rPr>
          <w:rFonts w:ascii="Palatino Linotype" w:eastAsia="Palatino Linotype" w:hAnsi="Palatino Linotype" w:cs="Palatino Linotype"/>
          <w:color w:val="000000"/>
        </w:rPr>
        <w:t>Por ello, es menester precisar que, si bien se ha excedido el plazo para resolver el presente medio de impugnación, de conformidad con la ley de la materia, dicha dilación es de carácter excepcional y se encuentra justificada en los elementos para medir la razonabilidad del plazo de resolución de asuntos conforme a los parámetros establecidos por diversos órganos jurisdiccionales federales, aplicables también en procedimientos análogos, como el que nos ocupa.</w:t>
      </w:r>
    </w:p>
    <w:p w14:paraId="2FD69E80" w14:textId="77777777" w:rsidR="004F1BF4" w:rsidRPr="00A3631F" w:rsidRDefault="004F1BF4">
      <w:pPr>
        <w:pBdr>
          <w:top w:val="nil"/>
          <w:left w:val="nil"/>
          <w:bottom w:val="nil"/>
          <w:right w:val="nil"/>
          <w:between w:val="nil"/>
        </w:pBdr>
        <w:ind w:left="720" w:right="-704"/>
        <w:rPr>
          <w:rFonts w:ascii="Palatino Linotype" w:eastAsia="Palatino Linotype" w:hAnsi="Palatino Linotype" w:cs="Palatino Linotype"/>
          <w:color w:val="000000"/>
        </w:rPr>
      </w:pPr>
    </w:p>
    <w:p w14:paraId="578B5756" w14:textId="40610813" w:rsidR="004F1BF4" w:rsidRDefault="009C0D03">
      <w:pPr>
        <w:numPr>
          <w:ilvl w:val="0"/>
          <w:numId w:val="7"/>
        </w:numPr>
        <w:spacing w:line="360" w:lineRule="auto"/>
        <w:ind w:left="0" w:right="-704" w:firstLine="0"/>
        <w:jc w:val="both"/>
        <w:rPr>
          <w:rFonts w:ascii="Palatino Linotype" w:eastAsia="Palatino Linotype" w:hAnsi="Palatino Linotype" w:cs="Palatino Linotype"/>
        </w:rPr>
      </w:pPr>
      <w:r w:rsidRPr="00A3631F">
        <w:rPr>
          <w:rFonts w:ascii="Palatino Linotype" w:eastAsia="Palatino Linotype" w:hAnsi="Palatino Linotype" w:cs="Palatino Linotype"/>
        </w:rPr>
        <w:t xml:space="preserve">La Comisionada Ponente decretó el cierre de instrucción mediante el acuerdo del </w:t>
      </w:r>
      <w:r w:rsidRPr="00A3631F">
        <w:rPr>
          <w:rFonts w:ascii="Palatino Linotype" w:eastAsia="Palatino Linotype" w:hAnsi="Palatino Linotype" w:cs="Palatino Linotype"/>
          <w:b/>
          <w:bCs/>
        </w:rPr>
        <w:t xml:space="preserve">dos de junio de dos mil veintiséis; </w:t>
      </w:r>
      <w:r w:rsidRPr="00A3631F">
        <w:rPr>
          <w:rFonts w:ascii="Palatino Linotype" w:eastAsia="Palatino Linotype" w:hAnsi="Palatino Linotype" w:cs="Palatino Linotype"/>
        </w:rPr>
        <w:t xml:space="preserve">por lo que en virtud de que el expediente electrónico ha sido debidamente substanciado y no existe diligencia pendiente de desahogo, se procede a emitir la presente resolución que conforme a Derecho corresponda y </w:t>
      </w:r>
      <w:r w:rsidR="00A3631F">
        <w:rPr>
          <w:rFonts w:ascii="Palatino Linotype" w:eastAsia="Palatino Linotype" w:hAnsi="Palatino Linotype" w:cs="Palatino Linotype"/>
        </w:rPr>
        <w:t>---------------------------------------</w:t>
      </w:r>
    </w:p>
    <w:p w14:paraId="657F8A8E" w14:textId="77777777" w:rsidR="00A3631F" w:rsidRPr="00A3631F" w:rsidRDefault="00A3631F" w:rsidP="00A3631F">
      <w:pPr>
        <w:spacing w:line="360" w:lineRule="auto"/>
        <w:ind w:right="-704"/>
        <w:jc w:val="both"/>
        <w:rPr>
          <w:rFonts w:ascii="Palatino Linotype" w:eastAsia="Palatino Linotype" w:hAnsi="Palatino Linotype" w:cs="Palatino Linotype"/>
        </w:rPr>
      </w:pPr>
    </w:p>
    <w:p w14:paraId="17A258FC" w14:textId="77777777" w:rsidR="004F1BF4" w:rsidRPr="00A3631F" w:rsidRDefault="004F1BF4">
      <w:pPr>
        <w:pBdr>
          <w:top w:val="nil"/>
          <w:left w:val="nil"/>
          <w:bottom w:val="nil"/>
          <w:right w:val="nil"/>
          <w:between w:val="nil"/>
        </w:pBdr>
        <w:spacing w:line="720" w:lineRule="auto"/>
        <w:ind w:left="720" w:right="-704"/>
        <w:rPr>
          <w:rFonts w:ascii="Palatino Linotype" w:eastAsia="Palatino Linotype" w:hAnsi="Palatino Linotype" w:cs="Palatino Linotype"/>
          <w:color w:val="000000"/>
        </w:rPr>
      </w:pPr>
    </w:p>
    <w:p w14:paraId="4A3C6DC0" w14:textId="77777777" w:rsidR="004F1BF4" w:rsidRPr="00A3631F" w:rsidRDefault="009C0D03">
      <w:pPr>
        <w:pBdr>
          <w:top w:val="nil"/>
          <w:left w:val="nil"/>
          <w:bottom w:val="nil"/>
          <w:right w:val="nil"/>
          <w:between w:val="nil"/>
        </w:pBdr>
        <w:spacing w:line="360" w:lineRule="auto"/>
        <w:ind w:right="-704"/>
        <w:jc w:val="center"/>
        <w:rPr>
          <w:rFonts w:ascii="Palatino Linotype" w:eastAsia="Palatino Linotype" w:hAnsi="Palatino Linotype" w:cs="Palatino Linotype"/>
          <w:b/>
          <w:bCs/>
          <w:color w:val="000000"/>
        </w:rPr>
      </w:pPr>
      <w:r w:rsidRPr="00A3631F">
        <w:rPr>
          <w:rFonts w:ascii="Palatino Linotype" w:eastAsia="Palatino Linotype" w:hAnsi="Palatino Linotype" w:cs="Palatino Linotype"/>
          <w:b/>
          <w:bCs/>
          <w:color w:val="000000"/>
        </w:rPr>
        <w:lastRenderedPageBreak/>
        <w:t xml:space="preserve">C O N S I D E R A N D O </w:t>
      </w:r>
    </w:p>
    <w:p w14:paraId="0B4B2D0E" w14:textId="77777777" w:rsidR="004F1BF4" w:rsidRPr="00A3631F" w:rsidRDefault="004F1BF4">
      <w:pPr>
        <w:pBdr>
          <w:top w:val="nil"/>
          <w:left w:val="nil"/>
          <w:bottom w:val="nil"/>
          <w:right w:val="nil"/>
          <w:between w:val="nil"/>
        </w:pBdr>
        <w:spacing w:line="360" w:lineRule="auto"/>
        <w:ind w:right="-704"/>
        <w:jc w:val="center"/>
        <w:rPr>
          <w:rFonts w:ascii="Palatino Linotype" w:eastAsia="Palatino Linotype" w:hAnsi="Palatino Linotype" w:cs="Palatino Linotype"/>
          <w:b/>
          <w:bCs/>
          <w:color w:val="000000"/>
        </w:rPr>
      </w:pPr>
    </w:p>
    <w:p w14:paraId="5E0C1E71" w14:textId="77777777" w:rsidR="004F1BF4" w:rsidRPr="00A3631F" w:rsidRDefault="009C0D03">
      <w:pPr>
        <w:pStyle w:val="Ttulo2"/>
        <w:spacing w:before="0" w:line="360" w:lineRule="auto"/>
        <w:ind w:right="-704"/>
        <w:rPr>
          <w:rFonts w:ascii="Palatino Linotype" w:eastAsia="Palatino Linotype" w:hAnsi="Palatino Linotype" w:cs="Palatino Linotype"/>
          <w:b/>
          <w:bCs/>
          <w:color w:val="000000"/>
          <w:sz w:val="24"/>
          <w:szCs w:val="24"/>
        </w:rPr>
      </w:pPr>
      <w:bookmarkStart w:id="5" w:name="_heading=h.tyjcwt" w:colFirst="0" w:colLast="0"/>
      <w:bookmarkEnd w:id="5"/>
      <w:r w:rsidRPr="00A3631F">
        <w:rPr>
          <w:rFonts w:ascii="Palatino Linotype" w:eastAsia="Palatino Linotype" w:hAnsi="Palatino Linotype" w:cs="Palatino Linotype"/>
          <w:b/>
          <w:bCs/>
          <w:color w:val="000000"/>
          <w:sz w:val="24"/>
          <w:szCs w:val="24"/>
        </w:rPr>
        <w:t>PRIMERO. De la competencia</w:t>
      </w:r>
    </w:p>
    <w:p w14:paraId="11F8C346" w14:textId="77777777" w:rsidR="004F1BF4" w:rsidRPr="00A3631F" w:rsidRDefault="009C0D03">
      <w:pPr>
        <w:numPr>
          <w:ilvl w:val="0"/>
          <w:numId w:val="8"/>
        </w:numPr>
        <w:pBdr>
          <w:top w:val="nil"/>
          <w:left w:val="nil"/>
          <w:bottom w:val="nil"/>
          <w:right w:val="nil"/>
          <w:between w:val="nil"/>
        </w:pBdr>
        <w:spacing w:line="360" w:lineRule="auto"/>
        <w:ind w:left="0" w:right="-704" w:firstLine="0"/>
        <w:jc w:val="both"/>
        <w:rPr>
          <w:rFonts w:ascii="Palatino Linotype" w:eastAsia="Palatino Linotype" w:hAnsi="Palatino Linotype" w:cs="Palatino Linotype"/>
          <w:color w:val="000000"/>
        </w:rPr>
      </w:pPr>
      <w:r w:rsidRPr="00A3631F">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14:paraId="0F680F54" w14:textId="77777777" w:rsidR="004F1BF4" w:rsidRPr="00A3631F" w:rsidRDefault="004F1BF4">
      <w:pPr>
        <w:pBdr>
          <w:top w:val="nil"/>
          <w:left w:val="nil"/>
          <w:bottom w:val="nil"/>
          <w:right w:val="nil"/>
          <w:between w:val="nil"/>
        </w:pBdr>
        <w:tabs>
          <w:tab w:val="left" w:pos="426"/>
        </w:tabs>
        <w:spacing w:line="360" w:lineRule="auto"/>
        <w:ind w:right="-704"/>
        <w:jc w:val="both"/>
        <w:rPr>
          <w:rFonts w:ascii="Palatino Linotype" w:eastAsia="Palatino Linotype" w:hAnsi="Palatino Linotype" w:cs="Palatino Linotype"/>
          <w:b/>
          <w:bCs/>
          <w:color w:val="000000"/>
        </w:rPr>
      </w:pPr>
      <w:bookmarkStart w:id="6" w:name="_heading=h.3dy6vkm" w:colFirst="0" w:colLast="0"/>
      <w:bookmarkEnd w:id="6"/>
    </w:p>
    <w:p w14:paraId="2620B427" w14:textId="77777777" w:rsidR="004F1BF4" w:rsidRPr="00A3631F" w:rsidRDefault="009C0D03">
      <w:pPr>
        <w:pBdr>
          <w:top w:val="nil"/>
          <w:left w:val="nil"/>
          <w:bottom w:val="nil"/>
          <w:right w:val="nil"/>
          <w:between w:val="nil"/>
        </w:pBdr>
        <w:tabs>
          <w:tab w:val="left" w:pos="426"/>
        </w:tabs>
        <w:spacing w:line="360" w:lineRule="auto"/>
        <w:ind w:right="-704"/>
        <w:jc w:val="both"/>
        <w:rPr>
          <w:rFonts w:ascii="Palatino Linotype" w:eastAsia="Palatino Linotype" w:hAnsi="Palatino Linotype" w:cs="Palatino Linotype"/>
          <w:b/>
          <w:bCs/>
          <w:color w:val="000000"/>
        </w:rPr>
      </w:pPr>
      <w:bookmarkStart w:id="7" w:name="_heading=h.1t3h5sf" w:colFirst="0" w:colLast="0"/>
      <w:bookmarkEnd w:id="7"/>
      <w:r w:rsidRPr="00A3631F">
        <w:rPr>
          <w:rFonts w:ascii="Palatino Linotype" w:eastAsia="Palatino Linotype" w:hAnsi="Palatino Linotype" w:cs="Palatino Linotype"/>
          <w:b/>
          <w:bCs/>
          <w:color w:val="000000"/>
        </w:rPr>
        <w:t>SEGUNDO. De la oportunidad y procedencia.</w:t>
      </w:r>
    </w:p>
    <w:p w14:paraId="4FABFD35" w14:textId="77777777" w:rsidR="004F1BF4" w:rsidRPr="00A3631F" w:rsidRDefault="009C0D03">
      <w:pPr>
        <w:numPr>
          <w:ilvl w:val="0"/>
          <w:numId w:val="8"/>
        </w:numPr>
        <w:pBdr>
          <w:top w:val="nil"/>
          <w:left w:val="nil"/>
          <w:bottom w:val="nil"/>
          <w:right w:val="nil"/>
          <w:between w:val="nil"/>
        </w:pBdr>
        <w:spacing w:line="360" w:lineRule="auto"/>
        <w:ind w:left="0" w:right="-704" w:firstLine="0"/>
        <w:jc w:val="both"/>
        <w:rPr>
          <w:color w:val="000000"/>
        </w:rPr>
      </w:pPr>
      <w:bookmarkStart w:id="8" w:name="_heading=h.4d34og8" w:colFirst="0" w:colLast="0"/>
      <w:bookmarkEnd w:id="8"/>
      <w:r w:rsidRPr="00A3631F">
        <w:rPr>
          <w:rFonts w:ascii="Palatino Linotype" w:eastAsia="Palatino Linotype" w:hAnsi="Palatino Linotype" w:cs="Palatino Linotype"/>
          <w:color w:val="000000"/>
        </w:rPr>
        <w:t xml:space="preserve">Los medios de impugnación fueron presentados a través del </w:t>
      </w:r>
      <w:r w:rsidRPr="00A3631F">
        <w:rPr>
          <w:rFonts w:ascii="Palatino Linotype" w:eastAsia="Palatino Linotype" w:hAnsi="Palatino Linotype" w:cs="Palatino Linotype"/>
          <w:b/>
          <w:bCs/>
          <w:color w:val="000000"/>
        </w:rPr>
        <w:t>SAIMEX,</w:t>
      </w:r>
      <w:r w:rsidRPr="00A3631F">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sidRPr="00A3631F">
        <w:rPr>
          <w:rFonts w:ascii="Palatino Linotype" w:eastAsia="Palatino Linotype" w:hAnsi="Palatino Linotype" w:cs="Palatino Linotype"/>
          <w:b/>
          <w:bCs/>
          <w:color w:val="000000"/>
        </w:rPr>
        <w:t>SUJETO OBLIGADO</w:t>
      </w:r>
      <w:r w:rsidRPr="00A3631F">
        <w:rPr>
          <w:rFonts w:ascii="Palatino Linotype" w:eastAsia="Palatino Linotype" w:hAnsi="Palatino Linotype" w:cs="Palatino Linotype"/>
          <w:color w:val="000000"/>
        </w:rPr>
        <w:t xml:space="preserve"> entregó su respuesta el </w:t>
      </w:r>
      <w:r w:rsidRPr="00A3631F">
        <w:rPr>
          <w:rFonts w:ascii="Palatino Linotype" w:eastAsia="Palatino Linotype" w:hAnsi="Palatino Linotype" w:cs="Palatino Linotype"/>
          <w:b/>
          <w:bCs/>
          <w:color w:val="000000"/>
        </w:rPr>
        <w:t>dieciséis de octubre de dos mil veinticinco</w:t>
      </w:r>
      <w:r w:rsidRPr="00A3631F">
        <w:rPr>
          <w:rFonts w:ascii="Palatino Linotype" w:eastAsia="Palatino Linotype" w:hAnsi="Palatino Linotype" w:cs="Palatino Linotype"/>
          <w:color w:val="000000"/>
        </w:rPr>
        <w:t xml:space="preserve">, de tal forma que el plazo para interponer el recurso de revisión transcurrió del día </w:t>
      </w:r>
      <w:r w:rsidRPr="00A3631F">
        <w:rPr>
          <w:rFonts w:ascii="Palatino Linotype" w:eastAsia="Palatino Linotype" w:hAnsi="Palatino Linotype" w:cs="Palatino Linotype"/>
          <w:b/>
          <w:bCs/>
          <w:color w:val="000000"/>
        </w:rPr>
        <w:t>diecinueve de octubre al nueve de noviembre de dos mil veinticinco</w:t>
      </w:r>
      <w:r w:rsidRPr="00A3631F">
        <w:rPr>
          <w:rFonts w:ascii="Palatino Linotype" w:eastAsia="Palatino Linotype" w:hAnsi="Palatino Linotype" w:cs="Palatino Linotype"/>
          <w:color w:val="000000"/>
        </w:rPr>
        <w:t xml:space="preserve">; en consecuencia, el ahora </w:t>
      </w:r>
      <w:r w:rsidRPr="00A3631F">
        <w:rPr>
          <w:rFonts w:ascii="Palatino Linotype" w:eastAsia="Palatino Linotype" w:hAnsi="Palatino Linotype" w:cs="Palatino Linotype"/>
          <w:b/>
          <w:bCs/>
          <w:color w:val="000000"/>
        </w:rPr>
        <w:t>RECURRENTE</w:t>
      </w:r>
      <w:r w:rsidRPr="00A3631F">
        <w:rPr>
          <w:rFonts w:ascii="Palatino Linotype" w:eastAsia="Palatino Linotype" w:hAnsi="Palatino Linotype" w:cs="Palatino Linotype"/>
          <w:color w:val="000000"/>
        </w:rPr>
        <w:t xml:space="preserve"> presentó su inconformidad el día </w:t>
      </w:r>
      <w:r w:rsidRPr="00A3631F">
        <w:rPr>
          <w:rFonts w:ascii="Palatino Linotype" w:eastAsia="Palatino Linotype" w:hAnsi="Palatino Linotype" w:cs="Palatino Linotype"/>
          <w:b/>
          <w:bCs/>
          <w:color w:val="000000"/>
        </w:rPr>
        <w:t>seis de noviembre de dos mil veinticinco</w:t>
      </w:r>
      <w:r w:rsidRPr="00A3631F">
        <w:rPr>
          <w:rFonts w:ascii="Palatino Linotype" w:eastAsia="Palatino Linotype" w:hAnsi="Palatino Linotype" w:cs="Palatino Linotype"/>
          <w:color w:val="000000"/>
        </w:rPr>
        <w:t>; es decir dentro del lapso legalmente establecido para tal efecto.</w:t>
      </w:r>
    </w:p>
    <w:p w14:paraId="50A464A2" w14:textId="77777777" w:rsidR="004F1BF4" w:rsidRPr="00A3631F" w:rsidRDefault="009C0D03">
      <w:pPr>
        <w:numPr>
          <w:ilvl w:val="0"/>
          <w:numId w:val="8"/>
        </w:numPr>
        <w:tabs>
          <w:tab w:val="left" w:pos="0"/>
        </w:tabs>
        <w:spacing w:line="360" w:lineRule="auto"/>
        <w:ind w:left="0" w:right="-704" w:firstLine="0"/>
        <w:jc w:val="both"/>
        <w:rPr>
          <w:rFonts w:ascii="Palatino Linotype" w:eastAsia="Palatino Linotype" w:hAnsi="Palatino Linotype" w:cs="Palatino Linotype"/>
        </w:rPr>
      </w:pPr>
      <w:r w:rsidRPr="00A3631F">
        <w:rPr>
          <w:rFonts w:ascii="Palatino Linotype" w:eastAsia="Palatino Linotype" w:hAnsi="Palatino Linotype" w:cs="Palatino Linotype"/>
        </w:rPr>
        <w:lastRenderedPageBreak/>
        <w:t xml:space="preserve">Por otra parte, de la revisión al expediente electrónico del </w:t>
      </w:r>
      <w:r w:rsidRPr="00A3631F">
        <w:rPr>
          <w:rFonts w:ascii="Palatino Linotype" w:eastAsia="Palatino Linotype" w:hAnsi="Palatino Linotype" w:cs="Palatino Linotype"/>
          <w:b/>
          <w:bCs/>
        </w:rPr>
        <w:t>SAIMEX</w:t>
      </w:r>
      <w:r w:rsidRPr="00A3631F">
        <w:rPr>
          <w:rFonts w:ascii="Palatino Linotype" w:eastAsia="Palatino Linotype" w:hAnsi="Palatino Linotype" w:cs="Palatino Linotype"/>
        </w:rPr>
        <w:t xml:space="preserve"> se desprende que la parte solicitante, en ejercicio de su derecho de acceso a la información pública en el expediente que se revisa, tanto en la solicitud de información como en el recurso de revisión </w:t>
      </w:r>
      <w:r w:rsidRPr="00A3631F">
        <w:rPr>
          <w:rFonts w:ascii="Palatino Linotype" w:eastAsia="Palatino Linotype" w:hAnsi="Palatino Linotype" w:cs="Palatino Linotype"/>
          <w:b/>
          <w:bCs/>
        </w:rPr>
        <w:t>no proporcionó ningún nombre, seudónimo o carácter para ser identificado, ni se tiene certeza de su identidad</w:t>
      </w:r>
      <w:r w:rsidRPr="00A3631F">
        <w:rPr>
          <w:rFonts w:ascii="Palatino Linotype" w:eastAsia="Palatino Linotype" w:hAnsi="Palatino Linotype" w:cs="Palatino Linotype"/>
        </w:rPr>
        <w:t>; sin embargo, es importante señalar también que el nombre de los Solicitantes y Recurrentes no es un requisito indispensable para la tramitación del acto procesal específico en materia de acceso a la información, ello en estricto apego al numeral 155, párrafo tercero, de la Ley de la materia, en concatenación con el 180 del mismo ordenamiento.</w:t>
      </w:r>
    </w:p>
    <w:p w14:paraId="4DB58686" w14:textId="77777777" w:rsidR="004F1BF4" w:rsidRPr="00A3631F" w:rsidRDefault="004F1BF4">
      <w:pPr>
        <w:pBdr>
          <w:top w:val="nil"/>
          <w:left w:val="nil"/>
          <w:bottom w:val="nil"/>
          <w:right w:val="nil"/>
          <w:between w:val="nil"/>
        </w:pBdr>
        <w:tabs>
          <w:tab w:val="left" w:pos="0"/>
        </w:tabs>
        <w:spacing w:line="360" w:lineRule="auto"/>
        <w:ind w:right="-704"/>
        <w:rPr>
          <w:rFonts w:ascii="Palatino Linotype" w:eastAsia="Palatino Linotype" w:hAnsi="Palatino Linotype" w:cs="Palatino Linotype"/>
          <w:color w:val="000000"/>
        </w:rPr>
      </w:pPr>
    </w:p>
    <w:p w14:paraId="47F69D31" w14:textId="77777777" w:rsidR="004F1BF4" w:rsidRPr="00A3631F" w:rsidRDefault="009C0D03">
      <w:pPr>
        <w:numPr>
          <w:ilvl w:val="0"/>
          <w:numId w:val="8"/>
        </w:numPr>
        <w:tabs>
          <w:tab w:val="left" w:pos="0"/>
        </w:tabs>
        <w:spacing w:line="360" w:lineRule="auto"/>
        <w:ind w:left="0" w:right="-704" w:firstLine="0"/>
        <w:jc w:val="both"/>
        <w:rPr>
          <w:rFonts w:ascii="Palatino Linotype" w:eastAsia="Palatino Linotype" w:hAnsi="Palatino Linotype" w:cs="Palatino Linotype"/>
        </w:rPr>
      </w:pPr>
      <w:r w:rsidRPr="00A3631F">
        <w:rPr>
          <w:rFonts w:ascii="Palatino Linotype" w:eastAsia="Palatino Linotype" w:hAnsi="Palatino Linotype" w:cs="Palatino Linotype"/>
        </w:rPr>
        <w:t>Esto es así, ya que de conformidad con los artículos 6, Apartado A, fracciones III y IV de la Constitución Política de los Estados Unidos Mexicanos y 5, párrafos vigésimo, vigésimo primero y vigésimo segundo, fracciones IV y V, de la Constitución Política del Estado Libre y Soberano de México, se establece que toda persona, sin necesidad de acreditar interés alguno o justificar su utilización, tendrá acceso gratuito a la información pública, a sus datos personales o a la rectificación de éstos, además de que se establecerán mecanismos de acceso a la información y procedimientos de revisión expeditos que se sustanciarán ante los organismos autónomos especializados e imparciales que establece la Constitución Federal y local.</w:t>
      </w:r>
    </w:p>
    <w:p w14:paraId="5AF94AD3" w14:textId="77777777" w:rsidR="004F1BF4" w:rsidRPr="00A3631F" w:rsidRDefault="004F1BF4">
      <w:pPr>
        <w:pBdr>
          <w:top w:val="nil"/>
          <w:left w:val="nil"/>
          <w:bottom w:val="nil"/>
          <w:right w:val="nil"/>
          <w:between w:val="nil"/>
        </w:pBdr>
        <w:tabs>
          <w:tab w:val="left" w:pos="0"/>
        </w:tabs>
        <w:ind w:right="-704"/>
        <w:rPr>
          <w:rFonts w:ascii="Palatino Linotype" w:eastAsia="Palatino Linotype" w:hAnsi="Palatino Linotype" w:cs="Palatino Linotype"/>
          <w:color w:val="000000"/>
        </w:rPr>
      </w:pPr>
    </w:p>
    <w:p w14:paraId="28B85B51" w14:textId="77777777" w:rsidR="004F1BF4" w:rsidRPr="00A3631F" w:rsidRDefault="009C0D03">
      <w:pPr>
        <w:numPr>
          <w:ilvl w:val="0"/>
          <w:numId w:val="8"/>
        </w:numPr>
        <w:tabs>
          <w:tab w:val="left" w:pos="0"/>
        </w:tabs>
        <w:spacing w:line="360" w:lineRule="auto"/>
        <w:ind w:left="0" w:right="-704" w:firstLine="0"/>
        <w:jc w:val="both"/>
        <w:rPr>
          <w:rFonts w:ascii="Palatino Linotype" w:eastAsia="Palatino Linotype" w:hAnsi="Palatino Linotype" w:cs="Palatino Linotype"/>
        </w:rPr>
      </w:pPr>
      <w:r w:rsidRPr="00A3631F">
        <w:rPr>
          <w:rFonts w:ascii="Palatino Linotype" w:eastAsia="Palatino Linotype" w:hAnsi="Palatino Linotype" w:cs="Palatino Linotype"/>
        </w:rPr>
        <w:t xml:space="preserve">Por lo cual, de una interpretación sistemática, armónica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w:t>
      </w:r>
      <w:r w:rsidRPr="00A3631F">
        <w:rPr>
          <w:rFonts w:ascii="Palatino Linotype" w:eastAsia="Palatino Linotype" w:hAnsi="Palatino Linotype" w:cs="Palatino Linotype"/>
        </w:rPr>
        <w:lastRenderedPageBreak/>
        <w:t>legitimación en la causa o su interés en el asunto, lo que permite la posibilidad de que inclusive, la solicitud de acceso a la información pueda ser anónima o no contener un nombre que identifique al solicitante o que permita tener certeza sobre su identidad.</w:t>
      </w:r>
    </w:p>
    <w:p w14:paraId="43940406" w14:textId="77777777" w:rsidR="004F1BF4" w:rsidRPr="00A3631F" w:rsidRDefault="004F1BF4">
      <w:pPr>
        <w:pBdr>
          <w:top w:val="nil"/>
          <w:left w:val="nil"/>
          <w:bottom w:val="nil"/>
          <w:right w:val="nil"/>
          <w:between w:val="nil"/>
        </w:pBdr>
        <w:tabs>
          <w:tab w:val="left" w:pos="0"/>
        </w:tabs>
        <w:spacing w:line="360" w:lineRule="auto"/>
        <w:ind w:right="-704"/>
        <w:rPr>
          <w:rFonts w:ascii="Palatino Linotype" w:eastAsia="Palatino Linotype" w:hAnsi="Palatino Linotype" w:cs="Palatino Linotype"/>
          <w:color w:val="000000"/>
        </w:rPr>
      </w:pPr>
    </w:p>
    <w:p w14:paraId="206B2C9A" w14:textId="77777777" w:rsidR="004F1BF4" w:rsidRPr="00A3631F" w:rsidRDefault="009C0D03">
      <w:pPr>
        <w:numPr>
          <w:ilvl w:val="0"/>
          <w:numId w:val="8"/>
        </w:numPr>
        <w:tabs>
          <w:tab w:val="left" w:pos="0"/>
        </w:tabs>
        <w:spacing w:line="360" w:lineRule="auto"/>
        <w:ind w:left="0" w:right="-704" w:firstLine="0"/>
        <w:jc w:val="both"/>
        <w:rPr>
          <w:rFonts w:ascii="Palatino Linotype" w:eastAsia="Palatino Linotype" w:hAnsi="Palatino Linotype" w:cs="Palatino Linotype"/>
        </w:rPr>
      </w:pPr>
      <w:r w:rsidRPr="00A3631F">
        <w:rPr>
          <w:rFonts w:ascii="Palatino Linotype" w:eastAsia="Palatino Linotype" w:hAnsi="Palatino Linotype" w:cs="Palatino Linotype"/>
        </w:rPr>
        <w:t>En ese entendido, se omite un análisis más profundo en torno a los conceptos de interés jurídico y legitimación, debido a que se estima que a ningún efecto práctico conduciría, puesto que la propia estructura del derecho fundamental bajo análisis no lo exige.</w:t>
      </w:r>
    </w:p>
    <w:p w14:paraId="4A9AE24B" w14:textId="77777777" w:rsidR="004F1BF4" w:rsidRPr="00A3631F" w:rsidRDefault="004F1BF4">
      <w:pPr>
        <w:pBdr>
          <w:top w:val="nil"/>
          <w:left w:val="nil"/>
          <w:bottom w:val="nil"/>
          <w:right w:val="nil"/>
          <w:between w:val="nil"/>
        </w:pBdr>
        <w:tabs>
          <w:tab w:val="left" w:pos="0"/>
        </w:tabs>
        <w:spacing w:line="360" w:lineRule="auto"/>
        <w:ind w:right="-704"/>
        <w:rPr>
          <w:rFonts w:ascii="Palatino Linotype" w:eastAsia="Palatino Linotype" w:hAnsi="Palatino Linotype" w:cs="Palatino Linotype"/>
          <w:color w:val="000000"/>
        </w:rPr>
      </w:pPr>
    </w:p>
    <w:p w14:paraId="32E822A0" w14:textId="77777777" w:rsidR="004F1BF4" w:rsidRPr="00A3631F" w:rsidRDefault="009C0D03">
      <w:pPr>
        <w:numPr>
          <w:ilvl w:val="0"/>
          <w:numId w:val="8"/>
        </w:numPr>
        <w:tabs>
          <w:tab w:val="left" w:pos="0"/>
        </w:tabs>
        <w:spacing w:line="360" w:lineRule="auto"/>
        <w:ind w:left="0" w:right="-704" w:firstLine="0"/>
        <w:jc w:val="both"/>
        <w:rPr>
          <w:rFonts w:ascii="Palatino Linotype" w:eastAsia="Palatino Linotype" w:hAnsi="Palatino Linotype" w:cs="Palatino Linotype"/>
        </w:rPr>
      </w:pPr>
      <w:r w:rsidRPr="00A3631F">
        <w:rPr>
          <w:rFonts w:ascii="Palatino Linotype" w:eastAsia="Palatino Linotype" w:hAnsi="Palatino Linotype" w:cs="Palatino Linotype"/>
        </w:rPr>
        <w:t xml:space="preserve">Por lo que el nombre del </w:t>
      </w:r>
      <w:r w:rsidRPr="00A3631F">
        <w:rPr>
          <w:rFonts w:ascii="Palatino Linotype" w:eastAsia="Palatino Linotype" w:hAnsi="Palatino Linotype" w:cs="Palatino Linotype"/>
          <w:b/>
          <w:bCs/>
        </w:rPr>
        <w:t>SOLICITANTE</w:t>
      </w:r>
      <w:r w:rsidRPr="00A3631F">
        <w:rPr>
          <w:rFonts w:ascii="Palatino Linotype" w:eastAsia="Palatino Linotype" w:hAnsi="Palatino Linotype" w:cs="Palatino Linotype"/>
        </w:rPr>
        <w:t xml:space="preserve"> y subsecuente </w:t>
      </w:r>
      <w:r w:rsidRPr="00A3631F">
        <w:rPr>
          <w:rFonts w:ascii="Palatino Linotype" w:eastAsia="Palatino Linotype" w:hAnsi="Palatino Linotype" w:cs="Palatino Linotype"/>
          <w:b/>
          <w:bCs/>
        </w:rPr>
        <w:t>RECURRENTE</w:t>
      </w:r>
      <w:r w:rsidRPr="00A3631F">
        <w:rPr>
          <w:rFonts w:ascii="Palatino Linotype" w:eastAsia="Palatino Linotype" w:hAnsi="Palatino Linotype" w:cs="Palatino Linotype"/>
        </w:rPr>
        <w:t xml:space="preserve"> no puede ser considerado un requisito indispensable de procedibilidad del recurso de revisión que nos ocupa, ya que el acceso a la información no está condicionado a acreditar algún interés ya sea jurídico o legítimo, máxime que es un elemento subsanable por este Órgano Resolutor.</w:t>
      </w:r>
    </w:p>
    <w:p w14:paraId="0E8523A1" w14:textId="77777777" w:rsidR="004F1BF4" w:rsidRPr="00A3631F" w:rsidRDefault="004F1BF4">
      <w:pPr>
        <w:pBdr>
          <w:top w:val="nil"/>
          <w:left w:val="nil"/>
          <w:bottom w:val="nil"/>
          <w:right w:val="nil"/>
          <w:between w:val="nil"/>
        </w:pBdr>
        <w:spacing w:line="360" w:lineRule="auto"/>
        <w:ind w:right="-704"/>
        <w:jc w:val="both"/>
        <w:rPr>
          <w:color w:val="000000"/>
        </w:rPr>
      </w:pPr>
    </w:p>
    <w:p w14:paraId="24B48040" w14:textId="77777777" w:rsidR="004F1BF4" w:rsidRPr="00A3631F" w:rsidRDefault="009C0D03">
      <w:pPr>
        <w:numPr>
          <w:ilvl w:val="0"/>
          <w:numId w:val="8"/>
        </w:numPr>
        <w:pBdr>
          <w:top w:val="nil"/>
          <w:left w:val="nil"/>
          <w:bottom w:val="nil"/>
          <w:right w:val="nil"/>
          <w:between w:val="nil"/>
        </w:pBdr>
        <w:spacing w:line="360" w:lineRule="auto"/>
        <w:ind w:left="0" w:right="-704" w:firstLine="0"/>
        <w:jc w:val="both"/>
        <w:rPr>
          <w:color w:val="000000"/>
        </w:rPr>
      </w:pPr>
      <w:r w:rsidRPr="00A3631F">
        <w:rPr>
          <w:rFonts w:ascii="Palatino Linotype" w:eastAsia="Palatino Linotype" w:hAnsi="Palatino Linotype" w:cs="Palatino Linotype"/>
          <w:color w:val="000000"/>
        </w:rPr>
        <w:t>Asimismo, los escritos contienen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3BA8E9E6" w14:textId="77777777" w:rsidR="004F1BF4" w:rsidRPr="00A3631F" w:rsidRDefault="004F1BF4">
      <w:pPr>
        <w:pBdr>
          <w:top w:val="nil"/>
          <w:left w:val="nil"/>
          <w:bottom w:val="nil"/>
          <w:right w:val="nil"/>
          <w:between w:val="nil"/>
        </w:pBdr>
        <w:spacing w:line="360" w:lineRule="auto"/>
        <w:ind w:right="-704"/>
        <w:jc w:val="both"/>
        <w:rPr>
          <w:rFonts w:ascii="Palatino Linotype" w:eastAsia="Palatino Linotype" w:hAnsi="Palatino Linotype" w:cs="Palatino Linotype"/>
          <w:color w:val="000000"/>
        </w:rPr>
      </w:pPr>
    </w:p>
    <w:p w14:paraId="5A21DD71" w14:textId="77777777" w:rsidR="004F1BF4" w:rsidRPr="00A3631F" w:rsidRDefault="009C0D03">
      <w:pPr>
        <w:pStyle w:val="Ttulo1"/>
        <w:spacing w:before="0" w:line="360" w:lineRule="auto"/>
        <w:ind w:right="-704"/>
        <w:rPr>
          <w:rFonts w:ascii="Palatino Linotype" w:eastAsia="Palatino Linotype" w:hAnsi="Palatino Linotype" w:cs="Palatino Linotype"/>
          <w:b/>
          <w:bCs/>
          <w:color w:val="000000"/>
          <w:sz w:val="24"/>
          <w:szCs w:val="24"/>
        </w:rPr>
      </w:pPr>
      <w:bookmarkStart w:id="9" w:name="_heading=h.2s8eyo1" w:colFirst="0" w:colLast="0"/>
      <w:bookmarkEnd w:id="9"/>
      <w:r w:rsidRPr="00A3631F">
        <w:rPr>
          <w:rFonts w:ascii="Palatino Linotype" w:eastAsia="Palatino Linotype" w:hAnsi="Palatino Linotype" w:cs="Palatino Linotype"/>
          <w:b/>
          <w:bCs/>
          <w:color w:val="000000"/>
          <w:sz w:val="24"/>
          <w:szCs w:val="24"/>
        </w:rPr>
        <w:t xml:space="preserve">TERCERO. De las causales del sobreseimiento </w:t>
      </w:r>
    </w:p>
    <w:p w14:paraId="60391D6D" w14:textId="77777777" w:rsidR="004F1BF4" w:rsidRPr="00A3631F" w:rsidRDefault="009C0D03">
      <w:pPr>
        <w:numPr>
          <w:ilvl w:val="0"/>
          <w:numId w:val="6"/>
        </w:numPr>
        <w:pBdr>
          <w:top w:val="nil"/>
          <w:left w:val="nil"/>
          <w:bottom w:val="nil"/>
          <w:right w:val="nil"/>
          <w:between w:val="nil"/>
        </w:pBdr>
        <w:spacing w:line="360" w:lineRule="auto"/>
        <w:ind w:right="-704"/>
        <w:jc w:val="both"/>
        <w:rPr>
          <w:rFonts w:ascii="Palatino Linotype" w:eastAsia="Palatino Linotype" w:hAnsi="Palatino Linotype" w:cs="Palatino Linotype"/>
        </w:rPr>
      </w:pPr>
      <w:r w:rsidRPr="00A3631F">
        <w:rPr>
          <w:rFonts w:ascii="Palatino Linotype" w:eastAsia="Palatino Linotype" w:hAnsi="Palatino Linotype" w:cs="Palatino Linotype"/>
        </w:rPr>
        <w:t xml:space="preserve">De acuerdo con el precepto legal contenido en la fracción IV del artículo 192 de la </w:t>
      </w:r>
      <w:r w:rsidRPr="00A3631F">
        <w:rPr>
          <w:rFonts w:ascii="Palatino Linotype" w:eastAsia="Palatino Linotype" w:hAnsi="Palatino Linotype" w:cs="Palatino Linotype"/>
          <w:b/>
          <w:bCs/>
        </w:rPr>
        <w:t>Ley de Transparencia y Acceso a la Información Pública del Estado de México y Municipios</w:t>
      </w:r>
      <w:r w:rsidRPr="00A3631F">
        <w:rPr>
          <w:rFonts w:ascii="Palatino Linotype" w:eastAsia="Palatino Linotype" w:hAnsi="Palatino Linotype" w:cs="Palatino Linotype"/>
        </w:rPr>
        <w:t>, el recurso será sobreseído, cuando una vez admitido, aparezca alguna causal de improcedencia en términos de la misma Ley.</w:t>
      </w:r>
    </w:p>
    <w:p w14:paraId="0A2AD596" w14:textId="77777777" w:rsidR="004F1BF4" w:rsidRPr="00A3631F" w:rsidRDefault="004F1BF4">
      <w:pPr>
        <w:spacing w:line="360" w:lineRule="auto"/>
        <w:ind w:left="567" w:right="-704"/>
        <w:jc w:val="both"/>
        <w:rPr>
          <w:rFonts w:ascii="Palatino Linotype" w:eastAsia="Palatino Linotype" w:hAnsi="Palatino Linotype" w:cs="Palatino Linotype"/>
        </w:rPr>
      </w:pPr>
    </w:p>
    <w:p w14:paraId="2850A00E" w14:textId="77777777" w:rsidR="004F1BF4" w:rsidRPr="00A3631F" w:rsidRDefault="009C0D03">
      <w:pPr>
        <w:keepNext/>
        <w:keepLines/>
        <w:numPr>
          <w:ilvl w:val="1"/>
          <w:numId w:val="9"/>
        </w:numPr>
        <w:spacing w:line="360" w:lineRule="auto"/>
        <w:ind w:left="567" w:right="-704" w:firstLine="0"/>
        <w:rPr>
          <w:rFonts w:ascii="Palatino Linotype" w:eastAsia="Palatino Linotype" w:hAnsi="Palatino Linotype" w:cs="Palatino Linotype"/>
          <w:b/>
          <w:bCs/>
        </w:rPr>
      </w:pPr>
      <w:bookmarkStart w:id="10" w:name="_heading=h.f3cb9s6pgnvo" w:colFirst="0" w:colLast="0"/>
      <w:bookmarkEnd w:id="10"/>
      <w:r w:rsidRPr="00A3631F">
        <w:rPr>
          <w:rFonts w:ascii="Palatino Linotype" w:eastAsia="Palatino Linotype" w:hAnsi="Palatino Linotype" w:cs="Palatino Linotype"/>
          <w:b/>
          <w:bCs/>
        </w:rPr>
        <w:lastRenderedPageBreak/>
        <w:t xml:space="preserve"> De la solicitud de información </w:t>
      </w:r>
    </w:p>
    <w:p w14:paraId="3818F448" w14:textId="77777777" w:rsidR="004F1BF4" w:rsidRPr="00A3631F" w:rsidRDefault="009C0D03">
      <w:pPr>
        <w:numPr>
          <w:ilvl w:val="0"/>
          <w:numId w:val="3"/>
        </w:numPr>
        <w:pBdr>
          <w:top w:val="nil"/>
          <w:left w:val="nil"/>
          <w:bottom w:val="nil"/>
          <w:right w:val="nil"/>
          <w:between w:val="nil"/>
        </w:pBdr>
        <w:spacing w:line="360" w:lineRule="auto"/>
        <w:ind w:right="-704"/>
        <w:jc w:val="both"/>
        <w:rPr>
          <w:rFonts w:ascii="Palatino Linotype" w:eastAsia="Palatino Linotype" w:hAnsi="Palatino Linotype" w:cs="Palatino Linotype"/>
        </w:rPr>
      </w:pPr>
      <w:r w:rsidRPr="00A3631F">
        <w:rPr>
          <w:rFonts w:ascii="Palatino Linotype" w:eastAsia="Palatino Linotype" w:hAnsi="Palatino Linotype" w:cs="Palatino Linotype"/>
          <w:color w:val="000000"/>
        </w:rPr>
        <w:t xml:space="preserve">Como se ha señalado, la parte </w:t>
      </w:r>
      <w:r w:rsidRPr="00A3631F">
        <w:rPr>
          <w:rFonts w:ascii="Palatino Linotype" w:eastAsia="Palatino Linotype" w:hAnsi="Palatino Linotype" w:cs="Palatino Linotype"/>
          <w:b/>
          <w:bCs/>
          <w:color w:val="000000"/>
        </w:rPr>
        <w:t>RECURRENTE</w:t>
      </w:r>
      <w:r w:rsidRPr="00A3631F">
        <w:rPr>
          <w:rFonts w:ascii="Palatino Linotype" w:eastAsia="Palatino Linotype" w:hAnsi="Palatino Linotype" w:cs="Palatino Linotype"/>
          <w:color w:val="000000"/>
        </w:rPr>
        <w:t xml:space="preserve"> requirió lo siguiente:</w:t>
      </w:r>
    </w:p>
    <w:p w14:paraId="306034AA" w14:textId="77777777" w:rsidR="004F1BF4" w:rsidRPr="00A3631F" w:rsidRDefault="009C0D03">
      <w:pPr>
        <w:numPr>
          <w:ilvl w:val="0"/>
          <w:numId w:val="4"/>
        </w:numPr>
        <w:pBdr>
          <w:top w:val="nil"/>
          <w:left w:val="nil"/>
          <w:bottom w:val="nil"/>
          <w:right w:val="nil"/>
          <w:between w:val="nil"/>
        </w:pBdr>
        <w:ind w:left="1134" w:right="-704" w:firstLine="0"/>
        <w:jc w:val="both"/>
        <w:rPr>
          <w:rFonts w:ascii="Palatino Linotype" w:eastAsia="Palatino Linotype" w:hAnsi="Palatino Linotype" w:cs="Palatino Linotype"/>
          <w:color w:val="000000"/>
        </w:rPr>
      </w:pPr>
      <w:r w:rsidRPr="00A3631F">
        <w:rPr>
          <w:rFonts w:ascii="Palatino Linotype" w:eastAsia="Palatino Linotype" w:hAnsi="Palatino Linotype" w:cs="Palatino Linotype"/>
          <w:i/>
          <w:iCs/>
          <w:color w:val="000000"/>
        </w:rPr>
        <w:t>Contratos con FONTOVA del año 2025;</w:t>
      </w:r>
    </w:p>
    <w:p w14:paraId="75D134AC" w14:textId="77777777" w:rsidR="004F1BF4" w:rsidRPr="00A3631F" w:rsidRDefault="009C0D03">
      <w:pPr>
        <w:numPr>
          <w:ilvl w:val="0"/>
          <w:numId w:val="4"/>
        </w:numPr>
        <w:pBdr>
          <w:top w:val="nil"/>
          <w:left w:val="nil"/>
          <w:bottom w:val="nil"/>
          <w:right w:val="nil"/>
          <w:between w:val="nil"/>
        </w:pBdr>
        <w:ind w:left="1134" w:right="-704" w:firstLine="0"/>
        <w:jc w:val="both"/>
        <w:rPr>
          <w:rFonts w:ascii="Palatino Linotype" w:eastAsia="Palatino Linotype" w:hAnsi="Palatino Linotype" w:cs="Palatino Linotype"/>
          <w:color w:val="000000"/>
        </w:rPr>
      </w:pPr>
      <w:r w:rsidRPr="00A3631F">
        <w:rPr>
          <w:rFonts w:ascii="Palatino Linotype" w:eastAsia="Palatino Linotype" w:hAnsi="Palatino Linotype" w:cs="Palatino Linotype"/>
          <w:i/>
          <w:iCs/>
          <w:color w:val="000000"/>
        </w:rPr>
        <w:t xml:space="preserve">Facturas pagadas </w:t>
      </w:r>
    </w:p>
    <w:p w14:paraId="75DE9F4B" w14:textId="77777777" w:rsidR="004F1BF4" w:rsidRPr="00A3631F" w:rsidRDefault="009C0D03">
      <w:pPr>
        <w:numPr>
          <w:ilvl w:val="0"/>
          <w:numId w:val="4"/>
        </w:numPr>
        <w:pBdr>
          <w:top w:val="nil"/>
          <w:left w:val="nil"/>
          <w:bottom w:val="nil"/>
          <w:right w:val="nil"/>
          <w:between w:val="nil"/>
        </w:pBdr>
        <w:ind w:left="1134" w:right="-704" w:firstLine="0"/>
        <w:jc w:val="both"/>
        <w:rPr>
          <w:rFonts w:ascii="Palatino Linotype" w:eastAsia="Palatino Linotype" w:hAnsi="Palatino Linotype" w:cs="Palatino Linotype"/>
          <w:color w:val="000000"/>
        </w:rPr>
      </w:pPr>
      <w:r w:rsidRPr="00A3631F">
        <w:rPr>
          <w:rFonts w:ascii="Palatino Linotype" w:eastAsia="Palatino Linotype" w:hAnsi="Palatino Linotype" w:cs="Palatino Linotype"/>
          <w:i/>
          <w:iCs/>
          <w:color w:val="000000"/>
        </w:rPr>
        <w:t xml:space="preserve">Número de cuenta al cual se le hizo la transferencia, </w:t>
      </w:r>
    </w:p>
    <w:p w14:paraId="78920757" w14:textId="77777777" w:rsidR="004F1BF4" w:rsidRPr="00A3631F" w:rsidRDefault="009C0D03">
      <w:pPr>
        <w:numPr>
          <w:ilvl w:val="0"/>
          <w:numId w:val="4"/>
        </w:numPr>
        <w:pBdr>
          <w:top w:val="nil"/>
          <w:left w:val="nil"/>
          <w:bottom w:val="nil"/>
          <w:right w:val="nil"/>
          <w:between w:val="nil"/>
        </w:pBdr>
        <w:ind w:left="1134" w:right="-704" w:firstLine="0"/>
        <w:jc w:val="both"/>
        <w:rPr>
          <w:rFonts w:ascii="Palatino Linotype" w:eastAsia="Palatino Linotype" w:hAnsi="Palatino Linotype" w:cs="Palatino Linotype"/>
          <w:color w:val="000000"/>
        </w:rPr>
      </w:pPr>
      <w:r w:rsidRPr="00A3631F">
        <w:rPr>
          <w:rFonts w:ascii="Palatino Linotype" w:eastAsia="Palatino Linotype" w:hAnsi="Palatino Linotype" w:cs="Palatino Linotype"/>
          <w:i/>
          <w:iCs/>
          <w:color w:val="000000"/>
        </w:rPr>
        <w:t xml:space="preserve">Informes mensual, trimestral semestral o anual de sus actividades </w:t>
      </w:r>
    </w:p>
    <w:p w14:paraId="153081A1" w14:textId="77777777" w:rsidR="004F1BF4" w:rsidRPr="00A3631F" w:rsidRDefault="009C0D03">
      <w:pPr>
        <w:numPr>
          <w:ilvl w:val="0"/>
          <w:numId w:val="4"/>
        </w:numPr>
        <w:pBdr>
          <w:top w:val="nil"/>
          <w:left w:val="nil"/>
          <w:bottom w:val="nil"/>
          <w:right w:val="nil"/>
          <w:between w:val="nil"/>
        </w:pBdr>
        <w:ind w:left="1134" w:right="-704" w:firstLine="0"/>
        <w:jc w:val="both"/>
        <w:rPr>
          <w:rFonts w:ascii="Palatino Linotype" w:eastAsia="Palatino Linotype" w:hAnsi="Palatino Linotype" w:cs="Palatino Linotype"/>
          <w:color w:val="000000"/>
        </w:rPr>
      </w:pPr>
      <w:r w:rsidRPr="00A3631F">
        <w:rPr>
          <w:rFonts w:ascii="Palatino Linotype" w:eastAsia="Palatino Linotype" w:hAnsi="Palatino Linotype" w:cs="Palatino Linotype"/>
          <w:i/>
          <w:iCs/>
          <w:color w:val="000000"/>
        </w:rPr>
        <w:t>Estado de los juicios;</w:t>
      </w:r>
    </w:p>
    <w:p w14:paraId="00E9BC0F" w14:textId="77777777" w:rsidR="004F1BF4" w:rsidRPr="00A3631F" w:rsidRDefault="009C0D03">
      <w:pPr>
        <w:numPr>
          <w:ilvl w:val="0"/>
          <w:numId w:val="4"/>
        </w:numPr>
        <w:pBdr>
          <w:top w:val="nil"/>
          <w:left w:val="nil"/>
          <w:bottom w:val="nil"/>
          <w:right w:val="nil"/>
          <w:between w:val="nil"/>
        </w:pBdr>
        <w:ind w:left="1134" w:right="-704" w:firstLine="0"/>
        <w:jc w:val="both"/>
        <w:rPr>
          <w:rFonts w:ascii="Palatino Linotype" w:eastAsia="Palatino Linotype" w:hAnsi="Palatino Linotype" w:cs="Palatino Linotype"/>
          <w:color w:val="000000"/>
        </w:rPr>
      </w:pPr>
      <w:r w:rsidRPr="00A3631F">
        <w:rPr>
          <w:rFonts w:ascii="Palatino Linotype" w:eastAsia="Palatino Linotype" w:hAnsi="Palatino Linotype" w:cs="Palatino Linotype"/>
          <w:i/>
          <w:iCs/>
          <w:color w:val="000000"/>
        </w:rPr>
        <w:t>Cuantos servidores públicos de despidieron, dieron de baja o renuncia en ese año;</w:t>
      </w:r>
    </w:p>
    <w:p w14:paraId="21E03244" w14:textId="77777777" w:rsidR="004F1BF4" w:rsidRPr="00A3631F" w:rsidRDefault="009C0D03">
      <w:pPr>
        <w:numPr>
          <w:ilvl w:val="0"/>
          <w:numId w:val="4"/>
        </w:numPr>
        <w:pBdr>
          <w:top w:val="nil"/>
          <w:left w:val="nil"/>
          <w:bottom w:val="nil"/>
          <w:right w:val="nil"/>
          <w:between w:val="nil"/>
        </w:pBdr>
        <w:tabs>
          <w:tab w:val="left" w:pos="1560"/>
        </w:tabs>
        <w:ind w:left="1134" w:right="-704" w:firstLine="0"/>
        <w:jc w:val="both"/>
        <w:rPr>
          <w:rFonts w:ascii="Palatino Linotype" w:eastAsia="Palatino Linotype" w:hAnsi="Palatino Linotype" w:cs="Palatino Linotype"/>
          <w:color w:val="000000"/>
        </w:rPr>
      </w:pPr>
      <w:r w:rsidRPr="00A3631F">
        <w:rPr>
          <w:rFonts w:ascii="Palatino Linotype" w:eastAsia="Palatino Linotype" w:hAnsi="Palatino Linotype" w:cs="Palatino Linotype"/>
          <w:i/>
          <w:iCs/>
          <w:color w:val="000000"/>
        </w:rPr>
        <w:t>Renuncia de servidores públicos dados de baja o que renunciaron;</w:t>
      </w:r>
    </w:p>
    <w:p w14:paraId="30F511A1" w14:textId="77777777" w:rsidR="004F1BF4" w:rsidRPr="00A3631F" w:rsidRDefault="009C0D03">
      <w:pPr>
        <w:numPr>
          <w:ilvl w:val="0"/>
          <w:numId w:val="4"/>
        </w:numPr>
        <w:pBdr>
          <w:top w:val="nil"/>
          <w:left w:val="nil"/>
          <w:bottom w:val="nil"/>
          <w:right w:val="nil"/>
          <w:between w:val="nil"/>
        </w:pBdr>
        <w:tabs>
          <w:tab w:val="left" w:pos="1701"/>
        </w:tabs>
        <w:ind w:left="1134" w:right="-704" w:firstLine="0"/>
        <w:jc w:val="both"/>
        <w:rPr>
          <w:rFonts w:ascii="Palatino Linotype" w:eastAsia="Palatino Linotype" w:hAnsi="Palatino Linotype" w:cs="Palatino Linotype"/>
          <w:color w:val="000000"/>
        </w:rPr>
      </w:pPr>
      <w:r w:rsidRPr="00A3631F">
        <w:rPr>
          <w:rFonts w:ascii="Palatino Linotype" w:eastAsia="Palatino Linotype" w:hAnsi="Palatino Linotype" w:cs="Palatino Linotype"/>
          <w:i/>
          <w:iCs/>
          <w:color w:val="000000"/>
        </w:rPr>
        <w:t xml:space="preserve">De los servidores públicos dados de baja o que renunciaron cuantos demandaron; </w:t>
      </w:r>
    </w:p>
    <w:p w14:paraId="44B211EF" w14:textId="77777777" w:rsidR="004F1BF4" w:rsidRPr="00A3631F" w:rsidRDefault="009C0D03">
      <w:pPr>
        <w:numPr>
          <w:ilvl w:val="0"/>
          <w:numId w:val="4"/>
        </w:numPr>
        <w:pBdr>
          <w:top w:val="nil"/>
          <w:left w:val="nil"/>
          <w:bottom w:val="nil"/>
          <w:right w:val="nil"/>
          <w:between w:val="nil"/>
        </w:pBdr>
        <w:tabs>
          <w:tab w:val="left" w:pos="1418"/>
          <w:tab w:val="left" w:pos="1560"/>
        </w:tabs>
        <w:ind w:left="1134" w:right="-704" w:firstLine="0"/>
        <w:jc w:val="both"/>
        <w:rPr>
          <w:rFonts w:ascii="Palatino Linotype" w:eastAsia="Palatino Linotype" w:hAnsi="Palatino Linotype" w:cs="Palatino Linotype"/>
          <w:color w:val="000000"/>
        </w:rPr>
      </w:pPr>
      <w:r w:rsidRPr="00A3631F">
        <w:rPr>
          <w:rFonts w:ascii="Palatino Linotype" w:eastAsia="Palatino Linotype" w:hAnsi="Palatino Linotype" w:cs="Palatino Linotype"/>
          <w:i/>
          <w:iCs/>
          <w:color w:val="000000"/>
        </w:rPr>
        <w:t>Nombre completo de los servidores públicos dados de baja o  renunciaron que demandaron</w:t>
      </w:r>
    </w:p>
    <w:p w14:paraId="7E66E81B" w14:textId="77777777" w:rsidR="004F1BF4" w:rsidRPr="00A3631F" w:rsidRDefault="009C0D03">
      <w:pPr>
        <w:numPr>
          <w:ilvl w:val="0"/>
          <w:numId w:val="4"/>
        </w:numPr>
        <w:pBdr>
          <w:top w:val="nil"/>
          <w:left w:val="nil"/>
          <w:bottom w:val="nil"/>
          <w:right w:val="nil"/>
          <w:between w:val="nil"/>
        </w:pBdr>
        <w:ind w:left="1134" w:right="-704" w:firstLine="0"/>
        <w:jc w:val="both"/>
        <w:rPr>
          <w:rFonts w:ascii="Palatino Linotype" w:eastAsia="Palatino Linotype" w:hAnsi="Palatino Linotype" w:cs="Palatino Linotype"/>
          <w:color w:val="000000"/>
        </w:rPr>
      </w:pPr>
      <w:r w:rsidRPr="00A3631F">
        <w:rPr>
          <w:rFonts w:ascii="Palatino Linotype" w:eastAsia="Palatino Linotype" w:hAnsi="Palatino Linotype" w:cs="Palatino Linotype"/>
          <w:i/>
          <w:iCs/>
          <w:color w:val="000000"/>
        </w:rPr>
        <w:t xml:space="preserve"> Demanda presentada por servidores públicos dados de baja o  renunciaron que demandaron</w:t>
      </w:r>
    </w:p>
    <w:p w14:paraId="4CE35A14" w14:textId="77777777" w:rsidR="004F1BF4" w:rsidRPr="00A3631F" w:rsidRDefault="009C0D03">
      <w:pPr>
        <w:numPr>
          <w:ilvl w:val="0"/>
          <w:numId w:val="4"/>
        </w:numPr>
        <w:pBdr>
          <w:top w:val="nil"/>
          <w:left w:val="nil"/>
          <w:bottom w:val="nil"/>
          <w:right w:val="nil"/>
          <w:between w:val="nil"/>
        </w:pBdr>
        <w:tabs>
          <w:tab w:val="left" w:pos="1560"/>
        </w:tabs>
        <w:ind w:left="1134" w:right="-704" w:firstLine="0"/>
        <w:jc w:val="both"/>
        <w:rPr>
          <w:rFonts w:ascii="Palatino Linotype" w:eastAsia="Palatino Linotype" w:hAnsi="Palatino Linotype" w:cs="Palatino Linotype"/>
          <w:color w:val="000000"/>
        </w:rPr>
      </w:pPr>
      <w:r w:rsidRPr="00A3631F">
        <w:rPr>
          <w:rFonts w:ascii="Palatino Linotype" w:eastAsia="Palatino Linotype" w:hAnsi="Palatino Linotype" w:cs="Palatino Linotype"/>
          <w:i/>
          <w:iCs/>
          <w:color w:val="000000"/>
        </w:rPr>
        <w:t>El estado que guardan los  juicios laborales;</w:t>
      </w:r>
    </w:p>
    <w:p w14:paraId="49039E49" w14:textId="77777777" w:rsidR="004F1BF4" w:rsidRPr="00A3631F" w:rsidRDefault="009C0D03">
      <w:pPr>
        <w:numPr>
          <w:ilvl w:val="0"/>
          <w:numId w:val="4"/>
        </w:numPr>
        <w:pBdr>
          <w:top w:val="nil"/>
          <w:left w:val="nil"/>
          <w:bottom w:val="nil"/>
          <w:right w:val="nil"/>
          <w:between w:val="nil"/>
        </w:pBdr>
        <w:tabs>
          <w:tab w:val="left" w:pos="1560"/>
        </w:tabs>
        <w:ind w:left="1134" w:right="-704" w:firstLine="0"/>
        <w:jc w:val="both"/>
        <w:rPr>
          <w:rFonts w:ascii="Palatino Linotype" w:eastAsia="Palatino Linotype" w:hAnsi="Palatino Linotype" w:cs="Palatino Linotype"/>
          <w:color w:val="000000"/>
        </w:rPr>
      </w:pPr>
      <w:r w:rsidRPr="00A3631F">
        <w:rPr>
          <w:rFonts w:ascii="Palatino Linotype" w:eastAsia="Palatino Linotype" w:hAnsi="Palatino Linotype" w:cs="Palatino Linotype"/>
          <w:i/>
          <w:iCs/>
          <w:color w:val="000000"/>
        </w:rPr>
        <w:t>Resolución y el estado de la resolución de los  juicios laborales;</w:t>
      </w:r>
    </w:p>
    <w:p w14:paraId="2ADC3B60" w14:textId="77777777" w:rsidR="004F1BF4" w:rsidRPr="00A3631F" w:rsidRDefault="009C0D03">
      <w:pPr>
        <w:numPr>
          <w:ilvl w:val="0"/>
          <w:numId w:val="4"/>
        </w:numPr>
        <w:pBdr>
          <w:top w:val="nil"/>
          <w:left w:val="nil"/>
          <w:bottom w:val="nil"/>
          <w:right w:val="nil"/>
          <w:between w:val="nil"/>
        </w:pBdr>
        <w:tabs>
          <w:tab w:val="left" w:pos="1701"/>
        </w:tabs>
        <w:ind w:left="1134" w:right="-704" w:firstLine="0"/>
        <w:jc w:val="both"/>
        <w:rPr>
          <w:rFonts w:ascii="Palatino Linotype" w:eastAsia="Palatino Linotype" w:hAnsi="Palatino Linotype" w:cs="Palatino Linotype"/>
          <w:color w:val="000000"/>
        </w:rPr>
      </w:pPr>
      <w:r w:rsidRPr="00A3631F">
        <w:rPr>
          <w:rFonts w:ascii="Palatino Linotype" w:eastAsia="Palatino Linotype" w:hAnsi="Palatino Linotype" w:cs="Palatino Linotype"/>
          <w:i/>
          <w:iCs/>
          <w:color w:val="000000"/>
        </w:rPr>
        <w:t xml:space="preserve"> Laudos recibidos en el año;</w:t>
      </w:r>
    </w:p>
    <w:p w14:paraId="5DDE9815" w14:textId="77777777" w:rsidR="004F1BF4" w:rsidRPr="00A3631F" w:rsidRDefault="009C0D03">
      <w:pPr>
        <w:numPr>
          <w:ilvl w:val="0"/>
          <w:numId w:val="4"/>
        </w:numPr>
        <w:pBdr>
          <w:top w:val="nil"/>
          <w:left w:val="nil"/>
          <w:bottom w:val="nil"/>
          <w:right w:val="nil"/>
          <w:between w:val="nil"/>
        </w:pBdr>
        <w:tabs>
          <w:tab w:val="left" w:pos="1701"/>
        </w:tabs>
        <w:ind w:left="1134" w:right="-704" w:firstLine="0"/>
        <w:jc w:val="both"/>
        <w:rPr>
          <w:rFonts w:ascii="Palatino Linotype" w:eastAsia="Palatino Linotype" w:hAnsi="Palatino Linotype" w:cs="Palatino Linotype"/>
          <w:color w:val="000000"/>
        </w:rPr>
      </w:pPr>
      <w:r w:rsidRPr="00A3631F">
        <w:rPr>
          <w:rFonts w:ascii="Palatino Linotype" w:eastAsia="Palatino Linotype" w:hAnsi="Palatino Linotype" w:cs="Palatino Linotype"/>
          <w:i/>
          <w:iCs/>
          <w:color w:val="000000"/>
        </w:rPr>
        <w:t xml:space="preserve"> Cuantos de ellos se han pagado;</w:t>
      </w:r>
    </w:p>
    <w:p w14:paraId="3F7D3F09" w14:textId="77777777" w:rsidR="004F1BF4" w:rsidRPr="00A3631F" w:rsidRDefault="009C0D03">
      <w:pPr>
        <w:numPr>
          <w:ilvl w:val="0"/>
          <w:numId w:val="4"/>
        </w:numPr>
        <w:pBdr>
          <w:top w:val="nil"/>
          <w:left w:val="nil"/>
          <w:bottom w:val="nil"/>
          <w:right w:val="nil"/>
          <w:between w:val="nil"/>
        </w:pBdr>
        <w:tabs>
          <w:tab w:val="left" w:pos="1701"/>
        </w:tabs>
        <w:ind w:left="1134" w:right="-704" w:firstLine="0"/>
        <w:jc w:val="both"/>
        <w:rPr>
          <w:rFonts w:ascii="Palatino Linotype" w:eastAsia="Palatino Linotype" w:hAnsi="Palatino Linotype" w:cs="Palatino Linotype"/>
          <w:color w:val="000000"/>
        </w:rPr>
      </w:pPr>
      <w:r w:rsidRPr="00A3631F">
        <w:rPr>
          <w:rFonts w:ascii="Palatino Linotype" w:eastAsia="Palatino Linotype" w:hAnsi="Palatino Linotype" w:cs="Palatino Linotype"/>
          <w:i/>
          <w:iCs/>
          <w:color w:val="000000"/>
        </w:rPr>
        <w:t>La evidencia documental del pago y por qué.</w:t>
      </w:r>
    </w:p>
    <w:p w14:paraId="42E81B34" w14:textId="77777777" w:rsidR="004F1BF4" w:rsidRPr="00A3631F" w:rsidRDefault="004F1BF4">
      <w:pPr>
        <w:pBdr>
          <w:top w:val="nil"/>
          <w:left w:val="nil"/>
          <w:bottom w:val="nil"/>
          <w:right w:val="nil"/>
          <w:between w:val="nil"/>
        </w:pBdr>
        <w:spacing w:line="360" w:lineRule="auto"/>
        <w:ind w:left="1134" w:right="-704"/>
        <w:jc w:val="both"/>
        <w:rPr>
          <w:rFonts w:ascii="Palatino Linotype" w:eastAsia="Palatino Linotype" w:hAnsi="Palatino Linotype" w:cs="Palatino Linotype"/>
          <w:i/>
          <w:iCs/>
        </w:rPr>
      </w:pPr>
    </w:p>
    <w:p w14:paraId="5D68790C" w14:textId="77777777" w:rsidR="004F1BF4" w:rsidRPr="00A3631F" w:rsidRDefault="009C0D03">
      <w:pPr>
        <w:pBdr>
          <w:top w:val="nil"/>
          <w:left w:val="nil"/>
          <w:bottom w:val="nil"/>
          <w:right w:val="nil"/>
          <w:between w:val="nil"/>
        </w:pBdr>
        <w:spacing w:line="360" w:lineRule="auto"/>
        <w:ind w:right="-704"/>
        <w:jc w:val="both"/>
        <w:rPr>
          <w:rFonts w:ascii="Palatino Linotype" w:eastAsia="Palatino Linotype" w:hAnsi="Palatino Linotype" w:cs="Palatino Linotype"/>
          <w:b/>
          <w:bCs/>
          <w:i/>
          <w:iCs/>
          <w:color w:val="0563C1"/>
          <w:u w:val="single"/>
        </w:rPr>
      </w:pPr>
      <w:r w:rsidRPr="00A3631F">
        <w:rPr>
          <w:rFonts w:ascii="Palatino Linotype" w:eastAsia="Palatino Linotype" w:hAnsi="Palatino Linotype" w:cs="Palatino Linotype"/>
          <w:b/>
          <w:bCs/>
        </w:rPr>
        <w:t>20</w:t>
      </w:r>
      <w:r w:rsidRPr="00A3631F">
        <w:rPr>
          <w:rFonts w:ascii="Palatino Linotype" w:eastAsia="Palatino Linotype" w:hAnsi="Palatino Linotype" w:cs="Palatino Linotype"/>
        </w:rPr>
        <w:t xml:space="preserve">. </w:t>
      </w:r>
      <w:r w:rsidRPr="00A3631F">
        <w:rPr>
          <w:rFonts w:ascii="Palatino Linotype" w:eastAsia="Palatino Linotype" w:hAnsi="Palatino Linotype" w:cs="Palatino Linotype"/>
          <w:color w:val="000000"/>
        </w:rPr>
        <w:t xml:space="preserve">En respuesta al Recurso de Revisión y en fecha diez de octubre de dos mil veinticinco,  el </w:t>
      </w:r>
      <w:r w:rsidRPr="00A3631F">
        <w:rPr>
          <w:rFonts w:ascii="Palatino Linotype" w:eastAsia="Palatino Linotype" w:hAnsi="Palatino Linotype" w:cs="Palatino Linotype"/>
          <w:b/>
          <w:bCs/>
          <w:color w:val="000000"/>
        </w:rPr>
        <w:t xml:space="preserve">SUJETO OBLIGADO </w:t>
      </w:r>
      <w:r w:rsidRPr="00A3631F">
        <w:rPr>
          <w:rFonts w:ascii="Palatino Linotype" w:eastAsia="Palatino Linotype" w:hAnsi="Palatino Linotype" w:cs="Palatino Linotype"/>
        </w:rPr>
        <w:t>señala que después de la búsqueda exhaustiva en los expedientes que obran en su haber no encontró la información relacionada.</w:t>
      </w:r>
    </w:p>
    <w:p w14:paraId="0BF8B56D" w14:textId="77777777" w:rsidR="004F1BF4" w:rsidRPr="00A3631F" w:rsidRDefault="004F1BF4">
      <w:pPr>
        <w:pBdr>
          <w:top w:val="nil"/>
          <w:left w:val="nil"/>
          <w:bottom w:val="nil"/>
          <w:right w:val="nil"/>
          <w:between w:val="nil"/>
        </w:pBdr>
        <w:ind w:right="-704"/>
        <w:jc w:val="both"/>
        <w:rPr>
          <w:rFonts w:ascii="Palatino Linotype" w:eastAsia="Palatino Linotype" w:hAnsi="Palatino Linotype" w:cs="Palatino Linotype"/>
          <w:color w:val="000000"/>
        </w:rPr>
      </w:pPr>
    </w:p>
    <w:p w14:paraId="5F54D7EF" w14:textId="4F92F3A6" w:rsidR="004F1BF4" w:rsidRPr="00A3631F" w:rsidRDefault="009C0D03">
      <w:pPr>
        <w:pBdr>
          <w:top w:val="nil"/>
          <w:left w:val="nil"/>
          <w:bottom w:val="nil"/>
          <w:right w:val="nil"/>
          <w:between w:val="nil"/>
        </w:pBdr>
        <w:spacing w:line="360" w:lineRule="auto"/>
        <w:ind w:right="-704"/>
        <w:jc w:val="both"/>
        <w:rPr>
          <w:rFonts w:ascii="Palatino Linotype" w:eastAsia="Palatino Linotype" w:hAnsi="Palatino Linotype" w:cs="Palatino Linotype"/>
          <w:color w:val="000000"/>
        </w:rPr>
      </w:pPr>
      <w:r w:rsidRPr="00A3631F">
        <w:rPr>
          <w:rFonts w:ascii="Palatino Linotype" w:eastAsia="Palatino Linotype" w:hAnsi="Palatino Linotype" w:cs="Palatino Linotype"/>
          <w:b/>
          <w:bCs/>
        </w:rPr>
        <w:t>21.</w:t>
      </w:r>
      <w:r w:rsidRPr="00A3631F">
        <w:rPr>
          <w:rFonts w:ascii="Palatino Linotype" w:eastAsia="Palatino Linotype" w:hAnsi="Palatino Linotype" w:cs="Palatino Linotype"/>
        </w:rPr>
        <w:t xml:space="preserve"> </w:t>
      </w:r>
      <w:r w:rsidRPr="00A3631F">
        <w:rPr>
          <w:rFonts w:ascii="Palatino Linotype" w:eastAsia="Palatino Linotype" w:hAnsi="Palatino Linotype" w:cs="Palatino Linotype"/>
          <w:color w:val="000000"/>
        </w:rPr>
        <w:t xml:space="preserve">Así mismo, el recurso revisión tiene como finalidad reparar cualquier posible afectación al derecho de acceso a la información pública en términos del Título Octavo de la Ley de Transparencia, Acceso a la Información Pública del Estado de México y Municipios, y determinar la confirmación; revocación o modificación; desechamiento o sobreseimiento; y, en su caso, ordenar la entrega de la información respecto a la respuesta emitida por el </w:t>
      </w:r>
      <w:r w:rsidRPr="00A3631F">
        <w:rPr>
          <w:rFonts w:ascii="Palatino Linotype" w:eastAsia="Palatino Linotype" w:hAnsi="Palatino Linotype" w:cs="Palatino Linotype"/>
          <w:b/>
          <w:bCs/>
          <w:color w:val="000000"/>
        </w:rPr>
        <w:lastRenderedPageBreak/>
        <w:t>SUJETO OBLIGADO,</w:t>
      </w:r>
      <w:r w:rsidRPr="00A3631F">
        <w:rPr>
          <w:rFonts w:ascii="Palatino Linotype" w:eastAsia="Palatino Linotype" w:hAnsi="Palatino Linotype" w:cs="Palatino Linotype"/>
          <w:color w:val="000000"/>
        </w:rPr>
        <w:t xml:space="preserve"> lo cierto, es que este Órgano Garante advierte que se actualiza la causal de sobreseimiento prevista en la fracción </w:t>
      </w:r>
      <w:r w:rsidR="00E36E8C" w:rsidRPr="00A3631F">
        <w:rPr>
          <w:rFonts w:ascii="Palatino Linotype" w:eastAsia="Palatino Linotype" w:hAnsi="Palatino Linotype" w:cs="Palatino Linotype"/>
          <w:color w:val="000000"/>
        </w:rPr>
        <w:t>I</w:t>
      </w:r>
      <w:r w:rsidRPr="00A3631F">
        <w:rPr>
          <w:rFonts w:ascii="Palatino Linotype" w:eastAsia="Palatino Linotype" w:hAnsi="Palatino Linotype" w:cs="Palatino Linotype"/>
          <w:color w:val="000000"/>
        </w:rPr>
        <w:t xml:space="preserve">V del artículo 192 de la Ley de Transparencia y Acceso a la Información Pública del Estado de México y Municipios, como se expone a continuación: </w:t>
      </w:r>
    </w:p>
    <w:p w14:paraId="1CA6C291" w14:textId="77777777" w:rsidR="004F1BF4" w:rsidRPr="00A3631F" w:rsidRDefault="009C0D03">
      <w:pPr>
        <w:tabs>
          <w:tab w:val="left" w:pos="7938"/>
        </w:tabs>
        <w:ind w:left="1134" w:right="-704"/>
        <w:jc w:val="both"/>
        <w:rPr>
          <w:rFonts w:ascii="Palatino Linotype" w:eastAsia="Palatino Linotype" w:hAnsi="Palatino Linotype" w:cs="Palatino Linotype"/>
          <w:i/>
          <w:iCs/>
        </w:rPr>
      </w:pPr>
      <w:r w:rsidRPr="00A3631F">
        <w:rPr>
          <w:rFonts w:ascii="Palatino Linotype" w:eastAsia="Palatino Linotype" w:hAnsi="Palatino Linotype" w:cs="Palatino Linotype"/>
          <w:b/>
          <w:bCs/>
          <w:i/>
          <w:iCs/>
        </w:rPr>
        <w:t>“</w:t>
      </w:r>
      <w:r w:rsidRPr="00A3631F">
        <w:rPr>
          <w:rFonts w:ascii="Palatino Linotype" w:eastAsia="Palatino Linotype" w:hAnsi="Palatino Linotype" w:cs="Palatino Linotype"/>
          <w:i/>
          <w:iCs/>
        </w:rPr>
        <w:t xml:space="preserve"> </w:t>
      </w:r>
      <w:r w:rsidRPr="00A3631F">
        <w:rPr>
          <w:rFonts w:ascii="Palatino Linotype" w:eastAsia="Palatino Linotype" w:hAnsi="Palatino Linotype" w:cs="Palatino Linotype"/>
          <w:b/>
          <w:bCs/>
          <w:i/>
          <w:iCs/>
        </w:rPr>
        <w:t>Artículo 192.</w:t>
      </w:r>
      <w:r w:rsidRPr="00A3631F">
        <w:rPr>
          <w:rFonts w:ascii="Palatino Linotype" w:eastAsia="Palatino Linotype" w:hAnsi="Palatino Linotype" w:cs="Palatino Linotype"/>
          <w:i/>
          <w:iCs/>
        </w:rPr>
        <w:t xml:space="preserve"> El recurso será sobreseído, en todo o en parte, cuando una vez admitido, se actualicen alguno de los siguientes supuestos: </w:t>
      </w:r>
    </w:p>
    <w:p w14:paraId="4482FB7C" w14:textId="77777777" w:rsidR="004F1BF4" w:rsidRPr="00A3631F" w:rsidRDefault="009C0D03">
      <w:pPr>
        <w:tabs>
          <w:tab w:val="left" w:pos="7938"/>
        </w:tabs>
        <w:ind w:left="1134" w:right="-704"/>
        <w:jc w:val="both"/>
        <w:rPr>
          <w:rFonts w:ascii="Palatino Linotype" w:eastAsia="Palatino Linotype" w:hAnsi="Palatino Linotype" w:cs="Palatino Linotype"/>
          <w:i/>
          <w:iCs/>
        </w:rPr>
      </w:pPr>
      <w:r w:rsidRPr="00A3631F">
        <w:rPr>
          <w:rFonts w:ascii="Palatino Linotype" w:eastAsia="Palatino Linotype" w:hAnsi="Palatino Linotype" w:cs="Palatino Linotype"/>
          <w:i/>
          <w:iCs/>
        </w:rPr>
        <w:t xml:space="preserve">(…) </w:t>
      </w:r>
    </w:p>
    <w:p w14:paraId="6FF69079" w14:textId="77777777" w:rsidR="004F1BF4" w:rsidRPr="00A3631F" w:rsidRDefault="009C0D03">
      <w:pPr>
        <w:pBdr>
          <w:top w:val="nil"/>
          <w:left w:val="nil"/>
          <w:bottom w:val="nil"/>
          <w:right w:val="nil"/>
          <w:between w:val="nil"/>
        </w:pBdr>
        <w:tabs>
          <w:tab w:val="left" w:pos="7938"/>
        </w:tabs>
        <w:spacing w:line="360" w:lineRule="auto"/>
        <w:ind w:left="1134" w:right="-704"/>
        <w:jc w:val="both"/>
        <w:rPr>
          <w:rFonts w:ascii="Palatino Linotype" w:eastAsia="Palatino Linotype" w:hAnsi="Palatino Linotype" w:cs="Palatino Linotype"/>
          <w:color w:val="000000"/>
        </w:rPr>
      </w:pPr>
      <w:r w:rsidRPr="00A3631F">
        <w:rPr>
          <w:rFonts w:ascii="Palatino Linotype" w:eastAsia="Palatino Linotype" w:hAnsi="Palatino Linotype" w:cs="Palatino Linotype"/>
          <w:b/>
          <w:bCs/>
          <w:i/>
          <w:iCs/>
          <w:color w:val="000000"/>
        </w:rPr>
        <w:t>IV. Admitido el recurso de revisión, aparezca alguna causal de improcedencia en los términos de la presente Ley;”</w:t>
      </w:r>
    </w:p>
    <w:p w14:paraId="61115649" w14:textId="77777777" w:rsidR="004F1BF4" w:rsidRPr="00A3631F" w:rsidRDefault="004F1BF4">
      <w:pPr>
        <w:pBdr>
          <w:top w:val="nil"/>
          <w:left w:val="nil"/>
          <w:bottom w:val="nil"/>
          <w:right w:val="nil"/>
          <w:between w:val="nil"/>
        </w:pBdr>
        <w:ind w:right="-704"/>
        <w:jc w:val="both"/>
        <w:rPr>
          <w:rFonts w:ascii="Palatino Linotype" w:eastAsia="Palatino Linotype" w:hAnsi="Palatino Linotype" w:cs="Palatino Linotype"/>
          <w:b/>
          <w:bCs/>
          <w:color w:val="000000"/>
        </w:rPr>
      </w:pPr>
    </w:p>
    <w:p w14:paraId="712810BF" w14:textId="77777777" w:rsidR="004F1BF4" w:rsidRPr="00A3631F" w:rsidRDefault="009C0D03">
      <w:pPr>
        <w:pBdr>
          <w:top w:val="nil"/>
          <w:left w:val="nil"/>
          <w:bottom w:val="nil"/>
          <w:right w:val="nil"/>
          <w:between w:val="nil"/>
        </w:pBdr>
        <w:spacing w:line="360" w:lineRule="auto"/>
        <w:ind w:right="-704"/>
        <w:jc w:val="both"/>
        <w:rPr>
          <w:color w:val="000000"/>
        </w:rPr>
      </w:pPr>
      <w:r w:rsidRPr="00A3631F">
        <w:rPr>
          <w:rFonts w:ascii="Palatino Linotype" w:eastAsia="Palatino Linotype" w:hAnsi="Palatino Linotype" w:cs="Palatino Linotype"/>
          <w:b/>
          <w:bCs/>
        </w:rPr>
        <w:t>22.</w:t>
      </w:r>
      <w:r w:rsidRPr="00A3631F">
        <w:rPr>
          <w:rFonts w:ascii="Palatino Linotype" w:eastAsia="Palatino Linotype" w:hAnsi="Palatino Linotype" w:cs="Palatino Linotype"/>
        </w:rPr>
        <w:t xml:space="preserve"> </w:t>
      </w:r>
      <w:r w:rsidRPr="00A3631F">
        <w:rPr>
          <w:rFonts w:ascii="Palatino Linotype" w:eastAsia="Palatino Linotype" w:hAnsi="Palatino Linotype" w:cs="Palatino Linotype"/>
          <w:color w:val="000000"/>
        </w:rPr>
        <w:t>De lo anterior se advierte que la parte Recurrente refiere la negativa de la entrega de la información por la Directora de Recursos Humanos quien entregó un link donde no encontró los recibos solicitados.</w:t>
      </w:r>
    </w:p>
    <w:p w14:paraId="2917749C" w14:textId="77777777" w:rsidR="004F1BF4" w:rsidRPr="00A3631F" w:rsidRDefault="004F1BF4">
      <w:pPr>
        <w:spacing w:line="360" w:lineRule="auto"/>
        <w:ind w:right="-704"/>
        <w:jc w:val="both"/>
      </w:pPr>
    </w:p>
    <w:p w14:paraId="03E15D04" w14:textId="77777777" w:rsidR="004F1BF4" w:rsidRPr="00A3631F" w:rsidRDefault="009C0D03">
      <w:pPr>
        <w:pBdr>
          <w:top w:val="nil"/>
          <w:left w:val="nil"/>
          <w:bottom w:val="nil"/>
          <w:right w:val="nil"/>
          <w:between w:val="nil"/>
        </w:pBdr>
        <w:spacing w:line="360" w:lineRule="auto"/>
        <w:ind w:right="-704"/>
        <w:jc w:val="both"/>
        <w:rPr>
          <w:rFonts w:ascii="Palatino Linotype" w:eastAsia="Palatino Linotype" w:hAnsi="Palatino Linotype" w:cs="Palatino Linotype"/>
          <w:color w:val="000000"/>
        </w:rPr>
      </w:pPr>
      <w:r w:rsidRPr="00A3631F">
        <w:rPr>
          <w:rFonts w:ascii="Palatino Linotype" w:eastAsia="Palatino Linotype" w:hAnsi="Palatino Linotype" w:cs="Palatino Linotype"/>
          <w:b/>
          <w:bCs/>
        </w:rPr>
        <w:t xml:space="preserve">23. </w:t>
      </w:r>
      <w:r w:rsidRPr="00A3631F">
        <w:rPr>
          <w:rFonts w:ascii="Palatino Linotype" w:eastAsia="Palatino Linotype" w:hAnsi="Palatino Linotype" w:cs="Palatino Linotype"/>
          <w:color w:val="000000"/>
        </w:rPr>
        <w:t>Por lo tanto, se advierte que el acto impugnado y los agravios expresados por el Recurrente carecen de congruencia con la respuesta otorgada por el Sujeto Obligado.</w:t>
      </w:r>
    </w:p>
    <w:p w14:paraId="77BA1BD8" w14:textId="77777777" w:rsidR="004F1BF4" w:rsidRPr="00A3631F" w:rsidRDefault="004F1BF4">
      <w:pPr>
        <w:spacing w:line="360" w:lineRule="auto"/>
        <w:ind w:right="-704"/>
        <w:jc w:val="both"/>
        <w:rPr>
          <w:rFonts w:ascii="Palatino Linotype" w:eastAsia="Palatino Linotype" w:hAnsi="Palatino Linotype" w:cs="Palatino Linotype"/>
        </w:rPr>
      </w:pPr>
    </w:p>
    <w:p w14:paraId="39CB32EB" w14:textId="539A15E6" w:rsidR="004F1BF4" w:rsidRPr="00A3631F" w:rsidRDefault="009C0D03">
      <w:pPr>
        <w:pBdr>
          <w:top w:val="nil"/>
          <w:left w:val="nil"/>
          <w:bottom w:val="nil"/>
          <w:right w:val="nil"/>
          <w:between w:val="nil"/>
        </w:pBdr>
        <w:spacing w:line="360" w:lineRule="auto"/>
        <w:ind w:right="-704"/>
        <w:jc w:val="both"/>
        <w:rPr>
          <w:rFonts w:ascii="Palatino Linotype" w:eastAsia="Palatino Linotype" w:hAnsi="Palatino Linotype" w:cs="Palatino Linotype"/>
          <w:color w:val="000000"/>
        </w:rPr>
      </w:pPr>
      <w:r w:rsidRPr="00A3631F">
        <w:rPr>
          <w:rFonts w:ascii="Palatino Linotype" w:eastAsia="Palatino Linotype" w:hAnsi="Palatino Linotype" w:cs="Palatino Linotype"/>
          <w:b/>
          <w:bCs/>
        </w:rPr>
        <w:t xml:space="preserve">24. </w:t>
      </w:r>
      <w:r w:rsidRPr="00A3631F">
        <w:rPr>
          <w:rFonts w:ascii="Palatino Linotype" w:eastAsia="Palatino Linotype" w:hAnsi="Palatino Linotype" w:cs="Palatino Linotype"/>
          <w:color w:val="000000"/>
        </w:rPr>
        <w:t>En este orden de ideas, es conducente colegir que, en el presente Recurso de Revisión, se actualiza la causal de improcedencia prevista en la fracción II</w:t>
      </w:r>
      <w:r w:rsidR="00E36E8C" w:rsidRPr="00A3631F">
        <w:rPr>
          <w:rFonts w:ascii="Palatino Linotype" w:eastAsia="Palatino Linotype" w:hAnsi="Palatino Linotype" w:cs="Palatino Linotype"/>
          <w:color w:val="000000"/>
        </w:rPr>
        <w:t>I</w:t>
      </w:r>
      <w:r w:rsidRPr="00A3631F">
        <w:rPr>
          <w:rFonts w:ascii="Palatino Linotype" w:eastAsia="Palatino Linotype" w:hAnsi="Palatino Linotype" w:cs="Palatino Linotype"/>
          <w:color w:val="000000"/>
        </w:rPr>
        <w:t xml:space="preserve">, del numeral 191, de la Ley de Transparencia y Acceso a la Información Pública del Estado de México y Municipios; por tanto, encuadra en el supuesto de sobreseimiento previsto en el artículo 192 fracción IV de la misma Ley; en virtud que no se actualizó ningún supuesto de procedencia señalado en el ordenamiento en cita. </w:t>
      </w:r>
    </w:p>
    <w:p w14:paraId="436D282E" w14:textId="77777777" w:rsidR="004F1BF4" w:rsidRPr="00A3631F" w:rsidRDefault="004F1BF4">
      <w:pPr>
        <w:pBdr>
          <w:top w:val="nil"/>
          <w:left w:val="nil"/>
          <w:bottom w:val="nil"/>
          <w:right w:val="nil"/>
          <w:between w:val="nil"/>
        </w:pBdr>
        <w:ind w:left="720" w:right="-704"/>
        <w:rPr>
          <w:rFonts w:ascii="Palatino Linotype" w:eastAsia="Palatino Linotype" w:hAnsi="Palatino Linotype" w:cs="Palatino Linotype"/>
          <w:color w:val="000000"/>
        </w:rPr>
      </w:pPr>
    </w:p>
    <w:p w14:paraId="4DAB3923" w14:textId="77777777" w:rsidR="004F1BF4" w:rsidRPr="00A3631F" w:rsidRDefault="009C0D03">
      <w:pPr>
        <w:pBdr>
          <w:top w:val="nil"/>
          <w:left w:val="nil"/>
          <w:bottom w:val="nil"/>
          <w:right w:val="nil"/>
          <w:between w:val="nil"/>
        </w:pBdr>
        <w:spacing w:line="360" w:lineRule="auto"/>
        <w:ind w:right="-704"/>
        <w:jc w:val="both"/>
        <w:rPr>
          <w:rFonts w:ascii="Palatino Linotype" w:eastAsia="Palatino Linotype" w:hAnsi="Palatino Linotype" w:cs="Palatino Linotype"/>
          <w:color w:val="000000"/>
        </w:rPr>
      </w:pPr>
      <w:r w:rsidRPr="00A3631F">
        <w:rPr>
          <w:rFonts w:ascii="Palatino Linotype" w:eastAsia="Palatino Linotype" w:hAnsi="Palatino Linotype" w:cs="Palatino Linotype"/>
          <w:b/>
          <w:bCs/>
        </w:rPr>
        <w:lastRenderedPageBreak/>
        <w:t>25.</w:t>
      </w:r>
      <w:r w:rsidRPr="00A3631F">
        <w:rPr>
          <w:rFonts w:ascii="Palatino Linotype" w:eastAsia="Palatino Linotype" w:hAnsi="Palatino Linotype" w:cs="Palatino Linotype"/>
        </w:rPr>
        <w:t xml:space="preserve"> </w:t>
      </w:r>
      <w:r w:rsidRPr="00A3631F">
        <w:rPr>
          <w:rFonts w:ascii="Palatino Linotype" w:eastAsia="Palatino Linotype" w:hAnsi="Palatino Linotype" w:cs="Palatino Linotype"/>
          <w:color w:val="000000"/>
        </w:rPr>
        <w:t xml:space="preserve">Siendo el </w:t>
      </w:r>
      <w:r w:rsidRPr="00A3631F">
        <w:rPr>
          <w:rFonts w:ascii="Palatino Linotype" w:eastAsia="Palatino Linotype" w:hAnsi="Palatino Linotype" w:cs="Palatino Linotype"/>
          <w:i/>
          <w:iCs/>
          <w:color w:val="000000"/>
        </w:rPr>
        <w:t>sobreseimiento</w:t>
      </w:r>
      <w:r w:rsidRPr="00A3631F">
        <w:rPr>
          <w:rFonts w:ascii="Palatino Linotype" w:eastAsia="Palatino Linotype" w:hAnsi="Palatino Linotype" w:cs="Palatino Linotype"/>
          <w:color w:val="000000"/>
        </w:rPr>
        <w:t xml:space="preserve"> un acto que da por terminado el procedimiento administrativo de impugnación sin resolver el fondo de la cuestión planteada, por presentarse causas que impiden a la autoridad referirse a lo sustancial de lo planteado por el recurrente, los efectos del sobreseimiento consisten en dar por concluido el recurso administrativo sin entrar al estudio de fondo del asunto de que se trate; lo anterior con apoyo en el criterio del Poder Judicial de la Federación con rubro:</w:t>
      </w:r>
    </w:p>
    <w:p w14:paraId="3CBBD80B" w14:textId="77777777" w:rsidR="004F1BF4" w:rsidRPr="00A3631F" w:rsidRDefault="009C0D03">
      <w:pPr>
        <w:spacing w:after="120"/>
        <w:ind w:left="1134" w:right="-704"/>
        <w:jc w:val="both"/>
        <w:rPr>
          <w:rFonts w:ascii="Palatino Linotype" w:eastAsia="Palatino Linotype" w:hAnsi="Palatino Linotype" w:cs="Palatino Linotype"/>
          <w:b/>
          <w:bCs/>
          <w:i/>
          <w:iCs/>
        </w:rPr>
      </w:pPr>
      <w:r w:rsidRPr="00A3631F">
        <w:rPr>
          <w:rFonts w:ascii="Palatino Linotype" w:eastAsia="Palatino Linotype" w:hAnsi="Palatino Linotype" w:cs="Palatino Linotype"/>
          <w:i/>
          <w:iCs/>
        </w:rPr>
        <w:t>“</w:t>
      </w:r>
      <w:r w:rsidRPr="00A3631F">
        <w:rPr>
          <w:rFonts w:ascii="Palatino Linotype" w:eastAsia="Palatino Linotype" w:hAnsi="Palatino Linotype" w:cs="Palatino Linotype"/>
          <w:b/>
          <w:bCs/>
          <w:i/>
          <w:iCs/>
        </w:rPr>
        <w:t>SOBRESEIMIENTO, NO PERMITE ENTRAR AL ESTUDIO DE LAS CUESTIONES DE FONDO</w:t>
      </w:r>
    </w:p>
    <w:p w14:paraId="0D5C0028" w14:textId="77777777" w:rsidR="004F1BF4" w:rsidRPr="00A3631F" w:rsidRDefault="009C0D03">
      <w:pPr>
        <w:spacing w:before="120" w:after="120"/>
        <w:ind w:left="1134" w:right="-704"/>
        <w:jc w:val="both"/>
        <w:rPr>
          <w:rFonts w:ascii="Palatino Linotype" w:eastAsia="Palatino Linotype" w:hAnsi="Palatino Linotype" w:cs="Palatino Linotype"/>
          <w:i/>
          <w:iCs/>
        </w:rPr>
      </w:pPr>
      <w:r w:rsidRPr="00A3631F">
        <w:rPr>
          <w:rFonts w:ascii="Palatino Linotype" w:eastAsia="Palatino Linotype" w:hAnsi="Palatino Linotype" w:cs="Palatino Linotype"/>
          <w:i/>
          <w:iCs/>
        </w:rPr>
        <w:t>Localización: 213609. II.2o.183 K. Tribunales Colegiados de Circuito. Octava Época. Semanario Judicial de la Federación. Tomo XIII, Febrero de 1994, Pág. 420</w:t>
      </w:r>
    </w:p>
    <w:p w14:paraId="1D7EB010" w14:textId="77777777" w:rsidR="004F1BF4" w:rsidRPr="00A3631F" w:rsidRDefault="009C0D03">
      <w:pPr>
        <w:spacing w:before="120" w:after="120"/>
        <w:ind w:left="1134" w:right="-704"/>
        <w:jc w:val="both"/>
        <w:rPr>
          <w:rFonts w:ascii="Palatino Linotype" w:eastAsia="Palatino Linotype" w:hAnsi="Palatino Linotype" w:cs="Palatino Linotype"/>
          <w:i/>
          <w:iCs/>
        </w:rPr>
      </w:pPr>
      <w:r w:rsidRPr="00A3631F">
        <w:rPr>
          <w:rFonts w:ascii="Palatino Linotype" w:eastAsia="Palatino Linotype" w:hAnsi="Palatino Linotype" w:cs="Palatino Linotype"/>
          <w:i/>
          <w:iCs/>
        </w:rPr>
        <w:t>Cuerpo de tesis: No causa agravio la sentencia que no se ocupa de los razonamientos tendientes a demostrar la inconstitucionalidad de los actos reclamados de las autoridades responsables, que constituyen el problema de fondo, si se decreta el sobreseimiento del juicio.” (Sic)</w:t>
      </w:r>
    </w:p>
    <w:p w14:paraId="20350BC3" w14:textId="77777777" w:rsidR="004F1BF4" w:rsidRPr="00A3631F" w:rsidRDefault="004F1BF4">
      <w:pPr>
        <w:spacing w:before="120" w:after="120"/>
        <w:ind w:left="1134" w:right="-704"/>
        <w:jc w:val="both"/>
        <w:rPr>
          <w:rFonts w:ascii="Palatino Linotype" w:eastAsia="Palatino Linotype" w:hAnsi="Palatino Linotype" w:cs="Palatino Linotype"/>
          <w:b/>
          <w:bCs/>
          <w:i/>
          <w:iCs/>
        </w:rPr>
      </w:pPr>
    </w:p>
    <w:p w14:paraId="2E11094A" w14:textId="77777777" w:rsidR="004F1BF4" w:rsidRPr="00A3631F" w:rsidRDefault="009C0D03">
      <w:pPr>
        <w:pBdr>
          <w:top w:val="nil"/>
          <w:left w:val="nil"/>
          <w:bottom w:val="nil"/>
          <w:right w:val="nil"/>
          <w:between w:val="nil"/>
        </w:pBdr>
        <w:spacing w:line="360" w:lineRule="auto"/>
        <w:ind w:right="-704"/>
        <w:jc w:val="both"/>
        <w:rPr>
          <w:rFonts w:ascii="Palatino Linotype" w:eastAsia="Palatino Linotype" w:hAnsi="Palatino Linotype" w:cs="Palatino Linotype"/>
          <w:color w:val="000000"/>
        </w:rPr>
      </w:pPr>
      <w:r w:rsidRPr="00A3631F">
        <w:rPr>
          <w:rFonts w:ascii="Palatino Linotype" w:eastAsia="Palatino Linotype" w:hAnsi="Palatino Linotype" w:cs="Palatino Linotype"/>
          <w:b/>
          <w:bCs/>
        </w:rPr>
        <w:t xml:space="preserve">26. </w:t>
      </w:r>
      <w:r w:rsidRPr="00A3631F">
        <w:rPr>
          <w:rFonts w:ascii="Palatino Linotype" w:eastAsia="Palatino Linotype" w:hAnsi="Palatino Linotype" w:cs="Palatino Linotype"/>
          <w:color w:val="000000"/>
        </w:rPr>
        <w:t>Cabe destacar que la decisión de este Organismo Colegiado de sobreseer el recurso de revisión no implica una limitación o negación a la justicia, según lo ha establecido el Poder Judicial Federal, en el criterio que es aplicable por analogía, con rubro:</w:t>
      </w:r>
    </w:p>
    <w:p w14:paraId="5E9E205E" w14:textId="77777777" w:rsidR="004F1BF4" w:rsidRPr="00A3631F" w:rsidRDefault="009C0D03">
      <w:pPr>
        <w:spacing w:before="120" w:after="120"/>
        <w:ind w:left="1134" w:right="-704"/>
        <w:jc w:val="both"/>
        <w:rPr>
          <w:rFonts w:ascii="Palatino Linotype" w:eastAsia="Palatino Linotype" w:hAnsi="Palatino Linotype" w:cs="Palatino Linotype"/>
          <w:b/>
          <w:bCs/>
          <w:i/>
          <w:iCs/>
        </w:rPr>
      </w:pPr>
      <w:r w:rsidRPr="00A3631F">
        <w:rPr>
          <w:rFonts w:ascii="Palatino Linotype" w:eastAsia="Palatino Linotype" w:hAnsi="Palatino Linotype" w:cs="Palatino Linotype"/>
          <w:b/>
          <w:bCs/>
          <w:i/>
          <w:iCs/>
        </w:rPr>
        <w:t>“DESECHAMIENTO O SOBRESEIMIENTO EN EL JUICIO DE AMPARO. NO IMPLICA DENEGACIÓN DE JUSTICIA NI GENERA INSEGURIDAD JURÍDICA”</w:t>
      </w:r>
    </w:p>
    <w:p w14:paraId="734C90BC" w14:textId="77777777" w:rsidR="004F1BF4" w:rsidRDefault="009C0D03">
      <w:pPr>
        <w:spacing w:before="120" w:after="120"/>
        <w:ind w:left="1134" w:right="-704"/>
        <w:jc w:val="both"/>
        <w:rPr>
          <w:rFonts w:ascii="Palatino Linotype" w:eastAsia="Palatino Linotype" w:hAnsi="Palatino Linotype" w:cs="Palatino Linotype"/>
        </w:rPr>
      </w:pPr>
      <w:r w:rsidRPr="00A3631F">
        <w:rPr>
          <w:rFonts w:ascii="Palatino Linotype" w:eastAsia="Palatino Linotype" w:hAnsi="Palatino Linotype" w:cs="Palatino Linotype"/>
          <w:i/>
          <w:iCs/>
        </w:rPr>
        <w:t xml:space="preserve">Cuerpo de la tesis: Cuando se desecha una demanda de amparo o se sobresee en el juicio, ello no implica denegar justicia ni genera inseguridad jurídica, ya que la obligación de los tribunales no es tramitar y resolver en el fondo todos los asuntos sometidos a su consideración en forma favorable a los intereses del solicitante, sino que se circunscribe a la posibilidad que tiene cualquier individuo de acudir ante los órganos jurisdiccionales, con su promoción (demanda), a la cual debe darse el trámite acorde a las formalidades rectoras del procedimiento respectivo, dentro de las cuales el legislador previó las causales de </w:t>
      </w:r>
      <w:r w:rsidRPr="00A3631F">
        <w:rPr>
          <w:rFonts w:ascii="Palatino Linotype" w:eastAsia="Palatino Linotype" w:hAnsi="Palatino Linotype" w:cs="Palatino Linotype"/>
          <w:i/>
          <w:iCs/>
        </w:rPr>
        <w:lastRenderedPageBreak/>
        <w:t>improcedencia y sobreseimiento. Así, cuando el juzgador o tribunal de amparo se funda en una de ellas para desechar o sobreseer en un juicio, imparte justicia, puesto que el acceso a ella no se ve menoscabado, sino que es efectivo, ni se deja en estado de indefensión al promovente, no obstante sea desfavorable, al no poder negar que se da respuesta a la petición de amparo, con independencia de que no comparta el sentido de la resolución, dado que de esa forma quien imparte justicia se pronuncia sobre la acción, diciendo así el derecho y permitiendo que impere el orden jurídico.” (Sic)</w:t>
      </w:r>
      <w:r w:rsidRPr="00A3631F">
        <w:rPr>
          <w:rFonts w:ascii="Palatino Linotype" w:eastAsia="Palatino Linotype" w:hAnsi="Palatino Linotype" w:cs="Palatino Linotype"/>
        </w:rPr>
        <w:tab/>
      </w:r>
    </w:p>
    <w:p w14:paraId="36376370" w14:textId="77777777" w:rsidR="00A3631F" w:rsidRPr="00A3631F" w:rsidRDefault="00A3631F">
      <w:pPr>
        <w:spacing w:before="120" w:after="120"/>
        <w:ind w:left="1134" w:right="-704"/>
        <w:jc w:val="both"/>
        <w:rPr>
          <w:rFonts w:ascii="Palatino Linotype" w:eastAsia="Palatino Linotype" w:hAnsi="Palatino Linotype" w:cs="Palatino Linotype"/>
          <w:i/>
          <w:iCs/>
        </w:rPr>
      </w:pPr>
    </w:p>
    <w:p w14:paraId="5B596D4A" w14:textId="77777777" w:rsidR="004F1BF4" w:rsidRPr="00A3631F" w:rsidRDefault="009C0D03">
      <w:pPr>
        <w:pBdr>
          <w:top w:val="nil"/>
          <w:left w:val="nil"/>
          <w:bottom w:val="nil"/>
          <w:right w:val="nil"/>
          <w:between w:val="nil"/>
        </w:pBdr>
        <w:spacing w:line="360" w:lineRule="auto"/>
        <w:ind w:right="-704"/>
        <w:jc w:val="both"/>
        <w:rPr>
          <w:rFonts w:ascii="Palatino Linotype" w:eastAsia="Palatino Linotype" w:hAnsi="Palatino Linotype" w:cs="Palatino Linotype"/>
          <w:color w:val="000000"/>
        </w:rPr>
      </w:pPr>
      <w:r w:rsidRPr="00A3631F">
        <w:rPr>
          <w:rFonts w:ascii="Palatino Linotype" w:eastAsia="Palatino Linotype" w:hAnsi="Palatino Linotype" w:cs="Palatino Linotype"/>
          <w:b/>
          <w:bCs/>
        </w:rPr>
        <w:t>27</w:t>
      </w:r>
      <w:r w:rsidRPr="00A3631F">
        <w:rPr>
          <w:rFonts w:ascii="Palatino Linotype" w:eastAsia="Palatino Linotype" w:hAnsi="Palatino Linotype" w:cs="Palatino Linotype"/>
        </w:rPr>
        <w:t xml:space="preserve">. </w:t>
      </w:r>
      <w:r w:rsidRPr="00A3631F">
        <w:rPr>
          <w:rFonts w:ascii="Palatino Linotype" w:eastAsia="Palatino Linotype" w:hAnsi="Palatino Linotype" w:cs="Palatino Linotype"/>
          <w:color w:val="000000"/>
        </w:rPr>
        <w:t xml:space="preserve">Finalmente, se dejan a salvo los derechos de la Particular a fin de que, en considerarlo pertinente, interponga una nueva solicitud de acceso a la información, ante el Sujeto Obligado, en el que requiera la información de su interés. </w:t>
      </w:r>
    </w:p>
    <w:p w14:paraId="10C2866E" w14:textId="77777777" w:rsidR="004F1BF4" w:rsidRPr="00A3631F" w:rsidRDefault="004F1BF4">
      <w:pPr>
        <w:spacing w:line="360" w:lineRule="auto"/>
        <w:ind w:right="-704"/>
        <w:jc w:val="both"/>
        <w:rPr>
          <w:rFonts w:ascii="Palatino Linotype" w:eastAsia="Palatino Linotype" w:hAnsi="Palatino Linotype" w:cs="Palatino Linotype"/>
          <w:color w:val="0D0D0D"/>
        </w:rPr>
      </w:pPr>
    </w:p>
    <w:p w14:paraId="11ABD593" w14:textId="77777777" w:rsidR="004F1BF4" w:rsidRPr="00A3631F" w:rsidRDefault="009C0D03">
      <w:pPr>
        <w:pBdr>
          <w:top w:val="nil"/>
          <w:left w:val="nil"/>
          <w:bottom w:val="nil"/>
          <w:right w:val="nil"/>
          <w:between w:val="nil"/>
        </w:pBdr>
        <w:spacing w:line="360" w:lineRule="auto"/>
        <w:ind w:right="-704"/>
        <w:jc w:val="both"/>
        <w:rPr>
          <w:rFonts w:ascii="Palatino Linotype" w:eastAsia="Palatino Linotype" w:hAnsi="Palatino Linotype" w:cs="Palatino Linotype"/>
          <w:color w:val="000000"/>
        </w:rPr>
      </w:pPr>
      <w:r w:rsidRPr="00A3631F">
        <w:rPr>
          <w:rFonts w:ascii="Palatino Linotype" w:eastAsia="Palatino Linotype" w:hAnsi="Palatino Linotype" w:cs="Palatino Linotype"/>
          <w:b/>
          <w:bCs/>
        </w:rPr>
        <w:t xml:space="preserve">28. </w:t>
      </w:r>
      <w:r w:rsidRPr="00A3631F">
        <w:rPr>
          <w:rFonts w:ascii="Palatino Linotype" w:eastAsia="Palatino Linotype" w:hAnsi="Palatino Linotype" w:cs="Palatino Linotype"/>
          <w:color w:val="000000"/>
        </w:rPr>
        <w:t xml:space="preserve">Por lo que, con fundamento en los artículos 186, fracción I y 192 fracción IV; en relación con el 191 fracción III, de la Ley de Transparencia y Acceso a la Información Pública del Estado de México y Municipios, es procedente </w:t>
      </w:r>
      <w:r w:rsidRPr="00A3631F">
        <w:rPr>
          <w:rFonts w:ascii="Palatino Linotype" w:eastAsia="Palatino Linotype" w:hAnsi="Palatino Linotype" w:cs="Palatino Linotype"/>
          <w:b/>
          <w:bCs/>
          <w:color w:val="000000"/>
        </w:rPr>
        <w:t>SOBRESEER</w:t>
      </w:r>
      <w:r w:rsidRPr="00A3631F">
        <w:rPr>
          <w:rFonts w:ascii="Palatino Linotype" w:eastAsia="Palatino Linotype" w:hAnsi="Palatino Linotype" w:cs="Palatino Linotype"/>
          <w:color w:val="000000"/>
        </w:rPr>
        <w:t xml:space="preserve"> el Recurso de Revisión </w:t>
      </w:r>
      <w:r w:rsidRPr="00A3631F">
        <w:rPr>
          <w:rFonts w:ascii="Palatino Linotype" w:eastAsia="Palatino Linotype" w:hAnsi="Palatino Linotype" w:cs="Palatino Linotype"/>
          <w:b/>
          <w:bCs/>
          <w:color w:val="000000"/>
        </w:rPr>
        <w:t xml:space="preserve">12858/INFOEM/IP/RR/2025, </w:t>
      </w:r>
      <w:r w:rsidRPr="00A3631F">
        <w:rPr>
          <w:rFonts w:ascii="Palatino Linotype" w:eastAsia="Palatino Linotype" w:hAnsi="Palatino Linotype" w:cs="Palatino Linotype"/>
          <w:color w:val="000000"/>
        </w:rPr>
        <w:t>ya que una vez admitido el Recurso de Revisión surgió una causal de improcedencia.</w:t>
      </w:r>
    </w:p>
    <w:p w14:paraId="082D10F1" w14:textId="77777777" w:rsidR="004F1BF4" w:rsidRPr="00A3631F" w:rsidRDefault="004F1BF4">
      <w:pPr>
        <w:pBdr>
          <w:top w:val="nil"/>
          <w:left w:val="nil"/>
          <w:bottom w:val="nil"/>
          <w:right w:val="nil"/>
          <w:between w:val="nil"/>
        </w:pBdr>
        <w:ind w:left="720" w:right="-704"/>
        <w:rPr>
          <w:rFonts w:ascii="Palatino Linotype" w:eastAsia="Palatino Linotype" w:hAnsi="Palatino Linotype" w:cs="Palatino Linotype"/>
          <w:color w:val="000000"/>
        </w:rPr>
      </w:pPr>
    </w:p>
    <w:p w14:paraId="43EFAB4B" w14:textId="77777777" w:rsidR="004F1BF4" w:rsidRPr="00A3631F" w:rsidRDefault="009C0D03">
      <w:pPr>
        <w:numPr>
          <w:ilvl w:val="0"/>
          <w:numId w:val="10"/>
        </w:numPr>
        <w:pBdr>
          <w:top w:val="nil"/>
          <w:left w:val="nil"/>
          <w:bottom w:val="nil"/>
          <w:right w:val="nil"/>
          <w:between w:val="nil"/>
        </w:pBdr>
        <w:tabs>
          <w:tab w:val="left" w:pos="426"/>
        </w:tabs>
        <w:spacing w:line="360" w:lineRule="auto"/>
        <w:ind w:left="0" w:right="-704" w:firstLine="0"/>
        <w:jc w:val="both"/>
        <w:rPr>
          <w:rFonts w:ascii="Palatino Linotype" w:eastAsia="Palatino Linotype" w:hAnsi="Palatino Linotype" w:cs="Palatino Linotype"/>
          <w:b/>
          <w:bCs/>
          <w:color w:val="000000"/>
        </w:rPr>
      </w:pPr>
      <w:bookmarkStart w:id="11" w:name="_heading=h.z22opfce4zin" w:colFirst="0" w:colLast="0"/>
      <w:bookmarkEnd w:id="11"/>
      <w:r w:rsidRPr="00A3631F">
        <w:rPr>
          <w:rFonts w:ascii="Palatino Linotype" w:eastAsia="Palatino Linotype" w:hAnsi="Palatino Linotype" w:cs="Palatino Linotype"/>
          <w:color w:val="222222"/>
        </w:rPr>
        <w:t xml:space="preserve">Por lo anteriormente expuesto y fundado, este </w:t>
      </w:r>
      <w:r w:rsidRPr="00A3631F">
        <w:rPr>
          <w:rFonts w:ascii="Palatino Linotype" w:eastAsia="Palatino Linotype" w:hAnsi="Palatino Linotype" w:cs="Palatino Linotype"/>
          <w:b/>
          <w:bCs/>
          <w:color w:val="222222"/>
        </w:rPr>
        <w:t>ÓRGANO GARANTE</w:t>
      </w:r>
      <w:r w:rsidRPr="00A3631F">
        <w:rPr>
          <w:rFonts w:ascii="Palatino Linotype" w:eastAsia="Palatino Linotype" w:hAnsi="Palatino Linotype" w:cs="Palatino Linotype"/>
          <w:color w:val="222222"/>
        </w:rPr>
        <w:t xml:space="preserve"> emite los siguientes: </w:t>
      </w:r>
    </w:p>
    <w:p w14:paraId="5C8B297F" w14:textId="77777777" w:rsidR="004F1BF4" w:rsidRPr="00A3631F" w:rsidRDefault="004F1BF4">
      <w:pPr>
        <w:pBdr>
          <w:top w:val="nil"/>
          <w:left w:val="nil"/>
          <w:bottom w:val="nil"/>
          <w:right w:val="nil"/>
          <w:between w:val="nil"/>
        </w:pBdr>
        <w:tabs>
          <w:tab w:val="left" w:pos="426"/>
        </w:tabs>
        <w:spacing w:line="360" w:lineRule="auto"/>
        <w:ind w:left="4613" w:right="-704"/>
        <w:jc w:val="both"/>
        <w:rPr>
          <w:rFonts w:ascii="Palatino Linotype" w:eastAsia="Palatino Linotype" w:hAnsi="Palatino Linotype" w:cs="Palatino Linotype"/>
          <w:color w:val="222222"/>
        </w:rPr>
      </w:pPr>
      <w:bookmarkStart w:id="12" w:name="_heading=h.oahs0g3jqgzc" w:colFirst="0" w:colLast="0"/>
      <w:bookmarkEnd w:id="12"/>
    </w:p>
    <w:p w14:paraId="61C3D164" w14:textId="77777777" w:rsidR="004F1BF4" w:rsidRPr="00A3631F" w:rsidRDefault="009C0D03">
      <w:pPr>
        <w:pBdr>
          <w:top w:val="nil"/>
          <w:left w:val="nil"/>
          <w:bottom w:val="nil"/>
          <w:right w:val="nil"/>
          <w:between w:val="nil"/>
        </w:pBdr>
        <w:tabs>
          <w:tab w:val="left" w:pos="426"/>
        </w:tabs>
        <w:spacing w:line="360" w:lineRule="auto"/>
        <w:ind w:right="-704"/>
        <w:jc w:val="center"/>
        <w:rPr>
          <w:rFonts w:ascii="Palatino Linotype" w:eastAsia="Palatino Linotype" w:hAnsi="Palatino Linotype" w:cs="Palatino Linotype"/>
          <w:b/>
          <w:bCs/>
          <w:color w:val="000000"/>
        </w:rPr>
      </w:pPr>
      <w:r w:rsidRPr="00A3631F">
        <w:rPr>
          <w:rFonts w:ascii="Palatino Linotype" w:eastAsia="Palatino Linotype" w:hAnsi="Palatino Linotype" w:cs="Palatino Linotype"/>
          <w:b/>
          <w:bCs/>
          <w:color w:val="000000"/>
        </w:rPr>
        <w:t>R E S O L U T I V O S</w:t>
      </w:r>
    </w:p>
    <w:p w14:paraId="3044C484" w14:textId="77777777" w:rsidR="004F1BF4" w:rsidRPr="00A3631F" w:rsidRDefault="004F1BF4">
      <w:pPr>
        <w:widowControl w:val="0"/>
        <w:pBdr>
          <w:top w:val="nil"/>
          <w:left w:val="nil"/>
          <w:bottom w:val="nil"/>
          <w:right w:val="nil"/>
          <w:between w:val="nil"/>
        </w:pBdr>
        <w:tabs>
          <w:tab w:val="left" w:pos="1701"/>
        </w:tabs>
        <w:spacing w:line="360" w:lineRule="auto"/>
        <w:ind w:right="-704"/>
        <w:jc w:val="both"/>
        <w:rPr>
          <w:rFonts w:ascii="Palatino Linotype" w:eastAsia="Palatino Linotype" w:hAnsi="Palatino Linotype" w:cs="Palatino Linotype"/>
          <w:b/>
          <w:bCs/>
          <w:color w:val="000000"/>
        </w:rPr>
      </w:pPr>
      <w:bookmarkStart w:id="13" w:name="_heading=h.so2b5wezjcah" w:colFirst="0" w:colLast="0"/>
      <w:bookmarkEnd w:id="13"/>
    </w:p>
    <w:p w14:paraId="5933D7F7" w14:textId="77777777" w:rsidR="004F1BF4" w:rsidRPr="00A3631F" w:rsidRDefault="009C0D03">
      <w:pPr>
        <w:widowControl w:val="0"/>
        <w:pBdr>
          <w:top w:val="nil"/>
          <w:left w:val="nil"/>
          <w:bottom w:val="nil"/>
          <w:right w:val="nil"/>
          <w:between w:val="nil"/>
        </w:pBdr>
        <w:tabs>
          <w:tab w:val="left" w:pos="1701"/>
        </w:tabs>
        <w:spacing w:line="360" w:lineRule="auto"/>
        <w:ind w:right="-704"/>
        <w:jc w:val="both"/>
        <w:rPr>
          <w:rFonts w:ascii="Palatino Linotype" w:eastAsia="Palatino Linotype" w:hAnsi="Palatino Linotype" w:cs="Palatino Linotype"/>
          <w:color w:val="000000"/>
        </w:rPr>
      </w:pPr>
      <w:r w:rsidRPr="00A3631F">
        <w:rPr>
          <w:rFonts w:ascii="Palatino Linotype" w:eastAsia="Palatino Linotype" w:hAnsi="Palatino Linotype" w:cs="Palatino Linotype"/>
          <w:b/>
          <w:bCs/>
          <w:color w:val="000000"/>
        </w:rPr>
        <w:t xml:space="preserve">PRIMERO. </w:t>
      </w:r>
      <w:r w:rsidRPr="00A3631F">
        <w:rPr>
          <w:rFonts w:ascii="Palatino Linotype" w:eastAsia="Palatino Linotype" w:hAnsi="Palatino Linotype" w:cs="Palatino Linotype"/>
          <w:color w:val="000000"/>
        </w:rPr>
        <w:t xml:space="preserve">Se </w:t>
      </w:r>
      <w:r w:rsidRPr="00A3631F">
        <w:rPr>
          <w:rFonts w:ascii="Palatino Linotype" w:eastAsia="Palatino Linotype" w:hAnsi="Palatino Linotype" w:cs="Palatino Linotype"/>
          <w:b/>
          <w:bCs/>
          <w:color w:val="000000"/>
        </w:rPr>
        <w:t>SOBRESEE</w:t>
      </w:r>
      <w:r w:rsidRPr="00A3631F">
        <w:rPr>
          <w:rFonts w:ascii="Palatino Linotype" w:eastAsia="Palatino Linotype" w:hAnsi="Palatino Linotype" w:cs="Palatino Linotype"/>
          <w:color w:val="000000"/>
        </w:rPr>
        <w:t xml:space="preserve"> el Recurso de Revisión número </w:t>
      </w:r>
      <w:r w:rsidRPr="00A3631F">
        <w:rPr>
          <w:rFonts w:ascii="Palatino Linotype" w:eastAsia="Palatino Linotype" w:hAnsi="Palatino Linotype" w:cs="Palatino Linotype"/>
          <w:b/>
          <w:bCs/>
        </w:rPr>
        <w:t>12858/INFOEM/IP/RR/2025</w:t>
      </w:r>
      <w:r w:rsidRPr="00A3631F">
        <w:rPr>
          <w:rFonts w:ascii="Palatino Linotype" w:eastAsia="Palatino Linotype" w:hAnsi="Palatino Linotype" w:cs="Palatino Linotype"/>
          <w:b/>
          <w:bCs/>
          <w:color w:val="000000"/>
        </w:rPr>
        <w:t xml:space="preserve">, </w:t>
      </w:r>
      <w:r w:rsidRPr="00A3631F">
        <w:rPr>
          <w:rFonts w:ascii="Palatino Linotype" w:eastAsia="Palatino Linotype" w:hAnsi="Palatino Linotype" w:cs="Palatino Linotype"/>
          <w:color w:val="000000"/>
        </w:rPr>
        <w:t xml:space="preserve">conforme al artículo 192, fracción IV, en relación con la fracción III, del artículo 191 de la Ley de Transparencia y Acceso a la Información Pública del Estado de México y Municipios, en </w:t>
      </w:r>
      <w:r w:rsidRPr="00A3631F">
        <w:rPr>
          <w:rFonts w:ascii="Palatino Linotype" w:eastAsia="Palatino Linotype" w:hAnsi="Palatino Linotype" w:cs="Palatino Linotype"/>
          <w:color w:val="000000"/>
        </w:rPr>
        <w:lastRenderedPageBreak/>
        <w:t xml:space="preserve">términos del </w:t>
      </w:r>
      <w:r w:rsidRPr="00A3631F">
        <w:rPr>
          <w:rFonts w:ascii="Palatino Linotype" w:eastAsia="Palatino Linotype" w:hAnsi="Palatino Linotype" w:cs="Palatino Linotype"/>
          <w:b/>
          <w:bCs/>
          <w:color w:val="000000"/>
        </w:rPr>
        <w:t>Considerando</w:t>
      </w:r>
      <w:r w:rsidRPr="00A3631F">
        <w:rPr>
          <w:rFonts w:ascii="Palatino Linotype" w:eastAsia="Palatino Linotype" w:hAnsi="Palatino Linotype" w:cs="Palatino Linotype"/>
          <w:color w:val="000000"/>
        </w:rPr>
        <w:t xml:space="preserve"> </w:t>
      </w:r>
      <w:r w:rsidRPr="00A3631F">
        <w:rPr>
          <w:rFonts w:ascii="Palatino Linotype" w:eastAsia="Palatino Linotype" w:hAnsi="Palatino Linotype" w:cs="Palatino Linotype"/>
          <w:b/>
          <w:bCs/>
          <w:color w:val="000000"/>
        </w:rPr>
        <w:t>TERCERO</w:t>
      </w:r>
      <w:r w:rsidRPr="00A3631F">
        <w:rPr>
          <w:rFonts w:ascii="Palatino Linotype" w:eastAsia="Palatino Linotype" w:hAnsi="Palatino Linotype" w:cs="Palatino Linotype"/>
          <w:color w:val="000000"/>
        </w:rPr>
        <w:t xml:space="preserve"> de la presente Resolución.</w:t>
      </w:r>
    </w:p>
    <w:p w14:paraId="34F0FAAB" w14:textId="77777777" w:rsidR="004F1BF4" w:rsidRPr="00A3631F" w:rsidRDefault="004F1BF4">
      <w:pPr>
        <w:widowControl w:val="0"/>
        <w:pBdr>
          <w:top w:val="nil"/>
          <w:left w:val="nil"/>
          <w:bottom w:val="nil"/>
          <w:right w:val="nil"/>
          <w:between w:val="nil"/>
        </w:pBdr>
        <w:tabs>
          <w:tab w:val="left" w:pos="1701"/>
        </w:tabs>
        <w:spacing w:line="360" w:lineRule="auto"/>
        <w:ind w:right="-704"/>
        <w:jc w:val="both"/>
        <w:rPr>
          <w:rFonts w:ascii="Palatino Linotype" w:eastAsia="Palatino Linotype" w:hAnsi="Palatino Linotype" w:cs="Palatino Linotype"/>
          <w:color w:val="000000"/>
        </w:rPr>
      </w:pPr>
    </w:p>
    <w:p w14:paraId="1BCD4718" w14:textId="70C36ECD" w:rsidR="004F1BF4" w:rsidRPr="00A3631F" w:rsidRDefault="009C0D03">
      <w:pPr>
        <w:spacing w:line="360" w:lineRule="auto"/>
        <w:ind w:right="-704"/>
        <w:jc w:val="both"/>
        <w:rPr>
          <w:rFonts w:ascii="Palatino Linotype" w:eastAsia="Palatino Linotype" w:hAnsi="Palatino Linotype" w:cs="Palatino Linotype"/>
          <w:color w:val="000000"/>
          <w:highlight w:val="white"/>
        </w:rPr>
      </w:pPr>
      <w:bookmarkStart w:id="14" w:name="_heading=h.xbn0ak4j77gd" w:colFirst="0" w:colLast="0"/>
      <w:bookmarkEnd w:id="14"/>
      <w:r w:rsidRPr="00A3631F">
        <w:rPr>
          <w:rFonts w:ascii="Palatino Linotype" w:eastAsia="Palatino Linotype" w:hAnsi="Palatino Linotype" w:cs="Palatino Linotype"/>
          <w:b/>
          <w:bCs/>
        </w:rPr>
        <w:t>SEGUNDO.</w:t>
      </w:r>
      <w:r w:rsidRPr="00A3631F">
        <w:rPr>
          <w:rFonts w:ascii="Palatino Linotype" w:eastAsia="Palatino Linotype" w:hAnsi="Palatino Linotype" w:cs="Palatino Linotype"/>
          <w:b/>
          <w:bCs/>
          <w:color w:val="000000"/>
        </w:rPr>
        <w:t xml:space="preserve"> </w:t>
      </w:r>
      <w:r w:rsidR="00B21062" w:rsidRPr="00A3631F">
        <w:rPr>
          <w:rFonts w:ascii="Palatino Linotype" w:eastAsia="Palatino Linotype" w:hAnsi="Palatino Linotype" w:cs="Palatino Linotype"/>
          <w:b/>
          <w:bCs/>
          <w:color w:val="000000"/>
          <w:highlight w:val="white"/>
        </w:rPr>
        <w:t>Notifíquese</w:t>
      </w:r>
      <w:r w:rsidRPr="00A3631F">
        <w:rPr>
          <w:rFonts w:ascii="Palatino Linotype" w:eastAsia="Palatino Linotype" w:hAnsi="Palatino Linotype" w:cs="Palatino Linotype"/>
          <w:b/>
          <w:bCs/>
          <w:color w:val="000000"/>
          <w:highlight w:val="white"/>
        </w:rPr>
        <w:t xml:space="preserve"> </w:t>
      </w:r>
      <w:r w:rsidRPr="00A3631F">
        <w:rPr>
          <w:rFonts w:ascii="Palatino Linotype" w:eastAsia="Palatino Linotype" w:hAnsi="Palatino Linotype" w:cs="Palatino Linotype"/>
          <w:color w:val="000000"/>
          <w:highlight w:val="white"/>
        </w:rPr>
        <w:t>al Titular de la Unidad de Transparencia del</w:t>
      </w:r>
      <w:r w:rsidRPr="00A3631F">
        <w:rPr>
          <w:rFonts w:ascii="Palatino Linotype" w:eastAsia="Palatino Linotype" w:hAnsi="Palatino Linotype" w:cs="Palatino Linotype"/>
          <w:b/>
          <w:bCs/>
          <w:color w:val="000000"/>
          <w:highlight w:val="white"/>
        </w:rPr>
        <w:t xml:space="preserve"> SUJETO OBLIGADO</w:t>
      </w:r>
      <w:r w:rsidRPr="00A3631F">
        <w:rPr>
          <w:rFonts w:ascii="Palatino Linotype" w:eastAsia="Palatino Linotype" w:hAnsi="Palatino Linotype" w:cs="Palatino Linotype"/>
          <w:color w:val="000000"/>
          <w:highlight w:val="white"/>
        </w:rPr>
        <w:t xml:space="preserve"> vía Sistema de Acceso a Información Mexiquense (SAIMEX), la presente Resolución para su conocimiento. </w:t>
      </w:r>
    </w:p>
    <w:p w14:paraId="2D2D1672" w14:textId="77777777" w:rsidR="004F1BF4" w:rsidRPr="00A3631F" w:rsidRDefault="004F1BF4">
      <w:pPr>
        <w:spacing w:line="360" w:lineRule="auto"/>
        <w:ind w:right="-704"/>
        <w:jc w:val="both"/>
        <w:rPr>
          <w:rFonts w:ascii="Palatino Linotype" w:eastAsia="Palatino Linotype" w:hAnsi="Palatino Linotype" w:cs="Palatino Linotype"/>
          <w:b/>
          <w:bCs/>
          <w:color w:val="000000"/>
        </w:rPr>
      </w:pPr>
    </w:p>
    <w:p w14:paraId="35C2EC21" w14:textId="3A003B2D" w:rsidR="004F1BF4" w:rsidRPr="00A3631F" w:rsidRDefault="009C0D03">
      <w:pPr>
        <w:spacing w:line="360" w:lineRule="auto"/>
        <w:ind w:right="-704"/>
        <w:jc w:val="both"/>
        <w:rPr>
          <w:rFonts w:ascii="Palatino Linotype" w:eastAsia="Palatino Linotype" w:hAnsi="Palatino Linotype" w:cs="Palatino Linotype"/>
        </w:rPr>
      </w:pPr>
      <w:bookmarkStart w:id="15" w:name="_heading=h.j78dvibjvaph" w:colFirst="0" w:colLast="0"/>
      <w:bookmarkEnd w:id="15"/>
      <w:r w:rsidRPr="00A3631F">
        <w:rPr>
          <w:rFonts w:ascii="Palatino Linotype" w:eastAsia="Palatino Linotype" w:hAnsi="Palatino Linotype" w:cs="Palatino Linotype"/>
          <w:b/>
          <w:bCs/>
        </w:rPr>
        <w:t xml:space="preserve">TERCERO. </w:t>
      </w:r>
      <w:r w:rsidRPr="00A3631F">
        <w:rPr>
          <w:rFonts w:ascii="Palatino Linotype" w:eastAsia="Palatino Linotype" w:hAnsi="Palatino Linotype" w:cs="Palatino Linotype"/>
          <w:b/>
          <w:bCs/>
          <w:color w:val="222222"/>
        </w:rPr>
        <w:t xml:space="preserve">Notifíquese </w:t>
      </w:r>
      <w:r w:rsidRPr="00A3631F">
        <w:rPr>
          <w:rFonts w:ascii="Palatino Linotype" w:eastAsia="Palatino Linotype" w:hAnsi="Palatino Linotype" w:cs="Palatino Linotype"/>
          <w:color w:val="222222"/>
        </w:rPr>
        <w:t>a</w:t>
      </w:r>
      <w:r w:rsidRPr="00A3631F">
        <w:rPr>
          <w:rFonts w:ascii="Palatino Linotype" w:eastAsia="Palatino Linotype" w:hAnsi="Palatino Linotype" w:cs="Palatino Linotype"/>
        </w:rPr>
        <w:t>l</w:t>
      </w:r>
      <w:r w:rsidRPr="00A3631F">
        <w:rPr>
          <w:rFonts w:ascii="Palatino Linotype" w:eastAsia="Palatino Linotype" w:hAnsi="Palatino Linotype" w:cs="Palatino Linotype"/>
          <w:b/>
          <w:bCs/>
        </w:rPr>
        <w:t xml:space="preserve"> RECURRENTE </w:t>
      </w:r>
      <w:r w:rsidRPr="00A3631F">
        <w:rPr>
          <w:rFonts w:ascii="Palatino Linotype" w:eastAsia="Palatino Linotype" w:hAnsi="Palatino Linotype" w:cs="Palatino Linotype"/>
        </w:rPr>
        <w:t>la presente Resolución</w:t>
      </w:r>
      <w:r w:rsidR="00B21062" w:rsidRPr="00A3631F">
        <w:rPr>
          <w:rFonts w:ascii="Palatino Linotype" w:eastAsia="Palatino Linotype" w:hAnsi="Palatino Linotype" w:cs="Palatino Linotype"/>
        </w:rPr>
        <w:t xml:space="preserve"> vía SAIMEX</w:t>
      </w:r>
      <w:r w:rsidRPr="00A3631F">
        <w:rPr>
          <w:rFonts w:ascii="Palatino Linotype" w:eastAsia="Palatino Linotype" w:hAnsi="Palatino Linotype" w:cs="Palatino Linotype"/>
        </w:rPr>
        <w:t>.</w:t>
      </w:r>
    </w:p>
    <w:p w14:paraId="11E98A3A" w14:textId="77777777" w:rsidR="004F1BF4" w:rsidRPr="00A3631F" w:rsidRDefault="004F1BF4">
      <w:pPr>
        <w:spacing w:line="360" w:lineRule="auto"/>
        <w:ind w:right="-704"/>
        <w:jc w:val="both"/>
        <w:rPr>
          <w:rFonts w:ascii="Palatino Linotype" w:eastAsia="Palatino Linotype" w:hAnsi="Palatino Linotype" w:cs="Palatino Linotype"/>
        </w:rPr>
      </w:pPr>
    </w:p>
    <w:p w14:paraId="47689D8D" w14:textId="77777777" w:rsidR="004F1BF4" w:rsidRPr="00A3631F" w:rsidRDefault="009C0D03">
      <w:pPr>
        <w:spacing w:line="360" w:lineRule="auto"/>
        <w:ind w:right="-704"/>
        <w:jc w:val="both"/>
        <w:rPr>
          <w:rFonts w:ascii="Palatino Linotype" w:eastAsia="Palatino Linotype" w:hAnsi="Palatino Linotype" w:cs="Palatino Linotype"/>
        </w:rPr>
      </w:pPr>
      <w:bookmarkStart w:id="16" w:name="_heading=h.dyl30cvko7jr" w:colFirst="0" w:colLast="0"/>
      <w:bookmarkEnd w:id="16"/>
      <w:r w:rsidRPr="00A3631F">
        <w:rPr>
          <w:rFonts w:ascii="Palatino Linotype" w:eastAsia="Palatino Linotype" w:hAnsi="Palatino Linotype" w:cs="Palatino Linotype"/>
          <w:b/>
          <w:bCs/>
        </w:rPr>
        <w:t>CUARTO.</w:t>
      </w:r>
      <w:r w:rsidRPr="00A3631F">
        <w:rPr>
          <w:rFonts w:ascii="Palatino Linotype" w:eastAsia="Palatino Linotype" w:hAnsi="Palatino Linotype" w:cs="Palatino Linotype"/>
        </w:rPr>
        <w:t xml:space="preserve"> Se hace del conocimiento del </w:t>
      </w:r>
      <w:r w:rsidRPr="00A3631F">
        <w:rPr>
          <w:rFonts w:ascii="Palatino Linotype" w:eastAsia="Palatino Linotype" w:hAnsi="Palatino Linotype" w:cs="Palatino Linotype"/>
          <w:b/>
          <w:bCs/>
        </w:rPr>
        <w:t>RECURRENTE</w:t>
      </w:r>
      <w:r w:rsidRPr="00A3631F">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14:paraId="1370F2D5" w14:textId="77777777" w:rsidR="004F1BF4" w:rsidRPr="00A3631F" w:rsidRDefault="004F1BF4">
      <w:pPr>
        <w:spacing w:line="360" w:lineRule="auto"/>
        <w:ind w:right="-704"/>
        <w:jc w:val="both"/>
        <w:rPr>
          <w:rFonts w:ascii="Palatino Linotype" w:eastAsia="Palatino Linotype" w:hAnsi="Palatino Linotype" w:cs="Palatino Linotype"/>
        </w:rPr>
      </w:pPr>
    </w:p>
    <w:p w14:paraId="6E309086" w14:textId="77777777" w:rsidR="00B21062" w:rsidRPr="00A3631F" w:rsidRDefault="00B21062" w:rsidP="00B21062">
      <w:pPr>
        <w:spacing w:before="240" w:after="240" w:line="360" w:lineRule="auto"/>
        <w:ind w:right="-709" w:firstLine="1"/>
        <w:jc w:val="both"/>
        <w:rPr>
          <w:rFonts w:ascii="Palatino Linotype" w:hAnsi="Palatino Linotype"/>
        </w:rPr>
      </w:pPr>
      <w:bookmarkStart w:id="17" w:name="_Hlk99014733"/>
      <w:r w:rsidRPr="00A3631F">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(03) DE JUNIO DE DOS MIL VEINTISÉIS, ANTE EL SECRETARIO TÉCNICO DEL PLENO </w:t>
      </w:r>
      <w:r w:rsidRPr="00A3631F">
        <w:rPr>
          <w:rFonts w:ascii="Palatino Linotype" w:hAnsi="Palatino Linotype" w:cs="Palatino Linotype"/>
          <w:color w:val="000000" w:themeColor="text1"/>
        </w:rPr>
        <w:t>ALEXIS TAPIA RAMÍREZ.</w:t>
      </w:r>
    </w:p>
    <w:bookmarkEnd w:id="17"/>
    <w:p w14:paraId="252EC15A" w14:textId="77777777" w:rsidR="004F1BF4" w:rsidRPr="00A3631F" w:rsidRDefault="004F1BF4">
      <w:pPr>
        <w:pStyle w:val="Ttulo2"/>
        <w:spacing w:before="0" w:line="360" w:lineRule="auto"/>
        <w:ind w:right="-704"/>
        <w:rPr>
          <w:sz w:val="24"/>
          <w:szCs w:val="24"/>
        </w:rPr>
      </w:pPr>
    </w:p>
    <w:p w14:paraId="0DBC70C4" w14:textId="77777777" w:rsidR="004F1BF4" w:rsidRPr="00A3631F" w:rsidRDefault="004F1BF4">
      <w:pPr>
        <w:pStyle w:val="Ttulo1"/>
        <w:spacing w:before="0" w:line="360" w:lineRule="auto"/>
        <w:ind w:right="-704"/>
        <w:rPr>
          <w:rFonts w:ascii="Palatino Linotype" w:eastAsia="Palatino Linotype" w:hAnsi="Palatino Linotype" w:cs="Palatino Linotype"/>
          <w:sz w:val="24"/>
          <w:szCs w:val="24"/>
        </w:rPr>
      </w:pPr>
    </w:p>
    <w:p w14:paraId="72BD7BDB" w14:textId="77777777" w:rsidR="004F5C76" w:rsidRPr="00A3631F" w:rsidRDefault="004F5C76" w:rsidP="004F5C76">
      <w:pPr>
        <w:rPr>
          <w:rFonts w:eastAsia="Palatino Linotype"/>
        </w:rPr>
      </w:pPr>
    </w:p>
    <w:p w14:paraId="6A458016" w14:textId="77777777" w:rsidR="004F5C76" w:rsidRPr="00A3631F" w:rsidRDefault="004F5C76" w:rsidP="004F5C76">
      <w:pPr>
        <w:rPr>
          <w:rFonts w:eastAsia="Palatino Linotype"/>
        </w:rPr>
      </w:pPr>
    </w:p>
    <w:p w14:paraId="074FABD4" w14:textId="77777777" w:rsidR="004F5C76" w:rsidRPr="00A3631F" w:rsidRDefault="004F5C76" w:rsidP="004F5C76">
      <w:pPr>
        <w:rPr>
          <w:rFonts w:eastAsia="Palatino Linotype"/>
        </w:rPr>
      </w:pPr>
    </w:p>
    <w:p w14:paraId="167FA3B5" w14:textId="77777777" w:rsidR="004F5C76" w:rsidRPr="00A3631F" w:rsidRDefault="004F5C76" w:rsidP="004F5C76">
      <w:pPr>
        <w:rPr>
          <w:rFonts w:eastAsia="Palatino Linotype"/>
        </w:rPr>
      </w:pPr>
    </w:p>
    <w:p w14:paraId="39B8195E" w14:textId="77777777" w:rsidR="004F5C76" w:rsidRPr="00A3631F" w:rsidRDefault="004F5C76" w:rsidP="004F5C76">
      <w:pPr>
        <w:rPr>
          <w:rFonts w:eastAsia="Palatino Linotype"/>
        </w:rPr>
      </w:pPr>
    </w:p>
    <w:p w14:paraId="66B1F0FB" w14:textId="77777777" w:rsidR="004F5C76" w:rsidRPr="00A3631F" w:rsidRDefault="004F5C76" w:rsidP="004F5C76">
      <w:pPr>
        <w:rPr>
          <w:rFonts w:eastAsia="Palatino Linotype"/>
        </w:rPr>
      </w:pPr>
    </w:p>
    <w:p w14:paraId="5376B21C" w14:textId="77777777" w:rsidR="004F5C76" w:rsidRPr="00A3631F" w:rsidRDefault="004F5C76" w:rsidP="004F5C76">
      <w:pPr>
        <w:rPr>
          <w:rFonts w:eastAsia="Palatino Linotype"/>
        </w:rPr>
      </w:pPr>
    </w:p>
    <w:p w14:paraId="0B9BCFB7" w14:textId="77777777" w:rsidR="004F5C76" w:rsidRPr="00A3631F" w:rsidRDefault="004F5C76" w:rsidP="004F5C76">
      <w:pPr>
        <w:rPr>
          <w:rFonts w:eastAsia="Palatino Linotype"/>
        </w:rPr>
      </w:pPr>
    </w:p>
    <w:p w14:paraId="737C5666" w14:textId="77777777" w:rsidR="004F5C76" w:rsidRPr="00A3631F" w:rsidRDefault="004F5C76" w:rsidP="004F5C76">
      <w:pPr>
        <w:rPr>
          <w:rFonts w:eastAsia="Palatino Linotype"/>
        </w:rPr>
      </w:pPr>
    </w:p>
    <w:p w14:paraId="040B8CBB" w14:textId="77777777" w:rsidR="004F5C76" w:rsidRPr="00A3631F" w:rsidRDefault="004F5C76" w:rsidP="004F5C76">
      <w:pPr>
        <w:rPr>
          <w:rFonts w:eastAsia="Palatino Linotype"/>
        </w:rPr>
      </w:pPr>
    </w:p>
    <w:p w14:paraId="4A229735" w14:textId="77777777" w:rsidR="004F5C76" w:rsidRPr="00A3631F" w:rsidRDefault="004F5C76" w:rsidP="004F5C76">
      <w:pPr>
        <w:rPr>
          <w:rFonts w:eastAsia="Palatino Linotype"/>
        </w:rPr>
      </w:pPr>
    </w:p>
    <w:p w14:paraId="2C0FABB7" w14:textId="77777777" w:rsidR="004F5C76" w:rsidRPr="00A3631F" w:rsidRDefault="004F5C76" w:rsidP="004F5C76">
      <w:pPr>
        <w:rPr>
          <w:rFonts w:eastAsia="Palatino Linotype"/>
        </w:rPr>
      </w:pPr>
    </w:p>
    <w:p w14:paraId="703B4EB0" w14:textId="77777777" w:rsidR="004F5C76" w:rsidRPr="00A3631F" w:rsidRDefault="004F5C76" w:rsidP="004F5C76">
      <w:pPr>
        <w:rPr>
          <w:rFonts w:eastAsia="Palatino Linotype"/>
        </w:rPr>
      </w:pPr>
    </w:p>
    <w:p w14:paraId="2E46B385" w14:textId="77777777" w:rsidR="004F5C76" w:rsidRPr="00A3631F" w:rsidRDefault="004F5C76" w:rsidP="004F5C76">
      <w:pPr>
        <w:rPr>
          <w:rFonts w:eastAsia="Palatino Linotype"/>
        </w:rPr>
      </w:pPr>
    </w:p>
    <w:p w14:paraId="6961B946" w14:textId="77777777" w:rsidR="004F5C76" w:rsidRPr="00A3631F" w:rsidRDefault="004F5C76" w:rsidP="004F5C76">
      <w:pPr>
        <w:rPr>
          <w:rFonts w:eastAsia="Palatino Linotype"/>
        </w:rPr>
      </w:pPr>
    </w:p>
    <w:p w14:paraId="650DA8F7" w14:textId="77777777" w:rsidR="004F5C76" w:rsidRPr="00A3631F" w:rsidRDefault="004F5C76" w:rsidP="004F5C76">
      <w:pPr>
        <w:rPr>
          <w:rFonts w:eastAsia="Palatino Linotype"/>
        </w:rPr>
      </w:pPr>
    </w:p>
    <w:p w14:paraId="5817F335" w14:textId="77777777" w:rsidR="004F5C76" w:rsidRPr="00A3631F" w:rsidRDefault="004F5C76" w:rsidP="004F5C76">
      <w:pPr>
        <w:rPr>
          <w:rFonts w:eastAsia="Palatino Linotype"/>
        </w:rPr>
      </w:pPr>
    </w:p>
    <w:p w14:paraId="29DA0C2D" w14:textId="77777777" w:rsidR="004F5C76" w:rsidRPr="00A3631F" w:rsidRDefault="004F5C76" w:rsidP="004F5C76">
      <w:pPr>
        <w:rPr>
          <w:rFonts w:eastAsia="Palatino Linotype"/>
        </w:rPr>
      </w:pPr>
    </w:p>
    <w:p w14:paraId="2D11DE9C" w14:textId="77777777" w:rsidR="004F5C76" w:rsidRPr="00A3631F" w:rsidRDefault="004F5C76" w:rsidP="004F5C76">
      <w:pPr>
        <w:rPr>
          <w:rFonts w:eastAsia="Palatino Linotype"/>
        </w:rPr>
      </w:pPr>
    </w:p>
    <w:sectPr w:rsidR="004F5C76" w:rsidRPr="00A3631F">
      <w:headerReference w:type="default" r:id="rId8"/>
      <w:footerReference w:type="default" r:id="rId9"/>
      <w:headerReference w:type="first" r:id="rId10"/>
      <w:footerReference w:type="first" r:id="rId11"/>
      <w:pgSz w:w="12240" w:h="15840"/>
      <w:pgMar w:top="2410" w:right="1467"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75CB83" w14:textId="77777777" w:rsidR="00E57D26" w:rsidRDefault="00E57D26">
      <w:r>
        <w:separator/>
      </w:r>
    </w:p>
  </w:endnote>
  <w:endnote w:type="continuationSeparator" w:id="0">
    <w:p w14:paraId="79EF5D81" w14:textId="77777777" w:rsidR="00E57D26" w:rsidRDefault="00E57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F97BEBE1-43DB-4CE4-85EC-6BD03A0318BE}"/>
    <w:embedBold r:id="rId2" w:fontKey="{12F09ACE-6791-4BB9-856B-C0661ADC30E8}"/>
    <w:embedItalic r:id="rId3" w:fontKey="{C598BE55-840B-43F9-8547-9AFAB2FD2A30}"/>
    <w:embedBoldItalic r:id="rId4" w:fontKey="{A81E020F-B23F-433B-8115-EFE69ABE7224}"/>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5" w:fontKey="{7F7DA279-9808-4C7F-890E-53B296F4ADC4}"/>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4554438D-ECB7-46AB-86DA-005323A43277}"/>
  </w:font>
  <w:font w:name="Georgia">
    <w:panose1 w:val="02040502050405020303"/>
    <w:charset w:val="00"/>
    <w:family w:val="roman"/>
    <w:pitch w:val="variable"/>
    <w:sig w:usb0="00000287" w:usb1="00000000" w:usb2="00000000" w:usb3="00000000" w:csb0="0000009F" w:csb1="00000000"/>
    <w:embedItalic r:id="rId7" w:fontKey="{AA2F96A4-1F06-4CFC-A544-9C0D693C72A0}"/>
  </w:font>
  <w:font w:name="Cambria">
    <w:panose1 w:val="02040503050406030204"/>
    <w:charset w:val="00"/>
    <w:family w:val="roman"/>
    <w:pitch w:val="variable"/>
    <w:sig w:usb0="E00006FF" w:usb1="420024FF" w:usb2="02000000" w:usb3="00000000" w:csb0="0000019F" w:csb1="00000000"/>
    <w:embedRegular r:id="rId8" w:fontKey="{1F4B6E79-F9C5-4A94-B1A8-D4E99BFE790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03531A" w14:textId="77777777" w:rsidR="004F1BF4" w:rsidRPr="00A3631F" w:rsidRDefault="009C0D03">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sidRPr="00A3631F">
      <w:rPr>
        <w:rFonts w:ascii="Palatino Linotype" w:eastAsia="Palatino Linotype" w:hAnsi="Palatino Linotype" w:cs="Palatino Linotype"/>
        <w:bCs/>
        <w:color w:val="000000"/>
        <w:sz w:val="22"/>
        <w:szCs w:val="22"/>
      </w:rPr>
      <w:t xml:space="preserve">Página </w:t>
    </w:r>
    <w:r w:rsidRPr="00A3631F">
      <w:rPr>
        <w:rFonts w:ascii="Palatino Linotype" w:eastAsia="Palatino Linotype" w:hAnsi="Palatino Linotype" w:cs="Palatino Linotype"/>
        <w:bCs/>
        <w:color w:val="000000"/>
        <w:sz w:val="22"/>
        <w:szCs w:val="22"/>
      </w:rPr>
      <w:fldChar w:fldCharType="begin"/>
    </w:r>
    <w:r w:rsidRPr="00A3631F">
      <w:rPr>
        <w:rFonts w:ascii="Palatino Linotype" w:eastAsia="Palatino Linotype" w:hAnsi="Palatino Linotype" w:cs="Palatino Linotype"/>
        <w:bCs/>
        <w:color w:val="000000"/>
        <w:sz w:val="22"/>
        <w:szCs w:val="22"/>
      </w:rPr>
      <w:instrText>PAGE</w:instrText>
    </w:r>
    <w:r w:rsidRPr="00A3631F">
      <w:rPr>
        <w:rFonts w:ascii="Palatino Linotype" w:eastAsia="Palatino Linotype" w:hAnsi="Palatino Linotype" w:cs="Palatino Linotype"/>
        <w:bCs/>
        <w:color w:val="000000"/>
        <w:sz w:val="22"/>
        <w:szCs w:val="22"/>
      </w:rPr>
      <w:fldChar w:fldCharType="separate"/>
    </w:r>
    <w:r w:rsidR="00A3631F">
      <w:rPr>
        <w:rFonts w:ascii="Palatino Linotype" w:eastAsia="Palatino Linotype" w:hAnsi="Palatino Linotype" w:cs="Palatino Linotype"/>
        <w:bCs/>
        <w:noProof/>
        <w:color w:val="000000"/>
        <w:sz w:val="22"/>
        <w:szCs w:val="22"/>
      </w:rPr>
      <w:t>13</w:t>
    </w:r>
    <w:r w:rsidRPr="00A3631F">
      <w:rPr>
        <w:rFonts w:ascii="Palatino Linotype" w:eastAsia="Palatino Linotype" w:hAnsi="Palatino Linotype" w:cs="Palatino Linotype"/>
        <w:bCs/>
        <w:color w:val="000000"/>
        <w:sz w:val="22"/>
        <w:szCs w:val="22"/>
      </w:rPr>
      <w:fldChar w:fldCharType="end"/>
    </w:r>
    <w:r w:rsidRPr="00A3631F">
      <w:rPr>
        <w:rFonts w:ascii="Palatino Linotype" w:eastAsia="Palatino Linotype" w:hAnsi="Palatino Linotype" w:cs="Palatino Linotype"/>
        <w:color w:val="000000"/>
        <w:sz w:val="22"/>
        <w:szCs w:val="22"/>
      </w:rPr>
      <w:t xml:space="preserve"> de </w:t>
    </w:r>
    <w:r w:rsidRPr="00A3631F">
      <w:rPr>
        <w:rFonts w:ascii="Palatino Linotype" w:eastAsia="Palatino Linotype" w:hAnsi="Palatino Linotype" w:cs="Palatino Linotype"/>
        <w:bCs/>
        <w:color w:val="000000"/>
        <w:sz w:val="22"/>
        <w:szCs w:val="22"/>
      </w:rPr>
      <w:fldChar w:fldCharType="begin"/>
    </w:r>
    <w:r w:rsidRPr="00A3631F">
      <w:rPr>
        <w:rFonts w:ascii="Palatino Linotype" w:eastAsia="Palatino Linotype" w:hAnsi="Palatino Linotype" w:cs="Palatino Linotype"/>
        <w:bCs/>
        <w:color w:val="000000"/>
        <w:sz w:val="22"/>
        <w:szCs w:val="22"/>
      </w:rPr>
      <w:instrText>NUMPAGES</w:instrText>
    </w:r>
    <w:r w:rsidRPr="00A3631F">
      <w:rPr>
        <w:rFonts w:ascii="Palatino Linotype" w:eastAsia="Palatino Linotype" w:hAnsi="Palatino Linotype" w:cs="Palatino Linotype"/>
        <w:bCs/>
        <w:color w:val="000000"/>
        <w:sz w:val="22"/>
        <w:szCs w:val="22"/>
      </w:rPr>
      <w:fldChar w:fldCharType="separate"/>
    </w:r>
    <w:r w:rsidR="00A3631F">
      <w:rPr>
        <w:rFonts w:ascii="Palatino Linotype" w:eastAsia="Palatino Linotype" w:hAnsi="Palatino Linotype" w:cs="Palatino Linotype"/>
        <w:bCs/>
        <w:noProof/>
        <w:color w:val="000000"/>
        <w:sz w:val="22"/>
        <w:szCs w:val="22"/>
      </w:rPr>
      <w:t>13</w:t>
    </w:r>
    <w:r w:rsidRPr="00A3631F">
      <w:rPr>
        <w:rFonts w:ascii="Palatino Linotype" w:eastAsia="Palatino Linotype" w:hAnsi="Palatino Linotype" w:cs="Palatino Linotype"/>
        <w:bCs/>
        <w:color w:val="000000"/>
        <w:sz w:val="22"/>
        <w:szCs w:val="22"/>
      </w:rPr>
      <w:fldChar w:fldCharType="end"/>
    </w:r>
  </w:p>
  <w:p w14:paraId="3097D6ED" w14:textId="77777777" w:rsidR="004F1BF4" w:rsidRDefault="004F1BF4">
    <w:pPr>
      <w:pBdr>
        <w:top w:val="nil"/>
        <w:left w:val="nil"/>
        <w:bottom w:val="nil"/>
        <w:right w:val="nil"/>
        <w:between w:val="nil"/>
      </w:pBdr>
      <w:tabs>
        <w:tab w:val="center" w:pos="4252"/>
        <w:tab w:val="right" w:pos="8504"/>
      </w:tabs>
      <w:rPr>
        <w:color w:val="000000"/>
      </w:rPr>
    </w:pPr>
  </w:p>
  <w:p w14:paraId="4C1D0AB4" w14:textId="77777777" w:rsidR="004F1BF4" w:rsidRDefault="004F1BF4">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6702D8" w14:textId="77777777" w:rsidR="004F1BF4" w:rsidRDefault="009C0D03">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b/>
        <w:bCs/>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A3631F">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A3631F">
      <w:rPr>
        <w:rFonts w:ascii="Palatino Linotype" w:eastAsia="Palatino Linotype" w:hAnsi="Palatino Linotype" w:cs="Palatino Linotype"/>
        <w:b/>
        <w:bCs/>
        <w:noProof/>
        <w:color w:val="000000"/>
        <w:sz w:val="22"/>
        <w:szCs w:val="22"/>
      </w:rPr>
      <w:t>13</w:t>
    </w:r>
    <w:r>
      <w:rPr>
        <w:rFonts w:ascii="Palatino Linotype" w:eastAsia="Palatino Linotype" w:hAnsi="Palatino Linotype" w:cs="Palatino Linotype"/>
        <w:b/>
        <w:bCs/>
        <w:color w:val="000000"/>
        <w:sz w:val="22"/>
        <w:szCs w:val="22"/>
      </w:rPr>
      <w:fldChar w:fldCharType="end"/>
    </w:r>
  </w:p>
  <w:p w14:paraId="14E4DBD5" w14:textId="77777777" w:rsidR="004F1BF4" w:rsidRDefault="004F1BF4">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157695" w14:textId="77777777" w:rsidR="00E57D26" w:rsidRDefault="00E57D26">
      <w:r>
        <w:separator/>
      </w:r>
    </w:p>
  </w:footnote>
  <w:footnote w:type="continuationSeparator" w:id="0">
    <w:p w14:paraId="4BF4DFF1" w14:textId="77777777" w:rsidR="00E57D26" w:rsidRDefault="00E57D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7995" w:type="dxa"/>
      <w:tblInd w:w="2410" w:type="dxa"/>
      <w:tblLayout w:type="fixed"/>
      <w:tblLook w:val="0400" w:firstRow="0" w:lastRow="0" w:firstColumn="0" w:lastColumn="0" w:noHBand="0" w:noVBand="1"/>
    </w:tblPr>
    <w:tblGrid>
      <w:gridCol w:w="3879"/>
      <w:gridCol w:w="4116"/>
    </w:tblGrid>
    <w:tr w:rsidR="004F1BF4" w14:paraId="6C5FCC9D" w14:textId="77777777" w:rsidTr="00A3631F">
      <w:tc>
        <w:tcPr>
          <w:tcW w:w="3879" w:type="dxa"/>
          <w:vAlign w:val="center"/>
        </w:tcPr>
        <w:p w14:paraId="777D054D" w14:textId="16AF2232" w:rsidR="004F1BF4" w:rsidRDefault="009C0D03">
          <w:pPr>
            <w:ind w:left="992"/>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116" w:type="dxa"/>
          <w:vAlign w:val="center"/>
        </w:tcPr>
        <w:p w14:paraId="124140CE" w14:textId="77777777" w:rsidR="004F1BF4" w:rsidRDefault="009C0D03">
          <w:pPr>
            <w:ind w:right="-1093"/>
            <w:jc w:val="both"/>
            <w:rPr>
              <w:rFonts w:ascii="Palatino Linotype" w:eastAsia="Palatino Linotype" w:hAnsi="Palatino Linotype" w:cs="Palatino Linotype"/>
            </w:rPr>
          </w:pPr>
          <w:r>
            <w:rPr>
              <w:rFonts w:ascii="Palatino Linotype" w:eastAsia="Palatino Linotype" w:hAnsi="Palatino Linotype" w:cs="Palatino Linotype"/>
            </w:rPr>
            <w:t>12858/INFOEM/IP/RR/2025</w:t>
          </w:r>
        </w:p>
      </w:tc>
    </w:tr>
    <w:tr w:rsidR="004F1BF4" w14:paraId="6DA8C77E" w14:textId="77777777" w:rsidTr="00A3631F">
      <w:trPr>
        <w:trHeight w:val="228"/>
      </w:trPr>
      <w:tc>
        <w:tcPr>
          <w:tcW w:w="3879" w:type="dxa"/>
          <w:vAlign w:val="center"/>
        </w:tcPr>
        <w:p w14:paraId="3239A290" w14:textId="77777777" w:rsidR="004F1BF4" w:rsidRDefault="009C0D03">
          <w:pPr>
            <w:ind w:left="992"/>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116" w:type="dxa"/>
          <w:vAlign w:val="center"/>
        </w:tcPr>
        <w:p w14:paraId="681E4E25" w14:textId="77777777" w:rsidR="004F1BF4" w:rsidRDefault="009C0D03">
          <w:pPr>
            <w:ind w:right="-108"/>
            <w:rPr>
              <w:rFonts w:ascii="Palatino Linotype" w:eastAsia="Palatino Linotype" w:hAnsi="Palatino Linotype" w:cs="Palatino Linotype"/>
              <w:color w:val="000000"/>
              <w:sz w:val="26"/>
              <w:szCs w:val="26"/>
            </w:rPr>
          </w:pPr>
          <w:r>
            <w:rPr>
              <w:rFonts w:ascii="Palatino Linotype" w:eastAsia="Palatino Linotype" w:hAnsi="Palatino Linotype" w:cs="Palatino Linotype"/>
              <w:color w:val="000000"/>
              <w:sz w:val="26"/>
              <w:szCs w:val="26"/>
            </w:rPr>
            <w:t>Ayuntamiento de Toluca</w:t>
          </w:r>
        </w:p>
      </w:tc>
    </w:tr>
    <w:tr w:rsidR="004F1BF4" w14:paraId="22BB1501" w14:textId="77777777" w:rsidTr="00A3631F">
      <w:tc>
        <w:tcPr>
          <w:tcW w:w="3879" w:type="dxa"/>
          <w:vAlign w:val="center"/>
        </w:tcPr>
        <w:p w14:paraId="7EFA15BF" w14:textId="77777777" w:rsidR="004F1BF4" w:rsidRDefault="009C0D03">
          <w:pPr>
            <w:ind w:left="992"/>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116" w:type="dxa"/>
          <w:vAlign w:val="center"/>
        </w:tcPr>
        <w:p w14:paraId="5B212CA8" w14:textId="77777777" w:rsidR="004F1BF4" w:rsidRDefault="009C0D03">
          <w:pPr>
            <w:ind w:right="-1093"/>
            <w:jc w:val="both"/>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tc>
    </w:tr>
  </w:tbl>
  <w:p w14:paraId="7E219762" w14:textId="57BF9F58" w:rsidR="004F1BF4" w:rsidRDefault="00A3631F">
    <w:pPr>
      <w:pBdr>
        <w:top w:val="nil"/>
        <w:left w:val="nil"/>
        <w:bottom w:val="nil"/>
        <w:right w:val="nil"/>
        <w:between w:val="nil"/>
      </w:pBdr>
      <w:tabs>
        <w:tab w:val="center" w:pos="4252"/>
        <w:tab w:val="right" w:pos="8504"/>
        <w:tab w:val="left" w:pos="3233"/>
      </w:tabs>
      <w:rPr>
        <w:rFonts w:ascii="Calibri" w:eastAsia="Calibri" w:hAnsi="Calibri" w:cs="Calibri"/>
        <w:color w:val="000000"/>
      </w:rPr>
    </w:pPr>
    <w:r>
      <w:rPr>
        <w:noProof/>
      </w:rPr>
      <w:drawing>
        <wp:anchor distT="0" distB="0" distL="0" distR="0" simplePos="0" relativeHeight="251658240" behindDoc="1" locked="0" layoutInCell="1" hidden="0" allowOverlap="1" wp14:anchorId="29A2B251" wp14:editId="0201C2D5">
          <wp:simplePos x="0" y="0"/>
          <wp:positionH relativeFrom="column">
            <wp:posOffset>-697086</wp:posOffset>
          </wp:positionH>
          <wp:positionV relativeFrom="paragraph">
            <wp:posOffset>-1185437</wp:posOffset>
          </wp:positionV>
          <wp:extent cx="7813085" cy="101700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r w:rsidR="009C0D03">
      <w:rPr>
        <w:rFonts w:ascii="Calibri" w:eastAsia="Calibri" w:hAnsi="Calibri" w:cs="Calibri"/>
        <w:color w:val="00000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6660" w:type="dxa"/>
      <w:tblInd w:w="3544" w:type="dxa"/>
      <w:tblLayout w:type="fixed"/>
      <w:tblLook w:val="0400" w:firstRow="0" w:lastRow="0" w:firstColumn="0" w:lastColumn="0" w:noHBand="0" w:noVBand="1"/>
    </w:tblPr>
    <w:tblGrid>
      <w:gridCol w:w="2977"/>
      <w:gridCol w:w="3683"/>
    </w:tblGrid>
    <w:tr w:rsidR="004F1BF4" w14:paraId="1612F5B7" w14:textId="77777777" w:rsidTr="00A3631F">
      <w:trPr>
        <w:trHeight w:val="227"/>
      </w:trPr>
      <w:tc>
        <w:tcPr>
          <w:tcW w:w="2977" w:type="dxa"/>
          <w:vAlign w:val="center"/>
        </w:tcPr>
        <w:p w14:paraId="60D238A6" w14:textId="4165AA49" w:rsidR="004F1BF4" w:rsidRDefault="009C0D03">
          <w:pPr>
            <w:jc w:val="right"/>
            <w:rPr>
              <w:rFonts w:ascii="Palatino Linotype" w:eastAsia="Palatino Linotype" w:hAnsi="Palatino Linotype" w:cs="Palatino Linotype"/>
              <w:b/>
              <w:bCs/>
            </w:rPr>
          </w:pPr>
          <w:r>
            <w:rPr>
              <w:rFonts w:ascii="Calibri" w:eastAsia="Calibri" w:hAnsi="Calibri" w:cs="Calibri"/>
              <w:color w:val="000000"/>
            </w:rPr>
            <w:t xml:space="preserve">   </w:t>
          </w:r>
          <w:r w:rsidR="00A3631F">
            <w:rPr>
              <w:rFonts w:ascii="Calibri" w:eastAsia="Calibri" w:hAnsi="Calibri" w:cs="Calibri"/>
              <w:color w:val="000000"/>
            </w:rPr>
            <w:t xml:space="preserve">    </w:t>
          </w:r>
          <w:r>
            <w:rPr>
              <w:rFonts w:ascii="Palatino Linotype" w:eastAsia="Palatino Linotype" w:hAnsi="Palatino Linotype" w:cs="Palatino Linotype"/>
              <w:b/>
              <w:bCs/>
            </w:rPr>
            <w:t>Recurso de Revisión:</w:t>
          </w:r>
        </w:p>
      </w:tc>
      <w:tc>
        <w:tcPr>
          <w:tcW w:w="3683" w:type="dxa"/>
          <w:vAlign w:val="center"/>
        </w:tcPr>
        <w:p w14:paraId="7BD42EC3" w14:textId="77777777" w:rsidR="004F1BF4" w:rsidRDefault="009C0D03">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12858/INFOEM/IP/RR/2025</w:t>
          </w:r>
        </w:p>
      </w:tc>
    </w:tr>
    <w:tr w:rsidR="004F1BF4" w14:paraId="3EE56103" w14:textId="77777777" w:rsidTr="00A3631F">
      <w:trPr>
        <w:trHeight w:val="242"/>
      </w:trPr>
      <w:tc>
        <w:tcPr>
          <w:tcW w:w="2977" w:type="dxa"/>
          <w:vAlign w:val="center"/>
        </w:tcPr>
        <w:p w14:paraId="70691F28" w14:textId="77777777" w:rsidR="004F1BF4" w:rsidRDefault="009C0D03">
          <w:pPr>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3683" w:type="dxa"/>
        </w:tcPr>
        <w:p w14:paraId="0BDD2BC8" w14:textId="77777777" w:rsidR="004F1BF4" w:rsidRDefault="004F1BF4">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highlight w:val="green"/>
            </w:rPr>
          </w:pPr>
        </w:p>
      </w:tc>
    </w:tr>
    <w:tr w:rsidR="004F1BF4" w14:paraId="7B6BBE78" w14:textId="77777777" w:rsidTr="00A3631F">
      <w:trPr>
        <w:trHeight w:val="342"/>
      </w:trPr>
      <w:tc>
        <w:tcPr>
          <w:tcW w:w="2977" w:type="dxa"/>
          <w:vAlign w:val="center"/>
        </w:tcPr>
        <w:p w14:paraId="00C78344" w14:textId="77777777" w:rsidR="004F1BF4" w:rsidRDefault="009C0D03">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683" w:type="dxa"/>
          <w:vAlign w:val="center"/>
        </w:tcPr>
        <w:p w14:paraId="01036CA6" w14:textId="77777777" w:rsidR="004F1BF4" w:rsidRDefault="009C0D03">
          <w:pPr>
            <w:pBdr>
              <w:top w:val="nil"/>
              <w:left w:val="nil"/>
              <w:bottom w:val="nil"/>
              <w:right w:val="nil"/>
              <w:between w:val="nil"/>
            </w:pBdr>
            <w:tabs>
              <w:tab w:val="center" w:pos="4419"/>
              <w:tab w:val="right" w:pos="8838"/>
            </w:tabs>
            <w:jc w:val="both"/>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Toluca</w:t>
          </w:r>
        </w:p>
      </w:tc>
    </w:tr>
    <w:tr w:rsidR="004F1BF4" w14:paraId="3D5FA199" w14:textId="77777777" w:rsidTr="00A3631F">
      <w:trPr>
        <w:trHeight w:val="342"/>
      </w:trPr>
      <w:tc>
        <w:tcPr>
          <w:tcW w:w="2977" w:type="dxa"/>
          <w:vAlign w:val="center"/>
        </w:tcPr>
        <w:p w14:paraId="6F7706B3" w14:textId="77777777" w:rsidR="004F1BF4" w:rsidRDefault="009C0D03">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683" w:type="dxa"/>
          <w:vAlign w:val="center"/>
        </w:tcPr>
        <w:p w14:paraId="4448F158" w14:textId="77777777" w:rsidR="004F1BF4" w:rsidRDefault="009C0D03">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14:paraId="18C74240" w14:textId="74427D72" w:rsidR="004F1BF4" w:rsidRDefault="00A3631F">
    <w:pPr>
      <w:pBdr>
        <w:top w:val="nil"/>
        <w:left w:val="nil"/>
        <w:bottom w:val="nil"/>
        <w:right w:val="nil"/>
        <w:between w:val="nil"/>
      </w:pBdr>
      <w:tabs>
        <w:tab w:val="center" w:pos="4252"/>
        <w:tab w:val="right" w:pos="8504"/>
      </w:tabs>
      <w:rPr>
        <w:rFonts w:ascii="Calibri" w:eastAsia="Calibri" w:hAnsi="Calibri" w:cs="Calibri"/>
        <w:color w:val="000000"/>
      </w:rPr>
    </w:pPr>
    <w:r>
      <w:rPr>
        <w:noProof/>
      </w:rPr>
      <w:drawing>
        <wp:anchor distT="0" distB="0" distL="0" distR="0" simplePos="0" relativeHeight="251659264" behindDoc="1" locked="0" layoutInCell="1" hidden="0" allowOverlap="1" wp14:anchorId="401DE436" wp14:editId="035CC547">
          <wp:simplePos x="0" y="0"/>
          <wp:positionH relativeFrom="column">
            <wp:posOffset>-566313</wp:posOffset>
          </wp:positionH>
          <wp:positionV relativeFrom="paragraph">
            <wp:posOffset>-1360182</wp:posOffset>
          </wp:positionV>
          <wp:extent cx="7813085" cy="101700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435F6"/>
    <w:multiLevelType w:val="multilevel"/>
    <w:tmpl w:val="B6B49CAE"/>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730B5D"/>
    <w:multiLevelType w:val="multilevel"/>
    <w:tmpl w:val="2F263682"/>
    <w:lvl w:ilvl="0">
      <w:start w:val="29"/>
      <w:numFmt w:val="decimal"/>
      <w:lvlText w:val="%1."/>
      <w:lvlJc w:val="left"/>
      <w:pPr>
        <w:ind w:left="4613" w:hanging="360"/>
      </w:pPr>
      <w:rPr>
        <w:rFonts w:ascii="Palatino Linotype" w:eastAsia="Palatino Linotype" w:hAnsi="Palatino Linotype" w:cs="Palatino Linotype"/>
        <w:b/>
        <w:bCs/>
        <w:i w:val="0"/>
        <w:iCs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b/>
        <w:bCs/>
        <w:i w:val="0"/>
        <w:iCs w:val="0"/>
        <w:color w:val="000000"/>
      </w:rPr>
    </w:lvl>
    <w:lvl w:ilvl="2">
      <w:start w:val="4"/>
      <w:numFmt w:val="lowerRoman"/>
      <w:lvlText w:val="%3."/>
      <w:lvlJc w:val="right"/>
      <w:pPr>
        <w:ind w:left="2160" w:hanging="180"/>
      </w:pPr>
    </w:lvl>
    <w:lvl w:ilvl="3">
      <w:start w:val="1"/>
      <w:numFmt w:val="lowerLetter"/>
      <w:lvlText w:val="%4)"/>
      <w:lvlJc w:val="left"/>
      <w:pPr>
        <w:ind w:left="2880" w:hanging="360"/>
      </w:pPr>
    </w:lvl>
    <w:lvl w:ilvl="4">
      <w:start w:val="104"/>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824C65"/>
    <w:multiLevelType w:val="multilevel"/>
    <w:tmpl w:val="EA58F1A2"/>
    <w:lvl w:ilvl="0">
      <w:start w:val="10"/>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51543F8"/>
    <w:multiLevelType w:val="multilevel"/>
    <w:tmpl w:val="891A1EA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256C6AF3"/>
    <w:multiLevelType w:val="multilevel"/>
    <w:tmpl w:val="665AEA9E"/>
    <w:lvl w:ilvl="0">
      <w:start w:val="1"/>
      <w:numFmt w:val="decimal"/>
      <w:lvlText w:val="%1."/>
      <w:lvlJc w:val="left"/>
      <w:pPr>
        <w:ind w:left="644" w:hanging="358"/>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52D152E"/>
    <w:multiLevelType w:val="multilevel"/>
    <w:tmpl w:val="666EF45E"/>
    <w:lvl w:ilvl="0">
      <w:start w:val="19"/>
      <w:numFmt w:val="decimal"/>
      <w:lvlText w:val="%1."/>
      <w:lvlJc w:val="left"/>
      <w:pPr>
        <w:ind w:left="0" w:firstLine="0"/>
      </w:pPr>
      <w:rPr>
        <w:b/>
        <w:bCs/>
        <w:i w:val="0"/>
        <w:iCs w:val="0"/>
        <w:color w:val="000000"/>
        <w:sz w:val="24"/>
        <w:szCs w:val="24"/>
      </w:rPr>
    </w:lvl>
    <w:lvl w:ilvl="1">
      <w:start w:val="1"/>
      <w:numFmt w:val="lowerLetter"/>
      <w:lvlText w:val="%2)"/>
      <w:lvlJc w:val="left"/>
      <w:pPr>
        <w:ind w:left="1440" w:hanging="360"/>
      </w:pPr>
      <w:rPr>
        <w:b/>
        <w:bCs/>
        <w:i w:val="0"/>
        <w:iCs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90D3859"/>
    <w:multiLevelType w:val="multilevel"/>
    <w:tmpl w:val="EE3889C6"/>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7" w15:restartNumberingAfterBreak="0">
    <w:nsid w:val="4C7B513E"/>
    <w:multiLevelType w:val="multilevel"/>
    <w:tmpl w:val="F2C620DC"/>
    <w:lvl w:ilvl="0">
      <w:start w:val="9"/>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204"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61819AA"/>
    <w:multiLevelType w:val="multilevel"/>
    <w:tmpl w:val="8C0298AE"/>
    <w:lvl w:ilvl="0">
      <w:start w:val="1"/>
      <w:numFmt w:val="upperRoman"/>
      <w:lvlText w:val="%1."/>
      <w:lvlJc w:val="left"/>
      <w:pPr>
        <w:ind w:left="1855" w:hanging="720"/>
      </w:pPr>
      <w:rPr>
        <w:i/>
        <w:iCs/>
        <w:color w:val="000000"/>
      </w:r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9" w15:restartNumberingAfterBreak="0">
    <w:nsid w:val="59A150B3"/>
    <w:multiLevelType w:val="multilevel"/>
    <w:tmpl w:val="6248EE0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6B3D410B"/>
    <w:multiLevelType w:val="multilevel"/>
    <w:tmpl w:val="ED84A138"/>
    <w:lvl w:ilvl="0">
      <w:start w:val="18"/>
      <w:numFmt w:val="decimal"/>
      <w:lvlText w:val="%1."/>
      <w:lvlJc w:val="left"/>
      <w:pPr>
        <w:ind w:left="0" w:firstLine="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rPr>
        <w:b/>
        <w:bCs/>
        <w:i w:val="0"/>
        <w:iCs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6"/>
  </w:num>
  <w:num w:numId="3">
    <w:abstractNumId w:val="5"/>
  </w:num>
  <w:num w:numId="4">
    <w:abstractNumId w:val="8"/>
  </w:num>
  <w:num w:numId="5">
    <w:abstractNumId w:val="0"/>
  </w:num>
  <w:num w:numId="6">
    <w:abstractNumId w:val="10"/>
  </w:num>
  <w:num w:numId="7">
    <w:abstractNumId w:val="7"/>
  </w:num>
  <w:num w:numId="8">
    <w:abstractNumId w:val="2"/>
  </w:num>
  <w:num w:numId="9">
    <w:abstractNumId w:val="4"/>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BF4"/>
    <w:rsid w:val="004F1BF4"/>
    <w:rsid w:val="004F5C76"/>
    <w:rsid w:val="00657EB5"/>
    <w:rsid w:val="009C0D03"/>
    <w:rsid w:val="00A3631F"/>
    <w:rsid w:val="00A859B5"/>
    <w:rsid w:val="00B21062"/>
    <w:rsid w:val="00D16D71"/>
    <w:rsid w:val="00E24E92"/>
    <w:rsid w:val="00E36E8C"/>
    <w:rsid w:val="00E57D26"/>
    <w:rsid w:val="00F21C2C"/>
    <w:rsid w:val="00FA196F"/>
    <w:rsid w:val="00FD2AB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384C3"/>
  <w15:docId w15:val="{307B48AB-482A-4C42-8A39-9F6187F34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uiPriority w:val="9"/>
    <w:unhideWhenUsed/>
    <w:qFormat/>
    <w:pPr>
      <w:keepNext/>
      <w:keepLines/>
      <w:spacing w:before="40" w:line="256" w:lineRule="auto"/>
      <w:outlineLvl w:val="1"/>
    </w:pPr>
    <w:rPr>
      <w:rFonts w:ascii="Calibri" w:eastAsia="Calibri" w:hAnsi="Calibri" w:cs="Calibri"/>
      <w:color w:val="2E75B5"/>
      <w:sz w:val="26"/>
      <w:szCs w:val="2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paragraph" w:styleId="Encabezado">
    <w:name w:val="header"/>
    <w:basedOn w:val="Normal"/>
    <w:link w:val="EncabezadoCar"/>
    <w:uiPriority w:val="99"/>
    <w:unhideWhenUsed/>
    <w:rsid w:val="00A3631F"/>
    <w:pPr>
      <w:tabs>
        <w:tab w:val="center" w:pos="4419"/>
        <w:tab w:val="right" w:pos="8838"/>
      </w:tabs>
    </w:pPr>
  </w:style>
  <w:style w:type="character" w:customStyle="1" w:styleId="EncabezadoCar">
    <w:name w:val="Encabezado Car"/>
    <w:basedOn w:val="Fuentedeprrafopredeter"/>
    <w:link w:val="Encabezado"/>
    <w:uiPriority w:val="99"/>
    <w:rsid w:val="00A3631F"/>
  </w:style>
  <w:style w:type="paragraph" w:styleId="Piedepgina">
    <w:name w:val="footer"/>
    <w:basedOn w:val="Normal"/>
    <w:link w:val="PiedepginaCar"/>
    <w:uiPriority w:val="99"/>
    <w:unhideWhenUsed/>
    <w:rsid w:val="00A3631F"/>
    <w:pPr>
      <w:tabs>
        <w:tab w:val="center" w:pos="4419"/>
        <w:tab w:val="right" w:pos="8838"/>
      </w:tabs>
    </w:pPr>
  </w:style>
  <w:style w:type="character" w:customStyle="1" w:styleId="PiedepginaCar">
    <w:name w:val="Pie de página Car"/>
    <w:basedOn w:val="Fuentedeprrafopredeter"/>
    <w:link w:val="Piedepgina"/>
    <w:uiPriority w:val="99"/>
    <w:rsid w:val="00A363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lFvZHim0DKI2BTMzRfldCb9VSQ==">CgMxLjAyCGguZ2pkZ3hzMgloLjFmb2I5dGUyCWguM3pueXNoNzIJaC4yZXQ5MnAwMghoLnR5amN3dDIJaC4zZHk2dmttMgloLjF0M2g1c2YyCWguNGQzNG9nODIJaC4yczhleW8xMg5oLmYzY2I5czZwZ252bzIOaC56MjJvcGZjZTR6aW4yDmgub2FoczBnM2pxZ3pjMg5oLnNvMmI1d2V6amNhaDIOaC54Ym4wYWs0ajc3Z2QyDmguajc4ZHZpYmp2YXBoMg5oLmR5bDMwY3ZrbzdqcjgAciExYVA4dEFodVdLMi1oRkZDcWh6RXpublloUXFoMXlDO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3002</Words>
  <Characters>16517</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Infoem600</dc:creator>
  <cp:lastModifiedBy>Cuenta Microsoft</cp:lastModifiedBy>
  <cp:revision>7</cp:revision>
  <cp:lastPrinted>2026-06-05T16:50:00Z</cp:lastPrinted>
  <dcterms:created xsi:type="dcterms:W3CDTF">2026-06-01T20:43:00Z</dcterms:created>
  <dcterms:modified xsi:type="dcterms:W3CDTF">2026-06-09T17:54:00Z</dcterms:modified>
</cp:coreProperties>
</file>