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E37BA" w14:textId="78CC33F5" w:rsidR="00BE059F" w:rsidRPr="00362FDF" w:rsidRDefault="006A37FD">
      <w:pPr>
        <w:spacing w:line="360" w:lineRule="auto"/>
        <w:jc w:val="both"/>
        <w:rPr>
          <w:rFonts w:ascii="Palatino Linotype" w:eastAsia="Palatino Linotype" w:hAnsi="Palatino Linotype" w:cs="Palatino Linotype"/>
          <w:b/>
        </w:rPr>
      </w:pPr>
      <w:bookmarkStart w:id="0" w:name="_GoBack"/>
      <w:bookmarkEnd w:id="0"/>
      <w:r w:rsidRPr="00362FD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w:t>
      </w:r>
      <w:r w:rsidR="00E7726C" w:rsidRPr="00362FDF">
        <w:rPr>
          <w:rFonts w:ascii="Palatino Linotype" w:eastAsia="Palatino Linotype" w:hAnsi="Palatino Linotype" w:cs="Palatino Linotype"/>
        </w:rPr>
        <w:t xml:space="preserve">stado de México; </w:t>
      </w:r>
      <w:r w:rsidR="00E7726C" w:rsidRPr="00362FDF">
        <w:rPr>
          <w:rFonts w:ascii="Palatino Linotype" w:eastAsia="Palatino Linotype" w:hAnsi="Palatino Linotype" w:cs="Palatino Linotype"/>
          <w:b/>
        </w:rPr>
        <w:t>de fecha cinco</w:t>
      </w:r>
      <w:r w:rsidR="00362FDF" w:rsidRPr="00362FDF">
        <w:rPr>
          <w:rFonts w:ascii="Palatino Linotype" w:eastAsia="Palatino Linotype" w:hAnsi="Palatino Linotype" w:cs="Palatino Linotype"/>
          <w:b/>
        </w:rPr>
        <w:t xml:space="preserve"> (05)</w:t>
      </w:r>
      <w:r w:rsidR="00E7726C" w:rsidRPr="00362FDF">
        <w:rPr>
          <w:rFonts w:ascii="Palatino Linotype" w:eastAsia="Palatino Linotype" w:hAnsi="Palatino Linotype" w:cs="Palatino Linotype"/>
          <w:b/>
        </w:rPr>
        <w:t xml:space="preserve"> de marzo de dos mil veintiséis</w:t>
      </w:r>
      <w:r w:rsidRPr="00362FDF">
        <w:rPr>
          <w:rFonts w:ascii="Palatino Linotype" w:eastAsia="Palatino Linotype" w:hAnsi="Palatino Linotype" w:cs="Palatino Linotype"/>
          <w:b/>
        </w:rPr>
        <w:t>.</w:t>
      </w:r>
    </w:p>
    <w:p w14:paraId="0DDCA7D3" w14:textId="77777777" w:rsidR="00BE059F" w:rsidRPr="00362FDF" w:rsidRDefault="00BE059F">
      <w:pPr>
        <w:jc w:val="both"/>
        <w:rPr>
          <w:rFonts w:ascii="Palatino Linotype" w:eastAsia="Palatino Linotype" w:hAnsi="Palatino Linotype" w:cs="Palatino Linotype"/>
        </w:rPr>
      </w:pPr>
    </w:p>
    <w:p w14:paraId="651F078B" w14:textId="5BDBB01D" w:rsidR="00BE059F" w:rsidRPr="00362FDF" w:rsidRDefault="006A37FD">
      <w:pPr>
        <w:spacing w:line="360" w:lineRule="auto"/>
        <w:jc w:val="both"/>
        <w:rPr>
          <w:rFonts w:ascii="Palatino Linotype" w:eastAsia="Palatino Linotype" w:hAnsi="Palatino Linotype" w:cs="Palatino Linotype"/>
        </w:rPr>
      </w:pPr>
      <w:r w:rsidRPr="00362FDF">
        <w:rPr>
          <w:rFonts w:ascii="Palatino Linotype" w:eastAsia="Palatino Linotype" w:hAnsi="Palatino Linotype" w:cs="Palatino Linotype"/>
          <w:b/>
          <w:bCs/>
        </w:rPr>
        <w:t>VISTO</w:t>
      </w:r>
      <w:r w:rsidRPr="00362FDF">
        <w:rPr>
          <w:rFonts w:ascii="Palatino Linotype" w:eastAsia="Palatino Linotype" w:hAnsi="Palatino Linotype" w:cs="Palatino Linotype"/>
        </w:rPr>
        <w:t xml:space="preserve"> el expediente electrónico formado con motivo del recurso de revisión </w:t>
      </w:r>
      <w:r w:rsidRPr="00362FDF">
        <w:rPr>
          <w:rFonts w:ascii="Palatino Linotype" w:eastAsia="Palatino Linotype" w:hAnsi="Palatino Linotype" w:cs="Palatino Linotype"/>
          <w:b/>
          <w:bCs/>
        </w:rPr>
        <w:t xml:space="preserve">08708/INFOEM/IP/RR/2025, </w:t>
      </w:r>
      <w:r w:rsidRPr="00362FDF">
        <w:rPr>
          <w:rFonts w:ascii="Palatino Linotype" w:eastAsia="Palatino Linotype" w:hAnsi="Palatino Linotype" w:cs="Palatino Linotype"/>
        </w:rPr>
        <w:t xml:space="preserve">promovido por </w:t>
      </w:r>
      <w:r w:rsidR="00CD5D08">
        <w:rPr>
          <w:rFonts w:ascii="Palatino Linotype" w:eastAsia="Palatino Linotype" w:hAnsi="Palatino Linotype" w:cs="Palatino Linotype"/>
          <w:b/>
        </w:rPr>
        <w:t>XXXX</w:t>
      </w:r>
      <w:r w:rsidRPr="00362FDF">
        <w:rPr>
          <w:rFonts w:ascii="Palatino Linotype" w:eastAsia="Palatino Linotype" w:hAnsi="Palatino Linotype" w:cs="Palatino Linotype"/>
          <w:b/>
          <w:bCs/>
        </w:rPr>
        <w:t>,</w:t>
      </w:r>
      <w:r w:rsidRPr="00362FDF">
        <w:rPr>
          <w:rFonts w:ascii="Palatino Linotype" w:eastAsia="Palatino Linotype" w:hAnsi="Palatino Linotype" w:cs="Palatino Linotype"/>
        </w:rPr>
        <w:t xml:space="preserve"> a quien en lo sucesivo se le denominará como la parte </w:t>
      </w:r>
      <w:r w:rsidRPr="00362FDF">
        <w:rPr>
          <w:rFonts w:ascii="Palatino Linotype" w:eastAsia="Palatino Linotype" w:hAnsi="Palatino Linotype" w:cs="Palatino Linotype"/>
          <w:b/>
          <w:bCs/>
        </w:rPr>
        <w:t>RECURRENTE,</w:t>
      </w:r>
      <w:r w:rsidRPr="00362FDF">
        <w:rPr>
          <w:rFonts w:ascii="Palatino Linotype" w:eastAsia="Palatino Linotype" w:hAnsi="Palatino Linotype" w:cs="Palatino Linotype"/>
        </w:rPr>
        <w:t xml:space="preserve"> en contra de la respuesta del </w:t>
      </w:r>
      <w:r w:rsidRPr="00362FDF">
        <w:rPr>
          <w:rFonts w:ascii="Palatino Linotype" w:eastAsia="Palatino Linotype" w:hAnsi="Palatino Linotype" w:cs="Palatino Linotype"/>
          <w:b/>
          <w:bCs/>
          <w:color w:val="000000"/>
        </w:rPr>
        <w:t xml:space="preserve">Ayuntamiento de </w:t>
      </w:r>
      <w:r w:rsidRPr="00362FDF">
        <w:rPr>
          <w:rFonts w:ascii="Palatino Linotype" w:eastAsia="Palatino Linotype" w:hAnsi="Palatino Linotype" w:cs="Palatino Linotype"/>
          <w:b/>
          <w:bCs/>
        </w:rPr>
        <w:t xml:space="preserve">Tlalmanalco, </w:t>
      </w:r>
      <w:r w:rsidRPr="00362FDF">
        <w:rPr>
          <w:rFonts w:ascii="Palatino Linotype" w:eastAsia="Palatino Linotype" w:hAnsi="Palatino Linotype" w:cs="Palatino Linotype"/>
        </w:rPr>
        <w:t>en adelante el</w:t>
      </w:r>
      <w:r w:rsidRPr="00362FDF">
        <w:rPr>
          <w:rFonts w:ascii="Palatino Linotype" w:eastAsia="Palatino Linotype" w:hAnsi="Palatino Linotype" w:cs="Palatino Linotype"/>
          <w:b/>
          <w:bCs/>
        </w:rPr>
        <w:t xml:space="preserve"> SUJETO OBLIGADO</w:t>
      </w:r>
      <w:r w:rsidRPr="00362FDF">
        <w:rPr>
          <w:rFonts w:ascii="Palatino Linotype" w:eastAsia="Palatino Linotype" w:hAnsi="Palatino Linotype" w:cs="Palatino Linotype"/>
        </w:rPr>
        <w:t>, por lo que se procede a dictar la presente resolución, con base en los siguientes:</w:t>
      </w:r>
    </w:p>
    <w:p w14:paraId="72713AAE" w14:textId="77777777" w:rsidR="00BE059F" w:rsidRPr="00362FDF" w:rsidRDefault="00BE059F">
      <w:pPr>
        <w:jc w:val="both"/>
        <w:rPr>
          <w:rFonts w:ascii="Palatino Linotype" w:eastAsia="Palatino Linotype" w:hAnsi="Palatino Linotype" w:cs="Palatino Linotype"/>
        </w:rPr>
      </w:pPr>
    </w:p>
    <w:p w14:paraId="7CE52795" w14:textId="77777777" w:rsidR="00BE059F" w:rsidRPr="00362FDF" w:rsidRDefault="006A37FD">
      <w:pPr>
        <w:keepNext/>
        <w:keepLines/>
        <w:spacing w:line="360" w:lineRule="auto"/>
        <w:jc w:val="center"/>
        <w:rPr>
          <w:rFonts w:ascii="Palatino Linotype" w:eastAsia="Palatino Linotype" w:hAnsi="Palatino Linotype" w:cs="Palatino Linotype"/>
          <w:b/>
          <w:bCs/>
        </w:rPr>
      </w:pPr>
      <w:r w:rsidRPr="00362FDF">
        <w:rPr>
          <w:rFonts w:ascii="Palatino Linotype" w:eastAsia="Palatino Linotype" w:hAnsi="Palatino Linotype" w:cs="Palatino Linotype"/>
          <w:b/>
          <w:bCs/>
        </w:rPr>
        <w:t>A N T E C E D E N T E S</w:t>
      </w:r>
    </w:p>
    <w:p w14:paraId="7E2C816D" w14:textId="77777777" w:rsidR="00BE059F" w:rsidRPr="00362FDF" w:rsidRDefault="00BE059F">
      <w:pPr>
        <w:rPr>
          <w:rFonts w:ascii="Palatino Linotype" w:eastAsia="Palatino Linotype" w:hAnsi="Palatino Linotype" w:cs="Palatino Linotype"/>
        </w:rPr>
      </w:pPr>
    </w:p>
    <w:p w14:paraId="0C6E2E02" w14:textId="77777777" w:rsidR="00BE059F" w:rsidRPr="00362FDF" w:rsidRDefault="006A37FD">
      <w:pPr>
        <w:numPr>
          <w:ilvl w:val="0"/>
          <w:numId w:val="1"/>
        </w:numPr>
        <w:spacing w:line="360" w:lineRule="auto"/>
        <w:ind w:left="0"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El nueve de junio de dos mil veinticinco, la</w:t>
      </w:r>
      <w:r w:rsidRPr="00362FDF">
        <w:rPr>
          <w:rFonts w:ascii="Palatino Linotype" w:eastAsia="Palatino Linotype" w:hAnsi="Palatino Linotype" w:cs="Palatino Linotype"/>
          <w:b/>
          <w:bCs/>
        </w:rPr>
        <w:t xml:space="preserve"> RECURRENTE </w:t>
      </w:r>
      <w:r w:rsidRPr="00362FDF">
        <w:rPr>
          <w:rFonts w:ascii="Palatino Linotype" w:eastAsia="Palatino Linotype" w:hAnsi="Palatino Linotype" w:cs="Palatino Linotype"/>
        </w:rPr>
        <w:t xml:space="preserve">presentó ante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rPr>
        <w:t xml:space="preserve"> a través del el Sistema de Acceso a la Información Mexiquense </w:t>
      </w:r>
      <w:r w:rsidRPr="00362FDF">
        <w:rPr>
          <w:rFonts w:ascii="Palatino Linotype" w:eastAsia="Palatino Linotype" w:hAnsi="Palatino Linotype" w:cs="Palatino Linotype"/>
          <w:b/>
          <w:bCs/>
        </w:rPr>
        <w:t>(SAIMEX),</w:t>
      </w:r>
      <w:r w:rsidRPr="00362FDF">
        <w:rPr>
          <w:rFonts w:ascii="Palatino Linotype" w:eastAsia="Palatino Linotype" w:hAnsi="Palatino Linotype" w:cs="Palatino Linotype"/>
        </w:rPr>
        <w:t xml:space="preserve"> la solicitud de información pública </w:t>
      </w:r>
      <w:r w:rsidRPr="00362FDF">
        <w:rPr>
          <w:rFonts w:ascii="Palatino Linotype" w:eastAsia="Palatino Linotype" w:hAnsi="Palatino Linotype" w:cs="Palatino Linotype"/>
          <w:b/>
          <w:bCs/>
        </w:rPr>
        <w:t>00172/TLALMANA/IP/2025</w:t>
      </w:r>
      <w:r w:rsidRPr="00362FDF">
        <w:rPr>
          <w:rFonts w:ascii="Palatino Linotype" w:eastAsia="Palatino Linotype" w:hAnsi="Palatino Linotype" w:cs="Palatino Linotype"/>
        </w:rPr>
        <w:t>, en la que solicitó:</w:t>
      </w:r>
    </w:p>
    <w:p w14:paraId="79E7BC7E" w14:textId="77777777" w:rsidR="00BE059F" w:rsidRPr="00362FDF" w:rsidRDefault="00BE059F">
      <w:pPr>
        <w:jc w:val="both"/>
        <w:rPr>
          <w:rFonts w:ascii="Palatino Linotype" w:eastAsia="Palatino Linotype" w:hAnsi="Palatino Linotype" w:cs="Palatino Linotype"/>
          <w:i/>
          <w:iCs/>
        </w:rPr>
      </w:pPr>
    </w:p>
    <w:p w14:paraId="4A372FB3" w14:textId="77777777" w:rsidR="00BE059F" w:rsidRPr="00362FDF" w:rsidRDefault="006A37FD">
      <w:pPr>
        <w:ind w:left="567" w:right="567"/>
        <w:jc w:val="both"/>
        <w:rPr>
          <w:rFonts w:ascii="Palatino Linotype" w:eastAsia="Palatino Linotype" w:hAnsi="Palatino Linotype" w:cs="Palatino Linotype"/>
          <w:i/>
          <w:iCs/>
        </w:rPr>
      </w:pPr>
      <w:r w:rsidRPr="00362FDF">
        <w:rPr>
          <w:rFonts w:ascii="Palatino Linotype" w:eastAsia="Palatino Linotype" w:hAnsi="Palatino Linotype" w:cs="Palatino Linotype"/>
          <w:i/>
          <w:iCs/>
          <w:color w:val="000000"/>
        </w:rPr>
        <w:t xml:space="preserve">“DE CONFORMIDAD A LA LEY DE TRANSPARENCIA Y ACCESO A LA INFORMACION PUBLICA DEL ESTADO DE MEXICO Y MUNICIPIOS, EN SUS ARTICULOS ARTICULOS 92 FRACCIONES VII A Y VII B, 150 Y 152 Y EN VIRTUD DE QUE NO PUBLICAN LA INFORMACIÓN EN SU PORTAL DE IPOMEX, SOLICITO LOS RECIBOS DE NOMINA VERSIÓNJ PÚBLICA DE TODO EL PERSONAL QUE PERCVIBE ALGUNA REMUNERACION DEL AYUNTAMIENTO DE TLALMANALCO E IMCUFIDE,. CARGOS DE ELECCION POPULAR PRESIDENTE Y CABILDO, DE CONFIANZA, SINDICALISADOS, DE BASE Y EVENTUALES.” (Sic) </w:t>
      </w:r>
    </w:p>
    <w:p w14:paraId="422DBEAB" w14:textId="77777777" w:rsidR="00BE059F" w:rsidRDefault="00BE059F">
      <w:pPr>
        <w:pBdr>
          <w:top w:val="nil"/>
          <w:left w:val="nil"/>
          <w:bottom w:val="nil"/>
          <w:right w:val="nil"/>
          <w:between w:val="nil"/>
        </w:pBdr>
        <w:jc w:val="both"/>
        <w:rPr>
          <w:rFonts w:ascii="Palatino Linotype" w:eastAsia="Palatino Linotype" w:hAnsi="Palatino Linotype" w:cs="Palatino Linotype"/>
          <w:color w:val="000000"/>
        </w:rPr>
      </w:pPr>
    </w:p>
    <w:p w14:paraId="4CF2330B" w14:textId="77777777" w:rsidR="00362FDF" w:rsidRPr="00362FDF" w:rsidRDefault="00362FDF">
      <w:pPr>
        <w:pBdr>
          <w:top w:val="nil"/>
          <w:left w:val="nil"/>
          <w:bottom w:val="nil"/>
          <w:right w:val="nil"/>
          <w:between w:val="nil"/>
        </w:pBdr>
        <w:jc w:val="both"/>
        <w:rPr>
          <w:rFonts w:ascii="Palatino Linotype" w:eastAsia="Palatino Linotype" w:hAnsi="Palatino Linotype" w:cs="Palatino Linotype"/>
          <w:color w:val="000000"/>
        </w:rPr>
      </w:pPr>
    </w:p>
    <w:p w14:paraId="6FF87B63" w14:textId="77777777" w:rsidR="00BE059F" w:rsidRPr="00362FDF" w:rsidRDefault="006A37FD">
      <w:pPr>
        <w:numPr>
          <w:ilvl w:val="0"/>
          <w:numId w:val="1"/>
        </w:numPr>
        <w:spacing w:line="360" w:lineRule="auto"/>
        <w:ind w:left="0"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 xml:space="preserve">Se hace constar que se señaló como modalidad de entrega de la información a través del </w:t>
      </w:r>
      <w:r w:rsidRPr="00362FDF">
        <w:rPr>
          <w:rFonts w:ascii="Palatino Linotype" w:eastAsia="Palatino Linotype" w:hAnsi="Palatino Linotype" w:cs="Palatino Linotype"/>
          <w:b/>
          <w:bCs/>
        </w:rPr>
        <w:t>SAIMEX.</w:t>
      </w:r>
    </w:p>
    <w:p w14:paraId="2AA279EE" w14:textId="77777777" w:rsidR="00BE059F" w:rsidRPr="00362FDF" w:rsidRDefault="00BE059F">
      <w:pPr>
        <w:spacing w:line="360" w:lineRule="auto"/>
        <w:jc w:val="both"/>
        <w:rPr>
          <w:rFonts w:ascii="Palatino Linotype" w:eastAsia="Palatino Linotype" w:hAnsi="Palatino Linotype" w:cs="Palatino Linotype"/>
        </w:rPr>
      </w:pPr>
    </w:p>
    <w:p w14:paraId="362C67C5" w14:textId="77777777" w:rsidR="00BE059F" w:rsidRPr="00362FDF" w:rsidRDefault="006A37FD">
      <w:pPr>
        <w:numPr>
          <w:ilvl w:val="0"/>
          <w:numId w:val="1"/>
        </w:numPr>
        <w:spacing w:line="360" w:lineRule="auto"/>
        <w:ind w:left="0"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lastRenderedPageBreak/>
        <w:t xml:space="preserve">El treinta de junio de dos mil veinticinco,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b/>
          <w:bCs/>
          <w:i/>
          <w:iCs/>
        </w:rPr>
        <w:t xml:space="preserve"> </w:t>
      </w:r>
      <w:r w:rsidRPr="00362FDF">
        <w:rPr>
          <w:rFonts w:ascii="Palatino Linotype" w:eastAsia="Palatino Linotype" w:hAnsi="Palatino Linotype" w:cs="Palatino Linotype"/>
        </w:rPr>
        <w:t>dio respuesta a la solicitud de información, en los siguientes términos:</w:t>
      </w:r>
    </w:p>
    <w:p w14:paraId="6963D8EA" w14:textId="77777777" w:rsidR="00BE059F" w:rsidRPr="00362FDF" w:rsidRDefault="006A37FD">
      <w:pPr>
        <w:ind w:left="567" w:right="567"/>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rPr>
        <w:t>“…</w:t>
      </w:r>
      <w:r w:rsidRPr="00362FDF">
        <w:rPr>
          <w:rFonts w:ascii="Palatino Linotype" w:eastAsia="Palatino Linotype" w:hAnsi="Palatino Linotype" w:cs="Palatino Linotype"/>
          <w:i/>
          <w:iCs/>
          <w:color w:val="000000"/>
        </w:rPr>
        <w:t>Con fundamento en lo dispuesto en el artículo 12 segundo párrafo de la Ley de Transparencia y Acceso a la Información Pública del Estado de México y Municipios, en seguimiento y respuesta a la solicitud de información pública con número de Folio 00172/TLALMANA/IP/2025 , que derivado de una búsqueda exhaustiva y minuciosa de la información solicitada, en los archivos físicos y digitales de esta Dependencia administrativa, se da respuesta conforme a lo siguiente: Con fundamento en lo dispuesto en el artículo 12 segundo párrafo de la Ley de Transparencia y Acceso a la Información Pública del Estado de México y Municipios, en seguimiento y respuesta a la solicitud de información pública con número de Folio 00172/TLALMANA/IP/2025 , que derivado de una búsqueda exhaustiva y minuciosa de la información solicitada, en los archivos físicos y digitales de esta Dependencia administrativa, se da respuesta conforme a lo siguiente:…” (Sic)</w:t>
      </w:r>
    </w:p>
    <w:p w14:paraId="368572A8" w14:textId="77777777" w:rsidR="00BE059F" w:rsidRPr="00362FDF" w:rsidRDefault="00BE059F">
      <w:pPr>
        <w:ind w:right="567"/>
        <w:jc w:val="both"/>
        <w:rPr>
          <w:rFonts w:ascii="Palatino Linotype" w:eastAsia="Palatino Linotype" w:hAnsi="Palatino Linotype" w:cs="Palatino Linotype"/>
          <w:i/>
          <w:iCs/>
          <w:color w:val="000000"/>
        </w:rPr>
      </w:pPr>
    </w:p>
    <w:p w14:paraId="388C7538" w14:textId="77777777" w:rsidR="00BE059F" w:rsidRPr="00362FDF" w:rsidRDefault="006A37FD">
      <w:pPr>
        <w:ind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Archivos electrónicos adjuntos:</w:t>
      </w:r>
    </w:p>
    <w:p w14:paraId="78C2CC9E" w14:textId="77777777" w:rsidR="00BE059F" w:rsidRPr="00362FDF" w:rsidRDefault="0052185E">
      <w:pPr>
        <w:ind w:left="567" w:right="567"/>
        <w:jc w:val="both"/>
        <w:rPr>
          <w:rFonts w:ascii="Palatino Linotype" w:eastAsia="Palatino Linotype" w:hAnsi="Palatino Linotype" w:cs="Palatino Linotype"/>
        </w:rPr>
      </w:pPr>
      <w:hyperlink r:id="rId8">
        <w:r w:rsidR="006A37FD" w:rsidRPr="00362FDF">
          <w:rPr>
            <w:rFonts w:ascii="Palatino Linotype" w:eastAsia="Palatino Linotype" w:hAnsi="Palatino Linotype" w:cs="Palatino Linotype"/>
            <w:b/>
            <w:bCs/>
            <w:color w:val="000000"/>
          </w:rPr>
          <w:t>172 RRHH.pdf</w:t>
        </w:r>
      </w:hyperlink>
      <w:r w:rsidR="006A37FD" w:rsidRPr="00362FDF">
        <w:rPr>
          <w:rFonts w:ascii="Palatino Linotype" w:eastAsia="Palatino Linotype" w:hAnsi="Palatino Linotype" w:cs="Palatino Linotype"/>
        </w:rPr>
        <w:t>: Oficio suscrito por la coordinadora de Recursos Humanos, señaló que la información solicitada no se encuentra publicada en el Portal IPOMEX, no obstante, remitió un enlace electrónico (en formato cerrado) donde refirió que se puede consultar el contenido del artículo 92 y sus fracciones a través del Portal oficial del H. Ayuntamiento de Atlacomulco.</w:t>
      </w:r>
    </w:p>
    <w:p w14:paraId="6430D3CA" w14:textId="77777777" w:rsidR="00BE059F" w:rsidRPr="00362FDF" w:rsidRDefault="00BE059F">
      <w:pPr>
        <w:ind w:left="567"/>
        <w:rPr>
          <w:rFonts w:ascii="Palatino Linotype" w:eastAsia="Palatino Linotype" w:hAnsi="Palatino Linotype" w:cs="Palatino Linotype"/>
        </w:rPr>
      </w:pPr>
    </w:p>
    <w:p w14:paraId="4039D91B" w14:textId="77777777" w:rsidR="00BE059F" w:rsidRPr="00362FDF" w:rsidRDefault="0052185E">
      <w:pPr>
        <w:ind w:left="567" w:right="567"/>
        <w:jc w:val="both"/>
        <w:rPr>
          <w:rFonts w:ascii="Palatino Linotype" w:eastAsia="Palatino Linotype" w:hAnsi="Palatino Linotype" w:cs="Palatino Linotype"/>
        </w:rPr>
      </w:pPr>
      <w:hyperlink r:id="rId9">
        <w:r w:rsidR="006A37FD" w:rsidRPr="00362FDF">
          <w:rPr>
            <w:rFonts w:ascii="Palatino Linotype" w:eastAsia="Palatino Linotype" w:hAnsi="Palatino Linotype" w:cs="Palatino Linotype"/>
            <w:b/>
            <w:bCs/>
            <w:color w:val="000000"/>
          </w:rPr>
          <w:t>172 IMCUFIDE.rar</w:t>
        </w:r>
      </w:hyperlink>
      <w:r w:rsidR="006A37FD" w:rsidRPr="00362FDF">
        <w:rPr>
          <w:rFonts w:ascii="Palatino Linotype" w:eastAsia="Palatino Linotype" w:hAnsi="Palatino Linotype" w:cs="Palatino Linotype"/>
        </w:rPr>
        <w:t>: Carpeta electrónica que contiene los siguientes archivos electrónicos:</w:t>
      </w:r>
    </w:p>
    <w:p w14:paraId="79608112" w14:textId="77777777" w:rsidR="00BE059F" w:rsidRPr="00362FDF" w:rsidRDefault="006A37FD">
      <w:pPr>
        <w:ind w:left="851"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Acta 33: </w:t>
      </w:r>
      <w:r w:rsidRPr="00362FDF">
        <w:rPr>
          <w:rFonts w:ascii="Palatino Linotype" w:eastAsia="Palatino Linotype" w:hAnsi="Palatino Linotype" w:cs="Palatino Linotype"/>
        </w:rPr>
        <w:t>Acta de la trigésima tercera sesión extraordinaria del comité de transparencia del Ayuntamiento de Tlalmanalco, celebrada el 27 de junio de 2025.</w:t>
      </w:r>
    </w:p>
    <w:p w14:paraId="10341339" w14:textId="77777777" w:rsidR="00BE059F" w:rsidRPr="00362FDF" w:rsidRDefault="006A37FD">
      <w:pPr>
        <w:ind w:left="851"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Clasificación 0172</w:t>
      </w:r>
      <w:r w:rsidRPr="00362FDF">
        <w:rPr>
          <w:rFonts w:ascii="Palatino Linotype" w:eastAsia="Palatino Linotype" w:hAnsi="Palatino Linotype" w:cs="Palatino Linotype"/>
        </w:rPr>
        <w:t>: Oficio suscrito por el Titular de la Dirección de IMCUFIDE, mediante el cual, solicitó se someta a aprobación del Comité de Transparencia y Acceso a la Información, la clasificación de los siguientes datos: RFC, CURP, Clave de Seguridad Social, cualquier otro que contenga información concerniente a la persona, identificada o identificable dispuesto por la Ley de Protección de Datos Personales del Estado de México.</w:t>
      </w:r>
      <w:r w:rsidRPr="00362FDF">
        <w:rPr>
          <w:rFonts w:ascii="Palatino Linotype" w:eastAsia="Palatino Linotype" w:hAnsi="Palatino Linotype" w:cs="Palatino Linotype"/>
          <w:b/>
          <w:bCs/>
        </w:rPr>
        <w:t xml:space="preserve"> </w:t>
      </w:r>
    </w:p>
    <w:p w14:paraId="728FDABB" w14:textId="77777777" w:rsidR="00BE059F" w:rsidRPr="00362FDF" w:rsidRDefault="006A37FD">
      <w:pPr>
        <w:ind w:left="851" w:right="567"/>
        <w:jc w:val="both"/>
        <w:rPr>
          <w:rFonts w:ascii="Palatino Linotype" w:eastAsia="Palatino Linotype" w:hAnsi="Palatino Linotype" w:cs="Palatino Linotype"/>
        </w:rPr>
      </w:pPr>
      <w:r w:rsidRPr="00362FDF">
        <w:rPr>
          <w:rFonts w:ascii="Palatino Linotype" w:eastAsia="Palatino Linotype" w:hAnsi="Palatino Linotype" w:cs="Palatino Linotype"/>
          <w:b/>
          <w:bCs/>
        </w:rPr>
        <w:t xml:space="preserve">Entrega De Acta 33: </w:t>
      </w:r>
      <w:r w:rsidRPr="00362FDF">
        <w:rPr>
          <w:rFonts w:ascii="Palatino Linotype" w:eastAsia="Palatino Linotype" w:hAnsi="Palatino Linotype" w:cs="Palatino Linotype"/>
        </w:rPr>
        <w:t xml:space="preserve">Oficio suscrito por la Titular Honorífica de la Unidad de Transparencia y Acceso a la Información Pública del IMCUFIDE, mediante el cual, refirió enviar el Acta de Trigésima Tercera Sesión Extraordinaria para clasificar la información como confidencial, para realizar la versión pública de </w:t>
      </w:r>
      <w:r w:rsidRPr="00362FDF">
        <w:rPr>
          <w:rFonts w:ascii="Palatino Linotype" w:eastAsia="Palatino Linotype" w:hAnsi="Palatino Linotype" w:cs="Palatino Linotype"/>
        </w:rPr>
        <w:lastRenderedPageBreak/>
        <w:t>los recibos de nómina de mayo de 2025 y reporte de nómina de marzo, abril, mayo y junio de 205 del personal del Instituto Municipal de Cultura Física y Deporte.</w:t>
      </w:r>
    </w:p>
    <w:p w14:paraId="5DE3BB53" w14:textId="77777777" w:rsidR="00BE059F" w:rsidRPr="00362FDF" w:rsidRDefault="006A37FD">
      <w:pPr>
        <w:ind w:left="851"/>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NOMINAS MAYO (3): </w:t>
      </w:r>
      <w:r w:rsidRPr="00362FDF">
        <w:rPr>
          <w:rFonts w:ascii="Palatino Linotype" w:eastAsia="Palatino Linotype" w:hAnsi="Palatino Linotype" w:cs="Palatino Linotype"/>
        </w:rPr>
        <w:t>Copia digitalizada de los recibos de nómina en versión pública del personal del IMCUFIDE, de la primera y segunda quincena de mayo de 2025.</w:t>
      </w:r>
    </w:p>
    <w:p w14:paraId="04963E51" w14:textId="77777777" w:rsidR="00BE059F" w:rsidRPr="00362FDF" w:rsidRDefault="00BE059F">
      <w:pPr>
        <w:ind w:right="-592"/>
        <w:jc w:val="both"/>
        <w:rPr>
          <w:rFonts w:ascii="Palatino Linotype" w:eastAsia="Palatino Linotype" w:hAnsi="Palatino Linotype" w:cs="Palatino Linotype"/>
        </w:rPr>
      </w:pPr>
    </w:p>
    <w:p w14:paraId="12E150C4"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El diecisiete de junio de dos mil veinticinco,</w:t>
      </w:r>
      <w:r w:rsidRPr="00362FDF">
        <w:rPr>
          <w:rFonts w:ascii="Palatino Linotype" w:eastAsia="Palatino Linotype" w:hAnsi="Palatino Linotype" w:cs="Palatino Linotype"/>
          <w:b/>
          <w:bCs/>
        </w:rPr>
        <w:t xml:space="preserve"> </w:t>
      </w:r>
      <w:r w:rsidRPr="00362FDF">
        <w:rPr>
          <w:rFonts w:ascii="Palatino Linotype" w:eastAsia="Palatino Linotype" w:hAnsi="Palatino Linotype" w:cs="Palatino Linotype"/>
        </w:rPr>
        <w:t xml:space="preserve">el </w:t>
      </w:r>
      <w:r w:rsidRPr="00362FDF">
        <w:rPr>
          <w:rFonts w:ascii="Palatino Linotype" w:eastAsia="Palatino Linotype" w:hAnsi="Palatino Linotype" w:cs="Palatino Linotype"/>
          <w:b/>
          <w:bCs/>
        </w:rPr>
        <w:t>RECURRENTE</w:t>
      </w:r>
      <w:r w:rsidRPr="00362FDF">
        <w:rPr>
          <w:rFonts w:ascii="Palatino Linotype" w:eastAsia="Palatino Linotype" w:hAnsi="Palatino Linotype" w:cs="Palatino Linotype"/>
        </w:rPr>
        <w:t xml:space="preserve"> interpuso el recurso de revisión en contra de la respuesta, señalando como:</w:t>
      </w:r>
    </w:p>
    <w:p w14:paraId="68E4308A" w14:textId="77777777" w:rsidR="00BE059F" w:rsidRPr="00362FDF" w:rsidRDefault="00BE059F">
      <w:pPr>
        <w:ind w:right="1"/>
        <w:jc w:val="both"/>
        <w:rPr>
          <w:rFonts w:ascii="Palatino Linotype" w:eastAsia="Palatino Linotype" w:hAnsi="Palatino Linotype" w:cs="Palatino Linotype"/>
        </w:rPr>
      </w:pPr>
    </w:p>
    <w:p w14:paraId="152706F6" w14:textId="2A1C72F5" w:rsidR="00BE059F" w:rsidRPr="00362FDF" w:rsidRDefault="00362FDF" w:rsidP="00362FDF">
      <w:pPr>
        <w:pStyle w:val="Prrafodelista"/>
        <w:numPr>
          <w:ilvl w:val="0"/>
          <w:numId w:val="13"/>
        </w:numPr>
        <w:ind w:left="709" w:right="568"/>
        <w:jc w:val="both"/>
        <w:rPr>
          <w:rFonts w:ascii="Palatino Linotype" w:eastAsia="Palatino Linotype" w:hAnsi="Palatino Linotype" w:cs="Palatino Linotype"/>
          <w:i/>
          <w:iCs/>
          <w:sz w:val="24"/>
        </w:rPr>
      </w:pPr>
      <w:r w:rsidRPr="00362FDF">
        <w:rPr>
          <w:rFonts w:ascii="Palatino Linotype" w:eastAsia="Palatino Linotype" w:hAnsi="Palatino Linotype" w:cs="Palatino Linotype"/>
          <w:b/>
          <w:bCs/>
          <w:sz w:val="24"/>
        </w:rPr>
        <w:t>ACTO IMPUGNADO</w:t>
      </w:r>
      <w:r w:rsidR="006A37FD" w:rsidRPr="00362FDF">
        <w:rPr>
          <w:rFonts w:ascii="Palatino Linotype" w:eastAsia="Palatino Linotype" w:hAnsi="Palatino Linotype" w:cs="Palatino Linotype"/>
          <w:b/>
          <w:bCs/>
          <w:i/>
          <w:iCs/>
          <w:sz w:val="24"/>
        </w:rPr>
        <w:t>:</w:t>
      </w:r>
      <w:r w:rsidR="006A37FD" w:rsidRPr="00362FDF">
        <w:rPr>
          <w:rFonts w:ascii="Palatino Linotype" w:eastAsia="Palatino Linotype" w:hAnsi="Palatino Linotype" w:cs="Palatino Linotype"/>
          <w:i/>
          <w:iCs/>
          <w:color w:val="000000"/>
          <w:sz w:val="24"/>
        </w:rPr>
        <w:t xml:space="preserve"> "SOLICITO LOS RECIBOS DE NOMINA VERSIÓNJ PÚBLICA DE TODO EL PERSONAL QUE PERCVIBE ALGUNA REMUNERACION DEL AYUNTAMIENTO DE TLALMANALCO E IMCUFIDE,. CARGOS DE ELECCION POPULAR PRESIDENTE Y CABILDO, DE CONFIANZA, SINDICALIZADOS, DE BASE Y EVENTUALES” (Sic)</w:t>
      </w:r>
    </w:p>
    <w:p w14:paraId="1542C344" w14:textId="77777777" w:rsidR="00BE059F" w:rsidRPr="00362FDF" w:rsidRDefault="00BE059F" w:rsidP="00362FDF">
      <w:pPr>
        <w:ind w:left="709" w:right="568"/>
        <w:jc w:val="both"/>
        <w:rPr>
          <w:rFonts w:ascii="Palatino Linotype" w:eastAsia="Palatino Linotype" w:hAnsi="Palatino Linotype" w:cs="Palatino Linotype"/>
          <w:sz w:val="28"/>
        </w:rPr>
      </w:pPr>
    </w:p>
    <w:p w14:paraId="3D49CE83" w14:textId="74255820" w:rsidR="00BE059F" w:rsidRPr="00362FDF" w:rsidRDefault="00362FDF" w:rsidP="00362FDF">
      <w:pPr>
        <w:pStyle w:val="Prrafodelista"/>
        <w:numPr>
          <w:ilvl w:val="0"/>
          <w:numId w:val="13"/>
        </w:numPr>
        <w:ind w:left="709" w:right="568"/>
        <w:jc w:val="both"/>
        <w:rPr>
          <w:rFonts w:ascii="Palatino Linotype" w:eastAsia="Palatino Linotype" w:hAnsi="Palatino Linotype" w:cs="Palatino Linotype"/>
          <w:i/>
          <w:iCs/>
          <w:color w:val="000000"/>
          <w:sz w:val="24"/>
        </w:rPr>
      </w:pPr>
      <w:r w:rsidRPr="00362FDF">
        <w:rPr>
          <w:rFonts w:ascii="Palatino Linotype" w:eastAsia="Palatino Linotype" w:hAnsi="Palatino Linotype" w:cs="Palatino Linotype"/>
          <w:b/>
          <w:bCs/>
          <w:sz w:val="24"/>
        </w:rPr>
        <w:t>RAZONES O MOTIVOS DE INCONFORMIDAD</w:t>
      </w:r>
      <w:r w:rsidR="006A37FD" w:rsidRPr="00362FDF">
        <w:rPr>
          <w:rFonts w:ascii="Palatino Linotype" w:eastAsia="Palatino Linotype" w:hAnsi="Palatino Linotype" w:cs="Palatino Linotype"/>
          <w:b/>
          <w:bCs/>
          <w:sz w:val="24"/>
        </w:rPr>
        <w:t xml:space="preserve">: </w:t>
      </w:r>
      <w:r w:rsidR="006A37FD" w:rsidRPr="00362FDF">
        <w:rPr>
          <w:rFonts w:ascii="Palatino Linotype" w:eastAsia="Palatino Linotype" w:hAnsi="Palatino Linotype" w:cs="Palatino Linotype"/>
          <w:i/>
          <w:iCs/>
          <w:color w:val="000000"/>
          <w:sz w:val="24"/>
        </w:rPr>
        <w:t>“no entregaron los recibos de nomina versión pública de personal de personal de elección presidente, cabildo, de confianza, sindicalizados, de base y eventuales” (Sic)</w:t>
      </w:r>
    </w:p>
    <w:p w14:paraId="53844404" w14:textId="77777777" w:rsidR="00BE059F" w:rsidRPr="00362FDF" w:rsidRDefault="00BE059F">
      <w:pPr>
        <w:ind w:right="568"/>
        <w:jc w:val="both"/>
        <w:rPr>
          <w:rFonts w:ascii="Palatino Linotype" w:eastAsia="Palatino Linotype" w:hAnsi="Palatino Linotype" w:cs="Palatino Linotype"/>
          <w:b/>
          <w:bCs/>
        </w:rPr>
      </w:pPr>
    </w:p>
    <w:p w14:paraId="143231C9"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362FDF">
        <w:rPr>
          <w:rFonts w:ascii="Palatino Linotype" w:eastAsia="Palatino Linotype" w:hAnsi="Palatino Linotype" w:cs="Palatino Linotype"/>
          <w:b/>
          <w:bCs/>
        </w:rPr>
        <w:t xml:space="preserve">Ley de Transparencia y Acceso a la Información Pública del Estado de México y Municipios </w:t>
      </w:r>
      <w:r w:rsidRPr="00362FDF">
        <w:rPr>
          <w:rFonts w:ascii="Palatino Linotype" w:eastAsia="Palatino Linotype" w:hAnsi="Palatino Linotype" w:cs="Palatino Linotype"/>
        </w:rPr>
        <w:t xml:space="preserve">se turna a la </w:t>
      </w:r>
      <w:r w:rsidRPr="00362FDF">
        <w:rPr>
          <w:rFonts w:ascii="Palatino Linotype" w:eastAsia="Palatino Linotype" w:hAnsi="Palatino Linotype" w:cs="Palatino Linotype"/>
          <w:b/>
          <w:bCs/>
        </w:rPr>
        <w:t xml:space="preserve">Comisionada María del Rosario Mejía Ayala, </w:t>
      </w:r>
      <w:r w:rsidRPr="00362FDF">
        <w:rPr>
          <w:rFonts w:ascii="Palatino Linotype" w:eastAsia="Palatino Linotype" w:hAnsi="Palatino Linotype" w:cs="Palatino Linotype"/>
        </w:rPr>
        <w:t xml:space="preserve">para su análisis. </w:t>
      </w:r>
    </w:p>
    <w:p w14:paraId="64ACA7CF" w14:textId="77777777" w:rsidR="00BE059F" w:rsidRPr="00362FDF" w:rsidRDefault="00BE059F">
      <w:pPr>
        <w:ind w:right="-592"/>
        <w:jc w:val="both"/>
        <w:rPr>
          <w:rFonts w:ascii="Palatino Linotype" w:eastAsia="Palatino Linotype" w:hAnsi="Palatino Linotype" w:cs="Palatino Linotype"/>
        </w:rPr>
      </w:pPr>
    </w:p>
    <w:p w14:paraId="4EAEAE74" w14:textId="027C5E1C" w:rsidR="00BE059F" w:rsidRPr="00362FDF" w:rsidRDefault="00362FDF">
      <w:pPr>
        <w:numPr>
          <w:ilvl w:val="0"/>
          <w:numId w:val="1"/>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6A37FD" w:rsidRPr="00362FDF">
        <w:rPr>
          <w:rFonts w:ascii="Palatino Linotype" w:eastAsia="Palatino Linotype" w:hAnsi="Palatino Linotype" w:cs="Palatino Linotype"/>
        </w:rPr>
        <w:t xml:space="preserve">onente con fundamento en lo dispuesto por el artículo 185 fracción II de la ley de la materia, a través del acuerdo de admisión del dieciocho de julio de dos mil veinticinco, puso a disposición de las partes el expediente electrónico vía </w:t>
      </w:r>
      <w:r w:rsidR="006A37FD" w:rsidRPr="00362FDF">
        <w:rPr>
          <w:rFonts w:ascii="Palatino Linotype" w:eastAsia="Palatino Linotype" w:hAnsi="Palatino Linotype" w:cs="Palatino Linotype"/>
          <w:b/>
          <w:bCs/>
        </w:rPr>
        <w:t xml:space="preserve">SAIMEX </w:t>
      </w:r>
      <w:r w:rsidR="006A37FD" w:rsidRPr="00362FDF">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6A37FD" w:rsidRPr="00362FDF">
        <w:rPr>
          <w:rFonts w:ascii="Palatino Linotype" w:eastAsia="Palatino Linotype" w:hAnsi="Palatino Linotype" w:cs="Palatino Linotype"/>
          <w:b/>
          <w:bCs/>
        </w:rPr>
        <w:t>SUJETO OBLIGADO</w:t>
      </w:r>
      <w:r w:rsidR="006A37FD" w:rsidRPr="00362FDF">
        <w:rPr>
          <w:rFonts w:ascii="Palatino Linotype" w:eastAsia="Palatino Linotype" w:hAnsi="Palatino Linotype" w:cs="Palatino Linotype"/>
        </w:rPr>
        <w:t xml:space="preserve"> presentará el informe justificado procedente. </w:t>
      </w:r>
    </w:p>
    <w:p w14:paraId="01EB5797"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lastRenderedPageBreak/>
        <w:t xml:space="preserve">El seis de agosto de dos mil veinticinco,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rPr>
        <w:t xml:space="preserve"> rindió el informe justificado correspondiente; por medio de la carpeta electrónica denominada RR 0878.rar, consistente en los siguientes archivos electrónicos:</w:t>
      </w:r>
    </w:p>
    <w:p w14:paraId="61F5E432" w14:textId="77777777" w:rsidR="00BE059F" w:rsidRPr="00362FDF" w:rsidRDefault="006A37FD">
      <w:pPr>
        <w:ind w:left="567"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38 SESION EXTRAORDINARIA: </w:t>
      </w:r>
      <w:r w:rsidRPr="00362FDF">
        <w:rPr>
          <w:rFonts w:ascii="Palatino Linotype" w:eastAsia="Palatino Linotype" w:hAnsi="Palatino Linotype" w:cs="Palatino Linotype"/>
        </w:rPr>
        <w:t>Acta de la Trigésima Octava Sesión Extraordinaria del Comité de Transparencia del Ayuntamiento de Tlalmanalco, celebrada el 4 de agosto de 2025.</w:t>
      </w:r>
    </w:p>
    <w:p w14:paraId="314033CC" w14:textId="77777777" w:rsidR="00BE059F" w:rsidRPr="00362FDF" w:rsidRDefault="00BE059F">
      <w:pPr>
        <w:ind w:left="567" w:right="567"/>
        <w:jc w:val="both"/>
        <w:rPr>
          <w:rFonts w:ascii="Palatino Linotype" w:eastAsia="Palatino Linotype" w:hAnsi="Palatino Linotype" w:cs="Palatino Linotype"/>
          <w:b/>
          <w:bCs/>
        </w:rPr>
      </w:pPr>
    </w:p>
    <w:p w14:paraId="070FE697" w14:textId="77777777" w:rsidR="00BE059F" w:rsidRPr="00362FDF" w:rsidRDefault="006A37FD">
      <w:pPr>
        <w:ind w:left="567" w:right="567"/>
        <w:jc w:val="both"/>
        <w:rPr>
          <w:rFonts w:ascii="Palatino Linotype" w:eastAsia="Palatino Linotype" w:hAnsi="Palatino Linotype" w:cs="Palatino Linotype"/>
        </w:rPr>
      </w:pPr>
      <w:r w:rsidRPr="00362FDF">
        <w:rPr>
          <w:rFonts w:ascii="Palatino Linotype" w:eastAsia="Palatino Linotype" w:hAnsi="Palatino Linotype" w:cs="Palatino Linotype"/>
          <w:b/>
          <w:bCs/>
        </w:rPr>
        <w:t xml:space="preserve">39 SESIOM EXTRAORDINARIA: </w:t>
      </w:r>
      <w:r w:rsidRPr="00362FDF">
        <w:rPr>
          <w:rFonts w:ascii="Palatino Linotype" w:eastAsia="Palatino Linotype" w:hAnsi="Palatino Linotype" w:cs="Palatino Linotype"/>
        </w:rPr>
        <w:t>Acta de la Trigésima Novena Sesión Extraordinaria del Comité de Transparencia del Ayuntamiento de Tlalmanalco, celebrada el 4 de agosto de 2025.</w:t>
      </w:r>
    </w:p>
    <w:p w14:paraId="080DDB4B" w14:textId="77777777" w:rsidR="00BE059F" w:rsidRPr="00362FDF" w:rsidRDefault="00BE059F">
      <w:pPr>
        <w:ind w:left="567" w:right="567"/>
        <w:jc w:val="both"/>
        <w:rPr>
          <w:rFonts w:ascii="Palatino Linotype" w:eastAsia="Palatino Linotype" w:hAnsi="Palatino Linotype" w:cs="Palatino Linotype"/>
          <w:b/>
          <w:bCs/>
        </w:rPr>
      </w:pPr>
    </w:p>
    <w:p w14:paraId="16A274B6" w14:textId="77777777" w:rsidR="00BE059F" w:rsidRPr="00362FDF" w:rsidRDefault="006A37FD">
      <w:pPr>
        <w:ind w:left="567"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OFICIOS: </w:t>
      </w:r>
      <w:r w:rsidRPr="00362FDF">
        <w:rPr>
          <w:rFonts w:ascii="Palatino Linotype" w:eastAsia="Palatino Linotype" w:hAnsi="Palatino Linotype" w:cs="Palatino Linotype"/>
        </w:rPr>
        <w:t>Documento consistente en la copia digitalizada de los oficios por medio de los cuales, la Coordinadora de Recursos Humanos, señaló que la información solicitada contiene datos personales susceptibles de ser clasificados como confidenciales.</w:t>
      </w:r>
    </w:p>
    <w:p w14:paraId="716420E3" w14:textId="77777777" w:rsidR="00BE059F" w:rsidRPr="00362FDF" w:rsidRDefault="00BE059F">
      <w:pPr>
        <w:ind w:left="567" w:right="567"/>
        <w:jc w:val="both"/>
        <w:rPr>
          <w:rFonts w:ascii="Palatino Linotype" w:eastAsia="Palatino Linotype" w:hAnsi="Palatino Linotype" w:cs="Palatino Linotype"/>
          <w:b/>
          <w:bCs/>
        </w:rPr>
      </w:pPr>
    </w:p>
    <w:p w14:paraId="294E9C34" w14:textId="77777777" w:rsidR="00BE059F" w:rsidRPr="00362FDF" w:rsidRDefault="006A37FD">
      <w:pPr>
        <w:ind w:left="567"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Recibos de nomina 2025-05-15 ADVOS_Censurado: </w:t>
      </w:r>
      <w:r w:rsidRPr="00362FDF">
        <w:rPr>
          <w:rFonts w:ascii="Palatino Linotype" w:eastAsia="Palatino Linotype" w:hAnsi="Palatino Linotype" w:cs="Palatino Linotype"/>
        </w:rPr>
        <w:t>Copia digitalizada de los recibos de nómina del personal adscrito al Ayuntamiento de Tlalmanalco, de la primera quincena de mayo de 2025.</w:t>
      </w:r>
    </w:p>
    <w:p w14:paraId="47CB348E" w14:textId="77777777" w:rsidR="00BE059F" w:rsidRPr="00362FDF" w:rsidRDefault="00BE059F">
      <w:pPr>
        <w:ind w:left="567" w:right="567"/>
        <w:jc w:val="both"/>
        <w:rPr>
          <w:rFonts w:ascii="Palatino Linotype" w:eastAsia="Palatino Linotype" w:hAnsi="Palatino Linotype" w:cs="Palatino Linotype"/>
          <w:b/>
          <w:bCs/>
        </w:rPr>
      </w:pPr>
    </w:p>
    <w:p w14:paraId="59AC183B" w14:textId="77777777" w:rsidR="00BE059F" w:rsidRPr="00362FDF" w:rsidRDefault="006A37FD">
      <w:pPr>
        <w:ind w:left="567" w:right="567"/>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Recibos de nomina 2025-05-15 SP_Censurado: </w:t>
      </w:r>
      <w:r w:rsidRPr="00362FDF">
        <w:rPr>
          <w:rFonts w:ascii="Palatino Linotype" w:eastAsia="Palatino Linotype" w:hAnsi="Palatino Linotype" w:cs="Palatino Linotype"/>
        </w:rPr>
        <w:t>Copia digitalizada de los recibos de nómina del personal adscrito al Ayuntamiento de Tlalmanalco, de la primera quincena de mayo de 2025.</w:t>
      </w:r>
    </w:p>
    <w:p w14:paraId="3A2A77CF" w14:textId="77777777" w:rsidR="00BE059F" w:rsidRPr="00362FDF" w:rsidRDefault="00BE059F">
      <w:pPr>
        <w:ind w:right="567"/>
        <w:jc w:val="both"/>
        <w:rPr>
          <w:rFonts w:ascii="Palatino Linotype" w:eastAsia="Palatino Linotype" w:hAnsi="Palatino Linotype" w:cs="Palatino Linotype"/>
          <w:b/>
          <w:bCs/>
        </w:rPr>
      </w:pPr>
    </w:p>
    <w:p w14:paraId="0A431B04" w14:textId="77777777" w:rsidR="00BE059F" w:rsidRPr="00362FDF" w:rsidRDefault="006A37FD">
      <w:pPr>
        <w:ind w:left="567" w:right="567"/>
        <w:jc w:val="both"/>
        <w:rPr>
          <w:rFonts w:ascii="Palatino Linotype" w:eastAsia="Palatino Linotype" w:hAnsi="Palatino Linotype" w:cs="Palatino Linotype"/>
        </w:rPr>
      </w:pPr>
      <w:r w:rsidRPr="00362FDF">
        <w:rPr>
          <w:rFonts w:ascii="Palatino Linotype" w:eastAsia="Palatino Linotype" w:hAnsi="Palatino Linotype" w:cs="Palatino Linotype"/>
          <w:b/>
          <w:bCs/>
        </w:rPr>
        <w:t xml:space="preserve">Recibos de nomina 2025-05-31 ADVOS_Cesurado: </w:t>
      </w:r>
      <w:r w:rsidRPr="00362FDF">
        <w:rPr>
          <w:rFonts w:ascii="Palatino Linotype" w:eastAsia="Palatino Linotype" w:hAnsi="Palatino Linotype" w:cs="Palatino Linotype"/>
        </w:rPr>
        <w:t>Copia digitalizada de los recibos de nómina del personal adscrito al Ayuntamiento de Tlalmanalco, de la segunda quincena de mayo de 2025.</w:t>
      </w:r>
    </w:p>
    <w:p w14:paraId="4B70219F" w14:textId="77777777" w:rsidR="00BE059F" w:rsidRPr="00362FDF" w:rsidRDefault="00BE059F">
      <w:pPr>
        <w:ind w:left="567" w:right="567"/>
        <w:jc w:val="both"/>
        <w:rPr>
          <w:rFonts w:ascii="Palatino Linotype" w:eastAsia="Palatino Linotype" w:hAnsi="Palatino Linotype" w:cs="Palatino Linotype"/>
          <w:b/>
          <w:bCs/>
        </w:rPr>
      </w:pPr>
    </w:p>
    <w:p w14:paraId="27C6C14E" w14:textId="77777777" w:rsidR="00BE059F" w:rsidRPr="00362FDF" w:rsidRDefault="006A37FD">
      <w:pPr>
        <w:ind w:left="567" w:right="567"/>
        <w:jc w:val="both"/>
        <w:rPr>
          <w:rFonts w:ascii="Palatino Linotype" w:eastAsia="Palatino Linotype" w:hAnsi="Palatino Linotype" w:cs="Palatino Linotype"/>
        </w:rPr>
      </w:pPr>
      <w:r w:rsidRPr="00362FDF">
        <w:rPr>
          <w:rFonts w:ascii="Palatino Linotype" w:eastAsia="Palatino Linotype" w:hAnsi="Palatino Linotype" w:cs="Palatino Linotype"/>
          <w:b/>
          <w:bCs/>
        </w:rPr>
        <w:t xml:space="preserve">Recibos de nomina 2025-05-31 SP_Censurado: </w:t>
      </w:r>
      <w:r w:rsidRPr="00362FDF">
        <w:rPr>
          <w:rFonts w:ascii="Palatino Linotype" w:eastAsia="Palatino Linotype" w:hAnsi="Palatino Linotype" w:cs="Palatino Linotype"/>
        </w:rPr>
        <w:t>Copia digitalizada de los recibos de nómina del personal adscrito al Ayuntamiento de Tlalmanalco, de la segunda quincena de mayo de 2025.</w:t>
      </w:r>
    </w:p>
    <w:p w14:paraId="0EF2A06F" w14:textId="77777777" w:rsidR="00BE059F" w:rsidRDefault="00BE059F">
      <w:pPr>
        <w:pBdr>
          <w:top w:val="nil"/>
          <w:left w:val="nil"/>
          <w:bottom w:val="nil"/>
          <w:right w:val="nil"/>
          <w:between w:val="nil"/>
        </w:pBdr>
        <w:ind w:left="720"/>
        <w:rPr>
          <w:rFonts w:ascii="Palatino Linotype" w:eastAsia="Palatino Linotype" w:hAnsi="Palatino Linotype" w:cs="Palatino Linotype"/>
          <w:color w:val="000000"/>
        </w:rPr>
      </w:pPr>
    </w:p>
    <w:p w14:paraId="78330979" w14:textId="77777777" w:rsidR="00362FDF" w:rsidRPr="00362FDF" w:rsidRDefault="00362FDF">
      <w:pPr>
        <w:pBdr>
          <w:top w:val="nil"/>
          <w:left w:val="nil"/>
          <w:bottom w:val="nil"/>
          <w:right w:val="nil"/>
          <w:between w:val="nil"/>
        </w:pBdr>
        <w:ind w:left="720"/>
        <w:rPr>
          <w:rFonts w:ascii="Palatino Linotype" w:eastAsia="Palatino Linotype" w:hAnsi="Palatino Linotype" w:cs="Palatino Linotype"/>
          <w:color w:val="000000"/>
        </w:rPr>
      </w:pPr>
    </w:p>
    <w:p w14:paraId="0D0186AA"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 xml:space="preserve">Por su parte, el </w:t>
      </w:r>
      <w:r w:rsidRPr="00362FDF">
        <w:rPr>
          <w:rFonts w:ascii="Palatino Linotype" w:eastAsia="Palatino Linotype" w:hAnsi="Palatino Linotype" w:cs="Palatino Linotype"/>
          <w:b/>
          <w:bCs/>
        </w:rPr>
        <w:t xml:space="preserve">RECURRENTE </w:t>
      </w:r>
      <w:r w:rsidRPr="00362FDF">
        <w:rPr>
          <w:rFonts w:ascii="Palatino Linotype" w:eastAsia="Palatino Linotype" w:hAnsi="Palatino Linotype" w:cs="Palatino Linotype"/>
        </w:rPr>
        <w:t>no realizó manifestaciones que a su derecho convinieran.</w:t>
      </w:r>
    </w:p>
    <w:p w14:paraId="70C8753A"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lastRenderedPageBreak/>
        <w:t>El dieciocho de julio de dos mil veinticinco, se notificó el acuerdo mediante el cual se amplió el plazo para emitir resolución por un término de 15 días adicionales.</w:t>
      </w:r>
    </w:p>
    <w:p w14:paraId="55462E3A" w14:textId="77777777" w:rsidR="00BE059F" w:rsidRPr="00362FDF" w:rsidRDefault="00BE059F">
      <w:pPr>
        <w:spacing w:line="360" w:lineRule="auto"/>
        <w:ind w:right="1"/>
        <w:jc w:val="both"/>
        <w:rPr>
          <w:rFonts w:ascii="Palatino Linotype" w:eastAsia="Palatino Linotype" w:hAnsi="Palatino Linotype" w:cs="Palatino Linotype"/>
        </w:rPr>
      </w:pPr>
    </w:p>
    <w:p w14:paraId="3A723D9C" w14:textId="1CD59A85" w:rsidR="00BE059F" w:rsidRPr="00362FDF" w:rsidRDefault="00362FDF" w:rsidP="00362FDF">
      <w:pPr>
        <w:numPr>
          <w:ilvl w:val="0"/>
          <w:numId w:val="1"/>
        </w:numPr>
        <w:spacing w:line="360" w:lineRule="auto"/>
        <w:ind w:left="0" w:right="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w:t>
      </w:r>
      <w:r w:rsidR="006A37FD" w:rsidRPr="00362FDF">
        <w:rPr>
          <w:rFonts w:ascii="Palatino Linotype" w:eastAsia="Palatino Linotype" w:hAnsi="Palatino Linotype" w:cs="Palatino Linotype"/>
        </w:rPr>
        <w:t>onente decretó el cierre de instrucción mediante el acuerdo del veinte de agosto de dos mil veinticinco</w:t>
      </w:r>
      <w:r>
        <w:rPr>
          <w:rFonts w:ascii="Palatino Linotype" w:eastAsia="Palatino Linotype" w:hAnsi="Palatino Linotype" w:cs="Palatino Linotype"/>
        </w:rPr>
        <w:t>.</w:t>
      </w:r>
    </w:p>
    <w:p w14:paraId="0D75A057" w14:textId="77777777" w:rsidR="00362FDF" w:rsidRDefault="00362FDF" w:rsidP="00362FDF">
      <w:pPr>
        <w:pStyle w:val="Prrafodelista"/>
        <w:rPr>
          <w:rFonts w:ascii="Palatino Linotype" w:eastAsia="Palatino Linotype" w:hAnsi="Palatino Linotype" w:cs="Palatino Linotype"/>
          <w:b/>
          <w:bCs/>
        </w:rPr>
      </w:pPr>
    </w:p>
    <w:p w14:paraId="4995A8B2" w14:textId="77777777" w:rsidR="00362FDF" w:rsidRPr="00362FDF" w:rsidRDefault="00362FDF" w:rsidP="00362FDF">
      <w:pPr>
        <w:spacing w:line="360" w:lineRule="auto"/>
        <w:ind w:right="1"/>
        <w:jc w:val="both"/>
        <w:rPr>
          <w:rFonts w:ascii="Palatino Linotype" w:eastAsia="Palatino Linotype" w:hAnsi="Palatino Linotype" w:cs="Palatino Linotype"/>
          <w:b/>
          <w:bCs/>
        </w:rPr>
      </w:pPr>
    </w:p>
    <w:p w14:paraId="4BB265E9" w14:textId="77777777" w:rsidR="00BE059F" w:rsidRPr="00362FDF" w:rsidRDefault="006A37FD">
      <w:pPr>
        <w:keepNext/>
        <w:keepLines/>
        <w:spacing w:line="360" w:lineRule="auto"/>
        <w:ind w:right="-592"/>
        <w:jc w:val="center"/>
        <w:rPr>
          <w:rFonts w:ascii="Palatino Linotype" w:eastAsia="Palatino Linotype" w:hAnsi="Palatino Linotype" w:cs="Palatino Linotype"/>
          <w:b/>
          <w:bCs/>
        </w:rPr>
      </w:pPr>
      <w:r w:rsidRPr="00362FDF">
        <w:rPr>
          <w:rFonts w:ascii="Palatino Linotype" w:eastAsia="Palatino Linotype" w:hAnsi="Palatino Linotype" w:cs="Palatino Linotype"/>
          <w:b/>
          <w:bCs/>
        </w:rPr>
        <w:t xml:space="preserve">C O N S I D E R A N D O </w:t>
      </w:r>
    </w:p>
    <w:p w14:paraId="15FC7483" w14:textId="77777777" w:rsidR="00BE059F" w:rsidRPr="00362FDF" w:rsidRDefault="00BE059F">
      <w:pPr>
        <w:keepNext/>
        <w:keepLines/>
        <w:ind w:right="-592"/>
        <w:rPr>
          <w:rFonts w:ascii="Palatino Linotype" w:eastAsia="Palatino Linotype" w:hAnsi="Palatino Linotype" w:cs="Palatino Linotype"/>
        </w:rPr>
      </w:pPr>
    </w:p>
    <w:p w14:paraId="110E8967" w14:textId="77777777" w:rsidR="00BE059F" w:rsidRPr="00362FDF" w:rsidRDefault="006A37FD">
      <w:pPr>
        <w:keepNext/>
        <w:keepLines/>
        <w:spacing w:line="360" w:lineRule="auto"/>
        <w:ind w:right="-592"/>
        <w:rPr>
          <w:rFonts w:ascii="Palatino Linotype" w:eastAsia="Palatino Linotype" w:hAnsi="Palatino Linotype" w:cs="Palatino Linotype"/>
          <w:b/>
          <w:bCs/>
        </w:rPr>
      </w:pPr>
      <w:r w:rsidRPr="00362FDF">
        <w:rPr>
          <w:rFonts w:ascii="Palatino Linotype" w:eastAsia="Palatino Linotype" w:hAnsi="Palatino Linotype" w:cs="Palatino Linotype"/>
          <w:b/>
          <w:bCs/>
        </w:rPr>
        <w:t>PRIMERO. De la competencia.</w:t>
      </w:r>
    </w:p>
    <w:p w14:paraId="7A385462"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362FDF">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5E0A2D35" w14:textId="77777777" w:rsidR="00BE059F" w:rsidRPr="00362FDF" w:rsidRDefault="00BE059F">
      <w:pPr>
        <w:spacing w:line="360" w:lineRule="auto"/>
        <w:ind w:right="1"/>
        <w:jc w:val="both"/>
        <w:rPr>
          <w:rFonts w:ascii="Palatino Linotype" w:eastAsia="Palatino Linotype" w:hAnsi="Palatino Linotype" w:cs="Palatino Linotype"/>
          <w:b/>
          <w:bCs/>
        </w:rPr>
      </w:pPr>
    </w:p>
    <w:p w14:paraId="477542F7" w14:textId="77777777" w:rsidR="00BE059F" w:rsidRPr="00362FDF" w:rsidRDefault="006A37FD">
      <w:pPr>
        <w:keepNext/>
        <w:keepLines/>
        <w:spacing w:line="360" w:lineRule="auto"/>
        <w:ind w:right="1"/>
        <w:rPr>
          <w:rFonts w:ascii="Palatino Linotype" w:eastAsia="Palatino Linotype" w:hAnsi="Palatino Linotype" w:cs="Palatino Linotype"/>
          <w:b/>
          <w:bCs/>
        </w:rPr>
      </w:pPr>
      <w:r w:rsidRPr="00362FDF">
        <w:rPr>
          <w:rFonts w:ascii="Palatino Linotype" w:eastAsia="Palatino Linotype" w:hAnsi="Palatino Linotype" w:cs="Palatino Linotype"/>
          <w:b/>
          <w:bCs/>
        </w:rPr>
        <w:t>SEGUNDO. De la oportunidad y procedencia.</w:t>
      </w:r>
    </w:p>
    <w:p w14:paraId="4BAE06AC"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362FDF">
        <w:rPr>
          <w:rFonts w:ascii="Palatino Linotype" w:eastAsia="Palatino Linotype" w:hAnsi="Palatino Linotype" w:cs="Palatino Linotype"/>
        </w:rPr>
        <w:t xml:space="preserve">El medio de impugnación fue presentado a través del </w:t>
      </w:r>
      <w:r w:rsidRPr="00362FDF">
        <w:rPr>
          <w:rFonts w:ascii="Palatino Linotype" w:eastAsia="Palatino Linotype" w:hAnsi="Palatino Linotype" w:cs="Palatino Linotype"/>
          <w:b/>
          <w:bCs/>
        </w:rPr>
        <w:t>SAIMEX,</w:t>
      </w:r>
      <w:r w:rsidRPr="00362FDF">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rPr>
        <w:t xml:space="preserve"> entregó respuesta el tres de junio de dos mil veinticinco de dos mil veinticuatro, de tal forma que el plazo para interponer el recurso de </w:t>
      </w:r>
      <w:r w:rsidRPr="00362FDF">
        <w:rPr>
          <w:rFonts w:ascii="Palatino Linotype" w:eastAsia="Palatino Linotype" w:hAnsi="Palatino Linotype" w:cs="Palatino Linotype"/>
        </w:rPr>
        <w:lastRenderedPageBreak/>
        <w:t xml:space="preserve">revisión transcurrió del cuatro al veinticuatro de junio de dos mil veinticinco; en consecuencia, presentó su inconformidad el cuatro de junio de dos mil veinticinco, por lo que se encuentra dentro de los márgenes temporales previstos en el artículo 178 de la </w:t>
      </w:r>
      <w:r w:rsidRPr="00362FDF">
        <w:rPr>
          <w:rFonts w:ascii="Palatino Linotype" w:eastAsia="Palatino Linotype" w:hAnsi="Palatino Linotype" w:cs="Palatino Linotype"/>
          <w:b/>
          <w:bCs/>
        </w:rPr>
        <w:t xml:space="preserve">Ley de Transparencia y Acceso a la Información Pública del Estado de México y Municipios </w:t>
      </w:r>
      <w:r w:rsidRPr="00362FDF">
        <w:rPr>
          <w:rFonts w:ascii="Palatino Linotype" w:eastAsia="Palatino Linotype" w:hAnsi="Palatino Linotype" w:cs="Palatino Linotype"/>
        </w:rPr>
        <w:t>vigente.</w:t>
      </w:r>
    </w:p>
    <w:p w14:paraId="6E42C3AE" w14:textId="77777777" w:rsidR="00BE059F" w:rsidRPr="00362FDF" w:rsidRDefault="00BE059F">
      <w:pPr>
        <w:ind w:right="1"/>
        <w:jc w:val="both"/>
        <w:rPr>
          <w:rFonts w:ascii="Palatino Linotype" w:eastAsia="Palatino Linotype" w:hAnsi="Palatino Linotype" w:cs="Palatino Linotype"/>
          <w:b/>
          <w:bCs/>
        </w:rPr>
      </w:pPr>
    </w:p>
    <w:p w14:paraId="1259EA31"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1E7A1692" w14:textId="77777777" w:rsidR="00BE059F" w:rsidRPr="00362FDF" w:rsidRDefault="00BE059F">
      <w:pPr>
        <w:ind w:right="-592"/>
        <w:jc w:val="both"/>
        <w:rPr>
          <w:rFonts w:ascii="Palatino Linotype" w:eastAsia="Palatino Linotype" w:hAnsi="Palatino Linotype" w:cs="Palatino Linotype"/>
          <w:b/>
          <w:bCs/>
        </w:rPr>
      </w:pPr>
    </w:p>
    <w:p w14:paraId="4CC09E6E" w14:textId="77777777" w:rsidR="00BE059F" w:rsidRPr="00362FDF" w:rsidRDefault="006A37FD">
      <w:pPr>
        <w:spacing w:line="360" w:lineRule="auto"/>
        <w:ind w:right="-592"/>
        <w:jc w:val="both"/>
        <w:rPr>
          <w:rFonts w:ascii="Palatino Linotype" w:eastAsia="Palatino Linotype" w:hAnsi="Palatino Linotype" w:cs="Palatino Linotype"/>
          <w:b/>
          <w:bCs/>
        </w:rPr>
      </w:pPr>
      <w:r w:rsidRPr="00362FDF">
        <w:rPr>
          <w:rFonts w:ascii="Palatino Linotype" w:eastAsia="Palatino Linotype" w:hAnsi="Palatino Linotype" w:cs="Palatino Linotype"/>
          <w:b/>
          <w:bCs/>
        </w:rPr>
        <w:t>TERCERO. De las causales de sobreseimiento.</w:t>
      </w:r>
    </w:p>
    <w:p w14:paraId="276ACF22"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sg69pjfuscz6" w:colFirst="0" w:colLast="0"/>
      <w:bookmarkEnd w:id="3"/>
      <w:r w:rsidRPr="00362FDF">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362FDF">
        <w:rPr>
          <w:rFonts w:ascii="Palatino Linotype" w:eastAsia="Palatino Linotype" w:hAnsi="Palatino Linotype" w:cs="Palatino Linotype"/>
          <w:b/>
          <w:bCs/>
          <w:u w:val="single"/>
        </w:rPr>
        <w:t>sobreseimiento</w:t>
      </w:r>
      <w:r w:rsidRPr="00362FDF">
        <w:rPr>
          <w:rFonts w:ascii="Palatino Linotype" w:eastAsia="Palatino Linotype" w:hAnsi="Palatino Linotype" w:cs="Palatino Linotype"/>
        </w:rPr>
        <w:t xml:space="preserve">; y en su caso ordenar la entrega de la información con respecto a la respuesta emitida por el </w:t>
      </w:r>
      <w:r w:rsidRPr="00362FDF">
        <w:rPr>
          <w:rFonts w:ascii="Palatino Linotype" w:eastAsia="Palatino Linotype" w:hAnsi="Palatino Linotype" w:cs="Palatino Linotype"/>
          <w:b/>
          <w:bCs/>
        </w:rPr>
        <w:t>SUJETO</w:t>
      </w:r>
      <w:r w:rsidRPr="00362FDF">
        <w:rPr>
          <w:rFonts w:ascii="Palatino Linotype" w:eastAsia="Palatino Linotype" w:hAnsi="Palatino Linotype" w:cs="Palatino Linotype"/>
        </w:rPr>
        <w:t xml:space="preserve"> </w:t>
      </w:r>
      <w:r w:rsidRPr="00362FDF">
        <w:rPr>
          <w:rFonts w:ascii="Palatino Linotype" w:eastAsia="Palatino Linotype" w:hAnsi="Palatino Linotype" w:cs="Palatino Linotype"/>
          <w:b/>
          <w:bCs/>
        </w:rPr>
        <w:t>OBLIGADO</w:t>
      </w:r>
      <w:r w:rsidRPr="00362FDF">
        <w:rPr>
          <w:rFonts w:ascii="Palatino Linotype" w:eastAsia="Palatino Linotype" w:hAnsi="Palatino Linotype" w:cs="Palatino Linotype"/>
        </w:rPr>
        <w:t>.</w:t>
      </w:r>
    </w:p>
    <w:p w14:paraId="4799086B" w14:textId="77777777" w:rsidR="00BE059F" w:rsidRPr="00362FDF" w:rsidRDefault="00BE059F">
      <w:pPr>
        <w:spacing w:line="360" w:lineRule="auto"/>
        <w:ind w:right="1"/>
        <w:jc w:val="both"/>
        <w:rPr>
          <w:rFonts w:ascii="Palatino Linotype" w:eastAsia="Palatino Linotype" w:hAnsi="Palatino Linotype" w:cs="Palatino Linotype"/>
          <w:b/>
          <w:bCs/>
        </w:rPr>
      </w:pPr>
    </w:p>
    <w:p w14:paraId="54E4CC22"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rPr>
        <w:t xml:space="preserve">De acuerdo al precepto legal contenido en la fracción III del artículo 192 de la </w:t>
      </w:r>
      <w:r w:rsidRPr="00362FDF">
        <w:rPr>
          <w:rFonts w:ascii="Palatino Linotype" w:eastAsia="Palatino Linotype" w:hAnsi="Palatino Linotype" w:cs="Palatino Linotype"/>
          <w:b/>
          <w:bCs/>
        </w:rPr>
        <w:t>Ley de Transparencia y Acceso a la Información Pública del Estado de México y Municipios</w:t>
      </w:r>
      <w:r w:rsidRPr="00362FDF">
        <w:rPr>
          <w:rFonts w:ascii="Palatino Linotype" w:eastAsia="Palatino Linotype" w:hAnsi="Palatino Linotype" w:cs="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14:paraId="6223EFB1"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bookmarkStart w:id="4" w:name="_heading=h.1s8w4nri8zt8" w:colFirst="0" w:colLast="0"/>
      <w:bookmarkEnd w:id="4"/>
      <w:r w:rsidRPr="00362FDF">
        <w:rPr>
          <w:rFonts w:ascii="Palatino Linotype" w:eastAsia="Palatino Linotype" w:hAnsi="Palatino Linotype" w:cs="Palatino Linotype"/>
          <w:color w:val="000000"/>
        </w:rPr>
        <w:lastRenderedPageBreak/>
        <w:t xml:space="preserve">Para los efectos de esta resolución, es oportuno precisar los alcances jurídicos de la fracción III de la disposición legal transcrita. Así, procede el sobreseimiento del recurso de revisión cuando el </w:t>
      </w:r>
      <w:r w:rsidRPr="00362FDF">
        <w:rPr>
          <w:rFonts w:ascii="Palatino Linotype" w:eastAsia="Palatino Linotype" w:hAnsi="Palatino Linotype" w:cs="Palatino Linotype"/>
          <w:b/>
          <w:bCs/>
          <w:color w:val="000000"/>
        </w:rPr>
        <w:t>SUJETO OBLIGADO</w:t>
      </w:r>
      <w:r w:rsidRPr="00362FDF">
        <w:rPr>
          <w:rFonts w:ascii="Palatino Linotype" w:eastAsia="Palatino Linotype" w:hAnsi="Palatino Linotype" w:cs="Palatino Linotype"/>
          <w:color w:val="000000"/>
        </w:rPr>
        <w:t>:</w:t>
      </w:r>
    </w:p>
    <w:p w14:paraId="3C5D034C" w14:textId="77777777" w:rsidR="00BE059F" w:rsidRPr="00362FDF" w:rsidRDefault="006A37FD">
      <w:pPr>
        <w:numPr>
          <w:ilvl w:val="0"/>
          <w:numId w:val="2"/>
        </w:numPr>
        <w:ind w:left="567" w:right="565" w:firstLine="0"/>
        <w:jc w:val="both"/>
        <w:rPr>
          <w:rFonts w:ascii="Palatino Linotype" w:eastAsia="Palatino Linotype" w:hAnsi="Palatino Linotype" w:cs="Palatino Linotype"/>
        </w:rPr>
      </w:pPr>
      <w:bookmarkStart w:id="5" w:name="_heading=h.fupgdu5fe99i" w:colFirst="0" w:colLast="0"/>
      <w:bookmarkEnd w:id="5"/>
      <w:r w:rsidRPr="00362FDF">
        <w:rPr>
          <w:rFonts w:ascii="Palatino Linotype" w:eastAsia="Palatino Linotype" w:hAnsi="Palatino Linotype" w:cs="Palatino Linotype"/>
          <w:b/>
          <w:bCs/>
        </w:rPr>
        <w:t>Modifique el acto impugnado:</w:t>
      </w:r>
      <w:r w:rsidRPr="00362FDF">
        <w:rPr>
          <w:rFonts w:ascii="Palatino Linotype" w:eastAsia="Palatino Linotype" w:hAnsi="Palatino Linotype" w:cs="Palatino Linotype"/>
        </w:rPr>
        <w:t xml:space="preserve"> Se actualiza cuando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14:paraId="55F6F6F4" w14:textId="77777777" w:rsidR="00BE059F" w:rsidRPr="00362FDF" w:rsidRDefault="006A37FD">
      <w:pPr>
        <w:numPr>
          <w:ilvl w:val="0"/>
          <w:numId w:val="2"/>
        </w:numPr>
        <w:ind w:left="567" w:right="565" w:firstLine="0"/>
        <w:jc w:val="both"/>
        <w:rPr>
          <w:rFonts w:ascii="Palatino Linotype" w:eastAsia="Palatino Linotype" w:hAnsi="Palatino Linotype" w:cs="Palatino Linotype"/>
        </w:rPr>
      </w:pPr>
      <w:r w:rsidRPr="00362FDF">
        <w:rPr>
          <w:rFonts w:ascii="Palatino Linotype" w:eastAsia="Palatino Linotype" w:hAnsi="Palatino Linotype" w:cs="Palatino Linotype"/>
          <w:b/>
          <w:bCs/>
        </w:rPr>
        <w:t>Revoque el acto impugnado:</w:t>
      </w:r>
      <w:r w:rsidRPr="00362FDF">
        <w:rPr>
          <w:rFonts w:ascii="Palatino Linotype" w:eastAsia="Palatino Linotype" w:hAnsi="Palatino Linotype" w:cs="Palatino Linotype"/>
        </w:rPr>
        <w:t xml:space="preserve"> En este supuesto, el </w:t>
      </w:r>
      <w:r w:rsidRPr="00362FDF">
        <w:rPr>
          <w:rFonts w:ascii="Palatino Linotype" w:eastAsia="Palatino Linotype" w:hAnsi="Palatino Linotype" w:cs="Palatino Linotype"/>
          <w:b/>
          <w:bCs/>
        </w:rPr>
        <w:t>SUJETO OBLIGADO</w:t>
      </w:r>
      <w:r w:rsidRPr="00362FDF">
        <w:rPr>
          <w:rFonts w:ascii="Palatino Linotype" w:eastAsia="Palatino Linotype" w:hAnsi="Palatino Linotype" w:cs="Palatino Linotype"/>
        </w:rPr>
        <w:t xml:space="preserve"> deja sin efectos la primera respuesta y en su lugar emite otra que satisfaga lo solicitado por el Particular en un primer momento.</w:t>
      </w:r>
    </w:p>
    <w:p w14:paraId="7E6CCDDF" w14:textId="77777777" w:rsidR="00BE059F" w:rsidRPr="00362FDF" w:rsidRDefault="00BE059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6" w:name="_heading=h.omj532vijpit" w:colFirst="0" w:colLast="0"/>
      <w:bookmarkEnd w:id="6"/>
    </w:p>
    <w:p w14:paraId="2F22DF0C"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bookmarkStart w:id="7" w:name="_heading=h.jvxafcoza8s" w:colFirst="0" w:colLast="0"/>
      <w:bookmarkEnd w:id="7"/>
      <w:r w:rsidRPr="00362FDF">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14:paraId="67D38CB9" w14:textId="77777777" w:rsidR="00BE059F" w:rsidRPr="00362FDF" w:rsidRDefault="00BE059F">
      <w:pPr>
        <w:pBdr>
          <w:top w:val="nil"/>
          <w:left w:val="nil"/>
          <w:bottom w:val="nil"/>
          <w:right w:val="nil"/>
          <w:between w:val="nil"/>
        </w:pBdr>
        <w:spacing w:line="360" w:lineRule="auto"/>
        <w:ind w:right="1"/>
        <w:jc w:val="both"/>
        <w:rPr>
          <w:rFonts w:ascii="Palatino Linotype" w:eastAsia="Palatino Linotype" w:hAnsi="Palatino Linotype" w:cs="Palatino Linotype"/>
          <w:color w:val="000000"/>
        </w:rPr>
      </w:pPr>
    </w:p>
    <w:p w14:paraId="39CA8C58"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En el presente caso, el </w:t>
      </w:r>
      <w:r w:rsidRPr="00362FDF">
        <w:rPr>
          <w:rFonts w:ascii="Palatino Linotype" w:eastAsia="Palatino Linotype" w:hAnsi="Palatino Linotype" w:cs="Palatino Linotype"/>
          <w:b/>
          <w:bCs/>
          <w:color w:val="000000"/>
        </w:rPr>
        <w:t>RECURRENTE</w:t>
      </w:r>
      <w:r w:rsidRPr="00362FDF">
        <w:rPr>
          <w:rFonts w:ascii="Palatino Linotype" w:eastAsia="Palatino Linotype" w:hAnsi="Palatino Linotype" w:cs="Palatino Linotype"/>
          <w:color w:val="000000"/>
        </w:rPr>
        <w:t xml:space="preserve"> solicitó los recibos de nómina de todo el personal del Ayuntamiento y del IMCUFIDE.</w:t>
      </w:r>
    </w:p>
    <w:p w14:paraId="2A76DE77" w14:textId="77777777" w:rsidR="00BE059F" w:rsidRPr="00362FDF" w:rsidRDefault="00BE059F">
      <w:pPr>
        <w:pBdr>
          <w:top w:val="nil"/>
          <w:left w:val="nil"/>
          <w:bottom w:val="nil"/>
          <w:right w:val="nil"/>
          <w:between w:val="nil"/>
        </w:pBdr>
        <w:ind w:left="720"/>
        <w:rPr>
          <w:rFonts w:ascii="Palatino Linotype" w:eastAsia="Palatino Linotype" w:hAnsi="Palatino Linotype" w:cs="Palatino Linotype"/>
          <w:b/>
          <w:bCs/>
          <w:color w:val="000000"/>
        </w:rPr>
      </w:pPr>
    </w:p>
    <w:p w14:paraId="2D41548C"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bookmarkStart w:id="8" w:name="_heading=h.98dzentlryvv" w:colFirst="0" w:colLast="0"/>
      <w:bookmarkEnd w:id="8"/>
      <w:r w:rsidRPr="00362FDF">
        <w:rPr>
          <w:rFonts w:ascii="Palatino Linotype" w:eastAsia="Palatino Linotype" w:hAnsi="Palatino Linotype" w:cs="Palatino Linotype"/>
          <w:color w:val="000000"/>
        </w:rPr>
        <w:t>En respuesta, el</w:t>
      </w:r>
      <w:r w:rsidRPr="00362FDF">
        <w:rPr>
          <w:rFonts w:ascii="Palatino Linotype" w:eastAsia="Palatino Linotype" w:hAnsi="Palatino Linotype" w:cs="Palatino Linotype"/>
          <w:b/>
          <w:bCs/>
          <w:color w:val="000000"/>
        </w:rPr>
        <w:t xml:space="preserve"> SUJETO OBLIGADO </w:t>
      </w:r>
      <w:r w:rsidRPr="00362FDF">
        <w:rPr>
          <w:rFonts w:ascii="Palatino Linotype" w:eastAsia="Palatino Linotype" w:hAnsi="Palatino Linotype" w:cs="Palatino Linotype"/>
          <w:color w:val="000000"/>
        </w:rPr>
        <w:t>por medio de la Coordinadora de Recursos Humanos señaló que la información solicitada no se encuentra publicada en el Portal IPOMEX, no obstante, remitió un enlace electrónico (en formato cerrado) donde refirió que se puede consultar el contenido del artículo 92 y sus fracciones a través del Portal oficial del H. Ayuntamiento de Atlacomulco. Por su parte, el Titular de la Dirección de IMCUFIDE, remitió la copia digitalizada de los recibos de nómina en versión pública del personal del IMCUFIDE, de la primera y segunda quincena de mayo de 2025.</w:t>
      </w:r>
    </w:p>
    <w:p w14:paraId="686FBCC5"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lastRenderedPageBreak/>
        <w:t>Inconforme con la respuesta, la parte</w:t>
      </w:r>
      <w:r w:rsidRPr="00362FDF">
        <w:rPr>
          <w:rFonts w:ascii="Palatino Linotype" w:eastAsia="Palatino Linotype" w:hAnsi="Palatino Linotype" w:cs="Palatino Linotype"/>
          <w:b/>
          <w:bCs/>
          <w:color w:val="000000"/>
        </w:rPr>
        <w:t xml:space="preserve"> RECURRENTE</w:t>
      </w:r>
      <w:r w:rsidRPr="00362FDF">
        <w:rPr>
          <w:rFonts w:ascii="Palatino Linotype" w:eastAsia="Palatino Linotype" w:hAnsi="Palatino Linotype" w:cs="Palatino Linotype"/>
          <w:color w:val="000000"/>
        </w:rPr>
        <w:t xml:space="preserve"> interpuso el recurso de revisión en el que manifestó que no se le proporcionaron los recibos de nómina de los integrantes del cabildo, personal de confianza, sindicalizados, de base y eventuales (del Ayuntamiento).</w:t>
      </w:r>
    </w:p>
    <w:p w14:paraId="21A9C389" w14:textId="77777777" w:rsidR="00BE059F" w:rsidRPr="00362FDF" w:rsidRDefault="00BE059F">
      <w:pPr>
        <w:pBdr>
          <w:top w:val="nil"/>
          <w:left w:val="nil"/>
          <w:bottom w:val="nil"/>
          <w:right w:val="nil"/>
          <w:between w:val="nil"/>
        </w:pBdr>
        <w:spacing w:line="360" w:lineRule="auto"/>
        <w:ind w:right="1"/>
        <w:jc w:val="both"/>
        <w:rPr>
          <w:rFonts w:ascii="Palatino Linotype" w:eastAsia="Palatino Linotype" w:hAnsi="Palatino Linotype" w:cs="Palatino Linotype"/>
          <w:color w:val="000000"/>
        </w:rPr>
      </w:pPr>
    </w:p>
    <w:p w14:paraId="08BF1CD0"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color w:val="000000"/>
        </w:rPr>
        <w:t xml:space="preserve">En </w:t>
      </w:r>
      <w:r w:rsidRPr="00362FDF">
        <w:rPr>
          <w:rFonts w:ascii="Palatino Linotype" w:eastAsia="Palatino Linotype" w:hAnsi="Palatino Linotype" w:cs="Palatino Linotype"/>
        </w:rPr>
        <w:t xml:space="preserve">este caso, el </w:t>
      </w:r>
      <w:r w:rsidRPr="00362FDF">
        <w:rPr>
          <w:rFonts w:ascii="Palatino Linotype" w:eastAsia="Palatino Linotype" w:hAnsi="Palatino Linotype" w:cs="Palatino Linotype"/>
          <w:b/>
          <w:bCs/>
        </w:rPr>
        <w:t xml:space="preserve">RECURRENTE </w:t>
      </w:r>
      <w:r w:rsidRPr="00362FDF">
        <w:rPr>
          <w:rFonts w:ascii="Palatino Linotype" w:eastAsia="Palatino Linotype" w:hAnsi="Palatino Linotype" w:cs="Palatino Linotype"/>
        </w:rPr>
        <w:t xml:space="preserve">no se inconformó por la totalidad de la respuesta. Bajo ese tenor, se tiene que la parte de la respuesta que no fue impugnada debe declararse como consentida, toda vez que, </w:t>
      </w:r>
      <w:r w:rsidRPr="00362FDF">
        <w:rPr>
          <w:rFonts w:ascii="Palatino Linotype" w:eastAsia="Palatino Linotype" w:hAnsi="Palatino Linotype" w:cs="Palatino Linotype"/>
          <w:color w:val="000000"/>
        </w:rPr>
        <w:t xml:space="preserve">al no haber realizado manifestaciones de inconformidad al respecto, se infiere que la información proporcionada por el </w:t>
      </w:r>
      <w:r w:rsidRPr="00362FDF">
        <w:rPr>
          <w:rFonts w:ascii="Palatino Linotype" w:eastAsia="Palatino Linotype" w:hAnsi="Palatino Linotype" w:cs="Palatino Linotype"/>
          <w:b/>
          <w:bCs/>
          <w:color w:val="000000"/>
        </w:rPr>
        <w:t>SUJETO OBLIGADO</w:t>
      </w:r>
      <w:r w:rsidRPr="00362FDF">
        <w:rPr>
          <w:rFonts w:ascii="Palatino Linotype" w:eastAsia="Palatino Linotype" w:hAnsi="Palatino Linotype" w:cs="Palatino Linotype"/>
          <w:color w:val="000000"/>
        </w:rPr>
        <w:t xml:space="preserve"> satisface este punto de la solicitud presentada.</w:t>
      </w:r>
    </w:p>
    <w:p w14:paraId="26C11A53" w14:textId="77777777" w:rsidR="00BE059F" w:rsidRPr="00362FDF" w:rsidRDefault="00BE059F">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591BB5EC" w14:textId="77777777" w:rsidR="00BE059F" w:rsidRPr="00362FDF" w:rsidRDefault="006A37FD">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Lo anterior es así, debido a que cuando un Recurrente impugna la respuesta del </w:t>
      </w:r>
      <w:r w:rsidRPr="00362FDF">
        <w:rPr>
          <w:rFonts w:ascii="Palatino Linotype" w:eastAsia="Palatino Linotype" w:hAnsi="Palatino Linotype" w:cs="Palatino Linotype"/>
          <w:b/>
          <w:bCs/>
          <w:color w:val="000000"/>
        </w:rPr>
        <w:t>SUJETO OBLIGADO</w:t>
      </w:r>
      <w:r w:rsidRPr="00362FDF">
        <w:rPr>
          <w:rFonts w:ascii="Palatino Linotype" w:eastAsia="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1AA02C2A" w14:textId="77777777" w:rsidR="00BE059F" w:rsidRPr="00362FDF" w:rsidRDefault="006A37FD">
      <w:pPr>
        <w:pBdr>
          <w:top w:val="nil"/>
          <w:left w:val="nil"/>
          <w:bottom w:val="nil"/>
          <w:right w:val="nil"/>
          <w:between w:val="nil"/>
        </w:pBdr>
        <w:ind w:left="567" w:right="565"/>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b/>
          <w:bCs/>
          <w:i/>
          <w:iCs/>
          <w:color w:val="000000"/>
        </w:rPr>
        <w:t xml:space="preserve">“REVISIÓN EN AMPARO. LOS RESOLUTIVOS NO COMBATIDOS DEBEN DECLARARSE FIRMES. </w:t>
      </w:r>
      <w:r w:rsidRPr="00362FDF">
        <w:rPr>
          <w:rFonts w:ascii="Palatino Linotype" w:eastAsia="Palatino Linotype" w:hAnsi="Palatino Linotype" w:cs="Palatino Linotype"/>
          <w:i/>
          <w:iCs/>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0DCAF724" w14:textId="77777777" w:rsidR="00BE059F" w:rsidRPr="00362FDF" w:rsidRDefault="00BE059F">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3E77D62D" w14:textId="77777777" w:rsidR="00BE059F" w:rsidRPr="00362FDF" w:rsidRDefault="006A37FD">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lastRenderedPageBreak/>
        <w:t>Consecuentemente, se reitera que la parte de la solicitud que no fue impugnada debe declararse consentida por el Recurrente, debido a que no se realizaron manifestaciones de inconformidad, por lo que no pueden producirse efectos jurídicos tendentes a revocar, confirmar o modificar el acto reclamado ya que se infiere un consentimiento del Recurrente</w:t>
      </w:r>
      <w:r w:rsidRPr="00362FDF">
        <w:rPr>
          <w:rFonts w:ascii="Palatino Linotype" w:eastAsia="Palatino Linotype" w:hAnsi="Palatino Linotype" w:cs="Palatino Linotype"/>
          <w:b/>
          <w:bCs/>
          <w:color w:val="000000"/>
        </w:rPr>
        <w:t xml:space="preserve"> </w:t>
      </w:r>
      <w:r w:rsidRPr="00362FDF">
        <w:rPr>
          <w:rFonts w:ascii="Palatino Linotype" w:eastAsia="Palatino Linotype" w:hAnsi="Palatino Linotype" w:cs="Palatino Linotype"/>
          <w:color w:val="000000"/>
        </w:rPr>
        <w:t>ante la falta de impugnación eficaz.</w:t>
      </w:r>
    </w:p>
    <w:p w14:paraId="16605BBC" w14:textId="77777777" w:rsidR="00BE059F" w:rsidRPr="00362FDF" w:rsidRDefault="00BE059F">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09ABF78B" w14:textId="77777777" w:rsidR="00BE059F" w:rsidRPr="00362FDF" w:rsidRDefault="006A37FD">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Sirve de sustento a lo anterior por analogía la tesis jurisprudencial número VI.3o.C. J/60, publicada en el Semanario Judicial de la Federación y su Gaceta bajo el número de registro 176,608 que a la letra dice:</w:t>
      </w:r>
    </w:p>
    <w:p w14:paraId="4703998B" w14:textId="77777777" w:rsidR="00BE059F" w:rsidRPr="00362FDF" w:rsidRDefault="006A37F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b/>
          <w:bCs/>
          <w:i/>
          <w:iCs/>
          <w:smallCaps/>
          <w:color w:val="000000"/>
        </w:rPr>
        <w:t xml:space="preserve">ACTOS CONSENTIDOS. SON LOS QUE NO SE IMPUGNAN MEDIANTE EL RECURSO IDÓNEO. </w:t>
      </w:r>
      <w:r w:rsidRPr="00362FDF">
        <w:rPr>
          <w:rFonts w:ascii="Palatino Linotype" w:eastAsia="Palatino Linotype" w:hAnsi="Palatino Linotype" w:cs="Palatino Linotype"/>
          <w:i/>
          <w:iCs/>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70263D30" w14:textId="77777777" w:rsidR="00BE059F" w:rsidRPr="00362FDF" w:rsidRDefault="00BE059F">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06065686" w14:textId="77777777" w:rsidR="00BE059F" w:rsidRPr="00362FDF" w:rsidRDefault="006A37FD">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Para mayor abundamiento, también resulta aplicable el criterio 01/20 emitido por el Instituto Nacional de Transparencia, Acceso a la Información Pública y Protección de Datos Personales, que a la letra estipula lo siguiente:</w:t>
      </w:r>
    </w:p>
    <w:p w14:paraId="64F80BA7" w14:textId="77777777" w:rsidR="00BE059F" w:rsidRPr="00362FDF" w:rsidRDefault="006A37F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b/>
          <w:bCs/>
          <w:i/>
          <w:iCs/>
          <w:color w:val="000000"/>
        </w:rPr>
        <w:t>Actos consentidos tácitamente. Improcedencia de su análisis.</w:t>
      </w:r>
      <w:r w:rsidRPr="00362FDF">
        <w:rPr>
          <w:rFonts w:ascii="Palatino Linotype" w:eastAsia="Palatino Linotype" w:hAnsi="Palatino Linotype" w:cs="Palatino Linotype"/>
          <w:i/>
          <w:iCs/>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AE3E5A7" w14:textId="77777777" w:rsidR="00BE059F" w:rsidRPr="00362FDF" w:rsidRDefault="00BE059F">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33EE054B" w14:textId="77777777" w:rsidR="00BE059F" w:rsidRPr="00362FDF" w:rsidRDefault="006A37FD">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De lo anteriormente referido, y a efecto de garantizar el efectivo ejercicio del derecho de acceso a la información pública que asiste al </w:t>
      </w:r>
      <w:r w:rsidRPr="00362FDF">
        <w:rPr>
          <w:rFonts w:ascii="Palatino Linotype" w:eastAsia="Palatino Linotype" w:hAnsi="Palatino Linotype" w:cs="Palatino Linotype"/>
          <w:b/>
          <w:bCs/>
          <w:color w:val="000000"/>
        </w:rPr>
        <w:t>RECURRENTE</w:t>
      </w:r>
      <w:r w:rsidRPr="00362FDF">
        <w:rPr>
          <w:rFonts w:ascii="Palatino Linotype" w:eastAsia="Palatino Linotype" w:hAnsi="Palatino Linotype" w:cs="Palatino Linotype"/>
          <w:color w:val="000000"/>
        </w:rPr>
        <w:t xml:space="preserve">, resulta conveniente precisar que el presente análisis versará únicamente sobre, </w:t>
      </w:r>
      <w:r w:rsidRPr="00362FDF">
        <w:rPr>
          <w:rFonts w:ascii="Palatino Linotype" w:eastAsia="Palatino Linotype" w:hAnsi="Palatino Linotype" w:cs="Palatino Linotype"/>
          <w:b/>
          <w:bCs/>
          <w:color w:val="000000"/>
        </w:rPr>
        <w:t xml:space="preserve">los recibos de nómina de todo el personal que </w:t>
      </w:r>
      <w:r w:rsidRPr="00362FDF">
        <w:rPr>
          <w:rFonts w:ascii="Palatino Linotype" w:eastAsia="Palatino Linotype" w:hAnsi="Palatino Linotype" w:cs="Palatino Linotype"/>
          <w:b/>
          <w:bCs/>
          <w:color w:val="000000"/>
        </w:rPr>
        <w:lastRenderedPageBreak/>
        <w:t>integra el Ayuntamiento de Tlalmanalco (integrantes del cabildo, personal de confianza, sindicalizados, de base y eventuales).</w:t>
      </w:r>
    </w:p>
    <w:p w14:paraId="4D4DEEFA" w14:textId="77777777" w:rsidR="00BE059F" w:rsidRPr="00362FDF" w:rsidRDefault="00BE059F">
      <w:pPr>
        <w:rPr>
          <w:rFonts w:ascii="Palatino Linotype" w:eastAsia="Palatino Linotype" w:hAnsi="Palatino Linotype" w:cs="Palatino Linotype"/>
        </w:rPr>
      </w:pPr>
    </w:p>
    <w:p w14:paraId="41D5D9C4" w14:textId="77777777" w:rsidR="00EF33C5" w:rsidRPr="00362FDF" w:rsidRDefault="006A37FD" w:rsidP="00104E9F">
      <w:pPr>
        <w:numPr>
          <w:ilvl w:val="0"/>
          <w:numId w:val="1"/>
        </w:numPr>
        <w:spacing w:line="360" w:lineRule="auto"/>
        <w:ind w:left="0" w:right="1"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rPr>
        <w:t>Así, mediante un acto jurídico posterior como lo es el informe justificado, el</w:t>
      </w:r>
      <w:r w:rsidRPr="00362FDF">
        <w:rPr>
          <w:rFonts w:ascii="Palatino Linotype" w:eastAsia="Palatino Linotype" w:hAnsi="Palatino Linotype" w:cs="Palatino Linotype"/>
          <w:b/>
          <w:bCs/>
        </w:rPr>
        <w:t xml:space="preserve"> SUJETO OBLIGADO </w:t>
      </w:r>
      <w:r w:rsidRPr="00362FDF">
        <w:rPr>
          <w:rFonts w:ascii="Palatino Linotype" w:eastAsia="Palatino Linotype" w:hAnsi="Palatino Linotype" w:cs="Palatino Linotype"/>
        </w:rPr>
        <w:t>por medio de la Coordinadora de Recursos Humanos, remitió en versión pública, la copia digitalizada de los recibos de nómina de todo el personal adscrito al Ayuntamiento de Tlalmanalco, de la primera y segunda quincena de mayo de 2025; así como, el Acta de la Trigésima Octava y Trigésima Novena Sesión Extraordinaria del Comité de Transparencia del Ayuntamiento de Tlalmanalco, celebrada el 4 de agosto de 2025, mismas que sustentan la versión pública realizada.</w:t>
      </w:r>
    </w:p>
    <w:p w14:paraId="44101217" w14:textId="77777777" w:rsidR="00104E9F" w:rsidRPr="00362FDF" w:rsidRDefault="00104E9F" w:rsidP="00104E9F">
      <w:pPr>
        <w:spacing w:line="360" w:lineRule="auto"/>
        <w:ind w:right="1"/>
        <w:jc w:val="both"/>
        <w:rPr>
          <w:rFonts w:ascii="Palatino Linotype" w:eastAsia="Palatino Linotype" w:hAnsi="Palatino Linotype" w:cs="Palatino Linotype"/>
          <w:b/>
          <w:bCs/>
        </w:rPr>
      </w:pPr>
    </w:p>
    <w:p w14:paraId="3792C6AF"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rPr>
        <w:t xml:space="preserve">Al respecto, cabe </w:t>
      </w:r>
      <w:r w:rsidRPr="00362FDF">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14DD089C" w14:textId="77777777" w:rsidR="00BE059F" w:rsidRPr="00362FDF" w:rsidRDefault="00BE059F">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7EA004C3"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362FDF">
        <w:rPr>
          <w:rFonts w:ascii="Palatino Linotype" w:eastAsia="Palatino Linotype" w:hAnsi="Palatino Linotype" w:cs="Palatino Linotype"/>
          <w:color w:val="000000"/>
          <w:vertAlign w:val="superscript"/>
        </w:rPr>
        <w:footnoteReference w:id="1"/>
      </w:r>
      <w:r w:rsidRPr="00362FDF">
        <w:rPr>
          <w:rFonts w:ascii="Palatino Linotype" w:eastAsia="Palatino Linotype" w:hAnsi="Palatino Linotype" w:cs="Palatino Linotype"/>
          <w:color w:val="000000"/>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w:t>
      </w:r>
      <w:r w:rsidRPr="00362FDF">
        <w:rPr>
          <w:rFonts w:ascii="Palatino Linotype" w:eastAsia="Palatino Linotype" w:hAnsi="Palatino Linotype" w:cs="Palatino Linotype"/>
          <w:color w:val="000000"/>
        </w:rPr>
        <w:lastRenderedPageBreak/>
        <w:t>las facultades internas necesarias para gestionar la atención a las solicitudes de información</w:t>
      </w:r>
      <w:r w:rsidRPr="00362FDF">
        <w:rPr>
          <w:rFonts w:ascii="Palatino Linotype" w:eastAsia="Palatino Linotype" w:hAnsi="Palatino Linotype" w:cs="Palatino Linotype"/>
          <w:b/>
          <w:bCs/>
          <w:color w:val="000000"/>
        </w:rPr>
        <w:t xml:space="preserve"> </w:t>
      </w:r>
      <w:r w:rsidRPr="00362FDF">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362FDF">
        <w:rPr>
          <w:rFonts w:ascii="Palatino Linotype" w:eastAsia="Palatino Linotype" w:hAnsi="Palatino Linotype" w:cs="Palatino Linotype"/>
          <w:color w:val="000000"/>
          <w:vertAlign w:val="superscript"/>
        </w:rPr>
        <w:footnoteReference w:id="2"/>
      </w:r>
      <w:r w:rsidRPr="00362FDF">
        <w:rPr>
          <w:rFonts w:ascii="Palatino Linotype" w:eastAsia="Palatino Linotype" w:hAnsi="Palatino Linotype" w:cs="Palatino Linotype"/>
          <w:color w:val="000000"/>
        </w:rPr>
        <w:t>.</w:t>
      </w:r>
    </w:p>
    <w:p w14:paraId="5BE3A09A" w14:textId="77777777" w:rsidR="00BE059F" w:rsidRPr="00362FDF" w:rsidRDefault="00BE059F">
      <w:pPr>
        <w:spacing w:line="360" w:lineRule="auto"/>
        <w:ind w:right="1"/>
        <w:jc w:val="both"/>
        <w:rPr>
          <w:rFonts w:ascii="Palatino Linotype" w:eastAsia="Palatino Linotype" w:hAnsi="Palatino Linotype" w:cs="Palatino Linotype"/>
        </w:rPr>
      </w:pPr>
    </w:p>
    <w:p w14:paraId="46952636"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6FAB9D0B" w14:textId="77777777" w:rsidR="00BE059F" w:rsidRPr="00362FDF" w:rsidRDefault="006A37FD">
      <w:pPr>
        <w:numPr>
          <w:ilvl w:val="1"/>
          <w:numId w:val="3"/>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Recibir, tramitar y dar respuesta a las solicitudes de acceso a la información;</w:t>
      </w:r>
    </w:p>
    <w:p w14:paraId="25B4AAA1" w14:textId="77777777" w:rsidR="00BE059F" w:rsidRPr="00362FDF" w:rsidRDefault="006A37FD">
      <w:pPr>
        <w:numPr>
          <w:ilvl w:val="1"/>
          <w:numId w:val="3"/>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1F02B13E" w14:textId="77777777" w:rsidR="00BE059F" w:rsidRPr="00362FDF" w:rsidRDefault="006A37FD">
      <w:pPr>
        <w:numPr>
          <w:ilvl w:val="1"/>
          <w:numId w:val="3"/>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Entregar, en su caso, a los particulares la información solicitada; y </w:t>
      </w:r>
    </w:p>
    <w:p w14:paraId="45564754" w14:textId="77777777" w:rsidR="00BE059F" w:rsidRPr="00362FDF" w:rsidRDefault="006A37FD">
      <w:pPr>
        <w:numPr>
          <w:ilvl w:val="1"/>
          <w:numId w:val="3"/>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Efectuar las notificaciones a los solicitantes.</w:t>
      </w:r>
    </w:p>
    <w:p w14:paraId="19FB3703" w14:textId="77777777" w:rsidR="00BE059F" w:rsidRPr="00362FDF" w:rsidRDefault="00BE059F">
      <w:pPr>
        <w:spacing w:line="360" w:lineRule="auto"/>
        <w:ind w:right="1"/>
        <w:jc w:val="both"/>
        <w:rPr>
          <w:rFonts w:ascii="Palatino Linotype" w:eastAsia="Palatino Linotype" w:hAnsi="Palatino Linotype" w:cs="Palatino Linotype"/>
        </w:rPr>
      </w:pPr>
    </w:p>
    <w:p w14:paraId="557A2B3B"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362FDF">
        <w:rPr>
          <w:rFonts w:ascii="Palatino Linotype" w:eastAsia="Palatino Linotype" w:hAnsi="Palatino Linotype" w:cs="Palatino Linotype"/>
          <w:b/>
          <w:bCs/>
          <w:color w:val="000000"/>
        </w:rPr>
        <w:t xml:space="preserve">SUJETO OBLIGADO </w:t>
      </w:r>
      <w:r w:rsidRPr="00362FDF">
        <w:rPr>
          <w:rFonts w:ascii="Palatino Linotype" w:eastAsia="Palatino Linotype" w:hAnsi="Palatino Linotype" w:cs="Palatino Linotype"/>
          <w:color w:val="000000"/>
        </w:rPr>
        <w:t>a propuesta del responsable de la Unidad de Transparencia</w:t>
      </w:r>
      <w:r w:rsidRPr="00362FDF">
        <w:rPr>
          <w:rFonts w:ascii="Palatino Linotype" w:eastAsia="Palatino Linotype" w:hAnsi="Palatino Linotype" w:cs="Palatino Linotype"/>
          <w:color w:val="000000"/>
          <w:vertAlign w:val="superscript"/>
        </w:rPr>
        <w:footnoteReference w:id="3"/>
      </w:r>
      <w:r w:rsidRPr="00362FDF">
        <w:rPr>
          <w:rFonts w:ascii="Palatino Linotype" w:eastAsia="Palatino Linotype" w:hAnsi="Palatino Linotype" w:cs="Palatino Linotype"/>
          <w:color w:val="000000"/>
        </w:rPr>
        <w:t xml:space="preserve"> y tendrán, entre sus atribuciones, las siguientes</w:t>
      </w:r>
      <w:r w:rsidRPr="00362FDF">
        <w:rPr>
          <w:rFonts w:ascii="Palatino Linotype" w:eastAsia="Palatino Linotype" w:hAnsi="Palatino Linotype" w:cs="Palatino Linotype"/>
          <w:color w:val="000000"/>
          <w:vertAlign w:val="superscript"/>
        </w:rPr>
        <w:footnoteReference w:id="4"/>
      </w:r>
      <w:r w:rsidRPr="00362FDF">
        <w:rPr>
          <w:rFonts w:ascii="Palatino Linotype" w:eastAsia="Palatino Linotype" w:hAnsi="Palatino Linotype" w:cs="Palatino Linotype"/>
          <w:color w:val="000000"/>
        </w:rPr>
        <w:t>:</w:t>
      </w:r>
    </w:p>
    <w:p w14:paraId="0F2B509F" w14:textId="77777777" w:rsidR="00BE059F" w:rsidRPr="00362FDF" w:rsidRDefault="006A37FD">
      <w:pPr>
        <w:numPr>
          <w:ilvl w:val="1"/>
          <w:numId w:val="4"/>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Localizar la información que le solicite la Unidad de Transparencia; y</w:t>
      </w:r>
    </w:p>
    <w:p w14:paraId="0BC09598" w14:textId="77777777" w:rsidR="00BE059F" w:rsidRPr="00362FDF" w:rsidRDefault="006A37FD">
      <w:pPr>
        <w:numPr>
          <w:ilvl w:val="1"/>
          <w:numId w:val="4"/>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Proporcionar la información que obre en los archivos y que le sea solicitada por la Unidad de Transparencia.</w:t>
      </w:r>
    </w:p>
    <w:p w14:paraId="763793AD" w14:textId="77777777" w:rsidR="00BE059F" w:rsidRPr="00362FDF" w:rsidRDefault="00BE059F">
      <w:pPr>
        <w:spacing w:line="360" w:lineRule="auto"/>
        <w:ind w:right="1"/>
        <w:jc w:val="both"/>
        <w:rPr>
          <w:rFonts w:ascii="Palatino Linotype" w:eastAsia="Palatino Linotype" w:hAnsi="Palatino Linotype" w:cs="Palatino Linotype"/>
        </w:rPr>
      </w:pPr>
    </w:p>
    <w:p w14:paraId="4D293B2C"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lastRenderedPageBreak/>
        <w:t xml:space="preserve">De tal manera que cada una de las áreas administrativas del </w:t>
      </w:r>
      <w:r w:rsidRPr="00362FDF">
        <w:rPr>
          <w:rFonts w:ascii="Palatino Linotype" w:eastAsia="Palatino Linotype" w:hAnsi="Palatino Linotype" w:cs="Palatino Linotype"/>
          <w:b/>
          <w:bCs/>
          <w:color w:val="000000"/>
        </w:rPr>
        <w:t>SUJETO OBLIGADO</w:t>
      </w:r>
      <w:r w:rsidRPr="00362FDF">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41CFF368" w14:textId="77777777" w:rsidR="00BE059F" w:rsidRPr="00362FDF" w:rsidRDefault="00BE059F">
      <w:pPr>
        <w:spacing w:line="360" w:lineRule="auto"/>
        <w:ind w:right="1"/>
        <w:jc w:val="both"/>
        <w:rPr>
          <w:rFonts w:ascii="Palatino Linotype" w:eastAsia="Palatino Linotype" w:hAnsi="Palatino Linotype" w:cs="Palatino Linotype"/>
        </w:rPr>
      </w:pPr>
    </w:p>
    <w:p w14:paraId="61B9B040"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6AB82A01" w14:textId="77777777" w:rsidR="00BE059F" w:rsidRPr="00362FDF" w:rsidRDefault="006A37FD">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b/>
          <w:bCs/>
          <w:i/>
          <w:iCs/>
          <w:color w:val="000000"/>
        </w:rPr>
        <w:t>“Artículo 53</w:t>
      </w:r>
      <w:r w:rsidRPr="00362FDF">
        <w:rPr>
          <w:rFonts w:ascii="Palatino Linotype" w:eastAsia="Palatino Linotype" w:hAnsi="Palatino Linotype" w:cs="Palatino Linotype"/>
          <w:i/>
          <w:iCs/>
          <w:color w:val="000000"/>
        </w:rPr>
        <w:t xml:space="preserve">. Las Unidades de Transparencia tendrán las siguientes funciones: </w:t>
      </w:r>
    </w:p>
    <w:p w14:paraId="36306379" w14:textId="77777777" w:rsidR="00BE059F" w:rsidRPr="00362FDF" w:rsidRDefault="00BE059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14:paraId="7964DD23"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2D849328"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362FDF">
        <w:rPr>
          <w:rFonts w:ascii="Palatino Linotype" w:eastAsia="Palatino Linotype" w:hAnsi="Palatino Linotype" w:cs="Palatino Linotype"/>
          <w:b/>
          <w:bCs/>
          <w:i/>
          <w:iCs/>
          <w:color w:val="000000"/>
        </w:rPr>
        <w:t xml:space="preserve">II. Recibir, tramitar y dar respuesta a las solicitudes de acceso a la información; </w:t>
      </w:r>
    </w:p>
    <w:p w14:paraId="520E40B8"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07D5AEDC"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362FDF">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2BA1E37F"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V. Entregar, en su caso, a los particulares la información solicitada; </w:t>
      </w:r>
    </w:p>
    <w:p w14:paraId="7CA1541A"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VI. Efectuar las notificaciones a los solicitantes; </w:t>
      </w:r>
    </w:p>
    <w:p w14:paraId="542468E6"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13D91859"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0A87CB2D"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362FDF">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168A43B5"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X. Presentar ante el Comité, el proyecto de clasificación de información; </w:t>
      </w:r>
    </w:p>
    <w:p w14:paraId="51543FBC"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lastRenderedPageBreak/>
        <w:t xml:space="preserve">XI. Promover e implementar políticas de transparencia proactiva procurando su accesibilidad; </w:t>
      </w:r>
    </w:p>
    <w:p w14:paraId="281DE5FE"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XII. Fomentar la transparencia y accesibilidad al interior del sujeto obligado; </w:t>
      </w:r>
    </w:p>
    <w:p w14:paraId="1E0CFAD2"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72FF10F2" w14:textId="77777777" w:rsidR="00BE059F" w:rsidRPr="00362FDF" w:rsidRDefault="006A37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3E39F8C5" w14:textId="77777777" w:rsidR="00BE059F" w:rsidRPr="00362FDF" w:rsidRDefault="006A37FD">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362FDF">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510963EC" w14:textId="77777777" w:rsidR="00BE059F" w:rsidRPr="00362FDF" w:rsidRDefault="00BE059F">
      <w:pPr>
        <w:spacing w:line="360" w:lineRule="auto"/>
        <w:ind w:right="1"/>
        <w:jc w:val="both"/>
        <w:rPr>
          <w:rFonts w:ascii="Palatino Linotype" w:eastAsia="Palatino Linotype" w:hAnsi="Palatino Linotype" w:cs="Palatino Linotype"/>
        </w:rPr>
      </w:pPr>
    </w:p>
    <w:p w14:paraId="704B4413"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De lo expuesto y con relación a lo solicitado, se tiene que, la Unidad de Transparencia es la encargada de </w:t>
      </w:r>
      <w:r w:rsidRPr="00362FDF">
        <w:rPr>
          <w:rFonts w:ascii="Palatino Linotype" w:eastAsia="Palatino Linotype" w:hAnsi="Palatino Linotype" w:cs="Palatino Linotype"/>
        </w:rPr>
        <w:t>recibir, tramitar y dar respuesta a las solicitudes de acceso a la información</w:t>
      </w:r>
      <w:r w:rsidRPr="00362FDF">
        <w:rPr>
          <w:rFonts w:ascii="Palatino Linotype" w:eastAsia="Palatino Linotype" w:hAnsi="Palatino Linotype" w:cs="Palatino Linotype"/>
          <w:color w:val="000000"/>
        </w:rPr>
        <w:t>.</w:t>
      </w:r>
    </w:p>
    <w:p w14:paraId="127F89F6" w14:textId="77777777" w:rsidR="00BE059F" w:rsidRPr="00362FDF" w:rsidRDefault="00BE059F">
      <w:pPr>
        <w:spacing w:line="360" w:lineRule="auto"/>
        <w:ind w:right="1"/>
        <w:jc w:val="both"/>
        <w:rPr>
          <w:rFonts w:ascii="Palatino Linotype" w:eastAsia="Palatino Linotype" w:hAnsi="Palatino Linotype" w:cs="Palatino Linotype"/>
        </w:rPr>
      </w:pPr>
    </w:p>
    <w:p w14:paraId="41DC5BFD" w14:textId="77777777" w:rsidR="00BE059F"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En este sentido, se reitera que existió un pronunciamiento por parte del </w:t>
      </w:r>
      <w:r w:rsidRPr="00362FDF">
        <w:rPr>
          <w:rFonts w:ascii="Palatino Linotype" w:eastAsia="Palatino Linotype" w:hAnsi="Palatino Linotype" w:cs="Palatino Linotype"/>
          <w:b/>
          <w:bCs/>
          <w:color w:val="000000"/>
        </w:rPr>
        <w:t>SUJETO OBLIGADO</w:t>
      </w:r>
      <w:r w:rsidRPr="00362FDF">
        <w:rPr>
          <w:rFonts w:ascii="Palatino Linotype" w:eastAsia="Palatino Linotype" w:hAnsi="Palatino Linotype" w:cs="Palatino Linotype"/>
          <w:color w:val="000000"/>
        </w:rPr>
        <w:t xml:space="preserve">, a través de la </w:t>
      </w:r>
      <w:r w:rsidRPr="00362FDF">
        <w:rPr>
          <w:rFonts w:ascii="Palatino Linotype" w:eastAsia="Palatino Linotype" w:hAnsi="Palatino Linotype" w:cs="Palatino Linotype"/>
          <w:b/>
          <w:bCs/>
          <w:color w:val="000000"/>
        </w:rPr>
        <w:t>Coordinadora de Recursos Humanos.</w:t>
      </w:r>
    </w:p>
    <w:p w14:paraId="3DC1C689" w14:textId="77777777" w:rsidR="00104E9F" w:rsidRPr="00362FDF" w:rsidRDefault="00104E9F" w:rsidP="00104E9F">
      <w:pPr>
        <w:spacing w:line="360" w:lineRule="auto"/>
        <w:ind w:right="1"/>
        <w:jc w:val="both"/>
        <w:rPr>
          <w:rFonts w:ascii="Palatino Linotype" w:eastAsia="Palatino Linotype" w:hAnsi="Palatino Linotype" w:cs="Palatino Linotype"/>
        </w:rPr>
      </w:pPr>
    </w:p>
    <w:p w14:paraId="4DEA5680" w14:textId="77777777" w:rsidR="00BE059F" w:rsidRPr="00362FDF" w:rsidRDefault="006A37FD">
      <w:pPr>
        <w:numPr>
          <w:ilvl w:val="0"/>
          <w:numId w:val="1"/>
        </w:numPr>
        <w:spacing w:line="360" w:lineRule="auto"/>
        <w:ind w:left="0" w:right="1" w:firstLine="0"/>
        <w:jc w:val="both"/>
        <w:rPr>
          <w:rFonts w:ascii="Palatino Linotype" w:eastAsia="Palatino Linotype" w:hAnsi="Palatino Linotype" w:cs="Palatino Linotype"/>
        </w:rPr>
      </w:pPr>
      <w:r w:rsidRPr="00362FDF">
        <w:rPr>
          <w:rFonts w:ascii="Palatino Linotype" w:eastAsia="Palatino Linotype" w:hAnsi="Palatino Linotype" w:cs="Palatino Linotype"/>
        </w:rPr>
        <w:t>En consecuencia,</w:t>
      </w:r>
      <w:r w:rsidRPr="00362FDF">
        <w:rPr>
          <w:rFonts w:ascii="Palatino Linotype" w:eastAsia="Palatino Linotype" w:hAnsi="Palatino Linotype" w:cs="Palatino Linotype"/>
          <w:b/>
          <w:bCs/>
        </w:rPr>
        <w:t xml:space="preserve"> </w:t>
      </w:r>
      <w:r w:rsidRPr="00362FDF">
        <w:rPr>
          <w:rFonts w:ascii="Palatino Linotype" w:eastAsia="Palatino Linotype" w:hAnsi="Palatino Linotype" w:cs="Palatino Linotype"/>
          <w:color w:val="000000"/>
        </w:rPr>
        <w:t xml:space="preserve">se presume que, </w:t>
      </w:r>
      <w:r w:rsidRPr="00362FDF">
        <w:rPr>
          <w:rFonts w:ascii="Palatino Linotype" w:eastAsia="Palatino Linotype" w:hAnsi="Palatino Linotype" w:cs="Palatino Linotype"/>
          <w:b/>
          <w:bCs/>
        </w:rPr>
        <w:t xml:space="preserve">al haber existido un pronunciamiento por parte del SUJETO OBLIGADO </w:t>
      </w:r>
      <w:r w:rsidR="00104E9F" w:rsidRPr="00362FDF">
        <w:rPr>
          <w:rFonts w:ascii="Palatino Linotype" w:eastAsia="Palatino Linotype" w:hAnsi="Palatino Linotype" w:cs="Palatino Linotype"/>
          <w:b/>
          <w:bCs/>
        </w:rPr>
        <w:t>y proporcionar mediante el Servidor Público Habilitado competente la información solicitada</w:t>
      </w:r>
      <w:r w:rsidRPr="00362FDF">
        <w:rPr>
          <w:rFonts w:ascii="Palatino Linotype" w:eastAsia="Palatino Linotype" w:hAnsi="Palatino Linotype" w:cs="Palatino Linotype"/>
          <w:b/>
          <w:bCs/>
        </w:rPr>
        <w:t>,</w:t>
      </w:r>
      <w:r w:rsidRPr="00362FDF">
        <w:rPr>
          <w:rFonts w:ascii="Palatino Linotype" w:eastAsia="Palatino Linotype" w:hAnsi="Palatino Linotype" w:cs="Palatino Linotype"/>
        </w:rPr>
        <w:t xml:space="preserve"> este Instituto no está facultado para manifestarse sobre la veracidad, pues no existe precepto legal alguno en la Ley de la materia que lo faculte para que, vía recurso de revisión, pueda pronunciarse al respecto.</w:t>
      </w:r>
    </w:p>
    <w:p w14:paraId="32055972" w14:textId="77777777" w:rsidR="00BE059F" w:rsidRPr="00362FDF" w:rsidRDefault="00BE059F">
      <w:pPr>
        <w:ind w:right="1"/>
        <w:rPr>
          <w:rFonts w:ascii="Palatino Linotype" w:eastAsia="Palatino Linotype" w:hAnsi="Palatino Linotype" w:cs="Palatino Linotype"/>
          <w:color w:val="000000"/>
        </w:rPr>
      </w:pPr>
    </w:p>
    <w:p w14:paraId="1245484D" w14:textId="77777777" w:rsidR="00104E9F" w:rsidRPr="00362FDF" w:rsidRDefault="00104E9F">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Cs/>
          <w:color w:val="000000"/>
        </w:rPr>
      </w:pPr>
      <w:r w:rsidRPr="00362FDF">
        <w:rPr>
          <w:rFonts w:ascii="Palatino Linotype" w:eastAsia="Palatino Linotype" w:hAnsi="Palatino Linotype" w:cs="Palatino Linotype"/>
          <w:bCs/>
          <w:color w:val="000000"/>
        </w:rPr>
        <w:lastRenderedPageBreak/>
        <w:t xml:space="preserve">No obstante, del análisis realizado a las documentales proporcionadas, se advierte que </w:t>
      </w:r>
      <w:r w:rsidRPr="00362FDF">
        <w:rPr>
          <w:rFonts w:ascii="Palatino Linotype" w:eastAsia="Palatino Linotype" w:hAnsi="Palatino Linotype" w:cs="Palatino Linotype"/>
          <w:b/>
          <w:bCs/>
          <w:color w:val="000000"/>
        </w:rPr>
        <w:t xml:space="preserve">se realizó una versión pública equivocada y excesiva, </w:t>
      </w:r>
      <w:r w:rsidRPr="00362FDF">
        <w:rPr>
          <w:rFonts w:ascii="Palatino Linotype" w:eastAsia="Palatino Linotype" w:hAnsi="Palatino Linotype" w:cs="Palatino Linotype"/>
          <w:bCs/>
          <w:color w:val="000000"/>
        </w:rPr>
        <w:t>ya que si bien se testaron datos personales susceptibles de ser clasificados como confidenciales, de manera enunciativa mas no limitativa,</w:t>
      </w:r>
      <w:r w:rsidRPr="00362FDF">
        <w:rPr>
          <w:rFonts w:ascii="Palatino Linotype" w:eastAsia="Palatino Linotype" w:hAnsi="Palatino Linotype" w:cs="Palatino Linotype"/>
          <w:b/>
          <w:bCs/>
          <w:color w:val="000000"/>
        </w:rPr>
        <w:t xml:space="preserve"> el </w:t>
      </w:r>
      <w:r w:rsidR="00237B14" w:rsidRPr="00362FDF">
        <w:rPr>
          <w:rFonts w:ascii="Palatino Linotype" w:eastAsia="Palatino Linotype" w:hAnsi="Palatino Linotype" w:cs="Palatino Linotype"/>
          <w:b/>
          <w:bCs/>
          <w:color w:val="000000"/>
        </w:rPr>
        <w:t>CURP, RFC, R. ISSEMYM, Deducciones Personales y el Código QR</w:t>
      </w:r>
      <w:r w:rsidRPr="00362FDF">
        <w:rPr>
          <w:rFonts w:ascii="Palatino Linotype" w:eastAsia="Palatino Linotype" w:hAnsi="Palatino Linotype" w:cs="Palatino Linotype"/>
          <w:b/>
          <w:bCs/>
          <w:color w:val="000000"/>
        </w:rPr>
        <w:t xml:space="preserve">; </w:t>
      </w:r>
      <w:r w:rsidRPr="00362FDF">
        <w:rPr>
          <w:rFonts w:ascii="Palatino Linotype" w:eastAsia="Palatino Linotype" w:hAnsi="Palatino Linotype" w:cs="Palatino Linotype"/>
          <w:bCs/>
          <w:color w:val="000000"/>
        </w:rPr>
        <w:t xml:space="preserve">también </w:t>
      </w:r>
      <w:r w:rsidR="006A37FD" w:rsidRPr="00362FDF">
        <w:rPr>
          <w:rFonts w:ascii="Palatino Linotype" w:eastAsia="Palatino Linotype" w:hAnsi="Palatino Linotype" w:cs="Palatino Linotype"/>
          <w:bCs/>
          <w:color w:val="000000"/>
        </w:rPr>
        <w:t xml:space="preserve">lo es que </w:t>
      </w:r>
      <w:r w:rsidRPr="00362FDF">
        <w:rPr>
          <w:rFonts w:ascii="Palatino Linotype" w:eastAsia="Palatino Linotype" w:hAnsi="Palatino Linotype" w:cs="Palatino Linotype"/>
          <w:bCs/>
          <w:color w:val="000000"/>
        </w:rPr>
        <w:t>se testaron datos de carácter público, como lo son</w:t>
      </w:r>
      <w:r w:rsidRPr="00362FDF">
        <w:rPr>
          <w:rFonts w:ascii="Palatino Linotype" w:eastAsia="Palatino Linotype" w:hAnsi="Palatino Linotype" w:cs="Palatino Linotype"/>
          <w:b/>
          <w:bCs/>
          <w:color w:val="000000"/>
        </w:rPr>
        <w:t xml:space="preserve"> la percepciones de los servidores públicos</w:t>
      </w:r>
      <w:r w:rsidR="006A37FD" w:rsidRPr="00362FDF">
        <w:rPr>
          <w:rFonts w:ascii="Palatino Linotype" w:eastAsia="Palatino Linotype" w:hAnsi="Palatino Linotype" w:cs="Palatino Linotype"/>
          <w:b/>
          <w:bCs/>
          <w:color w:val="000000"/>
        </w:rPr>
        <w:t xml:space="preserve"> y el nombre de personal de seguridad pública con mando medio y superior; </w:t>
      </w:r>
      <w:r w:rsidR="006A37FD" w:rsidRPr="00362FDF">
        <w:rPr>
          <w:rFonts w:ascii="Palatino Linotype" w:eastAsia="Palatino Linotype" w:hAnsi="Palatino Linotype" w:cs="Palatino Linotype"/>
          <w:bCs/>
          <w:color w:val="000000"/>
        </w:rPr>
        <w:t>al respecto se inserta el siguiente cuadro de análisis:</w:t>
      </w:r>
    </w:p>
    <w:p w14:paraId="06F37C4E" w14:textId="77777777" w:rsidR="00237B14" w:rsidRPr="00362FDF" w:rsidRDefault="00237B14" w:rsidP="00237B14">
      <w:pPr>
        <w:pBdr>
          <w:top w:val="nil"/>
          <w:left w:val="nil"/>
          <w:bottom w:val="nil"/>
          <w:right w:val="nil"/>
          <w:between w:val="nil"/>
        </w:pBdr>
        <w:spacing w:line="360" w:lineRule="auto"/>
        <w:ind w:right="1"/>
        <w:jc w:val="both"/>
        <w:rPr>
          <w:rFonts w:ascii="Palatino Linotype" w:eastAsia="Palatino Linotype" w:hAnsi="Palatino Linotype" w:cs="Palatino Linotype"/>
          <w:bCs/>
          <w:color w:val="000000"/>
        </w:rPr>
      </w:pPr>
    </w:p>
    <w:tbl>
      <w:tblPr>
        <w:tblStyle w:val="Tablaconcuadrcula"/>
        <w:tblW w:w="0" w:type="auto"/>
        <w:tblLook w:val="04A0" w:firstRow="1" w:lastRow="0" w:firstColumn="1" w:lastColumn="0" w:noHBand="0" w:noVBand="1"/>
      </w:tblPr>
      <w:tblGrid>
        <w:gridCol w:w="2108"/>
        <w:gridCol w:w="7776"/>
      </w:tblGrid>
      <w:tr w:rsidR="00237B14" w:rsidRPr="00362FDF" w14:paraId="5827B5D7" w14:textId="77777777" w:rsidTr="00237B14">
        <w:tc>
          <w:tcPr>
            <w:tcW w:w="2830" w:type="dxa"/>
            <w:shd w:val="clear" w:color="auto" w:fill="D9D9D9" w:themeFill="background1" w:themeFillShade="D9"/>
          </w:tcPr>
          <w:p w14:paraId="45F47701" w14:textId="77777777" w:rsidR="00237B14" w:rsidRPr="00362FDF" w:rsidRDefault="00237B14" w:rsidP="00237B14">
            <w:pPr>
              <w:spacing w:line="360" w:lineRule="auto"/>
              <w:ind w:right="1"/>
              <w:jc w:val="both"/>
              <w:rPr>
                <w:rFonts w:ascii="Palatino Linotype" w:eastAsia="Palatino Linotype" w:hAnsi="Palatino Linotype" w:cs="Palatino Linotype"/>
                <w:bCs/>
                <w:color w:val="000000"/>
              </w:rPr>
            </w:pPr>
            <w:r w:rsidRPr="00362FDF">
              <w:rPr>
                <w:rFonts w:ascii="Palatino Linotype" w:eastAsia="Palatino Linotype" w:hAnsi="Palatino Linotype" w:cs="Palatino Linotype"/>
                <w:b/>
                <w:bCs/>
                <w:color w:val="000000"/>
              </w:rPr>
              <w:t xml:space="preserve">CURP </w:t>
            </w:r>
          </w:p>
        </w:tc>
        <w:tc>
          <w:tcPr>
            <w:tcW w:w="6516" w:type="dxa"/>
          </w:tcPr>
          <w:p w14:paraId="4E8643D2" w14:textId="77777777" w:rsidR="00B81AC6" w:rsidRPr="00362FDF" w:rsidRDefault="00B81AC6" w:rsidP="00B81AC6">
            <w:pPr>
              <w:pStyle w:val="Prrafodelista"/>
              <w:pBdr>
                <w:top w:val="nil"/>
                <w:left w:val="nil"/>
                <w:bottom w:val="nil"/>
                <w:right w:val="nil"/>
                <w:between w:val="nil"/>
              </w:pBdr>
              <w:shd w:val="clear" w:color="auto" w:fill="FFFFFF"/>
              <w:spacing w:before="240" w:after="240"/>
              <w:ind w:left="0"/>
              <w:jc w:val="both"/>
              <w:rPr>
                <w:rFonts w:ascii="Palatino Linotype" w:eastAsia="Palatino Linotype" w:hAnsi="Palatino Linotype" w:cs="Palatino Linotype"/>
                <w:color w:val="222222"/>
                <w:sz w:val="24"/>
              </w:rPr>
            </w:pPr>
            <w:r w:rsidRPr="00362FDF">
              <w:rPr>
                <w:rFonts w:ascii="Palatino Linotype" w:eastAsia="Palatino Linotype" w:hAnsi="Palatino Linotype" w:cs="Palatino Linotype"/>
                <w:color w:val="000000"/>
                <w:sz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0FE49CB1" w14:textId="77777777" w:rsidR="00B81AC6" w:rsidRPr="00362FDF" w:rsidRDefault="00B81AC6" w:rsidP="00B81AC6">
            <w:pPr>
              <w:shd w:val="clear" w:color="auto" w:fill="FFFFFF"/>
              <w:spacing w:before="240" w:after="240"/>
              <w:jc w:val="center"/>
              <w:rPr>
                <w:rFonts w:ascii="Palatino Linotype" w:eastAsia="Palatino Linotype" w:hAnsi="Palatino Linotype" w:cs="Palatino Linotype"/>
                <w:color w:val="222222"/>
              </w:rPr>
            </w:pPr>
            <w:r w:rsidRPr="00362FDF">
              <w:rPr>
                <w:rFonts w:ascii="Palatino Linotype" w:hAnsi="Palatino Linotype"/>
                <w:noProof/>
              </w:rPr>
              <w:drawing>
                <wp:inline distT="0" distB="0" distL="0" distR="0" wp14:anchorId="70747703" wp14:editId="3F06A23B">
                  <wp:extent cx="2647950" cy="2619375"/>
                  <wp:effectExtent l="0" t="0" r="0" b="9525"/>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l="25747" t="8269" r="41253" b="18081"/>
                          <a:stretch>
                            <a:fillRect/>
                          </a:stretch>
                        </pic:blipFill>
                        <pic:spPr>
                          <a:xfrm>
                            <a:off x="0" y="0"/>
                            <a:ext cx="2647950" cy="2619375"/>
                          </a:xfrm>
                          <a:prstGeom prst="rect">
                            <a:avLst/>
                          </a:prstGeom>
                          <a:ln/>
                        </pic:spPr>
                      </pic:pic>
                    </a:graphicData>
                  </a:graphic>
                </wp:inline>
              </w:drawing>
            </w:r>
          </w:p>
          <w:p w14:paraId="505BFE21"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w:t>
            </w:r>
            <w:r w:rsidRPr="00362FDF">
              <w:rPr>
                <w:rFonts w:ascii="Palatino Linotype" w:eastAsia="Palatino Linotype" w:hAnsi="Palatino Linotype" w:cs="Palatino Linotype"/>
                <w:color w:val="000000"/>
              </w:rPr>
              <w:lastRenderedPageBreak/>
              <w:t xml:space="preserve">tiene la particularidad de asegurar una correspondencia entre claves y personas. </w:t>
            </w:r>
          </w:p>
          <w:p w14:paraId="74310AEE"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Entre las características de la CURP, se encuentra: </w:t>
            </w:r>
          </w:p>
          <w:p w14:paraId="187D4F97" w14:textId="77777777" w:rsidR="00B81AC6" w:rsidRPr="00362FDF" w:rsidRDefault="00B81AC6" w:rsidP="00B81AC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b/>
                <w:color w:val="000000"/>
              </w:rPr>
              <w:t xml:space="preserve">Composición. </w:t>
            </w:r>
            <w:r w:rsidRPr="00362FDF">
              <w:rPr>
                <w:rFonts w:ascii="Palatino Linotype" w:eastAsia="Palatino Linotype" w:hAnsi="Palatino Linotype" w:cs="Palatino Linotype"/>
                <w:color w:val="000000"/>
              </w:rPr>
              <w:t>Alfanumérica.</w:t>
            </w:r>
          </w:p>
          <w:p w14:paraId="1A63028A" w14:textId="77777777" w:rsidR="00B81AC6" w:rsidRPr="00362FDF" w:rsidRDefault="00B81AC6" w:rsidP="00B81AC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b/>
                <w:color w:val="000000"/>
              </w:rPr>
              <w:t xml:space="preserve">Longitud. </w:t>
            </w:r>
            <w:r w:rsidRPr="00362FDF">
              <w:rPr>
                <w:rFonts w:ascii="Palatino Linotype" w:eastAsia="Palatino Linotype" w:hAnsi="Palatino Linotype" w:cs="Palatino Linotype"/>
                <w:color w:val="000000"/>
              </w:rPr>
              <w:t xml:space="preserve"> 18 caracteres.</w:t>
            </w:r>
          </w:p>
          <w:p w14:paraId="636521D3" w14:textId="77777777" w:rsidR="00B81AC6" w:rsidRPr="00362FDF" w:rsidRDefault="00B81AC6" w:rsidP="00B81AC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b/>
                <w:color w:val="000000"/>
              </w:rPr>
              <w:t xml:space="preserve">Naturaleza. </w:t>
            </w:r>
            <w:r w:rsidRPr="00362FDF">
              <w:rPr>
                <w:rFonts w:ascii="Palatino Linotype" w:eastAsia="Palatino Linotype" w:hAnsi="Palatino Linotype" w:cs="Palatino Linotype"/>
                <w:color w:val="000000"/>
              </w:rPr>
              <w:t>Biunívoca.</w:t>
            </w:r>
          </w:p>
          <w:p w14:paraId="39CF969C" w14:textId="77777777" w:rsidR="00B81AC6" w:rsidRPr="00362FDF" w:rsidRDefault="00B81AC6" w:rsidP="00B81AC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b/>
                <w:color w:val="000000"/>
              </w:rPr>
              <w:t xml:space="preserve">Universalidad. </w:t>
            </w:r>
            <w:r w:rsidRPr="00362FDF">
              <w:rPr>
                <w:rFonts w:ascii="Palatino Linotype" w:eastAsia="Palatino Linotype" w:hAnsi="Palatino Linotype" w:cs="Palatino Linotype"/>
                <w:color w:val="000000"/>
              </w:rPr>
              <w:t>Se asigna a todas las personas que conforman la población.</w:t>
            </w:r>
          </w:p>
          <w:p w14:paraId="6BD1BB48" w14:textId="77777777" w:rsidR="00B81AC6" w:rsidRPr="00362FDF" w:rsidRDefault="00B81AC6" w:rsidP="00B81AC6">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b/>
                <w:color w:val="000000"/>
              </w:rPr>
            </w:pPr>
            <w:r w:rsidRPr="00362FDF">
              <w:rPr>
                <w:rFonts w:ascii="Palatino Linotype" w:eastAsia="Palatino Linotype" w:hAnsi="Palatino Linotype" w:cs="Palatino Linotype"/>
                <w:b/>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14:paraId="680AA679"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7BA170C1"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7B6FA587"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14:paraId="052E3158" w14:textId="77777777" w:rsidR="00237B14" w:rsidRPr="00362FDF" w:rsidRDefault="00B81AC6" w:rsidP="00B81AC6">
            <w:pPr>
              <w:pBdr>
                <w:top w:val="nil"/>
                <w:left w:val="nil"/>
                <w:bottom w:val="nil"/>
                <w:right w:val="nil"/>
                <w:between w:val="nil"/>
              </w:pBdr>
              <w:tabs>
                <w:tab w:val="left" w:pos="567"/>
              </w:tabs>
              <w:ind w:left="360" w:right="283"/>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i/>
                <w:color w:val="000000"/>
              </w:rPr>
              <w:lastRenderedPageBreak/>
              <w:t>“</w:t>
            </w:r>
            <w:r w:rsidRPr="00362FDF">
              <w:rPr>
                <w:rFonts w:ascii="Palatino Linotype" w:eastAsia="Palatino Linotype" w:hAnsi="Palatino Linotype" w:cs="Palatino Linotype"/>
                <w:b/>
                <w:i/>
                <w:color w:val="000000"/>
              </w:rPr>
              <w:t xml:space="preserve">Clave Única de Registro de Población (CURP). </w:t>
            </w:r>
            <w:r w:rsidRPr="00362FDF">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tc>
      </w:tr>
      <w:tr w:rsidR="00237B14" w:rsidRPr="00362FDF" w14:paraId="5C23F28F" w14:textId="77777777" w:rsidTr="00237B14">
        <w:tc>
          <w:tcPr>
            <w:tcW w:w="2830" w:type="dxa"/>
            <w:shd w:val="clear" w:color="auto" w:fill="D9D9D9" w:themeFill="background1" w:themeFillShade="D9"/>
          </w:tcPr>
          <w:p w14:paraId="0677CDC7" w14:textId="77777777" w:rsidR="00237B14" w:rsidRPr="00362FDF" w:rsidRDefault="00237B14" w:rsidP="00237B14">
            <w:pPr>
              <w:spacing w:line="360" w:lineRule="auto"/>
              <w:ind w:right="1"/>
              <w:jc w:val="both"/>
              <w:rPr>
                <w:rFonts w:ascii="Palatino Linotype" w:eastAsia="Palatino Linotype" w:hAnsi="Palatino Linotype" w:cs="Palatino Linotype"/>
                <w:bCs/>
                <w:color w:val="000000"/>
              </w:rPr>
            </w:pPr>
            <w:r w:rsidRPr="00362FDF">
              <w:rPr>
                <w:rFonts w:ascii="Palatino Linotype" w:eastAsia="Palatino Linotype" w:hAnsi="Palatino Linotype" w:cs="Palatino Linotype"/>
                <w:b/>
                <w:bCs/>
                <w:color w:val="000000"/>
              </w:rPr>
              <w:lastRenderedPageBreak/>
              <w:t>RFC</w:t>
            </w:r>
          </w:p>
        </w:tc>
        <w:tc>
          <w:tcPr>
            <w:tcW w:w="6516" w:type="dxa"/>
          </w:tcPr>
          <w:p w14:paraId="3D1E0883"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44394C6D"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6535CC55"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5BECD7CE"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281FEE80"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14:paraId="6C0D7738" w14:textId="77777777" w:rsidR="00B81AC6" w:rsidRPr="00362FDF" w:rsidRDefault="00B81AC6" w:rsidP="00B81AC6">
            <w:pPr>
              <w:pBdr>
                <w:top w:val="nil"/>
                <w:left w:val="nil"/>
                <w:bottom w:val="nil"/>
                <w:right w:val="nil"/>
                <w:between w:val="nil"/>
              </w:pBdr>
              <w:ind w:left="352" w:right="567"/>
              <w:jc w:val="both"/>
              <w:rPr>
                <w:rFonts w:ascii="Palatino Linotype" w:eastAsia="Palatino Linotype" w:hAnsi="Palatino Linotype" w:cs="Palatino Linotype"/>
                <w:b/>
                <w:i/>
                <w:color w:val="000000"/>
              </w:rPr>
            </w:pPr>
            <w:r w:rsidRPr="00362FDF">
              <w:rPr>
                <w:rFonts w:ascii="Palatino Linotype" w:eastAsia="Palatino Linotype" w:hAnsi="Palatino Linotype" w:cs="Palatino Linotype"/>
                <w:b/>
                <w:i/>
                <w:color w:val="000000"/>
              </w:rPr>
              <w:t xml:space="preserve">Registro Federal de Contribuyentes (RFC) de personas físicas. </w:t>
            </w:r>
          </w:p>
          <w:p w14:paraId="5BA38D90" w14:textId="77777777" w:rsidR="00B81AC6" w:rsidRPr="00362FDF" w:rsidRDefault="00B81AC6" w:rsidP="00B81AC6">
            <w:pPr>
              <w:pBdr>
                <w:top w:val="nil"/>
                <w:left w:val="nil"/>
                <w:bottom w:val="nil"/>
                <w:right w:val="nil"/>
                <w:between w:val="nil"/>
              </w:pBdr>
              <w:ind w:left="352" w:right="567"/>
              <w:jc w:val="both"/>
              <w:rPr>
                <w:rFonts w:ascii="Palatino Linotype" w:eastAsia="Palatino Linotype" w:hAnsi="Palatino Linotype" w:cs="Palatino Linotype"/>
                <w:i/>
                <w:color w:val="000000"/>
              </w:rPr>
            </w:pPr>
            <w:r w:rsidRPr="00362FDF">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2C7AAEA5" w14:textId="77777777" w:rsidR="00B81AC6" w:rsidRPr="00362FDF" w:rsidRDefault="00B81AC6" w:rsidP="00B81AC6">
            <w:pPr>
              <w:pBdr>
                <w:top w:val="nil"/>
                <w:left w:val="nil"/>
                <w:bottom w:val="nil"/>
                <w:right w:val="nil"/>
                <w:between w:val="nil"/>
              </w:pBdr>
              <w:ind w:right="567"/>
              <w:jc w:val="both"/>
              <w:rPr>
                <w:rFonts w:ascii="Palatino Linotype" w:eastAsia="Palatino Linotype" w:hAnsi="Palatino Linotype" w:cs="Palatino Linotype"/>
                <w:i/>
                <w:color w:val="000000"/>
              </w:rPr>
            </w:pPr>
          </w:p>
          <w:p w14:paraId="798AC7E7" w14:textId="77777777" w:rsidR="00237B14" w:rsidRPr="00362FDF" w:rsidRDefault="00B81AC6" w:rsidP="00B81AC6">
            <w:pPr>
              <w:pBdr>
                <w:top w:val="nil"/>
                <w:left w:val="nil"/>
                <w:bottom w:val="nil"/>
                <w:right w:val="nil"/>
                <w:between w:val="nil"/>
              </w:pBdr>
              <w:jc w:val="both"/>
              <w:rPr>
                <w:rFonts w:ascii="Palatino Linotype" w:eastAsia="Palatino Linotype" w:hAnsi="Palatino Linotype" w:cs="Palatino Linotype"/>
                <w:i/>
                <w:color w:val="000000"/>
              </w:rPr>
            </w:pPr>
            <w:r w:rsidRPr="00362FDF">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362FDF">
              <w:rPr>
                <w:rFonts w:ascii="Palatino Linotype" w:eastAsia="Palatino Linotype" w:hAnsi="Palatino Linotype" w:cs="Palatino Linotype"/>
                <w:color w:val="000000"/>
              </w:rPr>
              <w:t>, así como tampoco con el desempeño laboral que pueda tener una persona.</w:t>
            </w:r>
          </w:p>
        </w:tc>
      </w:tr>
      <w:tr w:rsidR="00237B14" w:rsidRPr="00362FDF" w14:paraId="04D55BC1" w14:textId="77777777" w:rsidTr="00237B14">
        <w:tc>
          <w:tcPr>
            <w:tcW w:w="2830" w:type="dxa"/>
            <w:shd w:val="clear" w:color="auto" w:fill="D9D9D9" w:themeFill="background1" w:themeFillShade="D9"/>
          </w:tcPr>
          <w:p w14:paraId="6A1D4BB6" w14:textId="77777777" w:rsidR="00237B14" w:rsidRPr="00362FDF" w:rsidRDefault="00237B14" w:rsidP="00237B14">
            <w:pPr>
              <w:spacing w:line="360" w:lineRule="auto"/>
              <w:ind w:right="1"/>
              <w:jc w:val="both"/>
              <w:rPr>
                <w:rFonts w:ascii="Palatino Linotype" w:eastAsia="Palatino Linotype" w:hAnsi="Palatino Linotype" w:cs="Palatino Linotype"/>
                <w:bCs/>
                <w:color w:val="000000"/>
              </w:rPr>
            </w:pPr>
            <w:r w:rsidRPr="00362FDF">
              <w:rPr>
                <w:rFonts w:ascii="Palatino Linotype" w:eastAsia="Palatino Linotype" w:hAnsi="Palatino Linotype" w:cs="Palatino Linotype"/>
                <w:b/>
                <w:bCs/>
                <w:color w:val="000000"/>
              </w:rPr>
              <w:lastRenderedPageBreak/>
              <w:t>R. ISSEMYM</w:t>
            </w:r>
          </w:p>
        </w:tc>
        <w:tc>
          <w:tcPr>
            <w:tcW w:w="6516" w:type="dxa"/>
          </w:tcPr>
          <w:p w14:paraId="00EE7750"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5763E4A5"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2E476AB5" w14:textId="77777777" w:rsidR="00237B14" w:rsidRPr="00362FDF" w:rsidRDefault="00B81AC6" w:rsidP="00B81AC6">
            <w:pPr>
              <w:ind w:right="1"/>
              <w:jc w:val="both"/>
              <w:rPr>
                <w:rFonts w:ascii="Palatino Linotype" w:eastAsia="Palatino Linotype" w:hAnsi="Palatino Linotype" w:cs="Palatino Linotype"/>
                <w:bCs/>
                <w:color w:val="000000"/>
              </w:rPr>
            </w:pPr>
            <w:r w:rsidRPr="00362FDF">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w:t>
            </w:r>
            <w:r w:rsidRPr="00362FDF">
              <w:rPr>
                <w:rFonts w:ascii="Palatino Linotype" w:eastAsia="Palatino Linotype" w:hAnsi="Palatino Linotype" w:cs="Palatino Linotype"/>
                <w:color w:val="000000"/>
              </w:rPr>
              <w:lastRenderedPageBreak/>
              <w:t>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tc>
      </w:tr>
      <w:tr w:rsidR="00237B14" w:rsidRPr="00362FDF" w14:paraId="199C9886" w14:textId="77777777" w:rsidTr="00237B14">
        <w:tc>
          <w:tcPr>
            <w:tcW w:w="2830" w:type="dxa"/>
            <w:shd w:val="clear" w:color="auto" w:fill="D9D9D9" w:themeFill="background1" w:themeFillShade="D9"/>
          </w:tcPr>
          <w:p w14:paraId="082D9EDC" w14:textId="77777777" w:rsidR="00237B14" w:rsidRPr="00362FDF" w:rsidRDefault="00237B14" w:rsidP="00237B14">
            <w:pPr>
              <w:spacing w:line="360" w:lineRule="auto"/>
              <w:ind w:right="1"/>
              <w:jc w:val="both"/>
              <w:rPr>
                <w:rFonts w:ascii="Palatino Linotype" w:eastAsia="Palatino Linotype" w:hAnsi="Palatino Linotype" w:cs="Palatino Linotype"/>
                <w:b/>
                <w:bCs/>
                <w:color w:val="000000"/>
              </w:rPr>
            </w:pPr>
            <w:r w:rsidRPr="00362FDF">
              <w:rPr>
                <w:rFonts w:ascii="Palatino Linotype" w:eastAsia="Palatino Linotype" w:hAnsi="Palatino Linotype" w:cs="Palatino Linotype"/>
                <w:b/>
                <w:bCs/>
                <w:color w:val="000000"/>
              </w:rPr>
              <w:lastRenderedPageBreak/>
              <w:t xml:space="preserve">Deducciones Personales </w:t>
            </w:r>
          </w:p>
        </w:tc>
        <w:tc>
          <w:tcPr>
            <w:tcW w:w="6516" w:type="dxa"/>
          </w:tcPr>
          <w:p w14:paraId="593403AF"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bCs/>
                <w:color w:val="000000"/>
              </w:rPr>
              <w:t xml:space="preserve">Se precisa que </w:t>
            </w:r>
            <w:r w:rsidRPr="00362FDF">
              <w:rPr>
                <w:rFonts w:ascii="Palatino Linotype" w:eastAsia="Palatino Linotype" w:hAnsi="Palatino Linotype" w:cs="Palatino Linotype"/>
                <w:color w:val="000000"/>
              </w:rPr>
              <w:t xml:space="preserve">existen deducciones que se generan con motivo de una decisión libre y voluntaria de los servidores públicos, como son: créditos personales, </w:t>
            </w:r>
            <w:r w:rsidRPr="00362FDF">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362FDF">
              <w:rPr>
                <w:rFonts w:ascii="Palatino Linotype" w:eastAsia="Palatino Linotype" w:hAnsi="Palatino Linotype" w:cs="Palatino Linotype"/>
                <w:color w:val="000000"/>
              </w:rPr>
              <w:t>, seguro de vida, accidentes y enfermedades.</w:t>
            </w:r>
          </w:p>
          <w:p w14:paraId="3B7E3F65"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14:paraId="7552D1F7" w14:textId="77777777" w:rsidR="00B81AC6" w:rsidRPr="00362FDF" w:rsidRDefault="00B81AC6" w:rsidP="00B81AC6">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054DED7D" w14:textId="77777777" w:rsidR="00237B14" w:rsidRPr="00362FDF" w:rsidRDefault="00B81AC6" w:rsidP="00B81AC6">
            <w:pPr>
              <w:ind w:right="1"/>
              <w:jc w:val="both"/>
              <w:rPr>
                <w:rFonts w:ascii="Palatino Linotype" w:eastAsia="Palatino Linotype" w:hAnsi="Palatino Linotype" w:cs="Palatino Linotype"/>
                <w:bCs/>
                <w:color w:val="000000"/>
              </w:rPr>
            </w:pPr>
            <w:bookmarkStart w:id="9" w:name="_heading=h.1ksv4uv" w:colFirst="0" w:colLast="0"/>
            <w:bookmarkEnd w:id="9"/>
            <w:r w:rsidRPr="00362FDF">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tc>
      </w:tr>
      <w:tr w:rsidR="00237B14" w:rsidRPr="00362FDF" w14:paraId="79265816" w14:textId="77777777" w:rsidTr="00237B14">
        <w:tc>
          <w:tcPr>
            <w:tcW w:w="2830" w:type="dxa"/>
            <w:shd w:val="clear" w:color="auto" w:fill="D9D9D9" w:themeFill="background1" w:themeFillShade="D9"/>
          </w:tcPr>
          <w:p w14:paraId="2794046E" w14:textId="77777777" w:rsidR="00237B14" w:rsidRPr="00362FDF" w:rsidRDefault="00237B14" w:rsidP="00237B14">
            <w:pPr>
              <w:spacing w:line="360" w:lineRule="auto"/>
              <w:ind w:right="1"/>
              <w:jc w:val="both"/>
              <w:rPr>
                <w:rFonts w:ascii="Palatino Linotype" w:eastAsia="Palatino Linotype" w:hAnsi="Palatino Linotype" w:cs="Palatino Linotype"/>
                <w:b/>
                <w:bCs/>
                <w:color w:val="000000"/>
              </w:rPr>
            </w:pPr>
            <w:r w:rsidRPr="00362FDF">
              <w:rPr>
                <w:rFonts w:ascii="Palatino Linotype" w:eastAsia="Palatino Linotype" w:hAnsi="Palatino Linotype" w:cs="Palatino Linotype"/>
                <w:b/>
                <w:bCs/>
                <w:color w:val="000000"/>
              </w:rPr>
              <w:t>Código QR</w:t>
            </w:r>
          </w:p>
        </w:tc>
        <w:tc>
          <w:tcPr>
            <w:tcW w:w="6516" w:type="dxa"/>
          </w:tcPr>
          <w:p w14:paraId="747AA8D4" w14:textId="77777777" w:rsidR="00237B14" w:rsidRPr="00362FDF" w:rsidRDefault="00237B14" w:rsidP="00CF5F7C">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 xml:space="preserve">Resulta necesario señalar que los comprobantes fiscales digitales por Internet, deben de incluir un código bidimensional conforme al formato </w:t>
            </w:r>
            <w:r w:rsidRPr="00362FDF">
              <w:rPr>
                <w:rFonts w:ascii="Palatino Linotype" w:eastAsia="Palatino Linotype" w:hAnsi="Palatino Linotype" w:cs="Palatino Linotype"/>
                <w:i/>
                <w:color w:val="000000"/>
              </w:rPr>
              <w:t>QR Code (Quick Response Code)</w:t>
            </w:r>
            <w:r w:rsidRPr="00362FDF">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1">
              <w:r w:rsidRPr="00362FDF">
                <w:rPr>
                  <w:rFonts w:ascii="Palatino Linotype" w:eastAsia="Palatino Linotype" w:hAnsi="Palatino Linotype" w:cs="Palatino Linotype"/>
                  <w:color w:val="0563C1"/>
                  <w:u w:val="single"/>
                </w:rPr>
                <w:t>http://dof.gob.mx/nota_detalle.php?codigo=5492254&amp;fecha=28/07/2017</w:t>
              </w:r>
            </w:hyperlink>
            <w:r w:rsidRPr="00362FDF">
              <w:rPr>
                <w:rFonts w:ascii="Palatino Linotype" w:eastAsia="Palatino Linotype" w:hAnsi="Palatino Linotype" w:cs="Palatino Linotype"/>
                <w:color w:val="000000"/>
              </w:rPr>
              <w:t xml:space="preserve">. Incluso con la captura de dicho código, a través de la aplicación móvil del Servicio de Administración Tributaria, permite el acceso al Registro </w:t>
            </w:r>
            <w:r w:rsidRPr="00362FDF">
              <w:rPr>
                <w:rFonts w:ascii="Palatino Linotype" w:eastAsia="Palatino Linotype" w:hAnsi="Palatino Linotype" w:cs="Palatino Linotype"/>
                <w:color w:val="000000"/>
              </w:rPr>
              <w:lastRenderedPageBreak/>
              <w:t>Federal de Contribuyentes, como del Sujeto Obligado, como de los servidores públicos.</w:t>
            </w:r>
          </w:p>
          <w:p w14:paraId="20ABC80D" w14:textId="77777777" w:rsidR="00237B14" w:rsidRPr="00362FDF" w:rsidRDefault="00237B14" w:rsidP="00CF5F7C">
            <w:pPr>
              <w:shd w:val="clear" w:color="auto" w:fill="FFFFFF"/>
              <w:spacing w:before="240" w:after="240"/>
              <w:jc w:val="both"/>
              <w:rPr>
                <w:rFonts w:ascii="Palatino Linotype" w:eastAsia="Palatino Linotype" w:hAnsi="Palatino Linotype" w:cs="Palatino Linotype"/>
                <w:color w:val="222222"/>
              </w:rPr>
            </w:pPr>
            <w:r w:rsidRPr="00362FDF">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tc>
      </w:tr>
      <w:tr w:rsidR="00B81AC6" w:rsidRPr="00362FDF" w14:paraId="404581F0" w14:textId="77777777" w:rsidTr="00237B14">
        <w:tc>
          <w:tcPr>
            <w:tcW w:w="2830" w:type="dxa"/>
            <w:shd w:val="clear" w:color="auto" w:fill="D9D9D9" w:themeFill="background1" w:themeFillShade="D9"/>
          </w:tcPr>
          <w:p w14:paraId="4F0E3B21" w14:textId="77777777" w:rsidR="00B81AC6" w:rsidRPr="00362FDF" w:rsidRDefault="00CF5F7C" w:rsidP="00B81AC6">
            <w:pPr>
              <w:spacing w:line="360" w:lineRule="auto"/>
              <w:ind w:right="1"/>
              <w:jc w:val="both"/>
              <w:rPr>
                <w:rFonts w:ascii="Palatino Linotype" w:eastAsia="Palatino Linotype" w:hAnsi="Palatino Linotype" w:cs="Palatino Linotype"/>
                <w:b/>
                <w:bCs/>
                <w:color w:val="000000"/>
              </w:rPr>
            </w:pPr>
            <w:r w:rsidRPr="00362FDF">
              <w:rPr>
                <w:rFonts w:ascii="Palatino Linotype" w:eastAsia="Palatino Linotype" w:hAnsi="Palatino Linotype" w:cs="Palatino Linotype"/>
                <w:b/>
                <w:bCs/>
                <w:color w:val="000000"/>
              </w:rPr>
              <w:lastRenderedPageBreak/>
              <w:t>P</w:t>
            </w:r>
            <w:r w:rsidR="00B81AC6" w:rsidRPr="00362FDF">
              <w:rPr>
                <w:rFonts w:ascii="Palatino Linotype" w:eastAsia="Palatino Linotype" w:hAnsi="Palatino Linotype" w:cs="Palatino Linotype"/>
                <w:b/>
                <w:bCs/>
                <w:color w:val="000000"/>
              </w:rPr>
              <w:t>ercepciones de los servidores públicos</w:t>
            </w:r>
          </w:p>
        </w:tc>
        <w:tc>
          <w:tcPr>
            <w:tcW w:w="6516" w:type="dxa"/>
          </w:tcPr>
          <w:p w14:paraId="6FFF33A2" w14:textId="77777777" w:rsidR="00CF5F7C" w:rsidRPr="00362FDF" w:rsidRDefault="00CF5F7C" w:rsidP="00CF5F7C">
            <w:pPr>
              <w:shd w:val="clear" w:color="auto" w:fill="FFFFFF"/>
              <w:spacing w:before="240" w:after="24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Resulta conveniente señalar que, </w:t>
            </w:r>
            <w:r w:rsidRPr="00362FDF">
              <w:rPr>
                <w:rFonts w:ascii="Palatino Linotype" w:hAnsi="Palatino Linotype" w:cs="Arial"/>
              </w:rPr>
              <w:t xml:space="preserve">el artículo 147 de la </w:t>
            </w:r>
            <w:r w:rsidRPr="00362FDF">
              <w:rPr>
                <w:rFonts w:ascii="Palatino Linotype" w:hAnsi="Palatino Linotype" w:cs="Arial"/>
                <w:b/>
              </w:rPr>
              <w:t>Constitución Política del Estado Libre y Soberano de México</w:t>
            </w:r>
            <w:r w:rsidRPr="00362FDF">
              <w:rPr>
                <w:rFonts w:ascii="Palatino Linotype" w:hAnsi="Palatino Linotype" w:cs="Arial"/>
              </w:rPr>
              <w:t xml:space="preserve"> dispone en lo relativo a las remuneraciones de los servidores públicos estatales y municipales lo siguiente:</w:t>
            </w:r>
          </w:p>
          <w:p w14:paraId="2C6CB51B" w14:textId="77777777" w:rsidR="00CF5F7C" w:rsidRPr="00362FDF" w:rsidRDefault="00CF5F7C" w:rsidP="00CF5F7C">
            <w:pPr>
              <w:ind w:left="352" w:right="283"/>
              <w:jc w:val="both"/>
              <w:rPr>
                <w:rFonts w:ascii="Palatino Linotype" w:hAnsi="Palatino Linotype"/>
                <w:i/>
              </w:rPr>
            </w:pPr>
            <w:r w:rsidRPr="00362FDF">
              <w:rPr>
                <w:rFonts w:ascii="Palatino Linotype" w:hAnsi="Palatino Linotype"/>
                <w:b/>
                <w:i/>
              </w:rPr>
              <w:t>Artículo 147</w:t>
            </w:r>
            <w:r w:rsidRPr="00362FDF">
              <w:rPr>
                <w:rFonts w:ascii="Palatino Linotype" w:hAnsi="Palatino Linotype"/>
                <w:i/>
              </w:rPr>
              <w:t xml:space="preserve">.- El Gobernador, los diputados, los magistrados de los Tribunales Superior de Justicia y de lo Contencioso Administrativo, los miembros del Consejo de la Judicatura, los trabajadores al servicio del Estado, los integrantes y servidores de los organismos autónomos, así como </w:t>
            </w:r>
            <w:r w:rsidRPr="00362FDF">
              <w:rPr>
                <w:rFonts w:ascii="Palatino Linotype" w:hAnsi="Palatino Linotype"/>
                <w:b/>
                <w:i/>
                <w:u w:val="single"/>
              </w:rPr>
              <w:t>los miembros de los ayuntamientos</w:t>
            </w:r>
            <w:r w:rsidRPr="00362FDF">
              <w:rPr>
                <w:rFonts w:ascii="Palatino Linotype" w:hAnsi="Palatino Linotype"/>
                <w:i/>
              </w:rPr>
              <w:t xml:space="preserve"> y demás servidores públicos municipales recibirán una retribución adecuada e irrenunciable por el desempeño de su empleo, cargo o comisión, que será determinada </w:t>
            </w:r>
            <w:r w:rsidRPr="00362FDF">
              <w:rPr>
                <w:rFonts w:ascii="Palatino Linotype" w:hAnsi="Palatino Linotype"/>
                <w:b/>
                <w:i/>
                <w:u w:val="single"/>
              </w:rPr>
              <w:t>en el presupuesto de egresos</w:t>
            </w:r>
            <w:r w:rsidRPr="00362FDF">
              <w:rPr>
                <w:rFonts w:ascii="Palatino Linotype" w:hAnsi="Palatino Linotype"/>
                <w:i/>
              </w:rPr>
              <w:t xml:space="preserve"> que corresponda. </w:t>
            </w:r>
            <w:r w:rsidRPr="00362FDF">
              <w:rPr>
                <w:rFonts w:ascii="Palatino Linotype" w:hAnsi="Palatino Linotype"/>
                <w:b/>
                <w:i/>
              </w:rPr>
              <w:t>Las remuneraciones</w:t>
            </w:r>
            <w:r w:rsidRPr="00362FDF">
              <w:rPr>
                <w:rFonts w:ascii="Palatino Linotype" w:hAnsi="Palatino Linotype"/>
                <w:i/>
              </w:rPr>
              <w:t xml:space="preserve">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r w:rsidRPr="00362FDF">
              <w:rPr>
                <w:rFonts w:ascii="Palatino Linotype" w:hAnsi="Palatino Linotype"/>
                <w:b/>
                <w:i/>
              </w:rPr>
              <w:t>La remuneración será determinada anual y equitativamente</w:t>
            </w:r>
            <w:r w:rsidRPr="00362FDF">
              <w:rPr>
                <w:rFonts w:ascii="Palatino Linotype" w:hAnsi="Palatino Linotype"/>
                <w:i/>
              </w:rPr>
              <w:t xml:space="preserve"> en el Presupuesto de Egresos correspondiente bajo las bases siguientes: </w:t>
            </w:r>
          </w:p>
          <w:p w14:paraId="616C8BF9" w14:textId="77777777" w:rsidR="00CF5F7C" w:rsidRPr="00362FDF" w:rsidRDefault="00CF5F7C" w:rsidP="00CF5F7C">
            <w:pPr>
              <w:pStyle w:val="Prrafodelista"/>
              <w:ind w:left="352" w:right="283"/>
              <w:jc w:val="both"/>
              <w:rPr>
                <w:rFonts w:ascii="Palatino Linotype" w:hAnsi="Palatino Linotype"/>
                <w:i/>
                <w:sz w:val="24"/>
              </w:rPr>
            </w:pPr>
            <w:r w:rsidRPr="00362FDF">
              <w:rPr>
                <w:rFonts w:ascii="Palatino Linotype" w:hAnsi="Palatino Linotype"/>
                <w:i/>
                <w:sz w:val="24"/>
              </w:rPr>
              <w:t xml:space="preserve">Se considera remuneración o retribución toda percepción en efectivo o en especie, con excepción de los apoyos y los gastos sujetos a comprobación que sean propios del desarrollo del trabajo y los gastos de viaje en actividades oficiales; </w:t>
            </w:r>
          </w:p>
          <w:p w14:paraId="1C42AE05" w14:textId="77777777" w:rsidR="00CF5F7C" w:rsidRPr="00362FDF" w:rsidRDefault="00CF5F7C" w:rsidP="00CF5F7C">
            <w:pPr>
              <w:pStyle w:val="Prrafodelista"/>
              <w:ind w:left="352" w:right="283"/>
              <w:jc w:val="both"/>
              <w:rPr>
                <w:rFonts w:ascii="Palatino Linotype" w:hAnsi="Palatino Linotype" w:cs="Arial"/>
                <w:bCs/>
                <w:i/>
                <w:sz w:val="24"/>
              </w:rPr>
            </w:pPr>
            <w:r w:rsidRPr="00362FDF">
              <w:rPr>
                <w:rFonts w:ascii="Palatino Linotype" w:hAnsi="Palatino Linotype" w:cs="Arial"/>
                <w:bCs/>
                <w:i/>
                <w:sz w:val="24"/>
              </w:rPr>
              <w:t>(…)</w:t>
            </w:r>
          </w:p>
          <w:p w14:paraId="451AB222" w14:textId="77777777" w:rsidR="00CF5F7C" w:rsidRPr="00362FDF" w:rsidRDefault="00CF5F7C" w:rsidP="00CF5F7C">
            <w:pPr>
              <w:pStyle w:val="Prrafodelista"/>
              <w:ind w:left="352" w:right="283"/>
              <w:rPr>
                <w:rFonts w:ascii="Palatino Linotype" w:hAnsi="Palatino Linotype" w:cs="Arial"/>
                <w:bCs/>
                <w:i/>
                <w:sz w:val="24"/>
              </w:rPr>
            </w:pPr>
            <w:r w:rsidRPr="00362FDF">
              <w:rPr>
                <w:rFonts w:ascii="Palatino Linotype" w:hAnsi="Palatino Linotype"/>
                <w:i/>
                <w:sz w:val="24"/>
              </w:rPr>
              <w:lastRenderedPageBreak/>
              <w:t xml:space="preserve">V. Las remuneraciones y sus tabuladores </w:t>
            </w:r>
            <w:r w:rsidRPr="00362FDF">
              <w:rPr>
                <w:rFonts w:ascii="Palatino Linotype" w:hAnsi="Palatino Linotype"/>
                <w:b/>
                <w:i/>
                <w:sz w:val="24"/>
              </w:rPr>
              <w:t>serán públicos</w:t>
            </w:r>
            <w:r w:rsidRPr="00362FDF">
              <w:rPr>
                <w:rFonts w:ascii="Palatino Linotype" w:hAnsi="Palatino Linotype"/>
                <w:i/>
                <w:sz w:val="24"/>
              </w:rPr>
              <w:t>, y deberán especificar y diferenciar la totalidad de sus elementos fijos y variables tanto en efectivo como en especie.</w:t>
            </w:r>
          </w:p>
          <w:p w14:paraId="2C30A4A9" w14:textId="77777777" w:rsidR="00CF5F7C" w:rsidRPr="00362FDF" w:rsidRDefault="00CF5F7C" w:rsidP="00CF5F7C">
            <w:pPr>
              <w:pStyle w:val="Prrafodelista"/>
              <w:ind w:left="851"/>
              <w:jc w:val="both"/>
              <w:rPr>
                <w:rFonts w:ascii="Palatino Linotype" w:hAnsi="Palatino Linotype" w:cs="Arial"/>
                <w:sz w:val="24"/>
              </w:rPr>
            </w:pPr>
          </w:p>
          <w:p w14:paraId="6129A6DB" w14:textId="77777777" w:rsidR="00CF5F7C" w:rsidRPr="00362FDF" w:rsidRDefault="00CF5F7C" w:rsidP="00CF5F7C">
            <w:pPr>
              <w:pStyle w:val="Prrafodelista"/>
              <w:ind w:left="0"/>
              <w:jc w:val="both"/>
              <w:rPr>
                <w:rFonts w:ascii="Palatino Linotype" w:hAnsi="Palatino Linotype" w:cs="Arial"/>
                <w:sz w:val="24"/>
              </w:rPr>
            </w:pPr>
            <w:r w:rsidRPr="00362FDF">
              <w:rPr>
                <w:rFonts w:ascii="Palatino Linotype" w:hAnsi="Palatino Linotype" w:cs="Arial"/>
                <w:bCs/>
                <w:sz w:val="24"/>
              </w:rPr>
              <w:t xml:space="preserve">Al respecto, el </w:t>
            </w:r>
            <w:r w:rsidRPr="00362FDF">
              <w:rPr>
                <w:rFonts w:ascii="Palatino Linotype" w:hAnsi="Palatino Linotype" w:cs="Arial"/>
                <w:sz w:val="24"/>
              </w:rPr>
              <w:t xml:space="preserve">artículo 3, fracción XXXII del </w:t>
            </w:r>
            <w:r w:rsidRPr="00362FDF">
              <w:rPr>
                <w:rFonts w:ascii="Palatino Linotype" w:hAnsi="Palatino Linotype" w:cs="Arial"/>
                <w:b/>
                <w:sz w:val="24"/>
              </w:rPr>
              <w:t xml:space="preserve">Código Financiero del Estado de México y Municipios </w:t>
            </w:r>
            <w:r w:rsidRPr="00362FDF">
              <w:rPr>
                <w:rFonts w:ascii="Palatino Linotype" w:hAnsi="Palatino Linotype" w:cs="Arial"/>
                <w:sz w:val="24"/>
              </w:rPr>
              <w:t>establece lo siguiente:</w:t>
            </w:r>
          </w:p>
          <w:p w14:paraId="15F319FF" w14:textId="77777777" w:rsidR="00CF5F7C" w:rsidRPr="00362FDF" w:rsidRDefault="00CF5F7C" w:rsidP="00CF5F7C">
            <w:pPr>
              <w:pStyle w:val="Prrafodelista"/>
              <w:ind w:left="567" w:right="567"/>
              <w:jc w:val="both"/>
              <w:rPr>
                <w:rFonts w:ascii="Palatino Linotype" w:hAnsi="Palatino Linotype" w:cs="Arial"/>
                <w:sz w:val="24"/>
              </w:rPr>
            </w:pPr>
          </w:p>
          <w:p w14:paraId="2A38F779" w14:textId="77777777" w:rsidR="00CF5F7C" w:rsidRPr="00362FDF" w:rsidRDefault="00CF5F7C" w:rsidP="00CF5F7C">
            <w:pPr>
              <w:pStyle w:val="Prrafodelista"/>
              <w:ind w:left="352" w:right="283"/>
              <w:jc w:val="both"/>
              <w:rPr>
                <w:rFonts w:ascii="Palatino Linotype" w:hAnsi="Palatino Linotype" w:cs="Arial"/>
                <w:bCs/>
                <w:i/>
                <w:sz w:val="24"/>
              </w:rPr>
            </w:pPr>
            <w:r w:rsidRPr="00362FDF">
              <w:rPr>
                <w:rFonts w:ascii="Palatino Linotype" w:hAnsi="Palatino Linotype" w:cs="Arial"/>
                <w:b/>
                <w:bCs/>
                <w:i/>
                <w:sz w:val="24"/>
              </w:rPr>
              <w:t>Artículo 3.-</w:t>
            </w:r>
            <w:r w:rsidRPr="00362FDF">
              <w:rPr>
                <w:rFonts w:ascii="Palatino Linotype" w:hAnsi="Palatino Linotype" w:cs="Arial"/>
                <w:bCs/>
                <w:i/>
                <w:sz w:val="24"/>
              </w:rPr>
              <w:t xml:space="preserve"> Para efectos de este Código, Ley de Ingresos del Estado y del Presupuesto de Egresos se entenderá por:</w:t>
            </w:r>
          </w:p>
          <w:p w14:paraId="667A9A65" w14:textId="77777777" w:rsidR="00CF5F7C" w:rsidRPr="00362FDF" w:rsidRDefault="00CF5F7C" w:rsidP="00CF5F7C">
            <w:pPr>
              <w:pStyle w:val="Prrafodelista"/>
              <w:ind w:left="352" w:right="283"/>
              <w:jc w:val="both"/>
              <w:rPr>
                <w:rFonts w:ascii="Palatino Linotype" w:hAnsi="Palatino Linotype" w:cs="Arial"/>
                <w:bCs/>
                <w:i/>
                <w:sz w:val="24"/>
              </w:rPr>
            </w:pPr>
            <w:r w:rsidRPr="00362FDF">
              <w:rPr>
                <w:rFonts w:ascii="Palatino Linotype" w:hAnsi="Palatino Linotype" w:cs="Arial"/>
                <w:bCs/>
                <w:i/>
                <w:sz w:val="24"/>
              </w:rPr>
              <w:t>(…)</w:t>
            </w:r>
          </w:p>
          <w:p w14:paraId="088212CD" w14:textId="77777777" w:rsidR="00CF5F7C" w:rsidRPr="00362FDF" w:rsidRDefault="00CF5F7C" w:rsidP="00CF5F7C">
            <w:pPr>
              <w:pStyle w:val="Prrafodelista"/>
              <w:ind w:left="352" w:right="283"/>
              <w:jc w:val="both"/>
              <w:rPr>
                <w:rFonts w:ascii="Palatino Linotype" w:hAnsi="Palatino Linotype"/>
                <w:b/>
                <w:i/>
                <w:sz w:val="24"/>
              </w:rPr>
            </w:pPr>
            <w:r w:rsidRPr="00362FDF">
              <w:rPr>
                <w:rFonts w:ascii="Palatino Linotype" w:hAnsi="Palatino Linotype"/>
                <w:b/>
                <w:i/>
                <w:sz w:val="24"/>
              </w:rPr>
              <w:t>XXXII. Remuneración: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 (…)</w:t>
            </w:r>
          </w:p>
          <w:p w14:paraId="0117EA7D" w14:textId="77777777" w:rsidR="00CF5F7C" w:rsidRPr="00362FDF" w:rsidRDefault="00CF5F7C" w:rsidP="00CF5F7C">
            <w:pPr>
              <w:pStyle w:val="Prrafodelista"/>
              <w:ind w:left="0"/>
              <w:jc w:val="both"/>
              <w:rPr>
                <w:rFonts w:ascii="Palatino Linotype" w:hAnsi="Palatino Linotype" w:cs="Arial"/>
                <w:sz w:val="24"/>
              </w:rPr>
            </w:pPr>
          </w:p>
          <w:p w14:paraId="0D8B70BD" w14:textId="77777777" w:rsidR="00CF5F7C" w:rsidRPr="00362FDF" w:rsidRDefault="00CF5F7C" w:rsidP="00CF5F7C">
            <w:pPr>
              <w:pStyle w:val="Prrafodelista"/>
              <w:ind w:left="0"/>
              <w:jc w:val="both"/>
              <w:rPr>
                <w:rFonts w:ascii="Palatino Linotype" w:hAnsi="Palatino Linotype" w:cs="Arial"/>
                <w:sz w:val="24"/>
              </w:rPr>
            </w:pPr>
            <w:r w:rsidRPr="00362FDF">
              <w:rPr>
                <w:rFonts w:ascii="Palatino Linotype" w:hAnsi="Palatino Linotype" w:cs="Arial"/>
                <w:sz w:val="24"/>
              </w:rPr>
              <w:t>De ello, se advierte que todos los servidores públicos, ya sean federales, estatales o municipales, tienen el derecho de recibir remuneraciones irrenunciables por el desempeño de un empleo, cargo o comisión, en función de las responsabilidades asumidas, las cuales abarcan el sueldo, compensaciones, gratificaciones, habitación, primas, comisiones, prestaciones en especie y cualquier otra percepción entregada con motivo del cargo desempeñado; remuneraciones que según el texto constitucional serán públicas.</w:t>
            </w:r>
          </w:p>
          <w:p w14:paraId="3970C666" w14:textId="77777777" w:rsidR="00CF5F7C" w:rsidRPr="00362FDF" w:rsidRDefault="00CF5F7C" w:rsidP="00CF5F7C">
            <w:pPr>
              <w:pStyle w:val="Prrafodelista"/>
              <w:ind w:left="0"/>
              <w:jc w:val="both"/>
              <w:rPr>
                <w:rFonts w:ascii="Palatino Linotype" w:hAnsi="Palatino Linotype" w:cs="Arial"/>
                <w:sz w:val="24"/>
              </w:rPr>
            </w:pPr>
            <w:r w:rsidRPr="00362FDF">
              <w:rPr>
                <w:rFonts w:ascii="Palatino Linotype" w:hAnsi="Palatino Linotype" w:cs="Arial"/>
                <w:sz w:val="24"/>
              </w:rPr>
              <w:t xml:space="preserve">Así mismo, la </w:t>
            </w:r>
            <w:r w:rsidRPr="00362FDF">
              <w:rPr>
                <w:rFonts w:ascii="Palatino Linotype" w:hAnsi="Palatino Linotype" w:cs="Arial"/>
                <w:b/>
                <w:sz w:val="24"/>
              </w:rPr>
              <w:t>Ley del Trabajo de los Servidores Públicos del Estado y Municipios</w:t>
            </w:r>
            <w:r w:rsidRPr="00362FDF">
              <w:rPr>
                <w:rFonts w:ascii="Palatino Linotype" w:hAnsi="Palatino Linotype" w:cs="Arial"/>
                <w:sz w:val="24"/>
              </w:rPr>
              <w:t>, en su artículo 220-K fracciones II y IV y último párrafo, establecen lo siguiente:</w:t>
            </w:r>
          </w:p>
          <w:p w14:paraId="3677FDD3" w14:textId="77777777" w:rsidR="00CF5F7C" w:rsidRPr="00362FDF" w:rsidRDefault="00CF5F7C" w:rsidP="00CF5F7C">
            <w:pPr>
              <w:pStyle w:val="Prrafodelista"/>
              <w:ind w:left="0"/>
              <w:jc w:val="both"/>
              <w:rPr>
                <w:rFonts w:ascii="Palatino Linotype" w:hAnsi="Palatino Linotype" w:cs="Arial"/>
                <w:sz w:val="24"/>
              </w:rPr>
            </w:pPr>
          </w:p>
          <w:p w14:paraId="345163D1" w14:textId="77777777" w:rsidR="00CF5F7C" w:rsidRPr="00362FDF" w:rsidRDefault="00CF5F7C" w:rsidP="00CF5F7C">
            <w:pPr>
              <w:ind w:left="352" w:right="283"/>
              <w:jc w:val="both"/>
              <w:rPr>
                <w:rFonts w:ascii="Palatino Linotype" w:hAnsi="Palatino Linotype"/>
                <w:bCs/>
                <w:i/>
              </w:rPr>
            </w:pPr>
            <w:r w:rsidRPr="00362FDF">
              <w:rPr>
                <w:rFonts w:ascii="Palatino Linotype" w:hAnsi="Palatino Linotype"/>
                <w:b/>
                <w:bCs/>
                <w:i/>
              </w:rPr>
              <w:t>ARTÍCULO 220 K.-</w:t>
            </w:r>
            <w:r w:rsidRPr="00362FDF">
              <w:rPr>
                <w:rFonts w:ascii="Palatino Linotype" w:hAnsi="Palatino Linotype"/>
                <w:bCs/>
                <w:i/>
              </w:rPr>
              <w:t xml:space="preserve"> La institución o dependencia pública tiene la obligación de conservar y exhibir en el proceso los documentos que a continuación se precisan:</w:t>
            </w:r>
          </w:p>
          <w:p w14:paraId="316F0C70" w14:textId="77777777" w:rsidR="00CF5F7C" w:rsidRPr="00362FDF" w:rsidRDefault="00CF5F7C" w:rsidP="00CF5F7C">
            <w:pPr>
              <w:ind w:left="352" w:right="283"/>
              <w:jc w:val="both"/>
              <w:rPr>
                <w:rFonts w:ascii="Palatino Linotype" w:hAnsi="Palatino Linotype"/>
                <w:bCs/>
                <w:i/>
              </w:rPr>
            </w:pPr>
            <w:r w:rsidRPr="00362FDF">
              <w:rPr>
                <w:rFonts w:ascii="Palatino Linotype" w:hAnsi="Palatino Linotype"/>
                <w:b/>
                <w:bCs/>
                <w:i/>
              </w:rPr>
              <w:t>II.</w:t>
            </w:r>
            <w:r w:rsidRPr="00362FDF">
              <w:rPr>
                <w:rFonts w:ascii="Palatino Linotype" w:hAnsi="Palatino Linotype"/>
                <w:bCs/>
                <w:i/>
              </w:rPr>
              <w:t xml:space="preserve"> </w:t>
            </w:r>
            <w:r w:rsidRPr="00362FDF">
              <w:rPr>
                <w:rFonts w:ascii="Palatino Linotype" w:hAnsi="Palatino Linotype"/>
                <w:b/>
                <w:bCs/>
                <w:i/>
              </w:rPr>
              <w:t>Recibos de pagos de salarios</w:t>
            </w:r>
            <w:r w:rsidRPr="00362FDF">
              <w:rPr>
                <w:rFonts w:ascii="Palatino Linotype" w:hAnsi="Palatino Linotype"/>
                <w:bCs/>
                <w:i/>
              </w:rPr>
              <w:t xml:space="preserve"> o las constancias documentales del pago de salario cuando sea por depósito o mediante información electrónica;</w:t>
            </w:r>
          </w:p>
          <w:p w14:paraId="0C3CF16B" w14:textId="77777777" w:rsidR="00CF5F7C" w:rsidRPr="00362FDF" w:rsidRDefault="00CF5F7C" w:rsidP="00CF5F7C">
            <w:pPr>
              <w:ind w:left="352" w:right="283"/>
              <w:jc w:val="both"/>
              <w:rPr>
                <w:rFonts w:ascii="Palatino Linotype" w:hAnsi="Palatino Linotype"/>
                <w:b/>
                <w:bCs/>
                <w:i/>
              </w:rPr>
            </w:pPr>
            <w:r w:rsidRPr="00362FDF">
              <w:rPr>
                <w:rFonts w:ascii="Palatino Linotype" w:hAnsi="Palatino Linotype"/>
                <w:b/>
                <w:bCs/>
                <w:i/>
              </w:rPr>
              <w:t>(…)</w:t>
            </w:r>
          </w:p>
          <w:p w14:paraId="19064959" w14:textId="77777777" w:rsidR="00CF5F7C" w:rsidRPr="00362FDF" w:rsidRDefault="00CF5F7C" w:rsidP="00CF5F7C">
            <w:pPr>
              <w:ind w:left="352" w:right="283"/>
              <w:jc w:val="both"/>
              <w:rPr>
                <w:rFonts w:ascii="Palatino Linotype" w:hAnsi="Palatino Linotype"/>
                <w:b/>
                <w:bCs/>
                <w:i/>
              </w:rPr>
            </w:pPr>
            <w:r w:rsidRPr="00362FDF">
              <w:rPr>
                <w:rFonts w:ascii="Palatino Linotype" w:hAnsi="Palatino Linotype"/>
                <w:b/>
                <w:bCs/>
                <w:i/>
              </w:rPr>
              <w:lastRenderedPageBreak/>
              <w:t>IV.</w:t>
            </w:r>
            <w:r w:rsidRPr="00362FDF">
              <w:rPr>
                <w:rFonts w:ascii="Palatino Linotype" w:hAnsi="Palatino Linotype"/>
                <w:bCs/>
                <w:i/>
              </w:rPr>
              <w:t xml:space="preserve"> </w:t>
            </w:r>
            <w:r w:rsidRPr="00362FDF">
              <w:rPr>
                <w:rFonts w:ascii="Palatino Linotype" w:hAnsi="Palatino Linotype"/>
                <w:b/>
                <w:bCs/>
                <w:i/>
              </w:rPr>
              <w:t>Recibos o las constancias de depósito o del medio de información magnética o electrónica que sean utilizadas para el pago de salarios, prima vacacional, aguinaldo y demás prestaciones establecidas en la presente ley; y</w:t>
            </w:r>
          </w:p>
          <w:p w14:paraId="2138AD02" w14:textId="77777777" w:rsidR="00CF5F7C" w:rsidRPr="00362FDF" w:rsidRDefault="00CF5F7C" w:rsidP="00CF5F7C">
            <w:pPr>
              <w:pStyle w:val="Prrafodelista"/>
              <w:ind w:left="352" w:right="283"/>
              <w:jc w:val="both"/>
              <w:rPr>
                <w:rFonts w:ascii="Palatino Linotype" w:hAnsi="Palatino Linotype"/>
                <w:bCs/>
                <w:i/>
                <w:sz w:val="24"/>
              </w:rPr>
            </w:pPr>
            <w:r w:rsidRPr="00362FDF">
              <w:rPr>
                <w:rFonts w:ascii="Palatino Linotype" w:hAnsi="Palatino Linotype"/>
                <w:b/>
                <w:bCs/>
                <w:i/>
                <w:sz w:val="24"/>
              </w:rPr>
              <w:t>Los documentos señalados en la fracción I de este artículo, deberán conservarse mientras dure la relación laboral y hasta un año después;</w:t>
            </w:r>
            <w:r w:rsidRPr="00362FDF">
              <w:rPr>
                <w:rFonts w:ascii="Palatino Linotype" w:hAnsi="Palatino Linotype"/>
                <w:bCs/>
                <w:i/>
                <w:sz w:val="24"/>
              </w:rPr>
              <w:t xml:space="preserve"> los señalados por las fracciones II, III, IV durante el último año y un año después de que se extinga la relación laboral, y los mencionados en la fracción V, conforme lo señalen las leyes que los rijan.</w:t>
            </w:r>
          </w:p>
          <w:p w14:paraId="1651D8C1" w14:textId="77777777" w:rsidR="00CF5F7C" w:rsidRPr="00362FDF" w:rsidRDefault="00CF5F7C" w:rsidP="00CF5F7C">
            <w:pPr>
              <w:pStyle w:val="Prrafodelista"/>
              <w:ind w:left="352" w:right="283"/>
              <w:jc w:val="both"/>
              <w:rPr>
                <w:rFonts w:ascii="Palatino Linotype" w:hAnsi="Palatino Linotype"/>
                <w:bCs/>
                <w:i/>
                <w:sz w:val="24"/>
              </w:rPr>
            </w:pPr>
            <w:r w:rsidRPr="00362FDF">
              <w:rPr>
                <w:rFonts w:ascii="Palatino Linotype" w:hAnsi="Palatino Linotype"/>
                <w:b/>
                <w:bCs/>
                <w:i/>
                <w:sz w:val="24"/>
              </w:rPr>
              <w:t>Los documentos y constancias aquí señalados, la institución o dependencia</w:t>
            </w:r>
            <w:r w:rsidRPr="00362FDF">
              <w:rPr>
                <w:rFonts w:ascii="Palatino Linotype" w:hAnsi="Palatino Linotype"/>
                <w:b/>
                <w:bCs/>
                <w:i/>
                <w:sz w:val="24"/>
                <w:u w:val="single"/>
              </w:rPr>
              <w:t xml:space="preserve"> podrá conservarlos por medio de los sistemas de digitalización o de información magnética o electrónica o cualquier medio descubierto por la ciencia y las constancias expedidas por el encargado del área de personal de éstas</w:t>
            </w:r>
            <w:r w:rsidRPr="00362FDF">
              <w:rPr>
                <w:rFonts w:ascii="Palatino Linotype" w:hAnsi="Palatino Linotype"/>
                <w:bCs/>
                <w:i/>
                <w:sz w:val="24"/>
              </w:rPr>
              <w:t>, harán prueba plena.</w:t>
            </w:r>
          </w:p>
          <w:p w14:paraId="5CF53256" w14:textId="77777777" w:rsidR="00CF5F7C" w:rsidRPr="00362FDF" w:rsidRDefault="00CF5F7C" w:rsidP="00CF5F7C">
            <w:pPr>
              <w:pStyle w:val="Prrafodelista"/>
              <w:ind w:left="352" w:right="283"/>
              <w:jc w:val="both"/>
              <w:rPr>
                <w:rFonts w:ascii="Palatino Linotype" w:hAnsi="Palatino Linotype"/>
                <w:bCs/>
                <w:i/>
                <w:sz w:val="24"/>
              </w:rPr>
            </w:pPr>
            <w:r w:rsidRPr="00362FDF">
              <w:rPr>
                <w:rFonts w:ascii="Palatino Linotype" w:hAnsi="Palatino Linotype"/>
                <w:bCs/>
                <w:i/>
                <w:sz w:val="24"/>
              </w:rPr>
              <w:t>El incumplimiento por lo dispuesto por este artículo, establecerá la presunción de ser ciertos los hechos que el actor exprese en su demanda, en relación con tales documentos, salvo prueba en contrario.</w:t>
            </w:r>
          </w:p>
          <w:p w14:paraId="4598FF5C" w14:textId="77777777" w:rsidR="00CF5F7C" w:rsidRPr="00362FDF" w:rsidRDefault="00CF5F7C" w:rsidP="00CF5F7C">
            <w:pPr>
              <w:shd w:val="clear" w:color="auto" w:fill="FFFFFF"/>
              <w:spacing w:before="240" w:after="240"/>
              <w:jc w:val="both"/>
              <w:rPr>
                <w:rFonts w:ascii="Palatino Linotype" w:hAnsi="Palatino Linotype"/>
              </w:rPr>
            </w:pPr>
            <w:r w:rsidRPr="00362FDF">
              <w:rPr>
                <w:rFonts w:ascii="Palatino Linotype" w:hAnsi="Palatino Linotype" w:cs="Arial"/>
              </w:rPr>
              <w:t xml:space="preserve">Además, la </w:t>
            </w:r>
            <w:r w:rsidRPr="00362FDF">
              <w:rPr>
                <w:rFonts w:ascii="Palatino Linotype" w:hAnsi="Palatino Linotype" w:cs="Arial"/>
                <w:b/>
              </w:rPr>
              <w:t>Ley Orgánica Municipal del Estado de México</w:t>
            </w:r>
            <w:r w:rsidRPr="00362FDF">
              <w:rPr>
                <w:rFonts w:ascii="Palatino Linotype" w:hAnsi="Palatino Linotype" w:cs="Arial"/>
              </w:rPr>
              <w:t xml:space="preserve"> en el artículo 31 fracción XIX establece como atribución de los Ayuntamientos aprobar su </w:t>
            </w:r>
            <w:r w:rsidRPr="00362FDF">
              <w:rPr>
                <w:rFonts w:ascii="Palatino Linotype" w:hAnsi="Palatino Linotype" w:cs="Arial"/>
                <w:b/>
                <w:u w:val="single"/>
              </w:rPr>
              <w:t>Presupuesto de Egresos</w:t>
            </w:r>
            <w:r w:rsidRPr="00362FDF">
              <w:rPr>
                <w:rFonts w:ascii="Palatino Linotype" w:hAnsi="Palatino Linotype" w:cs="Arial"/>
              </w:rPr>
              <w:t>, y al hacerlo deberán señalar “</w:t>
            </w:r>
            <w:r w:rsidRPr="00362FDF">
              <w:rPr>
                <w:rFonts w:ascii="Palatino Linotype" w:hAnsi="Palatino Linotype"/>
                <w:b/>
                <w:i/>
                <w:u w:val="single"/>
              </w:rPr>
              <w:t>la remuneración</w:t>
            </w:r>
            <w:r w:rsidRPr="00362FDF">
              <w:rPr>
                <w:rFonts w:ascii="Palatino Linotype" w:hAnsi="Palatino Linotype"/>
                <w:i/>
              </w:rPr>
              <w:t xml:space="preserve">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w:t>
            </w:r>
            <w:r w:rsidRPr="00362FDF">
              <w:rPr>
                <w:rFonts w:ascii="Palatino Linotype" w:hAnsi="Palatino Linotype"/>
              </w:rPr>
              <w:t xml:space="preserve">“. </w:t>
            </w:r>
          </w:p>
          <w:p w14:paraId="19893867" w14:textId="77777777" w:rsidR="00CF5F7C" w:rsidRPr="00362FDF" w:rsidRDefault="00CF5F7C" w:rsidP="00CF5F7C">
            <w:pPr>
              <w:shd w:val="clear" w:color="auto" w:fill="FFFFFF"/>
              <w:spacing w:before="240" w:after="240"/>
              <w:jc w:val="both"/>
              <w:rPr>
                <w:rFonts w:ascii="Palatino Linotype" w:eastAsia="Palatino Linotype" w:hAnsi="Palatino Linotype" w:cs="Palatino Linotype"/>
                <w:color w:val="000000"/>
              </w:rPr>
            </w:pPr>
            <w:r w:rsidRPr="00362FDF">
              <w:rPr>
                <w:rFonts w:ascii="Palatino Linotype" w:hAnsi="Palatino Linotype"/>
              </w:rPr>
              <w:t xml:space="preserve">En </w:t>
            </w:r>
            <w:r w:rsidR="008B57C6" w:rsidRPr="00362FDF">
              <w:rPr>
                <w:rFonts w:ascii="Palatino Linotype" w:hAnsi="Palatino Linotype"/>
              </w:rPr>
              <w:t>consecuencia</w:t>
            </w:r>
            <w:r w:rsidRPr="00362FDF">
              <w:rPr>
                <w:rFonts w:ascii="Palatino Linotype" w:hAnsi="Palatino Linotype"/>
              </w:rPr>
              <w:t xml:space="preserve">, se advierte que </w:t>
            </w:r>
            <w:r w:rsidR="008B57C6" w:rsidRPr="00362FDF">
              <w:rPr>
                <w:rFonts w:ascii="Palatino Linotype" w:hAnsi="Palatino Linotype"/>
              </w:rPr>
              <w:t>las percepciones o remuneraciones son de carácter público.</w:t>
            </w:r>
          </w:p>
        </w:tc>
      </w:tr>
      <w:tr w:rsidR="00B81AC6" w:rsidRPr="00362FDF" w14:paraId="6C5522EB" w14:textId="77777777" w:rsidTr="00237B14">
        <w:tc>
          <w:tcPr>
            <w:tcW w:w="2830" w:type="dxa"/>
            <w:shd w:val="clear" w:color="auto" w:fill="D9D9D9" w:themeFill="background1" w:themeFillShade="D9"/>
          </w:tcPr>
          <w:p w14:paraId="4596A8B5" w14:textId="77777777" w:rsidR="00B81AC6" w:rsidRPr="00362FDF" w:rsidRDefault="00B81AC6" w:rsidP="00B81AC6">
            <w:pPr>
              <w:spacing w:line="360" w:lineRule="auto"/>
              <w:ind w:right="1"/>
              <w:jc w:val="both"/>
              <w:rPr>
                <w:rFonts w:ascii="Palatino Linotype" w:eastAsia="Palatino Linotype" w:hAnsi="Palatino Linotype" w:cs="Palatino Linotype"/>
                <w:b/>
                <w:bCs/>
                <w:color w:val="000000"/>
              </w:rPr>
            </w:pPr>
            <w:r w:rsidRPr="00362FDF">
              <w:rPr>
                <w:rFonts w:ascii="Palatino Linotype" w:eastAsia="Palatino Linotype" w:hAnsi="Palatino Linotype" w:cs="Palatino Linotype"/>
                <w:b/>
                <w:bCs/>
                <w:color w:val="000000"/>
              </w:rPr>
              <w:lastRenderedPageBreak/>
              <w:t xml:space="preserve">Nombre de personal de seguridad pública con </w:t>
            </w:r>
            <w:r w:rsidRPr="00362FDF">
              <w:rPr>
                <w:rFonts w:ascii="Palatino Linotype" w:eastAsia="Palatino Linotype" w:hAnsi="Palatino Linotype" w:cs="Palatino Linotype"/>
                <w:b/>
                <w:bCs/>
                <w:color w:val="000000"/>
              </w:rPr>
              <w:lastRenderedPageBreak/>
              <w:t>mando medio y superior</w:t>
            </w:r>
          </w:p>
        </w:tc>
        <w:tc>
          <w:tcPr>
            <w:tcW w:w="6516" w:type="dxa"/>
          </w:tcPr>
          <w:p w14:paraId="3FD2FD66" w14:textId="77777777" w:rsidR="00B81AC6" w:rsidRPr="00362FDF" w:rsidRDefault="00B81AC6" w:rsidP="00B81AC6">
            <w:pPr>
              <w:jc w:val="both"/>
              <w:rPr>
                <w:rFonts w:ascii="Palatino Linotype" w:hAnsi="Palatino Linotype" w:cs="Tahoma"/>
              </w:rPr>
            </w:pPr>
            <w:r w:rsidRPr="00362FDF">
              <w:rPr>
                <w:rFonts w:ascii="Palatino Linotype" w:eastAsia="Arial Unicode MS" w:hAnsi="Palatino Linotype" w:cs="Arial"/>
                <w:bCs/>
                <w:iCs/>
              </w:rPr>
              <w:lastRenderedPageBreak/>
              <w:t xml:space="preserve">Es importante referir que el nombre de Policías de Seguridad Pública Municipal por criterio mayoritario de este es Pleno es de carácter Reservado, </w:t>
            </w:r>
            <w:r w:rsidRPr="00362FDF">
              <w:rPr>
                <w:rFonts w:ascii="Palatino Linotype" w:hAnsi="Palatino Linotype" w:cs="Tahoma"/>
              </w:rPr>
              <w:t xml:space="preserve">ya que los </w:t>
            </w:r>
            <w:r w:rsidRPr="00362FDF">
              <w:rPr>
                <w:rFonts w:ascii="Palatino Linotype" w:hAnsi="Palatino Linotype" w:cs="Tahoma"/>
                <w:b/>
              </w:rPr>
              <w:t>elementos operativos</w:t>
            </w:r>
            <w:r w:rsidRPr="00362FDF">
              <w:rPr>
                <w:rFonts w:ascii="Palatino Linotype" w:hAnsi="Palatino Linotype" w:cs="Tahoma"/>
              </w:rPr>
              <w:t xml:space="preserve"> se dedican a combatir de manera directa a los delincuentes en el municipio, así como a prevenir la actividad delictiva.</w:t>
            </w:r>
          </w:p>
          <w:p w14:paraId="1C4FFD23" w14:textId="77777777" w:rsidR="00B81AC6" w:rsidRPr="00362FDF" w:rsidRDefault="00B81AC6" w:rsidP="00B81AC6">
            <w:pPr>
              <w:jc w:val="both"/>
              <w:rPr>
                <w:rFonts w:ascii="Palatino Linotype" w:hAnsi="Palatino Linotype" w:cs="Tahoma"/>
              </w:rPr>
            </w:pPr>
          </w:p>
          <w:p w14:paraId="43AEDB57" w14:textId="77777777" w:rsidR="00B81AC6" w:rsidRPr="00362FDF" w:rsidRDefault="00B81AC6" w:rsidP="00B81AC6">
            <w:pPr>
              <w:contextualSpacing/>
              <w:jc w:val="both"/>
              <w:rPr>
                <w:rFonts w:ascii="Palatino Linotype" w:hAnsi="Palatino Linotype" w:cs="Tahoma"/>
              </w:rPr>
            </w:pPr>
            <w:r w:rsidRPr="00362FDF">
              <w:rPr>
                <w:rFonts w:ascii="Palatino Linotype" w:eastAsia="Calibri" w:hAnsi="Palatino Linotype" w:cs="Tahoma"/>
                <w:bCs/>
                <w:lang w:eastAsia="en-US"/>
              </w:rPr>
              <w:lastRenderedPageBreak/>
              <w:t xml:space="preserve">Así, resulta aplicable el Criterio 06/09, emitido por </w:t>
            </w:r>
            <w:r w:rsidRPr="00362FDF">
              <w:rPr>
                <w:rFonts w:ascii="Palatino Linotype" w:hAnsi="Palatino Linotype" w:cs="Tahoma"/>
              </w:rPr>
              <w:t>el entonces Instituto Federal de Acceso a la Información y Protección de Datos ahora Instituto Nacional de Transparencia, Acceso a la Información y Protección de Datos Personales, que establece lo siguiente:</w:t>
            </w:r>
          </w:p>
          <w:p w14:paraId="26217837" w14:textId="77777777" w:rsidR="00B81AC6" w:rsidRPr="00362FDF" w:rsidRDefault="00B81AC6" w:rsidP="00B81AC6">
            <w:pPr>
              <w:contextualSpacing/>
              <w:jc w:val="both"/>
              <w:rPr>
                <w:rFonts w:ascii="Palatino Linotype" w:hAnsi="Palatino Linotype" w:cs="Tahoma"/>
                <w:i/>
              </w:rPr>
            </w:pPr>
          </w:p>
          <w:p w14:paraId="6D0DA720" w14:textId="77777777" w:rsidR="00B81AC6" w:rsidRPr="00362FDF" w:rsidRDefault="00B81AC6" w:rsidP="00CF5F7C">
            <w:pPr>
              <w:tabs>
                <w:tab w:val="left" w:pos="4962"/>
              </w:tabs>
              <w:ind w:left="850" w:right="901"/>
              <w:contextualSpacing/>
              <w:jc w:val="both"/>
              <w:rPr>
                <w:rFonts w:ascii="Palatino Linotype" w:hAnsi="Palatino Linotype" w:cs="Tahoma"/>
                <w:i/>
              </w:rPr>
            </w:pPr>
            <w:r w:rsidRPr="00362FDF">
              <w:rPr>
                <w:rFonts w:ascii="Palatino Linotype" w:hAnsi="Palatino Linotype" w:cs="Tahoma"/>
                <w:b/>
                <w:i/>
              </w:rPr>
              <w:t>Nombres de servidores públicos dedicados a actividades en materia de seguridad, por excepción pueden considerarse información reservada.</w:t>
            </w:r>
            <w:r w:rsidRPr="00362FDF">
              <w:rPr>
                <w:rFonts w:ascii="Palatino Linotype" w:hAnsi="Palatino Linotype" w:cs="Tahoma"/>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3FD16BF7" w14:textId="77777777" w:rsidR="00CF5F7C" w:rsidRPr="00362FDF" w:rsidRDefault="00CF5F7C" w:rsidP="00CF5F7C">
            <w:pPr>
              <w:tabs>
                <w:tab w:val="left" w:pos="4962"/>
              </w:tabs>
              <w:ind w:left="850" w:right="901"/>
              <w:contextualSpacing/>
              <w:jc w:val="both"/>
              <w:rPr>
                <w:rFonts w:ascii="Palatino Linotype" w:hAnsi="Palatino Linotype" w:cs="Tahoma"/>
                <w:i/>
              </w:rPr>
            </w:pPr>
          </w:p>
          <w:p w14:paraId="6027A797" w14:textId="77777777" w:rsidR="00B81AC6" w:rsidRPr="00362FDF" w:rsidRDefault="00CF5F7C" w:rsidP="00CF5F7C">
            <w:pPr>
              <w:jc w:val="both"/>
              <w:rPr>
                <w:rFonts w:ascii="Palatino Linotype" w:eastAsia="Arial Unicode MS" w:hAnsi="Palatino Linotype" w:cs="Arial"/>
                <w:b/>
                <w:bCs/>
                <w:iCs/>
              </w:rPr>
            </w:pPr>
            <w:r w:rsidRPr="00362FDF">
              <w:rPr>
                <w:rFonts w:ascii="Palatino Linotype" w:eastAsia="Calibri" w:hAnsi="Palatino Linotype" w:cs="Arial"/>
                <w:color w:val="000000" w:themeColor="text1"/>
              </w:rPr>
              <w:lastRenderedPageBreak/>
              <w:t>En conclusión, el</w:t>
            </w:r>
            <w:r w:rsidRPr="00362FDF">
              <w:rPr>
                <w:rFonts w:ascii="Palatino Linotype" w:eastAsia="Calibri" w:hAnsi="Palatino Linotype" w:cs="Arial"/>
                <w:b/>
                <w:bCs/>
                <w:color w:val="000000" w:themeColor="text1"/>
              </w:rPr>
              <w:t xml:space="preserve"> SUJETO OBLIGADO</w:t>
            </w:r>
            <w:r w:rsidRPr="00362FDF">
              <w:rPr>
                <w:rFonts w:ascii="Palatino Linotype" w:eastAsia="Calibri" w:hAnsi="Palatino Linotype" w:cs="Arial"/>
                <w:color w:val="000000" w:themeColor="text1"/>
              </w:rPr>
              <w:t xml:space="preserve"> debe reservar el nombre del personal sustantivo a seguridad pública, </w:t>
            </w:r>
            <w:r w:rsidRPr="00362FDF">
              <w:rPr>
                <w:rFonts w:ascii="Palatino Linotype" w:eastAsia="Calibri" w:hAnsi="Palatino Linotype" w:cs="Arial"/>
                <w:b/>
                <w:color w:val="000000" w:themeColor="text1"/>
              </w:rPr>
              <w:t>con excepción de los servidores públicos con mandos medios y superiores.</w:t>
            </w:r>
          </w:p>
        </w:tc>
      </w:tr>
    </w:tbl>
    <w:p w14:paraId="19299420" w14:textId="77777777" w:rsidR="00104E9F" w:rsidRPr="00362FDF" w:rsidRDefault="00104E9F" w:rsidP="00237B14">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6B2441C0" w14:textId="77777777" w:rsidR="006A37FD" w:rsidRPr="00362FDF" w:rsidRDefault="006A37FD">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362FDF">
        <w:rPr>
          <w:rFonts w:ascii="Palatino Linotype" w:eastAsia="Palatino Linotype" w:hAnsi="Palatino Linotype" w:cs="Palatino Linotype"/>
          <w:bCs/>
          <w:color w:val="000000"/>
        </w:rPr>
        <w:t>En consecuencia, el</w:t>
      </w:r>
      <w:r w:rsidRPr="00362FDF">
        <w:rPr>
          <w:rFonts w:ascii="Palatino Linotype" w:eastAsia="Palatino Linotype" w:hAnsi="Palatino Linotype" w:cs="Palatino Linotype"/>
          <w:b/>
          <w:bCs/>
          <w:color w:val="000000"/>
        </w:rPr>
        <w:t xml:space="preserve"> SUJETO OBLIGADO </w:t>
      </w:r>
      <w:r w:rsidRPr="00362FDF">
        <w:rPr>
          <w:rFonts w:ascii="Palatino Linotype" w:eastAsia="Palatino Linotype" w:hAnsi="Palatino Linotype" w:cs="Palatino Linotype"/>
          <w:bCs/>
          <w:color w:val="000000"/>
        </w:rPr>
        <w:t>deberá hacer entrega,</w:t>
      </w:r>
      <w:r w:rsidRPr="00362FDF">
        <w:rPr>
          <w:rFonts w:ascii="Palatino Linotype" w:eastAsia="Palatino Linotype" w:hAnsi="Palatino Linotype" w:cs="Palatino Linotype"/>
          <w:b/>
          <w:bCs/>
          <w:color w:val="000000"/>
        </w:rPr>
        <w:t xml:space="preserve"> en correcta versión pública, los recibos de nómina proporcionados en informe justificado.</w:t>
      </w:r>
    </w:p>
    <w:p w14:paraId="68FB5071" w14:textId="77777777" w:rsidR="006A37FD" w:rsidRPr="00362FDF" w:rsidRDefault="006A37FD"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0C49FC42" w14:textId="77777777" w:rsidR="006A37FD" w:rsidRPr="00362FDF" w:rsidRDefault="006A37FD" w:rsidP="006A37FD">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362FDF">
        <w:rPr>
          <w:rFonts w:ascii="Palatino Linotype" w:eastAsia="Palatino Linotype" w:hAnsi="Palatino Linotype" w:cs="Palatino Linotype"/>
          <w:b/>
          <w:color w:val="000000"/>
        </w:rPr>
        <w:t>QUINTO. VERSIÓN PÚBLICA.</w:t>
      </w:r>
    </w:p>
    <w:p w14:paraId="0D5F3776" w14:textId="77777777" w:rsidR="006A37FD" w:rsidRPr="00362FDF" w:rsidRDefault="006A37FD" w:rsidP="006A37FD">
      <w:pPr>
        <w:keepNext/>
        <w:keepLines/>
        <w:numPr>
          <w:ilvl w:val="0"/>
          <w:numId w:val="8"/>
        </w:numPr>
        <w:spacing w:line="360" w:lineRule="auto"/>
        <w:ind w:left="284" w:firstLine="0"/>
        <w:rPr>
          <w:rFonts w:ascii="Palatino Linotype" w:eastAsia="Palatino Linotype" w:hAnsi="Palatino Linotype" w:cs="Palatino Linotype"/>
          <w:b/>
          <w:color w:val="000000"/>
        </w:rPr>
      </w:pPr>
      <w:r w:rsidRPr="00362FDF">
        <w:rPr>
          <w:rFonts w:ascii="Palatino Linotype" w:eastAsia="Palatino Linotype" w:hAnsi="Palatino Linotype" w:cs="Palatino Linotype"/>
          <w:b/>
          <w:color w:val="000000"/>
        </w:rPr>
        <w:t xml:space="preserve">Nociones generales. </w:t>
      </w:r>
    </w:p>
    <w:p w14:paraId="4DB077C2" w14:textId="01DE3C0F" w:rsidR="006A37FD" w:rsidRPr="00362FDF" w:rsidRDefault="006A37FD" w:rsidP="00362FDF">
      <w:pPr>
        <w:pStyle w:val="Prrafodelista"/>
        <w:numPr>
          <w:ilvl w:val="0"/>
          <w:numId w:val="1"/>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00000"/>
          <w:sz w:val="24"/>
        </w:rPr>
      </w:pPr>
      <w:r w:rsidRPr="00362FDF">
        <w:rPr>
          <w:rFonts w:ascii="Palatino Linotype" w:eastAsia="Palatino Linotype" w:hAnsi="Palatino Linotype" w:cs="Palatino Linotype"/>
          <w:color w:val="000000"/>
          <w:sz w:val="24"/>
        </w:rPr>
        <w:t>Debe destacarse que, debido a la naturaleza de la información solicitada</w:t>
      </w:r>
      <w:r w:rsidRPr="00362FDF">
        <w:rPr>
          <w:rFonts w:ascii="Palatino Linotype" w:eastAsia="Palatino Linotype" w:hAnsi="Palatino Linotype" w:cs="Palatino Linotype"/>
          <w:b/>
          <w:color w:val="000000"/>
          <w:sz w:val="24"/>
        </w:rPr>
        <w:t xml:space="preserve">, </w:t>
      </w:r>
      <w:r w:rsidRPr="00362FDF">
        <w:rPr>
          <w:rFonts w:ascii="Palatino Linotype" w:eastAsia="Palatino Linotype" w:hAnsi="Palatino Linotype" w:cs="Palatino Linotype"/>
          <w:color w:val="000000"/>
          <w:sz w:val="24"/>
        </w:rPr>
        <w:t xml:space="preserve">eventualmente pudiera obrar datos personales susceptibles de protegerse, el </w:t>
      </w:r>
      <w:r w:rsidRPr="00362FDF">
        <w:rPr>
          <w:rFonts w:ascii="Palatino Linotype" w:eastAsia="Palatino Linotype" w:hAnsi="Palatino Linotype" w:cs="Palatino Linotype"/>
          <w:b/>
          <w:color w:val="000000"/>
          <w:sz w:val="24"/>
        </w:rPr>
        <w:t xml:space="preserve">SUJETO OBLIGADO </w:t>
      </w:r>
      <w:r w:rsidRPr="00362FDF">
        <w:rPr>
          <w:rFonts w:ascii="Palatino Linotype" w:eastAsia="Palatino Linotype" w:hAnsi="Palatino Linotype" w:cs="Palatino Linotype"/>
          <w:color w:val="000000"/>
          <w:sz w:val="24"/>
        </w:rPr>
        <w:t xml:space="preserve">deberá de hacer la adecuada versión pública, protegiendo los datos que no son susceptibles de ser proporcionados. </w:t>
      </w:r>
    </w:p>
    <w:p w14:paraId="05EF3302" w14:textId="77777777" w:rsidR="006A37FD" w:rsidRPr="00362FDF" w:rsidRDefault="006A37FD" w:rsidP="00362FDF">
      <w:pPr>
        <w:pBdr>
          <w:top w:val="nil"/>
          <w:left w:val="nil"/>
          <w:bottom w:val="nil"/>
          <w:right w:val="nil"/>
          <w:between w:val="nil"/>
        </w:pBdr>
        <w:spacing w:line="360" w:lineRule="auto"/>
        <w:ind w:right="-29"/>
        <w:jc w:val="both"/>
        <w:rPr>
          <w:rFonts w:ascii="Palatino Linotype" w:eastAsia="Palatino Linotype" w:hAnsi="Palatino Linotype" w:cs="Palatino Linotype"/>
          <w:color w:val="000000"/>
        </w:rPr>
      </w:pPr>
    </w:p>
    <w:p w14:paraId="44848BEC" w14:textId="77777777" w:rsidR="006A37FD" w:rsidRPr="00362FDF" w:rsidRDefault="006A37FD" w:rsidP="00362FDF">
      <w:pPr>
        <w:numPr>
          <w:ilvl w:val="0"/>
          <w:numId w:val="1"/>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No pasa desapercibido para este Órgano Garante que los Sujetos Obligados</w:t>
      </w:r>
      <w:r w:rsidRPr="00362FDF">
        <w:rPr>
          <w:rFonts w:ascii="Palatino Linotype" w:eastAsia="Palatino Linotype" w:hAnsi="Palatino Linotype" w:cs="Palatino Linotype"/>
          <w:b/>
          <w:color w:val="000000"/>
        </w:rPr>
        <w:t xml:space="preserve"> </w:t>
      </w:r>
      <w:r w:rsidRPr="00362FD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BF8BF6B" w14:textId="77777777" w:rsidR="006A37FD" w:rsidRPr="00362FDF" w:rsidRDefault="006A37FD" w:rsidP="006A37F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371"/>
      </w:tblGrid>
      <w:tr w:rsidR="006A37FD" w:rsidRPr="00362FDF" w14:paraId="2D79281A" w14:textId="77777777" w:rsidTr="00362FDF">
        <w:tc>
          <w:tcPr>
            <w:tcW w:w="2547" w:type="dxa"/>
          </w:tcPr>
          <w:p w14:paraId="00D427D1" w14:textId="77777777" w:rsidR="006A37FD" w:rsidRPr="00362FDF" w:rsidRDefault="006A37FD" w:rsidP="006A37FD">
            <w:pPr>
              <w:rPr>
                <w:rFonts w:ascii="Palatino Linotype" w:eastAsia="Palatino Linotype" w:hAnsi="Palatino Linotype" w:cs="Palatino Linotype"/>
              </w:rPr>
            </w:pPr>
            <w:r w:rsidRPr="00362FDF">
              <w:rPr>
                <w:rFonts w:ascii="Palatino Linotype" w:eastAsia="Palatino Linotype" w:hAnsi="Palatino Linotype" w:cs="Palatino Linotype"/>
              </w:rPr>
              <w:t>a) Requisitos previos.</w:t>
            </w:r>
          </w:p>
        </w:tc>
        <w:tc>
          <w:tcPr>
            <w:tcW w:w="7371" w:type="dxa"/>
          </w:tcPr>
          <w:p w14:paraId="66083C63"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5019C66"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9D9D2B8"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04759246" w14:textId="77777777" w:rsidR="006A37FD" w:rsidRPr="00362FDF" w:rsidRDefault="006A37FD" w:rsidP="006A37FD">
            <w:pPr>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62FDF">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362FDF">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6A37FD" w:rsidRPr="00362FDF" w14:paraId="73464444" w14:textId="77777777" w:rsidTr="00362FDF">
        <w:tc>
          <w:tcPr>
            <w:tcW w:w="2547" w:type="dxa"/>
          </w:tcPr>
          <w:p w14:paraId="1C04286B" w14:textId="77777777" w:rsidR="006A37FD" w:rsidRPr="00362FDF" w:rsidRDefault="006A37FD" w:rsidP="006A37FD">
            <w:pPr>
              <w:rPr>
                <w:rFonts w:ascii="Palatino Linotype" w:eastAsia="Palatino Linotype" w:hAnsi="Palatino Linotype" w:cs="Palatino Linotype"/>
              </w:rPr>
            </w:pPr>
            <w:r w:rsidRPr="00362FDF">
              <w:rPr>
                <w:rFonts w:ascii="Palatino Linotype" w:eastAsia="Palatino Linotype" w:hAnsi="Palatino Linotype" w:cs="Palatino Linotype"/>
              </w:rPr>
              <w:lastRenderedPageBreak/>
              <w:t>b) Supuestos de clasificación.</w:t>
            </w:r>
          </w:p>
        </w:tc>
        <w:tc>
          <w:tcPr>
            <w:tcW w:w="7371" w:type="dxa"/>
          </w:tcPr>
          <w:p w14:paraId="668F4279"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0F5FF3D"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184D947D" w14:textId="77777777" w:rsidR="006A37FD" w:rsidRPr="00362FDF" w:rsidRDefault="006A37FD" w:rsidP="006A37FD">
            <w:pPr>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El </w:t>
            </w:r>
            <w:r w:rsidRPr="00362FDF">
              <w:rPr>
                <w:rFonts w:ascii="Palatino Linotype" w:eastAsia="Palatino Linotype" w:hAnsi="Palatino Linotype" w:cs="Palatino Linotype"/>
                <w:b/>
                <w:color w:val="000000"/>
              </w:rPr>
              <w:t>Sujeto Obligado</w:t>
            </w:r>
            <w:r w:rsidRPr="00362FDF">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A37FD" w:rsidRPr="00362FDF" w14:paraId="7F471EDA" w14:textId="77777777" w:rsidTr="00362FDF">
        <w:tc>
          <w:tcPr>
            <w:tcW w:w="2547" w:type="dxa"/>
          </w:tcPr>
          <w:p w14:paraId="69B5E222" w14:textId="77777777" w:rsidR="006A37FD" w:rsidRPr="00362FDF" w:rsidRDefault="006A37FD" w:rsidP="006A37FD">
            <w:pPr>
              <w:rPr>
                <w:rFonts w:ascii="Palatino Linotype" w:eastAsia="Palatino Linotype" w:hAnsi="Palatino Linotype" w:cs="Palatino Linotype"/>
              </w:rPr>
            </w:pPr>
            <w:r w:rsidRPr="00362FDF">
              <w:rPr>
                <w:rFonts w:ascii="Palatino Linotype" w:eastAsia="Palatino Linotype" w:hAnsi="Palatino Linotype" w:cs="Palatino Linotype"/>
              </w:rPr>
              <w:t>c) Formalidades para emitir el acuerdo de clasificación.</w:t>
            </w:r>
          </w:p>
        </w:tc>
        <w:tc>
          <w:tcPr>
            <w:tcW w:w="7371" w:type="dxa"/>
          </w:tcPr>
          <w:p w14:paraId="01B10EE4"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09500D2"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Es necesario que </w:t>
            </w:r>
            <w:r w:rsidRPr="00362FDF">
              <w:rPr>
                <w:rFonts w:ascii="Palatino Linotype" w:eastAsia="Palatino Linotype" w:hAnsi="Palatino Linotype" w:cs="Palatino Linotype"/>
                <w:b/>
                <w:color w:val="000000"/>
                <w:u w:val="single"/>
              </w:rPr>
              <w:t>el acto reúna con los requisitos elementales</w:t>
            </w:r>
            <w:r w:rsidRPr="00362FDF">
              <w:rPr>
                <w:rFonts w:ascii="Palatino Linotype" w:eastAsia="Palatino Linotype" w:hAnsi="Palatino Linotype" w:cs="Palatino Linotype"/>
                <w:color w:val="000000"/>
              </w:rPr>
              <w:t>, entre ellos, que la autoridad que va a emitir el acto de autoridad sea la legalmente facultada para ello.</w:t>
            </w:r>
          </w:p>
          <w:p w14:paraId="6F4D3069" w14:textId="77777777" w:rsidR="006A37FD" w:rsidRPr="00362FDF" w:rsidRDefault="006A37FD" w:rsidP="006A37FD">
            <w:pPr>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w:t>
            </w:r>
            <w:r w:rsidRPr="00362FDF">
              <w:rPr>
                <w:rFonts w:ascii="Palatino Linotype" w:eastAsia="Palatino Linotype" w:hAnsi="Palatino Linotype" w:cs="Palatino Linotype"/>
                <w:color w:val="000000"/>
              </w:rPr>
              <w:lastRenderedPageBreak/>
              <w:t>debe integrarse en la agenda de los asuntos a tratar en las sesiones, se insiste, a partir de las decisiones adoptadas previamente por los titulares de áreas y que son sujetas a control, en primera instancia, por el Comité de Transparencia.</w:t>
            </w:r>
          </w:p>
        </w:tc>
      </w:tr>
      <w:tr w:rsidR="006A37FD" w:rsidRPr="00362FDF" w14:paraId="32422533" w14:textId="77777777" w:rsidTr="00362FDF">
        <w:tc>
          <w:tcPr>
            <w:tcW w:w="2547" w:type="dxa"/>
          </w:tcPr>
          <w:p w14:paraId="667781CF" w14:textId="77777777" w:rsidR="006A37FD" w:rsidRPr="00362FDF" w:rsidRDefault="006A37FD" w:rsidP="006A37FD">
            <w:pPr>
              <w:rPr>
                <w:rFonts w:ascii="Palatino Linotype" w:eastAsia="Palatino Linotype" w:hAnsi="Palatino Linotype" w:cs="Palatino Linotype"/>
              </w:rPr>
            </w:pPr>
          </w:p>
          <w:p w14:paraId="11BBE2B4" w14:textId="77777777" w:rsidR="006A37FD" w:rsidRPr="00362FDF" w:rsidRDefault="006A37FD" w:rsidP="006A37FD">
            <w:pPr>
              <w:jc w:val="both"/>
              <w:rPr>
                <w:rFonts w:ascii="Palatino Linotype" w:eastAsia="Palatino Linotype" w:hAnsi="Palatino Linotype" w:cs="Palatino Linotype"/>
              </w:rPr>
            </w:pPr>
            <w:r w:rsidRPr="00362FDF">
              <w:rPr>
                <w:rFonts w:ascii="Palatino Linotype" w:eastAsia="Palatino Linotype" w:hAnsi="Palatino Linotype" w:cs="Palatino Linotype"/>
                <w:color w:val="000000"/>
              </w:rPr>
              <w:t xml:space="preserve">d) Requisitos de fondo del acuerdo de clasificación. </w:t>
            </w:r>
          </w:p>
        </w:tc>
        <w:tc>
          <w:tcPr>
            <w:tcW w:w="7371" w:type="dxa"/>
          </w:tcPr>
          <w:p w14:paraId="6FF4DA92"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62FDF">
              <w:rPr>
                <w:rFonts w:ascii="Palatino Linotype" w:eastAsia="Palatino Linotype" w:hAnsi="Palatino Linotype" w:cs="Palatino Linotype"/>
                <w:b/>
                <w:color w:val="000000"/>
              </w:rPr>
              <w:t>Sujetos Obligados</w:t>
            </w:r>
            <w:r w:rsidRPr="00362FDF">
              <w:rPr>
                <w:rFonts w:ascii="Palatino Linotype" w:eastAsia="Palatino Linotype" w:hAnsi="Palatino Linotype" w:cs="Palatino Linotype"/>
                <w:color w:val="000000"/>
              </w:rPr>
              <w:t xml:space="preserve">, por lo que deberán fundar y motivar debidamente la clasificación. </w:t>
            </w:r>
          </w:p>
          <w:p w14:paraId="1F72024F"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De lo anterior, se desprende que para una correcta </w:t>
            </w:r>
            <w:r w:rsidRPr="00362FDF">
              <w:rPr>
                <w:rFonts w:ascii="Palatino Linotype" w:eastAsia="Palatino Linotype" w:hAnsi="Palatino Linotype" w:cs="Palatino Linotype"/>
                <w:b/>
                <w:color w:val="000000"/>
              </w:rPr>
              <w:t>clasificación total o parcial</w:t>
            </w:r>
            <w:r w:rsidRPr="00362FDF">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3CF607F"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75B5D322"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B71A7E0"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Ahora bien, </w:t>
            </w:r>
            <w:r w:rsidRPr="00362FDF">
              <w:rPr>
                <w:rFonts w:ascii="Palatino Linotype" w:eastAsia="Palatino Linotype" w:hAnsi="Palatino Linotype" w:cs="Palatino Linotype"/>
                <w:b/>
                <w:color w:val="000000"/>
                <w:u w:val="single"/>
              </w:rPr>
              <w:t>para cada caso además de fundar y motivar</w:t>
            </w:r>
            <w:r w:rsidRPr="00362FDF">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A37FD" w:rsidRPr="00362FDF" w14:paraId="0D212F37" w14:textId="77777777" w:rsidTr="00362FDF">
        <w:tc>
          <w:tcPr>
            <w:tcW w:w="2547" w:type="dxa"/>
          </w:tcPr>
          <w:p w14:paraId="2E99F3CA" w14:textId="77777777" w:rsidR="006A37FD" w:rsidRPr="00362FDF" w:rsidRDefault="006A37FD" w:rsidP="006A37FD">
            <w:pPr>
              <w:ind w:right="49"/>
              <w:jc w:val="both"/>
              <w:rPr>
                <w:rFonts w:ascii="Palatino Linotype" w:eastAsia="Palatino Linotype" w:hAnsi="Palatino Linotype" w:cs="Palatino Linotype"/>
              </w:rPr>
            </w:pPr>
            <w:r w:rsidRPr="00362FDF">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14:paraId="632A5330"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69C64B3A" w14:textId="77777777" w:rsidR="006A37FD" w:rsidRPr="00362FDF" w:rsidRDefault="006A37FD" w:rsidP="006A37FD">
            <w:pPr>
              <w:ind w:right="49"/>
              <w:jc w:val="both"/>
              <w:rPr>
                <w:rFonts w:ascii="Palatino Linotype" w:eastAsia="Palatino Linotype" w:hAnsi="Palatino Linotype" w:cs="Palatino Linotype"/>
                <w:color w:val="000000"/>
              </w:rPr>
            </w:pPr>
            <w:r w:rsidRPr="00362FDF">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740D465" w14:textId="77777777" w:rsidR="006A37FD" w:rsidRPr="00362FDF" w:rsidRDefault="006A37FD" w:rsidP="006A37FD">
            <w:pPr>
              <w:ind w:right="49"/>
              <w:rPr>
                <w:rFonts w:ascii="Palatino Linotype" w:eastAsia="Palatino Linotype" w:hAnsi="Palatino Linotype" w:cs="Palatino Linotype"/>
              </w:rPr>
            </w:pPr>
            <w:r w:rsidRPr="00362FDF">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D1D02A8" w14:textId="77777777" w:rsidR="00BE059F" w:rsidRPr="00362FDF" w:rsidRDefault="00BE059F">
      <w:pPr>
        <w:spacing w:line="360" w:lineRule="auto"/>
        <w:ind w:right="1"/>
        <w:jc w:val="both"/>
        <w:rPr>
          <w:rFonts w:ascii="Palatino Linotype" w:eastAsia="Palatino Linotype" w:hAnsi="Palatino Linotype" w:cs="Palatino Linotype"/>
          <w:b/>
          <w:bCs/>
        </w:rPr>
      </w:pPr>
    </w:p>
    <w:p w14:paraId="6CFBD147" w14:textId="77777777" w:rsidR="00237B14" w:rsidRPr="00362FDF" w:rsidRDefault="006A37FD" w:rsidP="00237B14">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362FDF">
        <w:rPr>
          <w:rFonts w:ascii="Palatino Linotype" w:eastAsia="Palatino Linotype" w:hAnsi="Palatino Linotype" w:cs="Palatino Linotype"/>
          <w:color w:val="000000"/>
        </w:rPr>
        <w:t xml:space="preserve">Si </w:t>
      </w:r>
      <w:r w:rsidRPr="00362FDF">
        <w:rPr>
          <w:rFonts w:ascii="Palatino Linotype" w:eastAsia="Palatino Linotype" w:hAnsi="Palatino Linotype" w:cs="Palatino Linotype"/>
        </w:rPr>
        <w:t>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1398805D" w14:textId="77777777" w:rsidR="006A37FD" w:rsidRPr="00362FDF" w:rsidRDefault="006A37FD" w:rsidP="006A37FD">
      <w:pPr>
        <w:spacing w:line="360" w:lineRule="auto"/>
        <w:ind w:right="1"/>
        <w:jc w:val="both"/>
        <w:rPr>
          <w:rFonts w:ascii="Palatino Linotype" w:eastAsia="Palatino Linotype" w:hAnsi="Palatino Linotype" w:cs="Palatino Linotype"/>
          <w:b/>
          <w:bCs/>
        </w:rPr>
      </w:pPr>
    </w:p>
    <w:p w14:paraId="5C813518" w14:textId="77777777" w:rsidR="00237B14" w:rsidRPr="00362FDF" w:rsidRDefault="00237B14" w:rsidP="00237B14">
      <w:pPr>
        <w:pStyle w:val="NormalWeb"/>
        <w:numPr>
          <w:ilvl w:val="0"/>
          <w:numId w:val="12"/>
        </w:numPr>
        <w:shd w:val="clear" w:color="auto" w:fill="FFFFFF"/>
        <w:spacing w:before="0" w:beforeAutospacing="0" w:after="0" w:afterAutospacing="0"/>
        <w:rPr>
          <w:rFonts w:ascii="Palatino Linotype" w:hAnsi="Palatino Linotype"/>
          <w:color w:val="222222"/>
        </w:rPr>
      </w:pPr>
      <w:r w:rsidRPr="00362FDF">
        <w:rPr>
          <w:rFonts w:ascii="Palatino Linotype" w:hAnsi="Palatino Linotype"/>
          <w:b/>
          <w:bCs/>
          <w:color w:val="000000"/>
        </w:rPr>
        <w:t>Del nombre de policías.</w:t>
      </w:r>
    </w:p>
    <w:p w14:paraId="71B52574" w14:textId="53FFB1CB" w:rsidR="00237B14" w:rsidRPr="00362FDF" w:rsidRDefault="00237B14" w:rsidP="00362FDF">
      <w:pPr>
        <w:pStyle w:val="Prrafodelista"/>
        <w:numPr>
          <w:ilvl w:val="0"/>
          <w:numId w:val="1"/>
        </w:numPr>
        <w:shd w:val="clear" w:color="auto" w:fill="FFFFFF"/>
        <w:ind w:left="0" w:firstLine="0"/>
        <w:jc w:val="both"/>
        <w:rPr>
          <w:rFonts w:ascii="Palatino Linotype" w:hAnsi="Palatino Linotype"/>
          <w:color w:val="222222"/>
          <w:sz w:val="24"/>
        </w:rPr>
      </w:pPr>
      <w:r w:rsidRPr="00362FDF">
        <w:rPr>
          <w:rFonts w:ascii="Palatino Linotype" w:hAnsi="Palatino Linotype"/>
          <w:color w:val="222222"/>
          <w:sz w:val="24"/>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14:paraId="4D6AD42B" w14:textId="77777777" w:rsidR="00237B14" w:rsidRPr="00362FDF" w:rsidRDefault="00237B14" w:rsidP="00237B14">
      <w:pPr>
        <w:pStyle w:val="Prrafodelista"/>
        <w:shd w:val="clear" w:color="auto" w:fill="FFFFFF"/>
        <w:spacing w:line="360" w:lineRule="atLeast"/>
        <w:ind w:left="0" w:right="1"/>
        <w:jc w:val="both"/>
        <w:rPr>
          <w:rFonts w:ascii="Palatino Linotype" w:hAnsi="Palatino Linotype"/>
          <w:color w:val="222222"/>
          <w:sz w:val="24"/>
        </w:rPr>
      </w:pPr>
    </w:p>
    <w:p w14:paraId="165A475F" w14:textId="77777777" w:rsidR="00237B14" w:rsidRPr="00362FDF" w:rsidRDefault="00237B14" w:rsidP="00237B14">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14:paraId="2070C182" w14:textId="77777777" w:rsidR="00237B14" w:rsidRPr="00362FDF" w:rsidRDefault="00237B14" w:rsidP="00237B14">
      <w:pPr>
        <w:shd w:val="clear" w:color="auto" w:fill="FFFFFF"/>
        <w:ind w:right="1"/>
        <w:jc w:val="both"/>
        <w:rPr>
          <w:rFonts w:ascii="Palatino Linotype" w:hAnsi="Palatino Linotype"/>
          <w:color w:val="222222"/>
        </w:rPr>
      </w:pPr>
      <w:r w:rsidRPr="00362FDF">
        <w:rPr>
          <w:rFonts w:ascii="Palatino Linotype" w:hAnsi="Palatino Linotype"/>
          <w:color w:val="222222"/>
        </w:rPr>
        <w:t> </w:t>
      </w:r>
    </w:p>
    <w:p w14:paraId="20BC6255"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b/>
          <w:bCs/>
          <w:i/>
          <w:iCs/>
          <w:color w:val="222222"/>
        </w:rPr>
        <w:lastRenderedPageBreak/>
        <w:t>“Artículo 140.</w:t>
      </w:r>
      <w:r w:rsidRPr="00362FDF">
        <w:rPr>
          <w:rFonts w:ascii="Palatino Linotype" w:hAnsi="Palatino Linotype" w:cs="Arial"/>
          <w:i/>
          <w:iCs/>
          <w:color w:val="222222"/>
        </w:rPr>
        <w:t> El acceso a la información pública será restringido excepcionalmente, cuando por razones de interés público, ésta sea clasificada como reservada, conforme a los criterios siguientes:</w:t>
      </w:r>
    </w:p>
    <w:p w14:paraId="76152301"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i/>
          <w:iCs/>
          <w:color w:val="222222"/>
        </w:rPr>
        <w:t>I. Comprometa la seguridad pública y cuente con un propósito genuino y un efecto demostrable;</w:t>
      </w:r>
    </w:p>
    <w:p w14:paraId="23ECCC2F"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i/>
          <w:iCs/>
          <w:color w:val="222222"/>
        </w:rPr>
        <w:t>II. Pueda menoscabar la conducción de las negociaciones y relaciones internacionales;</w:t>
      </w:r>
    </w:p>
    <w:p w14:paraId="4E61F36D"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i/>
          <w:iCs/>
          <w:color w:val="222222"/>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EC479F6"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b/>
          <w:bCs/>
          <w:i/>
          <w:iCs/>
          <w:color w:val="222222"/>
        </w:rPr>
        <w:t>IV. Ponga en riesgo la vida, la seguridad o la salud de una persona física;</w:t>
      </w:r>
    </w:p>
    <w:p w14:paraId="72879247" w14:textId="77777777" w:rsidR="00237B14" w:rsidRPr="00362FDF" w:rsidRDefault="00237B14" w:rsidP="00237B14">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362FDF">
        <w:rPr>
          <w:rFonts w:ascii="Palatino Linotype" w:hAnsi="Palatino Linotype" w:cs="Arial"/>
          <w:i/>
          <w:iCs/>
          <w:color w:val="222222"/>
        </w:rPr>
        <w:t> (…)”</w:t>
      </w:r>
    </w:p>
    <w:p w14:paraId="5603ABAC" w14:textId="77777777" w:rsidR="00237B14" w:rsidRPr="00362FDF" w:rsidRDefault="00237B14" w:rsidP="00237B14">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65DDC551"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sidRPr="00362FDF">
        <w:rPr>
          <w:rFonts w:ascii="Palatino Linotype" w:hAnsi="Palatino Linotype"/>
          <w:b/>
          <w:bCs/>
          <w:color w:val="222222"/>
          <w:sz w:val="24"/>
        </w:rPr>
        <w:t>vulnerar la vida, seguridad o salud de dichos elementos, incluso la de sus familias o entorno social, </w:t>
      </w:r>
      <w:r w:rsidRPr="00362FDF">
        <w:rPr>
          <w:rFonts w:ascii="Palatino Linotype" w:hAnsi="Palatino Linotype"/>
          <w:color w:val="222222"/>
          <w:sz w:val="24"/>
        </w:rPr>
        <w:t>demás, de que aumenta el riesgo de que personas ajenas a los intereses institucionales e intenten realizar actos tendientes a inhibir o entrometerse en las funciones de los policías municipales, lo cual causaría una vulneración a la seguridad municipal.</w:t>
      </w:r>
    </w:p>
    <w:p w14:paraId="07E79A7B" w14:textId="77777777" w:rsidR="00237B14" w:rsidRPr="00362FDF" w:rsidRDefault="00237B14" w:rsidP="008B57C6">
      <w:pPr>
        <w:shd w:val="clear" w:color="auto" w:fill="FFFFFF"/>
        <w:spacing w:line="360" w:lineRule="atLeast"/>
        <w:ind w:right="1"/>
        <w:jc w:val="both"/>
        <w:rPr>
          <w:rFonts w:ascii="Palatino Linotype" w:hAnsi="Palatino Linotype"/>
          <w:color w:val="222222"/>
        </w:rPr>
      </w:pPr>
      <w:r w:rsidRPr="00362FDF">
        <w:rPr>
          <w:rFonts w:ascii="Palatino Linotype" w:hAnsi="Palatino Linotype"/>
          <w:b/>
          <w:bCs/>
          <w:color w:val="222222"/>
        </w:rPr>
        <w:t> </w:t>
      </w:r>
    </w:p>
    <w:p w14:paraId="5B1E234B"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14:paraId="2E3CE072" w14:textId="77777777" w:rsidR="00237B14" w:rsidRPr="00362FDF" w:rsidRDefault="00237B14" w:rsidP="008B57C6">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707B33FA"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14:paraId="4A8933DB" w14:textId="21131FD3" w:rsidR="00237B14" w:rsidRPr="00362FDF" w:rsidRDefault="00237B14" w:rsidP="00362FDF">
      <w:pPr>
        <w:pStyle w:val="Prrafodelista"/>
        <w:numPr>
          <w:ilvl w:val="0"/>
          <w:numId w:val="1"/>
        </w:numPr>
        <w:shd w:val="clear" w:color="auto" w:fill="FFFFFF"/>
        <w:ind w:left="0" w:right="1" w:firstLine="0"/>
        <w:jc w:val="both"/>
        <w:rPr>
          <w:rFonts w:ascii="Palatino Linotype" w:hAnsi="Palatino Linotype"/>
          <w:color w:val="222222"/>
          <w:sz w:val="24"/>
        </w:rPr>
      </w:pPr>
      <w:r w:rsidRPr="00362FDF">
        <w:rPr>
          <w:rFonts w:ascii="Palatino Linotype" w:hAnsi="Palatino Linotype"/>
          <w:color w:val="222222"/>
          <w:sz w:val="24"/>
        </w:rPr>
        <w:lastRenderedPageBreak/>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362FDF">
        <w:rPr>
          <w:rFonts w:ascii="Palatino Linotype" w:hAnsi="Palatino Linotype"/>
          <w:b/>
          <w:bCs/>
          <w:color w:val="222222"/>
          <w:sz w:val="24"/>
        </w:rPr>
        <w:t> SUJETO OBLIGADO</w:t>
      </w:r>
      <w:r w:rsidRPr="00362FDF">
        <w:rPr>
          <w:rFonts w:ascii="Palatino Linotype" w:hAnsi="Palatino Linotype"/>
          <w:color w:val="222222"/>
          <w:sz w:val="24"/>
        </w:rPr>
        <w:t>, colocando en inminente riesgo la vida de todos los integrantes, menoscabando así las actividades de prevención del delito y combate a la delincuencia.</w:t>
      </w:r>
    </w:p>
    <w:p w14:paraId="0C9745CF" w14:textId="77777777" w:rsidR="00237B14" w:rsidRPr="00362FDF" w:rsidRDefault="00237B14" w:rsidP="008B57C6">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225DC33C"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14:paraId="02178EA5" w14:textId="77777777" w:rsidR="00237B14" w:rsidRPr="00362FDF" w:rsidRDefault="00237B14" w:rsidP="008B57C6">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5CC80C1B"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14:paraId="0185628C" w14:textId="77777777" w:rsidR="00237B14" w:rsidRPr="00362FDF" w:rsidRDefault="00237B14" w:rsidP="008B57C6">
      <w:pPr>
        <w:shd w:val="clear" w:color="auto" w:fill="FFFFFF"/>
        <w:rPr>
          <w:rFonts w:ascii="Palatino Linotype" w:hAnsi="Palatino Linotype"/>
          <w:color w:val="222222"/>
        </w:rPr>
      </w:pPr>
      <w:r w:rsidRPr="00362FDF">
        <w:rPr>
          <w:rFonts w:ascii="Palatino Linotype" w:hAnsi="Palatino Linotype"/>
          <w:color w:val="222222"/>
        </w:rPr>
        <w:t> </w:t>
      </w:r>
    </w:p>
    <w:p w14:paraId="75224D34"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14:paraId="3FF8B482" w14:textId="77777777" w:rsidR="00237B14" w:rsidRPr="00362FDF" w:rsidRDefault="00237B14" w:rsidP="008B57C6">
      <w:pPr>
        <w:shd w:val="clear" w:color="auto" w:fill="FFFFFF"/>
        <w:rPr>
          <w:rFonts w:ascii="Palatino Linotype" w:hAnsi="Palatino Linotype"/>
          <w:color w:val="222222"/>
        </w:rPr>
      </w:pPr>
      <w:r w:rsidRPr="00362FDF">
        <w:rPr>
          <w:rFonts w:ascii="Palatino Linotype" w:hAnsi="Palatino Linotype"/>
          <w:color w:val="222222"/>
        </w:rPr>
        <w:t> </w:t>
      </w:r>
    </w:p>
    <w:p w14:paraId="4331C4E8"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 xml:space="preserve">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w:t>
      </w:r>
      <w:r w:rsidRPr="00362FDF">
        <w:rPr>
          <w:rFonts w:ascii="Palatino Linotype" w:hAnsi="Palatino Linotype"/>
          <w:color w:val="222222"/>
          <w:sz w:val="24"/>
        </w:rPr>
        <w:lastRenderedPageBreak/>
        <w:t>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14:paraId="675BBE69" w14:textId="77777777" w:rsidR="00237B14" w:rsidRPr="00362FDF" w:rsidRDefault="00237B14" w:rsidP="008B57C6">
      <w:pPr>
        <w:shd w:val="clear" w:color="auto" w:fill="FFFFFF"/>
        <w:rPr>
          <w:rFonts w:ascii="Palatino Linotype" w:hAnsi="Palatino Linotype"/>
          <w:color w:val="222222"/>
        </w:rPr>
      </w:pPr>
      <w:r w:rsidRPr="00362FDF">
        <w:rPr>
          <w:rFonts w:ascii="Palatino Linotype" w:hAnsi="Palatino Linotype"/>
          <w:color w:val="222222"/>
        </w:rPr>
        <w:t> </w:t>
      </w:r>
    </w:p>
    <w:p w14:paraId="45A4C2F2"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14:paraId="5CD7A0F8" w14:textId="77777777" w:rsidR="00237B14" w:rsidRPr="00362FDF" w:rsidRDefault="00237B14" w:rsidP="008B57C6">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574728E0"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Al respecto, cabe hacer mención que el artículo 81 fracción III de la Ley de Seguridad del Estado de México, establece lo siguiente:</w:t>
      </w:r>
    </w:p>
    <w:p w14:paraId="4AAF834F" w14:textId="6DF9CBC2" w:rsidR="00237B14" w:rsidRPr="00362FDF" w:rsidRDefault="00237B14" w:rsidP="00362FDF">
      <w:pPr>
        <w:shd w:val="clear" w:color="auto" w:fill="FFFFFF"/>
        <w:ind w:left="567" w:right="396" w:firstLine="153"/>
        <w:jc w:val="both"/>
        <w:rPr>
          <w:rFonts w:ascii="Palatino Linotype" w:hAnsi="Palatino Linotype" w:cs="Arial"/>
          <w:color w:val="222222"/>
        </w:rPr>
      </w:pPr>
      <w:r w:rsidRPr="00362FDF">
        <w:rPr>
          <w:rFonts w:ascii="Palatino Linotype" w:hAnsi="Palatino Linotype" w:cs="Arial"/>
          <w:i/>
          <w:iCs/>
          <w:color w:val="222222"/>
          <w:lang w:val="es-ES_tradnl"/>
        </w:rPr>
        <w:t>“</w:t>
      </w:r>
      <w:r w:rsidRPr="00362FDF">
        <w:rPr>
          <w:rFonts w:ascii="Palatino Linotype" w:hAnsi="Palatino Linotype" w:cs="Arial"/>
          <w:b/>
          <w:bCs/>
          <w:i/>
          <w:iCs/>
          <w:color w:val="222222"/>
          <w:lang w:val="es-ES_tradnl"/>
        </w:rPr>
        <w:t>Artículo 81.-</w:t>
      </w:r>
      <w:r w:rsidRPr="00362FDF">
        <w:rPr>
          <w:rFonts w:ascii="Palatino Linotype" w:hAnsi="Palatino Linotype" w:cs="Arial"/>
          <w:i/>
          <w:iCs/>
          <w:color w:val="222222"/>
          <w:lang w:val="es-ES_tradnl"/>
        </w:rPr>
        <w:t> </w:t>
      </w:r>
      <w:r w:rsidRPr="00362FDF">
        <w:rPr>
          <w:rFonts w:ascii="Palatino Linotype" w:hAnsi="Palatino Linotype" w:cs="Arial"/>
          <w:b/>
          <w:bCs/>
          <w:i/>
          <w:iCs/>
          <w:color w:val="222222"/>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362FDF">
        <w:rPr>
          <w:rFonts w:ascii="Palatino Linotype" w:hAnsi="Palatino Linotype" w:cs="Arial"/>
          <w:i/>
          <w:iCs/>
          <w:color w:val="222222"/>
          <w:lang w:val="es-ES_tradnl"/>
        </w:rPr>
        <w:t> en los casos siguientes:</w:t>
      </w:r>
    </w:p>
    <w:p w14:paraId="4A4D54A6"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lang w:val="es-ES_tradnl"/>
        </w:rPr>
        <w:t>…</w:t>
      </w:r>
    </w:p>
    <w:p w14:paraId="13B5542D"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i/>
          <w:iCs/>
          <w:color w:val="222222"/>
          <w:lang w:val="es-ES_tradnl"/>
        </w:rPr>
      </w:pPr>
      <w:r w:rsidRPr="00362FDF">
        <w:rPr>
          <w:rFonts w:ascii="Palatino Linotype" w:hAnsi="Palatino Linotype" w:cs="Arial"/>
          <w:b/>
          <w:bCs/>
          <w:i/>
          <w:iCs/>
          <w:color w:val="222222"/>
          <w:lang w:val="es-ES_tradnl"/>
        </w:rPr>
        <w:t>III.</w:t>
      </w:r>
      <w:r w:rsidRPr="00362FDF">
        <w:rPr>
          <w:rFonts w:ascii="Palatino Linotype" w:hAnsi="Palatino Linotype" w:cs="Arial"/>
          <w:i/>
          <w:iCs/>
          <w:color w:val="222222"/>
          <w:lang w:val="es-ES_tradnl"/>
        </w:rPr>
        <w:t> </w:t>
      </w:r>
      <w:r w:rsidRPr="00362FDF">
        <w:rPr>
          <w:rFonts w:ascii="Palatino Linotype" w:hAnsi="Palatino Linotype" w:cs="Arial"/>
          <w:b/>
          <w:bCs/>
          <w:i/>
          <w:iCs/>
          <w:color w:val="222222"/>
          <w:lang w:val="es-ES_tradnl"/>
        </w:rPr>
        <w:t>La relativa a servidores públicos miembros de las instituciones de seguridad pública, cuya revelación pueda poner en riesgo su vida e integridad física con motivo de sus funciones;</w:t>
      </w:r>
      <w:r w:rsidRPr="00362FDF">
        <w:rPr>
          <w:rFonts w:ascii="Palatino Linotype" w:hAnsi="Palatino Linotype" w:cs="Arial"/>
          <w:i/>
          <w:iCs/>
          <w:color w:val="222222"/>
          <w:lang w:val="es-ES_tradnl"/>
        </w:rPr>
        <w:t>”</w:t>
      </w:r>
    </w:p>
    <w:p w14:paraId="2E6AFD18" w14:textId="77777777" w:rsidR="00237B14" w:rsidRPr="00362FDF" w:rsidRDefault="00237B14" w:rsidP="00237B14">
      <w:pPr>
        <w:pStyle w:val="NormalWeb"/>
        <w:shd w:val="clear" w:color="auto" w:fill="FFFFFF"/>
        <w:spacing w:before="0" w:beforeAutospacing="0" w:after="0" w:afterAutospacing="0"/>
        <w:ind w:right="567"/>
        <w:jc w:val="both"/>
        <w:rPr>
          <w:rFonts w:ascii="Palatino Linotype" w:hAnsi="Palatino Linotype" w:cs="Arial"/>
          <w:color w:val="222222"/>
        </w:rPr>
      </w:pPr>
    </w:p>
    <w:p w14:paraId="597C44C7" w14:textId="77777777" w:rsidR="00237B14" w:rsidRPr="00362FDF" w:rsidRDefault="00237B14" w:rsidP="008B57C6">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Argumento que se fortalece con lo estipulado en el criterio número 6-09, del Instituto Nacional de Transparencia, Acceso a la Información y Protección de Datos Personales, antes (INAI)</w:t>
      </w:r>
      <w:r w:rsidRPr="00362FDF">
        <w:rPr>
          <w:rFonts w:ascii="Palatino Linotype" w:hAnsi="Palatino Linotype"/>
          <w:b/>
          <w:bCs/>
          <w:color w:val="222222"/>
          <w:sz w:val="24"/>
        </w:rPr>
        <w:t>, </w:t>
      </w:r>
      <w:r w:rsidRPr="00362FDF">
        <w:rPr>
          <w:rFonts w:ascii="Palatino Linotype" w:hAnsi="Palatino Linotype"/>
          <w:color w:val="222222"/>
          <w:sz w:val="24"/>
        </w:rPr>
        <w:t>el cual refiere:</w:t>
      </w:r>
    </w:p>
    <w:p w14:paraId="0F6775F0" w14:textId="77777777" w:rsidR="00237B14" w:rsidRPr="00362FDF" w:rsidRDefault="00237B14" w:rsidP="00237B14">
      <w:pPr>
        <w:shd w:val="clear" w:color="auto" w:fill="FFFFFF"/>
        <w:ind w:left="567" w:right="567"/>
        <w:jc w:val="both"/>
        <w:rPr>
          <w:rFonts w:ascii="Palatino Linotype" w:hAnsi="Palatino Linotype"/>
          <w:color w:val="222222"/>
        </w:rPr>
      </w:pPr>
      <w:r w:rsidRPr="00362FDF">
        <w:rPr>
          <w:rFonts w:ascii="Palatino Linotype" w:hAnsi="Palatino Linotype"/>
          <w:b/>
          <w:bCs/>
          <w:color w:val="222222"/>
        </w:rPr>
        <w:t> </w:t>
      </w:r>
    </w:p>
    <w:p w14:paraId="0F244465" w14:textId="77777777" w:rsidR="00237B14" w:rsidRPr="00362FDF" w:rsidRDefault="00237B14" w:rsidP="00237B14">
      <w:pPr>
        <w:pStyle w:val="NormalWeb"/>
        <w:shd w:val="clear" w:color="auto" w:fill="FFFFFF"/>
        <w:spacing w:before="0" w:beforeAutospacing="0" w:after="0" w:afterAutospacing="0"/>
        <w:ind w:left="567" w:right="567"/>
        <w:jc w:val="center"/>
        <w:rPr>
          <w:rFonts w:ascii="Palatino Linotype" w:hAnsi="Palatino Linotype" w:cs="Arial"/>
          <w:color w:val="222222"/>
        </w:rPr>
      </w:pPr>
      <w:r w:rsidRPr="00362FDF">
        <w:rPr>
          <w:rFonts w:ascii="Palatino Linotype" w:hAnsi="Palatino Linotype" w:cs="Arial"/>
          <w:b/>
          <w:bCs/>
          <w:i/>
          <w:iCs/>
          <w:color w:val="222222"/>
        </w:rPr>
        <w:t>“Criterio 6-09</w:t>
      </w:r>
    </w:p>
    <w:p w14:paraId="7D607FC0"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Nombres de servidores públicos dedicados a actividades en materia de seguridad, por excepción pueden considerarse información reservada. </w:t>
      </w:r>
      <w:r w:rsidRPr="00362FDF">
        <w:rPr>
          <w:rFonts w:ascii="Palatino Linotype" w:hAnsi="Palatino Linotype" w:cs="Arial"/>
          <w:i/>
          <w:iCs/>
          <w:color w:val="222222"/>
        </w:rPr>
        <w:t>De conformidad con el artículo 7, fracciones I y III de la Ley Federal de Transparencia y Acceso a la Información Pública Gubernamental </w:t>
      </w:r>
      <w:r w:rsidRPr="00362FDF">
        <w:rPr>
          <w:rFonts w:ascii="Palatino Linotype" w:hAnsi="Palatino Linotype" w:cs="Arial"/>
          <w:b/>
          <w:bCs/>
          <w:i/>
          <w:iCs/>
          <w:color w:val="222222"/>
        </w:rPr>
        <w:t xml:space="preserve">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w:t>
      </w:r>
      <w:r w:rsidRPr="00362FDF">
        <w:rPr>
          <w:rFonts w:ascii="Palatino Linotype" w:hAnsi="Palatino Linotype" w:cs="Arial"/>
          <w:b/>
          <w:bCs/>
          <w:i/>
          <w:iCs/>
          <w:color w:val="222222"/>
        </w:rPr>
        <w:lastRenderedPageBreak/>
        <w:t>previstos en los artículos 13, 14 y 18 de la citada ley</w:t>
      </w:r>
      <w:r w:rsidRPr="00362FDF">
        <w:rPr>
          <w:rFonts w:ascii="Palatino Linotype" w:hAnsi="Palatino Linotype" w:cs="Arial"/>
          <w:i/>
          <w:iCs/>
          <w:color w:val="222222"/>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362FDF">
        <w:rPr>
          <w:rFonts w:ascii="Palatino Linotype" w:hAnsi="Palatino Linotype" w:cs="Arial"/>
          <w:b/>
          <w:bCs/>
          <w:i/>
          <w:iCs/>
          <w:color w:val="222222"/>
        </w:rPr>
        <w:t>el artículo 13, fracción I de la ley de referencia se establece que podrá clasificarse aquella información cuya difusión pueda comprometer la seguridad nacional y pública</w:t>
      </w:r>
      <w:r w:rsidRPr="00362FDF">
        <w:rPr>
          <w:rFonts w:ascii="Palatino Linotype" w:hAnsi="Palatino Linotype" w:cs="Arial"/>
          <w:i/>
          <w:iCs/>
          <w:color w:val="222222"/>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362FDF">
        <w:rPr>
          <w:rFonts w:ascii="Palatino Linotype" w:hAnsi="Palatino Linotype" w:cs="Arial"/>
          <w:b/>
          <w:bCs/>
          <w:i/>
          <w:iCs/>
          <w:color w:val="222222"/>
        </w:rPr>
        <w:t>por lo que la reserva de la relación de los nombres y las funciones que desempeñan los servidores públicos que prestan sus servicios en áreas de seguridad nacional o pública</w:t>
      </w:r>
      <w:r w:rsidRPr="00362FDF">
        <w:rPr>
          <w:rFonts w:ascii="Palatino Linotype" w:hAnsi="Palatino Linotype" w:cs="Arial"/>
          <w:i/>
          <w:iCs/>
          <w:color w:val="222222"/>
        </w:rPr>
        <w:t>, puede llegar a constituirse en un componente fundamental en el esfuerzo que realiza el Estado Mexicano para garantizar la seguridad del país en sus diferentes vertientes”</w:t>
      </w:r>
    </w:p>
    <w:p w14:paraId="7A11D744" w14:textId="77777777" w:rsidR="00237B14" w:rsidRPr="00362FDF" w:rsidRDefault="00237B14" w:rsidP="00237B14">
      <w:pPr>
        <w:shd w:val="clear" w:color="auto" w:fill="FFFFFF"/>
        <w:ind w:right="1"/>
        <w:jc w:val="both"/>
        <w:rPr>
          <w:rFonts w:ascii="Palatino Linotype" w:hAnsi="Palatino Linotype"/>
          <w:color w:val="222222"/>
        </w:rPr>
      </w:pPr>
    </w:p>
    <w:p w14:paraId="197C48E9" w14:textId="77777777" w:rsidR="00237B14" w:rsidRPr="00362FDF" w:rsidRDefault="00237B14" w:rsidP="00237B14">
      <w:pPr>
        <w:pStyle w:val="Prrafodelista"/>
        <w:numPr>
          <w:ilvl w:val="0"/>
          <w:numId w:val="1"/>
        </w:numPr>
        <w:shd w:val="clear" w:color="auto" w:fill="FFFFFF"/>
        <w:spacing w:line="360" w:lineRule="atLeast"/>
        <w:ind w:left="0" w:right="1" w:firstLine="0"/>
        <w:jc w:val="both"/>
        <w:rPr>
          <w:rFonts w:ascii="Palatino Linotype" w:hAnsi="Palatino Linotype"/>
          <w:color w:val="222222"/>
          <w:sz w:val="24"/>
        </w:rPr>
      </w:pPr>
      <w:r w:rsidRPr="00362FDF">
        <w:rPr>
          <w:rFonts w:ascii="Palatino Linotype" w:hAnsi="Palatino Linotype"/>
          <w:color w:val="222222"/>
          <w:sz w:val="24"/>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362FDF">
        <w:rPr>
          <w:rFonts w:ascii="Palatino Linotype" w:hAnsi="Palatino Linotype"/>
          <w:b/>
          <w:bCs/>
          <w:color w:val="222222"/>
          <w:sz w:val="24"/>
        </w:rPr>
        <w:t>SUJETO OBLIGADO</w:t>
      </w:r>
      <w:r w:rsidRPr="00362FDF">
        <w:rPr>
          <w:rFonts w:ascii="Palatino Linotype" w:hAnsi="Palatino Linotype"/>
          <w:color w:val="222222"/>
          <w:sz w:val="24"/>
        </w:rPr>
        <w:t>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5005DA33" w14:textId="77777777" w:rsidR="00237B14" w:rsidRPr="00362FDF" w:rsidRDefault="00237B14" w:rsidP="00237B14">
      <w:pPr>
        <w:shd w:val="clear" w:color="auto" w:fill="FFFFFF"/>
        <w:ind w:right="1"/>
        <w:jc w:val="both"/>
        <w:rPr>
          <w:rFonts w:ascii="Palatino Linotype" w:hAnsi="Palatino Linotype"/>
          <w:color w:val="222222"/>
        </w:rPr>
      </w:pPr>
      <w:r w:rsidRPr="00362FDF">
        <w:rPr>
          <w:rFonts w:ascii="Palatino Linotype" w:hAnsi="Palatino Linotype"/>
          <w:b/>
          <w:bCs/>
          <w:color w:val="222222"/>
        </w:rPr>
        <w:t> </w:t>
      </w:r>
    </w:p>
    <w:p w14:paraId="0B90C247"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“Artículo 49</w:t>
      </w:r>
      <w:r w:rsidRPr="00362FDF">
        <w:rPr>
          <w:rFonts w:ascii="Palatino Linotype" w:hAnsi="Palatino Linotype" w:cs="Arial"/>
          <w:i/>
          <w:iCs/>
          <w:color w:val="222222"/>
        </w:rPr>
        <w:t>. Los Comités de Transparencia tendrán las siguientes atribuciones:</w:t>
      </w:r>
    </w:p>
    <w:p w14:paraId="4B79D8E9"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VIII. Aprobar, modificar o revocar la clasificación de la información;</w:t>
      </w:r>
    </w:p>
    <w:p w14:paraId="1C83488D"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7382FDE5"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Artículo 132</w:t>
      </w:r>
      <w:r w:rsidRPr="00362FDF">
        <w:rPr>
          <w:rFonts w:ascii="Palatino Linotype" w:hAnsi="Palatino Linotype" w:cs="Arial"/>
          <w:i/>
          <w:iCs/>
          <w:color w:val="222222"/>
        </w:rPr>
        <w:t>. La clasificación de la información se llevará a cabo en el momento en que:</w:t>
      </w:r>
    </w:p>
    <w:p w14:paraId="03532EA2"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I. Se reciba una solicitud de acceso a la información;</w:t>
      </w:r>
    </w:p>
    <w:p w14:paraId="2930BAD2"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II. Se determine mediante resolución de autoridad competente; o</w:t>
      </w:r>
    </w:p>
    <w:p w14:paraId="4D7BC615"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III. Se generen versiones públicas para dar cumplimiento a las obligaciones de transparencia previstas en esta Ley.”</w:t>
      </w:r>
    </w:p>
    <w:p w14:paraId="206B0286"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444CA1ED"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lastRenderedPageBreak/>
        <w:t>Cuarto.</w:t>
      </w:r>
      <w:r w:rsidRPr="00362FDF">
        <w:rPr>
          <w:rFonts w:ascii="Palatino Linotype" w:hAnsi="Palatino Linotype" w:cs="Arial"/>
          <w:i/>
          <w:iCs/>
          <w:color w:val="2222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14:paraId="4AECD35E"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Quinto.</w:t>
      </w:r>
      <w:r w:rsidRPr="00362FDF">
        <w:rPr>
          <w:rFonts w:ascii="Palatino Linotype" w:hAnsi="Palatino Linotype" w:cs="Arial"/>
          <w:i/>
          <w:iCs/>
          <w:color w:val="2222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A75A7EB"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0EB7DC5C"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Sexto.</w:t>
      </w:r>
      <w:r w:rsidRPr="00362FDF">
        <w:rPr>
          <w:rFonts w:ascii="Palatino Linotype" w:hAnsi="Palatino Linotype" w:cs="Arial"/>
          <w:i/>
          <w:iCs/>
          <w:color w:val="222222"/>
        </w:rPr>
        <w:t> Los Sujetos Obligados no podrán emitir acuerdos de carácter general ni particular que clasifiquen documentos o expedientes como reservados, ni clasificar documentos antes de que se genere la información o cuando éstos no obren en sus archivos.</w:t>
      </w:r>
    </w:p>
    <w:p w14:paraId="3E8D5DCF"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5054A45E"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La clasificación de información se realizará conforme a un análisis caso por caso, mediante la aplicación de la prueba de daño y de interés público.</w:t>
      </w:r>
    </w:p>
    <w:p w14:paraId="5A327FA4"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5E579A15"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Séptimo.</w:t>
      </w:r>
      <w:r w:rsidRPr="00362FDF">
        <w:rPr>
          <w:rFonts w:ascii="Palatino Linotype" w:hAnsi="Palatino Linotype" w:cs="Arial"/>
          <w:i/>
          <w:iCs/>
          <w:color w:val="222222"/>
        </w:rPr>
        <w:t> La clasificación de la información se llevará a cabo en el momento en que: I. Se reciba una solicitud de acceso a la información;</w:t>
      </w:r>
    </w:p>
    <w:p w14:paraId="61BEF9DC"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76844BC7"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II. Se determine mediante resolución de autoridad competente, o</w:t>
      </w:r>
    </w:p>
    <w:p w14:paraId="4C5C0FD9"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III. Se generen versiones públicas para dar cumplimiento a las obligaciones de transparencia previstas en la Ley General, la Ley Federal y las correspondientes de las entidades federativas.</w:t>
      </w:r>
    </w:p>
    <w:p w14:paraId="02D8C9BC"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51BFD2DD"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Los titulares de las áreas deberán revisar la clasificación al momento de la recepción de una solicitud de acceso a la información, para verificar si encuadra en una causal de reserva o de confidencialidad.</w:t>
      </w:r>
    </w:p>
    <w:p w14:paraId="47095083"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4B629578"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Octavo.</w:t>
      </w:r>
      <w:r w:rsidRPr="00362FDF">
        <w:rPr>
          <w:rFonts w:ascii="Palatino Linotype" w:hAnsi="Palatino Linotype" w:cs="Arial"/>
          <w:i/>
          <w:iCs/>
          <w:color w:val="222222"/>
        </w:rPr>
        <w:t> Para fundar la clasificación de la información se debe señalar el artículo, fracción, inciso, párrafo o numeral de la ley o tratado internacional suscrito por el Estado mexicano que expresamente le otorga el carácter de reservada o confidencial.</w:t>
      </w:r>
    </w:p>
    <w:p w14:paraId="200CFB4E"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lastRenderedPageBreak/>
        <w:t>Para motivar la clasificación se deberán señalar las razones o circunstancias especiales que lo llevaron a concluir que el caso particular se ajusta al supuesto previsto por la norma legal invocada como fundamento.</w:t>
      </w:r>
    </w:p>
    <w:p w14:paraId="2D11A997"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19A3DFEC"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En caso de referirse a información reservada, la motivación de la clasificación también deberá comprender las circunstancias que justifican el establecimiento de determinado plazo de reserva.</w:t>
      </w:r>
    </w:p>
    <w:p w14:paraId="3ED220F3"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1E46D74E"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1EBE9AB0"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11411321"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8878D84"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534CC117"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Décimo</w:t>
      </w:r>
      <w:r w:rsidRPr="00362FDF">
        <w:rPr>
          <w:rFonts w:ascii="Palatino Linotype" w:hAnsi="Palatino Linotype" w:cs="Arial"/>
          <w:i/>
          <w:iCs/>
          <w:color w:val="2222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2987BC7"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6ED154C3"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En ausencia de los titulares de las áreas, la información será clasificada o desclasificada por la persona que lo supla, en términos de la normativa que rija la actuación del sujeto obligado.</w:t>
      </w:r>
    </w:p>
    <w:p w14:paraId="6FADA403"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i/>
          <w:iCs/>
          <w:color w:val="222222"/>
        </w:rPr>
        <w:t> </w:t>
      </w:r>
    </w:p>
    <w:p w14:paraId="737A0BEF" w14:textId="77777777" w:rsidR="00237B14" w:rsidRPr="00362FDF" w:rsidRDefault="00237B14" w:rsidP="00237B14">
      <w:pPr>
        <w:pStyle w:val="NormalWeb"/>
        <w:shd w:val="clear" w:color="auto" w:fill="FFFFFF"/>
        <w:spacing w:before="0" w:beforeAutospacing="0" w:after="0" w:afterAutospacing="0"/>
        <w:ind w:left="567" w:right="567"/>
        <w:jc w:val="both"/>
        <w:rPr>
          <w:rFonts w:ascii="Palatino Linotype" w:hAnsi="Palatino Linotype" w:cs="Arial"/>
          <w:color w:val="222222"/>
        </w:rPr>
      </w:pPr>
      <w:r w:rsidRPr="00362FDF">
        <w:rPr>
          <w:rFonts w:ascii="Palatino Linotype" w:hAnsi="Palatino Linotype" w:cs="Arial"/>
          <w:b/>
          <w:bCs/>
          <w:i/>
          <w:iCs/>
          <w:color w:val="222222"/>
        </w:rPr>
        <w:t>Décimo primero</w:t>
      </w:r>
      <w:r w:rsidRPr="00362FDF">
        <w:rPr>
          <w:rFonts w:ascii="Palatino Linotype" w:hAnsi="Palatino Linotype" w:cs="Arial"/>
          <w:i/>
          <w:iCs/>
          <w:color w:val="222222"/>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C28D1FA" w14:textId="77777777" w:rsidR="00237B14" w:rsidRPr="00362FDF" w:rsidRDefault="00237B14" w:rsidP="00237B1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50C2AEE" w14:textId="77777777" w:rsidR="00237B14" w:rsidRPr="00362FDF" w:rsidRDefault="00237B14" w:rsidP="00237B14">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62FDF">
        <w:rPr>
          <w:rFonts w:ascii="Palatino Linotype" w:hAnsi="Palatino Linotype"/>
          <w:color w:val="222222"/>
        </w:rPr>
        <w:t>En tal contexto se deberá proceder a la clasificación de los nombres de los elementos de policía que realicen actividades operativas en campo.</w:t>
      </w:r>
    </w:p>
    <w:p w14:paraId="234A52E7" w14:textId="77777777" w:rsidR="00BE059F" w:rsidRPr="00362FDF" w:rsidRDefault="006A37FD" w:rsidP="00237B14">
      <w:pPr>
        <w:numPr>
          <w:ilvl w:val="0"/>
          <w:numId w:val="1"/>
        </w:numPr>
        <w:spacing w:line="360" w:lineRule="auto"/>
        <w:ind w:left="0" w:firstLine="0"/>
        <w:jc w:val="both"/>
        <w:rPr>
          <w:rFonts w:ascii="Palatino Linotype" w:eastAsia="Palatino Linotype" w:hAnsi="Palatino Linotype" w:cs="Palatino Linotype"/>
          <w:b/>
          <w:bCs/>
        </w:rPr>
      </w:pPr>
      <w:r w:rsidRPr="00362FDF">
        <w:rPr>
          <w:rFonts w:ascii="Palatino Linotype" w:eastAsia="Palatino Linotype" w:hAnsi="Palatino Linotype" w:cs="Palatino Linotype"/>
          <w:color w:val="222222"/>
        </w:rPr>
        <w:lastRenderedPageBreak/>
        <w:t xml:space="preserve">Por lo anteriormente expuesto y fundado, este </w:t>
      </w:r>
      <w:r w:rsidRPr="00362FDF">
        <w:rPr>
          <w:rFonts w:ascii="Palatino Linotype" w:eastAsia="Palatino Linotype" w:hAnsi="Palatino Linotype" w:cs="Palatino Linotype"/>
          <w:b/>
          <w:bCs/>
          <w:color w:val="222222"/>
        </w:rPr>
        <w:t>ÓRGANO GARANTE</w:t>
      </w:r>
      <w:r w:rsidRPr="00362FDF">
        <w:rPr>
          <w:rFonts w:ascii="Palatino Linotype" w:eastAsia="Palatino Linotype" w:hAnsi="Palatino Linotype" w:cs="Palatino Linotype"/>
          <w:color w:val="222222"/>
        </w:rPr>
        <w:t xml:space="preserve"> emite los siguientes:</w:t>
      </w:r>
    </w:p>
    <w:p w14:paraId="755B2535" w14:textId="77777777" w:rsidR="00BE059F" w:rsidRPr="00362FDF" w:rsidRDefault="00BE059F">
      <w:pPr>
        <w:spacing w:line="360" w:lineRule="auto"/>
        <w:ind w:right="-592"/>
        <w:jc w:val="both"/>
        <w:rPr>
          <w:rFonts w:ascii="Palatino Linotype" w:eastAsia="Palatino Linotype" w:hAnsi="Palatino Linotype" w:cs="Palatino Linotype"/>
          <w:b/>
          <w:bCs/>
        </w:rPr>
      </w:pPr>
    </w:p>
    <w:p w14:paraId="44AF526C" w14:textId="77777777" w:rsidR="00BE059F" w:rsidRPr="00362FDF" w:rsidRDefault="006A37FD">
      <w:pPr>
        <w:keepNext/>
        <w:keepLines/>
        <w:spacing w:line="360" w:lineRule="auto"/>
        <w:ind w:right="-592"/>
        <w:jc w:val="center"/>
        <w:rPr>
          <w:rFonts w:ascii="Palatino Linotype" w:eastAsia="Palatino Linotype" w:hAnsi="Palatino Linotype" w:cs="Palatino Linotype"/>
          <w:b/>
          <w:bCs/>
          <w:color w:val="000000"/>
        </w:rPr>
      </w:pPr>
      <w:bookmarkStart w:id="10" w:name="_heading=h.ili7lk47j2e1" w:colFirst="0" w:colLast="0"/>
      <w:bookmarkEnd w:id="10"/>
      <w:r w:rsidRPr="00362FDF">
        <w:rPr>
          <w:rFonts w:ascii="Palatino Linotype" w:eastAsia="Palatino Linotype" w:hAnsi="Palatino Linotype" w:cs="Palatino Linotype"/>
          <w:b/>
          <w:bCs/>
          <w:color w:val="000000"/>
        </w:rPr>
        <w:t>R E S O L U T I V O S</w:t>
      </w:r>
    </w:p>
    <w:p w14:paraId="14F9CFEE" w14:textId="77777777" w:rsidR="00BE059F" w:rsidRPr="00362FDF" w:rsidRDefault="00BE059F">
      <w:pPr>
        <w:keepNext/>
        <w:keepLines/>
        <w:spacing w:line="360" w:lineRule="auto"/>
        <w:ind w:right="-592"/>
        <w:jc w:val="center"/>
        <w:rPr>
          <w:rFonts w:ascii="Palatino Linotype" w:eastAsia="Palatino Linotype" w:hAnsi="Palatino Linotype" w:cs="Palatino Linotype"/>
          <w:b/>
          <w:bCs/>
          <w:color w:val="000000"/>
        </w:rPr>
      </w:pPr>
    </w:p>
    <w:p w14:paraId="4EAA9701" w14:textId="77777777" w:rsidR="006A37FD" w:rsidRPr="00362FDF" w:rsidRDefault="006A37FD" w:rsidP="008B57C6">
      <w:pPr>
        <w:spacing w:line="360" w:lineRule="auto"/>
        <w:ind w:right="-29"/>
        <w:jc w:val="both"/>
        <w:rPr>
          <w:rFonts w:ascii="Palatino Linotype" w:eastAsia="Palatino Linotype" w:hAnsi="Palatino Linotype" w:cs="Palatino Linotype"/>
        </w:rPr>
      </w:pPr>
      <w:r w:rsidRPr="00362FDF">
        <w:rPr>
          <w:rFonts w:ascii="Palatino Linotype" w:eastAsia="Palatino Linotype" w:hAnsi="Palatino Linotype" w:cs="Palatino Linotype"/>
          <w:b/>
        </w:rPr>
        <w:t>PRIMERO</w:t>
      </w:r>
      <w:r w:rsidRPr="00362FDF">
        <w:rPr>
          <w:rFonts w:ascii="Palatino Linotype" w:eastAsia="Palatino Linotype" w:hAnsi="Palatino Linotype" w:cs="Palatino Linotype"/>
        </w:rPr>
        <w:t xml:space="preserve">. Resultan parcialmente fundadas las razones o motivos de inconformidad hechos valer en el Recursos de Revisión </w:t>
      </w:r>
      <w:r w:rsidRPr="00362FDF">
        <w:rPr>
          <w:rFonts w:ascii="Palatino Linotype" w:eastAsia="Palatino Linotype" w:hAnsi="Palatino Linotype" w:cs="Palatino Linotype"/>
          <w:b/>
        </w:rPr>
        <w:t xml:space="preserve">08708/INFOEM/IP/RR/2025 </w:t>
      </w:r>
      <w:r w:rsidRPr="00362FDF">
        <w:rPr>
          <w:rFonts w:ascii="Palatino Linotype" w:eastAsia="Palatino Linotype" w:hAnsi="Palatino Linotype" w:cs="Palatino Linotype"/>
        </w:rPr>
        <w:t xml:space="preserve">en términos del </w:t>
      </w:r>
      <w:r w:rsidRPr="00362FDF">
        <w:rPr>
          <w:rFonts w:ascii="Palatino Linotype" w:eastAsia="Palatino Linotype" w:hAnsi="Palatino Linotype" w:cs="Palatino Linotype"/>
          <w:b/>
        </w:rPr>
        <w:t xml:space="preserve">Considerando CUARTO y QUINTO </w:t>
      </w:r>
      <w:r w:rsidRPr="00362FDF">
        <w:rPr>
          <w:rFonts w:ascii="Palatino Linotype" w:eastAsia="Palatino Linotype" w:hAnsi="Palatino Linotype" w:cs="Palatino Linotype"/>
        </w:rPr>
        <w:t>de la presente resolución.</w:t>
      </w:r>
    </w:p>
    <w:p w14:paraId="016FEE63" w14:textId="77777777" w:rsidR="006A37FD" w:rsidRPr="00362FDF" w:rsidRDefault="006A37FD" w:rsidP="008B57C6">
      <w:pPr>
        <w:spacing w:line="360" w:lineRule="auto"/>
        <w:ind w:right="-29"/>
        <w:jc w:val="both"/>
        <w:rPr>
          <w:rFonts w:ascii="Palatino Linotype" w:eastAsia="Palatino Linotype" w:hAnsi="Palatino Linotype" w:cs="Palatino Linotype"/>
        </w:rPr>
      </w:pPr>
    </w:p>
    <w:p w14:paraId="3E190A75" w14:textId="77777777" w:rsidR="006A37FD" w:rsidRPr="00362FDF" w:rsidRDefault="006A37FD" w:rsidP="008B57C6">
      <w:pPr>
        <w:spacing w:line="360" w:lineRule="auto"/>
        <w:ind w:right="-29"/>
        <w:jc w:val="both"/>
        <w:rPr>
          <w:rFonts w:ascii="Palatino Linotype" w:eastAsia="Palatino Linotype" w:hAnsi="Palatino Linotype" w:cs="Palatino Linotype"/>
          <w:b/>
          <w:color w:val="000000"/>
        </w:rPr>
      </w:pPr>
      <w:bookmarkStart w:id="11" w:name="_heading=h.26in1rg" w:colFirst="0" w:colLast="0"/>
      <w:bookmarkEnd w:id="11"/>
      <w:r w:rsidRPr="00362FDF">
        <w:rPr>
          <w:rFonts w:ascii="Palatino Linotype" w:eastAsia="Palatino Linotype" w:hAnsi="Palatino Linotype" w:cs="Palatino Linotype"/>
          <w:b/>
        </w:rPr>
        <w:t xml:space="preserve">SEGUNDO. </w:t>
      </w:r>
      <w:r w:rsidRPr="00362FDF">
        <w:rPr>
          <w:rFonts w:ascii="Palatino Linotype" w:eastAsia="Palatino Linotype" w:hAnsi="Palatino Linotype" w:cs="Palatino Linotype"/>
          <w:color w:val="000000"/>
        </w:rPr>
        <w:t xml:space="preserve">Se </w:t>
      </w:r>
      <w:r w:rsidR="008B57C6" w:rsidRPr="00362FDF">
        <w:rPr>
          <w:rFonts w:ascii="Palatino Linotype" w:eastAsia="Palatino Linotype" w:hAnsi="Palatino Linotype" w:cs="Palatino Linotype"/>
          <w:b/>
          <w:color w:val="000000"/>
        </w:rPr>
        <w:t>MODIFICA</w:t>
      </w:r>
      <w:r w:rsidRPr="00362FDF">
        <w:rPr>
          <w:rFonts w:ascii="Palatino Linotype" w:eastAsia="Palatino Linotype" w:hAnsi="Palatino Linotype" w:cs="Palatino Linotype"/>
          <w:b/>
          <w:color w:val="000000"/>
        </w:rPr>
        <w:t xml:space="preserve"> </w:t>
      </w:r>
      <w:r w:rsidRPr="00362FDF">
        <w:rPr>
          <w:rFonts w:ascii="Palatino Linotype" w:eastAsia="Palatino Linotype" w:hAnsi="Palatino Linotype" w:cs="Palatino Linotype"/>
          <w:color w:val="000000"/>
        </w:rPr>
        <w:t xml:space="preserve">la respuesta emitida por el </w:t>
      </w:r>
      <w:r w:rsidRPr="00362FDF">
        <w:rPr>
          <w:rFonts w:ascii="Palatino Linotype" w:eastAsia="Palatino Linotype" w:hAnsi="Palatino Linotype" w:cs="Palatino Linotype"/>
          <w:b/>
          <w:color w:val="000000"/>
        </w:rPr>
        <w:t>Ayuntamiento de Tlalmanalco,</w:t>
      </w:r>
      <w:r w:rsidRPr="00362FDF">
        <w:rPr>
          <w:rFonts w:ascii="Palatino Linotype" w:eastAsia="Palatino Linotype" w:hAnsi="Palatino Linotype" w:cs="Palatino Linotype"/>
          <w:color w:val="000000"/>
        </w:rPr>
        <w:t xml:space="preserve"> a la </w:t>
      </w:r>
      <w:r w:rsidRPr="00362FDF">
        <w:rPr>
          <w:rFonts w:ascii="Palatino Linotype" w:eastAsia="Palatino Linotype" w:hAnsi="Palatino Linotype" w:cs="Palatino Linotype"/>
        </w:rPr>
        <w:t>solicitud de información pública registrada con el número</w:t>
      </w:r>
      <w:r w:rsidRPr="00362FDF">
        <w:rPr>
          <w:rFonts w:ascii="Palatino Linotype" w:eastAsia="Palatino Linotype" w:hAnsi="Palatino Linotype" w:cs="Palatino Linotype"/>
          <w:b/>
        </w:rPr>
        <w:t xml:space="preserve"> </w:t>
      </w:r>
      <w:r w:rsidRPr="00362FDF">
        <w:rPr>
          <w:rFonts w:ascii="Palatino Linotype" w:eastAsia="Palatino Linotype" w:hAnsi="Palatino Linotype" w:cs="Palatino Linotype"/>
          <w:b/>
          <w:bCs/>
        </w:rPr>
        <w:t xml:space="preserve">00172/TLALMANA/IP/2025 </w:t>
      </w:r>
      <w:r w:rsidRPr="00362FDF">
        <w:rPr>
          <w:rFonts w:ascii="Palatino Linotype" w:eastAsia="Palatino Linotype" w:hAnsi="Palatino Linotype" w:cs="Palatino Linotype"/>
          <w:color w:val="000000"/>
        </w:rPr>
        <w:t xml:space="preserve">y se </w:t>
      </w:r>
      <w:r w:rsidRPr="00362FDF">
        <w:rPr>
          <w:rFonts w:ascii="Palatino Linotype" w:eastAsia="Palatino Linotype" w:hAnsi="Palatino Linotype" w:cs="Palatino Linotype"/>
          <w:b/>
          <w:color w:val="000000"/>
        </w:rPr>
        <w:t>ORDENA</w:t>
      </w:r>
      <w:r w:rsidRPr="00362FDF">
        <w:rPr>
          <w:rFonts w:ascii="Palatino Linotype" w:eastAsia="Palatino Linotype" w:hAnsi="Palatino Linotype" w:cs="Palatino Linotype"/>
          <w:color w:val="000000"/>
        </w:rPr>
        <w:t xml:space="preserve"> entregar vía Sistema de Acceso a la Información Mexiquense </w:t>
      </w:r>
      <w:r w:rsidRPr="00362FDF">
        <w:rPr>
          <w:rFonts w:ascii="Palatino Linotype" w:eastAsia="Palatino Linotype" w:hAnsi="Palatino Linotype" w:cs="Palatino Linotype"/>
          <w:b/>
          <w:color w:val="000000"/>
        </w:rPr>
        <w:t xml:space="preserve">(SAIMEX), </w:t>
      </w:r>
      <w:r w:rsidRPr="00362FDF">
        <w:rPr>
          <w:rFonts w:ascii="Palatino Linotype" w:eastAsia="Palatino Linotype" w:hAnsi="Palatino Linotype" w:cs="Palatino Linotype"/>
          <w:b/>
          <w:bCs/>
          <w:color w:val="000000"/>
        </w:rPr>
        <w:t>en correcta versión pública, los reci</w:t>
      </w:r>
      <w:r w:rsidR="008B57C6" w:rsidRPr="00362FDF">
        <w:rPr>
          <w:rFonts w:ascii="Palatino Linotype" w:eastAsia="Palatino Linotype" w:hAnsi="Palatino Linotype" w:cs="Palatino Linotype"/>
          <w:b/>
          <w:bCs/>
          <w:color w:val="000000"/>
        </w:rPr>
        <w:t xml:space="preserve">bos de nómina proporcionados mediante </w:t>
      </w:r>
      <w:r w:rsidRPr="00362FDF">
        <w:rPr>
          <w:rFonts w:ascii="Palatino Linotype" w:eastAsia="Palatino Linotype" w:hAnsi="Palatino Linotype" w:cs="Palatino Linotype"/>
          <w:b/>
          <w:bCs/>
          <w:color w:val="000000"/>
        </w:rPr>
        <w:t>informe justificado.</w:t>
      </w:r>
    </w:p>
    <w:p w14:paraId="61B2F0B6" w14:textId="77777777" w:rsidR="006A37FD" w:rsidRPr="00362FDF" w:rsidRDefault="006A37FD" w:rsidP="008B57C6">
      <w:pPr>
        <w:spacing w:line="360" w:lineRule="auto"/>
        <w:ind w:right="-29"/>
        <w:jc w:val="both"/>
        <w:rPr>
          <w:rFonts w:ascii="Palatino Linotype" w:eastAsia="Palatino Linotype" w:hAnsi="Palatino Linotype" w:cs="Palatino Linotype"/>
        </w:rPr>
      </w:pPr>
    </w:p>
    <w:p w14:paraId="28C962FD" w14:textId="77777777" w:rsidR="006A37FD" w:rsidRPr="00362FDF" w:rsidRDefault="006A37FD" w:rsidP="008B57C6">
      <w:pPr>
        <w:spacing w:line="360" w:lineRule="auto"/>
        <w:ind w:right="-29"/>
        <w:jc w:val="both"/>
        <w:rPr>
          <w:rFonts w:ascii="Palatino Linotype" w:eastAsia="Palatino Linotype" w:hAnsi="Palatino Linotype" w:cs="Palatino Linotype"/>
          <w:b/>
        </w:rPr>
      </w:pPr>
      <w:r w:rsidRPr="00362FDF">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sidRPr="00362FDF">
        <w:rPr>
          <w:rFonts w:ascii="Palatino Linotype" w:eastAsia="Palatino Linotype" w:hAnsi="Palatino Linotype" w:cs="Palatino Linotype"/>
          <w:b/>
        </w:rPr>
        <w:t>RECURRENTE.</w:t>
      </w:r>
    </w:p>
    <w:p w14:paraId="50E75AD4" w14:textId="77777777" w:rsidR="006A37FD" w:rsidRPr="00362FDF" w:rsidRDefault="006A37FD" w:rsidP="008B57C6">
      <w:pPr>
        <w:spacing w:line="360" w:lineRule="auto"/>
        <w:ind w:right="-29"/>
        <w:jc w:val="both"/>
        <w:rPr>
          <w:rFonts w:ascii="Palatino Linotype" w:eastAsia="Palatino Linotype" w:hAnsi="Palatino Linotype" w:cs="Palatino Linotype"/>
          <w:b/>
        </w:rPr>
      </w:pPr>
    </w:p>
    <w:p w14:paraId="56944577" w14:textId="77777777" w:rsidR="006A37FD" w:rsidRPr="00362FDF" w:rsidRDefault="006A37FD" w:rsidP="008B57C6">
      <w:pPr>
        <w:tabs>
          <w:tab w:val="left" w:pos="8080"/>
        </w:tabs>
        <w:spacing w:line="360" w:lineRule="auto"/>
        <w:ind w:right="-29"/>
        <w:jc w:val="both"/>
        <w:rPr>
          <w:rFonts w:ascii="Palatino Linotype" w:eastAsia="Palatino Linotype" w:hAnsi="Palatino Linotype" w:cs="Palatino Linotype"/>
          <w:b/>
        </w:rPr>
      </w:pPr>
      <w:bookmarkStart w:id="12" w:name="_heading=h.lnxbz9" w:colFirst="0" w:colLast="0"/>
      <w:bookmarkEnd w:id="12"/>
      <w:r w:rsidRPr="00362FDF">
        <w:rPr>
          <w:rFonts w:ascii="Palatino Linotype" w:eastAsia="Palatino Linotype" w:hAnsi="Palatino Linotype" w:cs="Palatino Linotype"/>
          <w:b/>
        </w:rPr>
        <w:t xml:space="preserve">TERCERO. NOTIFÍQUESE </w:t>
      </w:r>
      <w:r w:rsidRPr="00362FDF">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362FDF">
        <w:rPr>
          <w:rFonts w:ascii="Palatino Linotype" w:eastAsia="Palatino Linotype" w:hAnsi="Palatino Linotype" w:cs="Palatino Linotype"/>
          <w:b/>
        </w:rPr>
        <w:t xml:space="preserve">dé cumplimiento a lo ordenado dentro del plazo de diez días </w:t>
      </w:r>
      <w:r w:rsidRPr="00362FDF">
        <w:rPr>
          <w:rFonts w:ascii="Palatino Linotype" w:eastAsia="Palatino Linotype" w:hAnsi="Palatino Linotype" w:cs="Palatino Linotype"/>
          <w:b/>
        </w:rPr>
        <w:lastRenderedPageBreak/>
        <w:t>hábiles,</w:t>
      </w:r>
      <w:r w:rsidRPr="00362FDF">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139C6E4" w14:textId="77777777" w:rsidR="006A37FD" w:rsidRPr="00362FDF" w:rsidRDefault="006A37FD" w:rsidP="008B57C6">
      <w:pPr>
        <w:tabs>
          <w:tab w:val="left" w:pos="8080"/>
        </w:tabs>
        <w:spacing w:line="360" w:lineRule="auto"/>
        <w:ind w:right="-29"/>
        <w:jc w:val="both"/>
        <w:rPr>
          <w:rFonts w:ascii="Palatino Linotype" w:eastAsia="Palatino Linotype" w:hAnsi="Palatino Linotype" w:cs="Palatino Linotype"/>
        </w:rPr>
      </w:pPr>
    </w:p>
    <w:p w14:paraId="708FD871" w14:textId="77777777" w:rsidR="006A37FD" w:rsidRPr="00362FDF" w:rsidRDefault="006A37FD" w:rsidP="008B57C6">
      <w:pPr>
        <w:spacing w:line="360" w:lineRule="auto"/>
        <w:ind w:right="-29"/>
        <w:jc w:val="both"/>
        <w:rPr>
          <w:rFonts w:ascii="Palatino Linotype" w:eastAsia="Palatino Linotype" w:hAnsi="Palatino Linotype" w:cs="Palatino Linotype"/>
        </w:rPr>
      </w:pPr>
      <w:r w:rsidRPr="00362FDF">
        <w:rPr>
          <w:rFonts w:ascii="Palatino Linotype" w:eastAsia="Palatino Linotype" w:hAnsi="Palatino Linotype" w:cs="Palatino Linotype"/>
          <w:b/>
        </w:rPr>
        <w:t xml:space="preserve">CUARTO. </w:t>
      </w:r>
      <w:r w:rsidRPr="00362FD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362FDF">
        <w:rPr>
          <w:rFonts w:ascii="Palatino Linotype" w:eastAsia="Palatino Linotype" w:hAnsi="Palatino Linotype" w:cs="Palatino Linotype"/>
          <w:b/>
        </w:rPr>
        <w:t>SUJETO OBLIGADO</w:t>
      </w:r>
      <w:r w:rsidRPr="00362FDF">
        <w:rPr>
          <w:rFonts w:ascii="Palatino Linotype" w:eastAsia="Palatino Linotype" w:hAnsi="Palatino Linotype" w:cs="Palatino Linotype"/>
        </w:rPr>
        <w:t xml:space="preserve"> de manera fundada y motivada, podrá solicitar una ampliación de plazo para el cumplimiento de la presente resolución.</w:t>
      </w:r>
    </w:p>
    <w:p w14:paraId="596F490E" w14:textId="77777777" w:rsidR="006A37FD" w:rsidRPr="00362FDF" w:rsidRDefault="006A37FD" w:rsidP="008B57C6">
      <w:pPr>
        <w:spacing w:line="360" w:lineRule="auto"/>
        <w:ind w:right="-29"/>
        <w:jc w:val="both"/>
        <w:rPr>
          <w:rFonts w:ascii="Palatino Linotype" w:eastAsia="Palatino Linotype" w:hAnsi="Palatino Linotype" w:cs="Palatino Linotype"/>
        </w:rPr>
      </w:pPr>
    </w:p>
    <w:p w14:paraId="1D528E68" w14:textId="77777777" w:rsidR="006A37FD" w:rsidRPr="00362FDF" w:rsidRDefault="006A37FD" w:rsidP="008B57C6">
      <w:pPr>
        <w:tabs>
          <w:tab w:val="left" w:pos="8080"/>
        </w:tabs>
        <w:spacing w:line="360" w:lineRule="auto"/>
        <w:ind w:right="-29"/>
        <w:jc w:val="both"/>
        <w:rPr>
          <w:rFonts w:ascii="Palatino Linotype" w:eastAsia="Palatino Linotype" w:hAnsi="Palatino Linotype" w:cs="Palatino Linotype"/>
        </w:rPr>
      </w:pPr>
      <w:bookmarkStart w:id="13" w:name="_heading=h.35nkun2" w:colFirst="0" w:colLast="0"/>
      <w:bookmarkEnd w:id="13"/>
      <w:r w:rsidRPr="00362FDF">
        <w:rPr>
          <w:rFonts w:ascii="Palatino Linotype" w:eastAsia="Palatino Linotype" w:hAnsi="Palatino Linotype" w:cs="Palatino Linotype"/>
          <w:b/>
        </w:rPr>
        <w:t xml:space="preserve">QUINTO. </w:t>
      </w:r>
      <w:r w:rsidRPr="00362FDF">
        <w:rPr>
          <w:rFonts w:ascii="Palatino Linotype" w:eastAsia="Palatino Linotype" w:hAnsi="Palatino Linotype" w:cs="Palatino Linotype"/>
        </w:rPr>
        <w:t>Notifíquese a la parte</w:t>
      </w:r>
      <w:r w:rsidRPr="00362FDF">
        <w:rPr>
          <w:rFonts w:ascii="Palatino Linotype" w:eastAsia="Palatino Linotype" w:hAnsi="Palatino Linotype" w:cs="Palatino Linotype"/>
          <w:b/>
        </w:rPr>
        <w:t xml:space="preserve"> RECURRENTE</w:t>
      </w:r>
      <w:r w:rsidRPr="00362FDF">
        <w:rPr>
          <w:rFonts w:ascii="Palatino Linotype" w:eastAsia="Palatino Linotype" w:hAnsi="Palatino Linotype" w:cs="Palatino Linotype"/>
        </w:rPr>
        <w:t xml:space="preserve"> la presente resolución, vía </w:t>
      </w:r>
      <w:r w:rsidRPr="00362FDF">
        <w:rPr>
          <w:rFonts w:ascii="Palatino Linotype" w:eastAsia="Palatino Linotype" w:hAnsi="Palatino Linotype" w:cs="Palatino Linotype"/>
          <w:b/>
        </w:rPr>
        <w:t>SAIMEX.</w:t>
      </w:r>
    </w:p>
    <w:p w14:paraId="032DE9FA" w14:textId="77777777" w:rsidR="006A37FD" w:rsidRPr="00362FDF" w:rsidRDefault="006A37FD" w:rsidP="008B57C6">
      <w:pPr>
        <w:tabs>
          <w:tab w:val="left" w:pos="8080"/>
        </w:tabs>
        <w:spacing w:line="360" w:lineRule="auto"/>
        <w:ind w:right="-29"/>
        <w:jc w:val="both"/>
        <w:rPr>
          <w:rFonts w:ascii="Palatino Linotype" w:eastAsia="Palatino Linotype" w:hAnsi="Palatino Linotype" w:cs="Palatino Linotype"/>
        </w:rPr>
      </w:pPr>
    </w:p>
    <w:p w14:paraId="1375C628" w14:textId="77777777" w:rsidR="006A37FD" w:rsidRPr="00362FDF" w:rsidRDefault="006A37FD" w:rsidP="008B57C6">
      <w:pPr>
        <w:shd w:val="clear" w:color="auto" w:fill="FFFFFF"/>
        <w:spacing w:line="360" w:lineRule="auto"/>
        <w:ind w:right="-29"/>
        <w:jc w:val="both"/>
        <w:rPr>
          <w:rFonts w:ascii="Palatino Linotype" w:eastAsia="Palatino Linotype" w:hAnsi="Palatino Linotype" w:cs="Palatino Linotype"/>
        </w:rPr>
      </w:pPr>
      <w:r w:rsidRPr="00362FDF">
        <w:rPr>
          <w:rFonts w:ascii="Palatino Linotype" w:eastAsia="Palatino Linotype" w:hAnsi="Palatino Linotype" w:cs="Palatino Linotype"/>
          <w:b/>
        </w:rPr>
        <w:t>SEXTO.</w:t>
      </w:r>
      <w:r w:rsidRPr="00362FDF">
        <w:rPr>
          <w:rFonts w:ascii="Palatino Linotype" w:eastAsia="Palatino Linotype" w:hAnsi="Palatino Linotype" w:cs="Palatino Linotype"/>
        </w:rPr>
        <w:t xml:space="preserve"> Se hace del conocimiento de la parte</w:t>
      </w:r>
      <w:r w:rsidRPr="00362FDF">
        <w:rPr>
          <w:rFonts w:ascii="Palatino Linotype" w:eastAsia="Palatino Linotype" w:hAnsi="Palatino Linotype" w:cs="Palatino Linotype"/>
          <w:b/>
        </w:rPr>
        <w:t xml:space="preserve"> RECURRENTE</w:t>
      </w:r>
      <w:r w:rsidRPr="00362FD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83FB810" w14:textId="77777777" w:rsidR="00BE059F" w:rsidRPr="00362FDF" w:rsidRDefault="00BE059F" w:rsidP="008B57C6">
      <w:pPr>
        <w:spacing w:before="240" w:after="240"/>
        <w:ind w:right="-29"/>
        <w:jc w:val="both"/>
        <w:rPr>
          <w:rFonts w:ascii="Palatino Linotype" w:eastAsia="Palatino Linotype" w:hAnsi="Palatino Linotype" w:cs="Palatino Linotype"/>
          <w:b/>
          <w:bCs/>
        </w:rPr>
      </w:pPr>
    </w:p>
    <w:p w14:paraId="405E0E69" w14:textId="2D953E82" w:rsidR="00E7726C" w:rsidRPr="00362FDF" w:rsidRDefault="00E7726C" w:rsidP="00E7726C">
      <w:pPr>
        <w:spacing w:before="240" w:after="240" w:line="360" w:lineRule="auto"/>
        <w:ind w:firstLine="1"/>
        <w:jc w:val="both"/>
        <w:rPr>
          <w:rFonts w:ascii="Palatino Linotype" w:hAnsi="Palatino Linotype"/>
        </w:rPr>
      </w:pPr>
      <w:bookmarkStart w:id="14" w:name="_Hlk99014733"/>
      <w:r w:rsidRPr="00362FDF">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677BF" w:rsidRPr="00362FDF">
        <w:rPr>
          <w:rFonts w:ascii="Palatino Linotype" w:hAnsi="Palatino Linotype" w:cs="Palatino Linotype"/>
        </w:rPr>
        <w:t xml:space="preserve"> </w:t>
      </w:r>
      <w:r w:rsidR="009677BF" w:rsidRPr="00362FDF">
        <w:rPr>
          <w:rFonts w:ascii="Palatino Linotype" w:hAnsi="Palatino Linotype"/>
        </w:rPr>
        <w:t>EMITIENDO VOTO PARTICULAR</w:t>
      </w:r>
      <w:r w:rsidRPr="00362FDF">
        <w:rPr>
          <w:rFonts w:ascii="Palatino Linotype" w:hAnsi="Palatino Linotype" w:cs="Palatino Linotype"/>
        </w:rPr>
        <w:t xml:space="preserve"> Y GUADALUPE RAMÍREZ PEÑA</w:t>
      </w:r>
      <w:r w:rsidR="009677BF" w:rsidRPr="00362FDF">
        <w:rPr>
          <w:rFonts w:ascii="Palatino Linotype" w:hAnsi="Palatino Linotype" w:cs="Palatino Linotype"/>
        </w:rPr>
        <w:t xml:space="preserve"> </w:t>
      </w:r>
      <w:r w:rsidR="009677BF" w:rsidRPr="00362FDF">
        <w:rPr>
          <w:rFonts w:ascii="Palatino Linotype" w:hAnsi="Palatino Linotype"/>
        </w:rPr>
        <w:t xml:space="preserve">EMITIENDO VOTO </w:t>
      </w:r>
      <w:r w:rsidR="009677BF" w:rsidRPr="00362FDF">
        <w:rPr>
          <w:rFonts w:ascii="Palatino Linotype" w:hAnsi="Palatino Linotype"/>
        </w:rPr>
        <w:lastRenderedPageBreak/>
        <w:t>PARTICULAR</w:t>
      </w:r>
      <w:r w:rsidRPr="00362FDF">
        <w:rPr>
          <w:rFonts w:ascii="Palatino Linotype" w:hAnsi="Palatino Linotype" w:cs="Palatino Linotype"/>
        </w:rPr>
        <w:t xml:space="preserve">; EN LA OCTAVA SESIÓN ORDINARIA, CELEBRADA EL CINCO (05) DE MARZO DE DOS MIL VEINTISÉIS, ANTE EL SECRETARIO TÉCNICO DEL PLENO </w:t>
      </w:r>
      <w:r w:rsidRPr="00362FDF">
        <w:rPr>
          <w:rFonts w:ascii="Palatino Linotype" w:hAnsi="Palatino Linotype" w:cs="Palatino Linotype"/>
          <w:color w:val="000000" w:themeColor="text1"/>
        </w:rPr>
        <w:t>ALEXIS TAPIA RAMÍREZ.</w:t>
      </w:r>
    </w:p>
    <w:bookmarkEnd w:id="14"/>
    <w:p w14:paraId="5C0A9A2D" w14:textId="77777777" w:rsidR="00BE059F" w:rsidRPr="00362FDF" w:rsidRDefault="00BE059F">
      <w:pPr>
        <w:spacing w:line="360" w:lineRule="auto"/>
        <w:ind w:right="-592"/>
        <w:jc w:val="both"/>
        <w:rPr>
          <w:rFonts w:ascii="Palatino Linotype" w:eastAsia="Palatino Linotype" w:hAnsi="Palatino Linotype" w:cs="Palatino Linotype"/>
        </w:rPr>
      </w:pPr>
    </w:p>
    <w:p w14:paraId="1DC99E32" w14:textId="77777777" w:rsidR="00BE059F" w:rsidRPr="00362FDF" w:rsidRDefault="00BE059F">
      <w:pPr>
        <w:spacing w:line="360" w:lineRule="auto"/>
        <w:ind w:right="-592"/>
        <w:jc w:val="both"/>
        <w:rPr>
          <w:rFonts w:ascii="Palatino Linotype" w:eastAsia="Palatino Linotype" w:hAnsi="Palatino Linotype" w:cs="Palatino Linotype"/>
        </w:rPr>
      </w:pPr>
    </w:p>
    <w:p w14:paraId="5AC6A294" w14:textId="77777777" w:rsidR="00BE059F" w:rsidRPr="00362FDF" w:rsidRDefault="00BE059F">
      <w:pPr>
        <w:spacing w:line="360" w:lineRule="auto"/>
        <w:ind w:right="-592"/>
        <w:jc w:val="both"/>
        <w:rPr>
          <w:rFonts w:ascii="Palatino Linotype" w:eastAsia="Palatino Linotype" w:hAnsi="Palatino Linotype" w:cs="Palatino Linotype"/>
        </w:rPr>
      </w:pPr>
    </w:p>
    <w:p w14:paraId="1157ED5F" w14:textId="77777777" w:rsidR="00BE059F" w:rsidRPr="00362FDF" w:rsidRDefault="00BE059F">
      <w:pPr>
        <w:spacing w:line="360" w:lineRule="auto"/>
        <w:ind w:right="-592"/>
        <w:jc w:val="both"/>
        <w:rPr>
          <w:rFonts w:ascii="Palatino Linotype" w:eastAsia="Palatino Linotype" w:hAnsi="Palatino Linotype" w:cs="Palatino Linotype"/>
        </w:rPr>
      </w:pPr>
    </w:p>
    <w:p w14:paraId="753A14AC" w14:textId="77777777" w:rsidR="00BE059F" w:rsidRPr="00362FDF" w:rsidRDefault="00BE059F">
      <w:pPr>
        <w:spacing w:line="360" w:lineRule="auto"/>
        <w:ind w:right="-592"/>
        <w:jc w:val="both"/>
        <w:rPr>
          <w:rFonts w:ascii="Palatino Linotype" w:eastAsia="Palatino Linotype" w:hAnsi="Palatino Linotype" w:cs="Palatino Linotype"/>
        </w:rPr>
      </w:pPr>
    </w:p>
    <w:p w14:paraId="50380F68" w14:textId="77777777" w:rsidR="00BE059F" w:rsidRPr="00362FDF" w:rsidRDefault="00BE059F">
      <w:pPr>
        <w:spacing w:line="360" w:lineRule="auto"/>
        <w:ind w:right="-592"/>
        <w:jc w:val="both"/>
        <w:rPr>
          <w:rFonts w:ascii="Palatino Linotype" w:eastAsia="Palatino Linotype" w:hAnsi="Palatino Linotype" w:cs="Palatino Linotype"/>
        </w:rPr>
      </w:pPr>
    </w:p>
    <w:p w14:paraId="11B3EB9D" w14:textId="77777777" w:rsidR="00BE059F" w:rsidRPr="00362FDF" w:rsidRDefault="00BE059F">
      <w:pPr>
        <w:spacing w:line="360" w:lineRule="auto"/>
        <w:ind w:right="-592"/>
        <w:jc w:val="both"/>
        <w:rPr>
          <w:rFonts w:ascii="Palatino Linotype" w:eastAsia="Palatino Linotype" w:hAnsi="Palatino Linotype" w:cs="Palatino Linotype"/>
        </w:rPr>
      </w:pPr>
    </w:p>
    <w:p w14:paraId="3E62AFEA" w14:textId="77777777" w:rsidR="00BE059F" w:rsidRPr="00362FDF" w:rsidRDefault="00BE059F">
      <w:pPr>
        <w:spacing w:line="360" w:lineRule="auto"/>
        <w:ind w:right="-592"/>
        <w:jc w:val="both"/>
        <w:rPr>
          <w:rFonts w:ascii="Palatino Linotype" w:eastAsia="Palatino Linotype" w:hAnsi="Palatino Linotype" w:cs="Palatino Linotype"/>
        </w:rPr>
      </w:pPr>
    </w:p>
    <w:p w14:paraId="6B038197" w14:textId="77777777" w:rsidR="00BE059F" w:rsidRPr="00362FDF" w:rsidRDefault="00BE059F">
      <w:pPr>
        <w:spacing w:line="360" w:lineRule="auto"/>
        <w:ind w:right="-592"/>
        <w:jc w:val="both"/>
        <w:rPr>
          <w:rFonts w:ascii="Palatino Linotype" w:eastAsia="Palatino Linotype" w:hAnsi="Palatino Linotype" w:cs="Palatino Linotype"/>
        </w:rPr>
      </w:pPr>
    </w:p>
    <w:p w14:paraId="008F790B" w14:textId="77777777" w:rsidR="00BE059F" w:rsidRPr="00362FDF" w:rsidRDefault="00BE059F">
      <w:pPr>
        <w:spacing w:line="360" w:lineRule="auto"/>
        <w:ind w:right="-592"/>
        <w:rPr>
          <w:rFonts w:ascii="Palatino Linotype" w:eastAsia="Palatino Linotype" w:hAnsi="Palatino Linotype" w:cs="Palatino Linotype"/>
        </w:rPr>
      </w:pPr>
    </w:p>
    <w:p w14:paraId="1B233FCA" w14:textId="77777777" w:rsidR="00BE059F" w:rsidRDefault="00BE059F">
      <w:pPr>
        <w:spacing w:line="360" w:lineRule="auto"/>
        <w:ind w:right="-592"/>
        <w:rPr>
          <w:rFonts w:ascii="Palatino Linotype" w:eastAsia="Palatino Linotype" w:hAnsi="Palatino Linotype" w:cs="Palatino Linotype"/>
        </w:rPr>
      </w:pPr>
    </w:p>
    <w:p w14:paraId="5A2E8C44" w14:textId="77777777" w:rsidR="00362FDF" w:rsidRDefault="00362FDF">
      <w:pPr>
        <w:spacing w:line="360" w:lineRule="auto"/>
        <w:ind w:right="-592"/>
        <w:rPr>
          <w:rFonts w:ascii="Palatino Linotype" w:eastAsia="Palatino Linotype" w:hAnsi="Palatino Linotype" w:cs="Palatino Linotype"/>
        </w:rPr>
      </w:pPr>
    </w:p>
    <w:p w14:paraId="46C80124" w14:textId="77777777" w:rsidR="00362FDF" w:rsidRDefault="00362FDF">
      <w:pPr>
        <w:spacing w:line="360" w:lineRule="auto"/>
        <w:ind w:right="-592"/>
        <w:rPr>
          <w:rFonts w:ascii="Palatino Linotype" w:eastAsia="Palatino Linotype" w:hAnsi="Palatino Linotype" w:cs="Palatino Linotype"/>
        </w:rPr>
      </w:pPr>
    </w:p>
    <w:p w14:paraId="01E0A643" w14:textId="77777777" w:rsidR="00362FDF" w:rsidRDefault="00362FDF">
      <w:pPr>
        <w:spacing w:line="360" w:lineRule="auto"/>
        <w:ind w:right="-592"/>
        <w:rPr>
          <w:rFonts w:ascii="Palatino Linotype" w:eastAsia="Palatino Linotype" w:hAnsi="Palatino Linotype" w:cs="Palatino Linotype"/>
        </w:rPr>
      </w:pPr>
    </w:p>
    <w:p w14:paraId="22570633" w14:textId="77777777" w:rsidR="00362FDF" w:rsidRDefault="00362FDF">
      <w:pPr>
        <w:spacing w:line="360" w:lineRule="auto"/>
        <w:ind w:right="-592"/>
        <w:rPr>
          <w:rFonts w:ascii="Palatino Linotype" w:eastAsia="Palatino Linotype" w:hAnsi="Palatino Linotype" w:cs="Palatino Linotype"/>
        </w:rPr>
      </w:pPr>
    </w:p>
    <w:p w14:paraId="7F958C4C" w14:textId="77777777" w:rsidR="00362FDF" w:rsidRDefault="00362FDF">
      <w:pPr>
        <w:spacing w:line="360" w:lineRule="auto"/>
        <w:ind w:right="-592"/>
        <w:rPr>
          <w:rFonts w:ascii="Palatino Linotype" w:eastAsia="Palatino Linotype" w:hAnsi="Palatino Linotype" w:cs="Palatino Linotype"/>
        </w:rPr>
      </w:pPr>
    </w:p>
    <w:p w14:paraId="2734322D" w14:textId="77777777" w:rsidR="00362FDF" w:rsidRDefault="00362FDF">
      <w:pPr>
        <w:spacing w:line="360" w:lineRule="auto"/>
        <w:ind w:right="-592"/>
        <w:rPr>
          <w:rFonts w:ascii="Palatino Linotype" w:eastAsia="Palatino Linotype" w:hAnsi="Palatino Linotype" w:cs="Palatino Linotype"/>
        </w:rPr>
      </w:pPr>
    </w:p>
    <w:p w14:paraId="1875B7D9" w14:textId="77777777" w:rsidR="00362FDF" w:rsidRDefault="00362FDF">
      <w:pPr>
        <w:spacing w:line="360" w:lineRule="auto"/>
        <w:ind w:right="-592"/>
        <w:rPr>
          <w:rFonts w:ascii="Palatino Linotype" w:eastAsia="Palatino Linotype" w:hAnsi="Palatino Linotype" w:cs="Palatino Linotype"/>
        </w:rPr>
      </w:pPr>
    </w:p>
    <w:p w14:paraId="771ACEF4" w14:textId="77777777" w:rsidR="00362FDF" w:rsidRPr="00362FDF" w:rsidRDefault="00362FDF">
      <w:pPr>
        <w:spacing w:line="360" w:lineRule="auto"/>
        <w:ind w:right="-592"/>
        <w:rPr>
          <w:rFonts w:ascii="Palatino Linotype" w:eastAsia="Palatino Linotype" w:hAnsi="Palatino Linotype" w:cs="Palatino Linotype"/>
        </w:rPr>
      </w:pPr>
    </w:p>
    <w:p w14:paraId="3252E2FB" w14:textId="77777777" w:rsidR="00BE059F" w:rsidRPr="00362FDF" w:rsidRDefault="00BE059F">
      <w:pPr>
        <w:spacing w:line="360" w:lineRule="auto"/>
        <w:ind w:right="-592"/>
        <w:rPr>
          <w:rFonts w:ascii="Palatino Linotype" w:eastAsia="Palatino Linotype" w:hAnsi="Palatino Linotype" w:cs="Palatino Linotype"/>
        </w:rPr>
      </w:pPr>
    </w:p>
    <w:p w14:paraId="30DA77CF" w14:textId="77777777" w:rsidR="00BE059F" w:rsidRPr="00362FDF" w:rsidRDefault="00BE059F">
      <w:pPr>
        <w:spacing w:line="360" w:lineRule="auto"/>
        <w:ind w:right="-592"/>
        <w:rPr>
          <w:rFonts w:ascii="Palatino Linotype" w:eastAsia="Palatino Linotype" w:hAnsi="Palatino Linotype" w:cs="Palatino Linotype"/>
        </w:rPr>
      </w:pPr>
    </w:p>
    <w:p w14:paraId="4833205F" w14:textId="77777777" w:rsidR="00BE059F" w:rsidRPr="00362FDF" w:rsidRDefault="00BE059F">
      <w:pPr>
        <w:spacing w:line="360" w:lineRule="auto"/>
        <w:ind w:right="-592"/>
        <w:rPr>
          <w:rFonts w:ascii="Palatino Linotype" w:eastAsia="Palatino Linotype" w:hAnsi="Palatino Linotype" w:cs="Palatino Linotype"/>
        </w:rPr>
      </w:pPr>
    </w:p>
    <w:p w14:paraId="6C6DA860" w14:textId="77777777" w:rsidR="00BE059F" w:rsidRPr="00362FDF" w:rsidRDefault="00BE059F">
      <w:pPr>
        <w:spacing w:line="360" w:lineRule="auto"/>
        <w:ind w:right="-592"/>
        <w:rPr>
          <w:rFonts w:ascii="Palatino Linotype" w:eastAsia="Palatino Linotype" w:hAnsi="Palatino Linotype" w:cs="Palatino Linotype"/>
        </w:rPr>
      </w:pPr>
    </w:p>
    <w:p w14:paraId="45E15486" w14:textId="77777777" w:rsidR="00BE059F" w:rsidRPr="00362FDF" w:rsidRDefault="00BE059F">
      <w:pPr>
        <w:ind w:right="-592"/>
        <w:rPr>
          <w:rFonts w:ascii="Palatino Linotype" w:eastAsia="Palatino Linotype" w:hAnsi="Palatino Linotype" w:cs="Palatino Linotype"/>
        </w:rPr>
      </w:pPr>
    </w:p>
    <w:sectPr w:rsidR="00BE059F" w:rsidRPr="00362FDF" w:rsidSect="00362FDF">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AF440" w14:textId="77777777" w:rsidR="0052185E" w:rsidRDefault="0052185E">
      <w:r>
        <w:separator/>
      </w:r>
    </w:p>
  </w:endnote>
  <w:endnote w:type="continuationSeparator" w:id="0">
    <w:p w14:paraId="152B29BF" w14:textId="77777777" w:rsidR="0052185E" w:rsidRDefault="0052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0945CF7B-882B-4F48-B3F0-8BF4003A7082}"/>
    <w:embedBold r:id="rId2" w:fontKey="{3AB48505-0CA8-4909-88FE-3AEBD63339D5}"/>
    <w:embedItalic r:id="rId3" w:fontKey="{623D54E9-37EF-43D8-8925-4B87D13DDC95}"/>
    <w:embedBoldItalic r:id="rId4" w:fontKey="{AC4A5F75-2764-43EF-91FE-77E5B094D10E}"/>
  </w:font>
  <w:font w:name="Noto Sans Symbols">
    <w:altName w:val="Times New Roman"/>
    <w:charset w:val="00"/>
    <w:family w:val="auto"/>
    <w:pitch w:val="default"/>
    <w:embedRegular r:id="rId5" w:fontKey="{819B18DC-02DB-41FE-BADE-A5FC6599862C}"/>
  </w:font>
  <w:font w:name="Calibri">
    <w:panose1 w:val="020F0502020204030204"/>
    <w:charset w:val="00"/>
    <w:family w:val="swiss"/>
    <w:pitch w:val="variable"/>
    <w:sig w:usb0="E4002EFF" w:usb1="C200247B" w:usb2="00000009" w:usb3="00000000" w:csb0="000001FF" w:csb1="00000000"/>
    <w:embedRegular r:id="rId6" w:fontKey="{FFA3A7DE-2C4C-4987-BC29-F5EA5D755F2F}"/>
    <w:embedBold r:id="rId7" w:fontKey="{7F985C03-D25A-4D58-8904-B6CA29511390}"/>
  </w:font>
  <w:font w:name="Calibri Light">
    <w:panose1 w:val="020F0302020204030204"/>
    <w:charset w:val="00"/>
    <w:family w:val="swiss"/>
    <w:pitch w:val="variable"/>
    <w:sig w:usb0="E4002EFF" w:usb1="C200247B" w:usb2="00000009" w:usb3="00000000" w:csb0="000001FF" w:csb1="00000000"/>
    <w:embedRegular r:id="rId8" w:fontKey="{CD79EF32-77EA-43BE-AD4A-28AA482DA7A4}"/>
  </w:font>
  <w:font w:name="Century Gothic">
    <w:panose1 w:val="020B0502020202020204"/>
    <w:charset w:val="00"/>
    <w:family w:val="swiss"/>
    <w:pitch w:val="variable"/>
    <w:sig w:usb0="00000287" w:usb1="00000000" w:usb2="00000000" w:usb3="00000000" w:csb0="0000009F" w:csb1="00000000"/>
    <w:embedRegular r:id="rId9" w:fontKey="{E597946D-11E4-470C-B3C1-AEF411B25D95}"/>
  </w:font>
  <w:font w:name="Segoe UI">
    <w:panose1 w:val="020B0502040204020203"/>
    <w:charset w:val="00"/>
    <w:family w:val="swiss"/>
    <w:pitch w:val="variable"/>
    <w:sig w:usb0="E4002EFF" w:usb1="C000E47F" w:usb2="00000009" w:usb3="00000000" w:csb0="000001FF" w:csb1="00000000"/>
    <w:embedRegular r:id="rId10" w:fontKey="{D010547F-2DC3-449B-B484-BB0D091FBD0B}"/>
  </w:font>
  <w:font w:name="Georgia">
    <w:panose1 w:val="02040502050405020303"/>
    <w:charset w:val="00"/>
    <w:family w:val="roman"/>
    <w:pitch w:val="variable"/>
    <w:sig w:usb0="00000287" w:usb1="00000000" w:usb2="00000000" w:usb3="00000000" w:csb0="0000009F" w:csb1="00000000"/>
    <w:embedItalic r:id="rId11" w:fontKey="{48FA982A-C41E-4EFB-972B-1DCE4A398193}"/>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12" w:fontKey="{CEEEF6F2-3283-4B04-99E8-1391846912EF}"/>
    <w:embedBold r:id="rId13" w:fontKey="{09A1F167-34CE-4892-8F38-B15B1A43D0F7}"/>
  </w:font>
  <w:font w:name="Garamond">
    <w:panose1 w:val="02020404030301010803"/>
    <w:charset w:val="00"/>
    <w:family w:val="roman"/>
    <w:pitch w:val="variable"/>
    <w:sig w:usb0="00000287" w:usb1="00000000" w:usb2="00000000" w:usb3="00000000" w:csb0="0000009F" w:csb1="00000000"/>
    <w:embedRegular r:id="rId14" w:fontKey="{AA98556D-027E-4B3C-9F91-34B8B30A8F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253B" w14:textId="77777777" w:rsidR="006A37FD" w:rsidRPr="00362FDF" w:rsidRDefault="006A37F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362FDF">
      <w:rPr>
        <w:rFonts w:ascii="Palatino Linotype" w:hAnsi="Palatino Linotype"/>
        <w:b/>
        <w:color w:val="000000"/>
        <w:sz w:val="22"/>
      </w:rPr>
      <w:t xml:space="preserve">Página </w:t>
    </w:r>
    <w:r w:rsidRPr="00362FDF">
      <w:rPr>
        <w:rFonts w:ascii="Palatino Linotype" w:hAnsi="Palatino Linotype"/>
        <w:b/>
        <w:bCs/>
        <w:color w:val="000000"/>
        <w:sz w:val="22"/>
      </w:rPr>
      <w:fldChar w:fldCharType="begin"/>
    </w:r>
    <w:r w:rsidRPr="00362FDF">
      <w:rPr>
        <w:rFonts w:ascii="Palatino Linotype" w:hAnsi="Palatino Linotype"/>
        <w:b/>
        <w:bCs/>
        <w:color w:val="000000"/>
        <w:sz w:val="22"/>
      </w:rPr>
      <w:instrText>PAGE</w:instrText>
    </w:r>
    <w:r w:rsidRPr="00362FDF">
      <w:rPr>
        <w:rFonts w:ascii="Palatino Linotype" w:hAnsi="Palatino Linotype"/>
        <w:b/>
        <w:bCs/>
        <w:color w:val="000000"/>
        <w:sz w:val="22"/>
      </w:rPr>
      <w:fldChar w:fldCharType="separate"/>
    </w:r>
    <w:r w:rsidR="00CD5D08">
      <w:rPr>
        <w:rFonts w:ascii="Palatino Linotype" w:hAnsi="Palatino Linotype"/>
        <w:b/>
        <w:bCs/>
        <w:noProof/>
        <w:color w:val="000000"/>
        <w:sz w:val="22"/>
      </w:rPr>
      <w:t>21</w:t>
    </w:r>
    <w:r w:rsidRPr="00362FDF">
      <w:rPr>
        <w:rFonts w:ascii="Palatino Linotype" w:hAnsi="Palatino Linotype"/>
        <w:b/>
        <w:bCs/>
        <w:color w:val="000000"/>
        <w:sz w:val="22"/>
      </w:rPr>
      <w:fldChar w:fldCharType="end"/>
    </w:r>
    <w:r w:rsidRPr="00362FDF">
      <w:rPr>
        <w:rFonts w:ascii="Palatino Linotype" w:hAnsi="Palatino Linotype"/>
        <w:b/>
        <w:color w:val="000000"/>
        <w:sz w:val="22"/>
      </w:rPr>
      <w:t xml:space="preserve"> de </w:t>
    </w:r>
    <w:r w:rsidRPr="00362FDF">
      <w:rPr>
        <w:rFonts w:ascii="Palatino Linotype" w:hAnsi="Palatino Linotype"/>
        <w:b/>
        <w:bCs/>
        <w:color w:val="000000"/>
        <w:sz w:val="22"/>
      </w:rPr>
      <w:fldChar w:fldCharType="begin"/>
    </w:r>
    <w:r w:rsidRPr="00362FDF">
      <w:rPr>
        <w:rFonts w:ascii="Palatino Linotype" w:hAnsi="Palatino Linotype"/>
        <w:b/>
        <w:bCs/>
        <w:color w:val="000000"/>
        <w:sz w:val="22"/>
      </w:rPr>
      <w:instrText>NUMPAGES</w:instrText>
    </w:r>
    <w:r w:rsidRPr="00362FDF">
      <w:rPr>
        <w:rFonts w:ascii="Palatino Linotype" w:hAnsi="Palatino Linotype"/>
        <w:b/>
        <w:bCs/>
        <w:color w:val="000000"/>
        <w:sz w:val="22"/>
      </w:rPr>
      <w:fldChar w:fldCharType="separate"/>
    </w:r>
    <w:r w:rsidR="00CD5D08">
      <w:rPr>
        <w:rFonts w:ascii="Palatino Linotype" w:hAnsi="Palatino Linotype"/>
        <w:b/>
        <w:bCs/>
        <w:noProof/>
        <w:color w:val="000000"/>
        <w:sz w:val="22"/>
      </w:rPr>
      <w:t>36</w:t>
    </w:r>
    <w:r w:rsidRPr="00362FDF">
      <w:rPr>
        <w:rFonts w:ascii="Palatino Linotype" w:hAnsi="Palatino Linotype"/>
        <w:b/>
        <w:bCs/>
        <w:color w:val="000000"/>
        <w:sz w:val="22"/>
      </w:rPr>
      <w:fldChar w:fldCharType="end"/>
    </w:r>
  </w:p>
  <w:p w14:paraId="78503992" w14:textId="77777777" w:rsidR="006A37FD" w:rsidRDefault="006A37F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EFD20" w14:textId="77777777" w:rsidR="006A37FD" w:rsidRPr="00362FDF" w:rsidRDefault="006A37F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362FDF">
      <w:rPr>
        <w:rFonts w:ascii="Palatino Linotype" w:hAnsi="Palatino Linotype"/>
        <w:b/>
        <w:color w:val="000000"/>
        <w:sz w:val="22"/>
      </w:rPr>
      <w:t xml:space="preserve">Página </w:t>
    </w:r>
    <w:r w:rsidRPr="00362FDF">
      <w:rPr>
        <w:rFonts w:ascii="Palatino Linotype" w:hAnsi="Palatino Linotype"/>
        <w:b/>
        <w:bCs/>
        <w:color w:val="000000"/>
        <w:sz w:val="22"/>
      </w:rPr>
      <w:fldChar w:fldCharType="begin"/>
    </w:r>
    <w:r w:rsidRPr="00362FDF">
      <w:rPr>
        <w:rFonts w:ascii="Palatino Linotype" w:hAnsi="Palatino Linotype"/>
        <w:b/>
        <w:bCs/>
        <w:color w:val="000000"/>
        <w:sz w:val="22"/>
      </w:rPr>
      <w:instrText>PAGE</w:instrText>
    </w:r>
    <w:r w:rsidRPr="00362FDF">
      <w:rPr>
        <w:rFonts w:ascii="Palatino Linotype" w:hAnsi="Palatino Linotype"/>
        <w:b/>
        <w:bCs/>
        <w:color w:val="000000"/>
        <w:sz w:val="22"/>
      </w:rPr>
      <w:fldChar w:fldCharType="separate"/>
    </w:r>
    <w:r w:rsidR="00CD5D08">
      <w:rPr>
        <w:rFonts w:ascii="Palatino Linotype" w:hAnsi="Palatino Linotype"/>
        <w:b/>
        <w:bCs/>
        <w:noProof/>
        <w:color w:val="000000"/>
        <w:sz w:val="22"/>
      </w:rPr>
      <w:t>1</w:t>
    </w:r>
    <w:r w:rsidRPr="00362FDF">
      <w:rPr>
        <w:rFonts w:ascii="Palatino Linotype" w:hAnsi="Palatino Linotype"/>
        <w:b/>
        <w:bCs/>
        <w:color w:val="000000"/>
        <w:sz w:val="22"/>
      </w:rPr>
      <w:fldChar w:fldCharType="end"/>
    </w:r>
    <w:r w:rsidRPr="00362FDF">
      <w:rPr>
        <w:rFonts w:ascii="Palatino Linotype" w:hAnsi="Palatino Linotype"/>
        <w:b/>
        <w:color w:val="000000"/>
        <w:sz w:val="22"/>
      </w:rPr>
      <w:t xml:space="preserve"> de </w:t>
    </w:r>
    <w:r w:rsidRPr="00362FDF">
      <w:rPr>
        <w:rFonts w:ascii="Palatino Linotype" w:hAnsi="Palatino Linotype"/>
        <w:b/>
        <w:bCs/>
        <w:color w:val="000000"/>
        <w:sz w:val="22"/>
      </w:rPr>
      <w:fldChar w:fldCharType="begin"/>
    </w:r>
    <w:r w:rsidRPr="00362FDF">
      <w:rPr>
        <w:rFonts w:ascii="Palatino Linotype" w:hAnsi="Palatino Linotype"/>
        <w:b/>
        <w:bCs/>
        <w:color w:val="000000"/>
        <w:sz w:val="22"/>
      </w:rPr>
      <w:instrText>NUMPAGES</w:instrText>
    </w:r>
    <w:r w:rsidRPr="00362FDF">
      <w:rPr>
        <w:rFonts w:ascii="Palatino Linotype" w:hAnsi="Palatino Linotype"/>
        <w:b/>
        <w:bCs/>
        <w:color w:val="000000"/>
        <w:sz w:val="22"/>
      </w:rPr>
      <w:fldChar w:fldCharType="separate"/>
    </w:r>
    <w:r w:rsidR="00CD5D08">
      <w:rPr>
        <w:rFonts w:ascii="Palatino Linotype" w:hAnsi="Palatino Linotype"/>
        <w:b/>
        <w:bCs/>
        <w:noProof/>
        <w:color w:val="000000"/>
        <w:sz w:val="22"/>
      </w:rPr>
      <w:t>36</w:t>
    </w:r>
    <w:r w:rsidRPr="00362FDF">
      <w:rPr>
        <w:rFonts w:ascii="Palatino Linotype" w:hAnsi="Palatino Linotype"/>
        <w:b/>
        <w:bCs/>
        <w:color w:val="000000"/>
        <w:sz w:val="22"/>
      </w:rPr>
      <w:fldChar w:fldCharType="end"/>
    </w:r>
  </w:p>
  <w:p w14:paraId="36B18313" w14:textId="77777777" w:rsidR="006A37FD" w:rsidRDefault="006A37F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06617" w14:textId="77777777" w:rsidR="0052185E" w:rsidRDefault="0052185E">
      <w:r>
        <w:separator/>
      </w:r>
    </w:p>
  </w:footnote>
  <w:footnote w:type="continuationSeparator" w:id="0">
    <w:p w14:paraId="7A4FBF90" w14:textId="77777777" w:rsidR="0052185E" w:rsidRDefault="0052185E">
      <w:r>
        <w:continuationSeparator/>
      </w:r>
    </w:p>
  </w:footnote>
  <w:footnote w:id="1">
    <w:p w14:paraId="0C24C694" w14:textId="77777777" w:rsidR="006A37FD" w:rsidRDefault="006A37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14:paraId="79E2D814" w14:textId="77777777" w:rsidR="006A37FD" w:rsidRDefault="006A37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14:paraId="0E887FF0" w14:textId="77777777" w:rsidR="006A37FD" w:rsidRDefault="006A37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14:paraId="25A0D9A7" w14:textId="77777777" w:rsidR="006A37FD" w:rsidRDefault="006A37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6EDD8" w14:textId="77777777" w:rsidR="006A37FD" w:rsidRDefault="0052185E">
    <w:pPr>
      <w:pBdr>
        <w:top w:val="nil"/>
        <w:left w:val="nil"/>
        <w:bottom w:val="nil"/>
        <w:right w:val="nil"/>
        <w:between w:val="nil"/>
      </w:pBdr>
      <w:tabs>
        <w:tab w:val="center" w:pos="4419"/>
        <w:tab w:val="right" w:pos="8838"/>
      </w:tabs>
      <w:rPr>
        <w:color w:val="000000"/>
      </w:rPr>
    </w:pPr>
    <w:r>
      <w:rPr>
        <w:color w:val="000000"/>
      </w:rPr>
      <w:pict w14:anchorId="29B75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10348" w:type="dxa"/>
      <w:tblInd w:w="0" w:type="dxa"/>
      <w:tblLayout w:type="fixed"/>
      <w:tblLook w:val="0400" w:firstRow="0" w:lastRow="0" w:firstColumn="0" w:lastColumn="0" w:noHBand="0" w:noVBand="1"/>
    </w:tblPr>
    <w:tblGrid>
      <w:gridCol w:w="2268"/>
      <w:gridCol w:w="8080"/>
    </w:tblGrid>
    <w:tr w:rsidR="006A37FD" w14:paraId="454E733B" w14:textId="77777777" w:rsidTr="00362FDF">
      <w:trPr>
        <w:trHeight w:val="1435"/>
      </w:trPr>
      <w:tc>
        <w:tcPr>
          <w:tcW w:w="2268" w:type="dxa"/>
          <w:shd w:val="clear" w:color="auto" w:fill="auto"/>
        </w:tcPr>
        <w:p w14:paraId="6D9383D1" w14:textId="77777777" w:rsidR="006A37FD" w:rsidRDefault="006A37FD">
          <w:pPr>
            <w:tabs>
              <w:tab w:val="right" w:pos="4273"/>
            </w:tabs>
            <w:rPr>
              <w:rFonts w:ascii="Garamond" w:eastAsia="Garamond" w:hAnsi="Garamond" w:cs="Garamond"/>
              <w:sz w:val="16"/>
              <w:szCs w:val="16"/>
            </w:rPr>
          </w:pPr>
        </w:p>
      </w:tc>
      <w:tc>
        <w:tcPr>
          <w:tcW w:w="8080" w:type="dxa"/>
          <w:shd w:val="clear" w:color="auto" w:fill="auto"/>
        </w:tcPr>
        <w:tbl>
          <w:tblPr>
            <w:tblStyle w:val="af"/>
            <w:tblW w:w="7783" w:type="dxa"/>
            <w:tblInd w:w="736" w:type="dxa"/>
            <w:tblLayout w:type="fixed"/>
            <w:tblLook w:val="0400" w:firstRow="0" w:lastRow="0" w:firstColumn="0" w:lastColumn="0" w:noHBand="0" w:noVBand="1"/>
          </w:tblPr>
          <w:tblGrid>
            <w:gridCol w:w="3531"/>
            <w:gridCol w:w="4252"/>
          </w:tblGrid>
          <w:tr w:rsidR="006A37FD" w14:paraId="2AA4984C" w14:textId="77777777" w:rsidTr="00362FDF">
            <w:trPr>
              <w:trHeight w:val="150"/>
            </w:trPr>
            <w:tc>
              <w:tcPr>
                <w:tcW w:w="3531" w:type="dxa"/>
                <w:shd w:val="clear" w:color="auto" w:fill="auto"/>
              </w:tcPr>
              <w:p w14:paraId="3BB82A8C" w14:textId="77777777" w:rsidR="006A37FD" w:rsidRPr="00362FDF" w:rsidRDefault="006A37FD">
                <w:pPr>
                  <w:tabs>
                    <w:tab w:val="right" w:pos="8838"/>
                  </w:tabs>
                  <w:ind w:left="850" w:right="-105"/>
                  <w:jc w:val="both"/>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Recurso de Revisión:</w:t>
                </w:r>
              </w:p>
            </w:tc>
            <w:tc>
              <w:tcPr>
                <w:tcW w:w="4252" w:type="dxa"/>
                <w:shd w:val="clear" w:color="auto" w:fill="auto"/>
              </w:tcPr>
              <w:p w14:paraId="23450A30" w14:textId="77777777" w:rsidR="006A37FD" w:rsidRPr="00362FDF" w:rsidRDefault="006A37FD">
                <w:pPr>
                  <w:tabs>
                    <w:tab w:val="right" w:pos="8838"/>
                  </w:tabs>
                  <w:ind w:right="-781"/>
                  <w:jc w:val="both"/>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08708/INFOEM/IP/RR/2025</w:t>
                </w:r>
              </w:p>
            </w:tc>
          </w:tr>
          <w:tr w:rsidR="006A37FD" w14:paraId="5CD15D36" w14:textId="77777777" w:rsidTr="00362FDF">
            <w:trPr>
              <w:trHeight w:val="295"/>
            </w:trPr>
            <w:tc>
              <w:tcPr>
                <w:tcW w:w="3531" w:type="dxa"/>
                <w:shd w:val="clear" w:color="auto" w:fill="auto"/>
              </w:tcPr>
              <w:p w14:paraId="077372AE" w14:textId="77777777" w:rsidR="006A37FD" w:rsidRPr="00362FDF" w:rsidRDefault="006A37FD">
                <w:pPr>
                  <w:tabs>
                    <w:tab w:val="right" w:pos="8838"/>
                  </w:tabs>
                  <w:ind w:left="850" w:right="-105"/>
                  <w:jc w:val="both"/>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Sujeto Obligado:</w:t>
                </w:r>
              </w:p>
            </w:tc>
            <w:tc>
              <w:tcPr>
                <w:tcW w:w="4252" w:type="dxa"/>
                <w:shd w:val="clear" w:color="auto" w:fill="auto"/>
              </w:tcPr>
              <w:p w14:paraId="7303333B" w14:textId="77777777" w:rsidR="006A37FD" w:rsidRPr="00362FDF" w:rsidRDefault="006A37FD" w:rsidP="00362FDF">
                <w:pPr>
                  <w:tabs>
                    <w:tab w:val="right" w:pos="8838"/>
                  </w:tabs>
                  <w:ind w:right="-1552"/>
                  <w:jc w:val="both"/>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Ayuntamiento de Tlalmanalco</w:t>
                </w:r>
              </w:p>
            </w:tc>
          </w:tr>
          <w:tr w:rsidR="006A37FD" w14:paraId="14462AC4" w14:textId="77777777" w:rsidTr="00362FDF">
            <w:trPr>
              <w:trHeight w:val="295"/>
            </w:trPr>
            <w:tc>
              <w:tcPr>
                <w:tcW w:w="3531" w:type="dxa"/>
                <w:shd w:val="clear" w:color="auto" w:fill="auto"/>
              </w:tcPr>
              <w:p w14:paraId="66F1C758" w14:textId="77777777" w:rsidR="006A37FD" w:rsidRPr="00362FDF" w:rsidRDefault="006A37FD">
                <w:pPr>
                  <w:tabs>
                    <w:tab w:val="right" w:pos="8838"/>
                  </w:tabs>
                  <w:ind w:left="850" w:right="-105"/>
                  <w:jc w:val="both"/>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Comisionada ponente:</w:t>
                </w:r>
              </w:p>
            </w:tc>
            <w:tc>
              <w:tcPr>
                <w:tcW w:w="4252" w:type="dxa"/>
                <w:shd w:val="clear" w:color="auto" w:fill="auto"/>
              </w:tcPr>
              <w:p w14:paraId="647955EE" w14:textId="77777777" w:rsidR="006A37FD" w:rsidRPr="00362FDF" w:rsidRDefault="006A37FD">
                <w:pPr>
                  <w:tabs>
                    <w:tab w:val="right" w:pos="8838"/>
                  </w:tabs>
                  <w:ind w:right="-781"/>
                  <w:jc w:val="both"/>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María del Rosario Mejía Ayala</w:t>
                </w:r>
              </w:p>
              <w:p w14:paraId="1DE278EF" w14:textId="77777777" w:rsidR="006A37FD" w:rsidRPr="00362FDF" w:rsidRDefault="006A37FD">
                <w:pPr>
                  <w:tabs>
                    <w:tab w:val="right" w:pos="8838"/>
                  </w:tabs>
                  <w:ind w:left="141" w:right="-781"/>
                  <w:jc w:val="both"/>
                  <w:rPr>
                    <w:rFonts w:ascii="Palatino Linotype" w:eastAsia="Palatino Linotype" w:hAnsi="Palatino Linotype" w:cs="Palatino Linotype"/>
                    <w:szCs w:val="18"/>
                  </w:rPr>
                </w:pPr>
              </w:p>
            </w:tc>
          </w:tr>
        </w:tbl>
        <w:p w14:paraId="62E34EAF" w14:textId="77777777" w:rsidR="006A37FD" w:rsidRDefault="006A37FD">
          <w:pPr>
            <w:tabs>
              <w:tab w:val="right" w:pos="8838"/>
            </w:tabs>
            <w:ind w:left="-28"/>
            <w:jc w:val="both"/>
            <w:rPr>
              <w:rFonts w:ascii="Arial" w:eastAsia="Arial" w:hAnsi="Arial" w:cs="Arial"/>
              <w:b/>
              <w:bCs/>
              <w:sz w:val="18"/>
              <w:szCs w:val="18"/>
            </w:rPr>
          </w:pPr>
        </w:p>
      </w:tc>
    </w:tr>
  </w:tbl>
  <w:p w14:paraId="6DA7683C" w14:textId="77777777" w:rsidR="006A37FD" w:rsidRDefault="0052185E">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7A7B9E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10065" w:type="dxa"/>
      <w:tblInd w:w="0" w:type="dxa"/>
      <w:tblLayout w:type="fixed"/>
      <w:tblLook w:val="0400" w:firstRow="0" w:lastRow="0" w:firstColumn="0" w:lastColumn="0" w:noHBand="0" w:noVBand="1"/>
    </w:tblPr>
    <w:tblGrid>
      <w:gridCol w:w="2265"/>
      <w:gridCol w:w="7800"/>
    </w:tblGrid>
    <w:tr w:rsidR="006A37FD" w14:paraId="3F270F42" w14:textId="77777777">
      <w:trPr>
        <w:trHeight w:val="1435"/>
      </w:trPr>
      <w:tc>
        <w:tcPr>
          <w:tcW w:w="2265" w:type="dxa"/>
          <w:shd w:val="clear" w:color="auto" w:fill="auto"/>
        </w:tcPr>
        <w:p w14:paraId="307BB9AE" w14:textId="77777777" w:rsidR="006A37FD" w:rsidRDefault="006A37FD">
          <w:pPr>
            <w:tabs>
              <w:tab w:val="right" w:pos="4273"/>
            </w:tabs>
            <w:rPr>
              <w:rFonts w:ascii="Garamond" w:eastAsia="Garamond" w:hAnsi="Garamond" w:cs="Garamond"/>
              <w:sz w:val="22"/>
              <w:szCs w:val="22"/>
            </w:rPr>
          </w:pPr>
        </w:p>
      </w:tc>
      <w:tc>
        <w:tcPr>
          <w:tcW w:w="7800" w:type="dxa"/>
          <w:shd w:val="clear" w:color="auto" w:fill="auto"/>
        </w:tcPr>
        <w:tbl>
          <w:tblPr>
            <w:tblStyle w:val="af1"/>
            <w:tblW w:w="7785" w:type="dxa"/>
            <w:tblInd w:w="1164" w:type="dxa"/>
            <w:tblLayout w:type="fixed"/>
            <w:tblLook w:val="0400" w:firstRow="0" w:lastRow="0" w:firstColumn="0" w:lastColumn="0" w:noHBand="0" w:noVBand="1"/>
          </w:tblPr>
          <w:tblGrid>
            <w:gridCol w:w="2865"/>
            <w:gridCol w:w="4920"/>
          </w:tblGrid>
          <w:tr w:rsidR="006A37FD" w14:paraId="3AB16D73" w14:textId="77777777" w:rsidTr="00362FDF">
            <w:trPr>
              <w:trHeight w:val="144"/>
            </w:trPr>
            <w:tc>
              <w:tcPr>
                <w:tcW w:w="2865" w:type="dxa"/>
                <w:shd w:val="clear" w:color="auto" w:fill="auto"/>
              </w:tcPr>
              <w:p w14:paraId="2F145EA8" w14:textId="77777777" w:rsidR="006A37FD" w:rsidRPr="00362FDF" w:rsidRDefault="006A37FD">
                <w:pPr>
                  <w:tabs>
                    <w:tab w:val="right" w:pos="8838"/>
                  </w:tabs>
                  <w:ind w:left="-264" w:right="-105" w:firstLine="195"/>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Recurso de Revisión:</w:t>
                </w:r>
              </w:p>
            </w:tc>
            <w:tc>
              <w:tcPr>
                <w:tcW w:w="4920" w:type="dxa"/>
                <w:shd w:val="clear" w:color="auto" w:fill="auto"/>
              </w:tcPr>
              <w:p w14:paraId="3B800E4D" w14:textId="77777777" w:rsidR="006A37FD" w:rsidRPr="00362FDF" w:rsidRDefault="006A37FD">
                <w:pPr>
                  <w:tabs>
                    <w:tab w:val="right" w:pos="8838"/>
                  </w:tabs>
                  <w:ind w:right="-1552"/>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08708/INFOEM/IP/RR/2025</w:t>
                </w:r>
              </w:p>
            </w:tc>
          </w:tr>
          <w:tr w:rsidR="006A37FD" w14:paraId="290F6B35" w14:textId="77777777" w:rsidTr="00362FDF">
            <w:trPr>
              <w:trHeight w:val="144"/>
            </w:trPr>
            <w:tc>
              <w:tcPr>
                <w:tcW w:w="2865" w:type="dxa"/>
                <w:shd w:val="clear" w:color="auto" w:fill="auto"/>
              </w:tcPr>
              <w:p w14:paraId="43C0A793" w14:textId="77777777" w:rsidR="006A37FD" w:rsidRPr="00362FDF" w:rsidRDefault="006A37FD">
                <w:pPr>
                  <w:tabs>
                    <w:tab w:val="right" w:pos="8838"/>
                  </w:tabs>
                  <w:ind w:left="-74" w:right="-105"/>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Recurrente:</w:t>
                </w:r>
              </w:p>
            </w:tc>
            <w:tc>
              <w:tcPr>
                <w:tcW w:w="4920" w:type="dxa"/>
                <w:shd w:val="clear" w:color="auto" w:fill="auto"/>
              </w:tcPr>
              <w:p w14:paraId="50E9813A" w14:textId="4D6117E8" w:rsidR="006A37FD" w:rsidRPr="00362FDF" w:rsidRDefault="00CD5D08">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r w:rsidR="006A37FD" w:rsidRPr="00362FDF">
                  <w:rPr>
                    <w:rFonts w:ascii="Palatino Linotype" w:eastAsia="Palatino Linotype" w:hAnsi="Palatino Linotype" w:cs="Palatino Linotype"/>
                    <w:szCs w:val="18"/>
                  </w:rPr>
                  <w:t xml:space="preserve"> </w:t>
                </w:r>
              </w:p>
            </w:tc>
          </w:tr>
          <w:tr w:rsidR="006A37FD" w14:paraId="4ED11412" w14:textId="77777777" w:rsidTr="00362FDF">
            <w:trPr>
              <w:trHeight w:val="80"/>
            </w:trPr>
            <w:tc>
              <w:tcPr>
                <w:tcW w:w="2865" w:type="dxa"/>
                <w:shd w:val="clear" w:color="auto" w:fill="auto"/>
              </w:tcPr>
              <w:p w14:paraId="4F90A1A0" w14:textId="77777777" w:rsidR="006A37FD" w:rsidRPr="00362FDF" w:rsidRDefault="006A37FD">
                <w:pPr>
                  <w:tabs>
                    <w:tab w:val="right" w:pos="8838"/>
                  </w:tabs>
                  <w:ind w:left="-74" w:right="-105"/>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Sujeto Obligado:</w:t>
                </w:r>
              </w:p>
            </w:tc>
            <w:tc>
              <w:tcPr>
                <w:tcW w:w="4920" w:type="dxa"/>
                <w:shd w:val="clear" w:color="auto" w:fill="auto"/>
              </w:tcPr>
              <w:p w14:paraId="7A955B00" w14:textId="77777777" w:rsidR="006A37FD" w:rsidRPr="00362FDF" w:rsidRDefault="006A37FD">
                <w:pPr>
                  <w:tabs>
                    <w:tab w:val="left" w:pos="2834"/>
                    <w:tab w:val="right" w:pos="8838"/>
                  </w:tabs>
                  <w:ind w:right="-1552"/>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 xml:space="preserve">Ayuntamiento de Tlalmanalco </w:t>
                </w:r>
              </w:p>
            </w:tc>
          </w:tr>
          <w:tr w:rsidR="006A37FD" w14:paraId="25765336" w14:textId="77777777" w:rsidTr="00362FDF">
            <w:trPr>
              <w:trHeight w:val="283"/>
            </w:trPr>
            <w:tc>
              <w:tcPr>
                <w:tcW w:w="2865" w:type="dxa"/>
                <w:shd w:val="clear" w:color="auto" w:fill="auto"/>
              </w:tcPr>
              <w:p w14:paraId="45FBE728" w14:textId="77777777" w:rsidR="006A37FD" w:rsidRPr="00362FDF" w:rsidRDefault="006A37FD">
                <w:pPr>
                  <w:tabs>
                    <w:tab w:val="right" w:pos="8838"/>
                  </w:tabs>
                  <w:ind w:right="-105"/>
                  <w:rPr>
                    <w:rFonts w:ascii="Palatino Linotype" w:eastAsia="Palatino Linotype" w:hAnsi="Palatino Linotype" w:cs="Palatino Linotype"/>
                    <w:b/>
                    <w:bCs/>
                    <w:szCs w:val="18"/>
                  </w:rPr>
                </w:pPr>
                <w:r w:rsidRPr="00362FDF">
                  <w:rPr>
                    <w:rFonts w:ascii="Palatino Linotype" w:eastAsia="Palatino Linotype" w:hAnsi="Palatino Linotype" w:cs="Palatino Linotype"/>
                    <w:b/>
                    <w:bCs/>
                    <w:szCs w:val="18"/>
                  </w:rPr>
                  <w:t>Comisionada ponente:</w:t>
                </w:r>
              </w:p>
            </w:tc>
            <w:tc>
              <w:tcPr>
                <w:tcW w:w="4920" w:type="dxa"/>
                <w:shd w:val="clear" w:color="auto" w:fill="auto"/>
              </w:tcPr>
              <w:p w14:paraId="6BDFC398" w14:textId="77777777" w:rsidR="006A37FD" w:rsidRPr="00362FDF" w:rsidRDefault="006A37FD">
                <w:pPr>
                  <w:tabs>
                    <w:tab w:val="right" w:pos="8838"/>
                  </w:tabs>
                  <w:ind w:right="-1552"/>
                  <w:rPr>
                    <w:rFonts w:ascii="Palatino Linotype" w:eastAsia="Palatino Linotype" w:hAnsi="Palatino Linotype" w:cs="Palatino Linotype"/>
                    <w:szCs w:val="18"/>
                  </w:rPr>
                </w:pPr>
                <w:r w:rsidRPr="00362FDF">
                  <w:rPr>
                    <w:rFonts w:ascii="Palatino Linotype" w:eastAsia="Palatino Linotype" w:hAnsi="Palatino Linotype" w:cs="Palatino Linotype"/>
                    <w:szCs w:val="18"/>
                  </w:rPr>
                  <w:t>María del Rosario Mejía Ayala</w:t>
                </w:r>
              </w:p>
              <w:p w14:paraId="025F84CD" w14:textId="77777777" w:rsidR="006A37FD" w:rsidRPr="00362FDF" w:rsidRDefault="006A37FD">
                <w:pPr>
                  <w:tabs>
                    <w:tab w:val="right" w:pos="8838"/>
                  </w:tabs>
                  <w:ind w:right="-1552"/>
                  <w:rPr>
                    <w:rFonts w:ascii="Palatino Linotype" w:eastAsia="Palatino Linotype" w:hAnsi="Palatino Linotype" w:cs="Palatino Linotype"/>
                    <w:szCs w:val="18"/>
                  </w:rPr>
                </w:pPr>
              </w:p>
            </w:tc>
          </w:tr>
        </w:tbl>
        <w:p w14:paraId="476314F0" w14:textId="77777777" w:rsidR="006A37FD" w:rsidRDefault="006A37FD">
          <w:pPr>
            <w:tabs>
              <w:tab w:val="right" w:pos="8838"/>
            </w:tabs>
            <w:ind w:left="-28"/>
            <w:jc w:val="both"/>
            <w:rPr>
              <w:rFonts w:ascii="Arial" w:eastAsia="Arial" w:hAnsi="Arial" w:cs="Arial"/>
              <w:b/>
              <w:bCs/>
              <w:sz w:val="22"/>
              <w:szCs w:val="22"/>
            </w:rPr>
          </w:pPr>
        </w:p>
      </w:tc>
    </w:tr>
  </w:tbl>
  <w:p w14:paraId="5881292C" w14:textId="77777777" w:rsidR="006A37FD" w:rsidRDefault="0052185E">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3868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B88"/>
    <w:multiLevelType w:val="hybridMultilevel"/>
    <w:tmpl w:val="AF62F77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16CC47DE"/>
    <w:multiLevelType w:val="multilevel"/>
    <w:tmpl w:val="B55E45F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276204"/>
    <w:multiLevelType w:val="multilevel"/>
    <w:tmpl w:val="E264D15E"/>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6" w15:restartNumberingAfterBreak="0">
    <w:nsid w:val="39A0632F"/>
    <w:multiLevelType w:val="hybridMultilevel"/>
    <w:tmpl w:val="B39ABF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68291A"/>
    <w:multiLevelType w:val="multilevel"/>
    <w:tmpl w:val="EE98BE1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6F43EB"/>
    <w:multiLevelType w:val="multilevel"/>
    <w:tmpl w:val="AF840B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2267253"/>
    <w:multiLevelType w:val="multilevel"/>
    <w:tmpl w:val="73863FE6"/>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9"/>
  </w:num>
  <w:num w:numId="6">
    <w:abstractNumId w:val="11"/>
  </w:num>
  <w:num w:numId="7">
    <w:abstractNumId w:val="12"/>
  </w:num>
  <w:num w:numId="8">
    <w:abstractNumId w:val="2"/>
  </w:num>
  <w:num w:numId="9">
    <w:abstractNumId w:val="6"/>
  </w:num>
  <w:num w:numId="10">
    <w:abstractNumId w:val="3"/>
  </w:num>
  <w:num w:numId="11">
    <w:abstractNumId w:val="4"/>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9F"/>
    <w:rsid w:val="000D330D"/>
    <w:rsid w:val="00104E9F"/>
    <w:rsid w:val="00124F30"/>
    <w:rsid w:val="00237B14"/>
    <w:rsid w:val="002404A3"/>
    <w:rsid w:val="00260AB3"/>
    <w:rsid w:val="002E3545"/>
    <w:rsid w:val="00362FDF"/>
    <w:rsid w:val="004B1BD7"/>
    <w:rsid w:val="0052185E"/>
    <w:rsid w:val="005F2A92"/>
    <w:rsid w:val="00665F5A"/>
    <w:rsid w:val="006A37FD"/>
    <w:rsid w:val="0078291C"/>
    <w:rsid w:val="0085489B"/>
    <w:rsid w:val="008B57C6"/>
    <w:rsid w:val="009677BF"/>
    <w:rsid w:val="009904A7"/>
    <w:rsid w:val="009E291C"/>
    <w:rsid w:val="00B81AC6"/>
    <w:rsid w:val="00BE059F"/>
    <w:rsid w:val="00CD5D08"/>
    <w:rsid w:val="00CF5F7C"/>
    <w:rsid w:val="00E7726C"/>
    <w:rsid w:val="00EF33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CE305D"/>
  <w15:docId w15:val="{34FFB442-FC44-4254-A122-A3743321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C32CAF"/>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92002.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f.gob.mx/nota_detalle.php?codigo=5492254&amp;fecha=28/07/201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492003.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qjPrl913i5v+1GpOn+YgVj7Gw==">CgMxLjAyCWguM3pueXNoNzIJaC4zZHk2dmttMg5oLnNnNjlwamZ1c2N6NjIOaC4xczh3NG5yaTh6dDgyDmguZnVwZ2R1NWZlOTlpMg5oLm9tajUzMnZpanBpdDINaC5qdnhhZmNvemE4czIOaC45OGR6ZW50bHJ5dnYyDmguaWxpN2xrNDdqMmUxOAByITFqM1lJeXpWeHNqc09meXJVbDdzV0JZMHJXdmctTWNTXw==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10069</Words>
  <Characters>55385</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12</cp:revision>
  <cp:lastPrinted>2026-03-06T19:26:00Z</cp:lastPrinted>
  <dcterms:created xsi:type="dcterms:W3CDTF">2026-03-04T00:36:00Z</dcterms:created>
  <dcterms:modified xsi:type="dcterms:W3CDTF">2026-03-13T19:39:00Z</dcterms:modified>
</cp:coreProperties>
</file>