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10FA20" w14:textId="2A17D870" w:rsidR="009E5BA7" w:rsidRPr="00D94363" w:rsidRDefault="009E5BA7" w:rsidP="009E5BA7">
      <w:pPr>
        <w:pBdr>
          <w:top w:val="nil"/>
          <w:left w:val="nil"/>
          <w:bottom w:val="nil"/>
          <w:right w:val="nil"/>
          <w:between w:val="nil"/>
        </w:pBdr>
        <w:contextualSpacing/>
        <w:rPr>
          <w:rFonts w:eastAsia="Palatino Linotype" w:cs="Palatino Linotype"/>
          <w:b/>
          <w:color w:val="000000"/>
          <w:szCs w:val="24"/>
        </w:rPr>
      </w:pPr>
      <w:r w:rsidRPr="00D94363">
        <w:rPr>
          <w:rFonts w:eastAsia="Palatino Linotype" w:cs="Palatino Linotype"/>
          <w:color w:val="000000"/>
          <w:szCs w:val="24"/>
        </w:rPr>
        <w:t xml:space="preserve">Resolución del Pleno del Instituto de Transparencia, Acceso a la Información Pública y Protección de Datos Personales del Estado de México y Municipios, con domicilio en Metepec, Estado de México, a </w:t>
      </w:r>
      <w:r w:rsidR="008F45DC" w:rsidRPr="00D94363">
        <w:rPr>
          <w:rFonts w:eastAsia="Palatino Linotype" w:cs="Palatino Linotype"/>
          <w:b/>
          <w:color w:val="000000"/>
          <w:szCs w:val="24"/>
        </w:rPr>
        <w:t>tres de junio</w:t>
      </w:r>
      <w:r w:rsidRPr="00D94363">
        <w:rPr>
          <w:rFonts w:eastAsia="Palatino Linotype" w:cs="Palatino Linotype"/>
          <w:b/>
          <w:color w:val="000000"/>
          <w:szCs w:val="24"/>
        </w:rPr>
        <w:t xml:space="preserve"> de dos mil veintiséis.</w:t>
      </w:r>
    </w:p>
    <w:p w14:paraId="79589369"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p>
    <w:p w14:paraId="561C11AA" w14:textId="60361D15" w:rsidR="009E5BA7" w:rsidRPr="00D94363" w:rsidRDefault="009E5BA7" w:rsidP="009E5BA7">
      <w:pPr>
        <w:pBdr>
          <w:top w:val="nil"/>
          <w:left w:val="nil"/>
          <w:bottom w:val="nil"/>
          <w:right w:val="nil"/>
          <w:between w:val="nil"/>
        </w:pBdr>
        <w:contextualSpacing/>
        <w:rPr>
          <w:rFonts w:eastAsia="Palatino Linotype" w:cs="Palatino Linotype"/>
          <w:b/>
          <w:bCs/>
          <w:color w:val="000000"/>
          <w:szCs w:val="24"/>
        </w:rPr>
      </w:pPr>
      <w:r w:rsidRPr="00D94363">
        <w:rPr>
          <w:rFonts w:eastAsia="Palatino Linotype" w:cs="Palatino Linotype"/>
          <w:b/>
          <w:color w:val="000000"/>
          <w:szCs w:val="24"/>
        </w:rPr>
        <w:t>VISTO</w:t>
      </w:r>
      <w:r w:rsidRPr="00D94363">
        <w:rPr>
          <w:rFonts w:eastAsia="Palatino Linotype" w:cs="Palatino Linotype"/>
          <w:color w:val="000000"/>
          <w:szCs w:val="24"/>
        </w:rPr>
        <w:t xml:space="preserve"> el expediente electrónico formado con motivo del recurso de revisión número </w:t>
      </w:r>
      <w:bookmarkStart w:id="0" w:name="_GoBack"/>
      <w:r w:rsidRPr="00D94363">
        <w:rPr>
          <w:rFonts w:eastAsia="Palatino Linotype" w:cs="Palatino Linotype"/>
          <w:b/>
          <w:color w:val="000000"/>
          <w:szCs w:val="24"/>
        </w:rPr>
        <w:t>00990/INFOEM/IP/RR/2026</w:t>
      </w:r>
      <w:bookmarkEnd w:id="0"/>
      <w:r w:rsidRPr="00D94363">
        <w:rPr>
          <w:rFonts w:eastAsia="Palatino Linotype" w:cs="Palatino Linotype"/>
          <w:color w:val="000000"/>
          <w:szCs w:val="24"/>
        </w:rPr>
        <w:t xml:space="preserve">, interpuesto por </w:t>
      </w:r>
      <w:r w:rsidR="009A7CC8">
        <w:rPr>
          <w:rFonts w:eastAsia="Palatino Linotype" w:cs="Palatino Linotype"/>
          <w:b/>
          <w:bCs/>
          <w:color w:val="000000"/>
          <w:szCs w:val="24"/>
        </w:rPr>
        <w:t>xxxxxxxxxxxxxxxxxxxxxxxxxx</w:t>
      </w:r>
      <w:r w:rsidRPr="00D94363">
        <w:rPr>
          <w:rFonts w:eastAsia="Palatino Linotype" w:cs="Palatino Linotype"/>
          <w:color w:val="000000"/>
          <w:szCs w:val="24"/>
        </w:rPr>
        <w:t xml:space="preserve">, en lo sucesivo el </w:t>
      </w:r>
      <w:r w:rsidRPr="00D94363">
        <w:rPr>
          <w:rFonts w:eastAsia="Palatino Linotype" w:cs="Palatino Linotype"/>
          <w:b/>
          <w:color w:val="000000"/>
          <w:szCs w:val="24"/>
        </w:rPr>
        <w:t>Recurrente</w:t>
      </w:r>
      <w:r w:rsidRPr="00D94363">
        <w:rPr>
          <w:rFonts w:eastAsia="Palatino Linotype" w:cs="Palatino Linotype"/>
          <w:color w:val="000000"/>
          <w:szCs w:val="24"/>
        </w:rPr>
        <w:t xml:space="preserve">, en contra de la respuesta del </w:t>
      </w:r>
      <w:r w:rsidR="005031A3" w:rsidRPr="00D94363">
        <w:rPr>
          <w:b/>
          <w:bCs/>
          <w:color w:val="000000"/>
          <w:szCs w:val="24"/>
        </w:rPr>
        <w:t>Ayuntamiento de Tepotzotlán</w:t>
      </w:r>
      <w:r w:rsidRPr="00D94363">
        <w:rPr>
          <w:rFonts w:eastAsia="Palatino Linotype" w:cs="Palatino Linotype"/>
          <w:color w:val="000000"/>
          <w:szCs w:val="24"/>
        </w:rPr>
        <w:t>, en lo subsecuente</w:t>
      </w:r>
      <w:r w:rsidRPr="00D94363">
        <w:rPr>
          <w:rFonts w:eastAsia="Palatino Linotype" w:cs="Palatino Linotype"/>
          <w:b/>
          <w:color w:val="000000"/>
          <w:szCs w:val="24"/>
        </w:rPr>
        <w:t xml:space="preserve"> </w:t>
      </w:r>
      <w:r w:rsidRPr="00D94363">
        <w:rPr>
          <w:rFonts w:eastAsia="Palatino Linotype" w:cs="Palatino Linotype"/>
          <w:color w:val="000000"/>
          <w:szCs w:val="24"/>
        </w:rPr>
        <w:t>el</w:t>
      </w:r>
      <w:r w:rsidRPr="00D94363">
        <w:rPr>
          <w:rFonts w:eastAsia="Palatino Linotype" w:cs="Palatino Linotype"/>
          <w:b/>
          <w:color w:val="000000"/>
          <w:szCs w:val="24"/>
        </w:rPr>
        <w:t xml:space="preserve"> Sujeto Obligado, </w:t>
      </w:r>
      <w:r w:rsidRPr="00D94363">
        <w:rPr>
          <w:rFonts w:eastAsia="Palatino Linotype" w:cs="Palatino Linotype"/>
          <w:color w:val="000000"/>
          <w:szCs w:val="24"/>
        </w:rPr>
        <w:t>se procede a dictar la presente resolución.</w:t>
      </w:r>
    </w:p>
    <w:p w14:paraId="0DDE7D9A"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p>
    <w:p w14:paraId="2B85446E"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p>
    <w:p w14:paraId="329EEE61" w14:textId="77777777" w:rsidR="009E5BA7" w:rsidRPr="00D94363" w:rsidRDefault="009E5BA7" w:rsidP="009E5BA7">
      <w:pPr>
        <w:pStyle w:val="Ttulo1"/>
        <w:rPr>
          <w:rFonts w:eastAsia="Palatino Linotype"/>
          <w:lang w:val="es-ES_tradnl"/>
        </w:rPr>
      </w:pPr>
      <w:r w:rsidRPr="00D94363">
        <w:rPr>
          <w:rFonts w:eastAsia="Palatino Linotype"/>
          <w:lang w:val="es-ES_tradnl"/>
        </w:rPr>
        <w:t>A N T E C E D E N T E S</w:t>
      </w:r>
    </w:p>
    <w:p w14:paraId="162BBE7B" w14:textId="77777777" w:rsidR="009E5BA7" w:rsidRPr="00D94363" w:rsidRDefault="009E5BA7" w:rsidP="009E5BA7">
      <w:pPr>
        <w:rPr>
          <w:lang w:eastAsia="es-ES"/>
        </w:rPr>
      </w:pPr>
    </w:p>
    <w:p w14:paraId="273733DA"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p>
    <w:p w14:paraId="0BCCEA65" w14:textId="77777777" w:rsidR="009E5BA7" w:rsidRPr="00D94363" w:rsidRDefault="009E5BA7" w:rsidP="009E5BA7">
      <w:pPr>
        <w:pStyle w:val="Ttulo2"/>
        <w:rPr>
          <w:rFonts w:eastAsia="Palatino Linotype"/>
        </w:rPr>
      </w:pPr>
      <w:r w:rsidRPr="00D94363">
        <w:rPr>
          <w:rFonts w:eastAsia="Palatino Linotype"/>
        </w:rPr>
        <w:t>PRIMERO. De la Solicitud de Información.</w:t>
      </w:r>
    </w:p>
    <w:p w14:paraId="4F48E102"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r w:rsidRPr="00D94363">
        <w:rPr>
          <w:rFonts w:eastAsia="Palatino Linotype" w:cs="Palatino Linotype"/>
          <w:color w:val="000000"/>
          <w:szCs w:val="24"/>
        </w:rPr>
        <w:t xml:space="preserve">El día </w:t>
      </w:r>
      <w:r w:rsidR="005031A3" w:rsidRPr="00D94363">
        <w:rPr>
          <w:rFonts w:eastAsia="Palatino Linotype" w:cs="Palatino Linotype"/>
          <w:color w:val="000000"/>
          <w:szCs w:val="24"/>
        </w:rPr>
        <w:t>diecinueve de diciembre</w:t>
      </w:r>
      <w:r w:rsidRPr="00D94363">
        <w:rPr>
          <w:rFonts w:eastAsia="Palatino Linotype" w:cs="Palatino Linotype"/>
          <w:color w:val="000000"/>
          <w:szCs w:val="24"/>
        </w:rPr>
        <w:t xml:space="preserve"> de dos mil veinticinco, el Recurrente presentó mediante el Sistema de Acceso a la Información Mexiquense (</w:t>
      </w:r>
      <w:r w:rsidRPr="00D94363">
        <w:rPr>
          <w:rFonts w:eastAsia="Palatino Linotype" w:cs="Palatino Linotype"/>
          <w:b/>
          <w:color w:val="000000"/>
          <w:szCs w:val="24"/>
        </w:rPr>
        <w:t>SAIMEX</w:t>
      </w:r>
      <w:r w:rsidRPr="00D94363">
        <w:rPr>
          <w:rFonts w:eastAsia="Palatino Linotype" w:cs="Palatino Linotype"/>
          <w:color w:val="000000"/>
          <w:szCs w:val="24"/>
        </w:rPr>
        <w:t>), solicitud de información registrada con el número de expediente</w:t>
      </w:r>
      <w:r w:rsidRPr="00D94363">
        <w:rPr>
          <w:rFonts w:eastAsia="Palatino Linotype" w:cs="Palatino Linotype"/>
          <w:b/>
          <w:color w:val="000000"/>
          <w:szCs w:val="24"/>
        </w:rPr>
        <w:t xml:space="preserve"> </w:t>
      </w:r>
      <w:r w:rsidR="005031A3" w:rsidRPr="00D94363">
        <w:rPr>
          <w:b/>
          <w:bCs/>
        </w:rPr>
        <w:t>01707/TEPOTZOT/IP/2025</w:t>
      </w:r>
      <w:r w:rsidRPr="00D94363">
        <w:rPr>
          <w:rFonts w:eastAsia="Palatino Linotype" w:cs="Palatino Linotype"/>
          <w:color w:val="000000"/>
          <w:szCs w:val="24"/>
        </w:rPr>
        <w:t>,</w:t>
      </w:r>
      <w:r w:rsidRPr="00D94363">
        <w:rPr>
          <w:rFonts w:eastAsia="Palatino Linotype" w:cs="Palatino Linotype"/>
          <w:b/>
          <w:color w:val="000000"/>
          <w:szCs w:val="24"/>
        </w:rPr>
        <w:t xml:space="preserve"> </w:t>
      </w:r>
      <w:r w:rsidRPr="00D94363">
        <w:rPr>
          <w:rFonts w:eastAsia="Palatino Linotype" w:cs="Palatino Linotype"/>
          <w:color w:val="000000"/>
          <w:szCs w:val="24"/>
        </w:rPr>
        <w:t>mediante la cual solicitó información en el tenor siguiente:</w:t>
      </w:r>
    </w:p>
    <w:p w14:paraId="39ECEC08" w14:textId="77777777" w:rsidR="009E5BA7" w:rsidRPr="00D94363" w:rsidRDefault="009E5BA7" w:rsidP="009E5BA7">
      <w:pPr>
        <w:pStyle w:val="Fundamentos"/>
      </w:pPr>
      <w:r w:rsidRPr="00D94363">
        <w:t>«</w:t>
      </w:r>
      <w:r w:rsidRPr="00D94363">
        <w:rPr>
          <w:rFonts w:ascii="Verdana" w:hAnsi="Verdana"/>
          <w:sz w:val="14"/>
          <w:szCs w:val="14"/>
        </w:rPr>
        <w:t xml:space="preserve"> </w:t>
      </w:r>
      <w:r w:rsidR="005031A3" w:rsidRPr="00D94363">
        <w:rPr>
          <w:sz w:val="24"/>
        </w:rPr>
        <w:t>Indique cuántas observaciones del OSFEM permanecen no solventadas al mes de diciembre de 2025, el monto total involucrado y las razones documentadas por las cuales no han sido solventadas.</w:t>
      </w:r>
      <w:r w:rsidRPr="00D94363">
        <w:t xml:space="preserve"> » (Sic)</w:t>
      </w:r>
    </w:p>
    <w:p w14:paraId="5127D4BC"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p>
    <w:p w14:paraId="0019045F" w14:textId="77777777" w:rsidR="009E5BA7" w:rsidRPr="00D94363" w:rsidRDefault="009E5BA7" w:rsidP="009E5BA7">
      <w:pPr>
        <w:pBdr>
          <w:top w:val="nil"/>
          <w:left w:val="nil"/>
          <w:bottom w:val="nil"/>
          <w:right w:val="nil"/>
          <w:between w:val="nil"/>
        </w:pBdr>
        <w:contextualSpacing/>
        <w:rPr>
          <w:rFonts w:eastAsia="Palatino Linotype" w:cs="Palatino Linotype"/>
          <w:b/>
          <w:color w:val="000000"/>
          <w:szCs w:val="24"/>
        </w:rPr>
      </w:pPr>
      <w:r w:rsidRPr="00D94363">
        <w:rPr>
          <w:rFonts w:eastAsia="Palatino Linotype" w:cs="Palatino Linotype"/>
          <w:color w:val="000000"/>
          <w:szCs w:val="24"/>
        </w:rPr>
        <w:t xml:space="preserve">Modalidad de entrega: </w:t>
      </w:r>
      <w:r w:rsidRPr="00D94363">
        <w:rPr>
          <w:rFonts w:eastAsia="Palatino Linotype" w:cs="Palatino Linotype"/>
          <w:b/>
          <w:color w:val="000000"/>
          <w:szCs w:val="24"/>
        </w:rPr>
        <w:t>A través del SAIMEX</w:t>
      </w:r>
      <w:r w:rsidRPr="00D94363">
        <w:rPr>
          <w:rFonts w:eastAsia="Palatino Linotype" w:cs="Palatino Linotype"/>
          <w:color w:val="000000"/>
          <w:szCs w:val="24"/>
        </w:rPr>
        <w:t>.</w:t>
      </w:r>
    </w:p>
    <w:p w14:paraId="5AC95C58"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p>
    <w:p w14:paraId="79E87FC5" w14:textId="77777777" w:rsidR="009E5BA7" w:rsidRPr="00D94363" w:rsidRDefault="009E5BA7" w:rsidP="009E5BA7">
      <w:pPr>
        <w:pStyle w:val="Ttulo2"/>
        <w:rPr>
          <w:rFonts w:eastAsia="Palatino Linotype"/>
        </w:rPr>
      </w:pPr>
      <w:r w:rsidRPr="00D94363">
        <w:rPr>
          <w:rFonts w:eastAsia="Palatino Linotype"/>
        </w:rPr>
        <w:lastRenderedPageBreak/>
        <w:t>SEGUNDO. De la respuesta del Sujeto Obligado.</w:t>
      </w:r>
    </w:p>
    <w:p w14:paraId="677AB44E"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r w:rsidRPr="00D94363">
        <w:rPr>
          <w:rFonts w:eastAsia="Palatino Linotype" w:cs="Palatino Linotype"/>
          <w:color w:val="000000"/>
          <w:szCs w:val="24"/>
        </w:rPr>
        <w:t xml:space="preserve">De las constancias que obran en el expediente electrónico, se observa que el día </w:t>
      </w:r>
      <w:r w:rsidR="005031A3" w:rsidRPr="00D94363">
        <w:rPr>
          <w:rFonts w:eastAsia="Palatino Linotype" w:cs="Palatino Linotype"/>
          <w:color w:val="000000"/>
          <w:szCs w:val="24"/>
        </w:rPr>
        <w:t>diecisiete de enero de dos mil veintiséis</w:t>
      </w:r>
      <w:r w:rsidRPr="00D94363">
        <w:rPr>
          <w:rFonts w:eastAsia="Palatino Linotype" w:cs="Palatino Linotype"/>
          <w:color w:val="000000"/>
          <w:szCs w:val="24"/>
        </w:rPr>
        <w:t>, el Sujeto Obligado dio respuesta a la solicitud de información manifestando lo siguiente:</w:t>
      </w:r>
    </w:p>
    <w:p w14:paraId="69640B65" w14:textId="77777777" w:rsidR="009E5BA7" w:rsidRPr="00D94363" w:rsidRDefault="009E5BA7" w:rsidP="009E5BA7">
      <w:pPr>
        <w:pStyle w:val="Fundamentos"/>
        <w:ind w:left="0"/>
        <w:rPr>
          <w:lang w:val="es-MX"/>
        </w:rPr>
      </w:pPr>
    </w:p>
    <w:tbl>
      <w:tblPr>
        <w:tblW w:w="6895" w:type="dxa"/>
        <w:jc w:val="center"/>
        <w:tblCellSpacing w:w="0" w:type="dxa"/>
        <w:tblCellMar>
          <w:left w:w="0" w:type="dxa"/>
          <w:right w:w="0" w:type="dxa"/>
        </w:tblCellMar>
        <w:tblLook w:val="04A0" w:firstRow="1" w:lastRow="0" w:firstColumn="1" w:lastColumn="0" w:noHBand="0" w:noVBand="1"/>
      </w:tblPr>
      <w:tblGrid>
        <w:gridCol w:w="6895"/>
      </w:tblGrid>
      <w:tr w:rsidR="005031A3" w:rsidRPr="00D94363" w14:paraId="6FFA1890" w14:textId="77777777" w:rsidTr="005031A3">
        <w:trPr>
          <w:trHeight w:val="269"/>
          <w:tblCellSpacing w:w="0" w:type="dxa"/>
          <w:jc w:val="center"/>
        </w:trPr>
        <w:tc>
          <w:tcPr>
            <w:tcW w:w="0" w:type="auto"/>
            <w:vAlign w:val="center"/>
            <w:hideMark/>
          </w:tcPr>
          <w:p w14:paraId="3E161395" w14:textId="77777777" w:rsidR="005031A3" w:rsidRPr="00D94363" w:rsidRDefault="005031A3" w:rsidP="005031A3">
            <w:pPr>
              <w:spacing w:line="240" w:lineRule="auto"/>
              <w:jc w:val="right"/>
              <w:rPr>
                <w:rFonts w:eastAsia="Times New Roman" w:cs="Times New Roman"/>
                <w:i/>
                <w:sz w:val="22"/>
                <w:lang w:val="es-MX"/>
              </w:rPr>
            </w:pPr>
            <w:r w:rsidRPr="00D94363">
              <w:rPr>
                <w:rFonts w:eastAsia="Times New Roman" w:cs="Times New Roman"/>
                <w:i/>
                <w:sz w:val="22"/>
                <w:lang w:val="es-MX"/>
              </w:rPr>
              <w:t>Tepotzotlán, México a 17 de Enero de 2026</w:t>
            </w:r>
          </w:p>
        </w:tc>
      </w:tr>
      <w:tr w:rsidR="005031A3" w:rsidRPr="00D94363" w14:paraId="0CE5F67F" w14:textId="77777777" w:rsidTr="005031A3">
        <w:trPr>
          <w:trHeight w:val="269"/>
          <w:tblCellSpacing w:w="0" w:type="dxa"/>
          <w:jc w:val="center"/>
        </w:trPr>
        <w:tc>
          <w:tcPr>
            <w:tcW w:w="0" w:type="auto"/>
            <w:vAlign w:val="center"/>
            <w:hideMark/>
          </w:tcPr>
          <w:p w14:paraId="688D398E" w14:textId="77777777" w:rsidR="005031A3" w:rsidRPr="00D94363" w:rsidRDefault="005031A3" w:rsidP="005031A3">
            <w:pPr>
              <w:spacing w:line="240" w:lineRule="auto"/>
              <w:jc w:val="right"/>
              <w:rPr>
                <w:rFonts w:eastAsia="Times New Roman" w:cs="Times New Roman"/>
                <w:i/>
                <w:sz w:val="22"/>
                <w:lang w:val="es-MX"/>
              </w:rPr>
            </w:pPr>
            <w:r w:rsidRPr="00D94363">
              <w:rPr>
                <w:rFonts w:eastAsia="Times New Roman" w:cs="Times New Roman"/>
                <w:i/>
                <w:sz w:val="22"/>
                <w:lang w:val="es-MX"/>
              </w:rPr>
              <w:t>Nombre del solicitante: C. Solicitante</w:t>
            </w:r>
          </w:p>
        </w:tc>
      </w:tr>
      <w:tr w:rsidR="005031A3" w:rsidRPr="00D94363" w14:paraId="1FA46AA9" w14:textId="77777777" w:rsidTr="005031A3">
        <w:trPr>
          <w:trHeight w:val="269"/>
          <w:tblCellSpacing w:w="0" w:type="dxa"/>
          <w:jc w:val="center"/>
        </w:trPr>
        <w:tc>
          <w:tcPr>
            <w:tcW w:w="0" w:type="auto"/>
            <w:vAlign w:val="center"/>
            <w:hideMark/>
          </w:tcPr>
          <w:p w14:paraId="6D2E2DEA" w14:textId="77777777" w:rsidR="005031A3" w:rsidRPr="00D94363" w:rsidRDefault="005031A3" w:rsidP="005031A3">
            <w:pPr>
              <w:spacing w:line="240" w:lineRule="auto"/>
              <w:jc w:val="right"/>
              <w:rPr>
                <w:rFonts w:eastAsia="Times New Roman" w:cs="Times New Roman"/>
                <w:i/>
                <w:sz w:val="22"/>
                <w:lang w:val="es-MX"/>
              </w:rPr>
            </w:pPr>
            <w:r w:rsidRPr="00D94363">
              <w:rPr>
                <w:rFonts w:eastAsia="Times New Roman" w:cs="Times New Roman"/>
                <w:i/>
                <w:sz w:val="22"/>
                <w:lang w:val="es-MX"/>
              </w:rPr>
              <w:t>Folio de la solicitud: 01707/TEPOTZOT/IP/2025</w:t>
            </w:r>
          </w:p>
        </w:tc>
      </w:tr>
      <w:tr w:rsidR="005031A3" w:rsidRPr="00D94363" w14:paraId="72492A7C" w14:textId="77777777" w:rsidTr="005031A3">
        <w:trPr>
          <w:trHeight w:val="404"/>
          <w:tblCellSpacing w:w="0" w:type="dxa"/>
          <w:jc w:val="center"/>
        </w:trPr>
        <w:tc>
          <w:tcPr>
            <w:tcW w:w="0" w:type="auto"/>
            <w:vAlign w:val="center"/>
            <w:hideMark/>
          </w:tcPr>
          <w:p w14:paraId="019CAA98" w14:textId="77777777" w:rsidR="005031A3" w:rsidRPr="00D94363" w:rsidRDefault="005031A3" w:rsidP="005031A3">
            <w:pPr>
              <w:spacing w:line="240" w:lineRule="auto"/>
              <w:jc w:val="right"/>
              <w:rPr>
                <w:rFonts w:eastAsia="Times New Roman" w:cs="Times New Roman"/>
                <w:i/>
                <w:sz w:val="22"/>
                <w:lang w:val="es-MX"/>
              </w:rPr>
            </w:pPr>
          </w:p>
        </w:tc>
      </w:tr>
      <w:tr w:rsidR="005031A3" w:rsidRPr="00D94363" w14:paraId="391C26D1" w14:textId="77777777" w:rsidTr="005031A3">
        <w:trPr>
          <w:trHeight w:val="134"/>
          <w:tblCellSpacing w:w="0" w:type="dxa"/>
          <w:jc w:val="center"/>
        </w:trPr>
        <w:tc>
          <w:tcPr>
            <w:tcW w:w="0" w:type="auto"/>
            <w:vAlign w:val="center"/>
            <w:hideMark/>
          </w:tcPr>
          <w:p w14:paraId="7BEFC9C3" w14:textId="77777777" w:rsidR="005031A3" w:rsidRPr="00D94363" w:rsidRDefault="005031A3" w:rsidP="005031A3">
            <w:pPr>
              <w:spacing w:line="240" w:lineRule="auto"/>
              <w:jc w:val="left"/>
              <w:rPr>
                <w:rFonts w:eastAsia="Times New Roman" w:cs="Times New Roman"/>
                <w:i/>
                <w:sz w:val="22"/>
                <w:lang w:val="es-MX"/>
              </w:rPr>
            </w:pPr>
            <w:r w:rsidRPr="00D94363">
              <w:rPr>
                <w:rFonts w:eastAsia="Times New Roman" w:cs="Times New Roman"/>
                <w:i/>
                <w:sz w:val="22"/>
                <w:lang w:val="es-MX"/>
              </w:rPr>
              <w:t>SE ADJUNTA RESPUESTA DE SERVIDOR PÚBLICO HABILITADO</w:t>
            </w:r>
          </w:p>
        </w:tc>
      </w:tr>
    </w:tbl>
    <w:p w14:paraId="0809E5D6" w14:textId="77777777" w:rsidR="009E5BA7" w:rsidRPr="00D94363" w:rsidRDefault="009E5BA7" w:rsidP="009E5BA7">
      <w:pPr>
        <w:pStyle w:val="Fundamentos"/>
        <w:rPr>
          <w:lang w:val="es-MX"/>
        </w:rPr>
      </w:pPr>
    </w:p>
    <w:p w14:paraId="7EC30846" w14:textId="77777777" w:rsidR="005031A3" w:rsidRPr="00D94363" w:rsidRDefault="005031A3" w:rsidP="009E5BA7">
      <w:pPr>
        <w:pBdr>
          <w:top w:val="nil"/>
          <w:left w:val="nil"/>
          <w:bottom w:val="nil"/>
          <w:right w:val="nil"/>
          <w:between w:val="nil"/>
        </w:pBdr>
        <w:contextualSpacing/>
        <w:rPr>
          <w:rFonts w:eastAsia="Palatino Linotype" w:cs="Palatino Linotype"/>
          <w:color w:val="000000"/>
          <w:szCs w:val="24"/>
        </w:rPr>
      </w:pPr>
    </w:p>
    <w:p w14:paraId="1B2154DA" w14:textId="77777777" w:rsidR="009E5BA7" w:rsidRPr="00D94363" w:rsidRDefault="009E5BA7" w:rsidP="009E5BA7">
      <w:pPr>
        <w:pBdr>
          <w:top w:val="nil"/>
          <w:left w:val="nil"/>
          <w:bottom w:val="nil"/>
          <w:right w:val="nil"/>
          <w:between w:val="nil"/>
        </w:pBdr>
        <w:contextualSpacing/>
        <w:rPr>
          <w:rFonts w:eastAsia="Palatino Linotype" w:cs="Palatino Linotype"/>
          <w:b/>
          <w:bCs/>
          <w:i/>
          <w:color w:val="000000"/>
          <w:szCs w:val="24"/>
        </w:rPr>
      </w:pPr>
      <w:r w:rsidRPr="00D94363">
        <w:rPr>
          <w:rFonts w:eastAsia="Palatino Linotype" w:cs="Palatino Linotype"/>
          <w:color w:val="000000"/>
          <w:szCs w:val="24"/>
        </w:rPr>
        <w:t xml:space="preserve">El Sujeto Obligado </w:t>
      </w:r>
      <w:r w:rsidR="005031A3" w:rsidRPr="00D94363">
        <w:rPr>
          <w:rFonts w:eastAsia="Palatino Linotype" w:cs="Palatino Linotype"/>
          <w:color w:val="000000"/>
          <w:szCs w:val="24"/>
        </w:rPr>
        <w:t>adjuntó el documento denominado</w:t>
      </w:r>
      <w:r w:rsidRPr="00D94363">
        <w:rPr>
          <w:rFonts w:eastAsia="Palatino Linotype" w:cs="Palatino Linotype"/>
          <w:color w:val="000000"/>
          <w:szCs w:val="24"/>
        </w:rPr>
        <w:t xml:space="preserve"> </w:t>
      </w:r>
      <w:r w:rsidR="005031A3" w:rsidRPr="00D94363">
        <w:rPr>
          <w:rFonts w:cs="Arial"/>
          <w:b/>
          <w:bCs/>
          <w:i/>
          <w:szCs w:val="24"/>
        </w:rPr>
        <w:t>DAyF-084-2026.pdf</w:t>
      </w:r>
      <w:r w:rsidRPr="00D94363">
        <w:rPr>
          <w:rFonts w:eastAsia="Palatino Linotype" w:cs="Palatino Linotype"/>
          <w:b/>
          <w:bCs/>
          <w:color w:val="000000"/>
          <w:szCs w:val="24"/>
        </w:rPr>
        <w:t>“</w:t>
      </w:r>
      <w:r w:rsidR="005031A3" w:rsidRPr="00D94363">
        <w:rPr>
          <w:rFonts w:eastAsia="Palatino Linotype" w:cs="Palatino Linotype"/>
          <w:color w:val="000000"/>
          <w:szCs w:val="24"/>
        </w:rPr>
        <w:t>, el cual no se reproduce</w:t>
      </w:r>
      <w:r w:rsidRPr="00D94363">
        <w:rPr>
          <w:rFonts w:eastAsia="Palatino Linotype" w:cs="Palatino Linotype"/>
          <w:color w:val="000000"/>
          <w:szCs w:val="24"/>
        </w:rPr>
        <w:t xml:space="preserve"> por ser del conocimiento de las partes; no obstante, su contenido será motivo de análisis en el estudio correspondiente.</w:t>
      </w:r>
    </w:p>
    <w:p w14:paraId="68C0E691"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p>
    <w:p w14:paraId="4B5A2B6E" w14:textId="77777777" w:rsidR="009E5BA7" w:rsidRPr="00D94363" w:rsidRDefault="009E5BA7" w:rsidP="009E5BA7">
      <w:pPr>
        <w:pStyle w:val="Ttulo2"/>
        <w:rPr>
          <w:rFonts w:eastAsia="Palatino Linotype"/>
        </w:rPr>
      </w:pPr>
      <w:r w:rsidRPr="00D94363">
        <w:rPr>
          <w:rFonts w:eastAsia="Palatino Linotype"/>
        </w:rPr>
        <w:t>TERCERO. Del recurso de revisión.</w:t>
      </w:r>
    </w:p>
    <w:p w14:paraId="5D41043C"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r w:rsidRPr="00D94363">
        <w:rPr>
          <w:rFonts w:eastAsia="Palatino Linotype" w:cs="Palatino Linotype"/>
          <w:color w:val="000000"/>
          <w:szCs w:val="24"/>
        </w:rPr>
        <w:t xml:space="preserve">Inconforme con la respuesta emitida por el Sujeto Obligado, el Recurrente interpuso el presente recurso de revisión el día </w:t>
      </w:r>
      <w:r w:rsidR="005031A3" w:rsidRPr="00D94363">
        <w:rPr>
          <w:rFonts w:eastAsia="Palatino Linotype" w:cs="Palatino Linotype"/>
          <w:color w:val="000000"/>
          <w:szCs w:val="24"/>
        </w:rPr>
        <w:t>veintitrés de enero de dos veintiséis</w:t>
      </w:r>
      <w:r w:rsidRPr="00D94363">
        <w:rPr>
          <w:rFonts w:eastAsia="Palatino Linotype" w:cs="Palatino Linotype"/>
          <w:color w:val="000000"/>
          <w:szCs w:val="24"/>
        </w:rPr>
        <w:t xml:space="preserve">, el cual se registró con el expediente número </w:t>
      </w:r>
      <w:r w:rsidR="005031A3" w:rsidRPr="00D94363">
        <w:rPr>
          <w:rFonts w:eastAsia="Palatino Linotype" w:cs="Palatino Linotype"/>
          <w:b/>
          <w:color w:val="000000"/>
          <w:szCs w:val="24"/>
        </w:rPr>
        <w:t>00990/INFOEM/IP/RR/2026</w:t>
      </w:r>
      <w:r w:rsidRPr="00D94363">
        <w:rPr>
          <w:rFonts w:eastAsia="Palatino Linotype" w:cs="Palatino Linotype"/>
          <w:color w:val="000000"/>
          <w:szCs w:val="24"/>
        </w:rPr>
        <w:t>, manifestando lo siguiente:</w:t>
      </w:r>
    </w:p>
    <w:p w14:paraId="224C5381"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p>
    <w:p w14:paraId="652C504E" w14:textId="77777777" w:rsidR="009E5BA7" w:rsidRPr="00D94363" w:rsidRDefault="009E5BA7" w:rsidP="009E5BA7">
      <w:pPr>
        <w:contextualSpacing/>
        <w:rPr>
          <w:rFonts w:eastAsia="Palatino Linotype" w:cs="Palatino Linotype"/>
          <w:b/>
        </w:rPr>
      </w:pPr>
      <w:r w:rsidRPr="00D94363">
        <w:rPr>
          <w:rFonts w:eastAsia="Palatino Linotype" w:cs="Palatino Linotype"/>
          <w:b/>
        </w:rPr>
        <w:t xml:space="preserve">Acto Impugnado: </w:t>
      </w:r>
    </w:p>
    <w:p w14:paraId="7011B55F" w14:textId="77777777" w:rsidR="009E5BA7" w:rsidRPr="00D94363" w:rsidRDefault="009E5BA7" w:rsidP="005031A3">
      <w:pPr>
        <w:pStyle w:val="Fundamentos"/>
        <w:rPr>
          <w:b/>
        </w:rPr>
      </w:pPr>
      <w:r w:rsidRPr="00D94363">
        <w:t>«</w:t>
      </w:r>
      <w:r w:rsidRPr="00D94363">
        <w:rPr>
          <w:rFonts w:ascii="Verdana" w:hAnsi="Verdana"/>
          <w:sz w:val="14"/>
          <w:szCs w:val="14"/>
        </w:rPr>
        <w:t xml:space="preserve"> </w:t>
      </w:r>
      <w:r w:rsidR="005031A3" w:rsidRPr="00D94363">
        <w:rPr>
          <w:sz w:val="24"/>
        </w:rPr>
        <w:t>Indique cuántas observaciones del OSFEM permanecen no solventadas al mes de diciembre de 2025, el monto total involucrado y las razones documentadas por las cuales no han sido solventadas. El sujeto obligado manifestó no haber encontrado información, apoyándose en el artículo 12 de la Ley de Transparencia y Acceso a la Información Pública del Estado de México, sin emitir declaratoria formal de inexistencia ni acreditar búsqueda exhaustiva</w:t>
      </w:r>
      <w:r w:rsidR="005031A3" w:rsidRPr="00D94363">
        <w:rPr>
          <w:rFonts w:ascii="Verdana" w:hAnsi="Verdana"/>
          <w:sz w:val="14"/>
          <w:szCs w:val="14"/>
        </w:rPr>
        <w:t>.</w:t>
      </w:r>
      <w:r w:rsidRPr="00D94363">
        <w:rPr>
          <w:rFonts w:ascii="Verdana" w:hAnsi="Verdana"/>
          <w:sz w:val="14"/>
          <w:szCs w:val="14"/>
        </w:rPr>
        <w:t>.</w:t>
      </w:r>
      <w:r w:rsidRPr="00D94363">
        <w:t xml:space="preserve"> » (Sic)</w:t>
      </w:r>
    </w:p>
    <w:p w14:paraId="7267F312" w14:textId="77777777" w:rsidR="009E5BA7" w:rsidRPr="00D94363" w:rsidRDefault="009E5BA7" w:rsidP="009E5BA7">
      <w:pPr>
        <w:contextualSpacing/>
        <w:rPr>
          <w:rFonts w:eastAsia="Palatino Linotype" w:cs="Palatino Linotype"/>
        </w:rPr>
      </w:pPr>
      <w:r w:rsidRPr="00D94363">
        <w:rPr>
          <w:rFonts w:eastAsia="Palatino Linotype" w:cs="Palatino Linotype"/>
          <w:b/>
        </w:rPr>
        <w:lastRenderedPageBreak/>
        <w:t>Razones o Motivos de Inconformidad</w:t>
      </w:r>
      <w:r w:rsidRPr="00D94363">
        <w:rPr>
          <w:rFonts w:eastAsia="Palatino Linotype" w:cs="Palatino Linotype"/>
        </w:rPr>
        <w:t>:</w:t>
      </w:r>
    </w:p>
    <w:p w14:paraId="18E4F998" w14:textId="77777777" w:rsidR="009E5BA7" w:rsidRPr="00D94363" w:rsidRDefault="009E5BA7" w:rsidP="009E5BA7">
      <w:pPr>
        <w:pStyle w:val="Fundamentos"/>
      </w:pPr>
      <w:r w:rsidRPr="00D94363">
        <w:rPr>
          <w:sz w:val="24"/>
        </w:rPr>
        <w:t xml:space="preserve">« </w:t>
      </w:r>
      <w:r w:rsidR="005031A3" w:rsidRPr="00D94363">
        <w:rPr>
          <w:sz w:val="24"/>
        </w:rPr>
        <w:t xml:space="preserve">Agravios PRIMERO. El artículo 12 no justifica inexistencia El artículo 12 no es una causal de inexistencia ni de negativa, sino una disposición que establece que los sujetos obligados entregarán la información que obre en sus archivos. El Ayuntamiento lo utiliza indebidamente para: evadir pronunciarse sobre observaciones del OSFEM, omitir su obligación de documentar procesos de fiscalización, negar información que, por su naturaleza, debe obrar en sus archivos. Esta aplicación es ilegal y contraria a la Ley. SEGUNDO. Las observaciones del OSFEM no pueden “no existir” Las observaciones emitidas por el OSFEM: se notifican formalmente al Ayuntamiento, generan plazos de atención y solventación, implican seguimiento administrativo y documental, involucran montos observados y acciones correctivas. Por tanto, es jurídicamente imposible que el Ayuntamiento: no tenga conocimiento, no cuente con registro, o no tenga documentación sobre observaciones no solventadas. Afirmar lo contrario implica aceptar: incumplimiento en materia de fiscalización, o ocultamiento deliberado de información pública. TERCERO. Inexistencia implícita ilegal Al señalar que “no se encontró información” sin: acta del Comité de Transparencia, búsqueda exhaustiva acreditada, resolución formal de inexistencia, el sujeto obligado incurre en una inexistencia implícita, figura prohibida por la Ley y reiteradamente revocada por el INFOEM. CUARTO. Omisión de búsqueda exhaustiva El Ayuntamiento no acreditó haber realizado búsqueda exhaustiva en las áreas que, por ley, deben contar con esta información, entre ellas: Tesorería Municipal, Contraloría Interna, Presidencia Municipal, Secretaría del Ayuntamiento, Enlace con el OSFEM. La simple afirmación de que “no se encontró información” no satisface el estándar legal. QUINTO. Información de interés público reforzado La información solicitada se relaciona directamente con: observaciones de la Cuenta Pública, montos pendientes de solventar, posibles responsabilidades administrativas o financieras. Se trata de información de interés público reforzado, indispensable para la rendición de cuentas y la fiscalización ciudadana. Negarla vulnera el principio de máxima publicidad. SEXTO. Contradicción administrativa grave Si el Ayuntamiento sostiene que no existen observaciones no solventadas a diciembre de 2025, debió: afirmarlo expresamente, señalar que todas fueron solventadas, y acompañar evidencia documental. Al no hacerlo, incurre en una ambigüedad deliberada que afecta el derecho de acceso a la información. Petición concreta Solicito al INFOEM: Revoque la respuesta emitida por el Ayuntamiento de Tepotzotlán. Ordene al sujeto obligado: informar cuántas observaciones del OSFEM permanecían no solventadas a diciembre </w:t>
      </w:r>
      <w:r w:rsidR="005031A3" w:rsidRPr="00D94363">
        <w:rPr>
          <w:sz w:val="24"/>
        </w:rPr>
        <w:lastRenderedPageBreak/>
        <w:t>de 2025; señalar el monto total involucrado; indicar las razones documentadas de la no solventación. Ordene la entrega de: oficios de observación, informes de seguimiento, documentación de atención o solventación, o versiones públicas debidamente fundadas. Subsidiariamente, ordenar la emisión de resolución formal de inexistencia, previa búsqueda exhaustiva. Dar vista al Órgano Interno de Control por la reiterada evasión informativa</w:t>
      </w:r>
      <w:r w:rsidR="005031A3" w:rsidRPr="00D94363">
        <w:rPr>
          <w:rFonts w:ascii="Verdana" w:hAnsi="Verdana"/>
          <w:sz w:val="14"/>
          <w:szCs w:val="14"/>
        </w:rPr>
        <w:t>.</w:t>
      </w:r>
      <w:r w:rsidRPr="00D94363">
        <w:rPr>
          <w:rFonts w:ascii="Verdana" w:hAnsi="Verdana"/>
          <w:sz w:val="14"/>
          <w:szCs w:val="14"/>
        </w:rPr>
        <w:t>.</w:t>
      </w:r>
      <w:r w:rsidRPr="00D94363">
        <w:t xml:space="preserve"> » (Sic)</w:t>
      </w:r>
    </w:p>
    <w:p w14:paraId="23480008"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p>
    <w:p w14:paraId="1C35F525" w14:textId="77777777" w:rsidR="009E5BA7" w:rsidRPr="00D94363" w:rsidRDefault="009E5BA7" w:rsidP="009E5BA7">
      <w:pPr>
        <w:pStyle w:val="Ttulo2"/>
        <w:rPr>
          <w:rFonts w:eastAsia="Palatino Linotype"/>
        </w:rPr>
      </w:pPr>
      <w:r w:rsidRPr="00D94363">
        <w:rPr>
          <w:rFonts w:eastAsia="Palatino Linotype"/>
        </w:rPr>
        <w:t>CUARTO. Del turno y admisión del recurso de revisión.</w:t>
      </w:r>
    </w:p>
    <w:p w14:paraId="5D0A55CB"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r w:rsidRPr="00D94363">
        <w:rPr>
          <w:rFonts w:eastAsia="Palatino Linotype" w:cs="Palatino Linotype"/>
          <w:color w:val="000000"/>
          <w:szCs w:val="24"/>
        </w:rPr>
        <w:t xml:space="preserve">Medio de impugnación que le fue turnado al </w:t>
      </w:r>
      <w:r w:rsidRPr="00D94363">
        <w:rPr>
          <w:rFonts w:eastAsia="Palatino Linotype" w:cs="Palatino Linotype"/>
          <w:b/>
          <w:color w:val="000000"/>
          <w:szCs w:val="24"/>
        </w:rPr>
        <w:t>Comisionado Presidente José Martínez Vilchis</w:t>
      </w:r>
      <w:r w:rsidRPr="00D94363">
        <w:rPr>
          <w:rFonts w:eastAsia="Palatino Linotype" w:cs="Palatino Linotype"/>
          <w:color w:val="000000"/>
          <w:szCs w:val="24"/>
        </w:rPr>
        <w:t xml:space="preserve">, por medio del sistema electrónico en términos del numeral 185 fracción I de la Ley de Transparencia y Acceso a la información Pública del Estado de México y Municipios, al cual recayó acuerdo de admisión de fecha </w:t>
      </w:r>
      <w:r w:rsidR="005031A3" w:rsidRPr="00D94363">
        <w:rPr>
          <w:rFonts w:eastAsia="Palatino Linotype" w:cs="Palatino Linotype"/>
          <w:b/>
          <w:color w:val="000000"/>
          <w:szCs w:val="24"/>
        </w:rPr>
        <w:t>veintinueve de enero de dos mil veintiséis</w:t>
      </w:r>
      <w:r w:rsidRPr="00D94363">
        <w:rPr>
          <w:rFonts w:eastAsia="Palatino Linotype" w:cs="Palatino Linotype"/>
          <w:color w:val="000000"/>
          <w:szCs w:val="24"/>
        </w:rPr>
        <w:t xml:space="preserve">, </w:t>
      </w:r>
      <w:r w:rsidRPr="00D94363">
        <w:rPr>
          <w:rFonts w:eastAsia="Palatino Linotype" w:cs="Palatino Linotype"/>
          <w:szCs w:val="24"/>
        </w:rPr>
        <w:t>otorgándose</w:t>
      </w:r>
      <w:r w:rsidRPr="00D94363">
        <w:rPr>
          <w:rFonts w:eastAsia="Palatino Linotype" w:cs="Palatino Linotype"/>
          <w:color w:val="000000"/>
          <w:szCs w:val="24"/>
        </w:rPr>
        <w:t xml:space="preserve"> en él un plazo de siete días para que las partes manifestaran lo que a su derecho corresponda en términos del numeral ya citado.</w:t>
      </w:r>
    </w:p>
    <w:p w14:paraId="708A4647" w14:textId="77777777" w:rsidR="005031A3" w:rsidRPr="00D94363" w:rsidRDefault="005031A3" w:rsidP="009E5BA7">
      <w:pPr>
        <w:pBdr>
          <w:top w:val="nil"/>
          <w:left w:val="nil"/>
          <w:bottom w:val="nil"/>
          <w:right w:val="nil"/>
          <w:between w:val="nil"/>
        </w:pBdr>
        <w:contextualSpacing/>
        <w:rPr>
          <w:rFonts w:eastAsia="Palatino Linotype" w:cs="Palatino Linotype"/>
          <w:color w:val="000000"/>
          <w:szCs w:val="24"/>
        </w:rPr>
      </w:pPr>
    </w:p>
    <w:p w14:paraId="03B70377" w14:textId="77777777" w:rsidR="009E5BA7" w:rsidRPr="00D94363" w:rsidRDefault="009E5BA7" w:rsidP="009E5BA7">
      <w:pPr>
        <w:pStyle w:val="Ttulo2"/>
        <w:rPr>
          <w:rFonts w:eastAsia="Palatino Linotype"/>
        </w:rPr>
      </w:pPr>
      <w:r w:rsidRPr="00D94363">
        <w:rPr>
          <w:rFonts w:eastAsia="Palatino Linotype"/>
        </w:rPr>
        <w:t>QUINTO. De la etapa de instrucción.</w:t>
      </w:r>
    </w:p>
    <w:p w14:paraId="1F0C8E7A"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r w:rsidRPr="00D94363">
        <w:rPr>
          <w:rFonts w:eastAsia="Palatino Linotype" w:cs="Palatino Linotype"/>
          <w:color w:val="000000"/>
          <w:szCs w:val="24"/>
        </w:rPr>
        <w:t xml:space="preserve">Durante la etapa de instrucción, se observa que </w:t>
      </w:r>
      <w:r w:rsidR="005031A3" w:rsidRPr="00D94363">
        <w:rPr>
          <w:rFonts w:eastAsia="Palatino Linotype" w:cs="Palatino Linotype"/>
          <w:color w:val="000000"/>
          <w:szCs w:val="24"/>
        </w:rPr>
        <w:t xml:space="preserve">el Sujeto Obligado </w:t>
      </w:r>
      <w:r w:rsidR="005031A3" w:rsidRPr="00D94363">
        <w:rPr>
          <w:rFonts w:eastAsia="Palatino Linotype" w:cs="Palatino Linotype"/>
          <w:b/>
          <w:color w:val="000000"/>
          <w:szCs w:val="24"/>
        </w:rPr>
        <w:t>fue omiso en remitir su informe justificado</w:t>
      </w:r>
      <w:r w:rsidRPr="00D94363">
        <w:rPr>
          <w:rFonts w:eastAsia="Palatino Linotype" w:cs="Palatino Linotype"/>
          <w:color w:val="000000"/>
          <w:szCs w:val="24"/>
        </w:rPr>
        <w:t xml:space="preserve">. Por otra parte, se observa que el Recurrente no emitió manifestaciones vertió alegatos o presentó pruebas que a su derecho conviniera, del mismo modo, no realizó pronunciamiento alguno respecto del Informe Justificado del Sujeto Obligado. </w:t>
      </w:r>
    </w:p>
    <w:p w14:paraId="3FC2922C"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p>
    <w:p w14:paraId="266E7023" w14:textId="77777777" w:rsidR="009E5BA7" w:rsidRPr="00D94363" w:rsidRDefault="009E5BA7" w:rsidP="009E5BA7">
      <w:pPr>
        <w:pStyle w:val="Ttulo2"/>
        <w:rPr>
          <w:rFonts w:eastAsia="Palatino Linotype"/>
        </w:rPr>
      </w:pPr>
      <w:r w:rsidRPr="00D94363">
        <w:rPr>
          <w:rFonts w:eastAsia="Palatino Linotype"/>
        </w:rPr>
        <w:t>SEXTO. Del cierre de instrucción.</w:t>
      </w:r>
    </w:p>
    <w:p w14:paraId="75D0B37F"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r w:rsidRPr="00D94363">
        <w:rPr>
          <w:rFonts w:eastAsia="Palatino Linotype" w:cs="Palatino Linotype"/>
          <w:color w:val="000000"/>
          <w:szCs w:val="24"/>
        </w:rPr>
        <w:t xml:space="preserve">Así, una vez transcurrido el término legal, se decretó el cierre de instrucción el </w:t>
      </w:r>
      <w:r w:rsidR="005031A3" w:rsidRPr="00D94363">
        <w:rPr>
          <w:rFonts w:eastAsia="Palatino Linotype" w:cs="Palatino Linotype"/>
          <w:b/>
          <w:color w:val="000000"/>
          <w:szCs w:val="24"/>
        </w:rPr>
        <w:t>veintitrés de abril</w:t>
      </w:r>
      <w:r w:rsidRPr="00D94363">
        <w:rPr>
          <w:rFonts w:eastAsia="Palatino Linotype" w:cs="Palatino Linotype"/>
          <w:b/>
          <w:color w:val="000000"/>
          <w:szCs w:val="24"/>
        </w:rPr>
        <w:t xml:space="preserve"> de dos mil veintiséis</w:t>
      </w:r>
      <w:r w:rsidRPr="00D94363">
        <w:rPr>
          <w:rFonts w:eastAsia="Palatino Linotype" w:cs="Palatino Linotype"/>
          <w:color w:val="000000"/>
          <w:szCs w:val="24"/>
        </w:rPr>
        <w:t xml:space="preserve">, en términos del artículo 185 fracción VI de la Ley de </w:t>
      </w:r>
      <w:r w:rsidRPr="00D94363">
        <w:rPr>
          <w:rFonts w:eastAsia="Palatino Linotype" w:cs="Palatino Linotype"/>
          <w:color w:val="000000"/>
          <w:szCs w:val="24"/>
        </w:rPr>
        <w:lastRenderedPageBreak/>
        <w:t>Transparencia y Acceso a la Información Pública del Estado de México y Municipios, iniciando el término legal para dictar resolución definitiva del asunto.</w:t>
      </w:r>
    </w:p>
    <w:p w14:paraId="6DF7E1D6" w14:textId="77777777" w:rsidR="00E90C43" w:rsidRPr="00D94363" w:rsidRDefault="00E90C43" w:rsidP="00E90C43">
      <w:pPr>
        <w:rPr>
          <w:rFonts w:eastAsia="Times New Roman" w:cs="Times New Roman"/>
          <w:b/>
          <w:color w:val="000000" w:themeColor="text1"/>
          <w:sz w:val="28"/>
          <w:szCs w:val="28"/>
        </w:rPr>
      </w:pPr>
    </w:p>
    <w:p w14:paraId="599FBFE2" w14:textId="77777777" w:rsidR="00E90C43" w:rsidRPr="00D94363" w:rsidRDefault="00E90C43" w:rsidP="00E90C43">
      <w:pPr>
        <w:keepNext/>
        <w:keepLines/>
        <w:outlineLvl w:val="1"/>
        <w:rPr>
          <w:rFonts w:eastAsia="Times New Roman" w:cs="Palatino Linotype"/>
          <w:color w:val="000000"/>
          <w:szCs w:val="24"/>
        </w:rPr>
      </w:pPr>
      <w:r w:rsidRPr="00D94363">
        <w:rPr>
          <w:rFonts w:cs="Arial"/>
          <w:b/>
          <w:sz w:val="28"/>
          <w:szCs w:val="28"/>
        </w:rPr>
        <w:t>SÉPTIMO. De la ampliación de plazo para resolver.</w:t>
      </w:r>
    </w:p>
    <w:p w14:paraId="609125BB" w14:textId="77777777" w:rsidR="00E90C43" w:rsidRPr="00D94363" w:rsidRDefault="00E90C43" w:rsidP="00E90C43">
      <w:pPr>
        <w:rPr>
          <w:rFonts w:cs="Arial"/>
          <w:szCs w:val="24"/>
        </w:rPr>
      </w:pPr>
      <w:r w:rsidRPr="00D94363">
        <w:rPr>
          <w:rFonts w:cs="Arial"/>
          <w:szCs w:val="24"/>
        </w:rPr>
        <w:t>De las constancias que integran el expediente electrónico, se advierte que han transcurrido los términos de Ley, para la emisión de la resolución en el presente recurso de revisión, por lo que en fecha</w:t>
      </w:r>
      <w:r w:rsidRPr="00D94363">
        <w:rPr>
          <w:rFonts w:cs="Arial"/>
          <w:b/>
          <w:szCs w:val="24"/>
        </w:rPr>
        <w:t xml:space="preserve"> </w:t>
      </w:r>
      <w:r w:rsidRPr="00D94363">
        <w:rPr>
          <w:rFonts w:eastAsia="Times New Roman" w:cs="Palatino Linotype"/>
          <w:b/>
          <w:color w:val="000000"/>
          <w:szCs w:val="24"/>
        </w:rPr>
        <w:t>tres de junio de dos mil veintiséis</w:t>
      </w:r>
      <w:r w:rsidRPr="00D94363">
        <w:rPr>
          <w:rFonts w:cs="Arial"/>
          <w:szCs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3B614E9A" w14:textId="77777777" w:rsidR="00E90C43" w:rsidRPr="00D94363" w:rsidRDefault="00E90C43" w:rsidP="00E90C43">
      <w:pPr>
        <w:rPr>
          <w:rFonts w:cs="Arial"/>
          <w:szCs w:val="24"/>
        </w:rPr>
      </w:pPr>
    </w:p>
    <w:p w14:paraId="1F11315B" w14:textId="77777777" w:rsidR="00E90C43" w:rsidRPr="00D94363" w:rsidRDefault="00E90C43" w:rsidP="00E90C43">
      <w:pPr>
        <w:ind w:right="49"/>
        <w:rPr>
          <w:rFonts w:cs="Arial"/>
          <w:szCs w:val="24"/>
          <w:lang w:val="es-ES" w:eastAsia="es-ES"/>
        </w:rPr>
      </w:pPr>
      <w:r w:rsidRPr="00D94363">
        <w:rPr>
          <w:rFonts w:cs="Arial"/>
          <w:szCs w:val="24"/>
          <w:lang w:val="es-ES" w:eastAsia="es-ES"/>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w:t>
      </w:r>
    </w:p>
    <w:p w14:paraId="719F2781" w14:textId="77777777" w:rsidR="00E90C43" w:rsidRPr="00D94363" w:rsidRDefault="00E90C43" w:rsidP="00E90C43">
      <w:pPr>
        <w:ind w:right="49"/>
        <w:rPr>
          <w:rFonts w:cs="Arial"/>
          <w:szCs w:val="24"/>
          <w:lang w:val="es-ES" w:eastAsia="es-ES"/>
        </w:rPr>
      </w:pPr>
    </w:p>
    <w:p w14:paraId="01BB6997" w14:textId="77777777" w:rsidR="00E90C43" w:rsidRPr="00D94363" w:rsidRDefault="00E90C43" w:rsidP="00E90C43">
      <w:pPr>
        <w:ind w:right="49"/>
        <w:rPr>
          <w:rFonts w:cs="Arial"/>
          <w:szCs w:val="24"/>
          <w:lang w:val="es-ES" w:eastAsia="es-ES"/>
        </w:rPr>
      </w:pPr>
      <w:r w:rsidRPr="00D94363">
        <w:rPr>
          <w:rFonts w:cs="Arial"/>
          <w:szCs w:val="24"/>
          <w:lang w:val="es-ES" w:eastAsia="es-ES"/>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0DCE84B9" w14:textId="77777777" w:rsidR="00E90C43" w:rsidRPr="00D94363" w:rsidRDefault="00E90C43" w:rsidP="00E90C43">
      <w:pPr>
        <w:ind w:right="49"/>
        <w:rPr>
          <w:rFonts w:cs="Arial"/>
          <w:szCs w:val="24"/>
          <w:lang w:val="es-ES" w:eastAsia="es-ES"/>
        </w:rPr>
      </w:pPr>
    </w:p>
    <w:p w14:paraId="46C66FE5" w14:textId="77777777" w:rsidR="00E90C43" w:rsidRPr="00D94363" w:rsidRDefault="00E90C43" w:rsidP="00E90C43">
      <w:pPr>
        <w:ind w:right="49"/>
        <w:rPr>
          <w:rFonts w:cs="Arial"/>
          <w:szCs w:val="24"/>
          <w:lang w:val="es-ES" w:eastAsia="es-ES"/>
        </w:rPr>
      </w:pPr>
      <w:r w:rsidRPr="00D94363">
        <w:rPr>
          <w:rFonts w:cs="Arial"/>
          <w:szCs w:val="24"/>
          <w:lang w:val="es-ES" w:eastAsia="es-ES"/>
        </w:rPr>
        <w:lastRenderedPageBreak/>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45BF87FF" w14:textId="77777777" w:rsidR="00E90C43" w:rsidRPr="00D94363" w:rsidRDefault="00E90C43" w:rsidP="00E90C43">
      <w:pPr>
        <w:ind w:right="49"/>
        <w:rPr>
          <w:rFonts w:cs="Arial"/>
          <w:szCs w:val="24"/>
          <w:lang w:val="es-ES" w:eastAsia="es-ES"/>
        </w:rPr>
      </w:pPr>
    </w:p>
    <w:p w14:paraId="5FD11960" w14:textId="77777777" w:rsidR="00E90C43" w:rsidRPr="00D94363" w:rsidRDefault="00E90C43" w:rsidP="00E90C43">
      <w:pPr>
        <w:ind w:right="49"/>
        <w:rPr>
          <w:rFonts w:cs="Arial"/>
          <w:szCs w:val="24"/>
          <w:lang w:val="es-ES" w:eastAsia="es-ES"/>
        </w:rPr>
      </w:pPr>
      <w:r w:rsidRPr="00D94363">
        <w:rPr>
          <w:rFonts w:cs="Arial"/>
          <w:szCs w:val="24"/>
          <w:lang w:val="es-ES" w:eastAsia="es-ES"/>
        </w:rPr>
        <w:t xml:space="preserve">Por ello, excepcionalmente, si un asunto es resuelto con posterioridad a los plazos señalados por la norma debe analizarse la razonabilidad del tiempo necesario para su resolución, atentos a los siguientes criterios:  </w:t>
      </w:r>
    </w:p>
    <w:p w14:paraId="73C76C9C" w14:textId="77777777" w:rsidR="00E90C43" w:rsidRPr="00D94363" w:rsidRDefault="00E90C43" w:rsidP="00E90C43">
      <w:pPr>
        <w:ind w:left="993" w:right="49" w:hanging="426"/>
        <w:rPr>
          <w:rFonts w:cs="Arial"/>
          <w:lang w:val="es-ES" w:eastAsia="es-ES"/>
        </w:rPr>
      </w:pPr>
      <w:r w:rsidRPr="00D94363">
        <w:rPr>
          <w:rFonts w:cs="Arial"/>
          <w:b/>
          <w:lang w:val="es-ES" w:eastAsia="es-ES"/>
        </w:rPr>
        <w:t xml:space="preserve">a) </w:t>
      </w:r>
      <w:r w:rsidRPr="00D94363">
        <w:rPr>
          <w:rFonts w:cs="Arial"/>
          <w:b/>
          <w:lang w:val="es-ES" w:eastAsia="es-ES"/>
        </w:rPr>
        <w:tab/>
        <w:t>Complejidad del asunto:</w:t>
      </w:r>
      <w:r w:rsidRPr="00D94363">
        <w:rPr>
          <w:rFonts w:cs="Arial"/>
          <w:lang w:val="es-ES" w:eastAsia="es-ES"/>
        </w:rPr>
        <w:t xml:space="preserve"> La complejidad de la prueba, la pluralidad de sujetos procesales, el tiempo transcurrido, las características y contexto del recurso.</w:t>
      </w:r>
    </w:p>
    <w:p w14:paraId="449E9CB9" w14:textId="77777777" w:rsidR="00E90C43" w:rsidRPr="00D94363" w:rsidRDefault="00E90C43" w:rsidP="00E90C43">
      <w:pPr>
        <w:ind w:left="993" w:right="49" w:hanging="426"/>
        <w:rPr>
          <w:rFonts w:cs="Arial"/>
          <w:lang w:val="es-ES" w:eastAsia="es-ES"/>
        </w:rPr>
      </w:pPr>
      <w:r w:rsidRPr="00D94363">
        <w:rPr>
          <w:rFonts w:cs="Arial"/>
          <w:b/>
          <w:lang w:val="es-ES" w:eastAsia="es-ES"/>
        </w:rPr>
        <w:t xml:space="preserve">b) </w:t>
      </w:r>
      <w:r w:rsidRPr="00D94363">
        <w:rPr>
          <w:rFonts w:cs="Arial"/>
          <w:b/>
          <w:lang w:val="es-ES" w:eastAsia="es-ES"/>
        </w:rPr>
        <w:tab/>
        <w:t>Actividad Procesal del interesado:</w:t>
      </w:r>
      <w:r w:rsidRPr="00D94363">
        <w:rPr>
          <w:rFonts w:cs="Arial"/>
          <w:lang w:val="es-ES" w:eastAsia="es-ES"/>
        </w:rPr>
        <w:t xml:space="preserve"> Acciones u omisiones del interesado.</w:t>
      </w:r>
    </w:p>
    <w:p w14:paraId="13EF4F62" w14:textId="77777777" w:rsidR="00E90C43" w:rsidRPr="00D94363" w:rsidRDefault="00E90C43" w:rsidP="00E90C43">
      <w:pPr>
        <w:ind w:left="993" w:right="49" w:hanging="426"/>
        <w:rPr>
          <w:rFonts w:cs="Arial"/>
          <w:lang w:val="es-ES" w:eastAsia="es-ES"/>
        </w:rPr>
      </w:pPr>
      <w:r w:rsidRPr="00D94363">
        <w:rPr>
          <w:rFonts w:cs="Arial"/>
          <w:b/>
          <w:lang w:val="es-ES" w:eastAsia="es-ES"/>
        </w:rPr>
        <w:t xml:space="preserve">c) </w:t>
      </w:r>
      <w:r w:rsidRPr="00D94363">
        <w:rPr>
          <w:rFonts w:cs="Arial"/>
          <w:b/>
          <w:lang w:val="es-ES" w:eastAsia="es-ES"/>
        </w:rPr>
        <w:tab/>
        <w:t>Conducta de la Autoridad:</w:t>
      </w:r>
      <w:r w:rsidRPr="00D94363">
        <w:rPr>
          <w:rFonts w:cs="Arial"/>
          <w:lang w:val="es-ES" w:eastAsia="es-ES"/>
        </w:rPr>
        <w:t xml:space="preserve"> Las Acciones u omisiones realizadas en el procedimiento. Así como si la autoridad actuó con la debida diligencia.</w:t>
      </w:r>
    </w:p>
    <w:p w14:paraId="5EC524D6" w14:textId="77777777" w:rsidR="00E90C43" w:rsidRPr="00D94363" w:rsidRDefault="00E90C43" w:rsidP="00E90C43">
      <w:pPr>
        <w:ind w:left="993" w:right="49" w:hanging="426"/>
        <w:rPr>
          <w:rFonts w:cs="Arial"/>
          <w:lang w:val="es-ES" w:eastAsia="es-ES"/>
        </w:rPr>
      </w:pPr>
      <w:r w:rsidRPr="00D94363">
        <w:rPr>
          <w:rFonts w:cs="Arial"/>
          <w:b/>
          <w:lang w:val="es-ES" w:eastAsia="es-ES"/>
        </w:rPr>
        <w:t xml:space="preserve">d) </w:t>
      </w:r>
      <w:r w:rsidRPr="00D94363">
        <w:rPr>
          <w:rFonts w:cs="Arial"/>
          <w:b/>
          <w:lang w:val="es-ES" w:eastAsia="es-ES"/>
        </w:rPr>
        <w:tab/>
        <w:t>La afectación generada en la situación jurídica de la persona involucrada en el proceso:</w:t>
      </w:r>
      <w:r w:rsidRPr="00D94363">
        <w:rPr>
          <w:rFonts w:cs="Arial"/>
          <w:lang w:val="es-ES" w:eastAsia="es-ES"/>
        </w:rPr>
        <w:t xml:space="preserve"> Violación a sus derechos humanos.</w:t>
      </w:r>
    </w:p>
    <w:p w14:paraId="4C231576" w14:textId="77777777" w:rsidR="00E90C43" w:rsidRPr="00D94363" w:rsidRDefault="00E90C43" w:rsidP="00E90C43">
      <w:pPr>
        <w:ind w:left="993" w:right="49" w:hanging="426"/>
        <w:rPr>
          <w:rFonts w:cs="Arial"/>
          <w:lang w:val="es-ES" w:eastAsia="es-ES"/>
        </w:rPr>
      </w:pPr>
    </w:p>
    <w:p w14:paraId="78FB2309" w14:textId="77777777" w:rsidR="00E90C43" w:rsidRPr="00D94363" w:rsidRDefault="00E90C43" w:rsidP="00E90C43">
      <w:pPr>
        <w:ind w:right="49"/>
        <w:rPr>
          <w:rFonts w:cs="Arial"/>
          <w:szCs w:val="24"/>
          <w:lang w:val="es-ES" w:eastAsia="es-ES"/>
        </w:rPr>
      </w:pPr>
      <w:r w:rsidRPr="00D94363">
        <w:rPr>
          <w:rFonts w:cs="Arial"/>
          <w:szCs w:val="24"/>
          <w:lang w:val="es-ES" w:eastAsia="es-E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557C01EF" w14:textId="77777777" w:rsidR="00E90C43" w:rsidRPr="00D94363" w:rsidRDefault="00E90C43" w:rsidP="00E90C43">
      <w:pPr>
        <w:ind w:right="49"/>
        <w:rPr>
          <w:rFonts w:cs="Arial"/>
          <w:szCs w:val="24"/>
          <w:lang w:val="es-ES" w:eastAsia="es-ES"/>
        </w:rPr>
      </w:pPr>
    </w:p>
    <w:p w14:paraId="11631CCC" w14:textId="77777777" w:rsidR="00E90C43" w:rsidRPr="00D94363" w:rsidRDefault="00E90C43" w:rsidP="00E90C43">
      <w:pPr>
        <w:ind w:right="49"/>
        <w:rPr>
          <w:rFonts w:cs="Arial"/>
          <w:szCs w:val="24"/>
          <w:lang w:val="es-ES" w:eastAsia="es-ES"/>
        </w:rPr>
      </w:pPr>
      <w:r w:rsidRPr="00D94363">
        <w:rPr>
          <w:rFonts w:cs="Arial"/>
          <w:szCs w:val="24"/>
          <w:lang w:val="es-ES" w:eastAsia="es-ES"/>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225471F6" w14:textId="77777777" w:rsidR="00E90C43" w:rsidRPr="00D94363" w:rsidRDefault="00E90C43" w:rsidP="00E90C43">
      <w:pPr>
        <w:ind w:right="49"/>
        <w:rPr>
          <w:rFonts w:cs="Arial"/>
          <w:szCs w:val="24"/>
          <w:lang w:val="es-ES" w:eastAsia="es-ES"/>
        </w:rPr>
      </w:pPr>
    </w:p>
    <w:p w14:paraId="1CA4B885" w14:textId="77777777" w:rsidR="00E90C43" w:rsidRPr="00D94363" w:rsidRDefault="00E90C43" w:rsidP="00E90C43">
      <w:pPr>
        <w:ind w:right="49"/>
        <w:rPr>
          <w:rFonts w:cs="Arial"/>
          <w:szCs w:val="24"/>
          <w:lang w:val="es-ES" w:eastAsia="es-ES"/>
        </w:rPr>
      </w:pPr>
      <w:r w:rsidRPr="00D94363">
        <w:rPr>
          <w:rFonts w:cs="Arial"/>
          <w:szCs w:val="24"/>
          <w:lang w:val="es-ES" w:eastAsia="es-E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76478B19" w14:textId="77777777" w:rsidR="00E90C43" w:rsidRPr="00D94363" w:rsidRDefault="00E90C43" w:rsidP="00E90C43">
      <w:pPr>
        <w:ind w:right="49"/>
        <w:rPr>
          <w:rFonts w:cs="Arial"/>
          <w:szCs w:val="24"/>
          <w:lang w:val="es-ES" w:eastAsia="es-ES"/>
        </w:rPr>
      </w:pPr>
    </w:p>
    <w:p w14:paraId="31B0348B" w14:textId="77777777" w:rsidR="00E90C43" w:rsidRPr="00D94363" w:rsidRDefault="00E90C43" w:rsidP="00E90C43">
      <w:pPr>
        <w:ind w:right="49"/>
        <w:rPr>
          <w:rFonts w:cs="Arial"/>
          <w:szCs w:val="24"/>
          <w:lang w:val="es-ES" w:eastAsia="es-ES"/>
        </w:rPr>
      </w:pPr>
      <w:r w:rsidRPr="00D94363">
        <w:rPr>
          <w:rFonts w:cs="Arial"/>
          <w:szCs w:val="24"/>
          <w:lang w:val="es-ES" w:eastAsia="es-ES"/>
        </w:rPr>
        <w:t>Al respecto, también son de considerar los criterios sostenidos por el Cuarto Tribunal Colegiado en Materia Administrativa del Primer Circuito, cuyos rubros y datos de identificación son los siguientes:</w:t>
      </w:r>
    </w:p>
    <w:p w14:paraId="4FDC9914" w14:textId="77777777" w:rsidR="00E90C43" w:rsidRPr="00D94363" w:rsidRDefault="00E90C43" w:rsidP="00E90C43">
      <w:pPr>
        <w:ind w:left="708" w:right="49"/>
        <w:rPr>
          <w:rFonts w:cs="Arial"/>
          <w:i/>
          <w:iCs/>
          <w:lang w:val="es-ES" w:eastAsia="es-ES"/>
        </w:rPr>
      </w:pPr>
      <w:r w:rsidRPr="00D94363">
        <w:rPr>
          <w:rFonts w:cs="Arial"/>
          <w:i/>
          <w:iCs/>
          <w:lang w:val="es-ES" w:eastAsia="es-ES"/>
        </w:rPr>
        <w:t>“</w:t>
      </w:r>
      <w:r w:rsidRPr="00D94363">
        <w:rPr>
          <w:rFonts w:cs="Arial"/>
          <w:b/>
          <w:i/>
          <w:iCs/>
          <w:lang w:val="es-ES" w:eastAsia="es-ES"/>
        </w:rPr>
        <w:t>PLAZO RAZONABLE PARA RESOLVER. DIMENSIÓN Y EFECTOS DE ESTE CONCEPTO CUANDO SE ADUCE EXCESIVA CARGA DE TRABAJO</w:t>
      </w:r>
      <w:r w:rsidRPr="00D94363">
        <w:rPr>
          <w:rFonts w:cs="Arial"/>
          <w:i/>
          <w:iCs/>
          <w:lang w:val="es-ES" w:eastAsia="es-ES"/>
        </w:rPr>
        <w:t xml:space="preserve">.” </w:t>
      </w:r>
      <w:r w:rsidRPr="00D94363">
        <w:rPr>
          <w:rFonts w:cs="Arial"/>
          <w:i/>
          <w:iCs/>
          <w:lang w:val="es-ES" w:eastAsia="es-ES"/>
        </w:rPr>
        <w:lastRenderedPageBreak/>
        <w:t>consultable en el Seminario Judicial de la Federación y su gaceta, con el registro digital 2002351.</w:t>
      </w:r>
    </w:p>
    <w:p w14:paraId="5CE97346" w14:textId="77777777" w:rsidR="00E90C43" w:rsidRPr="00D94363" w:rsidRDefault="00E90C43" w:rsidP="00E90C43">
      <w:pPr>
        <w:ind w:right="49"/>
        <w:rPr>
          <w:rFonts w:cs="Arial"/>
          <w:i/>
          <w:iCs/>
          <w:lang w:val="es-ES" w:eastAsia="es-ES"/>
        </w:rPr>
      </w:pPr>
    </w:p>
    <w:p w14:paraId="02F82A90" w14:textId="77777777" w:rsidR="00E90C43" w:rsidRPr="00D94363" w:rsidRDefault="00E90C43" w:rsidP="00E90C43">
      <w:pPr>
        <w:ind w:left="708" w:right="49"/>
        <w:rPr>
          <w:rFonts w:cs="Arial"/>
          <w:i/>
          <w:iCs/>
          <w:lang w:val="es-ES" w:eastAsia="es-ES"/>
        </w:rPr>
      </w:pPr>
      <w:r w:rsidRPr="00D94363">
        <w:rPr>
          <w:rFonts w:cs="Arial"/>
          <w:i/>
          <w:iCs/>
          <w:lang w:val="es-ES" w:eastAsia="es-ES"/>
        </w:rPr>
        <w:t>“</w:t>
      </w:r>
      <w:r w:rsidRPr="00D94363">
        <w:rPr>
          <w:rFonts w:cs="Arial"/>
          <w:b/>
          <w:i/>
          <w:iCs/>
          <w:lang w:val="es-ES" w:eastAsia="es-ES"/>
        </w:rPr>
        <w:t>PLAZO RAZONABLE PARA RESOLVER. CONCEPTO Y ELEMENTOS QUE LO INTEGRAN A LA LUZ DEL DERECHO INTERNACIONAL DE LOS DERECHOS HUMANOS.</w:t>
      </w:r>
      <w:r w:rsidRPr="00D94363">
        <w:rPr>
          <w:rFonts w:cs="Arial"/>
          <w:i/>
          <w:iCs/>
          <w:lang w:val="es-ES" w:eastAsia="es-ES"/>
        </w:rPr>
        <w:t>”, visible en el Seminario Judicial de la Federación y su gaceta, con el registro digital 2002350.</w:t>
      </w:r>
    </w:p>
    <w:p w14:paraId="05857988" w14:textId="77777777" w:rsidR="00E90C43" w:rsidRPr="00D94363" w:rsidRDefault="00E90C43" w:rsidP="00E90C43">
      <w:pPr>
        <w:ind w:right="49"/>
        <w:rPr>
          <w:rFonts w:cs="Arial"/>
          <w:szCs w:val="24"/>
          <w:lang w:val="es-ES" w:eastAsia="es-ES"/>
        </w:rPr>
      </w:pPr>
    </w:p>
    <w:p w14:paraId="6C94181E" w14:textId="77777777" w:rsidR="00E90C43" w:rsidRPr="00D94363" w:rsidRDefault="00E90C43" w:rsidP="00E90C43">
      <w:pPr>
        <w:ind w:right="49"/>
        <w:rPr>
          <w:rFonts w:cs="Arial"/>
          <w:szCs w:val="24"/>
          <w:lang w:val="es-ES" w:eastAsia="es-ES"/>
        </w:rPr>
      </w:pPr>
      <w:r w:rsidRPr="00D94363">
        <w:rPr>
          <w:rFonts w:cs="Arial"/>
          <w:szCs w:val="24"/>
          <w:lang w:val="es-ES" w:eastAsia="es-ES"/>
        </w:rPr>
        <w:t>Por ello, este organismo garante comprometido con la tutela de los derechos humanos confiados, señala que este exceso del plazo legal para resolver el presente asunto, resulta de carácter excepcional.</w:t>
      </w:r>
    </w:p>
    <w:p w14:paraId="62830599"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p>
    <w:p w14:paraId="577A9F2A"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p>
    <w:p w14:paraId="1638ED45" w14:textId="77777777" w:rsidR="009E5BA7" w:rsidRPr="00D94363" w:rsidRDefault="009E5BA7" w:rsidP="009E5BA7">
      <w:pPr>
        <w:pStyle w:val="Ttulo1"/>
        <w:rPr>
          <w:rFonts w:eastAsia="Palatino Linotype"/>
          <w:lang w:val="es-ES_tradnl"/>
        </w:rPr>
      </w:pPr>
      <w:r w:rsidRPr="00D94363">
        <w:rPr>
          <w:rFonts w:eastAsia="Palatino Linotype"/>
          <w:lang w:val="es-ES_tradnl"/>
        </w:rPr>
        <w:t>C O N S I D E R A N D O</w:t>
      </w:r>
    </w:p>
    <w:p w14:paraId="20F32FD5" w14:textId="77777777" w:rsidR="009E5BA7" w:rsidRPr="00D94363" w:rsidRDefault="009E5BA7" w:rsidP="009E5BA7">
      <w:pPr>
        <w:rPr>
          <w:lang w:eastAsia="es-ES"/>
        </w:rPr>
      </w:pPr>
    </w:p>
    <w:p w14:paraId="2C7EC7F6"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p>
    <w:p w14:paraId="16C9EA15" w14:textId="77777777" w:rsidR="009E5BA7" w:rsidRPr="00D94363" w:rsidRDefault="009E5BA7" w:rsidP="009E5BA7">
      <w:pPr>
        <w:pStyle w:val="Ttulo2"/>
        <w:rPr>
          <w:rFonts w:eastAsia="Palatino Linotype"/>
        </w:rPr>
      </w:pPr>
      <w:r w:rsidRPr="00D94363">
        <w:rPr>
          <w:rFonts w:eastAsia="Palatino Linotype"/>
        </w:rPr>
        <w:t>PRIMERO. De la competencia.</w:t>
      </w:r>
    </w:p>
    <w:p w14:paraId="5B25E691" w14:textId="77777777" w:rsidR="005031A3" w:rsidRPr="00D94363" w:rsidRDefault="005031A3" w:rsidP="005031A3">
      <w:pPr>
        <w:rPr>
          <w:szCs w:val="24"/>
        </w:rPr>
      </w:pPr>
      <w:r w:rsidRPr="00D94363">
        <w:rPr>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w:t>
      </w:r>
      <w:r w:rsidRPr="00D94363">
        <w:rPr>
          <w:szCs w:val="24"/>
        </w:rPr>
        <w:lastRenderedPageBreak/>
        <w:t>Reglamento Interior del Instituto de Transparencia, Acceso a la Información Pública y Protección de Datos Personales del Estado de México y Municipios.</w:t>
      </w:r>
    </w:p>
    <w:p w14:paraId="580B38B1"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p>
    <w:p w14:paraId="418ACD58" w14:textId="77777777" w:rsidR="009E5BA7" w:rsidRPr="00D94363" w:rsidRDefault="009E5BA7" w:rsidP="009E5BA7">
      <w:pPr>
        <w:pStyle w:val="Ttulo2"/>
        <w:rPr>
          <w:rFonts w:eastAsia="Palatino Linotype"/>
        </w:rPr>
      </w:pPr>
      <w:r w:rsidRPr="00D94363">
        <w:rPr>
          <w:rFonts w:eastAsia="Palatino Linotype"/>
        </w:rPr>
        <w:t xml:space="preserve">SEGUNDO. Sobre los alcances del recurso de revisión. </w:t>
      </w:r>
    </w:p>
    <w:p w14:paraId="04F48A28" w14:textId="77777777" w:rsidR="009E5BA7" w:rsidRPr="00D94363" w:rsidRDefault="009E5BA7" w:rsidP="009E5BA7">
      <w:r w:rsidRPr="00D94363">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3464C433" w14:textId="77777777" w:rsidR="009E5BA7" w:rsidRPr="00D94363" w:rsidRDefault="009E5BA7" w:rsidP="009E5BA7">
      <w:pPr>
        <w:rPr>
          <w:rFonts w:eastAsia="Palatino Linotype" w:cs="Palatino Linotype"/>
          <w:color w:val="000000"/>
          <w:szCs w:val="24"/>
        </w:rPr>
      </w:pPr>
    </w:p>
    <w:p w14:paraId="18C79DB0" w14:textId="77777777" w:rsidR="009E5BA7" w:rsidRPr="00D94363" w:rsidRDefault="009E5BA7" w:rsidP="009E5BA7">
      <w:pPr>
        <w:pStyle w:val="Ttulo2"/>
        <w:rPr>
          <w:rFonts w:eastAsia="Palatino Linotype"/>
        </w:rPr>
      </w:pPr>
      <w:r w:rsidRPr="00D94363">
        <w:rPr>
          <w:rFonts w:eastAsia="Palatino Linotype"/>
        </w:rPr>
        <w:t>TERCERO. De las causas de improcedencia.</w:t>
      </w:r>
    </w:p>
    <w:p w14:paraId="3CF93584"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r w:rsidRPr="00D94363">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F86D4DB"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p>
    <w:p w14:paraId="32A0AF79"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r w:rsidRPr="00D94363">
        <w:rPr>
          <w:rFonts w:eastAsia="Palatino Linotype" w:cs="Palatino Linotype"/>
          <w:color w:val="000000"/>
          <w:szCs w:val="24"/>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w:t>
      </w:r>
      <w:r w:rsidRPr="00D94363">
        <w:rPr>
          <w:rFonts w:eastAsia="Palatino Linotype" w:cs="Palatino Linotype"/>
          <w:color w:val="000000"/>
          <w:szCs w:val="24"/>
        </w:rPr>
        <w:lastRenderedPageBreak/>
        <w:t>una figura procesal adoptada en la ley de la materia</w:t>
      </w:r>
      <w:r w:rsidRPr="00D94363">
        <w:rPr>
          <w:rFonts w:eastAsia="Palatino Linotype" w:cs="Palatino Linotype"/>
          <w:color w:val="000000"/>
          <w:szCs w:val="24"/>
          <w:vertAlign w:val="superscript"/>
        </w:rPr>
        <w:footnoteReference w:id="1"/>
      </w:r>
      <w:r w:rsidRPr="00D94363">
        <w:rPr>
          <w:rFonts w:eastAsia="Palatino Linotype" w:cs="Palatino Linotype"/>
          <w:color w:val="000000"/>
          <w:szCs w:val="24"/>
        </w:rPr>
        <w:t>, la cual permite dilucidar alguna causal que impida el estudio y resolución, cuando una vez admitido el recurso de revisión se advierta una causa de improcedencia que permita sobreseerlo, sin estudiar el fondo del asunto.</w:t>
      </w:r>
    </w:p>
    <w:p w14:paraId="59788D99"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p>
    <w:p w14:paraId="00DCFBDB"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r w:rsidRPr="00D94363">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38B6A8CC"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p>
    <w:p w14:paraId="52766257" w14:textId="77777777" w:rsidR="009E5BA7" w:rsidRPr="00D94363" w:rsidRDefault="009E5BA7" w:rsidP="009E5BA7">
      <w:pPr>
        <w:pStyle w:val="Ttulo2"/>
        <w:rPr>
          <w:rFonts w:eastAsia="Palatino Linotype"/>
        </w:rPr>
      </w:pPr>
    </w:p>
    <w:p w14:paraId="22A78CCF" w14:textId="77777777" w:rsidR="009E5BA7" w:rsidRPr="00D94363" w:rsidRDefault="009E5BA7" w:rsidP="009E5BA7">
      <w:pPr>
        <w:pStyle w:val="Ttulo2"/>
        <w:rPr>
          <w:rFonts w:eastAsia="Palatino Linotype"/>
        </w:rPr>
      </w:pPr>
      <w:r w:rsidRPr="00D94363">
        <w:rPr>
          <w:rFonts w:eastAsia="Palatino Linotype"/>
        </w:rPr>
        <w:t>CUARTO. Estudio y resolución del asunto.</w:t>
      </w:r>
    </w:p>
    <w:p w14:paraId="10D19594"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r w:rsidRPr="00D94363">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536400F7"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p>
    <w:p w14:paraId="3E85F865"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r w:rsidRPr="00D94363">
        <w:rPr>
          <w:rFonts w:eastAsia="Palatino Linotype" w:cs="Palatino Linotype"/>
          <w:color w:val="000000"/>
          <w:szCs w:val="24"/>
        </w:rPr>
        <w:t xml:space="preserve">Por tanto, es conveniente recordar que el hoy Recurrente requirió lo siguientes; </w:t>
      </w:r>
    </w:p>
    <w:p w14:paraId="34970D6A" w14:textId="77777777" w:rsidR="009E5BA7" w:rsidRPr="00D94363" w:rsidRDefault="005031A3" w:rsidP="005031A3">
      <w:pPr>
        <w:pStyle w:val="Prrafodelista"/>
        <w:numPr>
          <w:ilvl w:val="0"/>
          <w:numId w:val="8"/>
        </w:numPr>
        <w:pBdr>
          <w:top w:val="nil"/>
          <w:left w:val="nil"/>
          <w:bottom w:val="nil"/>
          <w:right w:val="nil"/>
          <w:between w:val="nil"/>
        </w:pBdr>
        <w:contextualSpacing/>
        <w:rPr>
          <w:rFonts w:eastAsia="Palatino Linotype" w:cs="Palatino Linotype"/>
          <w:color w:val="000000"/>
        </w:rPr>
      </w:pPr>
      <w:r w:rsidRPr="00D94363">
        <w:rPr>
          <w:rFonts w:eastAsia="Palatino Linotype" w:cs="Palatino Linotype"/>
          <w:color w:val="000000"/>
        </w:rPr>
        <w:t>Cuantas observaciones del OSFEM aún no se han solventado al diecinueve de diciembre de dos mil veinticinco.</w:t>
      </w:r>
    </w:p>
    <w:p w14:paraId="21EA635E" w14:textId="77777777" w:rsidR="005031A3" w:rsidRPr="00D94363" w:rsidRDefault="005031A3" w:rsidP="005031A3">
      <w:pPr>
        <w:pStyle w:val="Prrafodelista"/>
        <w:numPr>
          <w:ilvl w:val="0"/>
          <w:numId w:val="8"/>
        </w:numPr>
        <w:pBdr>
          <w:top w:val="nil"/>
          <w:left w:val="nil"/>
          <w:bottom w:val="nil"/>
          <w:right w:val="nil"/>
          <w:between w:val="nil"/>
        </w:pBdr>
        <w:contextualSpacing/>
        <w:rPr>
          <w:rFonts w:eastAsia="Palatino Linotype" w:cs="Palatino Linotype"/>
          <w:color w:val="000000"/>
        </w:rPr>
      </w:pPr>
      <w:r w:rsidRPr="00D94363">
        <w:rPr>
          <w:rFonts w:eastAsia="Palatino Linotype" w:cs="Palatino Linotype"/>
          <w:color w:val="000000"/>
        </w:rPr>
        <w:t>De las observaciones del OSFEM que aún no se han solventado al diecinueve de diciembre de dos mil veinticinco, lo siguiente;</w:t>
      </w:r>
    </w:p>
    <w:p w14:paraId="37F2C80B" w14:textId="77777777" w:rsidR="005031A3" w:rsidRPr="00D94363" w:rsidRDefault="005031A3" w:rsidP="005031A3">
      <w:pPr>
        <w:pStyle w:val="Prrafodelista"/>
        <w:numPr>
          <w:ilvl w:val="0"/>
          <w:numId w:val="9"/>
        </w:numPr>
        <w:pBdr>
          <w:top w:val="nil"/>
          <w:left w:val="nil"/>
          <w:bottom w:val="nil"/>
          <w:right w:val="nil"/>
          <w:between w:val="nil"/>
        </w:pBdr>
        <w:contextualSpacing/>
        <w:rPr>
          <w:rFonts w:eastAsia="Palatino Linotype" w:cs="Palatino Linotype"/>
          <w:color w:val="000000"/>
        </w:rPr>
      </w:pPr>
      <w:r w:rsidRPr="00D94363">
        <w:rPr>
          <w:rFonts w:eastAsia="Palatino Linotype" w:cs="Palatino Linotype"/>
          <w:color w:val="000000"/>
        </w:rPr>
        <w:t xml:space="preserve">Monto total </w:t>
      </w:r>
    </w:p>
    <w:p w14:paraId="77F11EFE" w14:textId="77777777" w:rsidR="005031A3" w:rsidRPr="00D94363" w:rsidRDefault="005031A3" w:rsidP="005031A3">
      <w:pPr>
        <w:pStyle w:val="Prrafodelista"/>
        <w:numPr>
          <w:ilvl w:val="0"/>
          <w:numId w:val="9"/>
        </w:numPr>
        <w:pBdr>
          <w:top w:val="nil"/>
          <w:left w:val="nil"/>
          <w:bottom w:val="nil"/>
          <w:right w:val="nil"/>
          <w:between w:val="nil"/>
        </w:pBdr>
        <w:contextualSpacing/>
        <w:rPr>
          <w:rFonts w:eastAsia="Palatino Linotype" w:cs="Palatino Linotype"/>
          <w:color w:val="000000"/>
        </w:rPr>
      </w:pPr>
      <w:r w:rsidRPr="00D94363">
        <w:rPr>
          <w:rFonts w:eastAsia="Palatino Linotype" w:cs="Palatino Linotype"/>
          <w:color w:val="000000"/>
        </w:rPr>
        <w:t xml:space="preserve">Razones por las que aún no se han solventado </w:t>
      </w:r>
    </w:p>
    <w:p w14:paraId="783EDDAC" w14:textId="77777777" w:rsidR="005031A3" w:rsidRPr="00D94363" w:rsidRDefault="005031A3" w:rsidP="009E5BA7">
      <w:pPr>
        <w:pBdr>
          <w:top w:val="nil"/>
          <w:left w:val="nil"/>
          <w:bottom w:val="nil"/>
          <w:right w:val="nil"/>
          <w:between w:val="nil"/>
        </w:pBdr>
        <w:contextualSpacing/>
        <w:rPr>
          <w:rFonts w:eastAsia="Palatino Linotype" w:cs="Palatino Linotype"/>
          <w:color w:val="000000"/>
          <w:szCs w:val="24"/>
        </w:rPr>
      </w:pPr>
    </w:p>
    <w:p w14:paraId="1ECB02CD" w14:textId="77777777" w:rsidR="005031A3" w:rsidRPr="00D94363" w:rsidRDefault="009E5BA7" w:rsidP="009E5BA7">
      <w:pPr>
        <w:pBdr>
          <w:top w:val="nil"/>
          <w:left w:val="nil"/>
          <w:bottom w:val="nil"/>
          <w:right w:val="nil"/>
          <w:between w:val="nil"/>
        </w:pBdr>
        <w:contextualSpacing/>
        <w:rPr>
          <w:rFonts w:eastAsia="Palatino Linotype" w:cs="Palatino Linotype"/>
          <w:color w:val="000000"/>
          <w:szCs w:val="24"/>
        </w:rPr>
      </w:pPr>
      <w:r w:rsidRPr="00D94363">
        <w:rPr>
          <w:rFonts w:eastAsia="Palatino Linotype" w:cs="Palatino Linotype"/>
          <w:color w:val="000000"/>
          <w:szCs w:val="24"/>
        </w:rPr>
        <w:t>A dicha solicitud, el Sujeto Obligado respondió mediante la entreg</w:t>
      </w:r>
      <w:r w:rsidR="005031A3" w:rsidRPr="00D94363">
        <w:rPr>
          <w:rFonts w:eastAsia="Palatino Linotype" w:cs="Palatino Linotype"/>
          <w:color w:val="000000"/>
          <w:szCs w:val="24"/>
        </w:rPr>
        <w:t>a del siguiente documento</w:t>
      </w:r>
      <w:r w:rsidRPr="00D94363">
        <w:rPr>
          <w:rFonts w:eastAsia="Palatino Linotype" w:cs="Palatino Linotype"/>
          <w:color w:val="000000"/>
          <w:szCs w:val="24"/>
        </w:rPr>
        <w:t>:</w:t>
      </w:r>
    </w:p>
    <w:p w14:paraId="6D373AED" w14:textId="0C926A63" w:rsidR="005031A3" w:rsidRPr="00D94363" w:rsidRDefault="005031A3" w:rsidP="009E5BA7">
      <w:pPr>
        <w:pStyle w:val="Prrafodelista"/>
        <w:numPr>
          <w:ilvl w:val="0"/>
          <w:numId w:val="10"/>
        </w:numPr>
        <w:pBdr>
          <w:top w:val="nil"/>
          <w:left w:val="nil"/>
          <w:bottom w:val="nil"/>
          <w:right w:val="nil"/>
          <w:between w:val="nil"/>
        </w:pBdr>
        <w:contextualSpacing/>
        <w:rPr>
          <w:rFonts w:eastAsia="Palatino Linotype" w:cs="Palatino Linotype"/>
          <w:i/>
          <w:color w:val="000000"/>
        </w:rPr>
      </w:pPr>
      <w:r w:rsidRPr="00D94363">
        <w:rPr>
          <w:rFonts w:eastAsiaTheme="majorEastAsia" w:cs="Arial"/>
          <w:b/>
          <w:bCs/>
          <w:i/>
        </w:rPr>
        <w:t>DAyF-084-2026.pdf</w:t>
      </w:r>
      <w:r w:rsidR="008024B7" w:rsidRPr="00D94363">
        <w:rPr>
          <w:rFonts w:eastAsiaTheme="majorEastAsia" w:cs="Arial"/>
          <w:b/>
          <w:bCs/>
          <w:i/>
        </w:rPr>
        <w:t>:</w:t>
      </w:r>
      <w:r w:rsidRPr="00D94363">
        <w:rPr>
          <w:rFonts w:eastAsiaTheme="majorEastAsia" w:cs="Arial"/>
          <w:b/>
          <w:bCs/>
          <w:i/>
        </w:rPr>
        <w:t xml:space="preserve"> </w:t>
      </w:r>
      <w:r w:rsidRPr="00D94363">
        <w:rPr>
          <w:rFonts w:eastAsiaTheme="majorEastAsia" w:cs="Arial"/>
          <w:bCs/>
        </w:rPr>
        <w:t xml:space="preserve">Soporte documental que consta de una foja en formato PDF de fecha treinta de enero de dos mil veintiséis por medio del cual </w:t>
      </w:r>
      <w:r w:rsidR="00C7651C" w:rsidRPr="00D94363">
        <w:rPr>
          <w:rFonts w:eastAsiaTheme="majorEastAsia" w:cs="Arial"/>
          <w:bCs/>
        </w:rPr>
        <w:t>e</w:t>
      </w:r>
      <w:r w:rsidRPr="00D94363">
        <w:rPr>
          <w:rFonts w:eastAsiaTheme="majorEastAsia" w:cs="Arial"/>
          <w:bCs/>
        </w:rPr>
        <w:t xml:space="preserve">l Director de </w:t>
      </w:r>
      <w:r w:rsidR="00E066B0" w:rsidRPr="00D94363">
        <w:rPr>
          <w:rFonts w:eastAsiaTheme="majorEastAsia" w:cs="Arial"/>
          <w:bCs/>
        </w:rPr>
        <w:t>Administración</w:t>
      </w:r>
      <w:r w:rsidR="00A61C43" w:rsidRPr="00D94363">
        <w:rPr>
          <w:rFonts w:eastAsiaTheme="majorEastAsia" w:cs="Arial"/>
          <w:bCs/>
        </w:rPr>
        <w:t xml:space="preserve"> y</w:t>
      </w:r>
      <w:r w:rsidRPr="00D94363">
        <w:rPr>
          <w:rFonts w:eastAsiaTheme="majorEastAsia" w:cs="Arial"/>
          <w:bCs/>
        </w:rPr>
        <w:t xml:space="preserve"> Finanzas manifiesta que </w:t>
      </w:r>
      <w:r w:rsidR="00E066B0" w:rsidRPr="00D94363">
        <w:rPr>
          <w:rFonts w:eastAsiaTheme="majorEastAsia" w:cs="Arial"/>
          <w:bCs/>
        </w:rPr>
        <w:t xml:space="preserve">después de realizar una búsqueda </w:t>
      </w:r>
      <w:r w:rsidR="00E066B0" w:rsidRPr="00D94363">
        <w:rPr>
          <w:rFonts w:eastAsiaTheme="majorEastAsia" w:cs="Arial"/>
          <w:bCs/>
        </w:rPr>
        <w:lastRenderedPageBreak/>
        <w:t xml:space="preserve">exhaustiva y razonable de la información en los archivos de la Dirección de Administración y Finanzas </w:t>
      </w:r>
      <w:r w:rsidR="00E066B0" w:rsidRPr="00D94363">
        <w:rPr>
          <w:rFonts w:eastAsiaTheme="majorEastAsia" w:cs="Arial"/>
          <w:b/>
        </w:rPr>
        <w:t>no se localizó evidencia documental de presuntas observaciones emitidos por el OSFEM</w:t>
      </w:r>
      <w:r w:rsidR="00E066B0" w:rsidRPr="00D94363">
        <w:rPr>
          <w:rFonts w:eastAsiaTheme="majorEastAsia" w:cs="Arial"/>
          <w:bCs/>
        </w:rPr>
        <w:t xml:space="preserve">. </w:t>
      </w:r>
    </w:p>
    <w:p w14:paraId="7ADC88BC" w14:textId="77777777" w:rsidR="005031A3" w:rsidRPr="00D94363" w:rsidRDefault="005031A3" w:rsidP="009E5BA7">
      <w:pPr>
        <w:pBdr>
          <w:top w:val="nil"/>
          <w:left w:val="nil"/>
          <w:bottom w:val="nil"/>
          <w:right w:val="nil"/>
          <w:between w:val="nil"/>
        </w:pBdr>
        <w:contextualSpacing/>
        <w:rPr>
          <w:rFonts w:eastAsia="Palatino Linotype" w:cs="Palatino Linotype"/>
          <w:color w:val="000000"/>
          <w:szCs w:val="24"/>
        </w:rPr>
      </w:pPr>
    </w:p>
    <w:p w14:paraId="79769133"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r w:rsidRPr="00D94363">
        <w:rPr>
          <w:rFonts w:eastAsia="Palatino Linotype" w:cs="Palatino Linotype"/>
          <w:color w:val="000000"/>
          <w:szCs w:val="24"/>
        </w:rPr>
        <w:t>Ante la respuesta emitida por el Sujeto Obligado, el Recurrente consideró que su derecho a la información pública había sido conculcado, por lo que interpuso el recurso de revisión al rubro citado, señalando como acto impugnado</w:t>
      </w:r>
      <w:r w:rsidRPr="00D94363">
        <w:rPr>
          <w:rFonts w:eastAsia="Palatino Linotype" w:cs="Palatino Linotype"/>
          <w:i/>
          <w:color w:val="000000"/>
          <w:szCs w:val="24"/>
        </w:rPr>
        <w:t xml:space="preserve"> “</w:t>
      </w:r>
      <w:r w:rsidR="00207B4E" w:rsidRPr="00D94363">
        <w:rPr>
          <w:i/>
          <w:color w:val="000000"/>
          <w:szCs w:val="24"/>
        </w:rPr>
        <w:t xml:space="preserve">Indique cuántas observaciones del OSFEM permanecen no solventadas al mes de diciembre de 2025, el monto total involucrado y las razones documentadas por las cuales no han sido solventadas. El sujeto obligado manifestó no haber encontrado información, apoyándose en el artículo 12 de la Ley de Transparencia y Acceso a la Información Pública del Estado de México, </w:t>
      </w:r>
      <w:r w:rsidR="00207B4E" w:rsidRPr="00D94363">
        <w:rPr>
          <w:i/>
          <w:color w:val="000000"/>
          <w:szCs w:val="24"/>
          <w:u w:val="single"/>
        </w:rPr>
        <w:t>sin emitir declaratoria formal de inexistencia ni acreditar búsqueda exhaustiva</w:t>
      </w:r>
      <w:r w:rsidRPr="00D94363">
        <w:rPr>
          <w:i/>
          <w:color w:val="000000"/>
          <w:szCs w:val="24"/>
          <w:u w:val="single"/>
        </w:rPr>
        <w:t>.</w:t>
      </w:r>
      <w:r w:rsidRPr="00D94363">
        <w:rPr>
          <w:i/>
          <w:color w:val="000000"/>
          <w:szCs w:val="24"/>
        </w:rPr>
        <w:t>”</w:t>
      </w:r>
      <w:r w:rsidRPr="00D94363">
        <w:rPr>
          <w:rFonts w:eastAsia="Palatino Linotype" w:cs="Palatino Linotype"/>
          <w:color w:val="000000"/>
          <w:szCs w:val="24"/>
        </w:rPr>
        <w:t xml:space="preserve"> y razones o motivos de inconformidad “</w:t>
      </w:r>
      <w:r w:rsidR="00207B4E" w:rsidRPr="00D94363">
        <w:rPr>
          <w:i/>
          <w:color w:val="000000"/>
          <w:szCs w:val="24"/>
        </w:rPr>
        <w:t xml:space="preserve">Agravios PRIMERO. El artículo 12 no justifica inexistencia El artículo 12 no es una causal de inexistencia ni de negativa, sino una disposición que establece que los sujetos obligados entregarán la información que obre en sus archivos. El Ayuntamiento lo utiliza indebidamente para: evadir pronunciarse sobre observaciones del OSFEM, omitir su obligación de documentar procesos de fiscalización, negar información que, por su naturaleza, debe obrar en sus archivos. Esta aplicación es ilegal y contraria a la Ley. SEGUNDO. Las observaciones del OSFEM no pueden “no existir” Las observaciones emitidas por el OSFEM: se notifican formalmente al Ayuntamiento, generan plazos de atención y solventación, implican seguimiento administrativo y documental, involucran montos observados y acciones correctivas. Por tanto, es jurídicamente imposible que el Ayuntamiento: no tenga conocimiento, no cuente con registro, o no tenga documentación sobre observaciones no solventadas. Afirmar lo contrario implica aceptar: incumplimiento en materia de fiscalización, o ocultamiento deliberado de información pública. TERCERO. Inexistencia implícita </w:t>
      </w:r>
      <w:r w:rsidR="00207B4E" w:rsidRPr="00D94363">
        <w:rPr>
          <w:i/>
          <w:color w:val="000000"/>
          <w:szCs w:val="24"/>
        </w:rPr>
        <w:lastRenderedPageBreak/>
        <w:t xml:space="preserve">ilegal Al señalar que “no se encontró información” sin: acta del Comité de Transparencia, búsqueda exhaustiva acreditada, resolución formal de inexistencia, el sujeto obligado incurre en una inexistencia implícita, figura prohibida por la Ley y reiteradamente revocada por el INFOEM. CUARTO. Omisión de búsqueda exhaustiva El Ayuntamiento no acreditó haber realizado búsqueda exhaustiva en las áreas que, por ley, deben contar con esta información, entre ellas: Tesorería Municipal, Contraloría Interna, Presidencia Municipal, Secretaría del Ayuntamiento, Enlace con el OSFEM. La simple afirmación de que “no se encontró información” no satisface el estándar legal. QUINTO. Información de interés público reforzado La información solicitada se relaciona directamente con: observaciones de la Cuenta Pública, montos pendientes de solventar, posibles responsabilidades administrativas o financieras. Se trata de información de interés público reforzado, indispensable para la rendición de cuentas y la fiscalización ciudadana. Negarla vulnera el principio de máxima publicidad. SEXTO. Contradicción administrativa grave Si el Ayuntamiento sostiene que no existen observaciones no solventadas a diciembre de 2025, debió: afirmarlo expresamente, señalar que todas fueron solventadas, y acompañar evidencia documental. Al no hacerlo, incurre en una ambigüedad deliberada que afecta el derecho de acceso a la información. Petición concreta Solicito al INFOEM: Revoque la respuesta emitida por el Ayuntamiento de Tepotzotlán. Ordene al sujeto obligado: informar cuántas observaciones del OSFEM permanecían no solventadas a diciembre de 2025; señalar el monto total involucrado; indicar las razones documentadas de la no solventación. Ordene la entrega de: oficios de observación, informes de seguimiento, documentación de atención o solventación, o versiones públicas debidamente fundadas. Subsidiariamente, ordenar la emisión de resolución formal de inexistencia, previa búsqueda exhaustiva. </w:t>
      </w:r>
      <w:r w:rsidR="00207B4E" w:rsidRPr="00D94363">
        <w:rPr>
          <w:i/>
          <w:color w:val="000000"/>
          <w:szCs w:val="24"/>
          <w:u w:val="single"/>
        </w:rPr>
        <w:t>Dar vista al Órgano Interno de Control por la reiterada evasión informativa</w:t>
      </w:r>
      <w:r w:rsidR="00207B4E" w:rsidRPr="00D94363">
        <w:rPr>
          <w:color w:val="000000"/>
          <w:szCs w:val="24"/>
          <w:u w:val="single"/>
        </w:rPr>
        <w:t>.</w:t>
      </w:r>
      <w:r w:rsidRPr="00D94363">
        <w:rPr>
          <w:i/>
          <w:color w:val="000000"/>
          <w:szCs w:val="24"/>
        </w:rPr>
        <w:t xml:space="preserve">” </w:t>
      </w:r>
      <w:r w:rsidRPr="00D94363">
        <w:rPr>
          <w:color w:val="000000"/>
          <w:szCs w:val="24"/>
        </w:rPr>
        <w:t>en este sentido el recurrente considero que el sujeto obligado no le dio cuenta de lo requerido.</w:t>
      </w:r>
    </w:p>
    <w:p w14:paraId="54AD49F0" w14:textId="77777777"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p>
    <w:p w14:paraId="16FA5222" w14:textId="77777777" w:rsidR="009E5BA7" w:rsidRPr="00D94363" w:rsidRDefault="00207B4E" w:rsidP="009E5BA7">
      <w:r w:rsidRPr="00D94363">
        <w:t>De lo anterior este Instituto advierte que la presente garantía secundaria y en el ámbito de atribuciones de este Órgano Garante en materia de transparencia, acceso a la información pública y protección de datos personales no tiene como finalidad sancionar a servidores públicos.</w:t>
      </w:r>
    </w:p>
    <w:p w14:paraId="1C2DA2F1" w14:textId="77777777" w:rsidR="006B79C4" w:rsidRPr="00D94363" w:rsidRDefault="006B79C4" w:rsidP="009E5BA7"/>
    <w:p w14:paraId="1DD0C10F" w14:textId="77777777" w:rsidR="006B79C4" w:rsidRPr="00D94363" w:rsidRDefault="009E5BA7" w:rsidP="006B79C4">
      <w:r w:rsidRPr="00D94363">
        <w:rPr>
          <w:color w:val="000000"/>
          <w:szCs w:val="24"/>
        </w:rPr>
        <w:t xml:space="preserve">Por lo anterior, es importante traer a contexto </w:t>
      </w:r>
      <w:r w:rsidR="006B79C4" w:rsidRPr="00D94363">
        <w:rPr>
          <w:color w:val="000000"/>
          <w:szCs w:val="24"/>
        </w:rPr>
        <w:t xml:space="preserve">que el Órgano Superior de Fiscalización del Estado de México (OSFEM) </w:t>
      </w:r>
      <w:r w:rsidR="006B79C4" w:rsidRPr="00D94363">
        <w:t xml:space="preserve">es el Órgano técnico de la Legislatura del Estado de México que </w:t>
      </w:r>
      <w:r w:rsidR="006B79C4" w:rsidRPr="00D94363">
        <w:rPr>
          <w:b/>
        </w:rPr>
        <w:t>se encarga de revisar y fiscalizar</w:t>
      </w:r>
      <w:r w:rsidR="006B79C4" w:rsidRPr="00D94363">
        <w:rPr>
          <w:b/>
        </w:rPr>
        <w:br/>
        <w:t>los fondos, cuentas y deudas públicas</w:t>
      </w:r>
      <w:r w:rsidR="006B79C4" w:rsidRPr="00D94363">
        <w:t xml:space="preserve"> y actos relativos a la aplicación de los recursos públicos, cuya misión y visión  son las siguientes; </w:t>
      </w:r>
    </w:p>
    <w:p w14:paraId="6C8B1731" w14:textId="77777777" w:rsidR="006B79C4" w:rsidRPr="00D94363" w:rsidRDefault="006B79C4" w:rsidP="006B79C4"/>
    <w:p w14:paraId="2F059C3A" w14:textId="77777777" w:rsidR="006B79C4" w:rsidRPr="00D94363" w:rsidRDefault="006B79C4" w:rsidP="006B79C4">
      <w:pPr>
        <w:pStyle w:val="Prrafodelista"/>
        <w:numPr>
          <w:ilvl w:val="0"/>
          <w:numId w:val="10"/>
        </w:numPr>
      </w:pPr>
      <w:r w:rsidRPr="00D94363">
        <w:rPr>
          <w:b/>
        </w:rPr>
        <w:t>Misión:</w:t>
      </w:r>
      <w:r w:rsidRPr="00D94363">
        <w:t xml:space="preserve"> Fiscalizar, mediante auditorías y revisiones, la administración de los recursos públicos para informar a la Legislatura y sociedad, con el fin de contribuir a la consolidación de mejores gobiernos.</w:t>
      </w:r>
    </w:p>
    <w:p w14:paraId="0547266E" w14:textId="77777777" w:rsidR="006B79C4" w:rsidRPr="00D94363" w:rsidRDefault="006B79C4" w:rsidP="006B79C4">
      <w:pPr>
        <w:pStyle w:val="Prrafodelista"/>
        <w:ind w:left="720"/>
      </w:pPr>
    </w:p>
    <w:p w14:paraId="1599F6C5" w14:textId="77777777" w:rsidR="006B79C4" w:rsidRPr="00D94363" w:rsidRDefault="006B79C4" w:rsidP="006B79C4">
      <w:pPr>
        <w:pStyle w:val="Prrafodelista"/>
        <w:numPr>
          <w:ilvl w:val="0"/>
          <w:numId w:val="10"/>
        </w:numPr>
        <w:rPr>
          <w:b/>
        </w:rPr>
      </w:pPr>
      <w:r w:rsidRPr="00D94363">
        <w:rPr>
          <w:b/>
        </w:rPr>
        <w:t xml:space="preserve">Visión: </w:t>
      </w:r>
      <w:r w:rsidRPr="00D94363">
        <w:t>Ser una institución de vanguardia en la fiscalización, para generar valor público y garantizar a la sociedad la correcta administración de los recursos públicos</w:t>
      </w:r>
    </w:p>
    <w:p w14:paraId="4E9CAEDE" w14:textId="77777777" w:rsidR="006B79C4" w:rsidRPr="00D94363" w:rsidRDefault="006B79C4" w:rsidP="006B79C4">
      <w:pPr>
        <w:rPr>
          <w:color w:val="000000"/>
          <w:szCs w:val="24"/>
        </w:rPr>
      </w:pPr>
    </w:p>
    <w:p w14:paraId="6BED698A" w14:textId="77777777" w:rsidR="006B79C4" w:rsidRPr="00D94363" w:rsidRDefault="006B79C4" w:rsidP="006B79C4">
      <w:pPr>
        <w:rPr>
          <w:color w:val="000000"/>
          <w:szCs w:val="24"/>
        </w:rPr>
      </w:pPr>
      <w:r w:rsidRPr="00D94363">
        <w:rPr>
          <w:color w:val="000000"/>
          <w:szCs w:val="24"/>
        </w:rPr>
        <w:t xml:space="preserve">En este sentido el Sujeto Obligado es definido como una </w:t>
      </w:r>
      <w:r w:rsidRPr="00D94363">
        <w:rPr>
          <w:b/>
          <w:color w:val="000000"/>
          <w:szCs w:val="24"/>
        </w:rPr>
        <w:t>entidad fiscalizable</w:t>
      </w:r>
      <w:r w:rsidRPr="00D94363">
        <w:rPr>
          <w:rStyle w:val="Refdenotaalpie"/>
          <w:b/>
          <w:color w:val="000000"/>
          <w:szCs w:val="24"/>
        </w:rPr>
        <w:footnoteReference w:id="2"/>
      </w:r>
      <w:r w:rsidRPr="00D94363">
        <w:rPr>
          <w:color w:val="000000"/>
          <w:szCs w:val="24"/>
        </w:rPr>
        <w:t xml:space="preserve"> siendo aquella que recibe o administra recursos públicos, la cual debe de rendir cuentas respecto </w:t>
      </w:r>
      <w:r w:rsidRPr="00D94363">
        <w:rPr>
          <w:color w:val="000000"/>
          <w:szCs w:val="24"/>
        </w:rPr>
        <w:lastRenderedPageBreak/>
        <w:t>el uso y destino de los recursos de que recibo o administra debiendo cumplir con las siguientes obligaciones:</w:t>
      </w:r>
    </w:p>
    <w:p w14:paraId="0DF6CCBF" w14:textId="77777777" w:rsidR="006B79C4" w:rsidRPr="00D94363" w:rsidRDefault="006B79C4" w:rsidP="006B79C4">
      <w:pPr>
        <w:pStyle w:val="Prrafodelista"/>
        <w:numPr>
          <w:ilvl w:val="0"/>
          <w:numId w:val="10"/>
        </w:numPr>
      </w:pPr>
      <w:r w:rsidRPr="00D94363">
        <w:t xml:space="preserve"> Deben cumplir con la normativa vigente en materia de contabilidad gubernamental, transparencia, rendición de cuentas y combate a la corrupción.</w:t>
      </w:r>
    </w:p>
    <w:p w14:paraId="5019675E" w14:textId="77777777" w:rsidR="006B79C4" w:rsidRPr="00D94363" w:rsidRDefault="006B79C4" w:rsidP="006B79C4">
      <w:pPr>
        <w:pStyle w:val="Prrafodelista"/>
        <w:ind w:left="720"/>
      </w:pPr>
    </w:p>
    <w:p w14:paraId="799F72E3" w14:textId="77777777" w:rsidR="006B79C4" w:rsidRPr="00D94363" w:rsidRDefault="006B79C4" w:rsidP="006B79C4">
      <w:pPr>
        <w:pStyle w:val="Prrafodelista"/>
        <w:numPr>
          <w:ilvl w:val="0"/>
          <w:numId w:val="10"/>
        </w:numPr>
      </w:pPr>
      <w:r w:rsidRPr="00D94363">
        <w:t>Deben presentar informes trimestrales y anuales sobre el ejercicio de los recursos públicos que reciben o generan.</w:t>
      </w:r>
    </w:p>
    <w:p w14:paraId="75076453" w14:textId="77777777" w:rsidR="006B79C4" w:rsidRPr="00D94363" w:rsidRDefault="006B79C4" w:rsidP="006B79C4">
      <w:pPr>
        <w:pStyle w:val="Prrafodelista"/>
        <w:numPr>
          <w:ilvl w:val="0"/>
          <w:numId w:val="10"/>
        </w:numPr>
      </w:pPr>
      <w:r w:rsidRPr="00D94363">
        <w:t>Deben facilitar el acceso a la información y documentación requerida por la autoridad fiscalizadora.</w:t>
      </w:r>
    </w:p>
    <w:p w14:paraId="37A0B9B7" w14:textId="77777777" w:rsidR="006B79C4" w:rsidRPr="00D94363" w:rsidRDefault="006B79C4" w:rsidP="006B79C4">
      <w:pPr>
        <w:pStyle w:val="Prrafodelista"/>
        <w:ind w:left="720"/>
      </w:pPr>
    </w:p>
    <w:p w14:paraId="2C017B2C" w14:textId="77777777" w:rsidR="006B79C4" w:rsidRPr="00D94363" w:rsidRDefault="006B79C4" w:rsidP="006B79C4">
      <w:pPr>
        <w:pStyle w:val="Prrafodelista"/>
        <w:numPr>
          <w:ilvl w:val="0"/>
          <w:numId w:val="10"/>
        </w:numPr>
      </w:pPr>
      <w:r w:rsidRPr="00D94363">
        <w:t>Deben atender y solventar las observaciones, recomendaciones y sanciones que se deriven del proceso de fiscalización.</w:t>
      </w:r>
    </w:p>
    <w:p w14:paraId="4FDF0AB8" w14:textId="77777777" w:rsidR="006B79C4" w:rsidRPr="00D94363" w:rsidRDefault="006B79C4" w:rsidP="006B79C4">
      <w:pPr>
        <w:pStyle w:val="Prrafodelista"/>
      </w:pPr>
    </w:p>
    <w:p w14:paraId="3AAB167A" w14:textId="77777777" w:rsidR="006B79C4" w:rsidRPr="00D94363" w:rsidRDefault="006B79C4" w:rsidP="006B79C4">
      <w:pPr>
        <w:pStyle w:val="Prrafodelista"/>
        <w:numPr>
          <w:ilvl w:val="0"/>
          <w:numId w:val="10"/>
        </w:numPr>
      </w:pPr>
      <w:r w:rsidRPr="00D94363">
        <w:t>Deben implementar medidas de mejora continua en la gestión y administración de los recursos públicos.</w:t>
      </w:r>
    </w:p>
    <w:p w14:paraId="508A13CC" w14:textId="77777777" w:rsidR="006B79C4" w:rsidRPr="00D94363" w:rsidRDefault="006B79C4" w:rsidP="006B79C4">
      <w:pPr>
        <w:rPr>
          <w:color w:val="000000"/>
          <w:szCs w:val="24"/>
        </w:rPr>
      </w:pPr>
    </w:p>
    <w:p w14:paraId="5C264BE7" w14:textId="77777777" w:rsidR="009E5BA7" w:rsidRPr="00D94363" w:rsidRDefault="009E5BA7" w:rsidP="009E5BA7">
      <w:r w:rsidRPr="00D94363">
        <w:rPr>
          <w:color w:val="000000"/>
          <w:szCs w:val="24"/>
        </w:rPr>
        <w:t xml:space="preserve">De  lo anteriormente transcrito, </w:t>
      </w:r>
      <w:r w:rsidR="006B79C4" w:rsidRPr="00D94363">
        <w:t xml:space="preserve">el Programa Anual de Auditorías es un documento de trabajo que permite planear los actos de fiscalización que habrán de ejecutarse a las cuentas públicas que presentarán las entidades fiscalizables determinadas en la clasificación administrativa global del Poder Ejecutivo del Gobierno del Estado de México para el ejercicio 2024 y de los 125 Municipios y sus Organismos Descentralizados; es decir, </w:t>
      </w:r>
      <w:r w:rsidR="006B79C4" w:rsidRPr="00D94363">
        <w:rPr>
          <w:u w:val="single"/>
        </w:rPr>
        <w:t>determina los actos y sujetos de fiscalización a quienes se ejecutarán auditorías y revisiones durante el año 2025</w:t>
      </w:r>
      <w:r w:rsidR="006B79C4" w:rsidRPr="00D94363">
        <w:t xml:space="preserve">, </w:t>
      </w:r>
      <w:r w:rsidR="006B79C4" w:rsidRPr="00D94363">
        <w:rPr>
          <w:b/>
        </w:rPr>
        <w:t>respecto de los recursos públicos aplicados durante el ejercici</w:t>
      </w:r>
      <w:r w:rsidR="00BC1903" w:rsidRPr="00D94363">
        <w:rPr>
          <w:b/>
        </w:rPr>
        <w:t xml:space="preserve">o fiscal 2024, </w:t>
      </w:r>
      <w:r w:rsidR="00BC1903" w:rsidRPr="00D94363">
        <w:t xml:space="preserve"> lo que resulta de interés pues el Recurrente manifestó requerir </w:t>
      </w:r>
      <w:r w:rsidR="00BC1903" w:rsidRPr="00D94363">
        <w:lastRenderedPageBreak/>
        <w:t xml:space="preserve">información respecto observaciones emitidas por el Órgano de Fiscalización que no se atendieron al diecinueve de diciembre de dos mil veinticinco así como el monto involucrado y las razones documentadas por las cuales no se solventaron las observaciones. </w:t>
      </w:r>
    </w:p>
    <w:p w14:paraId="443AD21B" w14:textId="77777777" w:rsidR="00BC1903" w:rsidRPr="00D94363" w:rsidRDefault="00BC1903" w:rsidP="009E5BA7"/>
    <w:p w14:paraId="1F9B32F2" w14:textId="77777777" w:rsidR="00BC1903" w:rsidRPr="00D94363" w:rsidRDefault="00BC1903" w:rsidP="009E5BA7">
      <w:r w:rsidRPr="00D94363">
        <w:t>En este sentido respecto el Programa Anual de Auditoria de 2025</w:t>
      </w:r>
      <w:r w:rsidRPr="00D94363">
        <w:rPr>
          <w:rStyle w:val="Refdenotaalpie"/>
        </w:rPr>
        <w:footnoteReference w:id="3"/>
      </w:r>
      <w:r w:rsidRPr="00D94363">
        <w:t xml:space="preserve"> emitido por el </w:t>
      </w:r>
      <w:r w:rsidRPr="00D94363">
        <w:rPr>
          <w:color w:val="000000"/>
          <w:szCs w:val="24"/>
        </w:rPr>
        <w:t>Órgano Superior de Fiscalización del Estado de México el Sujeto Obligado tuvo  programa una auditoria de cumplimiento financiero ACF-87, por lo que se debe entender a l</w:t>
      </w:r>
      <w:r w:rsidRPr="00D94363">
        <w:t xml:space="preserve">a </w:t>
      </w:r>
      <w:r w:rsidRPr="00D94363">
        <w:rPr>
          <w:b/>
          <w:i/>
        </w:rPr>
        <w:t>auditoría de cumplimiento financiero</w:t>
      </w:r>
      <w:r w:rsidRPr="00D94363">
        <w:rPr>
          <w:rStyle w:val="Refdenotaalpie"/>
          <w:i/>
        </w:rPr>
        <w:footnoteReference w:id="4"/>
      </w:r>
      <w:r w:rsidRPr="00D94363">
        <w:t xml:space="preserve"> como un procedimiento técnico, sistemático y objetivo, orientado a verificar que la captación, administración, ejercicio y aplicación de los recursos públicos se realicen en estricto apego al marco jurídico y normativo aplicable, la cual </w:t>
      </w:r>
      <w:r w:rsidRPr="00D94363">
        <w:rPr>
          <w:b/>
        </w:rPr>
        <w:t>tiene por finalidad evaluar la transparencia en la ejecución de operaciones financieras</w:t>
      </w:r>
      <w:r w:rsidRPr="00D94363">
        <w:t>, conforme a las disposiciones establecidas en la legislación vigente, así como en los lineamientos técnicos definidos por las Normas Profesionales de Auditoría del Sistema Nacional de Fiscalización (NPASNF), particularmente la Norma No. 400.</w:t>
      </w:r>
    </w:p>
    <w:p w14:paraId="1FFE3F4A" w14:textId="77777777" w:rsidR="00BC1903" w:rsidRPr="00D94363" w:rsidRDefault="00BC1903" w:rsidP="009E5BA7">
      <w:pPr>
        <w:rPr>
          <w:color w:val="000000"/>
          <w:szCs w:val="24"/>
        </w:rPr>
      </w:pPr>
    </w:p>
    <w:p w14:paraId="77CEB765" w14:textId="77777777" w:rsidR="009E5BA7" w:rsidRPr="00D94363" w:rsidRDefault="004A44FB" w:rsidP="009E5BA7">
      <w:pPr>
        <w:rPr>
          <w:color w:val="000000"/>
          <w:szCs w:val="24"/>
        </w:rPr>
      </w:pPr>
      <w:r w:rsidRPr="00D94363">
        <w:rPr>
          <w:color w:val="000000"/>
          <w:szCs w:val="24"/>
        </w:rPr>
        <w:t>Así de la auditoria referida con anterioridad se desprenden los siguientes resultados;</w:t>
      </w:r>
    </w:p>
    <w:p w14:paraId="505EA2C3" w14:textId="77777777" w:rsidR="004A44FB" w:rsidRPr="00D94363" w:rsidRDefault="004A44FB" w:rsidP="004A44FB">
      <w:pPr>
        <w:pStyle w:val="Prrafodelista"/>
        <w:numPr>
          <w:ilvl w:val="0"/>
          <w:numId w:val="10"/>
        </w:numPr>
        <w:rPr>
          <w:color w:val="000000"/>
        </w:rPr>
      </w:pPr>
      <w:r w:rsidRPr="00D94363">
        <w:rPr>
          <w:color w:val="000000"/>
        </w:rPr>
        <w:t xml:space="preserve">Estudio del Mercado. </w:t>
      </w:r>
    </w:p>
    <w:p w14:paraId="59970375" w14:textId="77777777" w:rsidR="004A44FB" w:rsidRPr="00D94363" w:rsidRDefault="004A44FB" w:rsidP="004A44FB">
      <w:pPr>
        <w:pStyle w:val="Prrafodelista"/>
        <w:numPr>
          <w:ilvl w:val="0"/>
          <w:numId w:val="10"/>
        </w:numPr>
        <w:rPr>
          <w:color w:val="000000"/>
        </w:rPr>
      </w:pPr>
      <w:r w:rsidRPr="00D94363">
        <w:rPr>
          <w:color w:val="000000"/>
        </w:rPr>
        <w:t>Contratación y Adjudicación indebida.</w:t>
      </w:r>
    </w:p>
    <w:p w14:paraId="116C7992" w14:textId="77777777" w:rsidR="004A44FB" w:rsidRPr="00D94363" w:rsidRDefault="004A44FB" w:rsidP="004A44FB">
      <w:pPr>
        <w:pStyle w:val="Prrafodelista"/>
        <w:numPr>
          <w:ilvl w:val="0"/>
          <w:numId w:val="10"/>
        </w:numPr>
        <w:rPr>
          <w:color w:val="000000"/>
        </w:rPr>
      </w:pPr>
      <w:r w:rsidRPr="00D94363">
        <w:rPr>
          <w:color w:val="000000"/>
        </w:rPr>
        <w:t>Sin procedimiento Adquisitivo.</w:t>
      </w:r>
    </w:p>
    <w:p w14:paraId="09809642" w14:textId="77777777" w:rsidR="004A44FB" w:rsidRPr="00D94363" w:rsidRDefault="004A44FB" w:rsidP="004A44FB">
      <w:pPr>
        <w:pStyle w:val="Prrafodelista"/>
        <w:numPr>
          <w:ilvl w:val="0"/>
          <w:numId w:val="10"/>
        </w:numPr>
        <w:rPr>
          <w:color w:val="000000"/>
        </w:rPr>
      </w:pPr>
      <w:r w:rsidRPr="00D94363">
        <w:rPr>
          <w:color w:val="000000"/>
        </w:rPr>
        <w:t>Entrega, recepción, uso y destino de bienes.</w:t>
      </w:r>
    </w:p>
    <w:p w14:paraId="251108A4" w14:textId="77777777" w:rsidR="004A44FB" w:rsidRPr="00D94363" w:rsidRDefault="004A44FB" w:rsidP="004A44FB">
      <w:pPr>
        <w:pStyle w:val="Prrafodelista"/>
        <w:numPr>
          <w:ilvl w:val="0"/>
          <w:numId w:val="10"/>
        </w:numPr>
        <w:rPr>
          <w:color w:val="000000"/>
        </w:rPr>
      </w:pPr>
      <w:r w:rsidRPr="00D94363">
        <w:rPr>
          <w:color w:val="000000"/>
        </w:rPr>
        <w:t>Saldos sin recuperar.</w:t>
      </w:r>
    </w:p>
    <w:p w14:paraId="19854AEE" w14:textId="77777777" w:rsidR="004A44FB" w:rsidRPr="00D94363" w:rsidRDefault="004A44FB" w:rsidP="004A44FB">
      <w:pPr>
        <w:pStyle w:val="Prrafodelista"/>
        <w:numPr>
          <w:ilvl w:val="0"/>
          <w:numId w:val="10"/>
        </w:numPr>
        <w:rPr>
          <w:color w:val="000000"/>
        </w:rPr>
      </w:pPr>
      <w:r w:rsidRPr="00D94363">
        <w:rPr>
          <w:color w:val="000000"/>
        </w:rPr>
        <w:lastRenderedPageBreak/>
        <w:t>Pagos sin justificación.</w:t>
      </w:r>
    </w:p>
    <w:p w14:paraId="29984DA6" w14:textId="77777777" w:rsidR="00BC1903" w:rsidRPr="00D94363" w:rsidRDefault="00BC1903" w:rsidP="009E5BA7">
      <w:pPr>
        <w:rPr>
          <w:color w:val="000000"/>
          <w:szCs w:val="24"/>
        </w:rPr>
      </w:pPr>
    </w:p>
    <w:p w14:paraId="52E7B431" w14:textId="77777777" w:rsidR="009E5BA7" w:rsidRPr="00D94363" w:rsidRDefault="009E5BA7" w:rsidP="009E5BA7">
      <w:bookmarkStart w:id="1" w:name="_heading=h.qi9cxp442mz8" w:colFirst="0" w:colLast="0"/>
      <w:bookmarkEnd w:id="1"/>
      <w:r w:rsidRPr="00D94363">
        <w:rPr>
          <w:szCs w:val="24"/>
        </w:rPr>
        <w:t xml:space="preserve">Conforme a lo anterior, </w:t>
      </w:r>
      <w:r w:rsidR="00D35E8F" w:rsidRPr="00D94363">
        <w:t>se trae a colación el artículo 50 y 51 de la Ley de Fiscalización Superior del Estado de México a efecto de advertir que Órgano Superior tendrá un plazo improrrogable que vence el 15 de noviembre del año en que se entreguen las cuentas públicas, para presentar el Informe de Resultados ante la Comisión de Vigilancia del Órgano Superior de Fiscalización, mismo que tendrá el carácter público.</w:t>
      </w:r>
    </w:p>
    <w:p w14:paraId="1DF8A24E" w14:textId="77777777" w:rsidR="00D35E8F" w:rsidRPr="00D94363" w:rsidRDefault="00D35E8F" w:rsidP="009E5BA7"/>
    <w:p w14:paraId="66775064" w14:textId="77777777" w:rsidR="00D35E8F" w:rsidRPr="00D94363" w:rsidRDefault="00D35E8F" w:rsidP="009E5BA7">
      <w:r w:rsidRPr="00D94363">
        <w:t>De lo anterior el informe referido con anterioridad, deberá contener como mínimo lo siguiente;</w:t>
      </w:r>
    </w:p>
    <w:p w14:paraId="0A54062A" w14:textId="77777777" w:rsidR="00D35E8F" w:rsidRPr="00D94363" w:rsidRDefault="00D35E8F" w:rsidP="00D35E8F">
      <w:pPr>
        <w:pStyle w:val="Prrafodelista"/>
        <w:numPr>
          <w:ilvl w:val="0"/>
          <w:numId w:val="12"/>
        </w:numPr>
      </w:pPr>
      <w:r w:rsidRPr="00D94363">
        <w:t xml:space="preserve">El resultado de la revisión de la respectiva cuenta pública; </w:t>
      </w:r>
    </w:p>
    <w:p w14:paraId="547D3A12" w14:textId="77777777" w:rsidR="00D35E8F" w:rsidRPr="00D94363" w:rsidRDefault="00D35E8F" w:rsidP="00D35E8F">
      <w:pPr>
        <w:pStyle w:val="Prrafodelista"/>
        <w:numPr>
          <w:ilvl w:val="0"/>
          <w:numId w:val="12"/>
        </w:numPr>
      </w:pPr>
      <w:r w:rsidRPr="00D94363">
        <w:t>El apartado correspondiente a la fiscalización y verificación del cumplimiento de los programas, respecto de la consecución de sus objetivos y metas, así como de la satisfacción de las necesidades correspondientes</w:t>
      </w:r>
    </w:p>
    <w:p w14:paraId="6329A2F2" w14:textId="77777777" w:rsidR="00D35E8F" w:rsidRPr="00D94363" w:rsidRDefault="00D35E8F" w:rsidP="00D35E8F">
      <w:pPr>
        <w:pStyle w:val="Prrafodelista"/>
        <w:numPr>
          <w:ilvl w:val="0"/>
          <w:numId w:val="12"/>
        </w:numPr>
      </w:pPr>
      <w:r w:rsidRPr="00D94363">
        <w:t xml:space="preserve">Los resultados de la gestión financiera; </w:t>
      </w:r>
    </w:p>
    <w:p w14:paraId="4F5D1905" w14:textId="77777777" w:rsidR="00D35E8F" w:rsidRPr="00D94363" w:rsidRDefault="00D35E8F" w:rsidP="00D35E8F">
      <w:pPr>
        <w:pStyle w:val="Prrafodelista"/>
        <w:numPr>
          <w:ilvl w:val="0"/>
          <w:numId w:val="12"/>
        </w:numPr>
      </w:pPr>
      <w:r w:rsidRPr="00D94363">
        <w:t xml:space="preserve">La comprobación de que las entidades fiscalizadas, se ajustaron a lo dispuesto en las respectivas leyes de ingresos, presupuestos de egresos y en las demás normas aplicables en la materia; </w:t>
      </w:r>
    </w:p>
    <w:p w14:paraId="4195BF5D" w14:textId="77777777" w:rsidR="00D35E8F" w:rsidRPr="00D94363" w:rsidRDefault="00D35E8F" w:rsidP="00D35E8F">
      <w:pPr>
        <w:pStyle w:val="Prrafodelista"/>
        <w:numPr>
          <w:ilvl w:val="0"/>
          <w:numId w:val="12"/>
        </w:numPr>
      </w:pPr>
      <w:r w:rsidRPr="00D94363">
        <w:t xml:space="preserve">En su caso, el análisis de las desviaciones presupuestales; </w:t>
      </w:r>
    </w:p>
    <w:p w14:paraId="28DB37DD" w14:textId="77777777" w:rsidR="00D35E8F" w:rsidRPr="00D94363" w:rsidRDefault="00D35E8F" w:rsidP="00D35E8F">
      <w:pPr>
        <w:pStyle w:val="Prrafodelista"/>
        <w:numPr>
          <w:ilvl w:val="0"/>
          <w:numId w:val="12"/>
        </w:numPr>
      </w:pPr>
      <w:r w:rsidRPr="00D94363">
        <w:t xml:space="preserve">Los comentarios de los auditados; </w:t>
      </w:r>
    </w:p>
    <w:p w14:paraId="7CFAF465" w14:textId="77777777" w:rsidR="00D35E8F" w:rsidRPr="00D94363" w:rsidRDefault="00D35E8F" w:rsidP="00D35E8F">
      <w:pPr>
        <w:pStyle w:val="Prrafodelista"/>
        <w:numPr>
          <w:ilvl w:val="0"/>
          <w:numId w:val="12"/>
        </w:numPr>
      </w:pPr>
      <w:r w:rsidRPr="00D94363">
        <w:t xml:space="preserve">Las irregularidades que se detecten en el uso y manejo de los recursos; y </w:t>
      </w:r>
    </w:p>
    <w:p w14:paraId="427EC219" w14:textId="77777777" w:rsidR="00D35E8F" w:rsidRPr="00D94363" w:rsidRDefault="00D35E8F" w:rsidP="00D35E8F">
      <w:pPr>
        <w:pStyle w:val="Prrafodelista"/>
        <w:numPr>
          <w:ilvl w:val="0"/>
          <w:numId w:val="12"/>
        </w:numPr>
      </w:pPr>
      <w:r w:rsidRPr="00D94363">
        <w:rPr>
          <w:b/>
        </w:rPr>
        <w:t>Las observaciones y recomendaciones que se deriven de la revisión</w:t>
      </w:r>
      <w:r w:rsidRPr="00D94363">
        <w:t>.</w:t>
      </w:r>
    </w:p>
    <w:p w14:paraId="13E91938" w14:textId="77777777" w:rsidR="004A44FB" w:rsidRPr="00D94363" w:rsidRDefault="004A44FB" w:rsidP="009E5BA7">
      <w:pPr>
        <w:rPr>
          <w:szCs w:val="24"/>
        </w:rPr>
      </w:pPr>
    </w:p>
    <w:p w14:paraId="70792E8A" w14:textId="77777777" w:rsidR="00D35E8F" w:rsidRPr="00D94363" w:rsidRDefault="00D35E8F" w:rsidP="009E5BA7">
      <w:r w:rsidRPr="00D94363">
        <w:lastRenderedPageBreak/>
        <w:t xml:space="preserve">Por lo que en términos de lo establecido por el artículo 53 de la Ley en cita si del ejercicio de las atribuciones de fiscalización del Órgano Superior, se detecta alguna probable irregularidad </w:t>
      </w:r>
      <w:r w:rsidRPr="00D94363">
        <w:rPr>
          <w:u w:val="single"/>
        </w:rPr>
        <w:t>procederá a emitir las observaciones</w:t>
      </w:r>
      <w:r w:rsidRPr="00D94363">
        <w:t xml:space="preserve"> siguientes:</w:t>
      </w:r>
    </w:p>
    <w:p w14:paraId="73FB62FC" w14:textId="77777777" w:rsidR="00D35E8F" w:rsidRPr="00D94363" w:rsidRDefault="00D35E8F" w:rsidP="00D35E8F">
      <w:pPr>
        <w:pStyle w:val="Prrafodelista"/>
        <w:numPr>
          <w:ilvl w:val="0"/>
          <w:numId w:val="13"/>
        </w:numPr>
      </w:pPr>
      <w:r w:rsidRPr="00D94363">
        <w:t xml:space="preserve">Acciones y previsiones, incluidas solicitudes de aclaración, pliegos de observaciones, informes de presunta responsabilidad administrativa, promociones del ejercicio de la facultad de comprobación fiscal, promociones de responsabilidad administrativa sancionatoria, denuncias de hechos ante la Fiscalía General de Justicia del Estado de México y denuncias de juicio político; atendiendo a los principios del debido proceso, así como a la Ley General de Responsabilidades Administrativas y la Ley de Responsabilidades Administrativas del Estado de México; y </w:t>
      </w:r>
    </w:p>
    <w:p w14:paraId="0E114B52" w14:textId="77777777" w:rsidR="00D35E8F" w:rsidRPr="00D94363" w:rsidRDefault="00D35E8F" w:rsidP="00D35E8F">
      <w:pPr>
        <w:pStyle w:val="Prrafodelista"/>
        <w:ind w:left="1488"/>
      </w:pPr>
    </w:p>
    <w:p w14:paraId="48834050" w14:textId="77777777" w:rsidR="00D35E8F" w:rsidRPr="00D94363" w:rsidRDefault="00D35E8F" w:rsidP="00D35E8F">
      <w:pPr>
        <w:pStyle w:val="Prrafodelista"/>
        <w:numPr>
          <w:ilvl w:val="0"/>
          <w:numId w:val="13"/>
        </w:numPr>
      </w:pPr>
      <w:r w:rsidRPr="00D94363">
        <w:t xml:space="preserve"> Recomendaciones.</w:t>
      </w:r>
    </w:p>
    <w:p w14:paraId="6E470764" w14:textId="77777777" w:rsidR="004A44FB" w:rsidRPr="00D94363" w:rsidRDefault="004A44FB" w:rsidP="009E5BA7">
      <w:pPr>
        <w:rPr>
          <w:szCs w:val="24"/>
        </w:rPr>
      </w:pPr>
    </w:p>
    <w:p w14:paraId="35F3685C" w14:textId="77777777" w:rsidR="004A44FB" w:rsidRPr="00D94363" w:rsidRDefault="00D35E8F" w:rsidP="009E5BA7">
      <w:pPr>
        <w:rPr>
          <w:szCs w:val="24"/>
        </w:rPr>
      </w:pPr>
      <w:r w:rsidRPr="00D94363">
        <w:rPr>
          <w:szCs w:val="24"/>
        </w:rPr>
        <w:t>De lo anterior se debe precisar que el Órgano de Fiscalización en el ámbito de sus atribuciones previo a la presentación del informe de resultados</w:t>
      </w:r>
      <w:r w:rsidRPr="00D94363">
        <w:t xml:space="preserve"> </w:t>
      </w:r>
      <w:r w:rsidRPr="00D94363">
        <w:rPr>
          <w:b/>
        </w:rPr>
        <w:t>entregará a las entidades fiscalizadas los resultados preliminares</w:t>
      </w:r>
      <w:r w:rsidRPr="00D94363">
        <w:t xml:space="preserve"> que se deriven de la fiscalización de la Cuenta Pública, a efecto de que dichas entidades presenten, </w:t>
      </w:r>
      <w:r w:rsidRPr="00D94363">
        <w:rPr>
          <w:b/>
        </w:rPr>
        <w:t>en un plazo no mayor a cinco días hábiles, las justificaciones y aclaraciones que correspondan.</w:t>
      </w:r>
      <w:r w:rsidRPr="00D94363">
        <w:t xml:space="preserve"> Así, una vez que el Órgano Superior valore las justificaciones y aclaraciones, </w:t>
      </w:r>
      <w:r w:rsidRPr="00D94363">
        <w:rPr>
          <w:u w:val="single"/>
        </w:rPr>
        <w:t>en un plazo máximo de 10 días hábiles posteriores, podrá determinar la procedencia de eliminar, rectificar o ratificar las observaciones preliminares</w:t>
      </w:r>
      <w:r w:rsidRPr="00D94363">
        <w:t>, para efectos de la emisión de los resultados finales. Posterior a la entrega de los resultados finales, el Órgano Superior contará con treinta días hábiles a efecto de notificar a las entidades fiscalizadas el informe de auditoría.</w:t>
      </w:r>
    </w:p>
    <w:p w14:paraId="55F773F4" w14:textId="77777777" w:rsidR="00D35E8F" w:rsidRPr="00D94363" w:rsidRDefault="00D35E8F" w:rsidP="009E5BA7">
      <w:pPr>
        <w:rPr>
          <w:szCs w:val="24"/>
        </w:rPr>
      </w:pPr>
    </w:p>
    <w:p w14:paraId="11282C03" w14:textId="77777777" w:rsidR="00D35E8F" w:rsidRPr="00D94363" w:rsidRDefault="00D35E8F" w:rsidP="009E5BA7">
      <w:r w:rsidRPr="00D94363">
        <w:rPr>
          <w:szCs w:val="24"/>
        </w:rPr>
        <w:t>En este sentido se debe recordar que el Sujeto Obligado a través del Director de Administración y Finanzas manifestó que</w:t>
      </w:r>
      <w:r w:rsidR="009D329B" w:rsidRPr="00D94363">
        <w:rPr>
          <w:szCs w:val="24"/>
        </w:rPr>
        <w:t xml:space="preserve"> </w:t>
      </w:r>
      <w:r w:rsidR="009D329B" w:rsidRPr="00D94363">
        <w:rPr>
          <w:b/>
          <w:szCs w:val="24"/>
        </w:rPr>
        <w:t xml:space="preserve"> no se localizó evidencia documental respecto presuntas observaciones emitidos por el OSFEM</w:t>
      </w:r>
      <w:r w:rsidR="00934E20" w:rsidRPr="00D94363">
        <w:rPr>
          <w:b/>
          <w:szCs w:val="24"/>
        </w:rPr>
        <w:t>¸</w:t>
      </w:r>
      <w:r w:rsidR="00934E20" w:rsidRPr="00D94363">
        <w:rPr>
          <w:szCs w:val="24"/>
        </w:rPr>
        <w:t xml:space="preserve"> de lo anterior se trae a colación el artículo 47 y 48 del bando Municipal del Sujeto Obligado a efecto de advertir que el corresponde a la Dirección de Administración con funciones de Tesorería</w:t>
      </w:r>
      <w:r w:rsidR="00934E20" w:rsidRPr="00D94363">
        <w:t xml:space="preserve"> sumir las funciones y atribuciones de la Tesorerí</w:t>
      </w:r>
      <w:r w:rsidR="00934E20" w:rsidRPr="00D94363">
        <w:rPr>
          <w:szCs w:val="24"/>
        </w:rPr>
        <w:t xml:space="preserve">a en los términos de la Ley Orgánica Municipal siendo </w:t>
      </w:r>
      <w:r w:rsidR="00934E20" w:rsidRPr="00D94363">
        <w:t>el único órgano encargado de la recaudación de los ingresos municipales y responsable de realizar las erogaciones que lleve a cabo el Ayuntamiento.</w:t>
      </w:r>
    </w:p>
    <w:p w14:paraId="4D2D36CC" w14:textId="77777777" w:rsidR="00934E20" w:rsidRPr="00D94363" w:rsidRDefault="00934E20" w:rsidP="009E5BA7"/>
    <w:p w14:paraId="5A9C036E" w14:textId="77777777" w:rsidR="00934E20" w:rsidRPr="00D94363" w:rsidRDefault="00934E20" w:rsidP="00934E20">
      <w:pPr>
        <w:rPr>
          <w:rFonts w:eastAsia="Palatino Linotype" w:cs="Palatino Linotype"/>
          <w:color w:val="000000"/>
          <w:szCs w:val="24"/>
        </w:rPr>
      </w:pPr>
      <w:r w:rsidRPr="00D94363">
        <w:rPr>
          <w:rFonts w:eastAsia="Palatino Linotype" w:cs="Palatino Linotype"/>
          <w:color w:val="000000"/>
          <w:szCs w:val="24"/>
        </w:rPr>
        <w:t xml:space="preserve">En este sentido </w:t>
      </w:r>
      <w:r w:rsidR="00171171" w:rsidRPr="00D94363">
        <w:rPr>
          <w:rFonts w:eastAsia="Palatino Linotype" w:cs="Palatino Linotype"/>
          <w:color w:val="000000"/>
          <w:szCs w:val="24"/>
        </w:rPr>
        <w:t>conforme las manifestaciones d</w:t>
      </w:r>
      <w:r w:rsidRPr="00D94363">
        <w:rPr>
          <w:rFonts w:eastAsia="Palatino Linotype" w:cs="Palatino Linotype"/>
          <w:color w:val="000000"/>
          <w:szCs w:val="24"/>
        </w:rPr>
        <w:t xml:space="preserve">el Sujeto Obligado a través del servidor público </w:t>
      </w:r>
      <w:r w:rsidRPr="00D94363">
        <w:rPr>
          <w:rFonts w:eastAsiaTheme="majorEastAsia" w:cs="Arial"/>
          <w:bCs/>
          <w:szCs w:val="24"/>
        </w:rPr>
        <w:t xml:space="preserve">del </w:t>
      </w:r>
      <w:r w:rsidRPr="00D94363">
        <w:rPr>
          <w:szCs w:val="24"/>
        </w:rPr>
        <w:t>Director de Administración y Finanzas</w:t>
      </w:r>
      <w:r w:rsidRPr="00D94363">
        <w:rPr>
          <w:rFonts w:eastAsia="Palatino Linotype" w:cs="Palatino Linotype"/>
          <w:szCs w:val="24"/>
        </w:rPr>
        <w:t xml:space="preserve">, es de referir que nos encontramos, ante hechos negativos, resultando aplicable la siguiente tesis: </w:t>
      </w:r>
    </w:p>
    <w:p w14:paraId="2E3C6C34" w14:textId="77777777" w:rsidR="00934E20" w:rsidRPr="00D94363" w:rsidRDefault="00934E20" w:rsidP="00934E20">
      <w:pPr>
        <w:pBdr>
          <w:top w:val="nil"/>
          <w:left w:val="nil"/>
          <w:bottom w:val="nil"/>
          <w:right w:val="nil"/>
          <w:between w:val="nil"/>
        </w:pBdr>
        <w:ind w:left="1134" w:right="900"/>
        <w:rPr>
          <w:rFonts w:eastAsia="Palatino Linotype" w:cs="Palatino Linotype"/>
          <w:i/>
          <w:color w:val="000000"/>
          <w:sz w:val="22"/>
        </w:rPr>
      </w:pPr>
      <w:r w:rsidRPr="00D94363">
        <w:rPr>
          <w:rFonts w:eastAsia="Palatino Linotype" w:cs="Palatino Linotype"/>
          <w:i/>
          <w:color w:val="000000"/>
          <w:sz w:val="22"/>
        </w:rPr>
        <w:t>«</w:t>
      </w:r>
      <w:r w:rsidRPr="00D94363">
        <w:rPr>
          <w:rFonts w:eastAsia="Palatino Linotype" w:cs="Palatino Linotype"/>
          <w:b/>
          <w:i/>
          <w:color w:val="000000"/>
          <w:sz w:val="22"/>
        </w:rPr>
        <w:t>HECHOS NEGATIVOS, NO SON SUSCEPTIBLES DE DEMOSTRACIÓN.</w:t>
      </w:r>
    </w:p>
    <w:p w14:paraId="5F0FC72D" w14:textId="77777777" w:rsidR="00934E20" w:rsidRPr="00D94363" w:rsidRDefault="00934E20" w:rsidP="00934E20">
      <w:pPr>
        <w:pBdr>
          <w:top w:val="nil"/>
          <w:left w:val="nil"/>
          <w:bottom w:val="nil"/>
          <w:right w:val="nil"/>
          <w:between w:val="nil"/>
        </w:pBdr>
        <w:ind w:left="1134" w:right="900"/>
        <w:rPr>
          <w:rFonts w:eastAsia="Palatino Linotype" w:cs="Palatino Linotype"/>
          <w:i/>
          <w:color w:val="000000"/>
          <w:sz w:val="22"/>
        </w:rPr>
      </w:pPr>
      <w:r w:rsidRPr="00D94363">
        <w:rPr>
          <w:rFonts w:eastAsia="Palatino Linotype" w:cs="Palatino Linotype"/>
          <w:i/>
          <w:color w:val="000000"/>
          <w:sz w:val="22"/>
        </w:rPr>
        <w:t>Tratándose de un hecho negativo, el Juez no tiene por qué invocar prueba alguna de la que se desprenda, ya que es bien sabido que esta clase de hechos no son susceptibles de demostración.</w:t>
      </w:r>
    </w:p>
    <w:p w14:paraId="7B5903B4" w14:textId="77777777" w:rsidR="00934E20" w:rsidRPr="00D94363" w:rsidRDefault="00934E20" w:rsidP="00934E20">
      <w:pPr>
        <w:pBdr>
          <w:top w:val="nil"/>
          <w:left w:val="nil"/>
          <w:bottom w:val="nil"/>
          <w:right w:val="nil"/>
          <w:between w:val="nil"/>
        </w:pBdr>
        <w:ind w:left="1134" w:right="900"/>
        <w:rPr>
          <w:rFonts w:eastAsia="Palatino Linotype" w:cs="Palatino Linotype"/>
          <w:i/>
          <w:color w:val="000000"/>
          <w:sz w:val="22"/>
        </w:rPr>
      </w:pPr>
      <w:r w:rsidRPr="00D94363">
        <w:rPr>
          <w:rFonts w:eastAsia="Palatino Linotype" w:cs="Palatino Linotype"/>
          <w:i/>
          <w:color w:val="000000"/>
          <w:sz w:val="22"/>
        </w:rPr>
        <w:t>Amparo en revisión 2022/61. José García Florín (Menor). 9 de octubre de 1961. Cinco votos. Ponente: José Rivera Pérez Campos</w:t>
      </w:r>
    </w:p>
    <w:p w14:paraId="20F001FC" w14:textId="77777777" w:rsidR="009E5BA7" w:rsidRPr="00D94363" w:rsidRDefault="009E5BA7" w:rsidP="009E5BA7">
      <w:pPr>
        <w:rPr>
          <w:color w:val="000000"/>
          <w:szCs w:val="24"/>
        </w:rPr>
      </w:pPr>
    </w:p>
    <w:p w14:paraId="3288E21C" w14:textId="77777777" w:rsidR="00171171" w:rsidRPr="00D94363" w:rsidRDefault="00171171" w:rsidP="00171171">
      <w:pPr>
        <w:rPr>
          <w:szCs w:val="24"/>
        </w:rPr>
      </w:pPr>
      <w:r w:rsidRPr="00D94363">
        <w:rPr>
          <w:szCs w:val="24"/>
        </w:rPr>
        <w:t xml:space="preserve">De lo que se desprende que es materialmente imposible realizar la entrega de alguna documental que no ha generado el </w:t>
      </w:r>
      <w:r w:rsidRPr="00D94363">
        <w:rPr>
          <w:b/>
          <w:bCs/>
          <w:szCs w:val="24"/>
        </w:rPr>
        <w:t>SUJETO OBLIGADO</w:t>
      </w:r>
      <w:r w:rsidRPr="00D94363">
        <w:rPr>
          <w:szCs w:val="24"/>
        </w:rPr>
        <w:t xml:space="preserve">. Al respecto, este Órgano Garante carece de facultades para dudar de la veracidad de la respuesta emitida pues no está facultado para pronunciarse sobre la veracidad de la información que los Sujetos </w:t>
      </w:r>
      <w:r w:rsidRPr="00D94363">
        <w:rPr>
          <w:szCs w:val="24"/>
        </w:rPr>
        <w:lastRenderedPageBreak/>
        <w:t xml:space="preserve">Obligados ponen a disposición de los solicitantes; situación que se aleja de las atribuciones de este Instituto. </w:t>
      </w:r>
    </w:p>
    <w:p w14:paraId="4857238A" w14:textId="77777777" w:rsidR="00171171" w:rsidRPr="00D94363" w:rsidRDefault="00171171" w:rsidP="00171171">
      <w:pPr>
        <w:rPr>
          <w:b/>
          <w:color w:val="000000"/>
          <w:szCs w:val="24"/>
        </w:rPr>
      </w:pPr>
    </w:p>
    <w:p w14:paraId="51FB3707" w14:textId="77777777" w:rsidR="00171171" w:rsidRPr="00D94363" w:rsidRDefault="009E5BA7" w:rsidP="00171171">
      <w:pPr>
        <w:rPr>
          <w:szCs w:val="24"/>
        </w:rPr>
      </w:pPr>
      <w:r w:rsidRPr="00D94363">
        <w:rPr>
          <w:b/>
          <w:color w:val="000000"/>
          <w:szCs w:val="24"/>
        </w:rPr>
        <w:t xml:space="preserve"> </w:t>
      </w:r>
      <w:r w:rsidR="00171171" w:rsidRPr="00D94363">
        <w:rPr>
          <w:szCs w:val="24"/>
        </w:rPr>
        <w:t>Bajo ese contexto, es de recordarse que, para atender las solicitudes de información, los Sujetos Obligados contarán con un área denominada Unidad de Transparencia</w:t>
      </w:r>
      <w:r w:rsidR="00171171" w:rsidRPr="00D94363">
        <w:rPr>
          <w:sz w:val="16"/>
          <w:szCs w:val="16"/>
        </w:rPr>
        <w:footnoteReference w:id="5"/>
      </w:r>
      <w:r w:rsidR="00171171" w:rsidRPr="00D94363">
        <w:rPr>
          <w:sz w:val="16"/>
          <w:szCs w:val="16"/>
        </w:rPr>
        <w:t>,</w:t>
      </w:r>
      <w:r w:rsidR="00171171" w:rsidRPr="00D94363">
        <w:rPr>
          <w:szCs w:val="24"/>
        </w:rPr>
        <w:t xml:space="preserve"> la cual será presidida por un Titular, quien fungirá como enlace entre éstos y los solicitantes. Dicha Unidad será la encargada de tramitar internamente la solicitud de información y tendrá la alta responsabilidad de verificar, en cada caso, que la misma no sea confidencial o reservada. Asimismo, contará con las facultades internas necesarias para gestionar la atención a las solicitudes de información en los términos de la Ley General y la Ley de Transparencia y Acceso a la Información Pública del Estado de México y Municipios</w:t>
      </w:r>
      <w:r w:rsidR="00171171" w:rsidRPr="00D94363">
        <w:rPr>
          <w:szCs w:val="24"/>
        </w:rPr>
        <w:footnoteReference w:id="6"/>
      </w:r>
      <w:r w:rsidR="00171171" w:rsidRPr="00D94363">
        <w:rPr>
          <w:szCs w:val="24"/>
        </w:rPr>
        <w:t>.</w:t>
      </w:r>
    </w:p>
    <w:p w14:paraId="2D7AF5D7" w14:textId="77777777" w:rsidR="00171171" w:rsidRPr="00D94363" w:rsidRDefault="00171171" w:rsidP="00171171">
      <w:pPr>
        <w:rPr>
          <w:szCs w:val="24"/>
        </w:rPr>
      </w:pPr>
    </w:p>
    <w:p w14:paraId="6135FAF7" w14:textId="77777777" w:rsidR="00171171" w:rsidRPr="00D94363" w:rsidRDefault="00171171" w:rsidP="00171171">
      <w:pPr>
        <w:tabs>
          <w:tab w:val="left" w:pos="426"/>
        </w:tabs>
        <w:spacing w:before="240" w:after="240"/>
        <w:ind w:right="51"/>
        <w:rPr>
          <w:rFonts w:eastAsia="MS Mincho"/>
          <w:szCs w:val="24"/>
        </w:rPr>
      </w:pPr>
      <w:r w:rsidRPr="00D94363">
        <w:rPr>
          <w:szCs w:val="24"/>
        </w:rPr>
        <w:t xml:space="preserve">De </w:t>
      </w:r>
      <w:r w:rsidRPr="00D94363">
        <w:rPr>
          <w:rFonts w:eastAsia="MS Mincho"/>
          <w:szCs w:val="24"/>
        </w:rPr>
        <w:t>conformidad con lo dispuesto por el artículo 53 de la Ley de Transparencia y Acceso a la Información Pública del Estado de México y Municipios, las Unidades de Transparencia tendrán, entre sus atribuciones, las siguientes:</w:t>
      </w:r>
    </w:p>
    <w:p w14:paraId="6EE9C8F8" w14:textId="77777777" w:rsidR="00171171" w:rsidRPr="00D94363" w:rsidRDefault="00171171" w:rsidP="00171171">
      <w:pPr>
        <w:pStyle w:val="Prrafodelista"/>
        <w:numPr>
          <w:ilvl w:val="1"/>
          <w:numId w:val="2"/>
        </w:numPr>
        <w:tabs>
          <w:tab w:val="left" w:pos="426"/>
        </w:tabs>
        <w:spacing w:before="240" w:after="240"/>
        <w:ind w:left="1134" w:right="51"/>
        <w:contextualSpacing/>
        <w:rPr>
          <w:rFonts w:eastAsia="MS Mincho"/>
          <w:i/>
          <w:iCs/>
          <w:color w:val="000000"/>
        </w:rPr>
      </w:pPr>
      <w:r w:rsidRPr="00D94363">
        <w:rPr>
          <w:rFonts w:eastAsia="MS Mincho"/>
          <w:i/>
          <w:iCs/>
          <w:color w:val="000000"/>
        </w:rPr>
        <w:t>Recibir, tramitar y dar respuesta a las solicitudes de acceso a la información;</w:t>
      </w:r>
    </w:p>
    <w:p w14:paraId="19CFB9DF" w14:textId="77777777" w:rsidR="00171171" w:rsidRPr="00D94363" w:rsidRDefault="00171171" w:rsidP="00171171">
      <w:pPr>
        <w:pStyle w:val="Prrafodelista"/>
        <w:numPr>
          <w:ilvl w:val="1"/>
          <w:numId w:val="2"/>
        </w:numPr>
        <w:tabs>
          <w:tab w:val="left" w:pos="426"/>
        </w:tabs>
        <w:spacing w:before="240" w:after="240"/>
        <w:ind w:left="1134" w:right="51"/>
        <w:contextualSpacing/>
        <w:rPr>
          <w:rFonts w:eastAsia="MS Mincho"/>
          <w:i/>
          <w:iCs/>
          <w:color w:val="000000"/>
        </w:rPr>
      </w:pPr>
      <w:r w:rsidRPr="00D94363">
        <w:rPr>
          <w:rFonts w:eastAsia="MS Mincho"/>
          <w:i/>
          <w:iCs/>
          <w:color w:val="000000"/>
        </w:rPr>
        <w:t xml:space="preserve">Realizar, con efectividad, los trámites internos necesarios para la atención de las solicitudes de acceso a la información; </w:t>
      </w:r>
    </w:p>
    <w:p w14:paraId="511A6984" w14:textId="77777777" w:rsidR="00171171" w:rsidRPr="00D94363" w:rsidRDefault="00171171" w:rsidP="00171171">
      <w:pPr>
        <w:pStyle w:val="Prrafodelista"/>
        <w:numPr>
          <w:ilvl w:val="1"/>
          <w:numId w:val="2"/>
        </w:numPr>
        <w:tabs>
          <w:tab w:val="left" w:pos="426"/>
        </w:tabs>
        <w:spacing w:before="240" w:after="240"/>
        <w:ind w:left="1134" w:right="51"/>
        <w:contextualSpacing/>
        <w:rPr>
          <w:rFonts w:eastAsia="MS Mincho"/>
          <w:i/>
          <w:iCs/>
          <w:color w:val="000000"/>
        </w:rPr>
      </w:pPr>
      <w:r w:rsidRPr="00D94363">
        <w:rPr>
          <w:rFonts w:eastAsia="MS Mincho"/>
          <w:i/>
          <w:iCs/>
          <w:color w:val="000000"/>
        </w:rPr>
        <w:t xml:space="preserve">Entregar, en su caso, a los particulares la información solicitada; y </w:t>
      </w:r>
    </w:p>
    <w:p w14:paraId="7D4ECE0F" w14:textId="77777777" w:rsidR="00171171" w:rsidRPr="00D94363" w:rsidRDefault="00171171" w:rsidP="00171171">
      <w:pPr>
        <w:pStyle w:val="Prrafodelista"/>
        <w:numPr>
          <w:ilvl w:val="1"/>
          <w:numId w:val="2"/>
        </w:numPr>
        <w:tabs>
          <w:tab w:val="left" w:pos="426"/>
        </w:tabs>
        <w:spacing w:before="240" w:after="240"/>
        <w:ind w:left="1134" w:right="51"/>
        <w:contextualSpacing/>
        <w:rPr>
          <w:i/>
          <w:iCs/>
          <w:color w:val="000000" w:themeColor="text1"/>
        </w:rPr>
      </w:pPr>
      <w:r w:rsidRPr="00D94363">
        <w:rPr>
          <w:rFonts w:eastAsia="MS Mincho"/>
          <w:i/>
          <w:iCs/>
          <w:color w:val="000000"/>
        </w:rPr>
        <w:t>Efectuar las notificaciones a los solicitantes.</w:t>
      </w:r>
    </w:p>
    <w:p w14:paraId="5343FEDF" w14:textId="77777777" w:rsidR="00171171" w:rsidRPr="00D94363" w:rsidRDefault="00171171" w:rsidP="00171171"/>
    <w:p w14:paraId="7295A0BA" w14:textId="77777777" w:rsidR="00171171" w:rsidRPr="00D94363" w:rsidRDefault="00171171" w:rsidP="00171171">
      <w:pPr>
        <w:rPr>
          <w:rFonts w:eastAsia="MS Mincho"/>
          <w:color w:val="000000"/>
          <w:szCs w:val="24"/>
        </w:rPr>
      </w:pPr>
      <w:r w:rsidRPr="00D94363">
        <w:rPr>
          <w:szCs w:val="24"/>
        </w:rPr>
        <w:t xml:space="preserve">De tal </w:t>
      </w:r>
      <w:r w:rsidRPr="00D94363">
        <w:rPr>
          <w:rFonts w:eastAsia="MS Mincho"/>
          <w:color w:val="000000"/>
          <w:szCs w:val="24"/>
        </w:rPr>
        <w:t xml:space="preserve">manera que cada una de las áreas administrativas del </w:t>
      </w:r>
      <w:r w:rsidRPr="00D94363">
        <w:rPr>
          <w:rFonts w:eastAsia="MS Mincho"/>
          <w:b/>
          <w:bCs/>
          <w:color w:val="000000"/>
          <w:szCs w:val="24"/>
        </w:rPr>
        <w:t>SUJETO OBLIGADO</w:t>
      </w:r>
      <w:r w:rsidRPr="00D94363">
        <w:rPr>
          <w:rFonts w:eastAsia="MS Mincho"/>
          <w:color w:val="000000"/>
          <w:szCs w:val="24"/>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7143F91A" w14:textId="2DC4E3B7" w:rsidR="00CA7D2C" w:rsidRPr="00D94363" w:rsidRDefault="00171171" w:rsidP="00171171">
      <w:pPr>
        <w:rPr>
          <w:rFonts w:eastAsia="MS Mincho"/>
          <w:color w:val="000000"/>
          <w:szCs w:val="24"/>
          <w:u w:val="single"/>
        </w:rPr>
      </w:pPr>
      <w:r w:rsidRPr="00D94363">
        <w:rPr>
          <w:rFonts w:eastAsia="MS Mincho"/>
          <w:color w:val="000000"/>
          <w:szCs w:val="24"/>
        </w:rPr>
        <w:t xml:space="preserve">Por lo que en uso de sus atribuciones la Titular de la Unidad de Transparencia dirigió la solicitud de información a la unidad administrativa que podía satisfacer </w:t>
      </w:r>
      <w:r w:rsidR="00CA7D2C" w:rsidRPr="00D94363">
        <w:rPr>
          <w:rFonts w:eastAsia="MS Mincho"/>
          <w:color w:val="000000"/>
          <w:szCs w:val="24"/>
        </w:rPr>
        <w:t xml:space="preserve">las pretensiones del Recurrente, sin </w:t>
      </w:r>
      <w:r w:rsidR="00386AC9" w:rsidRPr="00D94363">
        <w:rPr>
          <w:rFonts w:eastAsia="MS Mincho"/>
          <w:color w:val="000000"/>
          <w:szCs w:val="24"/>
        </w:rPr>
        <w:t>embargo,</w:t>
      </w:r>
      <w:r w:rsidR="00CA7D2C" w:rsidRPr="00D94363">
        <w:rPr>
          <w:rFonts w:eastAsia="MS Mincho"/>
          <w:color w:val="000000"/>
          <w:szCs w:val="24"/>
        </w:rPr>
        <w:t xml:space="preserve"> dada la naturaleza de la información este Instituto advierte que la auditoria </w:t>
      </w:r>
      <w:r w:rsidR="00A61C43" w:rsidRPr="00D94363">
        <w:rPr>
          <w:rFonts w:eastAsia="MS Mincho"/>
          <w:color w:val="000000"/>
          <w:szCs w:val="24"/>
        </w:rPr>
        <w:t xml:space="preserve">señalada en estudio previo </w:t>
      </w:r>
      <w:r w:rsidR="005E414A" w:rsidRPr="00D94363">
        <w:rPr>
          <w:rFonts w:eastAsia="MS Mincho"/>
          <w:color w:val="000000"/>
          <w:szCs w:val="24"/>
        </w:rPr>
        <w:t xml:space="preserve">de manera enunciativa mas no limitativa </w:t>
      </w:r>
      <w:r w:rsidR="005E414A" w:rsidRPr="00D94363">
        <w:rPr>
          <w:rFonts w:eastAsia="MS Mincho"/>
          <w:color w:val="000000"/>
          <w:szCs w:val="24"/>
          <w:u w:val="single"/>
        </w:rPr>
        <w:t>no se le turno la solicitud de información a la Contraloría Interna y la Dirección de Desarrollo y Fomento Económico</w:t>
      </w:r>
      <w:r w:rsidR="00F2340B" w:rsidRPr="00D94363">
        <w:rPr>
          <w:rFonts w:eastAsia="MS Mincho"/>
          <w:color w:val="000000"/>
          <w:szCs w:val="24"/>
          <w:u w:val="single"/>
        </w:rPr>
        <w:t xml:space="preserve"> las cuales en términos de lo establecido por el bando municipal pueden poseer o administrar la información requerida</w:t>
      </w:r>
      <w:r w:rsidR="005E414A" w:rsidRPr="00D94363">
        <w:rPr>
          <w:rFonts w:eastAsia="MS Mincho"/>
          <w:color w:val="000000"/>
          <w:szCs w:val="24"/>
          <w:u w:val="single"/>
        </w:rPr>
        <w:t>.</w:t>
      </w:r>
    </w:p>
    <w:p w14:paraId="57B84C43" w14:textId="77777777" w:rsidR="00CA7D2C" w:rsidRPr="00D94363" w:rsidRDefault="00CA7D2C" w:rsidP="00171171">
      <w:pPr>
        <w:rPr>
          <w:rFonts w:eastAsia="MS Mincho"/>
          <w:color w:val="000000"/>
          <w:szCs w:val="24"/>
        </w:rPr>
      </w:pPr>
    </w:p>
    <w:p w14:paraId="54527CE2" w14:textId="51802398" w:rsidR="00171171" w:rsidRPr="00D94363" w:rsidRDefault="00171171" w:rsidP="00171171">
      <w:pPr>
        <w:rPr>
          <w:rFonts w:eastAsia="MS Mincho"/>
          <w:color w:val="000000"/>
          <w:szCs w:val="24"/>
        </w:rPr>
      </w:pPr>
      <w:r w:rsidRPr="00D94363">
        <w:rPr>
          <w:rFonts w:eastAsia="Palatino Linotype" w:cs="Palatino Linotype"/>
          <w:color w:val="000000"/>
          <w:szCs w:val="24"/>
        </w:rPr>
        <w:t>Por lo que al</w:t>
      </w:r>
      <w:r w:rsidR="009E1F9C" w:rsidRPr="00D94363">
        <w:rPr>
          <w:rFonts w:eastAsia="Palatino Linotype" w:cs="Palatino Linotype"/>
          <w:color w:val="000000"/>
          <w:szCs w:val="24"/>
        </w:rPr>
        <w:t xml:space="preserve"> no</w:t>
      </w:r>
      <w:r w:rsidRPr="00D94363">
        <w:rPr>
          <w:rFonts w:eastAsia="Palatino Linotype" w:cs="Palatino Linotype"/>
          <w:color w:val="000000"/>
          <w:szCs w:val="24"/>
        </w:rPr>
        <w:t xml:space="preserve"> haber</w:t>
      </w:r>
      <w:r w:rsidR="009E1F9C" w:rsidRPr="00D94363">
        <w:rPr>
          <w:rFonts w:eastAsia="Palatino Linotype" w:cs="Palatino Linotype"/>
          <w:color w:val="000000"/>
          <w:szCs w:val="24"/>
        </w:rPr>
        <w:t>se</w:t>
      </w:r>
      <w:r w:rsidRPr="00D94363">
        <w:rPr>
          <w:rFonts w:eastAsia="Palatino Linotype" w:cs="Palatino Linotype"/>
          <w:color w:val="000000"/>
          <w:szCs w:val="24"/>
        </w:rPr>
        <w:t xml:space="preserve"> turnado la solicitud de información a las unidades administrativas </w:t>
      </w:r>
      <w:r w:rsidRPr="00D94363">
        <w:rPr>
          <w:rFonts w:eastAsia="MS Mincho"/>
          <w:color w:val="000000"/>
          <w:szCs w:val="24"/>
        </w:rPr>
        <w:t xml:space="preserve">que en el ámbito de sus atribuciones generan, poseen o administran la información </w:t>
      </w:r>
      <w:r w:rsidR="00B446A7" w:rsidRPr="00D94363">
        <w:rPr>
          <w:rFonts w:eastAsia="MS Mincho"/>
          <w:color w:val="000000"/>
          <w:szCs w:val="24"/>
        </w:rPr>
        <w:t xml:space="preserve">no </w:t>
      </w:r>
      <w:r w:rsidRPr="00D94363">
        <w:rPr>
          <w:rFonts w:eastAsia="MS Mincho"/>
          <w:color w:val="000000"/>
          <w:szCs w:val="24"/>
        </w:rPr>
        <w:t xml:space="preserve">se acredita que se </w:t>
      </w:r>
      <w:r w:rsidRPr="00D94363">
        <w:rPr>
          <w:rFonts w:eastAsia="Palatino Linotype" w:cs="Palatino Linotype"/>
          <w:color w:val="000000"/>
          <w:szCs w:val="24"/>
        </w:rPr>
        <w:t>realizó la búsqueda exhaustiva y razonable de la información de información a la unidad administrativa que posee, genera y administra, cuyo alcance se encuentra establecido en el Criterio Reiterado 02/19 emitido por el Pleno de este Organismo Garante, a saber:</w:t>
      </w:r>
    </w:p>
    <w:p w14:paraId="7B8DBC12" w14:textId="77777777" w:rsidR="00171171" w:rsidRPr="00D94363" w:rsidRDefault="00171171" w:rsidP="00171171">
      <w:pPr>
        <w:ind w:left="567" w:right="706"/>
        <w:rPr>
          <w:rFonts w:eastAsia="Palatino Linotype" w:cs="Palatino Linotype"/>
          <w:i/>
          <w:color w:val="000000"/>
          <w:sz w:val="22"/>
        </w:rPr>
      </w:pPr>
      <w:r w:rsidRPr="00D94363">
        <w:rPr>
          <w:rFonts w:eastAsia="Palatino Linotype" w:cs="Palatino Linotype"/>
          <w:b/>
          <w:i/>
          <w:color w:val="000000"/>
          <w:sz w:val="22"/>
        </w:rPr>
        <w:t xml:space="preserve">“BÚSQUEDA EXHAUSTIVA. SU EJERCICIO PARA LOCALIZAR LA INFORMACIÓN SOLICITADA, NO CONSTITUYE UNA INVESTIGACIÓN A LA CUAL SE REFIERE EL ARTÍCULO 12 DE LA LEY DE TRANSPARENCIA Y ACCESO A LA INFORMACIÓN PÚBLICA DEL ESTADO DE MÉXICO Y </w:t>
      </w:r>
      <w:r w:rsidRPr="00D94363">
        <w:rPr>
          <w:rFonts w:eastAsia="Palatino Linotype" w:cs="Palatino Linotype"/>
          <w:b/>
          <w:i/>
          <w:color w:val="000000"/>
          <w:sz w:val="22"/>
        </w:rPr>
        <w:lastRenderedPageBreak/>
        <w:t xml:space="preserve">MUNICIPIOS. </w:t>
      </w:r>
      <w:r w:rsidRPr="00D94363">
        <w:rPr>
          <w:rFonts w:eastAsia="Palatino Linotype" w:cs="Palatino Linotype"/>
          <w:i/>
          <w:color w:val="000000"/>
          <w:sz w:val="22"/>
        </w:rPr>
        <w:t>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0774F3CE" w14:textId="77777777" w:rsidR="00171171" w:rsidRPr="00D94363" w:rsidRDefault="00171171" w:rsidP="00171171">
      <w:pPr>
        <w:rPr>
          <w:rFonts w:eastAsia="Palatino Linotype" w:cs="Palatino Linotype"/>
          <w:color w:val="000000"/>
        </w:rPr>
      </w:pPr>
    </w:p>
    <w:p w14:paraId="2CB9E3A7" w14:textId="77777777" w:rsidR="00171171" w:rsidRPr="00D94363" w:rsidRDefault="00171171" w:rsidP="00171171">
      <w:pPr>
        <w:rPr>
          <w:rFonts w:eastAsia="Palatino Linotype" w:cs="Palatino Linotype"/>
          <w:color w:val="000000"/>
          <w:szCs w:val="24"/>
        </w:rPr>
      </w:pPr>
      <w:r w:rsidRPr="00D94363">
        <w:rPr>
          <w:rFonts w:eastAsia="Palatino Linotype" w:cs="Palatino Linotype"/>
          <w:color w:val="000000"/>
          <w:szCs w:val="24"/>
        </w:rPr>
        <w:t>En tal sentido, resulta aplicable el Criterio 02/17 emitido por el Peno del Instituto Nacional de Transparencia y Acceso a la Información y Protección de Datos Personales, de título y texto siguientes:</w:t>
      </w:r>
    </w:p>
    <w:p w14:paraId="725F51E2" w14:textId="77777777" w:rsidR="00171171" w:rsidRPr="00D94363" w:rsidRDefault="00171171" w:rsidP="00171171">
      <w:pPr>
        <w:ind w:left="851" w:right="851"/>
        <w:rPr>
          <w:rFonts w:eastAsia="Palatino Linotype" w:cs="Palatino Linotype"/>
          <w:i/>
          <w:color w:val="000000"/>
          <w:sz w:val="22"/>
        </w:rPr>
      </w:pPr>
      <w:r w:rsidRPr="00D94363">
        <w:rPr>
          <w:rFonts w:eastAsia="Palatino Linotype" w:cs="Palatino Linotype"/>
          <w:b/>
          <w:i/>
          <w:color w:val="000000"/>
          <w:sz w:val="22"/>
        </w:rPr>
        <w:t xml:space="preserve">“Congruencia y exhaustividad. Sus alcances para garantizar el derecho de acceso a la información. </w:t>
      </w:r>
      <w:r w:rsidRPr="00D94363">
        <w:rPr>
          <w:rFonts w:eastAsia="Palatino Linotype" w:cs="Palatino Linotype"/>
          <w:i/>
          <w:color w:val="000000"/>
          <w:sz w:val="22"/>
        </w:rPr>
        <w:t xml:space="preserve">De conformidad con el artículo 3 de la Ley Federal de </w:t>
      </w:r>
      <w:r w:rsidRPr="00D94363">
        <w:rPr>
          <w:rFonts w:eastAsia="Palatino Linotype" w:cs="Palatino Linotype"/>
          <w:i/>
          <w:color w:val="000000"/>
          <w:sz w:val="22"/>
        </w:rPr>
        <w:lastRenderedPageBreak/>
        <w:t xml:space="preserve">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D94363">
        <w:rPr>
          <w:rFonts w:eastAsia="Palatino Linotype" w:cs="Palatino Linotype"/>
          <w:b/>
          <w:i/>
          <w:color w:val="000000"/>
          <w:sz w:val="22"/>
        </w:rPr>
        <w:t>la congruencia implica que exista concordancia entre el requerimiento formulado por el particular y la respuesta proporcionada por el sujeto obligado</w:t>
      </w:r>
      <w:r w:rsidRPr="00D94363">
        <w:rPr>
          <w:rFonts w:eastAsia="Palatino Linotype" w:cs="Palatino Linotype"/>
          <w:i/>
          <w:color w:val="000000"/>
          <w:sz w:val="22"/>
        </w:rPr>
        <w:t xml:space="preserve">; mientras que </w:t>
      </w:r>
      <w:r w:rsidRPr="00D94363">
        <w:rPr>
          <w:rFonts w:eastAsia="Palatino Linotype" w:cs="Palatino Linotype"/>
          <w:b/>
          <w:i/>
          <w:color w:val="000000"/>
          <w:sz w:val="22"/>
        </w:rPr>
        <w:t>la exhaustividad significa que dicha respuesta se refiera expresamente a cada uno de los puntos solicitados</w:t>
      </w:r>
      <w:r w:rsidRPr="00D94363">
        <w:rPr>
          <w:rFonts w:eastAsia="Palatino Linotype" w:cs="Palatino Linotype"/>
          <w:i/>
          <w:color w:val="000000"/>
          <w:sz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4DD55199" w14:textId="77777777" w:rsidR="00171171" w:rsidRPr="00D94363" w:rsidRDefault="00171171" w:rsidP="00171171">
      <w:pPr>
        <w:rPr>
          <w:szCs w:val="24"/>
        </w:rPr>
      </w:pPr>
    </w:p>
    <w:p w14:paraId="0BA83639" w14:textId="77777777" w:rsidR="0036259D" w:rsidRPr="00D94363" w:rsidRDefault="00171171" w:rsidP="00171171">
      <w:pPr>
        <w:rPr>
          <w:szCs w:val="24"/>
        </w:rPr>
      </w:pPr>
      <w:r w:rsidRPr="00D94363">
        <w:rPr>
          <w:bCs/>
          <w:szCs w:val="24"/>
        </w:rPr>
        <w:t>Por lo que una vez analizado el requerimiento de información requerido por el Recurrente en el presente recurso de revisión</w:t>
      </w:r>
      <w:r w:rsidRPr="00D94363">
        <w:rPr>
          <w:szCs w:val="24"/>
        </w:rPr>
        <w:t xml:space="preserve"> este Instituto determina que derivado de las manifestaciones realizadas por el Sujeto Obligado</w:t>
      </w:r>
      <w:r w:rsidR="009E1F9C" w:rsidRPr="00D94363">
        <w:rPr>
          <w:szCs w:val="24"/>
        </w:rPr>
        <w:t xml:space="preserve"> al no haberse acreditado </w:t>
      </w:r>
      <w:r w:rsidR="0036259D" w:rsidRPr="00D94363">
        <w:rPr>
          <w:szCs w:val="24"/>
        </w:rPr>
        <w:t>la búsqueda exhaustiva y razonable de la información resulta dable ordenar de ser procedente en versión pública</w:t>
      </w:r>
      <w:r w:rsidR="00677464" w:rsidRPr="00D94363">
        <w:rPr>
          <w:szCs w:val="24"/>
        </w:rPr>
        <w:t xml:space="preserve"> el número de </w:t>
      </w:r>
      <w:r w:rsidR="00677464" w:rsidRPr="00D94363">
        <w:rPr>
          <w:rFonts w:eastAsia="Palatino Linotype" w:cs="Palatino Linotype"/>
          <w:color w:val="000000"/>
        </w:rPr>
        <w:t>observaciones del OSFEM que aún no se han solventado respecto el ejercicio fiscal 2024 al diecinueve de diciembre de dos mil veinticinco, De las observaciones del OSFEM que aún no se han solventado respecto el ejercicio fiscal 2024 al diecinueve de diciembre de dos mil veinticinco, lo siguiente; soporte documental que dé cuenta del monto total y el soporte documental que dé cuenta de las razones por las que aún no se han solventado.</w:t>
      </w:r>
    </w:p>
    <w:p w14:paraId="4F34E1CD" w14:textId="77777777" w:rsidR="00677464" w:rsidRPr="00D94363" w:rsidRDefault="00677464" w:rsidP="00171171">
      <w:pPr>
        <w:rPr>
          <w:szCs w:val="24"/>
        </w:rPr>
      </w:pPr>
    </w:p>
    <w:p w14:paraId="3AC75F0C" w14:textId="77777777" w:rsidR="0036259D" w:rsidRPr="00D94363" w:rsidRDefault="0036259D" w:rsidP="00171171">
      <w:pPr>
        <w:rPr>
          <w:rFonts w:eastAsia="Palatino Linotype" w:cs="Palatino Linotype"/>
          <w:color w:val="000000"/>
        </w:rPr>
      </w:pPr>
      <w:r w:rsidRPr="00D94363">
        <w:rPr>
          <w:szCs w:val="24"/>
        </w:rPr>
        <w:t xml:space="preserve">De ser el caso que a la fecha de la solicitud no se hayan recibido observaciones del OSFEM al </w:t>
      </w:r>
      <w:r w:rsidRPr="00D94363">
        <w:rPr>
          <w:rFonts w:eastAsia="Palatino Linotype" w:cs="Palatino Linotype"/>
          <w:color w:val="000000"/>
        </w:rPr>
        <w:t xml:space="preserve">diecinueve de diciembre de dos mil veinticinco respecto el ejercicio fiscal 2024 bastara </w:t>
      </w:r>
      <w:r w:rsidRPr="00D94363">
        <w:rPr>
          <w:rFonts w:eastAsia="Palatino Linotype" w:cs="Palatino Linotype"/>
          <w:color w:val="000000"/>
        </w:rPr>
        <w:lastRenderedPageBreak/>
        <w:t xml:space="preserve">con que así lo haga del conocimiento del particular en los términos establecidos por el segundo párrafo del artículo 19 de la Ley de Transparencia Local. </w:t>
      </w:r>
    </w:p>
    <w:p w14:paraId="0D962694" w14:textId="77777777" w:rsidR="00677464" w:rsidRPr="00D94363" w:rsidRDefault="00677464" w:rsidP="00171171">
      <w:pPr>
        <w:rPr>
          <w:rFonts w:eastAsia="Palatino Linotype" w:cs="Palatino Linotype"/>
          <w:color w:val="000000"/>
          <w:szCs w:val="24"/>
        </w:rPr>
      </w:pPr>
    </w:p>
    <w:p w14:paraId="45EA602C" w14:textId="77777777" w:rsidR="00725FF2" w:rsidRPr="00D94363" w:rsidRDefault="00725FF2" w:rsidP="00725FF2">
      <w:pPr>
        <w:rPr>
          <w:rFonts w:eastAsia="Palatino Linotype" w:cs="Palatino Linotype"/>
          <w:iCs/>
          <w:color w:val="000000"/>
          <w:szCs w:val="24"/>
        </w:rPr>
      </w:pPr>
      <w:r w:rsidRPr="00D94363">
        <w:rPr>
          <w:iCs/>
          <w:szCs w:val="24"/>
        </w:rPr>
        <w:t xml:space="preserve">De ser el caso que </w:t>
      </w:r>
      <w:r w:rsidRPr="00D94363">
        <w:rPr>
          <w:b/>
          <w:iCs/>
          <w:szCs w:val="24"/>
        </w:rPr>
        <w:t xml:space="preserve">a la fecha de la solicitud no se tengan observaciones pendientes del OSFEM </w:t>
      </w:r>
      <w:r w:rsidRPr="00D94363">
        <w:rPr>
          <w:rFonts w:eastAsia="Palatino Linotype" w:cs="Palatino Linotype"/>
          <w:b/>
          <w:iCs/>
          <w:color w:val="000000"/>
          <w:szCs w:val="24"/>
        </w:rPr>
        <w:t>respecto el ejercicio fiscal 2024</w:t>
      </w:r>
      <w:r w:rsidRPr="00D94363">
        <w:rPr>
          <w:rFonts w:eastAsia="Palatino Linotype" w:cs="Palatino Linotype"/>
          <w:iCs/>
          <w:color w:val="000000"/>
          <w:szCs w:val="24"/>
        </w:rPr>
        <w:t xml:space="preserve"> bastara con que así lo haga del conocimiento del particular en los términos establecidos por el segundo párrafo del artículo 19 de la Ley de Transparencia Local. </w:t>
      </w:r>
    </w:p>
    <w:p w14:paraId="4B786215" w14:textId="77777777" w:rsidR="00725FF2" w:rsidRPr="00D94363" w:rsidRDefault="00725FF2" w:rsidP="00725FF2">
      <w:pPr>
        <w:ind w:left="708"/>
        <w:rPr>
          <w:rFonts w:eastAsia="Palatino Linotype" w:cs="Palatino Linotype"/>
          <w:iCs/>
          <w:color w:val="000000"/>
          <w:szCs w:val="24"/>
        </w:rPr>
      </w:pPr>
    </w:p>
    <w:p w14:paraId="0FDA0C41" w14:textId="77777777" w:rsidR="00725FF2" w:rsidRPr="00D94363" w:rsidRDefault="00725FF2" w:rsidP="00725FF2">
      <w:pPr>
        <w:rPr>
          <w:iCs/>
          <w:szCs w:val="24"/>
        </w:rPr>
      </w:pPr>
    </w:p>
    <w:p w14:paraId="6457A142" w14:textId="00D89508" w:rsidR="00725FF2" w:rsidRPr="00D94363" w:rsidRDefault="00725FF2" w:rsidP="00725FF2">
      <w:pPr>
        <w:rPr>
          <w:rFonts w:eastAsia="Palatino Linotype" w:cs="Palatino Linotype"/>
          <w:iCs/>
          <w:color w:val="000000"/>
          <w:szCs w:val="24"/>
        </w:rPr>
      </w:pPr>
      <w:r w:rsidRPr="00D94363">
        <w:rPr>
          <w:iCs/>
          <w:szCs w:val="24"/>
        </w:rPr>
        <w:t xml:space="preserve">De ser el caso que </w:t>
      </w:r>
      <w:r w:rsidRPr="00D94363">
        <w:rPr>
          <w:b/>
          <w:iCs/>
          <w:szCs w:val="24"/>
        </w:rPr>
        <w:t xml:space="preserve">a la fecha de la solicitud no se cuente con soporte documental que de cuenta del monto total respecto las observaciones pendientes del OSFEM </w:t>
      </w:r>
      <w:r w:rsidRPr="00D94363">
        <w:rPr>
          <w:rFonts w:eastAsia="Palatino Linotype" w:cs="Palatino Linotype"/>
          <w:b/>
          <w:iCs/>
          <w:color w:val="000000"/>
          <w:szCs w:val="24"/>
        </w:rPr>
        <w:t>respecto el ejercicio fiscal 2024</w:t>
      </w:r>
      <w:r w:rsidRPr="00D94363">
        <w:rPr>
          <w:rFonts w:eastAsia="Palatino Linotype" w:cs="Palatino Linotype"/>
          <w:iCs/>
          <w:color w:val="000000"/>
          <w:szCs w:val="24"/>
        </w:rPr>
        <w:t xml:space="preserve"> bastara con que así lo haga del conocimiento del particular en los términos establecidos por el segundo párrafo del artículo 19 de la Ley de Transparencia Local. </w:t>
      </w:r>
    </w:p>
    <w:p w14:paraId="2A16C0AC" w14:textId="77777777" w:rsidR="00725FF2" w:rsidRPr="00D94363" w:rsidRDefault="00725FF2" w:rsidP="00171171">
      <w:pPr>
        <w:rPr>
          <w:rFonts w:eastAsia="Palatino Linotype" w:cs="Palatino Linotype"/>
          <w:color w:val="000000"/>
          <w:szCs w:val="24"/>
        </w:rPr>
      </w:pPr>
    </w:p>
    <w:p w14:paraId="5452BFBA" w14:textId="77777777" w:rsidR="00491D29" w:rsidRPr="00D94363" w:rsidRDefault="00491D29" w:rsidP="00491D29">
      <w:pPr>
        <w:keepNext/>
        <w:keepLines/>
        <w:outlineLvl w:val="2"/>
        <w:rPr>
          <w:rFonts w:eastAsia="Palatino Linotype" w:cstheme="majorBidi"/>
          <w:b/>
          <w:i/>
          <w:u w:val="single"/>
        </w:rPr>
      </w:pPr>
      <w:r w:rsidRPr="00D94363">
        <w:rPr>
          <w:rFonts w:eastAsia="Palatino Linotype" w:cstheme="majorBidi"/>
          <w:b/>
          <w:i/>
          <w:u w:val="single"/>
        </w:rPr>
        <w:t>DE LA VERSIÓN PÚBLICA</w:t>
      </w:r>
    </w:p>
    <w:p w14:paraId="059212BF" w14:textId="77777777" w:rsidR="00491D29" w:rsidRPr="00D94363" w:rsidRDefault="00491D29" w:rsidP="00491D29">
      <w:pPr>
        <w:rPr>
          <w:rFonts w:cs="Arial"/>
        </w:rPr>
      </w:pPr>
      <w:r w:rsidRPr="00D94363">
        <w:rPr>
          <w:rFonts w:cs="Arial"/>
        </w:rPr>
        <w:t>A este respecto, los artículos 3, fracciones IX, XX, XXI y XLV; 51 y 52, de la Ley de Transparencia y Acceso a la Información Pública del Estado de México y Municipios establecen:</w:t>
      </w:r>
    </w:p>
    <w:p w14:paraId="4FE5EA80" w14:textId="77777777" w:rsidR="00491D29" w:rsidRPr="00D94363" w:rsidRDefault="00491D29" w:rsidP="00491D29">
      <w:pPr>
        <w:ind w:left="567" w:right="567"/>
        <w:rPr>
          <w:rFonts w:cs="Arial"/>
          <w:i/>
          <w:sz w:val="22"/>
        </w:rPr>
      </w:pPr>
      <w:r w:rsidRPr="00D94363">
        <w:rPr>
          <w:rFonts w:cs="Arial"/>
          <w:i/>
          <w:sz w:val="22"/>
        </w:rPr>
        <w:t>“</w:t>
      </w:r>
      <w:r w:rsidRPr="00D94363">
        <w:rPr>
          <w:rFonts w:cs="Arial"/>
          <w:b/>
          <w:i/>
          <w:sz w:val="22"/>
        </w:rPr>
        <w:t>Artículo 3.</w:t>
      </w:r>
      <w:r w:rsidRPr="00D94363">
        <w:rPr>
          <w:rFonts w:cs="Arial"/>
          <w:i/>
          <w:sz w:val="22"/>
        </w:rPr>
        <w:t xml:space="preserve"> Para los efectos de la presente Ley se entenderá por: </w:t>
      </w:r>
    </w:p>
    <w:p w14:paraId="4262046B" w14:textId="77777777" w:rsidR="00491D29" w:rsidRPr="00D94363" w:rsidRDefault="00491D29" w:rsidP="00491D29">
      <w:pPr>
        <w:ind w:left="567" w:right="567"/>
        <w:rPr>
          <w:rFonts w:cs="Arial"/>
          <w:i/>
          <w:sz w:val="22"/>
        </w:rPr>
      </w:pPr>
      <w:r w:rsidRPr="00D94363">
        <w:rPr>
          <w:rFonts w:cs="Arial"/>
          <w:i/>
          <w:sz w:val="22"/>
        </w:rPr>
        <w:t>…</w:t>
      </w:r>
    </w:p>
    <w:p w14:paraId="4550677E" w14:textId="77777777" w:rsidR="00491D29" w:rsidRPr="00D94363" w:rsidRDefault="00491D29" w:rsidP="00491D29">
      <w:pPr>
        <w:ind w:left="567" w:right="567"/>
        <w:rPr>
          <w:rFonts w:cs="Arial"/>
          <w:i/>
          <w:sz w:val="22"/>
        </w:rPr>
      </w:pPr>
      <w:r w:rsidRPr="00D94363">
        <w:rPr>
          <w:rFonts w:cs="Arial"/>
          <w:b/>
          <w:i/>
          <w:sz w:val="22"/>
        </w:rPr>
        <w:t>IX</w:t>
      </w:r>
      <w:r w:rsidRPr="00D94363">
        <w:rPr>
          <w:rFonts w:cs="Arial"/>
          <w:i/>
          <w:sz w:val="22"/>
        </w:rPr>
        <w:t xml:space="preserve">. </w:t>
      </w:r>
      <w:r w:rsidRPr="00D94363">
        <w:rPr>
          <w:rFonts w:cs="Arial"/>
          <w:b/>
          <w:i/>
          <w:sz w:val="22"/>
        </w:rPr>
        <w:t>Datos personales:</w:t>
      </w:r>
      <w:r w:rsidRPr="00D94363">
        <w:rPr>
          <w:rFonts w:cs="Arial"/>
          <w:i/>
          <w:sz w:val="22"/>
        </w:rPr>
        <w:t xml:space="preserve"> La información concerniente a una persona, identificada o identificable según lo dispuesto por la Ley de Protección de Datos Personales del Estado de México; </w:t>
      </w:r>
    </w:p>
    <w:p w14:paraId="389F38D2" w14:textId="77777777" w:rsidR="00491D29" w:rsidRPr="00D94363" w:rsidRDefault="00491D29" w:rsidP="00491D29">
      <w:pPr>
        <w:ind w:left="567" w:right="567"/>
        <w:rPr>
          <w:rFonts w:cs="Arial"/>
          <w:i/>
          <w:sz w:val="22"/>
        </w:rPr>
      </w:pPr>
      <w:r w:rsidRPr="00D94363">
        <w:rPr>
          <w:rFonts w:cs="Arial"/>
          <w:i/>
          <w:sz w:val="22"/>
        </w:rPr>
        <w:lastRenderedPageBreak/>
        <w:t>…</w:t>
      </w:r>
    </w:p>
    <w:p w14:paraId="4F53A748" w14:textId="77777777" w:rsidR="00491D29" w:rsidRPr="00D94363" w:rsidRDefault="00491D29" w:rsidP="00491D29">
      <w:pPr>
        <w:ind w:left="567" w:right="567"/>
        <w:rPr>
          <w:rFonts w:cs="Arial"/>
          <w:i/>
          <w:sz w:val="22"/>
        </w:rPr>
      </w:pPr>
      <w:r w:rsidRPr="00D94363">
        <w:rPr>
          <w:rFonts w:cs="Arial"/>
          <w:b/>
          <w:i/>
          <w:sz w:val="22"/>
        </w:rPr>
        <w:t>XX. Información clasificada:</w:t>
      </w:r>
      <w:r w:rsidRPr="00D94363">
        <w:rPr>
          <w:rFonts w:cs="Arial"/>
          <w:i/>
          <w:sz w:val="22"/>
        </w:rPr>
        <w:t xml:space="preserve"> Aquella considerada por la presente Ley como reservada o confidencial; </w:t>
      </w:r>
    </w:p>
    <w:p w14:paraId="57454A93" w14:textId="77777777" w:rsidR="00491D29" w:rsidRPr="00D94363" w:rsidRDefault="00491D29" w:rsidP="00491D29">
      <w:pPr>
        <w:ind w:left="567" w:right="567"/>
        <w:rPr>
          <w:rFonts w:cs="Arial"/>
          <w:i/>
          <w:sz w:val="22"/>
        </w:rPr>
      </w:pPr>
      <w:r w:rsidRPr="00D94363">
        <w:rPr>
          <w:rFonts w:cs="Arial"/>
          <w:i/>
          <w:sz w:val="22"/>
        </w:rPr>
        <w:t>….</w:t>
      </w:r>
    </w:p>
    <w:p w14:paraId="184AC5F1" w14:textId="77777777" w:rsidR="00491D29" w:rsidRPr="00D94363" w:rsidRDefault="00491D29" w:rsidP="00491D29">
      <w:pPr>
        <w:ind w:left="567" w:right="567"/>
        <w:rPr>
          <w:rFonts w:cs="Arial"/>
          <w:i/>
          <w:sz w:val="22"/>
        </w:rPr>
      </w:pPr>
      <w:r w:rsidRPr="00D94363">
        <w:rPr>
          <w:rFonts w:cs="Arial"/>
          <w:b/>
          <w:i/>
          <w:sz w:val="22"/>
        </w:rPr>
        <w:t>XXI. Información confidencial:</w:t>
      </w:r>
      <w:r w:rsidRPr="00D94363">
        <w:rPr>
          <w:rFonts w:cs="Arial"/>
          <w:i/>
          <w:sz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07986E8B" w14:textId="77777777" w:rsidR="00491D29" w:rsidRPr="00D94363" w:rsidRDefault="00491D29" w:rsidP="00491D29">
      <w:pPr>
        <w:ind w:left="567" w:right="567"/>
        <w:rPr>
          <w:rFonts w:cs="Arial"/>
          <w:i/>
          <w:sz w:val="22"/>
        </w:rPr>
      </w:pPr>
      <w:r w:rsidRPr="00D94363">
        <w:rPr>
          <w:rFonts w:cs="Arial"/>
          <w:b/>
          <w:i/>
          <w:sz w:val="22"/>
        </w:rPr>
        <w:t>XLV. Versión pública:</w:t>
      </w:r>
      <w:r w:rsidRPr="00D94363">
        <w:rPr>
          <w:rFonts w:cs="Arial"/>
          <w:i/>
          <w:sz w:val="22"/>
        </w:rPr>
        <w:t xml:space="preserve"> Documento en el que se elimine, suprime o borra la información clasificada como reservada o confidencial para permitir su acceso. </w:t>
      </w:r>
    </w:p>
    <w:p w14:paraId="7DD5829D" w14:textId="77777777" w:rsidR="00491D29" w:rsidRPr="00D94363" w:rsidRDefault="00491D29" w:rsidP="00491D29">
      <w:pPr>
        <w:ind w:left="567" w:right="567"/>
        <w:rPr>
          <w:rFonts w:cs="Arial"/>
          <w:i/>
          <w:sz w:val="22"/>
        </w:rPr>
      </w:pPr>
    </w:p>
    <w:p w14:paraId="0300C31D" w14:textId="77777777" w:rsidR="00491D29" w:rsidRPr="00D94363" w:rsidRDefault="00491D29" w:rsidP="00491D29">
      <w:pPr>
        <w:ind w:left="567" w:right="567"/>
        <w:rPr>
          <w:rFonts w:cs="Arial"/>
          <w:i/>
          <w:sz w:val="22"/>
        </w:rPr>
      </w:pPr>
      <w:r w:rsidRPr="00D94363">
        <w:rPr>
          <w:rFonts w:cs="Arial"/>
          <w:b/>
          <w:i/>
          <w:sz w:val="22"/>
        </w:rPr>
        <w:t xml:space="preserve">Artículo 51. </w:t>
      </w:r>
      <w:r w:rsidRPr="00D94363">
        <w:rPr>
          <w:rFonts w:cs="Arial"/>
          <w:i/>
          <w:sz w:val="22"/>
        </w:rPr>
        <w:t xml:space="preserve">Los sujetos obligados designaran a un responsable para atender la Unidad de Transparencia, quien fungirá como enlace entre éstos y los solicitantes. Dicha Unidad será la encargada de tramitar internamente la solicitud de información </w:t>
      </w:r>
      <w:r w:rsidRPr="00D94363">
        <w:rPr>
          <w:rFonts w:cs="Arial"/>
          <w:b/>
          <w:i/>
          <w:sz w:val="22"/>
        </w:rPr>
        <w:t>y tendrá la responsabilidad de verificar en cada caso que la misma no sea confidencial o reservada</w:t>
      </w:r>
      <w:r w:rsidRPr="00D94363">
        <w:rPr>
          <w:rFonts w:cs="Arial"/>
          <w:i/>
          <w:sz w:val="22"/>
        </w:rPr>
        <w:t xml:space="preserve">. Dicha Unidad contará con las facultades internas necesarias para gestionar la atención a las solicitudes de información en los términos de la Ley General y la presente Ley. </w:t>
      </w:r>
    </w:p>
    <w:p w14:paraId="4F49EF99" w14:textId="77777777" w:rsidR="00491D29" w:rsidRPr="00D94363" w:rsidRDefault="00491D29" w:rsidP="00491D29">
      <w:pPr>
        <w:ind w:left="567" w:right="567"/>
        <w:rPr>
          <w:rFonts w:cs="Arial"/>
          <w:i/>
          <w:sz w:val="22"/>
        </w:rPr>
      </w:pPr>
    </w:p>
    <w:p w14:paraId="6279A609" w14:textId="77777777" w:rsidR="00491D29" w:rsidRPr="00D94363" w:rsidRDefault="00491D29" w:rsidP="00491D29">
      <w:pPr>
        <w:ind w:left="567" w:right="567"/>
        <w:rPr>
          <w:rFonts w:cs="Arial"/>
          <w:i/>
          <w:sz w:val="22"/>
        </w:rPr>
      </w:pPr>
      <w:r w:rsidRPr="00D94363">
        <w:rPr>
          <w:rFonts w:cs="Arial"/>
          <w:b/>
          <w:i/>
          <w:sz w:val="22"/>
        </w:rPr>
        <w:t>Artículo 52.</w:t>
      </w:r>
      <w:r w:rsidRPr="00D94363">
        <w:rPr>
          <w:rFonts w:cs="Arial"/>
          <w:i/>
          <w:sz w:val="22"/>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6FE395DC" w14:textId="77777777" w:rsidR="00491D29" w:rsidRPr="00D94363" w:rsidRDefault="00491D29" w:rsidP="00491D29">
      <w:pPr>
        <w:rPr>
          <w:rFonts w:cs="Arial"/>
        </w:rPr>
      </w:pPr>
    </w:p>
    <w:p w14:paraId="08F91D06" w14:textId="77777777" w:rsidR="00491D29" w:rsidRPr="00D94363" w:rsidRDefault="00491D29" w:rsidP="00491D29">
      <w:pPr>
        <w:rPr>
          <w:rFonts w:cs="Arial"/>
        </w:rPr>
      </w:pPr>
      <w:r w:rsidRPr="00D94363">
        <w:rPr>
          <w:rFonts w:cs="Arial"/>
        </w:rPr>
        <w:lastRenderedPageBreak/>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57DB2BA5" w14:textId="77777777" w:rsidR="00491D29" w:rsidRPr="00D94363" w:rsidRDefault="00491D29" w:rsidP="00491D29">
      <w:pPr>
        <w:ind w:left="567" w:right="567"/>
        <w:rPr>
          <w:rFonts w:cs="Arial"/>
          <w:i/>
          <w:sz w:val="22"/>
        </w:rPr>
      </w:pPr>
      <w:r w:rsidRPr="00D94363">
        <w:rPr>
          <w:rFonts w:cs="Arial"/>
          <w:i/>
          <w:sz w:val="22"/>
        </w:rPr>
        <w:t>“</w:t>
      </w:r>
      <w:r w:rsidRPr="00D94363">
        <w:rPr>
          <w:rFonts w:cs="Arial"/>
          <w:b/>
          <w:i/>
          <w:sz w:val="22"/>
        </w:rPr>
        <w:t>Artículo 22.</w:t>
      </w:r>
      <w:r w:rsidRPr="00D94363">
        <w:rPr>
          <w:rFonts w:cs="Arial"/>
          <w:i/>
          <w:sz w:val="22"/>
        </w:rPr>
        <w:t xml:space="preserve"> Todo tratamiento de datos personales que efectúe el responsable deberá estar justificado por finalidades concretas, lícitas, explícitas y legítimas, relacionadas con las atribuciones que la normatividad aplicable les confiera.</w:t>
      </w:r>
    </w:p>
    <w:p w14:paraId="0E264930" w14:textId="77777777" w:rsidR="00491D29" w:rsidRPr="00D94363" w:rsidRDefault="00491D29" w:rsidP="00491D29">
      <w:pPr>
        <w:ind w:left="567" w:right="567"/>
        <w:rPr>
          <w:rFonts w:cs="Arial"/>
          <w:i/>
          <w:sz w:val="22"/>
        </w:rPr>
      </w:pPr>
      <w:r w:rsidRPr="00D94363">
        <w:rPr>
          <w:rFonts w:cs="Arial"/>
          <w:i/>
          <w:sz w:val="22"/>
        </w:rPr>
        <w:t>El responsable podrá tratar datos personales para finalidades distintas a aquéllas establecidas en el aviso de privacidad, en los casos siguientes:</w:t>
      </w:r>
    </w:p>
    <w:p w14:paraId="6DD26DA8" w14:textId="77777777" w:rsidR="00491D29" w:rsidRPr="00D94363" w:rsidRDefault="00491D29" w:rsidP="00491D29">
      <w:pPr>
        <w:ind w:left="567" w:right="567"/>
        <w:rPr>
          <w:rFonts w:cs="Arial"/>
          <w:i/>
          <w:sz w:val="22"/>
        </w:rPr>
      </w:pPr>
      <w:r w:rsidRPr="00D94363">
        <w:rPr>
          <w:rFonts w:cs="Arial"/>
          <w:i/>
          <w:sz w:val="22"/>
        </w:rPr>
        <w:t>I. Cuente con atribuciones conferidas en ley y medie el consentimiento del titular.</w:t>
      </w:r>
    </w:p>
    <w:p w14:paraId="3CC5C137" w14:textId="77777777" w:rsidR="00491D29" w:rsidRPr="00D94363" w:rsidRDefault="00491D29" w:rsidP="00491D29">
      <w:pPr>
        <w:ind w:left="567" w:right="567"/>
        <w:rPr>
          <w:rFonts w:cs="Arial"/>
          <w:i/>
          <w:sz w:val="22"/>
        </w:rPr>
      </w:pPr>
      <w:r w:rsidRPr="00D94363">
        <w:rPr>
          <w:rFonts w:cs="Arial"/>
          <w:i/>
          <w:sz w:val="22"/>
        </w:rPr>
        <w:t>II. Se trate de una persona reportada como desaparecida, en los términos previstos en la presente Ley y demás disposiciones legales aplicables</w:t>
      </w:r>
    </w:p>
    <w:p w14:paraId="09922623" w14:textId="77777777" w:rsidR="00491D29" w:rsidRPr="00D94363" w:rsidRDefault="00491D29" w:rsidP="00491D29">
      <w:pPr>
        <w:ind w:left="567" w:right="567"/>
        <w:rPr>
          <w:rFonts w:cs="Arial"/>
          <w:i/>
          <w:sz w:val="22"/>
        </w:rPr>
      </w:pPr>
      <w:r w:rsidRPr="00D94363">
        <w:rPr>
          <w:rFonts w:cs="Arial"/>
          <w:i/>
          <w:sz w:val="22"/>
        </w:rPr>
        <w:t>...</w:t>
      </w:r>
    </w:p>
    <w:p w14:paraId="46CDC74F" w14:textId="77777777" w:rsidR="00491D29" w:rsidRPr="00D94363" w:rsidRDefault="00491D29" w:rsidP="00491D29">
      <w:pPr>
        <w:ind w:left="567" w:right="567"/>
        <w:rPr>
          <w:rFonts w:cs="Arial"/>
          <w:i/>
          <w:sz w:val="22"/>
        </w:rPr>
      </w:pPr>
      <w:r w:rsidRPr="00D94363">
        <w:rPr>
          <w:rFonts w:cs="Arial"/>
          <w:b/>
          <w:i/>
          <w:sz w:val="22"/>
        </w:rPr>
        <w:t>Artículo 38.</w:t>
      </w:r>
      <w:r w:rsidRPr="00D94363">
        <w:rPr>
          <w:rFonts w:cs="Arial"/>
          <w:i/>
          <w:sz w:val="22"/>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14:paraId="5F63FD2F" w14:textId="77777777" w:rsidR="00491D29" w:rsidRPr="00D94363" w:rsidRDefault="00491D29" w:rsidP="00491D29">
      <w:pPr>
        <w:ind w:left="567" w:right="567"/>
        <w:rPr>
          <w:rFonts w:cs="Arial"/>
          <w:i/>
        </w:rPr>
      </w:pPr>
    </w:p>
    <w:p w14:paraId="19F4EBF6" w14:textId="77777777" w:rsidR="00491D29" w:rsidRPr="00D94363" w:rsidRDefault="00491D29" w:rsidP="00491D29">
      <w:pPr>
        <w:rPr>
          <w:rFonts w:cs="Arial"/>
        </w:rPr>
      </w:pPr>
      <w:r w:rsidRPr="00D94363">
        <w:rPr>
          <w:rFonts w:cs="Arial"/>
        </w:rPr>
        <w:lastRenderedPageBreak/>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640D07D1" w14:textId="77777777" w:rsidR="00491D29" w:rsidRPr="00D94363" w:rsidRDefault="00491D29" w:rsidP="00491D29">
      <w:pPr>
        <w:rPr>
          <w:rFonts w:cs="Arial"/>
        </w:rPr>
      </w:pPr>
    </w:p>
    <w:p w14:paraId="62F1D9C1" w14:textId="77777777" w:rsidR="00491D29" w:rsidRPr="00D94363" w:rsidRDefault="00491D29" w:rsidP="00491D29">
      <w:pPr>
        <w:rPr>
          <w:rFonts w:cs="Arial"/>
        </w:rPr>
      </w:pPr>
      <w:r w:rsidRPr="00D94363">
        <w:rPr>
          <w:rFonts w:cs="Arial"/>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D94363">
        <w:rPr>
          <w:rFonts w:cs="Arial"/>
          <w:b/>
        </w:rPr>
        <w:t>Lineamientos Generales en Materia de Clasificación y Desclasificación de la Información, así como para la Elaboración de Versiones Públicas</w:t>
      </w:r>
      <w:r w:rsidRPr="00D94363">
        <w:rPr>
          <w:rFonts w:cs="Arial"/>
        </w:rPr>
        <w:t>, publicados en el Diario Oficial de la Federación en fecha quince de abril del año dos mil dieciséis, mediante Acuerdo del Consejo Nacional del Sistema Nacional de Transparencia, Acceso a la Información Pública y Protección de Datos Personales.</w:t>
      </w:r>
    </w:p>
    <w:p w14:paraId="733BB27A" w14:textId="77777777" w:rsidR="00491D29" w:rsidRPr="00D94363" w:rsidRDefault="00491D29" w:rsidP="00491D29">
      <w:pPr>
        <w:rPr>
          <w:rFonts w:cs="Arial"/>
        </w:rPr>
      </w:pPr>
    </w:p>
    <w:p w14:paraId="543AEBB4" w14:textId="77777777" w:rsidR="00491D29" w:rsidRPr="00D94363" w:rsidRDefault="00491D29" w:rsidP="00491D29">
      <w:pPr>
        <w:rPr>
          <w:rFonts w:cs="Arial"/>
        </w:rPr>
      </w:pPr>
      <w:r w:rsidRPr="00D94363">
        <w:rPr>
          <w:rFonts w:cs="Arial"/>
        </w:rPr>
        <w:t xml:space="preserve">Lo anterior es así, puesto que ha de destacarse que el artículo 91, de la Ley de la Materia, dispone que el acceso a la información pública será restringido excepcionalmente, cuando ésta sea clasificada como reservada o confidencial.  Así, es que el Sujeto Obligado deberá cumplir con todos y cada uno de los requisitos señalados en la Ley de Protección de Datos Personales en Posesión de Sujetos Obligados del Estado de México y Municipios, en la </w:t>
      </w:r>
      <w:r w:rsidRPr="00D94363">
        <w:rPr>
          <w:rFonts w:cs="Arial"/>
        </w:rPr>
        <w:lastRenderedPageBreak/>
        <w:t>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73713C1E" w14:textId="77777777" w:rsidR="00491D29" w:rsidRPr="00D94363" w:rsidRDefault="00491D29" w:rsidP="00491D29">
      <w:pPr>
        <w:rPr>
          <w:rFonts w:cs="Arial"/>
        </w:rPr>
      </w:pPr>
    </w:p>
    <w:p w14:paraId="5A1C4208" w14:textId="77777777" w:rsidR="00491D29" w:rsidRPr="00D94363" w:rsidRDefault="00491D29" w:rsidP="00491D29">
      <w:pPr>
        <w:rPr>
          <w:rFonts w:cs="Arial"/>
        </w:rPr>
      </w:pPr>
      <w:r w:rsidRPr="00D94363">
        <w:rPr>
          <w:rFonts w:cs="Arial"/>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091E25EB" w14:textId="77777777" w:rsidR="00491D29" w:rsidRPr="00D94363" w:rsidRDefault="00491D29" w:rsidP="00491D29">
      <w:pPr>
        <w:ind w:left="567" w:right="567"/>
        <w:rPr>
          <w:rFonts w:cs="Arial"/>
          <w:i/>
          <w:sz w:val="22"/>
        </w:rPr>
      </w:pPr>
      <w:r w:rsidRPr="00D94363">
        <w:rPr>
          <w:rFonts w:cs="Arial"/>
          <w:i/>
          <w:sz w:val="22"/>
        </w:rPr>
        <w:t>“</w:t>
      </w:r>
      <w:r w:rsidRPr="00D94363">
        <w:rPr>
          <w:rFonts w:cs="Arial"/>
          <w:b/>
          <w:i/>
          <w:sz w:val="22"/>
        </w:rPr>
        <w:t>Artículo 49.</w:t>
      </w:r>
      <w:r w:rsidRPr="00D94363">
        <w:rPr>
          <w:rFonts w:cs="Arial"/>
          <w:i/>
          <w:sz w:val="22"/>
        </w:rPr>
        <w:t xml:space="preserve"> Los Comités de Transparencia tendrán las siguientes atribuciones:</w:t>
      </w:r>
    </w:p>
    <w:p w14:paraId="64A16942" w14:textId="77777777" w:rsidR="00491D29" w:rsidRPr="00D94363" w:rsidRDefault="00491D29" w:rsidP="00491D29">
      <w:pPr>
        <w:ind w:left="567" w:right="567"/>
        <w:rPr>
          <w:rFonts w:cs="Arial"/>
          <w:i/>
          <w:sz w:val="22"/>
        </w:rPr>
      </w:pPr>
      <w:r w:rsidRPr="00D94363">
        <w:rPr>
          <w:rFonts w:cs="Arial"/>
          <w:i/>
          <w:sz w:val="22"/>
        </w:rPr>
        <w:t>…</w:t>
      </w:r>
    </w:p>
    <w:p w14:paraId="1F4FEE5B" w14:textId="77777777" w:rsidR="00491D29" w:rsidRPr="00D94363" w:rsidRDefault="00491D29" w:rsidP="00491D29">
      <w:pPr>
        <w:ind w:left="567" w:right="567"/>
        <w:rPr>
          <w:rFonts w:cs="Arial"/>
          <w:i/>
          <w:sz w:val="22"/>
        </w:rPr>
      </w:pPr>
      <w:r w:rsidRPr="00D94363">
        <w:rPr>
          <w:rFonts w:cs="Arial"/>
          <w:b/>
          <w:i/>
          <w:sz w:val="22"/>
        </w:rPr>
        <w:t>VIII</w:t>
      </w:r>
      <w:r w:rsidRPr="00D94363">
        <w:rPr>
          <w:rFonts w:cs="Arial"/>
          <w:i/>
          <w:sz w:val="22"/>
        </w:rPr>
        <w:t>. Aprobar, modificar o revocar la clasificación de la información;</w:t>
      </w:r>
    </w:p>
    <w:p w14:paraId="5877E9AE" w14:textId="77777777" w:rsidR="00491D29" w:rsidRPr="00D94363" w:rsidRDefault="00491D29" w:rsidP="00491D29">
      <w:pPr>
        <w:ind w:left="567" w:right="567"/>
        <w:rPr>
          <w:rFonts w:cs="Arial"/>
          <w:i/>
          <w:sz w:val="22"/>
        </w:rPr>
      </w:pPr>
      <w:r w:rsidRPr="00D94363">
        <w:rPr>
          <w:rFonts w:cs="Arial"/>
          <w:b/>
          <w:i/>
          <w:sz w:val="22"/>
        </w:rPr>
        <w:t>Artículo 132.</w:t>
      </w:r>
      <w:r w:rsidRPr="00D94363">
        <w:rPr>
          <w:rFonts w:cs="Arial"/>
          <w:i/>
          <w:sz w:val="22"/>
        </w:rPr>
        <w:t xml:space="preserve"> La clasificación de la información se llevará a cabo en el momento en que:</w:t>
      </w:r>
    </w:p>
    <w:p w14:paraId="0B4CA323" w14:textId="77777777" w:rsidR="00491D29" w:rsidRPr="00D94363" w:rsidRDefault="00491D29" w:rsidP="00491D29">
      <w:pPr>
        <w:ind w:left="567" w:right="567"/>
        <w:rPr>
          <w:rFonts w:cs="Arial"/>
          <w:i/>
          <w:sz w:val="22"/>
        </w:rPr>
      </w:pPr>
      <w:r w:rsidRPr="00D94363">
        <w:rPr>
          <w:rFonts w:cs="Arial"/>
          <w:i/>
          <w:sz w:val="22"/>
        </w:rPr>
        <w:t>I. Se reciba una solicitud de acceso a la información;</w:t>
      </w:r>
    </w:p>
    <w:p w14:paraId="161B30E9" w14:textId="77777777" w:rsidR="00491D29" w:rsidRPr="00D94363" w:rsidRDefault="00491D29" w:rsidP="00491D29">
      <w:pPr>
        <w:ind w:left="567" w:right="567"/>
        <w:rPr>
          <w:rFonts w:cs="Arial"/>
          <w:i/>
          <w:sz w:val="22"/>
        </w:rPr>
      </w:pPr>
      <w:r w:rsidRPr="00D94363">
        <w:rPr>
          <w:rFonts w:cs="Arial"/>
          <w:i/>
          <w:sz w:val="22"/>
        </w:rPr>
        <w:t>II. Se determine mediante resolución de autoridad competente; o</w:t>
      </w:r>
    </w:p>
    <w:p w14:paraId="2C302127" w14:textId="77777777" w:rsidR="00491D29" w:rsidRPr="00D94363" w:rsidRDefault="00491D29" w:rsidP="00491D29">
      <w:pPr>
        <w:ind w:left="567" w:right="567"/>
        <w:rPr>
          <w:rFonts w:cs="Arial"/>
          <w:i/>
          <w:sz w:val="22"/>
        </w:rPr>
      </w:pPr>
      <w:r w:rsidRPr="00D94363">
        <w:rPr>
          <w:rFonts w:cs="Arial"/>
          <w:i/>
          <w:sz w:val="22"/>
        </w:rPr>
        <w:t>III. Se generen versiones públicas para dar cumplimiento a las obligaciones de transparencia previstas en esta Ley.”</w:t>
      </w:r>
    </w:p>
    <w:p w14:paraId="4D74AC16" w14:textId="77777777" w:rsidR="00491D29" w:rsidRPr="00D94363" w:rsidRDefault="00491D29" w:rsidP="00491D29">
      <w:pPr>
        <w:ind w:left="567" w:right="567"/>
        <w:rPr>
          <w:rFonts w:cs="Arial"/>
          <w:i/>
          <w:sz w:val="22"/>
        </w:rPr>
      </w:pPr>
      <w:r w:rsidRPr="00D94363">
        <w:rPr>
          <w:rFonts w:cs="Arial"/>
          <w:i/>
          <w:sz w:val="22"/>
        </w:rPr>
        <w:t>“</w:t>
      </w:r>
      <w:r w:rsidRPr="00D94363">
        <w:rPr>
          <w:rFonts w:cs="Arial"/>
          <w:b/>
          <w:i/>
          <w:sz w:val="22"/>
        </w:rPr>
        <w:t>Segundo</w:t>
      </w:r>
      <w:r w:rsidRPr="00D94363">
        <w:rPr>
          <w:rFonts w:cs="Arial"/>
          <w:i/>
          <w:sz w:val="22"/>
        </w:rPr>
        <w:t>.- Para efectos de los presentes Lineamientos Generales, se entenderá por:</w:t>
      </w:r>
    </w:p>
    <w:p w14:paraId="0FFA9672" w14:textId="77777777" w:rsidR="00491D29" w:rsidRPr="00D94363" w:rsidRDefault="00491D29" w:rsidP="00491D29">
      <w:pPr>
        <w:ind w:left="567" w:right="567"/>
        <w:rPr>
          <w:rFonts w:cs="Arial"/>
          <w:i/>
          <w:sz w:val="22"/>
        </w:rPr>
      </w:pPr>
      <w:r w:rsidRPr="00D94363">
        <w:rPr>
          <w:rFonts w:cs="Arial"/>
          <w:i/>
          <w:sz w:val="22"/>
        </w:rPr>
        <w:t>…</w:t>
      </w:r>
    </w:p>
    <w:p w14:paraId="1B6A4DB6" w14:textId="77777777" w:rsidR="00491D29" w:rsidRPr="00D94363" w:rsidRDefault="00491D29" w:rsidP="00491D29">
      <w:pPr>
        <w:ind w:left="567" w:right="567"/>
        <w:rPr>
          <w:rFonts w:cs="Arial"/>
          <w:i/>
          <w:sz w:val="22"/>
        </w:rPr>
      </w:pPr>
      <w:r w:rsidRPr="00D94363">
        <w:rPr>
          <w:rFonts w:cs="Arial"/>
          <w:b/>
          <w:i/>
          <w:sz w:val="22"/>
        </w:rPr>
        <w:lastRenderedPageBreak/>
        <w:t>XVIII</w:t>
      </w:r>
      <w:r w:rsidRPr="00D94363">
        <w:rPr>
          <w:rFonts w:cs="Arial"/>
          <w:i/>
          <w:sz w:val="22"/>
        </w:rPr>
        <w:t>.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5833FEBB" w14:textId="77777777" w:rsidR="00491D29" w:rsidRPr="00D94363" w:rsidRDefault="00491D29" w:rsidP="00491D29">
      <w:pPr>
        <w:ind w:left="567" w:right="567"/>
        <w:rPr>
          <w:rFonts w:cs="Arial"/>
          <w:i/>
          <w:sz w:val="22"/>
        </w:rPr>
      </w:pPr>
      <w:r w:rsidRPr="00D94363">
        <w:rPr>
          <w:rFonts w:cs="Arial"/>
          <w:b/>
          <w:i/>
          <w:sz w:val="22"/>
        </w:rPr>
        <w:t>Cuarto</w:t>
      </w:r>
      <w:r w:rsidRPr="00D94363">
        <w:rPr>
          <w:rFonts w:cs="Arial"/>
          <w:i/>
          <w:sz w:val="22"/>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5DC02DF0" w14:textId="77777777" w:rsidR="00491D29" w:rsidRPr="00D94363" w:rsidRDefault="00491D29" w:rsidP="00491D29">
      <w:pPr>
        <w:ind w:left="567" w:right="567"/>
        <w:rPr>
          <w:rFonts w:cs="Arial"/>
          <w:i/>
          <w:sz w:val="22"/>
        </w:rPr>
      </w:pPr>
      <w:r w:rsidRPr="00D94363">
        <w:rPr>
          <w:rFonts w:cs="Arial"/>
          <w:i/>
          <w:sz w:val="22"/>
        </w:rPr>
        <w:t>Los Sujetos Obligados deberán aplicar, de manera estricta, las excepciones al derecho de acceso a la información y sólo podrán invocarlas cuando acrediten su procedencia.</w:t>
      </w:r>
    </w:p>
    <w:p w14:paraId="30AF4082" w14:textId="77777777" w:rsidR="00491D29" w:rsidRPr="00D94363" w:rsidRDefault="00491D29" w:rsidP="00491D29">
      <w:pPr>
        <w:ind w:left="567" w:right="567"/>
        <w:rPr>
          <w:rFonts w:cs="Arial"/>
          <w:i/>
          <w:sz w:val="22"/>
        </w:rPr>
      </w:pPr>
    </w:p>
    <w:p w14:paraId="4E4A796B" w14:textId="77777777" w:rsidR="00491D29" w:rsidRPr="00D94363" w:rsidRDefault="00491D29" w:rsidP="00491D29">
      <w:pPr>
        <w:ind w:left="567" w:right="567"/>
        <w:rPr>
          <w:rFonts w:cs="Arial"/>
          <w:i/>
          <w:sz w:val="22"/>
        </w:rPr>
      </w:pPr>
      <w:r w:rsidRPr="00D94363">
        <w:rPr>
          <w:rFonts w:cs="Arial"/>
          <w:b/>
          <w:i/>
          <w:sz w:val="22"/>
        </w:rPr>
        <w:t>Quinto</w:t>
      </w:r>
      <w:r w:rsidRPr="00D94363">
        <w:rPr>
          <w:rFonts w:cs="Arial"/>
          <w:i/>
          <w:sz w:val="22"/>
        </w:rPr>
        <w:t>.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A20CE92" w14:textId="77777777" w:rsidR="00491D29" w:rsidRPr="00D94363" w:rsidRDefault="00491D29" w:rsidP="00491D29">
      <w:pPr>
        <w:ind w:left="567" w:right="567"/>
        <w:rPr>
          <w:rFonts w:cs="Arial"/>
          <w:i/>
          <w:sz w:val="22"/>
        </w:rPr>
      </w:pPr>
      <w:r w:rsidRPr="00D94363">
        <w:rPr>
          <w:rFonts w:cs="Arial"/>
          <w:b/>
          <w:i/>
          <w:sz w:val="22"/>
        </w:rPr>
        <w:t>Sexto</w:t>
      </w:r>
      <w:r w:rsidRPr="00D94363">
        <w:rPr>
          <w:rFonts w:cs="Arial"/>
          <w:i/>
          <w:sz w:val="22"/>
        </w:rPr>
        <w:t>. Los Sujetos Obligados no podrán emitir acuerdos de carácter general ni particular que clasifiquen documentos o expedientes como reservados, ni clasificar documentos antes de que se genere la información o cuando éstos no obren en sus archivos.</w:t>
      </w:r>
    </w:p>
    <w:p w14:paraId="77A18290" w14:textId="77777777" w:rsidR="00491D29" w:rsidRPr="00D94363" w:rsidRDefault="00491D29" w:rsidP="00491D29">
      <w:pPr>
        <w:ind w:left="567" w:right="567"/>
        <w:rPr>
          <w:rFonts w:cs="Arial"/>
          <w:i/>
          <w:sz w:val="22"/>
        </w:rPr>
      </w:pPr>
      <w:r w:rsidRPr="00D94363">
        <w:rPr>
          <w:rFonts w:cs="Arial"/>
          <w:i/>
          <w:sz w:val="22"/>
        </w:rPr>
        <w:t>La clasificación de información se realizará conforme a un análisis caso por caso, mediante la aplicación de la prueba de daño y de interés público.</w:t>
      </w:r>
    </w:p>
    <w:p w14:paraId="0A1AD21D" w14:textId="77777777" w:rsidR="00491D29" w:rsidRPr="00D94363" w:rsidRDefault="00491D29" w:rsidP="00491D29">
      <w:pPr>
        <w:ind w:left="567" w:right="567"/>
        <w:rPr>
          <w:rFonts w:cs="Arial"/>
          <w:i/>
          <w:sz w:val="22"/>
        </w:rPr>
      </w:pPr>
      <w:r w:rsidRPr="00D94363">
        <w:rPr>
          <w:rFonts w:cs="Arial"/>
          <w:b/>
          <w:i/>
          <w:sz w:val="22"/>
        </w:rPr>
        <w:t>Séptimo</w:t>
      </w:r>
      <w:r w:rsidRPr="00D94363">
        <w:rPr>
          <w:rFonts w:cs="Arial"/>
          <w:i/>
          <w:sz w:val="22"/>
        </w:rPr>
        <w:t>. La clasificación de la información se llevará a cabo en el momento en que:</w:t>
      </w:r>
    </w:p>
    <w:p w14:paraId="41FB697E" w14:textId="77777777" w:rsidR="00491D29" w:rsidRPr="00D94363" w:rsidRDefault="00491D29" w:rsidP="00491D29">
      <w:pPr>
        <w:ind w:left="567" w:right="567"/>
        <w:rPr>
          <w:rFonts w:cs="Arial"/>
          <w:i/>
          <w:sz w:val="22"/>
        </w:rPr>
      </w:pPr>
      <w:r w:rsidRPr="00D94363">
        <w:rPr>
          <w:rFonts w:cs="Arial"/>
          <w:b/>
          <w:i/>
          <w:sz w:val="22"/>
        </w:rPr>
        <w:t>I.</w:t>
      </w:r>
      <w:r w:rsidRPr="00D94363">
        <w:rPr>
          <w:rFonts w:cs="Arial"/>
          <w:i/>
          <w:sz w:val="22"/>
        </w:rPr>
        <w:t xml:space="preserve"> Se reciba una solicitud de acceso a la información;</w:t>
      </w:r>
    </w:p>
    <w:p w14:paraId="650AE123" w14:textId="77777777" w:rsidR="00491D29" w:rsidRPr="00D94363" w:rsidRDefault="00491D29" w:rsidP="00491D29">
      <w:pPr>
        <w:ind w:left="567" w:right="567"/>
        <w:rPr>
          <w:rFonts w:cs="Arial"/>
          <w:i/>
          <w:sz w:val="22"/>
        </w:rPr>
      </w:pPr>
      <w:r w:rsidRPr="00D94363">
        <w:rPr>
          <w:rFonts w:cs="Arial"/>
          <w:b/>
          <w:i/>
          <w:sz w:val="22"/>
        </w:rPr>
        <w:lastRenderedPageBreak/>
        <w:t>II</w:t>
      </w:r>
      <w:r w:rsidRPr="00D94363">
        <w:rPr>
          <w:rFonts w:cs="Arial"/>
          <w:i/>
          <w:sz w:val="22"/>
        </w:rPr>
        <w:t>. Se determine mediante resolución de autoridad competente, o</w:t>
      </w:r>
    </w:p>
    <w:p w14:paraId="6D6BD7CD" w14:textId="77777777" w:rsidR="00491D29" w:rsidRPr="00D94363" w:rsidRDefault="00491D29" w:rsidP="00491D29">
      <w:pPr>
        <w:ind w:left="567" w:right="567"/>
        <w:rPr>
          <w:rFonts w:cs="Arial"/>
          <w:i/>
          <w:sz w:val="22"/>
        </w:rPr>
      </w:pPr>
      <w:r w:rsidRPr="00D94363">
        <w:rPr>
          <w:rFonts w:cs="Arial"/>
          <w:b/>
          <w:i/>
          <w:sz w:val="22"/>
        </w:rPr>
        <w:t>III</w:t>
      </w:r>
      <w:r w:rsidRPr="00D94363">
        <w:rPr>
          <w:rFonts w:cs="Arial"/>
          <w:i/>
          <w:sz w:val="22"/>
        </w:rPr>
        <w:t>. Se generen versiones públicas para dar cumplimiento a las obligaciones de transparencia previstas en la Ley General, la Ley Federal y las correspondientes de las entidades federativas.</w:t>
      </w:r>
    </w:p>
    <w:p w14:paraId="5D42B660" w14:textId="77777777" w:rsidR="00491D29" w:rsidRPr="00D94363" w:rsidRDefault="00491D29" w:rsidP="00491D29">
      <w:pPr>
        <w:ind w:left="567" w:right="567"/>
        <w:rPr>
          <w:rFonts w:cs="Arial"/>
          <w:i/>
          <w:sz w:val="22"/>
        </w:rPr>
      </w:pPr>
      <w:r w:rsidRPr="00D94363">
        <w:rPr>
          <w:rFonts w:cs="Arial"/>
          <w:i/>
          <w:sz w:val="22"/>
        </w:rPr>
        <w:t>Los titulares de las áreas deberán revisar la clasificación al momento de la recepción de una solicitud de acceso a la información, para verificar si encuadra en una causal de reserva o de confidencialidad.</w:t>
      </w:r>
    </w:p>
    <w:p w14:paraId="635B7816" w14:textId="77777777" w:rsidR="00491D29" w:rsidRPr="00D94363" w:rsidRDefault="00491D29" w:rsidP="00491D29">
      <w:pPr>
        <w:ind w:left="567" w:right="567"/>
        <w:rPr>
          <w:rFonts w:cs="Arial"/>
          <w:i/>
          <w:sz w:val="22"/>
        </w:rPr>
      </w:pPr>
      <w:r w:rsidRPr="00D94363">
        <w:rPr>
          <w:rFonts w:cs="Arial"/>
          <w:b/>
          <w:i/>
          <w:sz w:val="22"/>
        </w:rPr>
        <w:t>Octavo</w:t>
      </w:r>
      <w:r w:rsidRPr="00D94363">
        <w:rPr>
          <w:rFonts w:cs="Arial"/>
          <w:i/>
          <w:sz w:val="22"/>
        </w:rPr>
        <w:t>. Para fundar la clasificación de la información se debe señalar el artículo, fracción, inciso, párrafo o numeral de la ley o tratado internacional suscrito por el Estado mexicano que expresamente le otorga el carácter de reservada o confidencial.</w:t>
      </w:r>
    </w:p>
    <w:p w14:paraId="471ABD75" w14:textId="77777777" w:rsidR="00491D29" w:rsidRPr="00D94363" w:rsidRDefault="00491D29" w:rsidP="00491D29">
      <w:pPr>
        <w:ind w:left="567" w:right="567"/>
        <w:rPr>
          <w:rFonts w:cs="Arial"/>
          <w:i/>
          <w:sz w:val="22"/>
        </w:rPr>
      </w:pPr>
      <w:r w:rsidRPr="00D94363">
        <w:rPr>
          <w:rFonts w:cs="Arial"/>
          <w:i/>
          <w:sz w:val="22"/>
        </w:rPr>
        <w:t>Para motivar la clasificación se deberán señalar las razones o circunstancias especiales que lo llevaron a concluir que el caso particular se ajusta al supuesto previsto por la norma legal invocada como fundamento.</w:t>
      </w:r>
    </w:p>
    <w:p w14:paraId="67E306B2" w14:textId="77777777" w:rsidR="00491D29" w:rsidRPr="00D94363" w:rsidRDefault="00491D29" w:rsidP="00491D29">
      <w:pPr>
        <w:ind w:left="567" w:right="567"/>
        <w:rPr>
          <w:rFonts w:cs="Arial"/>
          <w:i/>
          <w:sz w:val="22"/>
        </w:rPr>
      </w:pPr>
      <w:r w:rsidRPr="00D94363">
        <w:rPr>
          <w:rFonts w:cs="Arial"/>
          <w:i/>
          <w:sz w:val="22"/>
        </w:rPr>
        <w:t>En caso de referirse a información reservada, la motivación de la clasificación también deberá comprender las circunstancias que justifican el establecimiento de determinado plazo de reserva.</w:t>
      </w:r>
    </w:p>
    <w:p w14:paraId="0B84C8AA" w14:textId="77777777" w:rsidR="00491D29" w:rsidRPr="00D94363" w:rsidRDefault="00491D29" w:rsidP="00491D29">
      <w:pPr>
        <w:ind w:left="567" w:right="567"/>
        <w:rPr>
          <w:rFonts w:cs="Arial"/>
          <w:i/>
          <w:sz w:val="22"/>
        </w:rPr>
      </w:pPr>
      <w:r w:rsidRPr="00D94363">
        <w:rPr>
          <w:rFonts w:cs="Arial"/>
          <w:i/>
          <w:sz w:val="22"/>
        </w:rPr>
        <w:t>Tratándose de información clasificada como confidencial respecto de la cual se haya determinado su conservación permanente por tener valor histórico, ésta conservará tal carácter de conformidad con la normativa aplicable en materia de archivos.</w:t>
      </w:r>
    </w:p>
    <w:p w14:paraId="0012C7C0" w14:textId="77777777" w:rsidR="00491D29" w:rsidRPr="00D94363" w:rsidRDefault="00491D29" w:rsidP="00491D29">
      <w:pPr>
        <w:ind w:left="567" w:right="567"/>
        <w:rPr>
          <w:rFonts w:cs="Arial"/>
          <w:i/>
          <w:sz w:val="22"/>
        </w:rPr>
      </w:pPr>
      <w:r w:rsidRPr="00D94363">
        <w:rPr>
          <w:rFonts w:cs="Arial"/>
          <w:i/>
          <w:sz w:val="22"/>
        </w:rPr>
        <w:t>Los documentos contenidos en los archivos históricos y los identificados como históricos confidenciales no serán susceptibles de clasificación como reservados.</w:t>
      </w:r>
    </w:p>
    <w:p w14:paraId="6B85C7BF" w14:textId="77777777" w:rsidR="00491D29" w:rsidRPr="00D94363" w:rsidRDefault="00491D29" w:rsidP="00491D29">
      <w:pPr>
        <w:ind w:left="567" w:right="567"/>
        <w:rPr>
          <w:rFonts w:cs="Arial"/>
          <w:i/>
          <w:sz w:val="22"/>
        </w:rPr>
      </w:pPr>
    </w:p>
    <w:p w14:paraId="064CD0AB" w14:textId="77777777" w:rsidR="00491D29" w:rsidRPr="00D94363" w:rsidRDefault="00491D29" w:rsidP="00491D29">
      <w:pPr>
        <w:ind w:left="567" w:right="567"/>
        <w:rPr>
          <w:rFonts w:cs="Arial"/>
          <w:i/>
          <w:sz w:val="22"/>
        </w:rPr>
      </w:pPr>
      <w:r w:rsidRPr="00D94363">
        <w:rPr>
          <w:rFonts w:cs="Arial"/>
          <w:b/>
          <w:i/>
          <w:sz w:val="22"/>
        </w:rPr>
        <w:t>Noveno</w:t>
      </w:r>
      <w:r w:rsidRPr="00D94363">
        <w:rPr>
          <w:rFonts w:cs="Arial"/>
          <w:i/>
          <w:sz w:val="22"/>
        </w:rPr>
        <w:t>.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4BEDEEFC" w14:textId="77777777" w:rsidR="00491D29" w:rsidRPr="00D94363" w:rsidRDefault="00491D29" w:rsidP="00491D29">
      <w:pPr>
        <w:ind w:left="567" w:right="567"/>
        <w:rPr>
          <w:rFonts w:cs="Arial"/>
          <w:i/>
          <w:sz w:val="22"/>
        </w:rPr>
      </w:pPr>
    </w:p>
    <w:p w14:paraId="01F6229A" w14:textId="77777777" w:rsidR="00491D29" w:rsidRPr="00D94363" w:rsidRDefault="00491D29" w:rsidP="00491D29">
      <w:pPr>
        <w:ind w:left="567" w:right="567"/>
        <w:rPr>
          <w:rFonts w:cs="Arial"/>
          <w:i/>
          <w:sz w:val="22"/>
        </w:rPr>
      </w:pPr>
      <w:r w:rsidRPr="00D94363">
        <w:rPr>
          <w:rFonts w:cs="Arial"/>
          <w:b/>
          <w:i/>
          <w:sz w:val="22"/>
        </w:rPr>
        <w:lastRenderedPageBreak/>
        <w:t>Décimo</w:t>
      </w:r>
      <w:r w:rsidRPr="00D94363">
        <w:rPr>
          <w:rFonts w:cs="Arial"/>
          <w:i/>
          <w:sz w:val="22"/>
        </w:rPr>
        <w:t>.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5A9A1462" w14:textId="77777777" w:rsidR="00491D29" w:rsidRPr="00D94363" w:rsidRDefault="00491D29" w:rsidP="00491D29">
      <w:pPr>
        <w:ind w:left="567" w:right="567"/>
        <w:rPr>
          <w:rFonts w:cs="Arial"/>
          <w:i/>
          <w:sz w:val="22"/>
        </w:rPr>
      </w:pPr>
      <w:r w:rsidRPr="00D94363">
        <w:rPr>
          <w:rFonts w:cs="Arial"/>
          <w:i/>
          <w:sz w:val="22"/>
        </w:rPr>
        <w:t>En ausencia de los titulares de las áreas, la información será clasificada o desclasificada por la persona que lo supla, en términos de la normativa que rija la actuación del sujeto obligado.</w:t>
      </w:r>
    </w:p>
    <w:p w14:paraId="640CD469" w14:textId="77777777" w:rsidR="00491D29" w:rsidRPr="00D94363" w:rsidRDefault="00491D29" w:rsidP="00491D29">
      <w:pPr>
        <w:ind w:left="567" w:right="567"/>
        <w:rPr>
          <w:rFonts w:cs="Arial"/>
          <w:i/>
          <w:sz w:val="22"/>
        </w:rPr>
      </w:pPr>
    </w:p>
    <w:p w14:paraId="5B3DA4B2" w14:textId="77777777" w:rsidR="00491D29" w:rsidRPr="00D94363" w:rsidRDefault="00491D29" w:rsidP="00491D29">
      <w:pPr>
        <w:ind w:left="567" w:right="567"/>
        <w:rPr>
          <w:rFonts w:cs="Arial"/>
          <w:i/>
          <w:sz w:val="22"/>
        </w:rPr>
      </w:pPr>
      <w:r w:rsidRPr="00D94363">
        <w:rPr>
          <w:rFonts w:cs="Arial"/>
          <w:b/>
          <w:i/>
          <w:sz w:val="22"/>
        </w:rPr>
        <w:t>Décimo primero.</w:t>
      </w:r>
      <w:r w:rsidRPr="00D94363">
        <w:rPr>
          <w:rFonts w:cs="Arial"/>
          <w:i/>
          <w:sz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66E437B9" w14:textId="77777777" w:rsidR="00491D29" w:rsidRPr="00D94363" w:rsidRDefault="00491D29" w:rsidP="00491D29">
      <w:pPr>
        <w:rPr>
          <w:rFonts w:cs="Arial"/>
        </w:rPr>
      </w:pPr>
    </w:p>
    <w:p w14:paraId="5C3AA619" w14:textId="77777777" w:rsidR="00491D29" w:rsidRPr="00D94363" w:rsidRDefault="00491D29" w:rsidP="00491D29">
      <w:pPr>
        <w:rPr>
          <w:rFonts w:cs="Arial"/>
        </w:rPr>
      </w:pPr>
      <w:r w:rsidRPr="00D94363">
        <w:rPr>
          <w:rFonts w:cs="Arial"/>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5102EA84" w14:textId="77777777" w:rsidR="00491D29" w:rsidRPr="00D94363" w:rsidRDefault="00491D29" w:rsidP="00491D29">
      <w:pPr>
        <w:rPr>
          <w:rFonts w:cs="Arial"/>
        </w:rPr>
      </w:pPr>
    </w:p>
    <w:p w14:paraId="77EBB732" w14:textId="77777777" w:rsidR="00491D29" w:rsidRPr="00D94363" w:rsidRDefault="00491D29" w:rsidP="00491D29">
      <w:pPr>
        <w:rPr>
          <w:rFonts w:cs="Arial"/>
        </w:rPr>
      </w:pPr>
      <w:r w:rsidRPr="00D94363">
        <w:rPr>
          <w:rFonts w:cs="Arial"/>
        </w:rPr>
        <w:lastRenderedPageBreak/>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28DFF2ED" w14:textId="77777777" w:rsidR="00491D29" w:rsidRPr="00D94363" w:rsidRDefault="00491D29" w:rsidP="00491D29">
      <w:pPr>
        <w:ind w:left="567" w:right="567"/>
        <w:rPr>
          <w:rFonts w:cs="Arial"/>
          <w:i/>
          <w:sz w:val="22"/>
        </w:rPr>
      </w:pPr>
      <w:r w:rsidRPr="00D94363">
        <w:rPr>
          <w:rFonts w:cs="Arial"/>
          <w:b/>
          <w:i/>
          <w:sz w:val="22"/>
        </w:rPr>
        <w:t>FUNDAMENTACIÓN Y MOTIVACIÓN</w:t>
      </w:r>
      <w:r w:rsidRPr="00D94363">
        <w:rPr>
          <w:rFonts w:cs="Arial"/>
          <w:i/>
          <w:sz w:val="22"/>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32772805" w14:textId="77777777" w:rsidR="00491D29" w:rsidRPr="00D94363" w:rsidRDefault="00491D29" w:rsidP="00491D29">
      <w:pPr>
        <w:ind w:left="567" w:right="567"/>
        <w:rPr>
          <w:rFonts w:cs="Arial"/>
          <w:i/>
        </w:rPr>
      </w:pPr>
    </w:p>
    <w:p w14:paraId="20470AF4" w14:textId="77777777" w:rsidR="00491D29" w:rsidRPr="00D94363" w:rsidRDefault="00491D29" w:rsidP="00491D29">
      <w:pPr>
        <w:rPr>
          <w:rFonts w:cs="Arial"/>
        </w:rPr>
      </w:pPr>
      <w:r w:rsidRPr="00D94363">
        <w:rPr>
          <w:rFonts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607C02E3" w14:textId="77777777" w:rsidR="00491D29" w:rsidRPr="00D94363" w:rsidRDefault="00491D29" w:rsidP="00491D29">
      <w:pPr>
        <w:ind w:left="567" w:right="567"/>
        <w:rPr>
          <w:rFonts w:cs="Arial"/>
          <w:i/>
          <w:sz w:val="22"/>
        </w:rPr>
      </w:pPr>
      <w:r w:rsidRPr="00D94363">
        <w:rPr>
          <w:rFonts w:cs="Arial"/>
          <w:b/>
          <w:i/>
          <w:sz w:val="22"/>
        </w:rPr>
        <w:t>FUNDAMENTACIÓN Y MOTIVACIÓN. EL ASPECTO FORMAL DE LA GARANTÍA Y SU FINALIDAD SE TRADUCEN EN EXPLICAR, JUSTIFICAR, POSIBILITAR LA DEFENSA Y COMUNICAR LA DECISIÓN.</w:t>
      </w:r>
      <w:r w:rsidRPr="00D94363">
        <w:rPr>
          <w:rFonts w:cs="Arial"/>
          <w:i/>
          <w:sz w:val="22"/>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w:t>
      </w:r>
      <w:r w:rsidRPr="00D94363">
        <w:rPr>
          <w:rFonts w:cs="Arial"/>
          <w:i/>
          <w:sz w:val="22"/>
        </w:rPr>
        <w:lastRenderedPageBreak/>
        <w:t>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1087ACEA" w14:textId="77777777" w:rsidR="00491D29" w:rsidRPr="00D94363" w:rsidRDefault="00491D29" w:rsidP="00491D29">
      <w:pPr>
        <w:rPr>
          <w:rFonts w:cs="Arial"/>
        </w:rPr>
      </w:pPr>
    </w:p>
    <w:p w14:paraId="40013672" w14:textId="77777777" w:rsidR="00491D29" w:rsidRPr="00D94363" w:rsidRDefault="00491D29" w:rsidP="00491D29">
      <w:pPr>
        <w:rPr>
          <w:rFonts w:cs="Arial"/>
        </w:rPr>
      </w:pPr>
      <w:r w:rsidRPr="00D94363">
        <w:rPr>
          <w:rFonts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0992780D" w14:textId="77777777" w:rsidR="00491D29" w:rsidRPr="00D94363" w:rsidRDefault="00491D29" w:rsidP="00491D29">
      <w:pPr>
        <w:rPr>
          <w:rFonts w:cs="Arial"/>
        </w:rPr>
      </w:pPr>
    </w:p>
    <w:p w14:paraId="53144CE2" w14:textId="77777777" w:rsidR="00491D29" w:rsidRPr="00D94363" w:rsidRDefault="00491D29" w:rsidP="00491D29">
      <w:pPr>
        <w:rPr>
          <w:rFonts w:cs="Arial"/>
        </w:rPr>
      </w:pPr>
      <w:r w:rsidRPr="00D94363">
        <w:rPr>
          <w:rFonts w:cs="Arial"/>
        </w:rPr>
        <w:t xml:space="preserve">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w:t>
      </w:r>
      <w:r w:rsidRPr="00D94363">
        <w:rPr>
          <w:rFonts w:cs="Arial"/>
        </w:rPr>
        <w:lastRenderedPageBreak/>
        <w:t>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4CD662DA" w14:textId="77777777" w:rsidR="00491D29" w:rsidRPr="00D94363" w:rsidRDefault="00491D29" w:rsidP="00491D29">
      <w:pPr>
        <w:rPr>
          <w:rFonts w:cs="Arial"/>
        </w:rPr>
      </w:pPr>
    </w:p>
    <w:p w14:paraId="579B1C7C" w14:textId="73023198" w:rsidR="00491D29" w:rsidRPr="00D94363" w:rsidRDefault="00491D29" w:rsidP="00491D29">
      <w:r w:rsidRPr="00D94363">
        <w:rPr>
          <w:rFonts w:cs="Arial"/>
        </w:rPr>
        <w:t>Final</w:t>
      </w:r>
      <w:r w:rsidRPr="00D94363">
        <w:t xml:space="preserve">mente, y en mérito de lo expuesto en líneas anteriores, con fundamento el artículo 186, fracción III, de la Ley de Transparencia y Acceso a la Información Pública del Estado de México y Municipios, se </w:t>
      </w:r>
      <w:r w:rsidRPr="00D94363">
        <w:rPr>
          <w:b/>
        </w:rPr>
        <w:t xml:space="preserve">MODIFICA </w:t>
      </w:r>
      <w:r w:rsidRPr="00D94363">
        <w:t xml:space="preserve">la respuesta a la solicitud de información </w:t>
      </w:r>
      <w:r w:rsidRPr="00D94363">
        <w:rPr>
          <w:rFonts w:ascii="Verdana" w:hAnsi="Verdana"/>
          <w:b/>
          <w:bCs/>
        </w:rPr>
        <w:t>  </w:t>
      </w:r>
      <w:r w:rsidR="008A3231" w:rsidRPr="00D94363">
        <w:rPr>
          <w:b/>
          <w:bCs/>
        </w:rPr>
        <w:t>01707/TEPOTZOT/IP/2025</w:t>
      </w:r>
      <w:r w:rsidRPr="00D94363">
        <w:rPr>
          <w:rFonts w:cs="Arial"/>
          <w:b/>
        </w:rPr>
        <w:t xml:space="preserve">, </w:t>
      </w:r>
      <w:r w:rsidRPr="00D94363">
        <w:t>que han sido materia del presente fallo.</w:t>
      </w:r>
    </w:p>
    <w:p w14:paraId="74A0B256" w14:textId="77777777" w:rsidR="00491D29" w:rsidRPr="00D94363" w:rsidRDefault="00491D29" w:rsidP="00491D29">
      <w:pPr>
        <w:spacing w:line="276" w:lineRule="auto"/>
      </w:pPr>
      <w:r w:rsidRPr="00D94363">
        <w:t>Por lo antes expuesto y fundado es de resolverse y;</w:t>
      </w:r>
    </w:p>
    <w:p w14:paraId="53E67FA8" w14:textId="77777777" w:rsidR="00491D29" w:rsidRPr="00D94363" w:rsidRDefault="00491D29" w:rsidP="00491D29">
      <w:pPr>
        <w:spacing w:line="276" w:lineRule="auto"/>
      </w:pPr>
    </w:p>
    <w:p w14:paraId="4CBC37F5" w14:textId="77777777" w:rsidR="00491D29" w:rsidRPr="00D94363" w:rsidRDefault="00491D29" w:rsidP="00491D29">
      <w:pPr>
        <w:spacing w:line="276" w:lineRule="auto"/>
      </w:pPr>
    </w:p>
    <w:p w14:paraId="6BBB895E" w14:textId="77777777" w:rsidR="00491D29" w:rsidRPr="00D94363" w:rsidRDefault="00491D29" w:rsidP="00491D29">
      <w:pPr>
        <w:jc w:val="center"/>
        <w:rPr>
          <w:b/>
          <w:sz w:val="28"/>
        </w:rPr>
      </w:pPr>
      <w:r w:rsidRPr="00D94363">
        <w:rPr>
          <w:b/>
          <w:sz w:val="28"/>
        </w:rPr>
        <w:t>S E    R E S U E L V E</w:t>
      </w:r>
    </w:p>
    <w:p w14:paraId="1491D369" w14:textId="77777777" w:rsidR="00491D29" w:rsidRPr="00D94363" w:rsidRDefault="00491D29" w:rsidP="00491D29"/>
    <w:p w14:paraId="39682B27" w14:textId="5B5AE5D8" w:rsidR="00491D29" w:rsidRPr="00D94363" w:rsidRDefault="00491D29" w:rsidP="00491D29">
      <w:pPr>
        <w:rPr>
          <w:rFonts w:cs="Arial"/>
          <w:b/>
        </w:rPr>
      </w:pPr>
      <w:r w:rsidRPr="00D94363">
        <w:rPr>
          <w:rFonts w:cs="Arial"/>
          <w:b/>
          <w:sz w:val="28"/>
        </w:rPr>
        <w:t>PRIMERO.</w:t>
      </w:r>
      <w:r w:rsidRPr="00D94363">
        <w:rPr>
          <w:rFonts w:cs="Arial"/>
          <w:sz w:val="28"/>
        </w:rPr>
        <w:t xml:space="preserve"> </w:t>
      </w:r>
      <w:r w:rsidRPr="00D94363">
        <w:rPr>
          <w:rFonts w:eastAsia="Arial Unicode MS" w:cs="Arial"/>
        </w:rPr>
        <w:t>Se</w:t>
      </w:r>
      <w:r w:rsidRPr="00D94363">
        <w:rPr>
          <w:rFonts w:cs="Arial"/>
        </w:rPr>
        <w:t xml:space="preserve"> </w:t>
      </w:r>
      <w:r w:rsidRPr="00D94363">
        <w:rPr>
          <w:rFonts w:cs="Arial"/>
          <w:b/>
          <w:lang w:val="es-419"/>
        </w:rPr>
        <w:t>MODIFICA</w:t>
      </w:r>
      <w:r w:rsidRPr="00D94363">
        <w:rPr>
          <w:rFonts w:cs="Arial"/>
        </w:rPr>
        <w:t xml:space="preserve"> </w:t>
      </w:r>
      <w:r w:rsidRPr="00D94363">
        <w:rPr>
          <w:rFonts w:eastAsia="Arial Unicode MS" w:cs="Arial"/>
        </w:rPr>
        <w:t xml:space="preserve">la respuesta entregada por </w:t>
      </w:r>
      <w:r w:rsidRPr="00D94363">
        <w:rPr>
          <w:rFonts w:eastAsia="Arial Unicode MS" w:cs="Arial"/>
          <w:b/>
        </w:rPr>
        <w:t xml:space="preserve">el Sujeto Obligado </w:t>
      </w:r>
      <w:r w:rsidRPr="00D94363">
        <w:rPr>
          <w:rFonts w:eastAsia="Arial Unicode MS" w:cs="Arial"/>
        </w:rPr>
        <w:t xml:space="preserve">a la solicitud de información </w:t>
      </w:r>
      <w:r w:rsidR="008A3231" w:rsidRPr="00D94363">
        <w:rPr>
          <w:b/>
          <w:bCs/>
        </w:rPr>
        <w:t>01707/TEPOTZOT/IP/2025</w:t>
      </w:r>
      <w:r w:rsidRPr="00D94363">
        <w:rPr>
          <w:rFonts w:cs="Arial"/>
        </w:rPr>
        <w:t xml:space="preserve">, </w:t>
      </w:r>
      <w:r w:rsidRPr="00D94363">
        <w:rPr>
          <w:rFonts w:eastAsia="Arial Unicode MS" w:cs="Arial"/>
        </w:rPr>
        <w:t xml:space="preserve">en términos del </w:t>
      </w:r>
      <w:r w:rsidRPr="00D94363">
        <w:rPr>
          <w:rFonts w:cs="Arial"/>
        </w:rPr>
        <w:t xml:space="preserve">Considerando </w:t>
      </w:r>
      <w:r w:rsidRPr="00D94363">
        <w:rPr>
          <w:rFonts w:cs="Arial"/>
          <w:b/>
          <w:lang w:val="es-419"/>
        </w:rPr>
        <w:t>QUINTO</w:t>
      </w:r>
      <w:r w:rsidRPr="00D94363">
        <w:rPr>
          <w:rFonts w:cs="Arial"/>
        </w:rPr>
        <w:t xml:space="preserve"> de la presente resolución.</w:t>
      </w:r>
    </w:p>
    <w:p w14:paraId="6C4C3FFF" w14:textId="77777777" w:rsidR="00491D29" w:rsidRPr="00D94363" w:rsidRDefault="00491D29" w:rsidP="00491D29">
      <w:pPr>
        <w:rPr>
          <w:rFonts w:cs="Arial"/>
          <w:b/>
        </w:rPr>
      </w:pPr>
    </w:p>
    <w:p w14:paraId="444008C1" w14:textId="77777777" w:rsidR="00491D29" w:rsidRPr="00D94363" w:rsidRDefault="00491D29" w:rsidP="00491D29">
      <w:pPr>
        <w:spacing w:before="240"/>
        <w:ind w:right="49"/>
        <w:rPr>
          <w:rFonts w:eastAsia="Palatino Linotype" w:cs="Palatino Linotype"/>
        </w:rPr>
      </w:pPr>
      <w:r w:rsidRPr="00D94363">
        <w:rPr>
          <w:b/>
          <w:sz w:val="28"/>
        </w:rPr>
        <w:t>SEGUNDO.</w:t>
      </w:r>
      <w:r w:rsidRPr="00D94363">
        <w:rPr>
          <w:rFonts w:cs="Arial"/>
          <w:sz w:val="28"/>
        </w:rPr>
        <w:t xml:space="preserve"> </w:t>
      </w:r>
      <w:r w:rsidRPr="00D94363">
        <w:rPr>
          <w:rFonts w:cs="Arial"/>
        </w:rPr>
        <w:t xml:space="preserve">Se ordena al Sujeto Obligado, haga entrega al </w:t>
      </w:r>
      <w:r w:rsidRPr="00D94363">
        <w:rPr>
          <w:rFonts w:cs="Arial"/>
          <w:b/>
        </w:rPr>
        <w:t>Recurrente</w:t>
      </w:r>
      <w:r w:rsidRPr="00D94363">
        <w:rPr>
          <w:rFonts w:cs="Arial"/>
        </w:rPr>
        <w:t xml:space="preserve"> en términos del Considerando</w:t>
      </w:r>
      <w:r w:rsidRPr="00D94363">
        <w:rPr>
          <w:rFonts w:cs="Arial"/>
          <w:b/>
          <w:lang w:val="es-419"/>
        </w:rPr>
        <w:t xml:space="preserve"> QUINTO</w:t>
      </w:r>
      <w:r w:rsidRPr="00D94363">
        <w:rPr>
          <w:rFonts w:cs="Arial"/>
        </w:rPr>
        <w:t xml:space="preserve"> de la presente resolución, </w:t>
      </w:r>
      <w:r w:rsidRPr="00D94363">
        <w:rPr>
          <w:rFonts w:eastAsia="Palatino Linotype" w:cs="Palatino Linotype"/>
        </w:rPr>
        <w:t xml:space="preserve">a través del Sistema de Acceso a la Información Mexiquense </w:t>
      </w:r>
      <w:r w:rsidRPr="00D94363">
        <w:rPr>
          <w:rFonts w:eastAsia="Palatino Linotype" w:cs="Palatino Linotype"/>
          <w:b/>
        </w:rPr>
        <w:t xml:space="preserve">(SAIMEX) </w:t>
      </w:r>
      <w:r w:rsidRPr="00D94363">
        <w:rPr>
          <w:rFonts w:eastAsia="Palatino Linotype" w:cs="Palatino Linotype"/>
        </w:rPr>
        <w:t>se entrega al Recurrente en versión pública de ser procedente de lo siguiente:</w:t>
      </w:r>
    </w:p>
    <w:p w14:paraId="679CBC56" w14:textId="77777777" w:rsidR="00677464" w:rsidRPr="00D94363" w:rsidRDefault="00677464" w:rsidP="004C171A">
      <w:pPr>
        <w:pStyle w:val="Prrafodelista"/>
        <w:numPr>
          <w:ilvl w:val="0"/>
          <w:numId w:val="15"/>
        </w:numPr>
        <w:rPr>
          <w:rFonts w:eastAsia="Calibri" w:cs="Calibri"/>
        </w:rPr>
      </w:pPr>
      <w:r w:rsidRPr="00D94363">
        <w:t>N</w:t>
      </w:r>
      <w:r w:rsidR="004C171A" w:rsidRPr="00D94363">
        <w:t xml:space="preserve">úmero de </w:t>
      </w:r>
      <w:r w:rsidR="004C171A" w:rsidRPr="00D94363">
        <w:rPr>
          <w:rFonts w:eastAsia="Palatino Linotype" w:cs="Palatino Linotype"/>
          <w:color w:val="000000"/>
        </w:rPr>
        <w:t>observaciones del OSFEM que aún no se han solventado</w:t>
      </w:r>
      <w:r w:rsidRPr="00D94363">
        <w:rPr>
          <w:rFonts w:eastAsia="Palatino Linotype" w:cs="Palatino Linotype"/>
          <w:color w:val="000000"/>
        </w:rPr>
        <w:t xml:space="preserve"> respecto el ejercicio fiscal 2024</w:t>
      </w:r>
      <w:r w:rsidR="004C171A" w:rsidRPr="00D94363">
        <w:rPr>
          <w:rFonts w:eastAsia="Palatino Linotype" w:cs="Palatino Linotype"/>
          <w:color w:val="000000"/>
        </w:rPr>
        <w:t xml:space="preserve"> al diecinueve de diciembre de dos mil veinticinco</w:t>
      </w:r>
      <w:r w:rsidRPr="00D94363">
        <w:rPr>
          <w:rFonts w:eastAsia="Palatino Linotype" w:cs="Palatino Linotype"/>
          <w:color w:val="000000"/>
        </w:rPr>
        <w:t>.</w:t>
      </w:r>
    </w:p>
    <w:p w14:paraId="02F2227C" w14:textId="77777777" w:rsidR="00677464" w:rsidRPr="00D94363" w:rsidRDefault="00677464" w:rsidP="00677464">
      <w:pPr>
        <w:pStyle w:val="Prrafodelista"/>
        <w:ind w:left="720"/>
        <w:rPr>
          <w:rFonts w:eastAsia="Calibri" w:cs="Calibri"/>
        </w:rPr>
      </w:pPr>
    </w:p>
    <w:p w14:paraId="1E21B076" w14:textId="77777777" w:rsidR="004C171A" w:rsidRPr="00D94363" w:rsidRDefault="00677464" w:rsidP="004C171A">
      <w:pPr>
        <w:pStyle w:val="Prrafodelista"/>
        <w:numPr>
          <w:ilvl w:val="0"/>
          <w:numId w:val="15"/>
        </w:numPr>
        <w:rPr>
          <w:rFonts w:eastAsia="Calibri" w:cs="Calibri"/>
        </w:rPr>
      </w:pPr>
      <w:r w:rsidRPr="00D94363">
        <w:rPr>
          <w:rFonts w:eastAsia="Palatino Linotype" w:cs="Palatino Linotype"/>
          <w:color w:val="000000"/>
        </w:rPr>
        <w:t>D</w:t>
      </w:r>
      <w:r w:rsidR="004C171A" w:rsidRPr="00D94363">
        <w:rPr>
          <w:rFonts w:eastAsia="Palatino Linotype" w:cs="Palatino Linotype"/>
          <w:color w:val="000000"/>
        </w:rPr>
        <w:t xml:space="preserve">e las observaciones del OSFEM que aún no se han solventado </w:t>
      </w:r>
      <w:r w:rsidRPr="00D94363">
        <w:rPr>
          <w:rFonts w:eastAsia="Palatino Linotype" w:cs="Palatino Linotype"/>
          <w:color w:val="000000"/>
        </w:rPr>
        <w:t xml:space="preserve">respecto el ejercicio fiscal 2024 </w:t>
      </w:r>
      <w:r w:rsidR="004C171A" w:rsidRPr="00D94363">
        <w:rPr>
          <w:rFonts w:eastAsia="Palatino Linotype" w:cs="Palatino Linotype"/>
          <w:color w:val="000000"/>
        </w:rPr>
        <w:t>al diecinueve de diciembre de dos mil veinticinco, lo siguiente;</w:t>
      </w:r>
    </w:p>
    <w:p w14:paraId="0D7B684D" w14:textId="77777777" w:rsidR="004C171A" w:rsidRPr="00D94363" w:rsidRDefault="00677464" w:rsidP="004C171A">
      <w:pPr>
        <w:pStyle w:val="Prrafodelista"/>
        <w:numPr>
          <w:ilvl w:val="0"/>
          <w:numId w:val="9"/>
        </w:numPr>
        <w:pBdr>
          <w:top w:val="nil"/>
          <w:left w:val="nil"/>
          <w:bottom w:val="nil"/>
          <w:right w:val="nil"/>
          <w:between w:val="nil"/>
        </w:pBdr>
        <w:contextualSpacing/>
        <w:rPr>
          <w:rFonts w:eastAsia="Palatino Linotype" w:cs="Palatino Linotype"/>
          <w:color w:val="000000"/>
        </w:rPr>
      </w:pPr>
      <w:r w:rsidRPr="00D94363">
        <w:rPr>
          <w:rFonts w:eastAsia="Palatino Linotype" w:cs="Palatino Linotype"/>
          <w:color w:val="000000"/>
        </w:rPr>
        <w:t>Soporte documental que dé cuenta del m</w:t>
      </w:r>
      <w:r w:rsidR="004C171A" w:rsidRPr="00D94363">
        <w:rPr>
          <w:rFonts w:eastAsia="Palatino Linotype" w:cs="Palatino Linotype"/>
          <w:color w:val="000000"/>
        </w:rPr>
        <w:t xml:space="preserve">onto total </w:t>
      </w:r>
    </w:p>
    <w:p w14:paraId="525D1CC0" w14:textId="77777777" w:rsidR="004C171A" w:rsidRPr="00D94363" w:rsidRDefault="00677464" w:rsidP="004C171A">
      <w:pPr>
        <w:pStyle w:val="Prrafodelista"/>
        <w:numPr>
          <w:ilvl w:val="0"/>
          <w:numId w:val="9"/>
        </w:numPr>
        <w:pBdr>
          <w:top w:val="nil"/>
          <w:left w:val="nil"/>
          <w:bottom w:val="nil"/>
          <w:right w:val="nil"/>
          <w:between w:val="nil"/>
        </w:pBdr>
        <w:contextualSpacing/>
        <w:rPr>
          <w:rFonts w:eastAsia="Palatino Linotype" w:cs="Palatino Linotype"/>
          <w:color w:val="000000"/>
        </w:rPr>
      </w:pPr>
      <w:r w:rsidRPr="00D94363">
        <w:rPr>
          <w:rFonts w:eastAsia="Palatino Linotype" w:cs="Palatino Linotype"/>
          <w:color w:val="000000"/>
        </w:rPr>
        <w:t>Soporte documental que dé cuenta de las r</w:t>
      </w:r>
      <w:r w:rsidR="004C171A" w:rsidRPr="00D94363">
        <w:rPr>
          <w:rFonts w:eastAsia="Palatino Linotype" w:cs="Palatino Linotype"/>
          <w:color w:val="000000"/>
        </w:rPr>
        <w:t xml:space="preserve">azones por las que aún no se han solventado </w:t>
      </w:r>
    </w:p>
    <w:p w14:paraId="5924D63A" w14:textId="77777777" w:rsidR="00491D29" w:rsidRPr="00D94363" w:rsidRDefault="00491D29" w:rsidP="004C171A">
      <w:pPr>
        <w:tabs>
          <w:tab w:val="left" w:pos="720"/>
        </w:tabs>
        <w:rPr>
          <w:i/>
        </w:rPr>
      </w:pPr>
    </w:p>
    <w:p w14:paraId="753B5F29" w14:textId="16B6E736" w:rsidR="004C171A" w:rsidRPr="00D94363" w:rsidRDefault="00491D29" w:rsidP="004C171A">
      <w:pPr>
        <w:ind w:left="708"/>
        <w:rPr>
          <w:sz w:val="22"/>
        </w:rPr>
      </w:pPr>
      <w:r w:rsidRPr="00D94363">
        <w:rPr>
          <w:i/>
          <w:sz w:val="22"/>
        </w:rPr>
        <w:t xml:space="preserve">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se ponga a disposición de la parte </w:t>
      </w:r>
      <w:r w:rsidRPr="00D94363">
        <w:rPr>
          <w:b/>
          <w:i/>
          <w:sz w:val="22"/>
        </w:rPr>
        <w:t>Recurrente</w:t>
      </w:r>
      <w:r w:rsidRPr="00D94363">
        <w:rPr>
          <w:i/>
          <w:sz w:val="22"/>
        </w:rPr>
        <w:t>.</w:t>
      </w:r>
      <w:r w:rsidR="004C171A" w:rsidRPr="00D94363">
        <w:rPr>
          <w:sz w:val="22"/>
        </w:rPr>
        <w:t xml:space="preserve"> </w:t>
      </w:r>
    </w:p>
    <w:p w14:paraId="01BE9DE9" w14:textId="77777777" w:rsidR="004C171A" w:rsidRPr="00D94363" w:rsidRDefault="004C171A" w:rsidP="004C171A">
      <w:pPr>
        <w:rPr>
          <w:szCs w:val="24"/>
        </w:rPr>
      </w:pPr>
    </w:p>
    <w:p w14:paraId="08BCAA6C" w14:textId="42C7C77F" w:rsidR="004C171A" w:rsidRPr="00D94363" w:rsidRDefault="004C171A" w:rsidP="004C171A">
      <w:pPr>
        <w:ind w:left="708"/>
        <w:rPr>
          <w:rFonts w:eastAsia="Palatino Linotype" w:cs="Palatino Linotype"/>
          <w:i/>
          <w:color w:val="000000"/>
          <w:sz w:val="22"/>
        </w:rPr>
      </w:pPr>
      <w:r w:rsidRPr="00D94363">
        <w:rPr>
          <w:i/>
          <w:sz w:val="22"/>
        </w:rPr>
        <w:t xml:space="preserve">De ser el caso que </w:t>
      </w:r>
      <w:r w:rsidRPr="00D94363">
        <w:rPr>
          <w:b/>
          <w:i/>
          <w:sz w:val="22"/>
        </w:rPr>
        <w:t xml:space="preserve">a la fecha de la solicitud no se </w:t>
      </w:r>
      <w:r w:rsidR="00B433B4" w:rsidRPr="00D94363">
        <w:rPr>
          <w:b/>
          <w:i/>
          <w:sz w:val="22"/>
        </w:rPr>
        <w:t>tengan observaciones pendientes</w:t>
      </w:r>
      <w:r w:rsidRPr="00D94363">
        <w:rPr>
          <w:b/>
          <w:i/>
          <w:sz w:val="22"/>
        </w:rPr>
        <w:t xml:space="preserve"> del OSFEM </w:t>
      </w:r>
      <w:r w:rsidRPr="00D94363">
        <w:rPr>
          <w:rFonts w:eastAsia="Palatino Linotype" w:cs="Palatino Linotype"/>
          <w:b/>
          <w:i/>
          <w:color w:val="000000"/>
          <w:sz w:val="22"/>
        </w:rPr>
        <w:t>respecto el ejercicio fiscal 2024</w:t>
      </w:r>
      <w:r w:rsidRPr="00D94363">
        <w:rPr>
          <w:rFonts w:eastAsia="Palatino Linotype" w:cs="Palatino Linotype"/>
          <w:i/>
          <w:color w:val="000000"/>
          <w:sz w:val="22"/>
        </w:rPr>
        <w:t xml:space="preserve"> bastara con que así lo haga del conocimiento del particular en los términos establecidos por el segundo párrafo del artículo 19 de la Ley de Transparencia Local. </w:t>
      </w:r>
    </w:p>
    <w:p w14:paraId="383DC7F9" w14:textId="77777777" w:rsidR="005221CF" w:rsidRPr="00D94363" w:rsidRDefault="005221CF" w:rsidP="004C171A">
      <w:pPr>
        <w:ind w:left="708"/>
        <w:rPr>
          <w:rFonts w:eastAsia="Palatino Linotype" w:cs="Palatino Linotype"/>
          <w:i/>
          <w:color w:val="000000"/>
          <w:sz w:val="22"/>
        </w:rPr>
      </w:pPr>
    </w:p>
    <w:p w14:paraId="3F8ECA6B" w14:textId="0FC75D04" w:rsidR="00B433B4" w:rsidRPr="00D94363" w:rsidRDefault="00B433B4" w:rsidP="00B433B4">
      <w:pPr>
        <w:ind w:left="708"/>
        <w:rPr>
          <w:rFonts w:eastAsia="Palatino Linotype" w:cs="Palatino Linotype"/>
          <w:i/>
          <w:color w:val="000000"/>
          <w:sz w:val="22"/>
        </w:rPr>
      </w:pPr>
      <w:r w:rsidRPr="00D94363">
        <w:rPr>
          <w:i/>
          <w:sz w:val="22"/>
        </w:rPr>
        <w:t xml:space="preserve">De ser el caso que </w:t>
      </w:r>
      <w:r w:rsidRPr="00D94363">
        <w:rPr>
          <w:b/>
          <w:i/>
          <w:sz w:val="22"/>
        </w:rPr>
        <w:t xml:space="preserve">a la fecha de la solicitud no </w:t>
      </w:r>
      <w:r w:rsidR="005221CF" w:rsidRPr="00D94363">
        <w:rPr>
          <w:b/>
          <w:i/>
          <w:sz w:val="22"/>
        </w:rPr>
        <w:t>se cuente con soporte documental</w:t>
      </w:r>
      <w:r w:rsidR="007F5C96" w:rsidRPr="00D94363">
        <w:rPr>
          <w:b/>
          <w:i/>
          <w:sz w:val="22"/>
        </w:rPr>
        <w:t xml:space="preserve"> que de cuenta del monto total respecto las </w:t>
      </w:r>
      <w:r w:rsidRPr="00D94363">
        <w:rPr>
          <w:b/>
          <w:i/>
          <w:sz w:val="22"/>
        </w:rPr>
        <w:t xml:space="preserve">observaciones pendientes del OSFEM </w:t>
      </w:r>
      <w:r w:rsidRPr="00D94363">
        <w:rPr>
          <w:rFonts w:eastAsia="Palatino Linotype" w:cs="Palatino Linotype"/>
          <w:b/>
          <w:i/>
          <w:color w:val="000000"/>
          <w:sz w:val="22"/>
        </w:rPr>
        <w:t>respecto el ejercicio fiscal 2024</w:t>
      </w:r>
      <w:r w:rsidRPr="00D94363">
        <w:rPr>
          <w:rFonts w:eastAsia="Palatino Linotype" w:cs="Palatino Linotype"/>
          <w:i/>
          <w:color w:val="000000"/>
          <w:sz w:val="22"/>
        </w:rPr>
        <w:t xml:space="preserve"> bastara con que así lo haga del conocimiento del particular en los términos establecidos por el segundo párrafo del artículo 19 de la Ley de Transparencia Local. </w:t>
      </w:r>
    </w:p>
    <w:p w14:paraId="0556EED5" w14:textId="77777777" w:rsidR="000D644E" w:rsidRPr="00D94363" w:rsidRDefault="000D644E" w:rsidP="00381F4F">
      <w:pPr>
        <w:rPr>
          <w:rFonts w:eastAsia="Palatino Linotype" w:cs="Palatino Linotype"/>
          <w:i/>
          <w:color w:val="000000"/>
          <w:sz w:val="22"/>
        </w:rPr>
      </w:pPr>
    </w:p>
    <w:p w14:paraId="77A7D275" w14:textId="77777777" w:rsidR="000D644E" w:rsidRPr="00D94363" w:rsidRDefault="000D644E" w:rsidP="000D644E">
      <w:pPr>
        <w:ind w:left="708"/>
        <w:rPr>
          <w:rFonts w:eastAsia="Palatino Linotype" w:cs="Palatino Linotype"/>
          <w:i/>
          <w:color w:val="000000"/>
          <w:sz w:val="22"/>
        </w:rPr>
      </w:pPr>
      <w:r w:rsidRPr="00D94363">
        <w:rPr>
          <w:i/>
          <w:sz w:val="22"/>
        </w:rPr>
        <w:lastRenderedPageBreak/>
        <w:t xml:space="preserve">De ser el caso que </w:t>
      </w:r>
      <w:r w:rsidRPr="00D94363">
        <w:rPr>
          <w:b/>
          <w:i/>
          <w:sz w:val="22"/>
        </w:rPr>
        <w:t xml:space="preserve">a la fecha de la solicitud no se hayan recibido observaciones del OSFEM </w:t>
      </w:r>
      <w:r w:rsidRPr="00D94363">
        <w:rPr>
          <w:rFonts w:eastAsia="Palatino Linotype" w:cs="Palatino Linotype"/>
          <w:b/>
          <w:i/>
          <w:color w:val="000000"/>
          <w:sz w:val="22"/>
        </w:rPr>
        <w:t>respecto el ejercicio fiscal 2024</w:t>
      </w:r>
      <w:r w:rsidRPr="00D94363">
        <w:rPr>
          <w:rFonts w:eastAsia="Palatino Linotype" w:cs="Palatino Linotype"/>
          <w:i/>
          <w:color w:val="000000"/>
          <w:sz w:val="22"/>
        </w:rPr>
        <w:t xml:space="preserve"> bastara con que así lo haga del conocimiento del particular en los términos establecidos por el segundo párrafo del artículo 19 de la Ley de Transparencia Local. </w:t>
      </w:r>
    </w:p>
    <w:p w14:paraId="689A0467" w14:textId="77777777" w:rsidR="000D644E" w:rsidRPr="00D94363" w:rsidRDefault="000D644E" w:rsidP="004C171A">
      <w:pPr>
        <w:ind w:left="708"/>
        <w:rPr>
          <w:rFonts w:eastAsia="Palatino Linotype" w:cs="Palatino Linotype"/>
          <w:i/>
          <w:color w:val="000000"/>
          <w:sz w:val="22"/>
        </w:rPr>
      </w:pPr>
    </w:p>
    <w:p w14:paraId="48E29C3F" w14:textId="77777777" w:rsidR="00491D29" w:rsidRPr="00D94363" w:rsidRDefault="00491D29" w:rsidP="00491D29">
      <w:pPr>
        <w:tabs>
          <w:tab w:val="left" w:pos="720"/>
        </w:tabs>
        <w:spacing w:line="276" w:lineRule="auto"/>
        <w:rPr>
          <w:i/>
        </w:rPr>
      </w:pPr>
    </w:p>
    <w:p w14:paraId="3890F166" w14:textId="77777777" w:rsidR="00491D29" w:rsidRPr="00D94363" w:rsidRDefault="00491D29" w:rsidP="00491D29">
      <w:pPr>
        <w:autoSpaceDE w:val="0"/>
        <w:autoSpaceDN w:val="0"/>
        <w:adjustRightInd w:val="0"/>
        <w:rPr>
          <w:rFonts w:eastAsia="Palatino Linotype" w:cs="Palatino Linotype"/>
          <w:b/>
        </w:rPr>
      </w:pPr>
      <w:r w:rsidRPr="00D94363">
        <w:rPr>
          <w:rFonts w:cs="Arial"/>
          <w:b/>
          <w:sz w:val="28"/>
          <w:szCs w:val="28"/>
        </w:rPr>
        <w:t>TERCERO.</w:t>
      </w:r>
      <w:r w:rsidRPr="00D94363">
        <w:rPr>
          <w:rFonts w:cs="Arial"/>
          <w:b/>
        </w:rPr>
        <w:t xml:space="preserve"> Notifíquese</w:t>
      </w:r>
      <w:r w:rsidRPr="00D94363">
        <w:rPr>
          <w:rFonts w:cs="Arial"/>
          <w:b/>
          <w:i/>
        </w:rPr>
        <w:t xml:space="preserve"> </w:t>
      </w:r>
      <w:r w:rsidRPr="00D94363">
        <w:rPr>
          <w:rFonts w:cs="Arial"/>
        </w:rPr>
        <w:t>al Titular de la Unidad de Transparencia del</w:t>
      </w:r>
      <w:r w:rsidRPr="00D94363">
        <w:rPr>
          <w:rFonts w:cs="Arial"/>
          <w:b/>
        </w:rPr>
        <w:t xml:space="preserve"> SUJETO OBLIGADO</w:t>
      </w:r>
      <w:r w:rsidRPr="00D94363">
        <w:rPr>
          <w:rFonts w:cs="Arial"/>
        </w:rPr>
        <w:t xml:space="preserve">, por medio del Sistema de Acceso a la Información Mexiquense </w:t>
      </w:r>
      <w:r w:rsidRPr="00D94363">
        <w:rPr>
          <w:rFonts w:cs="Arial"/>
          <w:b/>
        </w:rPr>
        <w:t>(SAIMEX)</w:t>
      </w:r>
      <w:r w:rsidRPr="00D94363">
        <w:rPr>
          <w:rFonts w:cs="Arial"/>
        </w:rPr>
        <w:t xml:space="preserve">, para que conforme al artículo 186 último párrafo, 189 segundo párrafo y 194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resolución, y </w:t>
      </w:r>
      <w:r w:rsidRPr="00D94363">
        <w:rPr>
          <w:rFonts w:eastAsia="Palatino Linotype" w:cs="Palatino Linotype"/>
          <w:b/>
        </w:rPr>
        <w:t>se le apercibe que en caso de negarse a cumplir la presente resolución o hacerlo de manera parcial, se le impondrá una medida de apremio de conformidad con lo previsto en los artículos 198, 200, fracción II; 214, 215 y 216 de la Ley  de Transparencia y Acceso a la Información Pública del Estado de México y Municipios.</w:t>
      </w:r>
    </w:p>
    <w:p w14:paraId="2B899C6A" w14:textId="77777777" w:rsidR="00491D29" w:rsidRPr="00D94363" w:rsidRDefault="00491D29" w:rsidP="00491D29">
      <w:pPr>
        <w:autoSpaceDE w:val="0"/>
        <w:autoSpaceDN w:val="0"/>
        <w:adjustRightInd w:val="0"/>
        <w:rPr>
          <w:rFonts w:cs="Arial"/>
        </w:rPr>
      </w:pPr>
    </w:p>
    <w:p w14:paraId="5942577D" w14:textId="77777777" w:rsidR="00491D29" w:rsidRPr="00D94363" w:rsidRDefault="00491D29" w:rsidP="00491D29">
      <w:pPr>
        <w:rPr>
          <w:rFonts w:cs="Arial"/>
          <w:bCs/>
          <w:szCs w:val="32"/>
        </w:rPr>
      </w:pPr>
      <w:r w:rsidRPr="00D94363">
        <w:rPr>
          <w:rFonts w:cs="Arial"/>
          <w:b/>
          <w:bCs/>
          <w:sz w:val="28"/>
          <w:szCs w:val="28"/>
        </w:rPr>
        <w:t>CUARTO.</w:t>
      </w:r>
      <w:r w:rsidRPr="00D94363">
        <w:rPr>
          <w:rFonts w:cs="Arial"/>
          <w:bCs/>
          <w:szCs w:val="28"/>
        </w:rPr>
        <w:t xml:space="preserve"> </w:t>
      </w:r>
      <w:r w:rsidRPr="00D94363">
        <w:rPr>
          <w:rFonts w:cs="Arial"/>
          <w:bCs/>
        </w:rPr>
        <w:t xml:space="preserve">De conformidad con el artículo 198, de la Ley de Transparencia y Acceso a la Información Pública del Estado de México y Municipios, de considerarlo procedente, el </w:t>
      </w:r>
      <w:r w:rsidRPr="00D94363">
        <w:rPr>
          <w:rFonts w:cs="Arial"/>
          <w:b/>
          <w:bCs/>
        </w:rPr>
        <w:t>Sujeto Obligado</w:t>
      </w:r>
      <w:r w:rsidRPr="00D94363">
        <w:rPr>
          <w:rFonts w:cs="Arial"/>
          <w:bCs/>
        </w:rPr>
        <w:t xml:space="preserve"> de manera fundada y motivada, podrá solicitar una ampliación de plazo para el cumplimiento de la presente resolución.</w:t>
      </w:r>
    </w:p>
    <w:p w14:paraId="61232D1A" w14:textId="77777777" w:rsidR="00491D29" w:rsidRPr="00D94363" w:rsidRDefault="00491D29" w:rsidP="00491D29">
      <w:pPr>
        <w:autoSpaceDE w:val="0"/>
        <w:autoSpaceDN w:val="0"/>
        <w:adjustRightInd w:val="0"/>
        <w:ind w:right="51"/>
        <w:rPr>
          <w:rFonts w:cs="Arial"/>
          <w:b/>
          <w:sz w:val="28"/>
          <w:szCs w:val="28"/>
        </w:rPr>
      </w:pPr>
    </w:p>
    <w:p w14:paraId="1D861E5B" w14:textId="77777777" w:rsidR="00491D29" w:rsidRPr="00D94363" w:rsidRDefault="00491D29" w:rsidP="00491D29">
      <w:pPr>
        <w:rPr>
          <w:rFonts w:cs="Arial"/>
        </w:rPr>
      </w:pPr>
      <w:r w:rsidRPr="00D94363">
        <w:rPr>
          <w:rFonts w:cs="Arial"/>
          <w:b/>
          <w:sz w:val="28"/>
          <w:szCs w:val="28"/>
        </w:rPr>
        <w:t>QUINTO.</w:t>
      </w:r>
      <w:r w:rsidRPr="00D94363">
        <w:rPr>
          <w:rFonts w:cs="Arial"/>
          <w:b/>
        </w:rPr>
        <w:t xml:space="preserve"> NOTIFÍQUESE</w:t>
      </w:r>
      <w:r w:rsidRPr="00D94363">
        <w:rPr>
          <w:rFonts w:cs="Arial"/>
        </w:rPr>
        <w:t xml:space="preserve"> al </w:t>
      </w:r>
      <w:r w:rsidRPr="00D94363">
        <w:rPr>
          <w:rFonts w:cs="Arial"/>
          <w:b/>
        </w:rPr>
        <w:t>Recurrente</w:t>
      </w:r>
      <w:r w:rsidRPr="00D94363">
        <w:rPr>
          <w:rFonts w:cs="Arial"/>
        </w:rPr>
        <w:t xml:space="preserve"> la presente resolución a través del Sistema de Acceso a la Información Mexiquense </w:t>
      </w:r>
      <w:r w:rsidRPr="00D94363">
        <w:rPr>
          <w:rFonts w:cs="Arial"/>
          <w:b/>
        </w:rPr>
        <w:t>(SAIMEX),</w:t>
      </w:r>
      <w:r w:rsidRPr="00D94363">
        <w:rPr>
          <w:rFonts w:cs="Arial"/>
        </w:rPr>
        <w:t xml:space="preserve"> y hágase de su conocimiento que en caso </w:t>
      </w:r>
      <w:r w:rsidRPr="00D94363">
        <w:rPr>
          <w:rFonts w:cs="Arial"/>
        </w:rPr>
        <w:lastRenderedPageBreak/>
        <w:t>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3D474FB7" w14:textId="77777777" w:rsidR="009E5BA7" w:rsidRPr="00D94363" w:rsidRDefault="009E5BA7" w:rsidP="009E5BA7">
      <w:pPr>
        <w:rPr>
          <w:b/>
          <w:color w:val="000000"/>
          <w:szCs w:val="24"/>
        </w:rPr>
      </w:pPr>
    </w:p>
    <w:p w14:paraId="73CA0455" w14:textId="46931A16" w:rsidR="009E5BA7" w:rsidRPr="00D94363" w:rsidRDefault="009E5BA7" w:rsidP="009E5BA7">
      <w:pPr>
        <w:pBdr>
          <w:top w:val="nil"/>
          <w:left w:val="nil"/>
          <w:bottom w:val="nil"/>
          <w:right w:val="nil"/>
          <w:between w:val="nil"/>
        </w:pBdr>
        <w:contextualSpacing/>
        <w:rPr>
          <w:rFonts w:eastAsia="Palatino Linotype" w:cs="Palatino Linotype"/>
          <w:color w:val="000000"/>
          <w:szCs w:val="24"/>
        </w:rPr>
      </w:pPr>
      <w:r w:rsidRPr="00D94363">
        <w:rPr>
          <w:rFonts w:eastAsia="Palatino Linotype" w:cs="Palatino Linotype"/>
          <w:color w:val="000000"/>
          <w:szCs w:val="24"/>
        </w:rPr>
        <w:t xml:space="preserve">ASÍ LO RESUELVE POR </w:t>
      </w:r>
      <w:r w:rsidRPr="00D94363">
        <w:rPr>
          <w:rFonts w:eastAsia="Palatino Linotype" w:cs="Palatino Linotype"/>
          <w:b/>
          <w:color w:val="000000"/>
          <w:szCs w:val="24"/>
        </w:rPr>
        <w:t>UNANIMIDAD DE VOTOS,</w:t>
      </w:r>
      <w:r w:rsidRPr="00D94363">
        <w:rPr>
          <w:rFonts w:eastAsia="Palatino Linotype" w:cs="Palatino Linotype"/>
          <w:color w:val="000000"/>
          <w:szCs w:val="24"/>
        </w:rPr>
        <w:t xml:space="preserve">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8F45DC" w:rsidRPr="00D94363">
        <w:rPr>
          <w:rFonts w:eastAsia="Palatino Linotype" w:cs="Palatino Linotype"/>
          <w:b/>
          <w:color w:val="000000"/>
          <w:szCs w:val="24"/>
        </w:rPr>
        <w:t>VIGÉSIMA</w:t>
      </w:r>
      <w:r w:rsidRPr="00D94363">
        <w:rPr>
          <w:rFonts w:eastAsia="Palatino Linotype" w:cs="Palatino Linotype"/>
          <w:b/>
          <w:color w:val="000000"/>
          <w:szCs w:val="24"/>
        </w:rPr>
        <w:t xml:space="preserve"> SESIÓN ORDINARIA CELEBRADA EL </w:t>
      </w:r>
      <w:r w:rsidR="008F45DC" w:rsidRPr="00D94363">
        <w:rPr>
          <w:rFonts w:eastAsia="Palatino Linotype" w:cs="Palatino Linotype"/>
          <w:b/>
          <w:color w:val="000000"/>
          <w:szCs w:val="24"/>
        </w:rPr>
        <w:t>TRES DE JUNIO DE DOS MIL VEINTISÉIS</w:t>
      </w:r>
      <w:r w:rsidRPr="00D94363">
        <w:rPr>
          <w:rFonts w:eastAsia="Palatino Linotype" w:cs="Palatino Linotype"/>
          <w:color w:val="000000"/>
          <w:szCs w:val="24"/>
        </w:rPr>
        <w:t>, ANTE EL SECRETARIO TÉCNICO DEL PLENO, ALEXIS TAPIA RAMÍREZ.---------------------------------------------------------------------------------------------------------------------------------------------------------------------------------------------------------------------------</w:t>
      </w:r>
    </w:p>
    <w:p w14:paraId="28151D74" w14:textId="77777777" w:rsidR="009E5BA7" w:rsidRPr="004B7011" w:rsidRDefault="009E5BA7" w:rsidP="009E5BA7">
      <w:pPr>
        <w:pBdr>
          <w:top w:val="nil"/>
          <w:left w:val="nil"/>
          <w:bottom w:val="nil"/>
          <w:right w:val="nil"/>
          <w:between w:val="nil"/>
        </w:pBdr>
        <w:spacing w:line="240" w:lineRule="auto"/>
        <w:contextualSpacing/>
        <w:rPr>
          <w:rFonts w:eastAsia="Palatino Linotype" w:cs="Palatino Linotype"/>
          <w:color w:val="000000"/>
          <w:sz w:val="20"/>
          <w:szCs w:val="20"/>
        </w:rPr>
      </w:pPr>
      <w:r w:rsidRPr="00D94363">
        <w:rPr>
          <w:rFonts w:eastAsia="Palatino Linotype" w:cs="Palatino Linotype"/>
          <w:color w:val="000000"/>
          <w:sz w:val="20"/>
          <w:szCs w:val="20"/>
        </w:rPr>
        <w:t>JMV/CCR/</w:t>
      </w:r>
    </w:p>
    <w:p w14:paraId="4D17A642" w14:textId="77777777" w:rsidR="009E5BA7" w:rsidRPr="004B7011" w:rsidRDefault="009E5BA7" w:rsidP="009E5BA7">
      <w:pPr>
        <w:pBdr>
          <w:top w:val="nil"/>
          <w:left w:val="nil"/>
          <w:bottom w:val="nil"/>
          <w:right w:val="nil"/>
          <w:between w:val="nil"/>
        </w:pBdr>
        <w:contextualSpacing/>
        <w:rPr>
          <w:rFonts w:eastAsia="Palatino Linotype" w:cs="Palatino Linotype"/>
          <w:color w:val="000000"/>
          <w:sz w:val="20"/>
          <w:szCs w:val="20"/>
        </w:rPr>
      </w:pPr>
    </w:p>
    <w:p w14:paraId="1F5217E2" w14:textId="77777777" w:rsidR="009E5BA7" w:rsidRPr="004B7011" w:rsidRDefault="009E5BA7" w:rsidP="009E5BA7">
      <w:pPr>
        <w:pBdr>
          <w:top w:val="nil"/>
          <w:left w:val="nil"/>
          <w:bottom w:val="nil"/>
          <w:right w:val="nil"/>
          <w:between w:val="nil"/>
        </w:pBdr>
        <w:contextualSpacing/>
        <w:rPr>
          <w:rFonts w:eastAsia="Palatino Linotype" w:cs="Palatino Linotype"/>
          <w:color w:val="000000"/>
          <w:sz w:val="20"/>
          <w:szCs w:val="20"/>
        </w:rPr>
      </w:pPr>
    </w:p>
    <w:p w14:paraId="2B6AEDC7" w14:textId="77777777" w:rsidR="009E5BA7" w:rsidRPr="004B7011" w:rsidRDefault="009E5BA7" w:rsidP="009E5BA7">
      <w:pPr>
        <w:pBdr>
          <w:top w:val="nil"/>
          <w:left w:val="nil"/>
          <w:bottom w:val="nil"/>
          <w:right w:val="nil"/>
          <w:between w:val="nil"/>
        </w:pBdr>
        <w:contextualSpacing/>
        <w:rPr>
          <w:rFonts w:eastAsia="Palatino Linotype" w:cs="Palatino Linotype"/>
          <w:color w:val="000000"/>
          <w:sz w:val="20"/>
          <w:szCs w:val="20"/>
        </w:rPr>
      </w:pPr>
    </w:p>
    <w:p w14:paraId="4030B95E" w14:textId="77777777" w:rsidR="009E5BA7" w:rsidRPr="004B7011" w:rsidRDefault="009E5BA7" w:rsidP="009E5BA7">
      <w:pPr>
        <w:pBdr>
          <w:top w:val="nil"/>
          <w:left w:val="nil"/>
          <w:bottom w:val="nil"/>
          <w:right w:val="nil"/>
          <w:between w:val="nil"/>
        </w:pBdr>
        <w:contextualSpacing/>
        <w:rPr>
          <w:rFonts w:eastAsia="Palatino Linotype" w:cs="Palatino Linotype"/>
          <w:color w:val="000000"/>
          <w:sz w:val="20"/>
          <w:szCs w:val="20"/>
        </w:rPr>
      </w:pPr>
    </w:p>
    <w:p w14:paraId="28442F54" w14:textId="77777777" w:rsidR="009E5BA7" w:rsidRPr="004B7011" w:rsidRDefault="009E5BA7" w:rsidP="009E5BA7">
      <w:pPr>
        <w:pBdr>
          <w:top w:val="nil"/>
          <w:left w:val="nil"/>
          <w:bottom w:val="nil"/>
          <w:right w:val="nil"/>
          <w:between w:val="nil"/>
        </w:pBdr>
        <w:contextualSpacing/>
        <w:rPr>
          <w:rFonts w:eastAsia="Palatino Linotype" w:cs="Palatino Linotype"/>
          <w:color w:val="000000"/>
          <w:sz w:val="20"/>
          <w:szCs w:val="20"/>
        </w:rPr>
      </w:pPr>
    </w:p>
    <w:p w14:paraId="5AD87DBC" w14:textId="77777777" w:rsidR="009E5BA7" w:rsidRPr="004B7011" w:rsidRDefault="009E5BA7" w:rsidP="009E5BA7">
      <w:pPr>
        <w:pBdr>
          <w:top w:val="nil"/>
          <w:left w:val="nil"/>
          <w:bottom w:val="nil"/>
          <w:right w:val="nil"/>
          <w:between w:val="nil"/>
        </w:pBdr>
        <w:contextualSpacing/>
        <w:rPr>
          <w:rFonts w:eastAsia="Palatino Linotype" w:cs="Palatino Linotype"/>
          <w:color w:val="000000"/>
          <w:sz w:val="20"/>
          <w:szCs w:val="20"/>
        </w:rPr>
      </w:pPr>
    </w:p>
    <w:p w14:paraId="3E5C756E" w14:textId="77777777" w:rsidR="009E5BA7" w:rsidRPr="004B7011" w:rsidRDefault="009E5BA7" w:rsidP="009E5BA7">
      <w:pPr>
        <w:pBdr>
          <w:top w:val="nil"/>
          <w:left w:val="nil"/>
          <w:bottom w:val="nil"/>
          <w:right w:val="nil"/>
          <w:between w:val="nil"/>
        </w:pBdr>
        <w:contextualSpacing/>
        <w:rPr>
          <w:rFonts w:eastAsia="Palatino Linotype" w:cs="Palatino Linotype"/>
          <w:color w:val="000000"/>
          <w:sz w:val="20"/>
          <w:szCs w:val="20"/>
        </w:rPr>
      </w:pPr>
    </w:p>
    <w:p w14:paraId="7C11D885" w14:textId="77777777" w:rsidR="009E5BA7" w:rsidRPr="004B7011" w:rsidRDefault="009E5BA7" w:rsidP="009E5BA7">
      <w:pPr>
        <w:pBdr>
          <w:top w:val="nil"/>
          <w:left w:val="nil"/>
          <w:bottom w:val="nil"/>
          <w:right w:val="nil"/>
          <w:between w:val="nil"/>
        </w:pBdr>
        <w:contextualSpacing/>
        <w:rPr>
          <w:rFonts w:eastAsia="Palatino Linotype" w:cs="Palatino Linotype"/>
          <w:color w:val="000000"/>
          <w:sz w:val="20"/>
          <w:szCs w:val="20"/>
        </w:rPr>
      </w:pPr>
    </w:p>
    <w:p w14:paraId="53AC652B" w14:textId="77777777" w:rsidR="009E5BA7" w:rsidRPr="004B7011" w:rsidRDefault="009E5BA7" w:rsidP="009E5BA7"/>
    <w:p w14:paraId="17B21065" w14:textId="77777777" w:rsidR="009E5BA7" w:rsidRDefault="009E5BA7" w:rsidP="009E5BA7"/>
    <w:p w14:paraId="252BAA24" w14:textId="77777777" w:rsidR="003F26ED" w:rsidRDefault="003F26ED"/>
    <w:sectPr w:rsidR="003F26ED" w:rsidSect="005031A3">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7F5677" w14:textId="77777777" w:rsidR="00C35A4A" w:rsidRDefault="00C35A4A" w:rsidP="009E5BA7">
      <w:pPr>
        <w:spacing w:line="240" w:lineRule="auto"/>
      </w:pPr>
      <w:r>
        <w:separator/>
      </w:r>
    </w:p>
  </w:endnote>
  <w:endnote w:type="continuationSeparator" w:id="0">
    <w:p w14:paraId="50D7F87B" w14:textId="77777777" w:rsidR="00C35A4A" w:rsidRDefault="00C35A4A" w:rsidP="009E5B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C17BB" w14:textId="77777777" w:rsidR="004B6552" w:rsidRPr="00871A91" w:rsidRDefault="004B6552" w:rsidP="005031A3">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9A7CC8">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9A7CC8">
      <w:rPr>
        <w:rFonts w:ascii="Palatino Linotype" w:hAnsi="Palatino Linotype"/>
        <w:b/>
        <w:bCs/>
        <w:noProof/>
        <w:sz w:val="20"/>
      </w:rPr>
      <w:t>38</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EF6DD" w14:textId="77777777" w:rsidR="004B6552" w:rsidRPr="00871A91" w:rsidRDefault="004B6552" w:rsidP="005031A3">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9A7CC8">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9A7CC8">
      <w:rPr>
        <w:rFonts w:ascii="Palatino Linotype" w:hAnsi="Palatino Linotype"/>
        <w:b/>
        <w:bCs/>
        <w:noProof/>
        <w:sz w:val="20"/>
      </w:rPr>
      <w:t>38</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6A0713" w14:textId="77777777" w:rsidR="00C35A4A" w:rsidRDefault="00C35A4A" w:rsidP="009E5BA7">
      <w:pPr>
        <w:spacing w:line="240" w:lineRule="auto"/>
      </w:pPr>
      <w:r>
        <w:separator/>
      </w:r>
    </w:p>
  </w:footnote>
  <w:footnote w:type="continuationSeparator" w:id="0">
    <w:p w14:paraId="32D6F734" w14:textId="77777777" w:rsidR="00C35A4A" w:rsidRDefault="00C35A4A" w:rsidP="009E5BA7">
      <w:pPr>
        <w:spacing w:line="240" w:lineRule="auto"/>
      </w:pPr>
      <w:r>
        <w:continuationSeparator/>
      </w:r>
    </w:p>
  </w:footnote>
  <w:footnote w:id="1">
    <w:p w14:paraId="445F59A4" w14:textId="77777777" w:rsidR="004B6552" w:rsidRPr="0031280C" w:rsidRDefault="004B6552" w:rsidP="009E5BA7">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18FEB190" w14:textId="77777777" w:rsidR="004B6552" w:rsidRPr="0031280C" w:rsidRDefault="004B6552" w:rsidP="009E5BA7">
      <w:pPr>
        <w:pBdr>
          <w:top w:val="nil"/>
          <w:left w:val="nil"/>
          <w:bottom w:val="nil"/>
          <w:right w:val="nil"/>
          <w:between w:val="nil"/>
        </w:pBdr>
        <w:spacing w:line="240" w:lineRule="auto"/>
        <w:rPr>
          <w:rFonts w:eastAsia="Palatino Linotype" w:cs="Palatino Linotype"/>
          <w:color w:val="000000"/>
          <w:sz w:val="20"/>
          <w:szCs w:val="20"/>
        </w:rPr>
      </w:pPr>
    </w:p>
    <w:p w14:paraId="7DEE91A3" w14:textId="77777777" w:rsidR="004B6552" w:rsidRPr="0031280C" w:rsidRDefault="004B6552" w:rsidP="009E5BA7">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4456207D" w14:textId="77777777" w:rsidR="004B6552" w:rsidRPr="0031280C" w:rsidRDefault="004B6552" w:rsidP="009E5BA7">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37292212" w14:textId="77777777" w:rsidR="004B6552" w:rsidRDefault="004B6552">
      <w:pPr>
        <w:pStyle w:val="Textonotapie"/>
      </w:pPr>
      <w:r>
        <w:rPr>
          <w:rStyle w:val="Refdenotaalpie"/>
        </w:rPr>
        <w:footnoteRef/>
      </w:r>
      <w:r>
        <w:t xml:space="preserve"> </w:t>
      </w:r>
      <w:hyperlink r:id="rId3" w:history="1">
        <w:r w:rsidRPr="006B79C4">
          <w:rPr>
            <w:rStyle w:val="Hipervnculo"/>
            <w:rFonts w:ascii="Palatino Linotype" w:hAnsi="Palatino Linotype"/>
            <w:i/>
            <w:sz w:val="16"/>
            <w:szCs w:val="16"/>
          </w:rPr>
          <w:t>https://www.osfem.gob.mx/entidades/entidad.html</w:t>
        </w:r>
      </w:hyperlink>
      <w:r>
        <w:t xml:space="preserve"> </w:t>
      </w:r>
    </w:p>
  </w:footnote>
  <w:footnote w:id="3">
    <w:p w14:paraId="400CCB08" w14:textId="77777777" w:rsidR="004B6552" w:rsidRDefault="004B6552">
      <w:pPr>
        <w:pStyle w:val="Textonotapie"/>
      </w:pPr>
      <w:r>
        <w:rPr>
          <w:rStyle w:val="Refdenotaalpie"/>
        </w:rPr>
        <w:footnoteRef/>
      </w:r>
      <w:r>
        <w:t xml:space="preserve"> </w:t>
      </w:r>
      <w:hyperlink r:id="rId4" w:history="1">
        <w:r w:rsidRPr="00BC1903">
          <w:rPr>
            <w:rStyle w:val="Hipervnculo"/>
            <w:rFonts w:ascii="Palatino Linotype" w:hAnsi="Palatino Linotype"/>
            <w:i/>
            <w:sz w:val="16"/>
            <w:szCs w:val="16"/>
          </w:rPr>
          <w:t>https://www.osfem.gob.mx/assets/conocenos/marco_normativo/acuerdos/2025/acuerdo_04_2025.pdf</w:t>
        </w:r>
      </w:hyperlink>
      <w:r>
        <w:t xml:space="preserve"> </w:t>
      </w:r>
    </w:p>
  </w:footnote>
  <w:footnote w:id="4">
    <w:p w14:paraId="45D5B81D" w14:textId="77777777" w:rsidR="004B6552" w:rsidRDefault="004B6552">
      <w:pPr>
        <w:pStyle w:val="Textonotapie"/>
      </w:pPr>
      <w:r>
        <w:rPr>
          <w:rStyle w:val="Refdenotaalpie"/>
        </w:rPr>
        <w:footnoteRef/>
      </w:r>
      <w:r>
        <w:t xml:space="preserve"> </w:t>
      </w:r>
      <w:hyperlink r:id="rId5" w:history="1">
        <w:r w:rsidRPr="00BC1903">
          <w:rPr>
            <w:rStyle w:val="Hipervnculo"/>
            <w:rFonts w:ascii="Palatino Linotype" w:hAnsi="Palatino Linotype"/>
            <w:i/>
            <w:sz w:val="16"/>
            <w:szCs w:val="16"/>
          </w:rPr>
          <w:t>https://www.osfem.gob.mx/assets/fiscalizacion/informes/resultados/2024/s1_auditorias.pdf</w:t>
        </w:r>
      </w:hyperlink>
      <w:r>
        <w:t xml:space="preserve"> </w:t>
      </w:r>
    </w:p>
  </w:footnote>
  <w:footnote w:id="5">
    <w:p w14:paraId="330511F1" w14:textId="77777777" w:rsidR="004B6552" w:rsidRPr="00FA182C" w:rsidRDefault="004B6552" w:rsidP="00171171">
      <w:pPr>
        <w:pStyle w:val="Textonotapie"/>
        <w:rPr>
          <w:rFonts w:ascii="Palatino Linotype" w:hAnsi="Palatino Linotype"/>
          <w:sz w:val="18"/>
          <w:szCs w:val="18"/>
        </w:rPr>
      </w:pPr>
      <w:r>
        <w:rPr>
          <w:rStyle w:val="Refdenotaalpie"/>
        </w:rPr>
        <w:footnoteRef/>
      </w:r>
      <w:r>
        <w:t xml:space="preserve"> </w:t>
      </w:r>
      <w:r w:rsidRPr="00FA182C">
        <w:rPr>
          <w:rFonts w:ascii="Palatino Linotype" w:hAnsi="Palatino Linotype"/>
          <w:sz w:val="18"/>
          <w:szCs w:val="18"/>
        </w:rPr>
        <w:t>Artículo 50, Ley de Transparencia y Acceso a la Información Pública del Estado de México y Municipios.</w:t>
      </w:r>
    </w:p>
  </w:footnote>
  <w:footnote w:id="6">
    <w:p w14:paraId="648E297C" w14:textId="77777777" w:rsidR="004B6552" w:rsidRDefault="004B6552" w:rsidP="00171171">
      <w:pPr>
        <w:pStyle w:val="Textonotapie"/>
      </w:pPr>
      <w:r w:rsidRPr="00FA182C">
        <w:rPr>
          <w:rStyle w:val="Refdenotaalpie"/>
          <w:sz w:val="18"/>
          <w:szCs w:val="18"/>
        </w:rPr>
        <w:footnoteRef/>
      </w:r>
      <w:r w:rsidRPr="00FA182C">
        <w:rPr>
          <w:rFonts w:ascii="Palatino Linotype" w:hAnsi="Palatino Linotype"/>
          <w:sz w:val="18"/>
          <w:szCs w:val="18"/>
        </w:rPr>
        <w:t xml:space="preserve"> Artículo 51,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EB0CD" w14:textId="77777777" w:rsidR="004B6552" w:rsidRDefault="00C35A4A">
    <w:pPr>
      <w:pStyle w:val="Encabezado"/>
    </w:pPr>
    <w:r>
      <w:rPr>
        <w:noProof/>
        <w:lang w:val="es-MX" w:eastAsia="es-MX"/>
      </w:rPr>
      <w:pict w14:anchorId="310ECA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8752;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4B6552" w:rsidRPr="00B17577" w14:paraId="6298EDA9" w14:textId="77777777" w:rsidTr="005031A3">
      <w:trPr>
        <w:trHeight w:val="227"/>
      </w:trPr>
      <w:tc>
        <w:tcPr>
          <w:tcW w:w="5103" w:type="dxa"/>
          <w:hideMark/>
        </w:tcPr>
        <w:p w14:paraId="4B748223" w14:textId="77777777" w:rsidR="004B6552" w:rsidRPr="00096248" w:rsidRDefault="004B6552" w:rsidP="005031A3">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FB15F11" w14:textId="77777777" w:rsidR="004B6552" w:rsidRPr="00096248" w:rsidRDefault="004B6552" w:rsidP="005031A3">
          <w:pPr>
            <w:spacing w:after="120" w:line="240" w:lineRule="auto"/>
            <w:ind w:right="71"/>
            <w:jc w:val="right"/>
            <w:rPr>
              <w:rFonts w:cs="Arial"/>
              <w:b/>
              <w:szCs w:val="24"/>
            </w:rPr>
          </w:pPr>
          <w:r>
            <w:rPr>
              <w:rFonts w:cs="Arial"/>
              <w:b/>
              <w:bCs/>
              <w:szCs w:val="24"/>
            </w:rPr>
            <w:t>00990</w:t>
          </w:r>
          <w:r w:rsidRPr="00096248">
            <w:rPr>
              <w:rFonts w:cs="Arial"/>
              <w:b/>
              <w:bCs/>
              <w:szCs w:val="24"/>
            </w:rPr>
            <w:t>/INFOEM/IP/RR/202</w:t>
          </w:r>
          <w:r>
            <w:rPr>
              <w:rFonts w:cs="Arial"/>
              <w:b/>
              <w:bCs/>
              <w:szCs w:val="24"/>
            </w:rPr>
            <w:t>6</w:t>
          </w:r>
        </w:p>
      </w:tc>
    </w:tr>
    <w:tr w:rsidR="004B6552" w14:paraId="43FC5540" w14:textId="77777777" w:rsidTr="005031A3">
      <w:trPr>
        <w:trHeight w:val="242"/>
      </w:trPr>
      <w:tc>
        <w:tcPr>
          <w:tcW w:w="5103" w:type="dxa"/>
          <w:hideMark/>
        </w:tcPr>
        <w:p w14:paraId="1FE2481C" w14:textId="77777777" w:rsidR="004B6552" w:rsidRPr="00096248" w:rsidRDefault="004B6552" w:rsidP="005031A3">
          <w:pPr>
            <w:spacing w:after="120" w:line="240" w:lineRule="auto"/>
            <w:ind w:right="69"/>
            <w:jc w:val="right"/>
            <w:rPr>
              <w:rFonts w:cs="Arial"/>
              <w:b/>
              <w:szCs w:val="24"/>
            </w:rPr>
          </w:pPr>
          <w:r w:rsidRPr="00096248">
            <w:rPr>
              <w:rFonts w:cs="Arial"/>
              <w:b/>
              <w:szCs w:val="24"/>
            </w:rPr>
            <w:t>Sujeto Obligado:</w:t>
          </w:r>
        </w:p>
      </w:tc>
      <w:tc>
        <w:tcPr>
          <w:tcW w:w="4395" w:type="dxa"/>
          <w:hideMark/>
        </w:tcPr>
        <w:p w14:paraId="46F51A3C" w14:textId="77777777" w:rsidR="004B6552" w:rsidRPr="009E5BA7" w:rsidRDefault="004B6552" w:rsidP="005031A3">
          <w:pPr>
            <w:spacing w:after="120" w:line="240" w:lineRule="auto"/>
            <w:ind w:left="-81" w:right="71"/>
            <w:jc w:val="right"/>
            <w:rPr>
              <w:rFonts w:cs="Arial"/>
              <w:szCs w:val="24"/>
            </w:rPr>
          </w:pPr>
          <w:r w:rsidRPr="009E5BA7">
            <w:rPr>
              <w:b/>
              <w:bCs/>
              <w:color w:val="000000"/>
              <w:szCs w:val="24"/>
            </w:rPr>
            <w:t>Ayuntamiento de Tepotzotlán</w:t>
          </w:r>
        </w:p>
      </w:tc>
    </w:tr>
    <w:tr w:rsidR="004B6552" w:rsidRPr="00F63239" w14:paraId="742F67F7" w14:textId="77777777" w:rsidTr="005031A3">
      <w:trPr>
        <w:trHeight w:val="342"/>
      </w:trPr>
      <w:tc>
        <w:tcPr>
          <w:tcW w:w="5103" w:type="dxa"/>
          <w:hideMark/>
        </w:tcPr>
        <w:p w14:paraId="425F4FD7" w14:textId="77777777" w:rsidR="004B6552" w:rsidRPr="00096248" w:rsidRDefault="004B6552" w:rsidP="005031A3">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5D86D1E8" w14:textId="77777777" w:rsidR="004B6552" w:rsidRDefault="004B6552" w:rsidP="005031A3">
          <w:pPr>
            <w:spacing w:after="120" w:line="240" w:lineRule="auto"/>
            <w:ind w:left="-486" w:right="71" w:firstLine="567"/>
            <w:jc w:val="right"/>
            <w:rPr>
              <w:rFonts w:cs="Arial"/>
              <w:szCs w:val="24"/>
            </w:rPr>
          </w:pPr>
          <w:r w:rsidRPr="00096248">
            <w:rPr>
              <w:rFonts w:cs="Arial"/>
              <w:szCs w:val="24"/>
            </w:rPr>
            <w:t>José Martínez Vilchis</w:t>
          </w:r>
        </w:p>
        <w:p w14:paraId="182F9337" w14:textId="77777777" w:rsidR="004B6552" w:rsidRPr="00711916" w:rsidRDefault="004B6552" w:rsidP="005031A3">
          <w:pPr>
            <w:spacing w:after="120" w:line="240" w:lineRule="auto"/>
            <w:ind w:left="-486" w:right="71" w:firstLine="567"/>
            <w:jc w:val="right"/>
            <w:rPr>
              <w:rFonts w:cs="Arial"/>
              <w:sz w:val="2"/>
              <w:szCs w:val="2"/>
            </w:rPr>
          </w:pPr>
        </w:p>
      </w:tc>
    </w:tr>
  </w:tbl>
  <w:p w14:paraId="59B45767" w14:textId="77777777" w:rsidR="004B6552" w:rsidRPr="00871A91" w:rsidRDefault="00C35A4A">
    <w:pPr>
      <w:pStyle w:val="Encabezado"/>
      <w:rPr>
        <w:sz w:val="2"/>
      </w:rPr>
    </w:pPr>
    <w:r>
      <w:rPr>
        <w:noProof/>
        <w:lang w:val="es-MX" w:eastAsia="es-MX"/>
      </w:rPr>
      <w:pict w14:anchorId="1F741B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3.8pt;margin-top:-155.7pt;width:609.4pt;height:793.75pt;z-index:-251657728;mso-wrap-edited:f;mso-width-percent:0;mso-height-percent:0;mso-position-horizontal-relative:margin;mso-position-vertical-relative:margin;mso-width-percent:0;mso-height-percent:0" o:allowincell="f">
          <v:imagedata r:id="rId1" o:title="infoem"/>
          <w10:wrap anchorx="margin" anchory="margin"/>
        </v:shape>
      </w:pict>
    </w:r>
    <w:r w:rsidR="004B6552">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4B6552" w14:paraId="6FB19FFD" w14:textId="77777777" w:rsidTr="005031A3">
      <w:trPr>
        <w:trHeight w:val="227"/>
      </w:trPr>
      <w:tc>
        <w:tcPr>
          <w:tcW w:w="5103" w:type="dxa"/>
          <w:hideMark/>
        </w:tcPr>
        <w:p w14:paraId="14A92F29" w14:textId="77777777" w:rsidR="004B6552" w:rsidRPr="00663A37" w:rsidRDefault="004B6552" w:rsidP="005031A3">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3982F304" w14:textId="77777777" w:rsidR="004B6552" w:rsidRPr="00C81ECD" w:rsidRDefault="004B6552" w:rsidP="005031A3">
          <w:pPr>
            <w:spacing w:after="120" w:line="240" w:lineRule="auto"/>
            <w:ind w:left="-486" w:right="68" w:firstLine="558"/>
            <w:jc w:val="right"/>
            <w:rPr>
              <w:rFonts w:cs="Arial"/>
              <w:b/>
              <w:szCs w:val="24"/>
            </w:rPr>
          </w:pPr>
          <w:r>
            <w:rPr>
              <w:rFonts w:cs="Arial"/>
              <w:b/>
              <w:bCs/>
              <w:szCs w:val="24"/>
            </w:rPr>
            <w:t>00990/INFOEM/IP/RR/2026</w:t>
          </w:r>
        </w:p>
      </w:tc>
    </w:tr>
    <w:tr w:rsidR="004B6552" w:rsidRPr="001F57CD" w14:paraId="68625FC3" w14:textId="77777777" w:rsidTr="005031A3">
      <w:trPr>
        <w:trHeight w:val="196"/>
      </w:trPr>
      <w:tc>
        <w:tcPr>
          <w:tcW w:w="5103" w:type="dxa"/>
          <w:hideMark/>
        </w:tcPr>
        <w:p w14:paraId="0C53AE51" w14:textId="77777777" w:rsidR="004B6552" w:rsidRPr="00663A37" w:rsidRDefault="004B6552" w:rsidP="005031A3">
          <w:pPr>
            <w:spacing w:after="120" w:line="240" w:lineRule="auto"/>
            <w:ind w:right="68"/>
            <w:jc w:val="right"/>
            <w:rPr>
              <w:rFonts w:cs="Arial"/>
              <w:b/>
              <w:szCs w:val="24"/>
            </w:rPr>
          </w:pPr>
          <w:r w:rsidRPr="00663A37">
            <w:rPr>
              <w:rFonts w:cs="Arial"/>
              <w:b/>
              <w:szCs w:val="24"/>
            </w:rPr>
            <w:t>Recurrente:</w:t>
          </w:r>
        </w:p>
      </w:tc>
      <w:tc>
        <w:tcPr>
          <w:tcW w:w="4395" w:type="dxa"/>
          <w:hideMark/>
        </w:tcPr>
        <w:p w14:paraId="01530138" w14:textId="76A4A067" w:rsidR="004B6552" w:rsidRPr="00663A37" w:rsidRDefault="009A7CC8" w:rsidP="005031A3">
          <w:pPr>
            <w:spacing w:after="120" w:line="240" w:lineRule="auto"/>
            <w:ind w:right="68"/>
            <w:jc w:val="right"/>
            <w:rPr>
              <w:rFonts w:cs="Arial"/>
              <w:szCs w:val="24"/>
            </w:rPr>
          </w:pPr>
          <w:r>
            <w:rPr>
              <w:rFonts w:cs="Arial"/>
              <w:szCs w:val="24"/>
            </w:rPr>
            <w:t>xxxxxxxxxxxxxxxxxx</w:t>
          </w:r>
        </w:p>
      </w:tc>
    </w:tr>
    <w:tr w:rsidR="004B6552" w:rsidRPr="00480390" w14:paraId="4F6756F0" w14:textId="77777777" w:rsidTr="005031A3">
      <w:trPr>
        <w:trHeight w:val="242"/>
      </w:trPr>
      <w:tc>
        <w:tcPr>
          <w:tcW w:w="5103" w:type="dxa"/>
          <w:hideMark/>
        </w:tcPr>
        <w:p w14:paraId="2100B24E" w14:textId="77777777" w:rsidR="004B6552" w:rsidRPr="00663A37" w:rsidRDefault="004B6552" w:rsidP="005031A3">
          <w:pPr>
            <w:spacing w:after="120" w:line="240" w:lineRule="auto"/>
            <w:ind w:right="68"/>
            <w:jc w:val="right"/>
            <w:rPr>
              <w:rFonts w:cs="Arial"/>
              <w:b/>
              <w:szCs w:val="24"/>
            </w:rPr>
          </w:pPr>
          <w:r w:rsidRPr="00663A37">
            <w:rPr>
              <w:rFonts w:cs="Arial"/>
              <w:b/>
              <w:szCs w:val="24"/>
            </w:rPr>
            <w:t>Sujeto Obligado:</w:t>
          </w:r>
        </w:p>
      </w:tc>
      <w:tc>
        <w:tcPr>
          <w:tcW w:w="4395" w:type="dxa"/>
          <w:hideMark/>
        </w:tcPr>
        <w:p w14:paraId="32C51FF2" w14:textId="77777777" w:rsidR="004B6552" w:rsidRPr="009E5BA7" w:rsidRDefault="004B6552" w:rsidP="005031A3">
          <w:pPr>
            <w:spacing w:after="120" w:line="240" w:lineRule="auto"/>
            <w:ind w:left="-70" w:right="68"/>
            <w:jc w:val="right"/>
            <w:rPr>
              <w:rFonts w:cs="Arial"/>
              <w:szCs w:val="24"/>
            </w:rPr>
          </w:pPr>
          <w:r w:rsidRPr="009E5BA7">
            <w:rPr>
              <w:b/>
              <w:bCs/>
              <w:color w:val="000000"/>
              <w:szCs w:val="24"/>
            </w:rPr>
            <w:t>Ayuntamiento de Tepotzotlán</w:t>
          </w:r>
        </w:p>
      </w:tc>
    </w:tr>
    <w:tr w:rsidR="004B6552" w14:paraId="41CEDCCF" w14:textId="77777777" w:rsidTr="005031A3">
      <w:trPr>
        <w:trHeight w:val="342"/>
      </w:trPr>
      <w:tc>
        <w:tcPr>
          <w:tcW w:w="5103" w:type="dxa"/>
          <w:hideMark/>
        </w:tcPr>
        <w:p w14:paraId="4A7F0EBA" w14:textId="77777777" w:rsidR="004B6552" w:rsidRPr="00663A37" w:rsidRDefault="004B6552" w:rsidP="005031A3">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0764D1BC" w14:textId="77777777" w:rsidR="004B6552" w:rsidRPr="00663A37" w:rsidRDefault="004B6552" w:rsidP="005031A3">
          <w:pPr>
            <w:spacing w:after="120" w:line="240" w:lineRule="auto"/>
            <w:ind w:left="-486" w:right="68" w:firstLine="567"/>
            <w:jc w:val="right"/>
            <w:rPr>
              <w:rFonts w:cs="Arial"/>
              <w:szCs w:val="24"/>
            </w:rPr>
          </w:pPr>
          <w:r w:rsidRPr="00663A37">
            <w:rPr>
              <w:rFonts w:cs="Arial"/>
              <w:szCs w:val="24"/>
            </w:rPr>
            <w:t>José Martínez Vilchis</w:t>
          </w:r>
        </w:p>
      </w:tc>
    </w:tr>
  </w:tbl>
  <w:p w14:paraId="37F9BDED" w14:textId="77777777" w:rsidR="004B6552" w:rsidRPr="00871A91" w:rsidRDefault="004B6552">
    <w:pPr>
      <w:pStyle w:val="Encabezado"/>
      <w:rPr>
        <w:sz w:val="2"/>
      </w:rPr>
    </w:pPr>
    <w:r>
      <w:rPr>
        <w:noProof/>
        <w:lang w:val="es-MX" w:eastAsia="es-MX"/>
      </w:rPr>
      <w:drawing>
        <wp:anchor distT="0" distB="0" distL="114300" distR="114300" simplePos="0" relativeHeight="251656704" behindDoc="1" locked="0" layoutInCell="0" allowOverlap="1" wp14:anchorId="001B6B5D" wp14:editId="36F29080">
          <wp:simplePos x="0" y="0"/>
          <wp:positionH relativeFrom="margin">
            <wp:posOffset>-1068070</wp:posOffset>
          </wp:positionH>
          <wp:positionV relativeFrom="margin">
            <wp:posOffset>-2160270</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63259"/>
    <w:multiLevelType w:val="hybridMultilevel"/>
    <w:tmpl w:val="C8CAA420"/>
    <w:lvl w:ilvl="0" w:tplc="44BEAB8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134C7A9C"/>
    <w:multiLevelType w:val="hybridMultilevel"/>
    <w:tmpl w:val="2212500E"/>
    <w:lvl w:ilvl="0" w:tplc="AE1E544A">
      <w:start w:val="1"/>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155334B7"/>
    <w:multiLevelType w:val="hybridMultilevel"/>
    <w:tmpl w:val="681A2B7C"/>
    <w:lvl w:ilvl="0" w:tplc="5B309AF0">
      <w:start w:val="1"/>
      <w:numFmt w:val="upperRoman"/>
      <w:lvlText w:val="%1."/>
      <w:lvlJc w:val="left"/>
      <w:pPr>
        <w:ind w:left="1488" w:hanging="720"/>
      </w:pPr>
      <w:rPr>
        <w:rFonts w:hint="default"/>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3" w15:restartNumberingAfterBreak="0">
    <w:nsid w:val="1A3F0F44"/>
    <w:multiLevelType w:val="multilevel"/>
    <w:tmpl w:val="9A4C0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EF26FD"/>
    <w:multiLevelType w:val="multilevel"/>
    <w:tmpl w:val="C24421C2"/>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A6E505A"/>
    <w:multiLevelType w:val="multilevel"/>
    <w:tmpl w:val="BA5E44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EA15C39"/>
    <w:multiLevelType w:val="multilevel"/>
    <w:tmpl w:val="694053C8"/>
    <w:lvl w:ilvl="0">
      <w:start w:val="1"/>
      <w:numFmt w:val="upp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4177085"/>
    <w:multiLevelType w:val="multilevel"/>
    <w:tmpl w:val="F7EA666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440552A"/>
    <w:multiLevelType w:val="hybridMultilevel"/>
    <w:tmpl w:val="BFEE9A14"/>
    <w:lvl w:ilvl="0" w:tplc="69C04134">
      <w:start w:val="1"/>
      <w:numFmt w:val="bullet"/>
      <w:lvlText w:val=""/>
      <w:lvlJc w:val="left"/>
      <w:pPr>
        <w:ind w:left="720" w:hanging="360"/>
      </w:pPr>
      <w:rPr>
        <w:rFonts w:ascii="Symbol" w:eastAsia="Palatino Linotype"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8E17BC0"/>
    <w:multiLevelType w:val="hybridMultilevel"/>
    <w:tmpl w:val="EB1066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394643C"/>
    <w:multiLevelType w:val="hybridMultilevel"/>
    <w:tmpl w:val="BA20D2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1883052"/>
    <w:multiLevelType w:val="hybridMultilevel"/>
    <w:tmpl w:val="E8F825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5081647"/>
    <w:multiLevelType w:val="hybridMultilevel"/>
    <w:tmpl w:val="6402199E"/>
    <w:lvl w:ilvl="0" w:tplc="8C762726">
      <w:numFmt w:val="bullet"/>
      <w:lvlText w:val=""/>
      <w:lvlJc w:val="left"/>
      <w:pPr>
        <w:ind w:left="720" w:hanging="360"/>
      </w:pPr>
      <w:rPr>
        <w:rFonts w:ascii="Symbol" w:eastAsia="Calibri" w:hAnsi="Symbol" w:cs="Calibri" w:hint="default"/>
        <w:sz w:val="1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735748D"/>
    <w:multiLevelType w:val="hybridMultilevel"/>
    <w:tmpl w:val="CDBC204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7"/>
  </w:num>
  <w:num w:numId="3">
    <w:abstractNumId w:val="12"/>
  </w:num>
  <w:num w:numId="4">
    <w:abstractNumId w:val="4"/>
  </w:num>
  <w:num w:numId="5">
    <w:abstractNumId w:val="8"/>
  </w:num>
  <w:num w:numId="6">
    <w:abstractNumId w:val="5"/>
  </w:num>
  <w:num w:numId="7">
    <w:abstractNumId w:val="11"/>
  </w:num>
  <w:num w:numId="8">
    <w:abstractNumId w:val="14"/>
  </w:num>
  <w:num w:numId="9">
    <w:abstractNumId w:val="1"/>
  </w:num>
  <w:num w:numId="10">
    <w:abstractNumId w:val="9"/>
  </w:num>
  <w:num w:numId="11">
    <w:abstractNumId w:val="3"/>
  </w:num>
  <w:num w:numId="12">
    <w:abstractNumId w:val="0"/>
  </w:num>
  <w:num w:numId="13">
    <w:abstractNumId w:val="2"/>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BA7"/>
    <w:rsid w:val="00046754"/>
    <w:rsid w:val="000B5D3E"/>
    <w:rsid w:val="000D644E"/>
    <w:rsid w:val="000D70D4"/>
    <w:rsid w:val="00171171"/>
    <w:rsid w:val="00194819"/>
    <w:rsid w:val="002037B4"/>
    <w:rsid w:val="00207B4E"/>
    <w:rsid w:val="002938E7"/>
    <w:rsid w:val="002D1F5A"/>
    <w:rsid w:val="0036259D"/>
    <w:rsid w:val="00381F4F"/>
    <w:rsid w:val="00386AC9"/>
    <w:rsid w:val="00397442"/>
    <w:rsid w:val="003E58E4"/>
    <w:rsid w:val="003F26ED"/>
    <w:rsid w:val="00491D29"/>
    <w:rsid w:val="004A2FDC"/>
    <w:rsid w:val="004A44FB"/>
    <w:rsid w:val="004B6552"/>
    <w:rsid w:val="004C171A"/>
    <w:rsid w:val="005031A3"/>
    <w:rsid w:val="005205BC"/>
    <w:rsid w:val="005221CF"/>
    <w:rsid w:val="005E414A"/>
    <w:rsid w:val="00677464"/>
    <w:rsid w:val="006B0FF8"/>
    <w:rsid w:val="006B79C4"/>
    <w:rsid w:val="00725FF2"/>
    <w:rsid w:val="007D3135"/>
    <w:rsid w:val="007F5C96"/>
    <w:rsid w:val="008024B7"/>
    <w:rsid w:val="008A3231"/>
    <w:rsid w:val="008F45DC"/>
    <w:rsid w:val="00934E20"/>
    <w:rsid w:val="009A7CC8"/>
    <w:rsid w:val="009C654F"/>
    <w:rsid w:val="009D329B"/>
    <w:rsid w:val="009E1F9C"/>
    <w:rsid w:val="009E5BA7"/>
    <w:rsid w:val="00A00BB7"/>
    <w:rsid w:val="00A61C43"/>
    <w:rsid w:val="00B433B4"/>
    <w:rsid w:val="00B446A7"/>
    <w:rsid w:val="00B92BBF"/>
    <w:rsid w:val="00BC1903"/>
    <w:rsid w:val="00BC6D0E"/>
    <w:rsid w:val="00C35A4A"/>
    <w:rsid w:val="00C7651C"/>
    <w:rsid w:val="00CA7D2C"/>
    <w:rsid w:val="00D236D7"/>
    <w:rsid w:val="00D35E8F"/>
    <w:rsid w:val="00D94363"/>
    <w:rsid w:val="00E066B0"/>
    <w:rsid w:val="00E57445"/>
    <w:rsid w:val="00E90C43"/>
    <w:rsid w:val="00EE4ECE"/>
    <w:rsid w:val="00F2340B"/>
    <w:rsid w:val="00F81BEA"/>
    <w:rsid w:val="00F8477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8135F57"/>
  <w15:chartTrackingRefBased/>
  <w15:docId w15:val="{88B644EA-42E9-4C79-BA45-B3C6F2D3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5BA7"/>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9E5BA7"/>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9E5BA7"/>
    <w:pPr>
      <w:keepNext/>
      <w:keepLines/>
      <w:outlineLvl w:val="1"/>
    </w:pPr>
    <w:rPr>
      <w:rFonts w:eastAsiaTheme="majorEastAsia" w:cstheme="majorBidi"/>
      <w:b/>
      <w:color w:val="000000" w:themeColor="text1"/>
      <w:sz w:val="26"/>
      <w:szCs w:val="26"/>
    </w:rPr>
  </w:style>
  <w:style w:type="paragraph" w:styleId="Ttulo5">
    <w:name w:val="heading 5"/>
    <w:basedOn w:val="Normal"/>
    <w:next w:val="Normal"/>
    <w:link w:val="Ttulo5Car"/>
    <w:uiPriority w:val="9"/>
    <w:semiHidden/>
    <w:unhideWhenUsed/>
    <w:qFormat/>
    <w:rsid w:val="006B79C4"/>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Res Car"/>
    <w:basedOn w:val="Fuentedeprrafopredeter"/>
    <w:link w:val="Ttulo1"/>
    <w:uiPriority w:val="9"/>
    <w:rsid w:val="009E5BA7"/>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9E5BA7"/>
    <w:rPr>
      <w:rFonts w:ascii="Palatino Linotype" w:eastAsiaTheme="majorEastAsia" w:hAnsi="Palatino Linotype" w:cstheme="majorBidi"/>
      <w:b/>
      <w:color w:val="000000" w:themeColor="text1"/>
      <w:sz w:val="26"/>
      <w:szCs w:val="26"/>
      <w:lang w:val="es-ES_tradnl" w:eastAsia="es-MX"/>
    </w:rPr>
  </w:style>
  <w:style w:type="paragraph" w:styleId="Encabezado">
    <w:name w:val="header"/>
    <w:basedOn w:val="Normal"/>
    <w:link w:val="EncabezadoCar"/>
    <w:uiPriority w:val="99"/>
    <w:unhideWhenUsed/>
    <w:rsid w:val="009E5BA7"/>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9E5BA7"/>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9E5BA7"/>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9E5BA7"/>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E5BA7"/>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E5BA7"/>
    <w:rPr>
      <w:rFonts w:ascii="Palatino Linotype" w:eastAsia="Times New Roman" w:hAnsi="Palatino Linotype" w:cs="Times New Roman"/>
      <w:sz w:val="24"/>
      <w:szCs w:val="24"/>
      <w:lang w:val="es-ES" w:eastAsia="es-ES"/>
    </w:rPr>
  </w:style>
  <w:style w:type="paragraph" w:customStyle="1" w:styleId="Fundamentos">
    <w:name w:val="Fundamentos"/>
    <w:basedOn w:val="Normal"/>
    <w:qFormat/>
    <w:rsid w:val="009E5BA7"/>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styleId="Puesto">
    <w:name w:val="Title"/>
    <w:aliases w:val="Cita textual"/>
    <w:next w:val="Normal"/>
    <w:link w:val="PuestoCar"/>
    <w:uiPriority w:val="10"/>
    <w:qFormat/>
    <w:rsid w:val="009E5BA7"/>
    <w:pPr>
      <w:spacing w:after="0" w:line="240" w:lineRule="auto"/>
      <w:ind w:left="567" w:right="567"/>
      <w:contextualSpacing/>
      <w:jc w:val="both"/>
    </w:pPr>
    <w:rPr>
      <w:rFonts w:ascii="Palatino Linotype" w:eastAsiaTheme="majorEastAsia" w:hAnsi="Palatino Linotype" w:cstheme="majorBidi"/>
      <w:i/>
      <w:kern w:val="28"/>
      <w:szCs w:val="56"/>
      <w:lang w:eastAsia="es-ES"/>
    </w:rPr>
  </w:style>
  <w:style w:type="character" w:customStyle="1" w:styleId="PuestoCar">
    <w:name w:val="Puesto Car"/>
    <w:aliases w:val="Cita textual Car"/>
    <w:basedOn w:val="Fuentedeprrafopredeter"/>
    <w:link w:val="Puesto"/>
    <w:uiPriority w:val="10"/>
    <w:rsid w:val="009E5BA7"/>
    <w:rPr>
      <w:rFonts w:ascii="Palatino Linotype" w:eastAsiaTheme="majorEastAsia" w:hAnsi="Palatino Linotype" w:cstheme="majorBidi"/>
      <w:i/>
      <w:kern w:val="28"/>
      <w:szCs w:val="56"/>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E5BA7"/>
    <w:pPr>
      <w:spacing w:line="240" w:lineRule="auto"/>
      <w:jc w:val="left"/>
    </w:pPr>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9E5BA7"/>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E5BA7"/>
    <w:rPr>
      <w:vertAlign w:val="superscript"/>
    </w:rPr>
  </w:style>
  <w:style w:type="character" w:styleId="Hipervnculo">
    <w:name w:val="Hyperlink"/>
    <w:basedOn w:val="Fuentedeprrafopredeter"/>
    <w:uiPriority w:val="99"/>
    <w:unhideWhenUsed/>
    <w:rsid w:val="005031A3"/>
    <w:rPr>
      <w:color w:val="0000FF"/>
      <w:u w:val="single"/>
    </w:rPr>
  </w:style>
  <w:style w:type="character" w:customStyle="1" w:styleId="Ttulo5Car">
    <w:name w:val="Título 5 Car"/>
    <w:basedOn w:val="Fuentedeprrafopredeter"/>
    <w:link w:val="Ttulo5"/>
    <w:uiPriority w:val="9"/>
    <w:semiHidden/>
    <w:rsid w:val="006B79C4"/>
    <w:rPr>
      <w:rFonts w:asciiTheme="majorHAnsi" w:eastAsiaTheme="majorEastAsia" w:hAnsiTheme="majorHAnsi" w:cstheme="majorBidi"/>
      <w:color w:val="2E74B5" w:themeColor="accent1" w:themeShade="BF"/>
      <w:sz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320200">
      <w:bodyDiv w:val="1"/>
      <w:marLeft w:val="0"/>
      <w:marRight w:val="0"/>
      <w:marTop w:val="0"/>
      <w:marBottom w:val="0"/>
      <w:divBdr>
        <w:top w:val="none" w:sz="0" w:space="0" w:color="auto"/>
        <w:left w:val="none" w:sz="0" w:space="0" w:color="auto"/>
        <w:bottom w:val="none" w:sz="0" w:space="0" w:color="auto"/>
        <w:right w:val="none" w:sz="0" w:space="0" w:color="auto"/>
      </w:divBdr>
    </w:div>
    <w:div w:id="342586883">
      <w:bodyDiv w:val="1"/>
      <w:marLeft w:val="0"/>
      <w:marRight w:val="0"/>
      <w:marTop w:val="0"/>
      <w:marBottom w:val="0"/>
      <w:divBdr>
        <w:top w:val="none" w:sz="0" w:space="0" w:color="auto"/>
        <w:left w:val="none" w:sz="0" w:space="0" w:color="auto"/>
        <w:bottom w:val="none" w:sz="0" w:space="0" w:color="auto"/>
        <w:right w:val="none" w:sz="0" w:space="0" w:color="auto"/>
      </w:divBdr>
    </w:div>
    <w:div w:id="644967236">
      <w:bodyDiv w:val="1"/>
      <w:marLeft w:val="0"/>
      <w:marRight w:val="0"/>
      <w:marTop w:val="0"/>
      <w:marBottom w:val="0"/>
      <w:divBdr>
        <w:top w:val="none" w:sz="0" w:space="0" w:color="auto"/>
        <w:left w:val="none" w:sz="0" w:space="0" w:color="auto"/>
        <w:bottom w:val="none" w:sz="0" w:space="0" w:color="auto"/>
        <w:right w:val="none" w:sz="0" w:space="0" w:color="auto"/>
      </w:divBdr>
    </w:div>
    <w:div w:id="1864783084">
      <w:bodyDiv w:val="1"/>
      <w:marLeft w:val="0"/>
      <w:marRight w:val="0"/>
      <w:marTop w:val="0"/>
      <w:marBottom w:val="0"/>
      <w:divBdr>
        <w:top w:val="none" w:sz="0" w:space="0" w:color="auto"/>
        <w:left w:val="none" w:sz="0" w:space="0" w:color="auto"/>
        <w:bottom w:val="none" w:sz="0" w:space="0" w:color="auto"/>
        <w:right w:val="none" w:sz="0" w:space="0" w:color="auto"/>
      </w:divBdr>
    </w:div>
    <w:div w:id="1868517877">
      <w:bodyDiv w:val="1"/>
      <w:marLeft w:val="0"/>
      <w:marRight w:val="0"/>
      <w:marTop w:val="0"/>
      <w:marBottom w:val="0"/>
      <w:divBdr>
        <w:top w:val="none" w:sz="0" w:space="0" w:color="auto"/>
        <w:left w:val="none" w:sz="0" w:space="0" w:color="auto"/>
        <w:bottom w:val="none" w:sz="0" w:space="0" w:color="auto"/>
        <w:right w:val="none" w:sz="0" w:space="0" w:color="auto"/>
      </w:divBdr>
    </w:div>
    <w:div w:id="202974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osfem.gob.mx/entidades/entidad.html"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5" Type="http://schemas.openxmlformats.org/officeDocument/2006/relationships/hyperlink" Target="https://www.osfem.gob.mx/assets/fiscalizacion/informes/resultados/2024/s1_auditorias.pdf" TargetMode="External"/><Relationship Id="rId4" Type="http://schemas.openxmlformats.org/officeDocument/2006/relationships/hyperlink" Target="https://www.osfem.gob.mx/assets/conocenos/marco_normativo/acuerdos/2025/acuerdo_04_202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42DB4-8920-47AB-8F52-642BB7F2B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9146</Words>
  <Characters>50303</Characters>
  <Application>Microsoft Office Word</Application>
  <DocSecurity>0</DocSecurity>
  <Lines>419</Lines>
  <Paragraphs>118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59331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5</cp:revision>
  <cp:lastPrinted>2026-06-05T16:58:00Z</cp:lastPrinted>
  <dcterms:created xsi:type="dcterms:W3CDTF">2026-06-04T15:44:00Z</dcterms:created>
  <dcterms:modified xsi:type="dcterms:W3CDTF">2026-06-09T17:22:00Z</dcterms:modified>
</cp:coreProperties>
</file>