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6BFCB6" w14:textId="463B5744" w:rsidR="004A2F65" w:rsidRPr="00E450DD" w:rsidRDefault="00243A40">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Resolución del Pleno del Instituto de Transparencia, Acceso a la Información Pública y Protección de Datos Personales del Estado de México y Municipios, con domicilio en Metepec, Estado de México, a </w:t>
      </w:r>
      <w:r w:rsidR="00AD0349" w:rsidRPr="00E450DD">
        <w:rPr>
          <w:rFonts w:ascii="Palatino Linotype" w:eastAsia="Palatino Linotype" w:hAnsi="Palatino Linotype" w:cs="Palatino Linotype"/>
          <w:b/>
          <w:bCs/>
          <w:sz w:val="22"/>
          <w:szCs w:val="22"/>
        </w:rPr>
        <w:t>veinti</w:t>
      </w:r>
      <w:r w:rsidR="00B417E0" w:rsidRPr="00E450DD">
        <w:rPr>
          <w:rFonts w:ascii="Palatino Linotype" w:eastAsia="Palatino Linotype" w:hAnsi="Palatino Linotype" w:cs="Palatino Linotype"/>
          <w:b/>
          <w:bCs/>
          <w:sz w:val="22"/>
          <w:szCs w:val="22"/>
        </w:rPr>
        <w:t>cuatro</w:t>
      </w:r>
      <w:r w:rsidR="006C6055" w:rsidRPr="00E450DD">
        <w:rPr>
          <w:rFonts w:ascii="Palatino Linotype" w:eastAsia="Palatino Linotype" w:hAnsi="Palatino Linotype" w:cs="Palatino Linotype"/>
          <w:b/>
          <w:bCs/>
          <w:sz w:val="22"/>
          <w:szCs w:val="22"/>
        </w:rPr>
        <w:t xml:space="preserve"> de septiembre</w:t>
      </w:r>
      <w:r w:rsidR="0090258F" w:rsidRPr="00E450DD">
        <w:rPr>
          <w:rFonts w:ascii="Palatino Linotype" w:eastAsia="Palatino Linotype" w:hAnsi="Palatino Linotype" w:cs="Palatino Linotype"/>
          <w:b/>
          <w:bCs/>
          <w:sz w:val="22"/>
          <w:szCs w:val="22"/>
        </w:rPr>
        <w:t xml:space="preserve"> </w:t>
      </w:r>
      <w:r w:rsidRPr="00E450DD">
        <w:rPr>
          <w:rFonts w:ascii="Palatino Linotype" w:eastAsia="Palatino Linotype" w:hAnsi="Palatino Linotype" w:cs="Palatino Linotype"/>
          <w:b/>
          <w:bCs/>
          <w:sz w:val="22"/>
          <w:szCs w:val="22"/>
        </w:rPr>
        <w:t>de dos mil veinticinco</w:t>
      </w:r>
      <w:r w:rsidRPr="00E450DD">
        <w:rPr>
          <w:rFonts w:ascii="Palatino Linotype" w:eastAsia="Palatino Linotype" w:hAnsi="Palatino Linotype" w:cs="Palatino Linotype"/>
          <w:sz w:val="22"/>
          <w:szCs w:val="22"/>
        </w:rPr>
        <w:t xml:space="preserve">. </w:t>
      </w:r>
    </w:p>
    <w:p w14:paraId="12CAB15B" w14:textId="77777777" w:rsidR="004A2F65" w:rsidRPr="00E450DD" w:rsidRDefault="004A2F65">
      <w:pPr>
        <w:spacing w:line="360" w:lineRule="auto"/>
        <w:jc w:val="both"/>
        <w:rPr>
          <w:rFonts w:ascii="Palatino Linotype" w:eastAsia="Palatino Linotype" w:hAnsi="Palatino Linotype" w:cs="Palatino Linotype"/>
          <w:sz w:val="22"/>
          <w:szCs w:val="22"/>
        </w:rPr>
      </w:pPr>
    </w:p>
    <w:p w14:paraId="05029E5E" w14:textId="0BCE1418" w:rsidR="004A2F65" w:rsidRPr="00E450DD" w:rsidRDefault="00243A40">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b/>
          <w:bCs/>
          <w:sz w:val="22"/>
          <w:szCs w:val="22"/>
        </w:rPr>
        <w:t>VISTO</w:t>
      </w:r>
      <w:r w:rsidRPr="00E450DD">
        <w:rPr>
          <w:rFonts w:ascii="Palatino Linotype" w:eastAsia="Palatino Linotype" w:hAnsi="Palatino Linotype" w:cs="Palatino Linotype"/>
          <w:sz w:val="22"/>
          <w:szCs w:val="22"/>
        </w:rPr>
        <w:t xml:space="preserve"> el expediente formado con motivo del recurso de revisión </w:t>
      </w:r>
      <w:r w:rsidRPr="00E450DD">
        <w:rPr>
          <w:rFonts w:ascii="Palatino Linotype" w:eastAsia="Palatino Linotype" w:hAnsi="Palatino Linotype" w:cs="Palatino Linotype"/>
          <w:b/>
          <w:bCs/>
          <w:sz w:val="22"/>
          <w:szCs w:val="22"/>
        </w:rPr>
        <w:t>0</w:t>
      </w:r>
      <w:r w:rsidR="00AD0349" w:rsidRPr="00E450DD">
        <w:rPr>
          <w:rFonts w:ascii="Palatino Linotype" w:eastAsia="Palatino Linotype" w:hAnsi="Palatino Linotype" w:cs="Palatino Linotype"/>
          <w:b/>
          <w:bCs/>
          <w:sz w:val="22"/>
          <w:szCs w:val="22"/>
        </w:rPr>
        <w:t>3807</w:t>
      </w:r>
      <w:r w:rsidRPr="00E450DD">
        <w:rPr>
          <w:rFonts w:ascii="Palatino Linotype" w:eastAsia="Palatino Linotype" w:hAnsi="Palatino Linotype" w:cs="Palatino Linotype"/>
          <w:b/>
          <w:bCs/>
          <w:sz w:val="22"/>
          <w:szCs w:val="22"/>
        </w:rPr>
        <w:t>/INFOEM/IP/RR/2026</w:t>
      </w:r>
      <w:r w:rsidRPr="00E450DD">
        <w:rPr>
          <w:rFonts w:ascii="Palatino Linotype" w:eastAsia="Palatino Linotype" w:hAnsi="Palatino Linotype" w:cs="Palatino Linotype"/>
          <w:sz w:val="22"/>
          <w:szCs w:val="22"/>
        </w:rPr>
        <w:t>, interpuesto por</w:t>
      </w:r>
      <w:r w:rsidR="00DD6A3B" w:rsidRPr="00E450DD">
        <w:t xml:space="preserve"> </w:t>
      </w:r>
      <w:r w:rsidR="00AD0349" w:rsidRPr="00E450DD">
        <w:rPr>
          <w:rFonts w:ascii="Palatino Linotype" w:eastAsia="Palatino Linotype" w:hAnsi="Palatino Linotype" w:cs="Palatino Linotype"/>
          <w:b/>
          <w:bCs/>
          <w:sz w:val="22"/>
          <w:szCs w:val="22"/>
        </w:rPr>
        <w:t>una persona que no proporcionó nombre o seudónimo para ser identificado</w:t>
      </w:r>
      <w:r w:rsidRPr="00E450DD">
        <w:rPr>
          <w:rFonts w:ascii="Palatino Linotype" w:eastAsia="Palatino Linotype" w:hAnsi="Palatino Linotype" w:cs="Palatino Linotype"/>
          <w:b/>
          <w:bCs/>
          <w:sz w:val="22"/>
          <w:szCs w:val="22"/>
        </w:rPr>
        <w:t>,</w:t>
      </w:r>
      <w:r w:rsidRPr="00E450DD">
        <w:rPr>
          <w:rFonts w:ascii="Palatino Linotype" w:eastAsia="Palatino Linotype" w:hAnsi="Palatino Linotype" w:cs="Palatino Linotype"/>
          <w:sz w:val="22"/>
          <w:szCs w:val="22"/>
        </w:rPr>
        <w:t xml:space="preserve"> en lo sucesivo</w:t>
      </w:r>
      <w:r w:rsidRPr="00E450DD">
        <w:rPr>
          <w:rFonts w:ascii="Palatino Linotype" w:eastAsia="Palatino Linotype" w:hAnsi="Palatino Linotype" w:cs="Palatino Linotype"/>
          <w:b/>
          <w:bCs/>
          <w:sz w:val="22"/>
          <w:szCs w:val="22"/>
        </w:rPr>
        <w:t xml:space="preserve"> </w:t>
      </w:r>
      <w:r w:rsidRPr="00E450DD">
        <w:rPr>
          <w:rFonts w:ascii="Palatino Linotype" w:eastAsia="Palatino Linotype" w:hAnsi="Palatino Linotype" w:cs="Palatino Linotype"/>
          <w:sz w:val="22"/>
          <w:szCs w:val="22"/>
        </w:rPr>
        <w:t xml:space="preserve">la parte </w:t>
      </w:r>
      <w:r w:rsidRPr="00E450DD">
        <w:rPr>
          <w:rFonts w:ascii="Palatino Linotype" w:eastAsia="Palatino Linotype" w:hAnsi="Palatino Linotype" w:cs="Palatino Linotype"/>
          <w:b/>
          <w:bCs/>
          <w:sz w:val="22"/>
          <w:szCs w:val="22"/>
        </w:rPr>
        <w:t>Recurrente,</w:t>
      </w:r>
      <w:r w:rsidRPr="00E450DD">
        <w:rPr>
          <w:rFonts w:ascii="Palatino Linotype" w:eastAsia="Palatino Linotype" w:hAnsi="Palatino Linotype" w:cs="Palatino Linotype"/>
          <w:sz w:val="22"/>
          <w:szCs w:val="22"/>
        </w:rPr>
        <w:t xml:space="preserve"> en contra de la respuesta a la solicitud de información con número de folio </w:t>
      </w:r>
      <w:r w:rsidR="00AD0349" w:rsidRPr="00E450DD">
        <w:rPr>
          <w:rFonts w:ascii="Palatino Linotype" w:eastAsia="Palatino Linotype" w:hAnsi="Palatino Linotype" w:cs="Palatino Linotype"/>
          <w:b/>
          <w:bCs/>
          <w:sz w:val="22"/>
          <w:szCs w:val="22"/>
        </w:rPr>
        <w:t>00239/TLALNEPA/IP/2026</w:t>
      </w:r>
      <w:r w:rsidRPr="00E450DD">
        <w:rPr>
          <w:rFonts w:ascii="Palatino Linotype" w:eastAsia="Palatino Linotype" w:hAnsi="Palatino Linotype" w:cs="Palatino Linotype"/>
          <w:b/>
          <w:bCs/>
          <w:sz w:val="22"/>
          <w:szCs w:val="22"/>
        </w:rPr>
        <w:t xml:space="preserve">, </w:t>
      </w:r>
      <w:r w:rsidRPr="00E450DD">
        <w:rPr>
          <w:rFonts w:ascii="Palatino Linotype" w:eastAsia="Palatino Linotype" w:hAnsi="Palatino Linotype" w:cs="Palatino Linotype"/>
          <w:sz w:val="22"/>
          <w:szCs w:val="22"/>
        </w:rPr>
        <w:t xml:space="preserve">por parte del </w:t>
      </w:r>
      <w:r w:rsidR="00AD0349" w:rsidRPr="00E450DD">
        <w:rPr>
          <w:rFonts w:ascii="Palatino Linotype" w:eastAsia="Palatino Linotype" w:hAnsi="Palatino Linotype" w:cs="Palatino Linotype"/>
          <w:b/>
          <w:bCs/>
          <w:sz w:val="22"/>
          <w:szCs w:val="22"/>
        </w:rPr>
        <w:t>Ayuntamiento de Tlalnepantla de Baz</w:t>
      </w:r>
      <w:r w:rsidRPr="00E450DD">
        <w:rPr>
          <w:rFonts w:ascii="Palatino Linotype" w:eastAsia="Palatino Linotype" w:hAnsi="Palatino Linotype" w:cs="Palatino Linotype"/>
          <w:b/>
          <w:bCs/>
          <w:sz w:val="22"/>
          <w:szCs w:val="22"/>
        </w:rPr>
        <w:t xml:space="preserve">, </w:t>
      </w:r>
      <w:r w:rsidRPr="00E450DD">
        <w:rPr>
          <w:rFonts w:ascii="Palatino Linotype" w:eastAsia="Palatino Linotype" w:hAnsi="Palatino Linotype" w:cs="Palatino Linotype"/>
          <w:sz w:val="22"/>
          <w:szCs w:val="22"/>
        </w:rPr>
        <w:t xml:space="preserve">en lo sucesivo el </w:t>
      </w:r>
      <w:r w:rsidRPr="00E450DD">
        <w:rPr>
          <w:rFonts w:ascii="Palatino Linotype" w:eastAsia="Palatino Linotype" w:hAnsi="Palatino Linotype" w:cs="Palatino Linotype"/>
          <w:b/>
          <w:bCs/>
          <w:sz w:val="22"/>
          <w:szCs w:val="22"/>
        </w:rPr>
        <w:t xml:space="preserve">Sujeto Obligado, </w:t>
      </w:r>
      <w:r w:rsidRPr="00E450DD">
        <w:rPr>
          <w:rFonts w:ascii="Palatino Linotype" w:eastAsia="Palatino Linotype" w:hAnsi="Palatino Linotype" w:cs="Palatino Linotype"/>
          <w:sz w:val="22"/>
          <w:szCs w:val="22"/>
        </w:rPr>
        <w:t xml:space="preserve">se procede a dictar la presente resolución con base en los siguientes: </w:t>
      </w:r>
    </w:p>
    <w:p w14:paraId="5082395D" w14:textId="1B65FDDB" w:rsidR="004A2F65" w:rsidRPr="00E450DD" w:rsidRDefault="00243A40">
      <w:pPr>
        <w:spacing w:line="360" w:lineRule="auto"/>
        <w:jc w:val="center"/>
        <w:rPr>
          <w:rFonts w:ascii="Palatino Linotype" w:eastAsia="Palatino Linotype" w:hAnsi="Palatino Linotype" w:cs="Palatino Linotype"/>
          <w:b/>
          <w:bCs/>
          <w:sz w:val="22"/>
          <w:szCs w:val="22"/>
        </w:rPr>
      </w:pPr>
      <w:r w:rsidRPr="00E450DD">
        <w:rPr>
          <w:rFonts w:ascii="Palatino Linotype" w:eastAsia="Palatino Linotype" w:hAnsi="Palatino Linotype" w:cs="Palatino Linotype"/>
          <w:b/>
          <w:bCs/>
          <w:sz w:val="22"/>
          <w:szCs w:val="22"/>
        </w:rPr>
        <w:t>I. A N T E C E D E N T E S</w:t>
      </w:r>
    </w:p>
    <w:p w14:paraId="32C88437" w14:textId="77777777" w:rsidR="0090258F" w:rsidRPr="00E450DD" w:rsidRDefault="0090258F">
      <w:pPr>
        <w:spacing w:line="360" w:lineRule="auto"/>
        <w:jc w:val="center"/>
        <w:rPr>
          <w:rFonts w:ascii="Palatino Linotype" w:eastAsia="Palatino Linotype" w:hAnsi="Palatino Linotype" w:cs="Palatino Linotype"/>
          <w:b/>
          <w:bCs/>
          <w:sz w:val="22"/>
          <w:szCs w:val="22"/>
        </w:rPr>
      </w:pPr>
    </w:p>
    <w:p w14:paraId="2EDF8DFC" w14:textId="01A1244A" w:rsidR="004A2F65" w:rsidRPr="00E450DD" w:rsidRDefault="00243A40">
      <w:pPr>
        <w:spacing w:line="360" w:lineRule="auto"/>
        <w:jc w:val="both"/>
        <w:rPr>
          <w:rFonts w:ascii="Palatino Linotype" w:eastAsia="Palatino Linotype" w:hAnsi="Palatino Linotype" w:cs="Palatino Linotype"/>
          <w:sz w:val="22"/>
          <w:szCs w:val="22"/>
        </w:rPr>
      </w:pPr>
      <w:bookmarkStart w:id="0" w:name="_heading=h.4d34og8" w:colFirst="0" w:colLast="0"/>
      <w:bookmarkEnd w:id="0"/>
      <w:r w:rsidRPr="00E450DD">
        <w:rPr>
          <w:rFonts w:ascii="Palatino Linotype" w:eastAsia="Palatino Linotype" w:hAnsi="Palatino Linotype" w:cs="Palatino Linotype"/>
          <w:b/>
          <w:bCs/>
          <w:sz w:val="22"/>
          <w:szCs w:val="22"/>
        </w:rPr>
        <w:t>1. Solicitud de acceso a la información.</w:t>
      </w:r>
      <w:r w:rsidRPr="00E450DD">
        <w:rPr>
          <w:rFonts w:ascii="Palatino Linotype" w:eastAsia="Palatino Linotype" w:hAnsi="Palatino Linotype" w:cs="Palatino Linotype"/>
          <w:sz w:val="22"/>
          <w:szCs w:val="22"/>
        </w:rPr>
        <w:t xml:space="preserve"> El </w:t>
      </w:r>
      <w:r w:rsidR="00AD0349" w:rsidRPr="00E450DD">
        <w:rPr>
          <w:rFonts w:ascii="Palatino Linotype" w:eastAsia="Palatino Linotype" w:hAnsi="Palatino Linotype" w:cs="Palatino Linotype"/>
          <w:b/>
          <w:bCs/>
          <w:sz w:val="22"/>
          <w:szCs w:val="22"/>
        </w:rPr>
        <w:t>seis de marzo</w:t>
      </w:r>
      <w:r w:rsidR="0003629B" w:rsidRPr="00E450DD">
        <w:rPr>
          <w:rFonts w:ascii="Palatino Linotype" w:eastAsia="Palatino Linotype" w:hAnsi="Palatino Linotype" w:cs="Palatino Linotype"/>
          <w:b/>
          <w:bCs/>
          <w:sz w:val="22"/>
          <w:szCs w:val="22"/>
        </w:rPr>
        <w:t xml:space="preserve"> de</w:t>
      </w:r>
      <w:r w:rsidRPr="00E450DD">
        <w:rPr>
          <w:rFonts w:ascii="Palatino Linotype" w:eastAsia="Palatino Linotype" w:hAnsi="Palatino Linotype" w:cs="Palatino Linotype"/>
          <w:b/>
          <w:bCs/>
          <w:sz w:val="22"/>
          <w:szCs w:val="22"/>
        </w:rPr>
        <w:t xml:space="preserve"> dos mil veintiséis,</w:t>
      </w:r>
      <w:r w:rsidRPr="00E450DD">
        <w:rPr>
          <w:rFonts w:ascii="Palatino Linotype" w:eastAsia="Palatino Linotype" w:hAnsi="Palatino Linotype" w:cs="Palatino Linotype"/>
          <w:sz w:val="22"/>
          <w:szCs w:val="22"/>
        </w:rPr>
        <w:t xml:space="preserve"> la parte </w:t>
      </w:r>
      <w:r w:rsidRPr="00E450DD">
        <w:rPr>
          <w:rFonts w:ascii="Palatino Linotype" w:eastAsia="Palatino Linotype" w:hAnsi="Palatino Linotype" w:cs="Palatino Linotype"/>
          <w:b/>
          <w:bCs/>
          <w:sz w:val="22"/>
          <w:szCs w:val="22"/>
        </w:rPr>
        <w:t xml:space="preserve">Recurrente </w:t>
      </w:r>
      <w:r w:rsidRPr="00E450DD">
        <w:rPr>
          <w:rFonts w:ascii="Palatino Linotype" w:eastAsia="Palatino Linotype" w:hAnsi="Palatino Linotype" w:cs="Palatino Linotype"/>
          <w:sz w:val="22"/>
          <w:szCs w:val="22"/>
        </w:rPr>
        <w:t xml:space="preserve">presentó, a través del Sistema de Acceso a la Información Mexiquense, en lo subsecuente el </w:t>
      </w:r>
      <w:r w:rsidRPr="00E450DD">
        <w:rPr>
          <w:rFonts w:ascii="Palatino Linotype" w:eastAsia="Palatino Linotype" w:hAnsi="Palatino Linotype" w:cs="Palatino Linotype"/>
          <w:b/>
          <w:bCs/>
          <w:sz w:val="22"/>
          <w:szCs w:val="22"/>
        </w:rPr>
        <w:t>SAIMEX,</w:t>
      </w:r>
      <w:r w:rsidRPr="00E450DD">
        <w:rPr>
          <w:rFonts w:ascii="Palatino Linotype" w:eastAsia="Palatino Linotype" w:hAnsi="Palatino Linotype" w:cs="Palatino Linotype"/>
          <w:sz w:val="22"/>
          <w:szCs w:val="22"/>
        </w:rPr>
        <w:t xml:space="preserve"> ante el </w:t>
      </w:r>
      <w:r w:rsidRPr="00E450DD">
        <w:rPr>
          <w:rFonts w:ascii="Palatino Linotype" w:eastAsia="Palatino Linotype" w:hAnsi="Palatino Linotype" w:cs="Palatino Linotype"/>
          <w:b/>
          <w:bCs/>
          <w:sz w:val="22"/>
          <w:szCs w:val="22"/>
        </w:rPr>
        <w:t>Sujeto Obligado</w:t>
      </w:r>
      <w:r w:rsidRPr="00E450DD">
        <w:rPr>
          <w:rFonts w:ascii="Palatino Linotype" w:eastAsia="Palatino Linotype" w:hAnsi="Palatino Linotype" w:cs="Palatino Linotype"/>
          <w:sz w:val="22"/>
          <w:szCs w:val="22"/>
        </w:rPr>
        <w:t xml:space="preserve">, la solicitud de acceso a la información pública, mediante la cual requirió la información siguiente: </w:t>
      </w:r>
    </w:p>
    <w:p w14:paraId="0B8DE417" w14:textId="53C8E99A" w:rsidR="004A2F65" w:rsidRPr="00E450DD" w:rsidRDefault="00243A40" w:rsidP="0003629B">
      <w:pPr>
        <w:ind w:left="851" w:right="902"/>
        <w:jc w:val="both"/>
        <w:rPr>
          <w:rFonts w:ascii="Palatino Linotype" w:eastAsia="Palatino Linotype" w:hAnsi="Palatino Linotype" w:cs="Palatino Linotype"/>
          <w:i/>
          <w:iCs/>
          <w:sz w:val="22"/>
          <w:szCs w:val="22"/>
        </w:rPr>
      </w:pPr>
      <w:bookmarkStart w:id="1" w:name="_heading=h.gjdgxs" w:colFirst="0" w:colLast="0"/>
      <w:bookmarkEnd w:id="1"/>
      <w:r w:rsidRPr="00E450DD">
        <w:rPr>
          <w:rFonts w:ascii="Palatino Linotype" w:eastAsia="Palatino Linotype" w:hAnsi="Palatino Linotype" w:cs="Palatino Linotype"/>
          <w:i/>
          <w:iCs/>
          <w:sz w:val="22"/>
          <w:szCs w:val="22"/>
        </w:rPr>
        <w:t xml:space="preserve"> “</w:t>
      </w:r>
      <w:r w:rsidR="00AD0349" w:rsidRPr="00E450DD">
        <w:rPr>
          <w:rFonts w:ascii="Palatino Linotype" w:eastAsia="Palatino Linotype" w:hAnsi="Palatino Linotype" w:cs="Palatino Linotype"/>
          <w:b/>
          <w:i/>
          <w:iCs/>
          <w:sz w:val="22"/>
          <w:szCs w:val="22"/>
        </w:rPr>
        <w:t>olicitamos de informe el pago de horas extras en el municipio</w:t>
      </w:r>
      <w:r w:rsidR="00AD0349" w:rsidRPr="00E450DD">
        <w:rPr>
          <w:rFonts w:ascii="Palatino Linotype" w:eastAsia="Palatino Linotype" w:hAnsi="Palatino Linotype" w:cs="Palatino Linotype"/>
          <w:i/>
          <w:iCs/>
          <w:sz w:val="22"/>
          <w:szCs w:val="22"/>
        </w:rPr>
        <w:t>, si esta Administración respeta los derechos laborales de los trabajadores y de no pagar horas extras el PRESIDENTE SE PRONUNCIE PORQUE SE OBLIGA A TRABAJAR EN HORARIOS EXTENDIDOS DESPUÉS DE LAS 6 DE LA TARDE, TAMBIEN SE SOLICITA CONOCER ODICIO DEL PRESIDENTE indicando que se debe trabajar en ese horario y si algún trabajador tuviera un accidente al salir del trabajo después de las 6 de la tarde se tomaría como accidente de trabajo y quien es el servidor público responsable, el jefe inmediato o la Presidencia , se quiere conocer la situación laboral de los trabajadore para solicitar al ejecutivo estatal de fije en el actuar de sus municipios</w:t>
      </w:r>
      <w:r w:rsidRPr="00E450DD">
        <w:rPr>
          <w:rFonts w:ascii="Palatino Linotype" w:eastAsia="Palatino Linotype" w:hAnsi="Palatino Linotype" w:cs="Palatino Linotype"/>
          <w:i/>
          <w:iCs/>
          <w:sz w:val="22"/>
          <w:szCs w:val="22"/>
        </w:rPr>
        <w:t xml:space="preserve">” (sic) </w:t>
      </w:r>
    </w:p>
    <w:p w14:paraId="5D73EE4A" w14:textId="77777777" w:rsidR="004A2F65" w:rsidRPr="00E450DD" w:rsidRDefault="004A2F65">
      <w:pPr>
        <w:ind w:left="851" w:right="902"/>
        <w:jc w:val="both"/>
        <w:rPr>
          <w:rFonts w:ascii="Palatino Linotype" w:eastAsia="Palatino Linotype" w:hAnsi="Palatino Linotype" w:cs="Palatino Linotype"/>
          <w:b/>
          <w:bCs/>
          <w:i/>
          <w:iCs/>
          <w:sz w:val="22"/>
          <w:szCs w:val="22"/>
        </w:rPr>
      </w:pPr>
    </w:p>
    <w:p w14:paraId="438985F8" w14:textId="77777777" w:rsidR="004A2F65" w:rsidRPr="00E450DD" w:rsidRDefault="00243A40">
      <w:pPr>
        <w:spacing w:line="360" w:lineRule="auto"/>
        <w:jc w:val="both"/>
        <w:rPr>
          <w:rFonts w:ascii="Palatino Linotype" w:eastAsia="Palatino Linotype" w:hAnsi="Palatino Linotype" w:cs="Palatino Linotype"/>
          <w:b/>
          <w:bCs/>
          <w:sz w:val="22"/>
          <w:szCs w:val="22"/>
        </w:rPr>
      </w:pPr>
      <w:bookmarkStart w:id="2" w:name="_heading=h.3dy6vkm" w:colFirst="0" w:colLast="0"/>
      <w:bookmarkEnd w:id="2"/>
      <w:r w:rsidRPr="00E450DD">
        <w:rPr>
          <w:rFonts w:ascii="Palatino Linotype" w:eastAsia="Palatino Linotype" w:hAnsi="Palatino Linotype" w:cs="Palatino Linotype"/>
          <w:b/>
          <w:bCs/>
          <w:sz w:val="22"/>
          <w:szCs w:val="22"/>
        </w:rPr>
        <w:t>Modalidad de Entrega:</w:t>
      </w:r>
      <w:r w:rsidRPr="00E450DD">
        <w:rPr>
          <w:rFonts w:ascii="Palatino Linotype" w:eastAsia="Palatino Linotype" w:hAnsi="Palatino Linotype" w:cs="Palatino Linotype"/>
          <w:sz w:val="22"/>
          <w:szCs w:val="22"/>
        </w:rPr>
        <w:t xml:space="preserve"> a través </w:t>
      </w:r>
      <w:r w:rsidRPr="00E450DD">
        <w:rPr>
          <w:rFonts w:ascii="Palatino Linotype" w:eastAsia="Palatino Linotype" w:hAnsi="Palatino Linotype" w:cs="Palatino Linotype"/>
          <w:b/>
          <w:bCs/>
          <w:sz w:val="22"/>
          <w:szCs w:val="22"/>
        </w:rPr>
        <w:t>de SAIMEX</w:t>
      </w:r>
    </w:p>
    <w:p w14:paraId="0DE542F4" w14:textId="77777777" w:rsidR="004A2F65" w:rsidRPr="00E450DD" w:rsidRDefault="004A2F65">
      <w:pPr>
        <w:spacing w:line="360" w:lineRule="auto"/>
        <w:jc w:val="both"/>
        <w:rPr>
          <w:rFonts w:ascii="Palatino Linotype" w:eastAsia="Palatino Linotype" w:hAnsi="Palatino Linotype" w:cs="Palatino Linotype"/>
          <w:sz w:val="22"/>
          <w:szCs w:val="22"/>
        </w:rPr>
      </w:pPr>
    </w:p>
    <w:p w14:paraId="2F464589" w14:textId="19484FCD" w:rsidR="004A2F65" w:rsidRPr="00E450DD" w:rsidRDefault="00243A40">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b/>
          <w:bCs/>
          <w:sz w:val="22"/>
          <w:szCs w:val="22"/>
        </w:rPr>
        <w:lastRenderedPageBreak/>
        <w:t xml:space="preserve">2. Respuesta. </w:t>
      </w:r>
      <w:r w:rsidRPr="00E450DD">
        <w:rPr>
          <w:rFonts w:ascii="Palatino Linotype" w:eastAsia="Palatino Linotype" w:hAnsi="Palatino Linotype" w:cs="Palatino Linotype"/>
          <w:sz w:val="22"/>
          <w:szCs w:val="22"/>
        </w:rPr>
        <w:t>El</w:t>
      </w:r>
      <w:r w:rsidRPr="00E450DD">
        <w:rPr>
          <w:rFonts w:ascii="Palatino Linotype" w:eastAsia="Palatino Linotype" w:hAnsi="Palatino Linotype" w:cs="Palatino Linotype"/>
          <w:b/>
          <w:bCs/>
          <w:sz w:val="22"/>
          <w:szCs w:val="22"/>
        </w:rPr>
        <w:t xml:space="preserve"> </w:t>
      </w:r>
      <w:r w:rsidR="00AD0349" w:rsidRPr="00E450DD">
        <w:rPr>
          <w:rFonts w:ascii="Palatino Linotype" w:eastAsia="Palatino Linotype" w:hAnsi="Palatino Linotype" w:cs="Palatino Linotype"/>
          <w:b/>
          <w:bCs/>
          <w:sz w:val="22"/>
          <w:szCs w:val="22"/>
        </w:rPr>
        <w:t>trece de marzo</w:t>
      </w:r>
      <w:r w:rsidRPr="00E450DD">
        <w:rPr>
          <w:rFonts w:ascii="Palatino Linotype" w:eastAsia="Palatino Linotype" w:hAnsi="Palatino Linotype" w:cs="Palatino Linotype"/>
          <w:b/>
          <w:bCs/>
          <w:sz w:val="22"/>
          <w:szCs w:val="22"/>
        </w:rPr>
        <w:t xml:space="preserve"> de dos mil veintiséis</w:t>
      </w:r>
      <w:r w:rsidRPr="00E450DD">
        <w:rPr>
          <w:rFonts w:ascii="Palatino Linotype" w:eastAsia="Palatino Linotype" w:hAnsi="Palatino Linotype" w:cs="Palatino Linotype"/>
          <w:sz w:val="22"/>
          <w:szCs w:val="22"/>
        </w:rPr>
        <w:t xml:space="preserve">, el </w:t>
      </w:r>
      <w:r w:rsidRPr="00E450DD">
        <w:rPr>
          <w:rFonts w:ascii="Palatino Linotype" w:eastAsia="Palatino Linotype" w:hAnsi="Palatino Linotype" w:cs="Palatino Linotype"/>
          <w:b/>
          <w:bCs/>
          <w:sz w:val="22"/>
          <w:szCs w:val="22"/>
        </w:rPr>
        <w:t xml:space="preserve">Sujeto Obligado </w:t>
      </w:r>
      <w:r w:rsidRPr="00E450DD">
        <w:rPr>
          <w:rFonts w:ascii="Palatino Linotype" w:eastAsia="Palatino Linotype" w:hAnsi="Palatino Linotype" w:cs="Palatino Linotype"/>
          <w:sz w:val="22"/>
          <w:szCs w:val="22"/>
        </w:rPr>
        <w:t>envió su respuesta a la solicitud de acceso a la información a través de SAIMEX, sustancialmente en los términos siguientes:</w:t>
      </w:r>
    </w:p>
    <w:p w14:paraId="35E669C5" w14:textId="77777777" w:rsidR="004A2F65" w:rsidRPr="00E450DD" w:rsidRDefault="004A2F65">
      <w:pPr>
        <w:spacing w:line="360" w:lineRule="auto"/>
        <w:jc w:val="both"/>
        <w:rPr>
          <w:rFonts w:ascii="Palatino Linotype" w:eastAsia="Palatino Linotype" w:hAnsi="Palatino Linotype" w:cs="Palatino Linotype"/>
          <w:sz w:val="22"/>
          <w:szCs w:val="22"/>
        </w:rPr>
      </w:pPr>
    </w:p>
    <w:p w14:paraId="63746B9A" w14:textId="594067EB" w:rsidR="004A2F65" w:rsidRPr="00E450DD" w:rsidRDefault="00243A40">
      <w:pPr>
        <w:ind w:left="851"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w:t>
      </w:r>
      <w:r w:rsidR="00AD0349" w:rsidRPr="00E450DD">
        <w:rPr>
          <w:rFonts w:ascii="Palatino Linotype" w:eastAsia="Palatino Linotype" w:hAnsi="Palatino Linotype" w:cs="Palatino Linotype"/>
          <w:i/>
          <w:iCs/>
          <w:sz w:val="22"/>
          <w:szCs w:val="22"/>
        </w:rPr>
        <w:t>Por este medio reciba un cordial saludo y con fundamento en los artículos 6 de la Constitución Política de los Estados Unidos Mexicanos; 5 párrafo décimo séptimo, décimo octavo y décimo noveno de la Constitución Política del Estado Libre y Soberano de México; así como los artículos 1, 4, 12 segundo párrafo, 23 fracción IV, 24 tercer párrafo, 53, 59, 88 y 173 de la Ley de Transparencia y Acceso a la Información Pública del Estado de México y Municipios, se remite la respuesta a su solicitud de acceso a la información por parte del Servidor Público Habilitado competente.</w:t>
      </w:r>
      <w:r w:rsidRPr="00E450DD">
        <w:rPr>
          <w:rFonts w:ascii="Palatino Linotype" w:eastAsia="Palatino Linotype" w:hAnsi="Palatino Linotype" w:cs="Palatino Linotype"/>
          <w:i/>
          <w:iCs/>
          <w:sz w:val="22"/>
          <w:szCs w:val="22"/>
        </w:rPr>
        <w:t>” (sic)</w:t>
      </w:r>
    </w:p>
    <w:p w14:paraId="0450E644" w14:textId="77777777" w:rsidR="004A2F65" w:rsidRPr="00E450DD" w:rsidRDefault="004A2F65" w:rsidP="00AD0349">
      <w:pPr>
        <w:ind w:right="902"/>
        <w:jc w:val="both"/>
        <w:rPr>
          <w:rFonts w:ascii="Palatino Linotype" w:eastAsia="Palatino Linotype" w:hAnsi="Palatino Linotype" w:cs="Palatino Linotype"/>
          <w:b/>
          <w:bCs/>
          <w:i/>
          <w:iCs/>
          <w:sz w:val="22"/>
          <w:szCs w:val="22"/>
        </w:rPr>
      </w:pPr>
    </w:p>
    <w:p w14:paraId="36F53E01" w14:textId="4EFD592B" w:rsidR="00AD0349" w:rsidRPr="00E450DD" w:rsidRDefault="00AD0349" w:rsidP="00AD0349">
      <w:pPr>
        <w:ind w:right="902"/>
        <w:jc w:val="both"/>
        <w:rPr>
          <w:rFonts w:ascii="Palatino Linotype" w:eastAsia="Palatino Linotype" w:hAnsi="Palatino Linotype" w:cs="Palatino Linotype"/>
          <w:bCs/>
          <w:iCs/>
          <w:sz w:val="22"/>
          <w:szCs w:val="22"/>
        </w:rPr>
      </w:pPr>
      <w:r w:rsidRPr="00E450DD">
        <w:rPr>
          <w:rFonts w:ascii="Palatino Linotype" w:eastAsia="Palatino Linotype" w:hAnsi="Palatino Linotype" w:cs="Palatino Linotype"/>
          <w:bCs/>
          <w:iCs/>
          <w:sz w:val="22"/>
          <w:szCs w:val="22"/>
        </w:rPr>
        <w:t xml:space="preserve">Adjunto a la respuesta, el </w:t>
      </w:r>
      <w:r w:rsidRPr="00E450DD">
        <w:rPr>
          <w:rFonts w:ascii="Palatino Linotype" w:eastAsia="Palatino Linotype" w:hAnsi="Palatino Linotype" w:cs="Palatino Linotype"/>
          <w:b/>
          <w:bCs/>
          <w:iCs/>
          <w:sz w:val="22"/>
          <w:szCs w:val="22"/>
        </w:rPr>
        <w:t xml:space="preserve">Sujeto Obligado </w:t>
      </w:r>
      <w:r w:rsidRPr="00E450DD">
        <w:rPr>
          <w:rFonts w:ascii="Palatino Linotype" w:eastAsia="Palatino Linotype" w:hAnsi="Palatino Linotype" w:cs="Palatino Linotype"/>
          <w:bCs/>
          <w:iCs/>
          <w:sz w:val="22"/>
          <w:szCs w:val="22"/>
        </w:rPr>
        <w:t>proporcionó la siguiente información:</w:t>
      </w:r>
    </w:p>
    <w:p w14:paraId="68529A64" w14:textId="77777777" w:rsidR="00AD0349" w:rsidRPr="00E450DD" w:rsidRDefault="00AD0349" w:rsidP="00AD0349">
      <w:pPr>
        <w:ind w:right="902"/>
        <w:jc w:val="both"/>
        <w:rPr>
          <w:rFonts w:ascii="Palatino Linotype" w:eastAsia="Palatino Linotype" w:hAnsi="Palatino Linotype" w:cs="Palatino Linotype"/>
          <w:bCs/>
          <w:iCs/>
          <w:sz w:val="22"/>
          <w:szCs w:val="22"/>
        </w:rPr>
      </w:pPr>
    </w:p>
    <w:p w14:paraId="43F9CB04" w14:textId="42CA3375" w:rsidR="00AD0349" w:rsidRPr="00E450DD" w:rsidRDefault="00480778" w:rsidP="00480778">
      <w:pPr>
        <w:pStyle w:val="Prrafodelista"/>
        <w:numPr>
          <w:ilvl w:val="0"/>
          <w:numId w:val="21"/>
        </w:numPr>
        <w:spacing w:line="276" w:lineRule="auto"/>
        <w:ind w:right="902"/>
        <w:jc w:val="both"/>
        <w:rPr>
          <w:rFonts w:ascii="Palatino Linotype" w:eastAsia="Palatino Linotype" w:hAnsi="Palatino Linotype" w:cs="Palatino Linotype"/>
          <w:bCs/>
          <w:iCs/>
          <w:sz w:val="22"/>
          <w:szCs w:val="22"/>
        </w:rPr>
      </w:pPr>
      <w:r w:rsidRPr="00E450DD">
        <w:rPr>
          <w:rFonts w:ascii="Palatino Linotype" w:eastAsia="Palatino Linotype" w:hAnsi="Palatino Linotype" w:cs="Palatino Linotype"/>
          <w:bCs/>
          <w:iCs/>
          <w:sz w:val="22"/>
          <w:szCs w:val="22"/>
        </w:rPr>
        <w:t>Oficio del 12 de marzo de 2026, a través del cual la Coordinadora Jurídica refiere remitir oficio de respuesta de la Subdirección de Recursos Humanos.</w:t>
      </w:r>
    </w:p>
    <w:p w14:paraId="07F3C582" w14:textId="682076FB" w:rsidR="00480778" w:rsidRPr="00E450DD" w:rsidRDefault="00480778" w:rsidP="00480778">
      <w:pPr>
        <w:pStyle w:val="Prrafodelista"/>
        <w:numPr>
          <w:ilvl w:val="0"/>
          <w:numId w:val="21"/>
        </w:numPr>
        <w:spacing w:line="276" w:lineRule="auto"/>
        <w:ind w:right="902"/>
        <w:jc w:val="both"/>
        <w:rPr>
          <w:rFonts w:ascii="Palatino Linotype" w:eastAsia="Palatino Linotype" w:hAnsi="Palatino Linotype" w:cs="Palatino Linotype"/>
          <w:bCs/>
          <w:iCs/>
          <w:sz w:val="22"/>
          <w:szCs w:val="22"/>
        </w:rPr>
      </w:pPr>
      <w:r w:rsidRPr="00E450DD">
        <w:rPr>
          <w:rFonts w:ascii="Palatino Linotype" w:eastAsia="Palatino Linotype" w:hAnsi="Palatino Linotype" w:cs="Palatino Linotype"/>
          <w:bCs/>
          <w:iCs/>
          <w:sz w:val="22"/>
          <w:szCs w:val="22"/>
        </w:rPr>
        <w:t xml:space="preserve">Oficio del 09 de marzo de 2026, a través del cual la Subdirectora de Recursos Humanos </w:t>
      </w:r>
      <w:r w:rsidR="00ED7571" w:rsidRPr="00E450DD">
        <w:rPr>
          <w:rFonts w:ascii="Palatino Linotype" w:eastAsia="Palatino Linotype" w:hAnsi="Palatino Linotype" w:cs="Palatino Linotype"/>
          <w:bCs/>
          <w:iCs/>
          <w:sz w:val="22"/>
          <w:szCs w:val="22"/>
        </w:rPr>
        <w:t>refiere que lo requerido no constituye una solicitud de información pública, sino cuestionamientos de los cuales se requiere la emisión un pronunciamiento sobre temas en particular; aunado a que no se encontró documento donde conste lo requerido.</w:t>
      </w:r>
    </w:p>
    <w:p w14:paraId="795872A5" w14:textId="77777777" w:rsidR="00AD0349" w:rsidRPr="00E450DD" w:rsidRDefault="00AD0349" w:rsidP="00AD0349">
      <w:pPr>
        <w:ind w:right="902"/>
        <w:jc w:val="both"/>
        <w:rPr>
          <w:rFonts w:ascii="Palatino Linotype" w:eastAsia="Palatino Linotype" w:hAnsi="Palatino Linotype" w:cs="Palatino Linotype"/>
          <w:b/>
          <w:bCs/>
          <w:i/>
          <w:iCs/>
          <w:sz w:val="22"/>
          <w:szCs w:val="22"/>
        </w:rPr>
      </w:pPr>
    </w:p>
    <w:p w14:paraId="4A0A9B13" w14:textId="4977D32C" w:rsidR="004A2F65" w:rsidRPr="00E450DD" w:rsidRDefault="00243A40" w:rsidP="006C6055">
      <w:pPr>
        <w:pBdr>
          <w:top w:val="nil"/>
          <w:left w:val="nil"/>
          <w:bottom w:val="nil"/>
          <w:right w:val="nil"/>
          <w:between w:val="nil"/>
        </w:pBdr>
        <w:spacing w:line="360" w:lineRule="auto"/>
        <w:ind w:right="49"/>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b/>
          <w:bCs/>
          <w:sz w:val="22"/>
          <w:szCs w:val="22"/>
        </w:rPr>
        <w:t xml:space="preserve">3. Interposición del recurso de revisión. </w:t>
      </w:r>
      <w:r w:rsidRPr="00E450DD">
        <w:rPr>
          <w:rFonts w:ascii="Palatino Linotype" w:eastAsia="Palatino Linotype" w:hAnsi="Palatino Linotype" w:cs="Palatino Linotype"/>
          <w:sz w:val="22"/>
          <w:szCs w:val="22"/>
        </w:rPr>
        <w:t xml:space="preserve">Inconforme con los términos de la respuesta emitida por parte del </w:t>
      </w:r>
      <w:r w:rsidRPr="00E450DD">
        <w:rPr>
          <w:rFonts w:ascii="Palatino Linotype" w:eastAsia="Palatino Linotype" w:hAnsi="Palatino Linotype" w:cs="Palatino Linotype"/>
          <w:b/>
          <w:bCs/>
          <w:sz w:val="22"/>
          <w:szCs w:val="22"/>
        </w:rPr>
        <w:t>Sujeto Obligado</w:t>
      </w:r>
      <w:r w:rsidRPr="00E450DD">
        <w:rPr>
          <w:rFonts w:ascii="Palatino Linotype" w:eastAsia="Palatino Linotype" w:hAnsi="Palatino Linotype" w:cs="Palatino Linotype"/>
          <w:sz w:val="22"/>
          <w:szCs w:val="22"/>
        </w:rPr>
        <w:t xml:space="preserve">, el </w:t>
      </w:r>
      <w:r w:rsidR="00ED7571" w:rsidRPr="00E450DD">
        <w:rPr>
          <w:rFonts w:ascii="Palatino Linotype" w:eastAsia="Palatino Linotype" w:hAnsi="Palatino Linotype" w:cs="Palatino Linotype"/>
          <w:b/>
          <w:bCs/>
          <w:sz w:val="22"/>
          <w:szCs w:val="22"/>
        </w:rPr>
        <w:t>nueve</w:t>
      </w:r>
      <w:r w:rsidR="00B17074" w:rsidRPr="00E450DD">
        <w:rPr>
          <w:rFonts w:ascii="Palatino Linotype" w:eastAsia="Palatino Linotype" w:hAnsi="Palatino Linotype" w:cs="Palatino Linotype"/>
          <w:b/>
          <w:bCs/>
          <w:sz w:val="22"/>
          <w:szCs w:val="22"/>
        </w:rPr>
        <w:t xml:space="preserve"> de </w:t>
      </w:r>
      <w:r w:rsidR="007C6E99" w:rsidRPr="00E450DD">
        <w:rPr>
          <w:rFonts w:ascii="Palatino Linotype" w:eastAsia="Palatino Linotype" w:hAnsi="Palatino Linotype" w:cs="Palatino Linotype"/>
          <w:b/>
          <w:bCs/>
          <w:sz w:val="22"/>
          <w:szCs w:val="22"/>
        </w:rPr>
        <w:t>abril</w:t>
      </w:r>
      <w:r w:rsidRPr="00E450DD">
        <w:rPr>
          <w:rFonts w:ascii="Palatino Linotype" w:eastAsia="Palatino Linotype" w:hAnsi="Palatino Linotype" w:cs="Palatino Linotype"/>
          <w:b/>
          <w:bCs/>
          <w:sz w:val="22"/>
          <w:szCs w:val="22"/>
        </w:rPr>
        <w:t xml:space="preserve"> de dos mil veintiséis,</w:t>
      </w:r>
      <w:r w:rsidRPr="00E450DD">
        <w:rPr>
          <w:rFonts w:ascii="Palatino Linotype" w:eastAsia="Palatino Linotype" w:hAnsi="Palatino Linotype" w:cs="Palatino Linotype"/>
          <w:sz w:val="22"/>
          <w:szCs w:val="22"/>
        </w:rPr>
        <w:t xml:space="preserve"> la parte </w:t>
      </w:r>
      <w:r w:rsidRPr="00E450DD">
        <w:rPr>
          <w:rFonts w:ascii="Palatino Linotype" w:eastAsia="Palatino Linotype" w:hAnsi="Palatino Linotype" w:cs="Palatino Linotype"/>
          <w:b/>
          <w:bCs/>
          <w:sz w:val="22"/>
          <w:szCs w:val="22"/>
        </w:rPr>
        <w:t>Recurrente</w:t>
      </w:r>
      <w:r w:rsidRPr="00E450DD">
        <w:rPr>
          <w:rFonts w:ascii="Palatino Linotype" w:eastAsia="Palatino Linotype" w:hAnsi="Palatino Linotype" w:cs="Palatino Linotype"/>
          <w:sz w:val="22"/>
          <w:szCs w:val="22"/>
        </w:rPr>
        <w:t xml:space="preserve"> interpuso el recurso de revisión a través de </w:t>
      </w:r>
      <w:r w:rsidRPr="00E450DD">
        <w:rPr>
          <w:rFonts w:ascii="Palatino Linotype" w:eastAsia="Palatino Linotype" w:hAnsi="Palatino Linotype" w:cs="Palatino Linotype"/>
          <w:b/>
          <w:bCs/>
          <w:sz w:val="22"/>
          <w:szCs w:val="22"/>
        </w:rPr>
        <w:t xml:space="preserve">SAIMEX, </w:t>
      </w:r>
      <w:r w:rsidRPr="00E450DD">
        <w:rPr>
          <w:rFonts w:ascii="Palatino Linotype" w:eastAsia="Palatino Linotype" w:hAnsi="Palatino Linotype" w:cs="Palatino Linotype"/>
          <w:sz w:val="22"/>
          <w:szCs w:val="22"/>
        </w:rPr>
        <w:t>en donde se manifestó de la siguiente manera:</w:t>
      </w:r>
    </w:p>
    <w:p w14:paraId="13EC0F28" w14:textId="77777777" w:rsidR="004A2F65" w:rsidRPr="00E450DD" w:rsidRDefault="004A2F65">
      <w:pPr>
        <w:spacing w:line="360" w:lineRule="auto"/>
        <w:ind w:right="49"/>
        <w:jc w:val="both"/>
        <w:rPr>
          <w:rFonts w:ascii="Palatino Linotype" w:eastAsia="Palatino Linotype" w:hAnsi="Palatino Linotype" w:cs="Palatino Linotype"/>
          <w:b/>
          <w:bCs/>
          <w:sz w:val="18"/>
          <w:szCs w:val="18"/>
        </w:rPr>
      </w:pPr>
    </w:p>
    <w:p w14:paraId="620E308B" w14:textId="77777777" w:rsidR="004A2F65" w:rsidRPr="00E450DD" w:rsidRDefault="00243A40">
      <w:pPr>
        <w:tabs>
          <w:tab w:val="left" w:pos="2745"/>
        </w:tabs>
        <w:spacing w:line="360" w:lineRule="auto"/>
        <w:jc w:val="both"/>
        <w:rPr>
          <w:rFonts w:ascii="Palatino Linotype" w:eastAsia="Palatino Linotype" w:hAnsi="Palatino Linotype" w:cs="Palatino Linotype"/>
          <w:b/>
          <w:bCs/>
          <w:sz w:val="22"/>
          <w:szCs w:val="22"/>
        </w:rPr>
      </w:pPr>
      <w:r w:rsidRPr="00E450DD">
        <w:rPr>
          <w:rFonts w:ascii="Palatino Linotype" w:eastAsia="Palatino Linotype" w:hAnsi="Palatino Linotype" w:cs="Palatino Linotype"/>
          <w:b/>
          <w:bCs/>
          <w:sz w:val="22"/>
          <w:szCs w:val="22"/>
        </w:rPr>
        <w:t xml:space="preserve">Acto impugnado: </w:t>
      </w:r>
    </w:p>
    <w:p w14:paraId="55693B7B" w14:textId="69A7F257" w:rsidR="004A2F65" w:rsidRPr="00E450DD" w:rsidRDefault="00243A40">
      <w:pPr>
        <w:tabs>
          <w:tab w:val="left" w:pos="2745"/>
        </w:tabs>
        <w:ind w:left="851" w:right="900"/>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w:t>
      </w:r>
      <w:r w:rsidR="00ED7571" w:rsidRPr="00E450DD">
        <w:rPr>
          <w:rFonts w:ascii="Palatino Linotype" w:eastAsia="Palatino Linotype" w:hAnsi="Palatino Linotype" w:cs="Palatino Linotype"/>
          <w:i/>
          <w:iCs/>
          <w:sz w:val="22"/>
          <w:szCs w:val="22"/>
        </w:rPr>
        <w:t>Se niega la información vulnerando el Derecho Humano a la Información por parte de la Oficialía que está dando esa respuesta</w:t>
      </w:r>
      <w:r w:rsidRPr="00E450DD">
        <w:rPr>
          <w:rFonts w:ascii="Palatino Linotype" w:eastAsia="Palatino Linotype" w:hAnsi="Palatino Linotype" w:cs="Palatino Linotype"/>
          <w:i/>
          <w:iCs/>
          <w:sz w:val="22"/>
          <w:szCs w:val="22"/>
        </w:rPr>
        <w:t>” (sic)</w:t>
      </w:r>
    </w:p>
    <w:p w14:paraId="411BC89B" w14:textId="77777777" w:rsidR="004A2F65" w:rsidRPr="00E450DD" w:rsidRDefault="004A2F65">
      <w:pPr>
        <w:tabs>
          <w:tab w:val="left" w:pos="2745"/>
        </w:tabs>
        <w:ind w:left="851" w:right="900"/>
        <w:jc w:val="both"/>
        <w:rPr>
          <w:rFonts w:ascii="Palatino Linotype" w:eastAsia="Palatino Linotype" w:hAnsi="Palatino Linotype" w:cs="Palatino Linotype"/>
          <w:i/>
          <w:iCs/>
          <w:sz w:val="22"/>
          <w:szCs w:val="22"/>
        </w:rPr>
      </w:pPr>
    </w:p>
    <w:p w14:paraId="61EBC3DD" w14:textId="77777777" w:rsidR="004A2F65" w:rsidRPr="00E450DD" w:rsidRDefault="00243A40">
      <w:pPr>
        <w:spacing w:line="360" w:lineRule="auto"/>
        <w:jc w:val="both"/>
        <w:rPr>
          <w:rFonts w:ascii="Palatino Linotype" w:eastAsia="Palatino Linotype" w:hAnsi="Palatino Linotype" w:cs="Palatino Linotype"/>
          <w:sz w:val="22"/>
          <w:szCs w:val="22"/>
        </w:rPr>
      </w:pPr>
      <w:bookmarkStart w:id="3" w:name="_heading=h.30j0zll" w:colFirst="0" w:colLast="0"/>
      <w:bookmarkEnd w:id="3"/>
      <w:r w:rsidRPr="00E450DD">
        <w:rPr>
          <w:rFonts w:ascii="Palatino Linotype" w:eastAsia="Palatino Linotype" w:hAnsi="Palatino Linotype" w:cs="Palatino Linotype"/>
          <w:b/>
          <w:bCs/>
          <w:sz w:val="22"/>
          <w:szCs w:val="22"/>
        </w:rPr>
        <w:lastRenderedPageBreak/>
        <w:t>Y Razones o motivos de inconformidad</w:t>
      </w:r>
      <w:r w:rsidRPr="00E450DD">
        <w:rPr>
          <w:rFonts w:ascii="Palatino Linotype" w:eastAsia="Palatino Linotype" w:hAnsi="Palatino Linotype" w:cs="Palatino Linotype"/>
          <w:sz w:val="22"/>
          <w:szCs w:val="22"/>
        </w:rPr>
        <w:t xml:space="preserve">: </w:t>
      </w:r>
    </w:p>
    <w:p w14:paraId="2CC5E228" w14:textId="4A5B9E72" w:rsidR="004A2F65" w:rsidRPr="00E450DD" w:rsidRDefault="00243A40">
      <w:pPr>
        <w:tabs>
          <w:tab w:val="left" w:pos="2745"/>
        </w:tabs>
        <w:ind w:left="851" w:right="900"/>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w:t>
      </w:r>
      <w:r w:rsidR="00ED7571" w:rsidRPr="00E450DD">
        <w:rPr>
          <w:rFonts w:ascii="Palatino Linotype" w:eastAsia="Palatino Linotype" w:hAnsi="Palatino Linotype" w:cs="Palatino Linotype"/>
          <w:i/>
          <w:iCs/>
          <w:sz w:val="22"/>
          <w:szCs w:val="22"/>
        </w:rPr>
        <w:t>Se niegan rotundamente a dar información diciendo que no se encontró nada, Presidencia no dió contestación alguna, si no pagan horas extras siendo un ente público que debería de proteger los derechos laborales de sus trabajadores pero hacen todo lo contrario explotando a su personal entonces den por escrito por el presidente o por el responsable que debe existir documento que contesté que no hay pago de horas extras y no salgan con que no se encontró información sobre quien es el servidor público responsable en caso de accidente laboral no se laven las manos tan fácil.</w:t>
      </w:r>
      <w:r w:rsidRPr="00E450DD">
        <w:rPr>
          <w:rFonts w:ascii="Palatino Linotype" w:eastAsia="Palatino Linotype" w:hAnsi="Palatino Linotype" w:cs="Palatino Linotype"/>
          <w:i/>
          <w:iCs/>
          <w:sz w:val="22"/>
          <w:szCs w:val="22"/>
        </w:rPr>
        <w:t>” (sic)</w:t>
      </w:r>
    </w:p>
    <w:p w14:paraId="3E81EF73" w14:textId="77777777" w:rsidR="004A2F65" w:rsidRPr="00E450DD" w:rsidRDefault="004A2F65">
      <w:pPr>
        <w:tabs>
          <w:tab w:val="left" w:pos="2745"/>
        </w:tabs>
        <w:ind w:left="851" w:right="900"/>
        <w:jc w:val="both"/>
        <w:rPr>
          <w:rFonts w:ascii="Palatino Linotype" w:eastAsia="Palatino Linotype" w:hAnsi="Palatino Linotype" w:cs="Palatino Linotype"/>
          <w:i/>
          <w:iCs/>
          <w:sz w:val="22"/>
          <w:szCs w:val="22"/>
        </w:rPr>
      </w:pPr>
    </w:p>
    <w:p w14:paraId="19CBDD3B" w14:textId="77777777" w:rsidR="004A2F65" w:rsidRPr="00E450DD" w:rsidRDefault="00243A40">
      <w:pPr>
        <w:spacing w:line="360" w:lineRule="auto"/>
        <w:ind w:right="49"/>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b/>
          <w:bCs/>
          <w:sz w:val="22"/>
          <w:szCs w:val="22"/>
        </w:rPr>
        <w:t xml:space="preserve">4. Turno. </w:t>
      </w:r>
      <w:r w:rsidRPr="00E450DD">
        <w:rPr>
          <w:rFonts w:ascii="Palatino Linotype" w:eastAsia="Palatino Linotype" w:hAnsi="Palatino Linotype" w:cs="Palatino Linotype"/>
          <w:sz w:val="22"/>
          <w:szCs w:val="22"/>
        </w:rPr>
        <w:t xml:space="preserve">De conformidad con el artículo 185 fracción I de la Ley de Transparencia y Acceso a la Información Pública del Estado de México y Municipios vigente, el presente recurso de revisión se turnó por el sistema electrónico del Instituto de Transparencia, Acceso a la Información Pública y Protección de Datos Personales del Estado de México y Municipios, a la Comisionada </w:t>
      </w:r>
      <w:r w:rsidRPr="00E450DD">
        <w:rPr>
          <w:rFonts w:ascii="Palatino Linotype" w:eastAsia="Palatino Linotype" w:hAnsi="Palatino Linotype" w:cs="Palatino Linotype"/>
          <w:b/>
          <w:bCs/>
          <w:sz w:val="22"/>
          <w:szCs w:val="22"/>
        </w:rPr>
        <w:t xml:space="preserve">Guadalupe Ramírez Peña, </w:t>
      </w:r>
      <w:r w:rsidRPr="00E450DD">
        <w:rPr>
          <w:rFonts w:ascii="Palatino Linotype" w:eastAsia="Palatino Linotype" w:hAnsi="Palatino Linotype" w:cs="Palatino Linotype"/>
          <w:sz w:val="22"/>
          <w:szCs w:val="22"/>
        </w:rPr>
        <w:t>a efecto de que analizara sobre su admisión o su desechamiento.</w:t>
      </w:r>
    </w:p>
    <w:p w14:paraId="3CF2DABA" w14:textId="77777777" w:rsidR="004A2F65" w:rsidRPr="00E450DD" w:rsidRDefault="004A2F65">
      <w:pPr>
        <w:spacing w:line="360" w:lineRule="auto"/>
        <w:ind w:right="49"/>
        <w:jc w:val="both"/>
        <w:rPr>
          <w:rFonts w:ascii="Palatino Linotype" w:eastAsia="Palatino Linotype" w:hAnsi="Palatino Linotype" w:cs="Palatino Linotype"/>
          <w:sz w:val="22"/>
          <w:szCs w:val="22"/>
        </w:rPr>
      </w:pPr>
    </w:p>
    <w:p w14:paraId="4BBDF78C" w14:textId="7B31928D" w:rsidR="004A2F65" w:rsidRPr="00E450DD" w:rsidRDefault="00243A40">
      <w:pPr>
        <w:spacing w:line="360" w:lineRule="auto"/>
        <w:jc w:val="both"/>
        <w:rPr>
          <w:rFonts w:ascii="Palatino Linotype" w:eastAsia="Palatino Linotype" w:hAnsi="Palatino Linotype" w:cs="Palatino Linotype"/>
          <w:sz w:val="22"/>
          <w:szCs w:val="22"/>
        </w:rPr>
      </w:pPr>
      <w:bookmarkStart w:id="4" w:name="_heading=h.2s8eyo1" w:colFirst="0" w:colLast="0"/>
      <w:bookmarkEnd w:id="4"/>
      <w:r w:rsidRPr="00E450DD">
        <w:rPr>
          <w:rFonts w:ascii="Palatino Linotype" w:eastAsia="Palatino Linotype" w:hAnsi="Palatino Linotype" w:cs="Palatino Linotype"/>
          <w:b/>
          <w:bCs/>
          <w:sz w:val="22"/>
          <w:szCs w:val="22"/>
        </w:rPr>
        <w:t>5. Admisión del Recurso de revisión.</w:t>
      </w:r>
      <w:r w:rsidRPr="00E450DD">
        <w:rPr>
          <w:rFonts w:ascii="Palatino Linotype" w:eastAsia="Palatino Linotype" w:hAnsi="Palatino Linotype" w:cs="Palatino Linotype"/>
          <w:sz w:val="22"/>
          <w:szCs w:val="22"/>
        </w:rPr>
        <w:t xml:space="preserve"> El</w:t>
      </w:r>
      <w:r w:rsidRPr="00E450DD">
        <w:rPr>
          <w:rFonts w:ascii="Palatino Linotype" w:eastAsia="Palatino Linotype" w:hAnsi="Palatino Linotype" w:cs="Palatino Linotype"/>
          <w:b/>
          <w:bCs/>
          <w:sz w:val="22"/>
          <w:szCs w:val="22"/>
        </w:rPr>
        <w:t xml:space="preserve"> </w:t>
      </w:r>
      <w:r w:rsidR="007C6E99" w:rsidRPr="00E450DD">
        <w:rPr>
          <w:rFonts w:ascii="Palatino Linotype" w:eastAsia="Palatino Linotype" w:hAnsi="Palatino Linotype" w:cs="Palatino Linotype"/>
          <w:b/>
          <w:bCs/>
          <w:sz w:val="22"/>
          <w:szCs w:val="22"/>
        </w:rPr>
        <w:t>catorce de abril</w:t>
      </w:r>
      <w:r w:rsidRPr="00E450DD">
        <w:rPr>
          <w:rFonts w:ascii="Palatino Linotype" w:eastAsia="Palatino Linotype" w:hAnsi="Palatino Linotype" w:cs="Palatino Linotype"/>
          <w:b/>
          <w:bCs/>
          <w:sz w:val="22"/>
          <w:szCs w:val="22"/>
        </w:rPr>
        <w:t xml:space="preserve"> de dos mil veintiséis, </w:t>
      </w:r>
      <w:r w:rsidRPr="00E450DD">
        <w:rPr>
          <w:rFonts w:ascii="Palatino Linotype" w:eastAsia="Palatino Linotype" w:hAnsi="Palatino Linotype" w:cs="Palatino Linotype"/>
          <w:sz w:val="22"/>
          <w:szCs w:val="22"/>
        </w:rPr>
        <w:t xml:space="preserve">este Instituto de Transparencia, Acceso a la Información Pública y Protección de Datos Personales del Estado de México y Municipios, admitió a trámite el recurso de revisión que ahora se resuelve, dando un plazo máximo de siete días hábiles para que las partes manifestaran lo que a su derecho resultara conveniente, ofrecieran pruebas, formularan alegatos y el </w:t>
      </w:r>
      <w:r w:rsidRPr="00E450DD">
        <w:rPr>
          <w:rFonts w:ascii="Palatino Linotype" w:eastAsia="Palatino Linotype" w:hAnsi="Palatino Linotype" w:cs="Palatino Linotype"/>
          <w:b/>
          <w:bCs/>
          <w:sz w:val="22"/>
          <w:szCs w:val="22"/>
        </w:rPr>
        <w:t xml:space="preserve">Sujeto Obligado </w:t>
      </w:r>
      <w:r w:rsidRPr="00E450DD">
        <w:rPr>
          <w:rFonts w:ascii="Palatino Linotype" w:eastAsia="Palatino Linotype" w:hAnsi="Palatino Linotype" w:cs="Palatino Linotype"/>
          <w:sz w:val="22"/>
          <w:szCs w:val="22"/>
        </w:rPr>
        <w:t>presentara su informe justificado.</w:t>
      </w:r>
    </w:p>
    <w:p w14:paraId="51CE97DD" w14:textId="77777777" w:rsidR="004A2F65" w:rsidRPr="00E450DD" w:rsidRDefault="004A2F65">
      <w:pPr>
        <w:spacing w:line="360" w:lineRule="auto"/>
        <w:jc w:val="both"/>
        <w:rPr>
          <w:rFonts w:ascii="Palatino Linotype" w:eastAsia="Palatino Linotype" w:hAnsi="Palatino Linotype" w:cs="Palatino Linotype"/>
          <w:sz w:val="22"/>
          <w:szCs w:val="22"/>
        </w:rPr>
      </w:pPr>
    </w:p>
    <w:p w14:paraId="0B81085A" w14:textId="5086AF39" w:rsidR="004A2F65" w:rsidRPr="00E450DD" w:rsidRDefault="00243A40">
      <w:pPr>
        <w:widowControl w:val="0"/>
        <w:spacing w:line="360" w:lineRule="auto"/>
        <w:ind w:right="49"/>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b/>
          <w:bCs/>
          <w:sz w:val="22"/>
          <w:szCs w:val="22"/>
        </w:rPr>
        <w:t>6. Manifestaciones</w:t>
      </w:r>
      <w:r w:rsidRPr="00E450DD">
        <w:rPr>
          <w:rFonts w:ascii="Palatino Linotype" w:eastAsia="Palatino Linotype" w:hAnsi="Palatino Linotype" w:cs="Palatino Linotype"/>
          <w:sz w:val="22"/>
          <w:szCs w:val="22"/>
        </w:rPr>
        <w:t xml:space="preserve">. De constancias del expediente electrónico del SAIMEX, se observa que </w:t>
      </w:r>
      <w:r w:rsidR="000A6DAF" w:rsidRPr="00E450DD">
        <w:rPr>
          <w:rFonts w:ascii="Palatino Linotype" w:eastAsia="Palatino Linotype" w:hAnsi="Palatino Linotype" w:cs="Palatino Linotype"/>
          <w:sz w:val="22"/>
          <w:szCs w:val="22"/>
        </w:rPr>
        <w:t xml:space="preserve">el </w:t>
      </w:r>
      <w:r w:rsidR="000A6DAF" w:rsidRPr="00E450DD">
        <w:rPr>
          <w:rFonts w:ascii="Palatino Linotype" w:eastAsia="Palatino Linotype" w:hAnsi="Palatino Linotype" w:cs="Palatino Linotype"/>
          <w:b/>
          <w:sz w:val="22"/>
          <w:szCs w:val="22"/>
        </w:rPr>
        <w:t xml:space="preserve">Sujeto Obligado </w:t>
      </w:r>
      <w:r w:rsidR="000A6DAF" w:rsidRPr="00E450DD">
        <w:rPr>
          <w:rFonts w:ascii="Palatino Linotype" w:eastAsia="Palatino Linotype" w:hAnsi="Palatino Linotype" w:cs="Palatino Linotype"/>
          <w:sz w:val="22"/>
          <w:szCs w:val="22"/>
        </w:rPr>
        <w:t>el veintisiete de abril de dos mil veintiséis rindió informe justificado a través del archivo electrónico “</w:t>
      </w:r>
      <w:r w:rsidR="000A6DAF" w:rsidRPr="00E450DD">
        <w:rPr>
          <w:rFonts w:ascii="Palatino Linotype" w:eastAsia="Palatino Linotype" w:hAnsi="Palatino Linotype" w:cs="Palatino Linotype"/>
          <w:b/>
          <w:i/>
          <w:sz w:val="22"/>
          <w:szCs w:val="22"/>
        </w:rPr>
        <w:t>MANIFESTACIONES R.R. 3679-26.zip</w:t>
      </w:r>
      <w:r w:rsidR="000A6DAF" w:rsidRPr="00E450DD">
        <w:rPr>
          <w:rFonts w:ascii="Palatino Linotype" w:eastAsia="Palatino Linotype" w:hAnsi="Palatino Linotype" w:cs="Palatino Linotype"/>
          <w:sz w:val="22"/>
          <w:szCs w:val="22"/>
        </w:rPr>
        <w:t>” ratificando en lo medular la respuesta inicial.</w:t>
      </w:r>
    </w:p>
    <w:p w14:paraId="59FD08EE" w14:textId="77777777" w:rsidR="000A6DAF" w:rsidRPr="00E450DD" w:rsidRDefault="000A6DAF">
      <w:pPr>
        <w:widowControl w:val="0"/>
        <w:spacing w:line="360" w:lineRule="auto"/>
        <w:ind w:right="49"/>
        <w:jc w:val="both"/>
        <w:rPr>
          <w:rFonts w:ascii="Palatino Linotype" w:eastAsia="Palatino Linotype" w:hAnsi="Palatino Linotype" w:cs="Palatino Linotype"/>
          <w:sz w:val="22"/>
          <w:szCs w:val="22"/>
        </w:rPr>
      </w:pPr>
    </w:p>
    <w:p w14:paraId="5B4C8087" w14:textId="2343F27C" w:rsidR="000A6DAF" w:rsidRPr="00E450DD" w:rsidRDefault="000A6DAF">
      <w:pPr>
        <w:widowControl w:val="0"/>
        <w:spacing w:line="360" w:lineRule="auto"/>
        <w:ind w:right="49"/>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Documento el anterior que se puso a la vista de la parte </w:t>
      </w:r>
      <w:r w:rsidRPr="00E450DD">
        <w:rPr>
          <w:rFonts w:ascii="Palatino Linotype" w:eastAsia="Palatino Linotype" w:hAnsi="Palatino Linotype" w:cs="Palatino Linotype"/>
          <w:b/>
          <w:sz w:val="22"/>
          <w:szCs w:val="22"/>
        </w:rPr>
        <w:t xml:space="preserve">Recurrente </w:t>
      </w:r>
      <w:r w:rsidRPr="00E450DD">
        <w:rPr>
          <w:rFonts w:ascii="Palatino Linotype" w:eastAsia="Palatino Linotype" w:hAnsi="Palatino Linotype" w:cs="Palatino Linotype"/>
          <w:sz w:val="22"/>
          <w:szCs w:val="22"/>
        </w:rPr>
        <w:t>a fin de que hiciera valer manifestaciones o rindiera alegatos que conforme a derecho resultaran procedentes; no obstante, fue omisa en ejercer dicha prerrogativa.</w:t>
      </w:r>
    </w:p>
    <w:p w14:paraId="6606CE19" w14:textId="2E1D80D5" w:rsidR="00D373E2" w:rsidRPr="00E450DD" w:rsidRDefault="0010351E" w:rsidP="00D373E2">
      <w:pPr>
        <w:spacing w:before="240" w:after="240" w:line="360" w:lineRule="auto"/>
        <w:jc w:val="both"/>
        <w:rPr>
          <w:rFonts w:ascii="Palatino Linotype" w:eastAsia="Palatino Linotype" w:hAnsi="Palatino Linotype" w:cs="Palatino Linotype"/>
          <w:b/>
          <w:sz w:val="22"/>
          <w:szCs w:val="22"/>
        </w:rPr>
      </w:pPr>
      <w:r w:rsidRPr="00E450DD">
        <w:rPr>
          <w:rFonts w:ascii="Palatino Linotype" w:eastAsia="Palatino Linotype" w:hAnsi="Palatino Linotype" w:cs="Palatino Linotype"/>
          <w:b/>
          <w:sz w:val="22"/>
          <w:szCs w:val="22"/>
        </w:rPr>
        <w:t xml:space="preserve">7. </w:t>
      </w:r>
      <w:r w:rsidR="00D373E2" w:rsidRPr="00E450DD">
        <w:rPr>
          <w:rFonts w:ascii="Palatino Linotype" w:eastAsia="Palatino Linotype" w:hAnsi="Palatino Linotype" w:cs="Palatino Linotype"/>
          <w:b/>
          <w:sz w:val="22"/>
          <w:szCs w:val="22"/>
        </w:rPr>
        <w:t xml:space="preserve">Returno. </w:t>
      </w:r>
      <w:r w:rsidR="00D373E2" w:rsidRPr="00E450DD">
        <w:rPr>
          <w:rFonts w:ascii="Palatino Linotype" w:eastAsia="Palatino Linotype" w:hAnsi="Palatino Linotype" w:cs="Palatino Linotype"/>
          <w:sz w:val="22"/>
          <w:szCs w:val="22"/>
        </w:rPr>
        <w:t>Mediante acuerdo del diecinueve de agosto de dos mil veintiséis el Pleno de este Organismo Garante, aprobó returnar el recurso de revisión a la Comisionada Guadalupe Ramírez Peña, a efecto de que formulara y presentara el proyecto de resolución correspondiente.</w:t>
      </w:r>
    </w:p>
    <w:p w14:paraId="11A647E7" w14:textId="0FD448B0" w:rsidR="006D05F9" w:rsidRPr="00E450DD" w:rsidRDefault="0010351E" w:rsidP="006D05F9">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b/>
          <w:sz w:val="22"/>
          <w:szCs w:val="22"/>
        </w:rPr>
        <w:t>8</w:t>
      </w:r>
      <w:r w:rsidR="006D05F9" w:rsidRPr="00E450DD">
        <w:rPr>
          <w:rFonts w:ascii="Palatino Linotype" w:eastAsia="Palatino Linotype" w:hAnsi="Palatino Linotype" w:cs="Palatino Linotype"/>
          <w:b/>
          <w:sz w:val="22"/>
          <w:szCs w:val="22"/>
        </w:rPr>
        <w:t>. Ampliación del término para resolver</w:t>
      </w:r>
      <w:r w:rsidR="006D05F9" w:rsidRPr="00E450DD">
        <w:rPr>
          <w:rFonts w:ascii="Palatino Linotype" w:eastAsia="Palatino Linotype" w:hAnsi="Palatino Linotype" w:cs="Palatino Linotype"/>
          <w:sz w:val="22"/>
          <w:szCs w:val="22"/>
        </w:rPr>
        <w:t xml:space="preserve">. El </w:t>
      </w:r>
      <w:r w:rsidR="000A6DAF" w:rsidRPr="00E450DD">
        <w:rPr>
          <w:rFonts w:ascii="Palatino Linotype" w:eastAsia="Palatino Linotype" w:hAnsi="Palatino Linotype" w:cs="Palatino Linotype"/>
          <w:b/>
          <w:bCs/>
          <w:sz w:val="22"/>
          <w:szCs w:val="22"/>
        </w:rPr>
        <w:t>nueve de junio</w:t>
      </w:r>
      <w:r w:rsidR="006D05F9" w:rsidRPr="00E450DD">
        <w:rPr>
          <w:rFonts w:ascii="Palatino Linotype" w:eastAsia="Palatino Linotype" w:hAnsi="Palatino Linotype" w:cs="Palatino Linotype"/>
          <w:b/>
          <w:bCs/>
          <w:sz w:val="22"/>
          <w:szCs w:val="22"/>
        </w:rPr>
        <w:t xml:space="preserve"> de dos mil veintiséis</w:t>
      </w:r>
      <w:r w:rsidR="006D05F9" w:rsidRPr="00E450DD">
        <w:rPr>
          <w:rFonts w:ascii="Palatino Linotype" w:eastAsia="Palatino Linotype" w:hAnsi="Palatino Linotype" w:cs="Palatino Linotype"/>
          <w:sz w:val="22"/>
          <w:szCs w:val="22"/>
        </w:rPr>
        <w:t xml:space="preserve">, se amplió el término para resolver el recurso de revisión en términos del artículo 181 párrafo tercero de la Ley de Transparencia y Acceso a la Información Pública del Estado de México y Municipios. </w:t>
      </w:r>
    </w:p>
    <w:p w14:paraId="1273A4BB" w14:textId="77777777" w:rsidR="002B511B" w:rsidRPr="00E450DD" w:rsidRDefault="002B511B" w:rsidP="002B511B">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Este organismo garante no pasa por alto justificar, que el plazo para emitir la resolución en el presente asunto encuentra justificación en el alto número de recursos de revisión recibidos, circunstancia atípica que ha rebasado las capacidades técnicas y humanas del personal encargado de la proyección de las resoluciones a dichos medios de impugnación.</w:t>
      </w:r>
    </w:p>
    <w:p w14:paraId="79835D71" w14:textId="77777777" w:rsidR="002B511B" w:rsidRPr="00E450DD" w:rsidRDefault="002B511B" w:rsidP="002B511B">
      <w:pPr>
        <w:spacing w:line="360" w:lineRule="auto"/>
        <w:jc w:val="both"/>
        <w:rPr>
          <w:rFonts w:ascii="Palatino Linotype" w:eastAsia="Palatino Linotype" w:hAnsi="Palatino Linotype" w:cs="Palatino Linotype"/>
          <w:sz w:val="22"/>
          <w:szCs w:val="22"/>
        </w:rPr>
      </w:pPr>
    </w:p>
    <w:p w14:paraId="3FA4AB24" w14:textId="77777777" w:rsidR="002B511B" w:rsidRPr="00E450DD" w:rsidRDefault="002B511B" w:rsidP="002B511B">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Por ello, es menester precisar que, si bien se ha excedido el plazo para resolver el presente medio de impugnación, de conformidad con la ley de la materia, el plazo para emitir la resolución se encuentra justificado en los elementos para medir la razonabilidad de asuntos conforme a los parámetros establecidos por diversos órganos jurisdiccionales federales, aplicables también en procedimientos análogos, como el que nos ocupa.</w:t>
      </w:r>
    </w:p>
    <w:p w14:paraId="2B465DEB" w14:textId="77777777" w:rsidR="002B511B" w:rsidRPr="00E450DD" w:rsidRDefault="002B511B" w:rsidP="002B511B">
      <w:pPr>
        <w:spacing w:line="360" w:lineRule="auto"/>
        <w:jc w:val="both"/>
        <w:rPr>
          <w:rFonts w:ascii="Palatino Linotype" w:eastAsia="Palatino Linotype" w:hAnsi="Palatino Linotype" w:cs="Palatino Linotype"/>
          <w:sz w:val="22"/>
          <w:szCs w:val="22"/>
        </w:rPr>
      </w:pPr>
    </w:p>
    <w:p w14:paraId="458DD20B" w14:textId="77777777" w:rsidR="002B511B" w:rsidRPr="00E450DD" w:rsidRDefault="002B511B" w:rsidP="002B511B">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Así, en términos de lo que establecen los artículos 8.1 y 25 de la Convención Americana sobre Derechos Humanos, los recursos deben ser sencillos y resolverse en el menor tiempo posible, tomando en consideración la dilación total del procedimiento; esto es, en un plazo razonable.</w:t>
      </w:r>
    </w:p>
    <w:p w14:paraId="6CBFC962" w14:textId="77777777" w:rsidR="002B511B" w:rsidRPr="00E450DD" w:rsidRDefault="002B511B" w:rsidP="002B511B">
      <w:pPr>
        <w:spacing w:line="360" w:lineRule="auto"/>
        <w:jc w:val="both"/>
        <w:rPr>
          <w:rFonts w:ascii="Palatino Linotype" w:eastAsia="Palatino Linotype" w:hAnsi="Palatino Linotype" w:cs="Palatino Linotype"/>
          <w:sz w:val="22"/>
          <w:szCs w:val="22"/>
        </w:rPr>
      </w:pPr>
    </w:p>
    <w:p w14:paraId="149DA931" w14:textId="77777777" w:rsidR="002B511B" w:rsidRPr="00E450DD" w:rsidRDefault="002B511B" w:rsidP="002B511B">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En ese sentido, el legislador fijó los términos procesales en las leyes, de manera general, sin que pudiera prever la variada gama de casos que son resueltos por los órganos jurisdiccionales o cuasi jurisdiccionales, tanto por la complejidad de los hechos, como por el número de casos que conocen. </w:t>
      </w:r>
    </w:p>
    <w:p w14:paraId="7F70888D" w14:textId="77777777" w:rsidR="002B511B" w:rsidRPr="00E450DD" w:rsidRDefault="002B511B" w:rsidP="002B511B">
      <w:pPr>
        <w:spacing w:line="360" w:lineRule="auto"/>
        <w:jc w:val="both"/>
        <w:rPr>
          <w:rFonts w:ascii="Palatino Linotype" w:eastAsia="Palatino Linotype" w:hAnsi="Palatino Linotype" w:cs="Palatino Linotype"/>
          <w:sz w:val="22"/>
          <w:szCs w:val="22"/>
        </w:rPr>
      </w:pPr>
    </w:p>
    <w:p w14:paraId="1B337B91" w14:textId="77777777" w:rsidR="002B511B" w:rsidRPr="00E450DD" w:rsidRDefault="002B511B" w:rsidP="002B511B">
      <w:pPr>
        <w:spacing w:line="360" w:lineRule="auto"/>
        <w:jc w:val="both"/>
        <w:rPr>
          <w:rFonts w:ascii="Palatino Linotype" w:eastAsia="Palatino Linotype" w:hAnsi="Palatino Linotype" w:cs="Palatino Linotype"/>
          <w:strike/>
          <w:sz w:val="22"/>
          <w:szCs w:val="22"/>
        </w:rPr>
      </w:pPr>
      <w:r w:rsidRPr="00E450DD">
        <w:rPr>
          <w:rFonts w:ascii="Palatino Linotype" w:eastAsia="Palatino Linotype" w:hAnsi="Palatino Linotype" w:cs="Palatino Linotype"/>
          <w:sz w:val="22"/>
          <w:szCs w:val="22"/>
        </w:rPr>
        <w:t xml:space="preserve">Por ello, excepcionalmente, si un asunto es resuelto con posterioridad a los plazos señalados por la norma debe analizarse la razonabilidad del tiempo necesario para su resolución, atentos a los siguientes criterios: </w:t>
      </w:r>
    </w:p>
    <w:p w14:paraId="21182459" w14:textId="77777777" w:rsidR="002B511B" w:rsidRPr="00E450DD" w:rsidRDefault="002B511B" w:rsidP="002B511B">
      <w:pPr>
        <w:spacing w:line="360" w:lineRule="auto"/>
        <w:jc w:val="both"/>
        <w:rPr>
          <w:rFonts w:ascii="Palatino Linotype" w:eastAsia="Palatino Linotype" w:hAnsi="Palatino Linotype" w:cs="Palatino Linotype"/>
          <w:sz w:val="22"/>
          <w:szCs w:val="22"/>
        </w:rPr>
      </w:pPr>
    </w:p>
    <w:p w14:paraId="3637266D" w14:textId="77777777" w:rsidR="002B511B" w:rsidRPr="00E450DD" w:rsidRDefault="002B511B" w:rsidP="002B511B">
      <w:pPr>
        <w:numPr>
          <w:ilvl w:val="0"/>
          <w:numId w:val="3"/>
        </w:num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b/>
          <w:bCs/>
          <w:sz w:val="22"/>
          <w:szCs w:val="22"/>
        </w:rPr>
        <w:t>Complejidad del Asunto:</w:t>
      </w:r>
      <w:r w:rsidRPr="00E450DD">
        <w:rPr>
          <w:rFonts w:ascii="Palatino Linotype" w:eastAsia="Palatino Linotype" w:hAnsi="Palatino Linotype" w:cs="Palatino Linotype"/>
          <w:sz w:val="22"/>
          <w:szCs w:val="22"/>
        </w:rPr>
        <w:t xml:space="preserve"> La complejidad de la prueba, la pluralidad de sujetos procesales, el tiempo transcurrido, las características y contexto del recurso. </w:t>
      </w:r>
    </w:p>
    <w:p w14:paraId="7CC9F0FF" w14:textId="77777777" w:rsidR="002B511B" w:rsidRPr="00E450DD" w:rsidRDefault="002B511B" w:rsidP="002B511B">
      <w:pPr>
        <w:spacing w:line="360" w:lineRule="auto"/>
        <w:ind w:left="927"/>
        <w:jc w:val="both"/>
        <w:rPr>
          <w:rFonts w:ascii="Palatino Linotype" w:eastAsia="Palatino Linotype" w:hAnsi="Palatino Linotype" w:cs="Palatino Linotype"/>
          <w:sz w:val="22"/>
          <w:szCs w:val="22"/>
        </w:rPr>
      </w:pPr>
    </w:p>
    <w:p w14:paraId="6A2F58D3" w14:textId="77777777" w:rsidR="002B511B" w:rsidRPr="00E450DD" w:rsidRDefault="002B511B" w:rsidP="002B511B">
      <w:pPr>
        <w:numPr>
          <w:ilvl w:val="0"/>
          <w:numId w:val="3"/>
        </w:num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b/>
          <w:bCs/>
          <w:sz w:val="22"/>
          <w:szCs w:val="22"/>
        </w:rPr>
        <w:t>Actividad Procesal del interesado.</w:t>
      </w:r>
      <w:r w:rsidRPr="00E450DD">
        <w:rPr>
          <w:rFonts w:ascii="Palatino Linotype" w:eastAsia="Palatino Linotype" w:hAnsi="Palatino Linotype" w:cs="Palatino Linotype"/>
          <w:sz w:val="22"/>
          <w:szCs w:val="22"/>
        </w:rPr>
        <w:t xml:space="preserve"> Acciones u o</w:t>
      </w:r>
      <w:bookmarkStart w:id="5" w:name="_GoBack"/>
      <w:bookmarkEnd w:id="5"/>
      <w:r w:rsidRPr="00E450DD">
        <w:rPr>
          <w:rFonts w:ascii="Palatino Linotype" w:eastAsia="Palatino Linotype" w:hAnsi="Palatino Linotype" w:cs="Palatino Linotype"/>
          <w:sz w:val="22"/>
          <w:szCs w:val="22"/>
        </w:rPr>
        <w:t>misiones del interesado.</w:t>
      </w:r>
    </w:p>
    <w:p w14:paraId="356F8FF6" w14:textId="77777777" w:rsidR="002B511B" w:rsidRPr="00E450DD" w:rsidRDefault="002B511B" w:rsidP="002B511B">
      <w:pPr>
        <w:spacing w:line="360" w:lineRule="auto"/>
        <w:ind w:left="927"/>
        <w:jc w:val="both"/>
        <w:rPr>
          <w:rFonts w:ascii="Palatino Linotype" w:eastAsia="Palatino Linotype" w:hAnsi="Palatino Linotype" w:cs="Palatino Linotype"/>
          <w:sz w:val="22"/>
          <w:szCs w:val="22"/>
        </w:rPr>
      </w:pPr>
    </w:p>
    <w:p w14:paraId="13F2AD22" w14:textId="77777777" w:rsidR="002B511B" w:rsidRPr="00E450DD" w:rsidRDefault="002B511B" w:rsidP="002B511B">
      <w:pPr>
        <w:numPr>
          <w:ilvl w:val="0"/>
          <w:numId w:val="3"/>
        </w:num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b/>
          <w:bCs/>
          <w:sz w:val="22"/>
          <w:szCs w:val="22"/>
        </w:rPr>
        <w:t>Conducta de la Autoridad:</w:t>
      </w:r>
      <w:r w:rsidRPr="00E450DD">
        <w:rPr>
          <w:rFonts w:ascii="Palatino Linotype" w:eastAsia="Palatino Linotype" w:hAnsi="Palatino Linotype" w:cs="Palatino Linotype"/>
          <w:sz w:val="22"/>
          <w:szCs w:val="22"/>
        </w:rPr>
        <w:t xml:space="preserve"> Las Acciones u omisiones realizadas en el procedimiento. Así como si la autoridad actuó con la debida diligencia.</w:t>
      </w:r>
    </w:p>
    <w:p w14:paraId="5FE89FE1" w14:textId="77777777" w:rsidR="002B511B" w:rsidRPr="00E450DD" w:rsidRDefault="002B511B" w:rsidP="002B511B">
      <w:pPr>
        <w:spacing w:line="360" w:lineRule="auto"/>
        <w:ind w:left="927"/>
        <w:jc w:val="both"/>
        <w:rPr>
          <w:rFonts w:ascii="Palatino Linotype" w:eastAsia="Palatino Linotype" w:hAnsi="Palatino Linotype" w:cs="Palatino Linotype"/>
          <w:sz w:val="22"/>
          <w:szCs w:val="22"/>
        </w:rPr>
      </w:pPr>
    </w:p>
    <w:p w14:paraId="7A4A7338" w14:textId="77777777" w:rsidR="002B511B" w:rsidRPr="00E450DD" w:rsidRDefault="002B511B" w:rsidP="002B511B">
      <w:pPr>
        <w:numPr>
          <w:ilvl w:val="0"/>
          <w:numId w:val="3"/>
        </w:num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 </w:t>
      </w:r>
      <w:r w:rsidRPr="00E450DD">
        <w:rPr>
          <w:rFonts w:ascii="Palatino Linotype" w:eastAsia="Palatino Linotype" w:hAnsi="Palatino Linotype" w:cs="Palatino Linotype"/>
          <w:b/>
          <w:bCs/>
          <w:sz w:val="22"/>
          <w:szCs w:val="22"/>
        </w:rPr>
        <w:t xml:space="preserve">La afectación generada en la situación jurídica de la persona involucrada en el proceso: </w:t>
      </w:r>
      <w:r w:rsidRPr="00E450DD">
        <w:rPr>
          <w:rFonts w:ascii="Palatino Linotype" w:eastAsia="Palatino Linotype" w:hAnsi="Palatino Linotype" w:cs="Palatino Linotype"/>
          <w:sz w:val="22"/>
          <w:szCs w:val="22"/>
        </w:rPr>
        <w:t>Violación a sus derechos humanos.</w:t>
      </w:r>
    </w:p>
    <w:p w14:paraId="15332E8C" w14:textId="77777777" w:rsidR="002B511B" w:rsidRPr="00E450DD" w:rsidRDefault="002B511B" w:rsidP="002B511B">
      <w:pPr>
        <w:spacing w:line="360" w:lineRule="auto"/>
        <w:jc w:val="both"/>
        <w:rPr>
          <w:rFonts w:ascii="Palatino Linotype" w:eastAsia="Palatino Linotype" w:hAnsi="Palatino Linotype" w:cs="Palatino Linotype"/>
          <w:sz w:val="22"/>
          <w:szCs w:val="22"/>
        </w:rPr>
      </w:pPr>
    </w:p>
    <w:p w14:paraId="678D666E" w14:textId="77777777" w:rsidR="002B511B" w:rsidRPr="00E450DD" w:rsidRDefault="002B511B" w:rsidP="002B511B">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De modo que, cuando se trate de un asunto excepcional, por alguna o todas las características mencionadas; o bien, cuando el ingreso de asuntos al órgano jurisdiccional o cuasi jurisdiccional respectivo supere notoriamente al que podría considerarse normal, debe concluirse que es una excluyente de responsabilidad en relación con la actuación del funcionario, como ha acontecido en el caso que nos ocupa.</w:t>
      </w:r>
    </w:p>
    <w:p w14:paraId="369F854B" w14:textId="77777777" w:rsidR="002B511B" w:rsidRPr="00E450DD" w:rsidRDefault="002B511B" w:rsidP="002B511B">
      <w:pPr>
        <w:spacing w:line="360" w:lineRule="auto"/>
        <w:jc w:val="both"/>
        <w:rPr>
          <w:rFonts w:ascii="Palatino Linotype" w:eastAsia="Palatino Linotype" w:hAnsi="Palatino Linotype" w:cs="Palatino Linotype"/>
          <w:sz w:val="22"/>
          <w:szCs w:val="22"/>
        </w:rPr>
      </w:pPr>
    </w:p>
    <w:p w14:paraId="20C96757" w14:textId="77777777" w:rsidR="002B511B" w:rsidRPr="00E450DD" w:rsidRDefault="002B511B" w:rsidP="002B511B">
      <w:pPr>
        <w:spacing w:line="360" w:lineRule="auto"/>
        <w:jc w:val="both"/>
        <w:rPr>
          <w:rFonts w:ascii="Palatino Linotype" w:eastAsia="Palatino Linotype" w:hAnsi="Palatino Linotype" w:cs="Palatino Linotype"/>
          <w:b/>
          <w:bCs/>
          <w:sz w:val="22"/>
          <w:szCs w:val="22"/>
        </w:rPr>
      </w:pPr>
      <w:r w:rsidRPr="00E450DD">
        <w:rPr>
          <w:rFonts w:ascii="Palatino Linotype" w:eastAsia="Palatino Linotype" w:hAnsi="Palatino Linotype" w:cs="Palatino Linotype"/>
          <w:sz w:val="22"/>
          <w:szCs w:val="22"/>
        </w:rPr>
        <w:t xml:space="preserve">Argumento que encuentra sustento en la jurisprudencia P./J. 32/92 emitida por el Pleno de la Suprema Corte de Justicia de la Nación de rubro </w:t>
      </w:r>
      <w:r w:rsidRPr="00E450DD">
        <w:rPr>
          <w:rFonts w:ascii="Palatino Linotype" w:eastAsia="Palatino Linotype" w:hAnsi="Palatino Linotype" w:cs="Palatino Linotype"/>
          <w:i/>
          <w:iCs/>
          <w:sz w:val="22"/>
          <w:szCs w:val="22"/>
        </w:rPr>
        <w:t>“TÉRMINOS PROCESALES. PARA DETERMINAR SI UN FUNCIONARIO JUDICIAL ACTUÓ INDEBIDAMENTE POR NO RESPETARLOS SE DEBE ATENDER AL PRESUPUESTO QUE CONSIDERÓ EL LEGISLADOR AL FIJARLOS Y LAS CARACTERÍSTICAS DEL CASO.”</w:t>
      </w:r>
      <w:r w:rsidRPr="00E450DD">
        <w:rPr>
          <w:rFonts w:ascii="Palatino Linotype" w:eastAsia="Palatino Linotype" w:hAnsi="Palatino Linotype" w:cs="Palatino Linotype"/>
          <w:sz w:val="22"/>
          <w:szCs w:val="22"/>
        </w:rPr>
        <w:t>, visible en la Gaceta del Seminario Judicial de la Federación con el registro digital 205635.</w:t>
      </w:r>
    </w:p>
    <w:p w14:paraId="698E26F4" w14:textId="77777777" w:rsidR="002B511B" w:rsidRPr="00E450DD" w:rsidRDefault="002B511B" w:rsidP="002B511B">
      <w:pPr>
        <w:spacing w:line="360" w:lineRule="auto"/>
        <w:jc w:val="both"/>
        <w:rPr>
          <w:rFonts w:ascii="Palatino Linotype" w:eastAsia="Palatino Linotype" w:hAnsi="Palatino Linotype" w:cs="Palatino Linotype"/>
          <w:sz w:val="22"/>
          <w:szCs w:val="22"/>
        </w:rPr>
      </w:pPr>
    </w:p>
    <w:p w14:paraId="0D79613E" w14:textId="77777777" w:rsidR="002B511B" w:rsidRPr="00E450DD" w:rsidRDefault="002B511B" w:rsidP="002B511B">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Razones por las cuales cabe concluir que, la resolución al recurso de revisión se solventa hasta esta fecha, debido a que existe una excesiva carga de trabajo en desproporción a la capacidad de los recursos materiales y humanos con que cuenta este Instituto para atender la enorme demanda de usuarios que acuden para que se les garantice su Derecho de acceso a la información Pública y Protección de Datos Personales, aunado a la complejidad de los hechos a los que se refieren, así como al volumen del expediente, la extensión de los escritos y pruebas aportadas y desahogadas por las partes; lo que impide la tramitación de los recursos dentro de los términos legales previamente establecidos por la Ley, por tratarse de causas de fuerza mayor.</w:t>
      </w:r>
    </w:p>
    <w:p w14:paraId="04945202" w14:textId="77777777" w:rsidR="002B511B" w:rsidRPr="00E450DD" w:rsidRDefault="002B511B" w:rsidP="002B511B">
      <w:pPr>
        <w:spacing w:line="360" w:lineRule="auto"/>
        <w:jc w:val="both"/>
        <w:rPr>
          <w:rFonts w:ascii="Palatino Linotype" w:eastAsia="Palatino Linotype" w:hAnsi="Palatino Linotype" w:cs="Palatino Linotype"/>
          <w:sz w:val="22"/>
          <w:szCs w:val="22"/>
        </w:rPr>
      </w:pPr>
    </w:p>
    <w:p w14:paraId="491AB8F8" w14:textId="77777777" w:rsidR="002B511B" w:rsidRPr="00E450DD" w:rsidRDefault="002B511B" w:rsidP="002B511B">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Al respecto, también son de considerar los criterios sostenidos por el Cuarto Tribunal Colegiado en Materia Administrativa del Primer Circuito, cuyos rubros y datos de identificación son los siguientes:</w:t>
      </w:r>
    </w:p>
    <w:p w14:paraId="2136DC4F" w14:textId="77777777" w:rsidR="002B511B" w:rsidRPr="00E450DD" w:rsidRDefault="002B511B" w:rsidP="002B511B">
      <w:pPr>
        <w:spacing w:line="360" w:lineRule="auto"/>
        <w:jc w:val="both"/>
        <w:rPr>
          <w:rFonts w:ascii="Palatino Linotype" w:eastAsia="Palatino Linotype" w:hAnsi="Palatino Linotype" w:cs="Palatino Linotype"/>
          <w:sz w:val="22"/>
          <w:szCs w:val="22"/>
        </w:rPr>
      </w:pPr>
    </w:p>
    <w:p w14:paraId="50AE90D9" w14:textId="77777777" w:rsidR="002B511B" w:rsidRPr="00E450DD" w:rsidRDefault="002B511B" w:rsidP="002B511B">
      <w:pPr>
        <w:spacing w:line="360" w:lineRule="auto"/>
        <w:ind w:left="567" w:right="616"/>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 </w:t>
      </w:r>
      <w:r w:rsidRPr="00E450DD">
        <w:rPr>
          <w:rFonts w:ascii="Palatino Linotype" w:eastAsia="Palatino Linotype" w:hAnsi="Palatino Linotype" w:cs="Palatino Linotype"/>
          <w:i/>
          <w:iCs/>
          <w:sz w:val="22"/>
          <w:szCs w:val="22"/>
        </w:rPr>
        <w:t>“PLAZO RAZONABLE PARA RESOLVER. DIMENSIÓN Y EFECTOS DE ESTE CONCEPTO CUANDO SE ADUCE EXCESIVA CARGA DE TRABAJO.”</w:t>
      </w:r>
      <w:r w:rsidRPr="00E450DD">
        <w:rPr>
          <w:rFonts w:ascii="Palatino Linotype" w:eastAsia="Palatino Linotype" w:hAnsi="Palatino Linotype" w:cs="Palatino Linotype"/>
          <w:sz w:val="22"/>
          <w:szCs w:val="22"/>
        </w:rPr>
        <w:t xml:space="preserve"> consultable en el Seminario Judicial de la Federación y su gaceta, con el registro digital 2002351.</w:t>
      </w:r>
    </w:p>
    <w:p w14:paraId="53F7BFFB" w14:textId="77777777" w:rsidR="002B511B" w:rsidRPr="00E450DD" w:rsidRDefault="002B511B" w:rsidP="002B511B">
      <w:pPr>
        <w:spacing w:line="360" w:lineRule="auto"/>
        <w:ind w:left="567" w:right="616"/>
        <w:jc w:val="both"/>
        <w:rPr>
          <w:rFonts w:ascii="Palatino Linotype" w:eastAsia="Palatino Linotype" w:hAnsi="Palatino Linotype" w:cs="Palatino Linotype"/>
          <w:b/>
          <w:bCs/>
          <w:sz w:val="22"/>
          <w:szCs w:val="22"/>
        </w:rPr>
      </w:pPr>
    </w:p>
    <w:p w14:paraId="628CD048" w14:textId="77777777" w:rsidR="002B511B" w:rsidRPr="00E450DD" w:rsidRDefault="002B511B" w:rsidP="002B511B">
      <w:pPr>
        <w:spacing w:line="360" w:lineRule="auto"/>
        <w:ind w:left="567" w:right="616"/>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i/>
          <w:iCs/>
          <w:sz w:val="22"/>
          <w:szCs w:val="22"/>
        </w:rPr>
        <w:t>“PLAZO RAZONABLE PARA RESOLVER. CONCEPTO Y ELEMENTOS QUE LO INTEGRAN A LA LUZ DEL DERECHO INTERNACIONAL DE LOS DERECHOS HUMANOS.”</w:t>
      </w:r>
      <w:r w:rsidRPr="00E450DD">
        <w:rPr>
          <w:rFonts w:ascii="Palatino Linotype" w:eastAsia="Palatino Linotype" w:hAnsi="Palatino Linotype" w:cs="Palatino Linotype"/>
          <w:sz w:val="22"/>
          <w:szCs w:val="22"/>
        </w:rPr>
        <w:t>, visible en el Seminario Judicial de la Federación y su gaceta, con el registro digital 2002350.</w:t>
      </w:r>
    </w:p>
    <w:p w14:paraId="4F1F3AAA" w14:textId="77777777" w:rsidR="002B511B" w:rsidRPr="00E450DD" w:rsidRDefault="002B511B" w:rsidP="002B511B">
      <w:pPr>
        <w:spacing w:line="360" w:lineRule="auto"/>
        <w:ind w:left="567" w:right="616"/>
        <w:jc w:val="both"/>
        <w:rPr>
          <w:rFonts w:ascii="Palatino Linotype" w:eastAsia="Palatino Linotype" w:hAnsi="Palatino Linotype" w:cs="Palatino Linotype"/>
          <w:sz w:val="22"/>
          <w:szCs w:val="22"/>
        </w:rPr>
      </w:pPr>
    </w:p>
    <w:p w14:paraId="7C1A63CC" w14:textId="77777777" w:rsidR="002B511B" w:rsidRPr="00E450DD" w:rsidRDefault="002B511B" w:rsidP="002B511B">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Por ello, este organismo garante comprometido con la tutela de los derechos humanos confiados, señala que este exceso de plazo legal para resolver el presente asunto, resulta de carácter excepcional.</w:t>
      </w:r>
    </w:p>
    <w:p w14:paraId="1B73735C" w14:textId="77777777" w:rsidR="002B511B" w:rsidRPr="00E450DD" w:rsidRDefault="002B511B" w:rsidP="00D51817">
      <w:pPr>
        <w:spacing w:line="360" w:lineRule="auto"/>
        <w:jc w:val="both"/>
        <w:rPr>
          <w:rFonts w:ascii="Palatino Linotype" w:eastAsia="Palatino Linotype" w:hAnsi="Palatino Linotype" w:cs="Palatino Linotype"/>
          <w:b/>
          <w:bCs/>
          <w:sz w:val="22"/>
          <w:szCs w:val="22"/>
        </w:rPr>
      </w:pPr>
    </w:p>
    <w:p w14:paraId="64FA9C0B" w14:textId="495F9AD6" w:rsidR="004A2F65" w:rsidRPr="00E450DD" w:rsidRDefault="0010351E" w:rsidP="00D51817">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b/>
          <w:bCs/>
          <w:sz w:val="22"/>
          <w:szCs w:val="22"/>
        </w:rPr>
        <w:t>9</w:t>
      </w:r>
      <w:r w:rsidR="00243A40" w:rsidRPr="00E450DD">
        <w:rPr>
          <w:rFonts w:ascii="Palatino Linotype" w:eastAsia="Palatino Linotype" w:hAnsi="Palatino Linotype" w:cs="Palatino Linotype"/>
          <w:b/>
          <w:bCs/>
          <w:sz w:val="22"/>
          <w:szCs w:val="22"/>
        </w:rPr>
        <w:t xml:space="preserve">. Cierre de instrucción. </w:t>
      </w:r>
      <w:r w:rsidR="00243A40" w:rsidRPr="00E450DD">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con </w:t>
      </w:r>
      <w:r w:rsidR="001945A4" w:rsidRPr="00E450DD">
        <w:rPr>
          <w:rFonts w:ascii="Palatino Linotype" w:eastAsia="Palatino Linotype" w:hAnsi="Palatino Linotype" w:cs="Palatino Linotype"/>
          <w:sz w:val="22"/>
          <w:szCs w:val="22"/>
        </w:rPr>
        <w:t xml:space="preserve">fecha </w:t>
      </w:r>
      <w:r w:rsidR="000A6DAF" w:rsidRPr="00E450DD">
        <w:rPr>
          <w:rFonts w:ascii="Palatino Linotype" w:eastAsia="Palatino Linotype" w:hAnsi="Palatino Linotype" w:cs="Palatino Linotype"/>
          <w:b/>
          <w:sz w:val="22"/>
          <w:szCs w:val="22"/>
        </w:rPr>
        <w:t>diecisiete</w:t>
      </w:r>
      <w:r w:rsidR="0003629B" w:rsidRPr="00E450DD">
        <w:rPr>
          <w:rFonts w:ascii="Palatino Linotype" w:eastAsia="Palatino Linotype" w:hAnsi="Palatino Linotype" w:cs="Palatino Linotype"/>
          <w:b/>
          <w:bCs/>
          <w:sz w:val="22"/>
          <w:szCs w:val="22"/>
        </w:rPr>
        <w:t xml:space="preserve"> </w:t>
      </w:r>
      <w:r w:rsidR="000A6DAF" w:rsidRPr="00E450DD">
        <w:rPr>
          <w:rFonts w:ascii="Palatino Linotype" w:eastAsia="Palatino Linotype" w:hAnsi="Palatino Linotype" w:cs="Palatino Linotype"/>
          <w:b/>
          <w:bCs/>
          <w:sz w:val="22"/>
          <w:szCs w:val="22"/>
        </w:rPr>
        <w:t>de agosto</w:t>
      </w:r>
      <w:r w:rsidR="006D05F9" w:rsidRPr="00E450DD">
        <w:rPr>
          <w:rFonts w:ascii="Palatino Linotype" w:eastAsia="Palatino Linotype" w:hAnsi="Palatino Linotype" w:cs="Palatino Linotype"/>
          <w:b/>
          <w:bCs/>
          <w:sz w:val="22"/>
          <w:szCs w:val="22"/>
        </w:rPr>
        <w:t xml:space="preserve"> de dos mil veintiséis</w:t>
      </w:r>
      <w:r w:rsidR="00243A40" w:rsidRPr="00E450DD">
        <w:rPr>
          <w:rFonts w:ascii="Palatino Linotype" w:eastAsia="Palatino Linotype" w:hAnsi="Palatino Linotype" w:cs="Palatino Linotype"/>
          <w:b/>
          <w:bCs/>
          <w:sz w:val="22"/>
          <w:szCs w:val="22"/>
        </w:rPr>
        <w:t>,</w:t>
      </w:r>
      <w:r w:rsidR="00243A40" w:rsidRPr="00E450DD">
        <w:rPr>
          <w:rFonts w:ascii="Palatino Linotype" w:eastAsia="Palatino Linotype" w:hAnsi="Palatino Linotype" w:cs="Palatino Linotype"/>
          <w:sz w:val="22"/>
          <w:szCs w:val="22"/>
        </w:rPr>
        <w:t xml:space="preserve"> la Comisionada Ponente determinó el cierre de instrucción en términos de la fracción VI del artículo 185 de la Ley de Transparencia y Acceso a la Información Pública del Estado de México y Municipios.</w:t>
      </w:r>
    </w:p>
    <w:p w14:paraId="7D41460E" w14:textId="77777777" w:rsidR="004A2F65" w:rsidRPr="00E450DD" w:rsidRDefault="004A2F65">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p>
    <w:p w14:paraId="4C299526" w14:textId="77777777" w:rsidR="004A2F65" w:rsidRPr="00E450DD" w:rsidRDefault="00243A40">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En razón de que fue debidamente sustanciado el expediente electrónico y no existe diligencia pendiente de desahogo, se emite la Resolución que conforme a Derecho proceda, de acuerdo con los siguientes: </w:t>
      </w:r>
    </w:p>
    <w:p w14:paraId="724BBBA0" w14:textId="77777777" w:rsidR="004A2F65" w:rsidRPr="00E450DD" w:rsidRDefault="00243A40">
      <w:pPr>
        <w:widowControl w:val="0"/>
        <w:spacing w:line="360" w:lineRule="auto"/>
        <w:jc w:val="center"/>
        <w:rPr>
          <w:rFonts w:ascii="Palatino Linotype" w:eastAsia="Palatino Linotype" w:hAnsi="Palatino Linotype" w:cs="Palatino Linotype"/>
          <w:b/>
          <w:bCs/>
          <w:sz w:val="22"/>
          <w:szCs w:val="22"/>
        </w:rPr>
      </w:pPr>
      <w:r w:rsidRPr="00E450DD">
        <w:rPr>
          <w:rFonts w:ascii="Palatino Linotype" w:eastAsia="Palatino Linotype" w:hAnsi="Palatino Linotype" w:cs="Palatino Linotype"/>
          <w:b/>
          <w:bCs/>
          <w:sz w:val="22"/>
          <w:szCs w:val="22"/>
        </w:rPr>
        <w:t>II. C O N S I D E R A N D O S</w:t>
      </w:r>
    </w:p>
    <w:p w14:paraId="5E69EDBF" w14:textId="77777777" w:rsidR="004A2F65" w:rsidRPr="00E450DD" w:rsidRDefault="00243A40">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b/>
          <w:bCs/>
          <w:sz w:val="22"/>
          <w:szCs w:val="22"/>
        </w:rPr>
        <w:t>Primero. Competencia.</w:t>
      </w:r>
      <w:r w:rsidRPr="00E450DD">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5 párrafos cuadragésimo cuarto, cuadragésimo quinto,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20D2A5B6" w14:textId="77777777" w:rsidR="004A2F65" w:rsidRPr="00E450DD" w:rsidRDefault="00243A40">
      <w:pPr>
        <w:spacing w:before="240" w:after="240" w:line="360" w:lineRule="auto"/>
        <w:jc w:val="both"/>
        <w:rPr>
          <w:rFonts w:ascii="Palatino Linotype" w:eastAsia="Palatino Linotype" w:hAnsi="Palatino Linotype" w:cs="Palatino Linotype"/>
          <w:sz w:val="22"/>
          <w:szCs w:val="22"/>
        </w:rPr>
      </w:pPr>
      <w:bookmarkStart w:id="6" w:name="_heading=h.tyjcwt" w:colFirst="0" w:colLast="0"/>
      <w:bookmarkEnd w:id="6"/>
      <w:r w:rsidRPr="00E450DD">
        <w:rPr>
          <w:rFonts w:ascii="Palatino Linotype" w:eastAsia="Palatino Linotype" w:hAnsi="Palatino Linotype" w:cs="Palatino Linotype"/>
          <w:b/>
          <w:bCs/>
          <w:sz w:val="22"/>
          <w:szCs w:val="22"/>
        </w:rPr>
        <w:t>Segundo. Oportunidad y Procedibilidad del Recurso de Revisión</w:t>
      </w:r>
      <w:r w:rsidRPr="00E450DD">
        <w:rPr>
          <w:rFonts w:ascii="Palatino Linotype" w:eastAsia="Palatino Linotype" w:hAnsi="Palatino Linotype" w:cs="Palatino Linotype"/>
          <w:sz w:val="22"/>
          <w:szCs w:val="22"/>
        </w:rPr>
        <w:t>. 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14:paraId="4C2BEB1E" w14:textId="63F0C72E" w:rsidR="004A2F65" w:rsidRPr="00E450DD" w:rsidRDefault="00243A40">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El recurso de revisión fue interpuesto dentro del plazo de quince días hábiles, previsto en el artículo 178 de la Ley de Transparencia y Acceso a la Información Pública del Estado de México y Municipios, toda vez que el </w:t>
      </w:r>
      <w:r w:rsidRPr="00E450DD">
        <w:rPr>
          <w:rFonts w:ascii="Palatino Linotype" w:eastAsia="Palatino Linotype" w:hAnsi="Palatino Linotype" w:cs="Palatino Linotype"/>
          <w:b/>
          <w:bCs/>
          <w:sz w:val="22"/>
          <w:szCs w:val="22"/>
        </w:rPr>
        <w:t xml:space="preserve">Sujeto Obligado </w:t>
      </w:r>
      <w:r w:rsidRPr="00E450DD">
        <w:rPr>
          <w:rFonts w:ascii="Palatino Linotype" w:eastAsia="Palatino Linotype" w:hAnsi="Palatino Linotype" w:cs="Palatino Linotype"/>
          <w:sz w:val="22"/>
          <w:szCs w:val="22"/>
        </w:rPr>
        <w:t xml:space="preserve">remitió la respuesta a la solicitud de información el </w:t>
      </w:r>
      <w:r w:rsidR="00CA54E4" w:rsidRPr="00E450DD">
        <w:rPr>
          <w:rFonts w:ascii="Palatino Linotype" w:eastAsia="Palatino Linotype" w:hAnsi="Palatino Linotype" w:cs="Palatino Linotype"/>
          <w:b/>
          <w:bCs/>
          <w:sz w:val="22"/>
          <w:szCs w:val="22"/>
        </w:rPr>
        <w:t>trece de marzo</w:t>
      </w:r>
      <w:r w:rsidR="00D567C7" w:rsidRPr="00E450DD">
        <w:rPr>
          <w:rFonts w:ascii="Palatino Linotype" w:eastAsia="Palatino Linotype" w:hAnsi="Palatino Linotype" w:cs="Palatino Linotype"/>
          <w:b/>
          <w:bCs/>
          <w:sz w:val="22"/>
          <w:szCs w:val="22"/>
        </w:rPr>
        <w:t xml:space="preserve"> de dos mil veintiséis</w:t>
      </w:r>
      <w:r w:rsidRPr="00E450DD">
        <w:rPr>
          <w:rFonts w:ascii="Palatino Linotype" w:eastAsia="Palatino Linotype" w:hAnsi="Palatino Linotype" w:cs="Palatino Linotype"/>
          <w:b/>
          <w:bCs/>
          <w:sz w:val="22"/>
          <w:szCs w:val="22"/>
        </w:rPr>
        <w:t xml:space="preserve">, </w:t>
      </w:r>
      <w:r w:rsidRPr="00E450DD">
        <w:rPr>
          <w:rFonts w:ascii="Palatino Linotype" w:eastAsia="Palatino Linotype" w:hAnsi="Palatino Linotype" w:cs="Palatino Linotype"/>
          <w:sz w:val="22"/>
          <w:szCs w:val="22"/>
        </w:rPr>
        <w:t xml:space="preserve">mientras que el recurso de revisión interpuesto por </w:t>
      </w:r>
      <w:r w:rsidRPr="00E450DD">
        <w:rPr>
          <w:rFonts w:ascii="Palatino Linotype" w:eastAsia="Palatino Linotype" w:hAnsi="Palatino Linotype" w:cs="Palatino Linotype"/>
          <w:b/>
          <w:bCs/>
          <w:sz w:val="22"/>
          <w:szCs w:val="22"/>
        </w:rPr>
        <w:t>la parte</w:t>
      </w:r>
      <w:r w:rsidRPr="00E450DD">
        <w:rPr>
          <w:rFonts w:ascii="Palatino Linotype" w:eastAsia="Palatino Linotype" w:hAnsi="Palatino Linotype" w:cs="Palatino Linotype"/>
          <w:sz w:val="22"/>
          <w:szCs w:val="22"/>
        </w:rPr>
        <w:t xml:space="preserve"> </w:t>
      </w:r>
      <w:r w:rsidRPr="00E450DD">
        <w:rPr>
          <w:rFonts w:ascii="Palatino Linotype" w:eastAsia="Palatino Linotype" w:hAnsi="Palatino Linotype" w:cs="Palatino Linotype"/>
          <w:b/>
          <w:bCs/>
          <w:sz w:val="22"/>
          <w:szCs w:val="22"/>
        </w:rPr>
        <w:t>Recurrente</w:t>
      </w:r>
      <w:r w:rsidRPr="00E450DD">
        <w:rPr>
          <w:rFonts w:ascii="Palatino Linotype" w:eastAsia="Palatino Linotype" w:hAnsi="Palatino Linotype" w:cs="Palatino Linotype"/>
          <w:sz w:val="22"/>
          <w:szCs w:val="22"/>
        </w:rPr>
        <w:t xml:space="preserve">, se tuvo por presentado el </w:t>
      </w:r>
      <w:r w:rsidR="00CA54E4" w:rsidRPr="00E450DD">
        <w:rPr>
          <w:rFonts w:ascii="Palatino Linotype" w:eastAsia="Palatino Linotype" w:hAnsi="Palatino Linotype" w:cs="Palatino Linotype"/>
          <w:b/>
          <w:bCs/>
          <w:sz w:val="22"/>
          <w:szCs w:val="22"/>
        </w:rPr>
        <w:t>nueve de abril</w:t>
      </w:r>
      <w:r w:rsidR="00D567C7" w:rsidRPr="00E450DD">
        <w:rPr>
          <w:rFonts w:ascii="Palatino Linotype" w:eastAsia="Palatino Linotype" w:hAnsi="Palatino Linotype" w:cs="Palatino Linotype"/>
          <w:b/>
          <w:bCs/>
          <w:sz w:val="22"/>
          <w:szCs w:val="22"/>
        </w:rPr>
        <w:t xml:space="preserve"> de dos mil veintiséis</w:t>
      </w:r>
      <w:r w:rsidR="005F09F3" w:rsidRPr="00E450DD">
        <w:rPr>
          <w:rFonts w:ascii="Palatino Linotype" w:eastAsia="Palatino Linotype" w:hAnsi="Palatino Linotype" w:cs="Palatino Linotype"/>
          <w:sz w:val="22"/>
          <w:szCs w:val="22"/>
        </w:rPr>
        <w:t xml:space="preserve"> esto es, al </w:t>
      </w:r>
      <w:r w:rsidR="00337259" w:rsidRPr="00E450DD">
        <w:rPr>
          <w:rFonts w:ascii="Palatino Linotype" w:eastAsia="Palatino Linotype" w:hAnsi="Palatino Linotype" w:cs="Palatino Linotype"/>
          <w:sz w:val="22"/>
          <w:szCs w:val="22"/>
        </w:rPr>
        <w:t xml:space="preserve">décimo </w:t>
      </w:r>
      <w:r w:rsidR="00CA54E4" w:rsidRPr="00E450DD">
        <w:rPr>
          <w:rFonts w:ascii="Palatino Linotype" w:eastAsia="Palatino Linotype" w:hAnsi="Palatino Linotype" w:cs="Palatino Linotype"/>
          <w:sz w:val="22"/>
          <w:szCs w:val="22"/>
        </w:rPr>
        <w:t>tercer</w:t>
      </w:r>
      <w:r w:rsidRPr="00E450DD">
        <w:rPr>
          <w:rFonts w:ascii="Palatino Linotype" w:eastAsia="Palatino Linotype" w:hAnsi="Palatino Linotype" w:cs="Palatino Linotype"/>
          <w:sz w:val="22"/>
          <w:szCs w:val="22"/>
        </w:rPr>
        <w:t xml:space="preserve"> día hábil </w:t>
      </w:r>
      <w:r w:rsidRPr="00E450DD">
        <w:rPr>
          <w:rFonts w:ascii="Palatino Linotype" w:eastAsia="Palatino Linotype" w:hAnsi="Palatino Linotype" w:cs="Palatino Linotype"/>
          <w:b/>
          <w:bCs/>
          <w:sz w:val="22"/>
          <w:szCs w:val="22"/>
        </w:rPr>
        <w:t>en que se tuvo conocimiento de la respuesta impugnada</w:t>
      </w:r>
      <w:r w:rsidRPr="00E450DD">
        <w:rPr>
          <w:rFonts w:ascii="Palatino Linotype" w:eastAsia="Palatino Linotype" w:hAnsi="Palatino Linotype" w:cs="Palatino Linotype"/>
          <w:sz w:val="22"/>
          <w:szCs w:val="22"/>
        </w:rPr>
        <w:t xml:space="preserve">. </w:t>
      </w:r>
    </w:p>
    <w:p w14:paraId="4BE7B9FC" w14:textId="77777777" w:rsidR="004A2F65" w:rsidRPr="00E450DD" w:rsidRDefault="00243A40">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En este sentido, se concluye que el presente recurso de revisión se encuentra dentro de los márgenes temporales previstos en las disposiciones legales referidas.</w:t>
      </w:r>
    </w:p>
    <w:p w14:paraId="13D6DB75" w14:textId="77777777" w:rsidR="004A2F65" w:rsidRPr="00E450DD" w:rsidRDefault="00243A40">
      <w:pPr>
        <w:tabs>
          <w:tab w:val="left" w:pos="7938"/>
        </w:tabs>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Al mismo tiempo, por cuanto hace a la procedibilidad del recurso de revisión, una vez realizado el análisis del formato de interposición del recurso, se concluye la acreditación plena de los elementos formales precisados por el artículo 180 de la Ley de Transparencia y Acceso a la Información Pública del Estado de México y Municipios, en atención a que fue presentado mediante el formato visible en el SAIMEX.</w:t>
      </w:r>
    </w:p>
    <w:p w14:paraId="166D134A" w14:textId="77777777" w:rsidR="00CA54E4" w:rsidRPr="00E450DD" w:rsidRDefault="00CA54E4" w:rsidP="00CA54E4">
      <w:pPr>
        <w:spacing w:before="240" w:after="240" w:line="360" w:lineRule="auto"/>
        <w:jc w:val="both"/>
        <w:rPr>
          <w:rFonts w:ascii="Palatino Linotype" w:eastAsia="Palatino Linotype" w:hAnsi="Palatino Linotype" w:cs="Palatino Linotype"/>
          <w:b/>
          <w:bCs/>
          <w:sz w:val="22"/>
        </w:rPr>
      </w:pPr>
      <w:r w:rsidRPr="00E450DD">
        <w:rPr>
          <w:rFonts w:ascii="Palatino Linotype" w:eastAsia="Palatino Linotype" w:hAnsi="Palatino Linotype" w:cs="Palatino Linotype"/>
          <w:sz w:val="22"/>
        </w:rPr>
        <w:t>Además, por cuanto hace a la procedibilidad del recurso de revisión, es de suma importancia señalar que la parte</w:t>
      </w:r>
      <w:r w:rsidRPr="00E450DD">
        <w:rPr>
          <w:rFonts w:ascii="Palatino Linotype" w:eastAsia="Palatino Linotype" w:hAnsi="Palatino Linotype" w:cs="Palatino Linotype"/>
          <w:b/>
          <w:bCs/>
          <w:sz w:val="22"/>
        </w:rPr>
        <w:t xml:space="preserve"> Recurrente</w:t>
      </w:r>
      <w:r w:rsidRPr="00E450DD">
        <w:rPr>
          <w:rFonts w:ascii="Palatino Linotype" w:eastAsia="Palatino Linotype" w:hAnsi="Palatino Linotype" w:cs="Palatino Linotype"/>
          <w:sz w:val="22"/>
        </w:rPr>
        <w:t xml:space="preserve">, no señaló un </w:t>
      </w:r>
      <w:r w:rsidRPr="00E450DD">
        <w:rPr>
          <w:rFonts w:ascii="Palatino Linotype" w:eastAsia="Palatino Linotype" w:hAnsi="Palatino Linotype" w:cs="Palatino Linotype"/>
          <w:b/>
          <w:bCs/>
          <w:sz w:val="22"/>
        </w:rPr>
        <w:t>nombre</w:t>
      </w:r>
      <w:r w:rsidRPr="00E450DD">
        <w:rPr>
          <w:rFonts w:ascii="Palatino Linotype" w:eastAsia="Palatino Linotype" w:hAnsi="Palatino Linotype" w:cs="Palatino Linotype"/>
          <w:sz w:val="22"/>
        </w:rPr>
        <w:t xml:space="preserve"> con el cual desea ser identificado, como se advierte en el detalle de seguimiento del SAIMEX, no obstante, no proporcionar un nombre no es motivo para archivar la solicitud de acceso a la información pública como concluida, conforme a lo previsto en el artículo 155, penúltimo párrafo de la Ley de Transparencia y Acceso a la Información Pública del Estado de México y Municipios que establece lo siguiente:</w:t>
      </w:r>
    </w:p>
    <w:p w14:paraId="7189AEA9" w14:textId="77777777" w:rsidR="00CA54E4" w:rsidRPr="00E450DD" w:rsidRDefault="00CA54E4" w:rsidP="00CA54E4">
      <w:pPr>
        <w:spacing w:before="120" w:after="120"/>
        <w:ind w:left="851" w:right="902"/>
        <w:jc w:val="both"/>
        <w:rPr>
          <w:rFonts w:ascii="Palatino Linotype" w:eastAsia="Palatino Linotype" w:hAnsi="Palatino Linotype" w:cs="Palatino Linotype"/>
          <w:i/>
          <w:iCs/>
          <w:sz w:val="22"/>
        </w:rPr>
      </w:pPr>
      <w:r w:rsidRPr="00E450DD">
        <w:rPr>
          <w:rFonts w:ascii="Palatino Linotype" w:eastAsia="Palatino Linotype" w:hAnsi="Palatino Linotype" w:cs="Palatino Linotype"/>
          <w:i/>
          <w:iCs/>
          <w:sz w:val="22"/>
        </w:rPr>
        <w:t>"</w:t>
      </w:r>
      <w:r w:rsidRPr="00E450DD">
        <w:rPr>
          <w:rFonts w:ascii="Palatino Linotype" w:eastAsia="Palatino Linotype" w:hAnsi="Palatino Linotype" w:cs="Palatino Linotype"/>
          <w:b/>
          <w:bCs/>
          <w:i/>
          <w:iCs/>
          <w:sz w:val="22"/>
        </w:rPr>
        <w:t>Las solicitudes anónimas</w:t>
      </w:r>
      <w:r w:rsidRPr="00E450DD">
        <w:rPr>
          <w:rFonts w:ascii="Palatino Linotype" w:eastAsia="Palatino Linotype" w:hAnsi="Palatino Linotype" w:cs="Palatino Linotype"/>
          <w:i/>
          <w:iCs/>
          <w:sz w:val="22"/>
        </w:rPr>
        <w:t xml:space="preserve">, con nombre incompleto o </w:t>
      </w:r>
      <w:r w:rsidRPr="00E450DD">
        <w:rPr>
          <w:rFonts w:ascii="Palatino Linotype" w:eastAsia="Palatino Linotype" w:hAnsi="Palatino Linotype" w:cs="Palatino Linotype"/>
          <w:b/>
          <w:bCs/>
          <w:i/>
          <w:iCs/>
          <w:sz w:val="22"/>
        </w:rPr>
        <w:t>seudónimo</w:t>
      </w:r>
      <w:r w:rsidRPr="00E450DD">
        <w:rPr>
          <w:rFonts w:ascii="Palatino Linotype" w:eastAsia="Palatino Linotype" w:hAnsi="Palatino Linotype" w:cs="Palatino Linotype"/>
          <w:i/>
          <w:iCs/>
          <w:sz w:val="22"/>
        </w:rPr>
        <w:t xml:space="preserve"> serán procedentes para su trámite por parte del sujeto obligado ante quien se presente. No podrá requerirse información adicional con motivo del nombre proporcionado por el solicitante."</w:t>
      </w:r>
    </w:p>
    <w:p w14:paraId="34ADC1FD" w14:textId="211B22FA" w:rsidR="004A2F65" w:rsidRPr="00E450DD" w:rsidRDefault="00243A40">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Finalmente, se advierte que resulta procedente la interposición del recurso, según lo manifestado por </w:t>
      </w:r>
      <w:r w:rsidRPr="00E450DD">
        <w:rPr>
          <w:rFonts w:ascii="Palatino Linotype" w:eastAsia="Palatino Linotype" w:hAnsi="Palatino Linotype" w:cs="Palatino Linotype"/>
          <w:b/>
          <w:bCs/>
          <w:sz w:val="22"/>
          <w:szCs w:val="22"/>
        </w:rPr>
        <w:t>la parte</w:t>
      </w:r>
      <w:r w:rsidRPr="00E450DD">
        <w:rPr>
          <w:rFonts w:ascii="Palatino Linotype" w:eastAsia="Palatino Linotype" w:hAnsi="Palatino Linotype" w:cs="Palatino Linotype"/>
          <w:sz w:val="22"/>
          <w:szCs w:val="22"/>
        </w:rPr>
        <w:t xml:space="preserve"> </w:t>
      </w:r>
      <w:r w:rsidRPr="00E450DD">
        <w:rPr>
          <w:rFonts w:ascii="Palatino Linotype" w:eastAsia="Palatino Linotype" w:hAnsi="Palatino Linotype" w:cs="Palatino Linotype"/>
          <w:b/>
          <w:bCs/>
          <w:sz w:val="22"/>
          <w:szCs w:val="22"/>
        </w:rPr>
        <w:t>Recurrente</w:t>
      </w:r>
      <w:r w:rsidRPr="00E450DD">
        <w:rPr>
          <w:rFonts w:ascii="Palatino Linotype" w:eastAsia="Palatino Linotype" w:hAnsi="Palatino Linotype" w:cs="Palatino Linotype"/>
          <w:sz w:val="22"/>
          <w:szCs w:val="22"/>
        </w:rPr>
        <w:t xml:space="preserve"> en sus motivos de inconformidad, de acuerdo al artículo 179, fracción I del ordenamiento legal citado, que a la letra dice: </w:t>
      </w:r>
    </w:p>
    <w:p w14:paraId="08F7E061" w14:textId="77777777" w:rsidR="004A2F65" w:rsidRPr="00E450DD" w:rsidRDefault="00243A40" w:rsidP="006D05F9">
      <w:pPr>
        <w:ind w:left="567"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w:t>
      </w:r>
      <w:r w:rsidRPr="00E450DD">
        <w:rPr>
          <w:rFonts w:ascii="Palatino Linotype" w:eastAsia="Palatino Linotype" w:hAnsi="Palatino Linotype" w:cs="Palatino Linotype"/>
          <w:b/>
          <w:bCs/>
          <w:i/>
          <w:iCs/>
          <w:sz w:val="22"/>
          <w:szCs w:val="22"/>
        </w:rPr>
        <w:t>Artículo 179.</w:t>
      </w:r>
      <w:r w:rsidRPr="00E450DD">
        <w:rPr>
          <w:rFonts w:ascii="Palatino Linotype" w:eastAsia="Palatino Linotype" w:hAnsi="Palatino Linotype" w:cs="Palatino Linotype"/>
          <w:i/>
          <w:iCs/>
          <w:sz w:val="22"/>
          <w:szCs w:val="22"/>
        </w:rPr>
        <w:t xml:space="preserve"> El recurso de revisión es un medio de protección que la Ley otorga a los particulares, para hacer valer su derecho de acceso a la información pública, y procederá en contra de las siguientes causas:</w:t>
      </w:r>
    </w:p>
    <w:p w14:paraId="111C7561" w14:textId="63FCB9E7" w:rsidR="006D05F9" w:rsidRPr="00E450DD" w:rsidRDefault="00357C8A" w:rsidP="006D05F9">
      <w:pPr>
        <w:ind w:left="567" w:right="902"/>
        <w:jc w:val="both"/>
        <w:rPr>
          <w:rFonts w:ascii="Palatino Linotype" w:eastAsia="Palatino Linotype" w:hAnsi="Palatino Linotype" w:cs="Palatino Linotype"/>
          <w:b/>
          <w:i/>
          <w:iCs/>
          <w:sz w:val="22"/>
          <w:szCs w:val="22"/>
        </w:rPr>
      </w:pPr>
      <w:r w:rsidRPr="00E450DD">
        <w:rPr>
          <w:rFonts w:ascii="Palatino Linotype" w:eastAsia="Palatino Linotype" w:hAnsi="Palatino Linotype" w:cs="Palatino Linotype"/>
          <w:b/>
          <w:i/>
          <w:iCs/>
          <w:sz w:val="22"/>
          <w:szCs w:val="22"/>
        </w:rPr>
        <w:t>I. La negativa a la información solicitada;</w:t>
      </w:r>
    </w:p>
    <w:p w14:paraId="28679812" w14:textId="48D7E059" w:rsidR="004A2F65" w:rsidRPr="00E450DD" w:rsidRDefault="00243A40" w:rsidP="006D05F9">
      <w:pPr>
        <w:ind w:left="567"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w:t>
      </w:r>
    </w:p>
    <w:p w14:paraId="2941B22C" w14:textId="77777777" w:rsidR="004A2F65" w:rsidRPr="00E450DD" w:rsidRDefault="00243A40">
      <w:pPr>
        <w:spacing w:before="240" w:after="240" w:line="360" w:lineRule="auto"/>
        <w:jc w:val="both"/>
        <w:rPr>
          <w:rFonts w:ascii="Palatino Linotype" w:eastAsia="Palatino Linotype" w:hAnsi="Palatino Linotype" w:cs="Palatino Linotype"/>
          <w:b/>
          <w:bCs/>
          <w:sz w:val="22"/>
          <w:szCs w:val="22"/>
        </w:rPr>
      </w:pPr>
      <w:r w:rsidRPr="00E450DD">
        <w:rPr>
          <w:rFonts w:ascii="Palatino Linotype" w:eastAsia="Palatino Linotype" w:hAnsi="Palatino Linotype" w:cs="Palatino Linotype"/>
          <w:b/>
          <w:bCs/>
          <w:sz w:val="22"/>
          <w:szCs w:val="22"/>
        </w:rPr>
        <w:t xml:space="preserve">Tercero. Materia de la revisión. </w:t>
      </w:r>
      <w:r w:rsidRPr="00E450DD">
        <w:rPr>
          <w:rFonts w:ascii="Palatino Linotype" w:eastAsia="Palatino Linotype" w:hAnsi="Palatino Linotype" w:cs="Palatino Linotype"/>
          <w:sz w:val="22"/>
          <w:szCs w:val="22"/>
        </w:rPr>
        <w:t xml:space="preserve">De la revisión a las constancias y documentos que obran en el expediente electrónico se advierte, que el tema sobre el que este Organismo Garante de Transparencia y Acceso a la Información se pronunciará será: </w:t>
      </w:r>
      <w:r w:rsidRPr="00E450DD">
        <w:rPr>
          <w:rFonts w:ascii="Palatino Linotype" w:eastAsia="Palatino Linotype" w:hAnsi="Palatino Linotype" w:cs="Palatino Linotype"/>
          <w:b/>
          <w:bCs/>
          <w:sz w:val="22"/>
          <w:szCs w:val="22"/>
        </w:rPr>
        <w:t xml:space="preserve">verificar si la información proporcionada por el Sujeto Obligado es adecuada y suficiente para satisfacer el derecho de acceso a la información pública </w:t>
      </w:r>
      <w:r w:rsidRPr="00E450DD">
        <w:rPr>
          <w:rFonts w:ascii="Palatino Linotype" w:eastAsia="Palatino Linotype" w:hAnsi="Palatino Linotype" w:cs="Palatino Linotype"/>
          <w:sz w:val="22"/>
          <w:szCs w:val="22"/>
        </w:rPr>
        <w:t xml:space="preserve">de la parte </w:t>
      </w:r>
      <w:r w:rsidRPr="00E450DD">
        <w:rPr>
          <w:rFonts w:ascii="Palatino Linotype" w:eastAsia="Palatino Linotype" w:hAnsi="Palatino Linotype" w:cs="Palatino Linotype"/>
          <w:b/>
          <w:bCs/>
          <w:sz w:val="22"/>
          <w:szCs w:val="22"/>
        </w:rPr>
        <w:t>Recurrente</w:t>
      </w:r>
      <w:r w:rsidRPr="00E450DD">
        <w:rPr>
          <w:rFonts w:ascii="Palatino Linotype" w:eastAsia="Palatino Linotype" w:hAnsi="Palatino Linotype" w:cs="Palatino Linotype"/>
          <w:sz w:val="22"/>
          <w:szCs w:val="22"/>
        </w:rPr>
        <w:t>, o en su defecto, en caso de ser procedente, ordenar la entrega de información.</w:t>
      </w:r>
    </w:p>
    <w:p w14:paraId="585D0E56" w14:textId="77777777" w:rsidR="004A2F65" w:rsidRPr="00E450DD" w:rsidRDefault="00243A40">
      <w:pPr>
        <w:spacing w:before="240" w:after="240" w:line="360" w:lineRule="auto"/>
        <w:jc w:val="both"/>
        <w:rPr>
          <w:rFonts w:ascii="Palatino Linotype" w:eastAsia="Palatino Linotype" w:hAnsi="Palatino Linotype" w:cs="Palatino Linotype"/>
          <w:sz w:val="22"/>
          <w:szCs w:val="22"/>
        </w:rPr>
      </w:pPr>
      <w:bookmarkStart w:id="7" w:name="_heading=h.2et92p0" w:colFirst="0" w:colLast="0"/>
      <w:bookmarkEnd w:id="7"/>
      <w:r w:rsidRPr="00E450DD">
        <w:rPr>
          <w:rFonts w:ascii="Palatino Linotype" w:eastAsia="Palatino Linotype" w:hAnsi="Palatino Linotype" w:cs="Palatino Linotype"/>
          <w:b/>
          <w:bCs/>
          <w:sz w:val="22"/>
          <w:szCs w:val="22"/>
        </w:rPr>
        <w:t xml:space="preserve">Cuarto. Estudio del asunto. </w:t>
      </w:r>
      <w:r w:rsidRPr="00E450DD">
        <w:rPr>
          <w:rFonts w:ascii="Palatino Linotype" w:eastAsia="Palatino Linotype" w:hAnsi="Palatino Linotype" w:cs="Palatino Linotype"/>
          <w:sz w:val="22"/>
          <w:szCs w:val="22"/>
        </w:rPr>
        <w:t>En primer lugar, es conveniente mencionar que de conformidad con el artículo 4 de la Ley de Transparencia y Acceso a la Información Pública del Estado de México y Municipios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14:paraId="04FBD69B" w14:textId="77777777" w:rsidR="004A2F65" w:rsidRPr="00E450DD" w:rsidRDefault="00243A40">
      <w:pPr>
        <w:spacing w:before="240" w:after="240" w:line="360" w:lineRule="auto"/>
        <w:ind w:left="851"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w:t>
      </w:r>
      <w:r w:rsidRPr="00E450DD">
        <w:rPr>
          <w:rFonts w:ascii="Palatino Linotype" w:eastAsia="Palatino Linotype" w:hAnsi="Palatino Linotype" w:cs="Palatino Linotype"/>
          <w:b/>
          <w:bCs/>
          <w:i/>
          <w:iCs/>
          <w:sz w:val="22"/>
          <w:szCs w:val="22"/>
        </w:rPr>
        <w:t>Artículo 4</w:t>
      </w:r>
      <w:r w:rsidRPr="00E450DD">
        <w:rPr>
          <w:rFonts w:ascii="Palatino Linotype" w:eastAsia="Palatino Linotype" w:hAnsi="Palatino Linotype" w:cs="Palatino Linotype"/>
          <w:i/>
          <w:iCs/>
          <w:sz w:val="22"/>
          <w:szCs w:val="22"/>
        </w:rPr>
        <w:t xml:space="preserve">. El derecho humano de acceso a la información pública es la prerrogativa de las personas para buscar, difundir, investigar, recabar, recibir y solicitar información pública, sin necesidad de acreditar personalidad ni interés jurídico. </w:t>
      </w:r>
    </w:p>
    <w:p w14:paraId="4C64B839" w14:textId="77777777" w:rsidR="004A2F65" w:rsidRPr="00E450DD" w:rsidRDefault="00243A40">
      <w:pPr>
        <w:spacing w:before="240" w:after="240" w:line="360" w:lineRule="auto"/>
        <w:ind w:left="851"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Toda la información generada, obtenida, adquirida, transformada, administrada o en posesión de los sujetos obligados es pública y accesible de manera permanente a cualquier persona</w:t>
      </w:r>
      <w:r w:rsidRPr="00E450DD">
        <w:rPr>
          <w:rFonts w:ascii="Palatino Linotype" w:eastAsia="Palatino Linotype" w:hAnsi="Palatino Linotype" w:cs="Palatino Linotype"/>
          <w:i/>
          <w:iCs/>
          <w:sz w:val="22"/>
          <w:szCs w:val="22"/>
        </w:rPr>
        <w:t>,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14:paraId="4EFC3A39" w14:textId="77777777" w:rsidR="004A2F65" w:rsidRPr="00E450DD" w:rsidRDefault="00243A40">
      <w:pPr>
        <w:spacing w:before="240" w:after="240" w:line="360" w:lineRule="auto"/>
        <w:ind w:left="851"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Los sujetos obligados deben poner en práctica, políticas y programas de acceso a la información que se apeguen a criterios de publicidad, veracidad, oportunidad, precisión y suficiencia en beneficio de los solicitantes</w:t>
      </w:r>
      <w:r w:rsidRPr="00E450DD">
        <w:rPr>
          <w:rFonts w:ascii="Palatino Linotype" w:eastAsia="Palatino Linotype" w:hAnsi="Palatino Linotype" w:cs="Palatino Linotype"/>
          <w:i/>
          <w:iCs/>
          <w:sz w:val="22"/>
          <w:szCs w:val="22"/>
        </w:rPr>
        <w:t>.”</w:t>
      </w:r>
    </w:p>
    <w:p w14:paraId="3D527C8A" w14:textId="77777777" w:rsidR="004A2F65" w:rsidRPr="00E450DD" w:rsidRDefault="00243A40">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14:paraId="2080A030" w14:textId="77777777" w:rsidR="004A2F65" w:rsidRPr="00E450DD" w:rsidRDefault="00243A40">
      <w:pPr>
        <w:spacing w:before="240" w:after="240" w:line="360" w:lineRule="auto"/>
        <w:ind w:left="851"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“Artículo 12.-</w:t>
      </w:r>
      <w:r w:rsidRPr="00E450DD">
        <w:rPr>
          <w:rFonts w:ascii="Palatino Linotype" w:eastAsia="Palatino Linotype" w:hAnsi="Palatino Linotype" w:cs="Palatino Linotype"/>
          <w:i/>
          <w:iCs/>
          <w:sz w:val="22"/>
          <w:szCs w:val="22"/>
        </w:rPr>
        <w:t xml:space="preserve"> Quienes generen, recopilen, administren, manejen, procesen, archiven o conserven información pública serán responsables de la misma en los términos de las disposiciones jurídicas aplicables. </w:t>
      </w:r>
    </w:p>
    <w:p w14:paraId="018E140E" w14:textId="77777777" w:rsidR="004A2F65" w:rsidRPr="00E450DD" w:rsidRDefault="00243A40">
      <w:pPr>
        <w:spacing w:before="240" w:after="240" w:line="360" w:lineRule="auto"/>
        <w:ind w:left="851"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Los sujetos obligados sólo proporcionarán la información pública que se les requiera y que obre en sus archivos y en el estado en que ésta se encuentre</w:t>
      </w:r>
      <w:r w:rsidRPr="00E450DD">
        <w:rPr>
          <w:rFonts w:ascii="Palatino Linotype" w:eastAsia="Palatino Linotype" w:hAnsi="Palatino Linotype" w:cs="Palatino Linotype"/>
          <w:i/>
          <w:iCs/>
          <w:sz w:val="22"/>
          <w:szCs w:val="22"/>
        </w:rPr>
        <w:t xml:space="preserve">. </w:t>
      </w:r>
      <w:r w:rsidRPr="00E450DD">
        <w:rPr>
          <w:rFonts w:ascii="Palatino Linotype" w:eastAsia="Palatino Linotype" w:hAnsi="Palatino Linotype" w:cs="Palatino Linotype"/>
          <w:b/>
          <w:bCs/>
          <w:i/>
          <w:iCs/>
          <w:sz w:val="22"/>
          <w:szCs w:val="22"/>
        </w:rPr>
        <w:t>La obligación de proporcionar información no comprende el procesamiento de la misma, ni el presentarla conforme al interés del solicitante; no estarán obligados a generarla, resumirla, efectuar cálculos o practicar investigaciones.”</w:t>
      </w:r>
    </w:p>
    <w:p w14:paraId="42A3FC8E" w14:textId="77777777" w:rsidR="004A2F65" w:rsidRPr="00E450DD" w:rsidRDefault="00243A40">
      <w:pPr>
        <w:spacing w:before="240" w:after="240" w:line="360" w:lineRule="auto"/>
        <w:ind w:right="-93"/>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sólo se concretaran a proporcionar la información solicitada que tengan en su poder en el estado que se encuentran, sin necesidad de concretarse al interés o términos específicos del solicitante.</w:t>
      </w:r>
    </w:p>
    <w:p w14:paraId="281CB884" w14:textId="77777777" w:rsidR="004A2F65" w:rsidRPr="00E450DD" w:rsidRDefault="00243A40">
      <w:pPr>
        <w:spacing w:before="240" w:after="240" w:line="360" w:lineRule="auto"/>
        <w:jc w:val="both"/>
        <w:rPr>
          <w:rFonts w:ascii="Palatino Linotype" w:eastAsia="Palatino Linotype" w:hAnsi="Palatino Linotype" w:cs="Palatino Linotype"/>
          <w:b/>
          <w:bCs/>
          <w:sz w:val="22"/>
          <w:szCs w:val="22"/>
        </w:rPr>
      </w:pPr>
      <w:r w:rsidRPr="00E450DD">
        <w:rPr>
          <w:rFonts w:ascii="Palatino Linotype" w:eastAsia="Palatino Linotype" w:hAnsi="Palatino Linotype" w:cs="Palatino Linotype"/>
          <w:sz w:val="22"/>
          <w:szCs w:val="22"/>
        </w:rPr>
        <w:t>Sirve de apoyo a lo anterior, el criterio orientador con clave de control SO/003/2017, emitido por el entonces Instituto Nacional de Transparencia, Acceso a la Información y Protección de Datos Personales, que por rubro y texto, dispone lo siguiente:</w:t>
      </w:r>
      <w:r w:rsidRPr="00E450DD">
        <w:rPr>
          <w:rFonts w:ascii="Palatino Linotype" w:eastAsia="Palatino Linotype" w:hAnsi="Palatino Linotype" w:cs="Palatino Linotype"/>
          <w:b/>
          <w:bCs/>
          <w:sz w:val="22"/>
          <w:szCs w:val="22"/>
        </w:rPr>
        <w:t xml:space="preserve"> </w:t>
      </w:r>
    </w:p>
    <w:p w14:paraId="70DF7897" w14:textId="77777777" w:rsidR="004A2F65" w:rsidRPr="00E450DD" w:rsidRDefault="00243A40">
      <w:pPr>
        <w:spacing w:before="240" w:after="240" w:line="360" w:lineRule="auto"/>
        <w:ind w:left="1134"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 xml:space="preserve"> “</w:t>
      </w:r>
      <w:r w:rsidRPr="00E450DD">
        <w:rPr>
          <w:rFonts w:ascii="Palatino Linotype" w:eastAsia="Palatino Linotype" w:hAnsi="Palatino Linotype" w:cs="Palatino Linotype"/>
          <w:b/>
          <w:bCs/>
          <w:i/>
          <w:iCs/>
          <w:sz w:val="22"/>
          <w:szCs w:val="22"/>
        </w:rPr>
        <w:t>No existe obligación de elaborar documentos ad hoc para atender las solicitudes de acceso a la información.</w:t>
      </w:r>
      <w:r w:rsidRPr="00E450DD">
        <w:rPr>
          <w:rFonts w:ascii="Palatino Linotype" w:eastAsia="Palatino Linotype" w:hAnsi="Palatino Linotype" w:cs="Palatino Linotype"/>
          <w:i/>
          <w:iCs/>
          <w:sz w:val="22"/>
          <w:szCs w:val="22"/>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14:paraId="4822347D" w14:textId="77777777" w:rsidR="004A2F65" w:rsidRPr="00E450DD" w:rsidRDefault="00243A40">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14:paraId="63446E28" w14:textId="77777777" w:rsidR="004A2F65" w:rsidRPr="00E450DD" w:rsidRDefault="00243A40">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14:paraId="5342F110" w14:textId="77777777" w:rsidR="004A2F65" w:rsidRPr="00E450DD" w:rsidRDefault="00243A40">
      <w:pPr>
        <w:spacing w:before="240" w:after="240" w:line="360" w:lineRule="auto"/>
        <w:ind w:left="851"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w:t>
      </w:r>
      <w:r w:rsidRPr="00E450DD">
        <w:rPr>
          <w:rFonts w:ascii="Palatino Linotype" w:eastAsia="Palatino Linotype" w:hAnsi="Palatino Linotype" w:cs="Palatino Linotype"/>
          <w:b/>
          <w:bCs/>
          <w:i/>
          <w:iCs/>
          <w:sz w:val="22"/>
          <w:szCs w:val="22"/>
        </w:rPr>
        <w:t xml:space="preserve">Artículo 3. </w:t>
      </w:r>
      <w:r w:rsidRPr="00E450DD">
        <w:rPr>
          <w:rFonts w:ascii="Palatino Linotype" w:eastAsia="Palatino Linotype" w:hAnsi="Palatino Linotype" w:cs="Palatino Linotype"/>
          <w:i/>
          <w:iCs/>
          <w:sz w:val="22"/>
          <w:szCs w:val="22"/>
        </w:rPr>
        <w:t>Para los efectos de la presente Ley se entenderá por:</w:t>
      </w:r>
    </w:p>
    <w:p w14:paraId="4A26C84E" w14:textId="77777777" w:rsidR="004A2F65" w:rsidRPr="00E450DD" w:rsidRDefault="00243A40">
      <w:pPr>
        <w:spacing w:before="240" w:after="240" w:line="360" w:lineRule="auto"/>
        <w:ind w:left="1134"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w:t>
      </w:r>
    </w:p>
    <w:p w14:paraId="4CDF3BD7" w14:textId="77777777" w:rsidR="004A2F65" w:rsidRPr="00E450DD" w:rsidRDefault="00243A40">
      <w:pPr>
        <w:spacing w:before="240" w:after="240" w:line="360" w:lineRule="auto"/>
        <w:ind w:left="1134"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XI. Documento:</w:t>
      </w:r>
      <w:r w:rsidRPr="00E450DD">
        <w:rPr>
          <w:rFonts w:ascii="Palatino Linotype" w:eastAsia="Palatino Linotype" w:hAnsi="Palatino Linotype" w:cs="Palatino Linotype"/>
          <w:i/>
          <w:iCs/>
          <w:sz w:val="22"/>
          <w:szCs w:val="22"/>
        </w:rPr>
        <w:t xml:space="preserve"> Los expedientes, reportes, estudios, actas</w:t>
      </w:r>
      <w:r w:rsidRPr="00E450DD">
        <w:rPr>
          <w:rFonts w:ascii="Palatino Linotype" w:eastAsia="Palatino Linotype" w:hAnsi="Palatino Linotype" w:cs="Palatino Linotype"/>
          <w:b/>
          <w:bCs/>
          <w:i/>
          <w:iCs/>
          <w:sz w:val="22"/>
          <w:szCs w:val="22"/>
        </w:rPr>
        <w:t>,</w:t>
      </w:r>
      <w:r w:rsidRPr="00E450DD">
        <w:rPr>
          <w:rFonts w:ascii="Palatino Linotype" w:eastAsia="Palatino Linotype" w:hAnsi="Palatino Linotype" w:cs="Palatino Linotype"/>
          <w:i/>
          <w:iCs/>
          <w:sz w:val="22"/>
          <w:szCs w:val="22"/>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14:paraId="2B078957" w14:textId="77777777" w:rsidR="004A2F65" w:rsidRPr="00E450DD" w:rsidRDefault="00243A40">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Es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14:paraId="5B2C871A" w14:textId="77777777" w:rsidR="004A2F65" w:rsidRPr="00E450DD" w:rsidRDefault="00243A40">
      <w:pPr>
        <w:spacing w:before="240" w:after="240" w:line="360" w:lineRule="auto"/>
        <w:ind w:left="851"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sz w:val="22"/>
          <w:szCs w:val="22"/>
        </w:rPr>
        <w:t>“</w:t>
      </w:r>
      <w:r w:rsidRPr="00E450DD">
        <w:rPr>
          <w:rFonts w:ascii="Palatino Linotype" w:eastAsia="Palatino Linotype" w:hAnsi="Palatino Linotype" w:cs="Palatino Linotype"/>
          <w:b/>
          <w:bCs/>
          <w:i/>
          <w:iCs/>
          <w:sz w:val="22"/>
          <w:szCs w:val="22"/>
        </w:rPr>
        <w:t>INFORMACIÓN PÚBLICA, CONCEPTO DE, EN MATERIA DE TRANSPARENCIA. INTERPRETACIÓN SISTEMÁTICA DE LOS ARTÍCULOS 2°, FRACCIÓN V, XV, Y XVI, 3°, 4°, 11 Y 41.</w:t>
      </w:r>
      <w:r w:rsidRPr="00E450DD">
        <w:rPr>
          <w:rFonts w:ascii="Palatino Linotype" w:eastAsia="Palatino Linotype" w:hAnsi="Palatino Linotype" w:cs="Palatino Linotype"/>
          <w:i/>
          <w:iCs/>
          <w:sz w:val="22"/>
          <w:szCs w:val="22"/>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14:paraId="5647C8A3" w14:textId="77777777" w:rsidR="004A2F65" w:rsidRPr="00E450DD" w:rsidRDefault="00243A40">
      <w:pPr>
        <w:spacing w:before="240" w:after="240" w:line="360" w:lineRule="auto"/>
        <w:ind w:left="851"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En consecuencia el acceso a la información se refiere a que se cumplan cualquiera de los siguientes tres supuestos:</w:t>
      </w:r>
    </w:p>
    <w:p w14:paraId="1AE8E70A" w14:textId="77777777" w:rsidR="004A2F65" w:rsidRPr="00E450DD" w:rsidRDefault="00243A40">
      <w:pPr>
        <w:spacing w:before="240" w:after="240" w:line="360" w:lineRule="auto"/>
        <w:ind w:left="1134"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1) Que se trate de información registrada en cualquier soporte documental, que en ejercicio de las atribuciones conferidas, sea generada por los Sujetos Obligados;</w:t>
      </w:r>
    </w:p>
    <w:p w14:paraId="73F42B98" w14:textId="77777777" w:rsidR="004A2F65" w:rsidRPr="00E450DD" w:rsidRDefault="00243A40">
      <w:pPr>
        <w:spacing w:before="240" w:after="240" w:line="360" w:lineRule="auto"/>
        <w:ind w:left="1134"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2) Que se trate de información registrada en cualquier soporte documental, que en ejercicio de las atribuciones conferidas, sea administrada por los Sujetos Obligados, y</w:t>
      </w:r>
    </w:p>
    <w:p w14:paraId="79395290" w14:textId="77777777" w:rsidR="004A2F65" w:rsidRPr="00E450DD" w:rsidRDefault="00243A40">
      <w:pPr>
        <w:spacing w:before="240" w:after="240" w:line="360" w:lineRule="auto"/>
        <w:ind w:left="1134"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3) Que se trate de información registrada en cualquier soporte documental, que en ejercicio de las atribuciones conferidas, se encuentre en posesión de los Sujetos Obligados.”</w:t>
      </w:r>
    </w:p>
    <w:p w14:paraId="27215154" w14:textId="77777777" w:rsidR="004A2F65" w:rsidRPr="00E450DD" w:rsidRDefault="00243A40">
      <w:pPr>
        <w:spacing w:before="240" w:after="240" w:line="360" w:lineRule="auto"/>
        <w:ind w:right="51"/>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Lo anterior, siempre y cuando no se trate de información clasificada como reservada o confidencial, cuya difusión pueda lesionar el interés jurídicamente protegido por la Ley, producir un daño mayor que el interés de conocerse, o bien, generar un daño en los derechos de las personas,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14:paraId="4439D676" w14:textId="77777777" w:rsidR="004A2F65" w:rsidRPr="00E450DD" w:rsidRDefault="00243A40">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En el mismo tenor, los artículos 6, apartado A, fracción I, de la Constitución Política de los Estados Unidos Mexicanos y 5, fracción I, de la Constitución Política del Estado Libre y Soberano de México, establecen que toda la información en posesión de cualquier autoridad, entidad, órgano y organismos de los Poderes Ejecutivo, Legislativo y Judicial, órganos autónomos, partidos políticos, fideicomisos y fondos públicos estatales y municipales, así como del gobierno y de la administración pública municipal y sus organismos descentralizados, asimismo de cualquier persona física, jurídica colectiva o sindicato que reciba y ejerza recursos públicos o realice actos de autoridad en el ámbito estatal y municipal, es pública y sólo podrá ser reservada temporalmente por las razones previstas en la Constitución Federal por interés público y seguridad, en los términos que fijen las leyes de la materia.</w:t>
      </w:r>
    </w:p>
    <w:p w14:paraId="79E549A0" w14:textId="77777777" w:rsidR="004A2F65" w:rsidRPr="00E450DD" w:rsidRDefault="00243A40">
      <w:pPr>
        <w:spacing w:before="240" w:after="240" w:line="360" w:lineRule="auto"/>
        <w:ind w:right="51"/>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Ahora bien, del análisis de la solicitud de información, motivo del recurso de revisión que ahora se resuelve, se advierte que la parte </w:t>
      </w:r>
      <w:r w:rsidRPr="00E450DD">
        <w:rPr>
          <w:rFonts w:ascii="Palatino Linotype" w:eastAsia="Palatino Linotype" w:hAnsi="Palatino Linotype" w:cs="Palatino Linotype"/>
          <w:b/>
          <w:bCs/>
          <w:sz w:val="22"/>
          <w:szCs w:val="22"/>
        </w:rPr>
        <w:t>Recurrente</w:t>
      </w:r>
      <w:r w:rsidRPr="00E450DD">
        <w:rPr>
          <w:rFonts w:ascii="Palatino Linotype" w:eastAsia="Palatino Linotype" w:hAnsi="Palatino Linotype" w:cs="Palatino Linotype"/>
          <w:sz w:val="22"/>
          <w:szCs w:val="22"/>
        </w:rPr>
        <w:t xml:space="preserve"> requirió al </w:t>
      </w:r>
      <w:r w:rsidRPr="00E450DD">
        <w:rPr>
          <w:rFonts w:ascii="Palatino Linotype" w:eastAsia="Palatino Linotype" w:hAnsi="Palatino Linotype" w:cs="Palatino Linotype"/>
          <w:b/>
          <w:bCs/>
          <w:sz w:val="22"/>
          <w:szCs w:val="22"/>
        </w:rPr>
        <w:t xml:space="preserve">Sujeto Obligado </w:t>
      </w:r>
      <w:r w:rsidRPr="00E450DD">
        <w:rPr>
          <w:rFonts w:ascii="Palatino Linotype" w:eastAsia="Palatino Linotype" w:hAnsi="Palatino Linotype" w:cs="Palatino Linotype"/>
          <w:sz w:val="22"/>
          <w:szCs w:val="22"/>
        </w:rPr>
        <w:t>le proporcione medularmente lo siguiente:</w:t>
      </w:r>
    </w:p>
    <w:p w14:paraId="3ECAF886" w14:textId="5EE885B7" w:rsidR="00337259" w:rsidRPr="00E450DD" w:rsidRDefault="00E14AC7" w:rsidP="00681FE9">
      <w:pPr>
        <w:pStyle w:val="Prrafodelista"/>
        <w:numPr>
          <w:ilvl w:val="0"/>
          <w:numId w:val="21"/>
        </w:numPr>
        <w:pBdr>
          <w:top w:val="nil"/>
          <w:left w:val="nil"/>
          <w:bottom w:val="nil"/>
          <w:right w:val="nil"/>
          <w:between w:val="nil"/>
        </w:pBdr>
        <w:spacing w:line="360" w:lineRule="auto"/>
        <w:ind w:right="51"/>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Documento donde conste el pago de horas extras a servidores públicos adscritos al Ayuntamiento de Tlalnepantla.</w:t>
      </w:r>
    </w:p>
    <w:p w14:paraId="1A60DF0C" w14:textId="77777777" w:rsidR="00E14AC7" w:rsidRPr="00E450DD" w:rsidRDefault="00E14AC7" w:rsidP="00681FE9">
      <w:pPr>
        <w:pStyle w:val="Prrafodelista"/>
        <w:numPr>
          <w:ilvl w:val="0"/>
          <w:numId w:val="21"/>
        </w:numPr>
        <w:pBdr>
          <w:top w:val="nil"/>
          <w:left w:val="nil"/>
          <w:bottom w:val="nil"/>
          <w:right w:val="nil"/>
          <w:between w:val="nil"/>
        </w:pBdr>
        <w:spacing w:line="360" w:lineRule="auto"/>
        <w:ind w:right="51"/>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Se emita un pronunciamiento con relación a lo siguiente:</w:t>
      </w:r>
    </w:p>
    <w:p w14:paraId="195EB704" w14:textId="4106B8C3" w:rsidR="00E14AC7" w:rsidRPr="00E450DD" w:rsidRDefault="00E14AC7" w:rsidP="00E14AC7">
      <w:pPr>
        <w:pStyle w:val="Prrafodelista"/>
        <w:numPr>
          <w:ilvl w:val="0"/>
          <w:numId w:val="22"/>
        </w:numPr>
        <w:pBdr>
          <w:top w:val="nil"/>
          <w:left w:val="nil"/>
          <w:bottom w:val="nil"/>
          <w:right w:val="nil"/>
          <w:between w:val="nil"/>
        </w:pBdr>
        <w:spacing w:line="360" w:lineRule="auto"/>
        <w:ind w:right="51"/>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Se indique si la Administración Pública Municipal respeta los derechos laborales.</w:t>
      </w:r>
    </w:p>
    <w:p w14:paraId="59C03FA4" w14:textId="413C6685" w:rsidR="00E14AC7" w:rsidRPr="00E450DD" w:rsidRDefault="00E14AC7" w:rsidP="00E14AC7">
      <w:pPr>
        <w:pStyle w:val="Prrafodelista"/>
        <w:numPr>
          <w:ilvl w:val="0"/>
          <w:numId w:val="22"/>
        </w:numPr>
        <w:pBdr>
          <w:top w:val="nil"/>
          <w:left w:val="nil"/>
          <w:bottom w:val="nil"/>
          <w:right w:val="nil"/>
          <w:between w:val="nil"/>
        </w:pBdr>
        <w:spacing w:line="360" w:lineRule="auto"/>
        <w:ind w:right="51"/>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En caso de no pagarse horas extra, que el Presidente Municipal explique las razones por las que se obliga a los empleados a laborar después de las seis de la tarde.</w:t>
      </w:r>
    </w:p>
    <w:p w14:paraId="0AFBDA07" w14:textId="3056D663" w:rsidR="00E14AC7" w:rsidRPr="00E450DD" w:rsidRDefault="00E14AC7" w:rsidP="00E14AC7">
      <w:pPr>
        <w:pStyle w:val="Prrafodelista"/>
        <w:numPr>
          <w:ilvl w:val="0"/>
          <w:numId w:val="22"/>
        </w:numPr>
        <w:pBdr>
          <w:top w:val="nil"/>
          <w:left w:val="nil"/>
          <w:bottom w:val="nil"/>
          <w:right w:val="nil"/>
          <w:between w:val="nil"/>
        </w:pBdr>
        <w:spacing w:line="360" w:lineRule="auto"/>
        <w:ind w:right="51"/>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En caso de que un trabajador tuviera un accidente por salir después de su horario laboral que termina a las seis de la tarde, se indique si ello se tomaría como accidente de trabajo y el servidor público responsable de dicho caso.</w:t>
      </w:r>
    </w:p>
    <w:p w14:paraId="0E6B5BD3" w14:textId="3359C258" w:rsidR="00E14AC7" w:rsidRPr="00E450DD" w:rsidRDefault="00E14AC7" w:rsidP="00E14AC7">
      <w:pPr>
        <w:pStyle w:val="Prrafodelista"/>
        <w:numPr>
          <w:ilvl w:val="0"/>
          <w:numId w:val="22"/>
        </w:numPr>
        <w:pBdr>
          <w:top w:val="nil"/>
          <w:left w:val="nil"/>
          <w:bottom w:val="nil"/>
          <w:right w:val="nil"/>
          <w:between w:val="nil"/>
        </w:pBdr>
        <w:spacing w:line="360" w:lineRule="auto"/>
        <w:ind w:right="51"/>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Se indique la situación laboral de los trabajadores para solicitar al Ejecutivo Estatal se fije en el actual de sus Municipios.</w:t>
      </w:r>
    </w:p>
    <w:p w14:paraId="15817294" w14:textId="77777777" w:rsidR="00E14AC7" w:rsidRPr="00E450DD" w:rsidRDefault="00E14AC7" w:rsidP="006D05F9">
      <w:pPr>
        <w:spacing w:line="360" w:lineRule="auto"/>
        <w:jc w:val="both"/>
        <w:rPr>
          <w:rFonts w:ascii="Palatino Linotype" w:eastAsia="Palatino Linotype" w:hAnsi="Palatino Linotype" w:cs="Palatino Linotype"/>
          <w:sz w:val="22"/>
          <w:szCs w:val="22"/>
        </w:rPr>
      </w:pPr>
    </w:p>
    <w:p w14:paraId="31B1DDA4" w14:textId="2725DCB3" w:rsidR="00E14AC7" w:rsidRPr="00E450DD" w:rsidRDefault="00E14AC7" w:rsidP="006D05F9">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Sobre los requerimientos formulados por el solicitante, es de señalar que por lo que corresponde al señalado en el numeral 2, donde se requiere la emisión de pronunciamiento del </w:t>
      </w:r>
      <w:r w:rsidRPr="00E450DD">
        <w:rPr>
          <w:rFonts w:ascii="Palatino Linotype" w:eastAsia="Palatino Linotype" w:hAnsi="Palatino Linotype" w:cs="Palatino Linotype"/>
          <w:b/>
          <w:sz w:val="22"/>
          <w:szCs w:val="22"/>
        </w:rPr>
        <w:t xml:space="preserve">Sujeto Obligado </w:t>
      </w:r>
      <w:r w:rsidRPr="00E450DD">
        <w:rPr>
          <w:rFonts w:ascii="Palatino Linotype" w:eastAsia="Palatino Linotype" w:hAnsi="Palatino Linotype" w:cs="Palatino Linotype"/>
          <w:sz w:val="22"/>
          <w:szCs w:val="22"/>
        </w:rPr>
        <w:t>sobre casos específicos es de indicar que los mismos son inatendibles al tratarse del ejercicio del derecho de petición, lo cual no se colma con la entrega de documentos que obren en</w:t>
      </w:r>
      <w:r w:rsidR="006C1137" w:rsidRPr="00E450DD">
        <w:rPr>
          <w:rFonts w:ascii="Palatino Linotype" w:eastAsia="Palatino Linotype" w:hAnsi="Palatino Linotype" w:cs="Palatino Linotype"/>
          <w:sz w:val="22"/>
          <w:szCs w:val="22"/>
        </w:rPr>
        <w:t xml:space="preserve"> los archivos del ente obligado.</w:t>
      </w:r>
    </w:p>
    <w:p w14:paraId="2AB94E35" w14:textId="2657CCCA" w:rsidR="006C1137" w:rsidRPr="00E450DD" w:rsidRDefault="006C1137" w:rsidP="006C1137">
      <w:pPr>
        <w:spacing w:before="240" w:after="240" w:line="360" w:lineRule="auto"/>
        <w:jc w:val="both"/>
      </w:pPr>
      <w:r w:rsidRPr="00E450DD">
        <w:rPr>
          <w:rFonts w:ascii="Palatino Linotype" w:eastAsia="Palatino Linotype" w:hAnsi="Palatino Linotype" w:cs="Palatino Linotype"/>
          <w:sz w:val="22"/>
          <w:szCs w:val="22"/>
        </w:rPr>
        <w:t xml:space="preserve">Lo anterior, ya que tal y como se advierte, el Recurrente está formulando requerimientos en los que pide específicamente que el Sujeto Obligado emita pronunciamientos sobre planteamientos en particular; por lo que, se colige que la pretensión del ahora parte </w:t>
      </w:r>
      <w:r w:rsidRPr="00E450DD">
        <w:rPr>
          <w:rFonts w:ascii="Palatino Linotype" w:eastAsia="Palatino Linotype" w:hAnsi="Palatino Linotype" w:cs="Palatino Linotype"/>
          <w:b/>
          <w:bCs/>
          <w:sz w:val="22"/>
          <w:szCs w:val="22"/>
        </w:rPr>
        <w:t>Recurrente</w:t>
      </w:r>
      <w:r w:rsidRPr="00E450DD">
        <w:rPr>
          <w:rFonts w:ascii="Palatino Linotype" w:eastAsia="Palatino Linotype" w:hAnsi="Palatino Linotype" w:cs="Palatino Linotype"/>
          <w:sz w:val="22"/>
          <w:szCs w:val="22"/>
        </w:rPr>
        <w:t xml:space="preserve"> es la generación de información que no ha sido emitida previo a la solicitud, y obligar al ayuntamiento a atender la solicitud bajo los parámetros indicados por el particular, situación por la cual nos lleva a recordar que el artículo 12 de la Ley de Transparencia y Acceso a la Información Pública del Estado de México y Municipios, establece que los sujetos obligados únicamente están constreñidos a entregar los documentos que obren en sus archivos en el estado en que estos se encuentren, lo que no comprende entregar la información conforme al interés del solicitante.  </w:t>
      </w:r>
    </w:p>
    <w:p w14:paraId="21FA2331" w14:textId="77777777" w:rsidR="006C1137" w:rsidRPr="00E450DD" w:rsidRDefault="006C1137" w:rsidP="006C1137"/>
    <w:p w14:paraId="1424E3C6" w14:textId="77777777" w:rsidR="006C1137" w:rsidRPr="00E450DD" w:rsidRDefault="006C1137" w:rsidP="006C1137">
      <w:pPr>
        <w:pBdr>
          <w:top w:val="nil"/>
          <w:left w:val="nil"/>
          <w:bottom w:val="nil"/>
          <w:right w:val="nil"/>
          <w:between w:val="nil"/>
        </w:pBdr>
        <w:spacing w:line="360" w:lineRule="auto"/>
        <w:jc w:val="both"/>
      </w:pPr>
      <w:r w:rsidRPr="00E450DD">
        <w:rPr>
          <w:rFonts w:ascii="Palatino Linotype" w:eastAsia="Palatino Linotype" w:hAnsi="Palatino Linotype" w:cs="Palatino Linotype"/>
          <w:sz w:val="22"/>
          <w:szCs w:val="22"/>
        </w:rPr>
        <w:t>Robustece lo anterior, el Criterio orientador 03/17 emitido por el entonces Instituto Nacional de Transparencia, Acceso a la Información y Protección de Datos Personales, el cual establece lo siguiente: </w:t>
      </w:r>
    </w:p>
    <w:p w14:paraId="6642D5A7" w14:textId="77777777" w:rsidR="006C1137" w:rsidRPr="00E450DD" w:rsidRDefault="006C1137" w:rsidP="006C1137"/>
    <w:p w14:paraId="2D0B66BF" w14:textId="77777777" w:rsidR="006C1137" w:rsidRPr="00E450DD" w:rsidRDefault="006C1137" w:rsidP="006C1137">
      <w:pPr>
        <w:pBdr>
          <w:top w:val="nil"/>
          <w:left w:val="nil"/>
          <w:bottom w:val="nil"/>
          <w:right w:val="nil"/>
          <w:between w:val="nil"/>
        </w:pBdr>
        <w:ind w:left="567" w:right="567"/>
        <w:jc w:val="both"/>
      </w:pPr>
      <w:r w:rsidRPr="00E450DD">
        <w:rPr>
          <w:rFonts w:ascii="Palatino Linotype" w:eastAsia="Palatino Linotype" w:hAnsi="Palatino Linotype" w:cs="Palatino Linotype"/>
          <w:b/>
          <w:bCs/>
          <w:i/>
          <w:iCs/>
          <w:sz w:val="22"/>
          <w:szCs w:val="22"/>
        </w:rPr>
        <w:t xml:space="preserve">No existe obligación de elaborar documentos ad hoc para atender las solicitudes de acceso a la información. </w:t>
      </w:r>
      <w:r w:rsidRPr="00E450DD">
        <w:rPr>
          <w:rFonts w:ascii="Palatino Linotype" w:eastAsia="Palatino Linotype" w:hAnsi="Palatino Linotype" w:cs="Palatino Linotype"/>
          <w:i/>
          <w:iCs/>
          <w:sz w:val="22"/>
          <w:szCs w:val="22"/>
        </w:rPr>
        <w:t>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p>
    <w:p w14:paraId="297189A0" w14:textId="77777777" w:rsidR="006C1137" w:rsidRPr="00E450DD" w:rsidRDefault="006C1137" w:rsidP="006C1137"/>
    <w:p w14:paraId="03B9899C" w14:textId="7FFA299B" w:rsidR="006C1137" w:rsidRPr="00E450DD" w:rsidRDefault="006C1137" w:rsidP="006C1137">
      <w:pPr>
        <w:pBdr>
          <w:top w:val="nil"/>
          <w:left w:val="nil"/>
          <w:bottom w:val="nil"/>
          <w:right w:val="nil"/>
          <w:between w:val="nil"/>
        </w:pBdr>
        <w:spacing w:line="360" w:lineRule="auto"/>
        <w:jc w:val="both"/>
        <w:rPr>
          <w:rFonts w:ascii="Palatino Linotype" w:eastAsia="Palatino Linotype" w:hAnsi="Palatino Linotype" w:cs="Palatino Linotype"/>
          <w:b/>
          <w:bCs/>
          <w:sz w:val="22"/>
          <w:szCs w:val="22"/>
          <w:u w:val="single"/>
        </w:rPr>
      </w:pPr>
      <w:r w:rsidRPr="00E450DD">
        <w:rPr>
          <w:rFonts w:ascii="Palatino Linotype" w:eastAsia="Palatino Linotype" w:hAnsi="Palatino Linotype" w:cs="Palatino Linotype"/>
          <w:b/>
          <w:bCs/>
          <w:sz w:val="22"/>
          <w:szCs w:val="22"/>
          <w:u w:val="single"/>
        </w:rPr>
        <w:t>De esta manera, el requerimiento del Particular es tendiente a obligar a la autoridad a que actúe en el sentido de contestar lo requerido.</w:t>
      </w:r>
    </w:p>
    <w:p w14:paraId="7FE0C7E9" w14:textId="77777777" w:rsidR="006C1137" w:rsidRPr="00E450DD" w:rsidRDefault="006C1137" w:rsidP="006C1137">
      <w:pPr>
        <w:pBdr>
          <w:top w:val="nil"/>
          <w:left w:val="nil"/>
          <w:bottom w:val="nil"/>
          <w:right w:val="nil"/>
          <w:between w:val="nil"/>
        </w:pBdr>
        <w:jc w:val="both"/>
        <w:rPr>
          <w:rFonts w:ascii="Palatino Linotype" w:eastAsia="Palatino Linotype" w:hAnsi="Palatino Linotype" w:cs="Palatino Linotype"/>
          <w:sz w:val="22"/>
          <w:szCs w:val="22"/>
        </w:rPr>
      </w:pPr>
    </w:p>
    <w:p w14:paraId="6D623638" w14:textId="1B161072" w:rsidR="006C1137" w:rsidRPr="00E450DD" w:rsidRDefault="006C1137" w:rsidP="006C1137">
      <w:pPr>
        <w:pBdr>
          <w:top w:val="nil"/>
          <w:left w:val="nil"/>
          <w:bottom w:val="nil"/>
          <w:right w:val="nil"/>
          <w:between w:val="nil"/>
        </w:pBdr>
        <w:spacing w:line="360" w:lineRule="auto"/>
        <w:jc w:val="both"/>
      </w:pPr>
      <w:r w:rsidRPr="00E450DD">
        <w:rPr>
          <w:rFonts w:ascii="Palatino Linotype" w:eastAsia="Palatino Linotype" w:hAnsi="Palatino Linotype" w:cs="Palatino Linotype"/>
          <w:sz w:val="22"/>
          <w:szCs w:val="22"/>
        </w:rPr>
        <w:t>Es por lo anterior que lo solicitado no constituye un derecho de acceso a la información y por lo tanto, no es atendible mediante una solicitud de acceso a la información pública, ya que se trata de una petición del Particular para que la respuesta se emita bajo ciertos parámetros, como lo es la emisión de un oficio, situación que conlleva a afirmar que se está en presencia del ejercicio del derecho de petición. </w:t>
      </w:r>
    </w:p>
    <w:p w14:paraId="6BC6F6DB" w14:textId="77777777" w:rsidR="006C1137" w:rsidRPr="00E450DD" w:rsidRDefault="006C1137" w:rsidP="006C1137"/>
    <w:p w14:paraId="4AF91AC8" w14:textId="77777777" w:rsidR="006C1137" w:rsidRPr="00E450DD" w:rsidRDefault="006C1137" w:rsidP="006C1137">
      <w:pPr>
        <w:pBdr>
          <w:top w:val="nil"/>
          <w:left w:val="nil"/>
          <w:bottom w:val="nil"/>
          <w:right w:val="nil"/>
          <w:between w:val="nil"/>
        </w:pBdr>
        <w:spacing w:line="360" w:lineRule="auto"/>
        <w:ind w:right="99"/>
        <w:jc w:val="both"/>
      </w:pPr>
      <w:r w:rsidRPr="00E450DD">
        <w:rPr>
          <w:rFonts w:ascii="Palatino Linotype" w:eastAsia="Palatino Linotype" w:hAnsi="Palatino Linotype" w:cs="Palatino Linotype"/>
          <w:b/>
          <w:bCs/>
          <w:sz w:val="22"/>
          <w:szCs w:val="22"/>
          <w:u w:val="single"/>
        </w:rPr>
        <w:t>Ya que se reitera el derecho de acceso a la información pública</w:t>
      </w:r>
      <w:r w:rsidRPr="00E450DD">
        <w:rPr>
          <w:rFonts w:ascii="Palatino Linotype" w:eastAsia="Palatino Linotype" w:hAnsi="Palatino Linotype" w:cs="Palatino Linotype"/>
          <w:sz w:val="22"/>
          <w:szCs w:val="22"/>
        </w:rPr>
        <w:t xml:space="preserve"> es el derecho de conocer la </w:t>
      </w:r>
      <w:r w:rsidRPr="00E450DD">
        <w:rPr>
          <w:rFonts w:ascii="Palatino Linotype" w:eastAsia="Palatino Linotype" w:hAnsi="Palatino Linotype" w:cs="Palatino Linotype"/>
          <w:sz w:val="22"/>
          <w:szCs w:val="22"/>
          <w:u w:val="single"/>
        </w:rPr>
        <w:t>información de carácter público que se genera o está en posesión de los órganos del poder público</w:t>
      </w:r>
      <w:r w:rsidRPr="00E450DD">
        <w:rPr>
          <w:rFonts w:ascii="Palatino Linotype" w:eastAsia="Palatino Linotype" w:hAnsi="Palatino Linotype" w:cs="Palatino Linotype"/>
          <w:sz w:val="22"/>
          <w:szCs w:val="22"/>
        </w:rPr>
        <w:t xml:space="preserve"> o de los sujetos que utilizan o se benefician con recursos provenientes del Estado, es el derecho que tienen los ciudadanos para acceder a documentos y datos que obren en el poder del gobierno, previos a la presentación de una solicitud de información.</w:t>
      </w:r>
    </w:p>
    <w:p w14:paraId="518541CC" w14:textId="77777777" w:rsidR="006C1137" w:rsidRPr="00E450DD" w:rsidRDefault="006C1137" w:rsidP="006C1137">
      <w:pPr>
        <w:spacing w:line="360" w:lineRule="auto"/>
      </w:pPr>
    </w:p>
    <w:p w14:paraId="003A1278" w14:textId="77777777" w:rsidR="006C1137" w:rsidRPr="00E450DD" w:rsidRDefault="006C1137" w:rsidP="006C1137">
      <w:pPr>
        <w:pBdr>
          <w:top w:val="nil"/>
          <w:left w:val="nil"/>
          <w:bottom w:val="nil"/>
          <w:right w:val="nil"/>
          <w:between w:val="nil"/>
        </w:pBdr>
        <w:spacing w:line="360" w:lineRule="auto"/>
        <w:ind w:right="99"/>
        <w:jc w:val="both"/>
      </w:pPr>
      <w:r w:rsidRPr="00E450DD">
        <w:rPr>
          <w:rFonts w:ascii="Palatino Linotype" w:eastAsia="Palatino Linotype" w:hAnsi="Palatino Linotype" w:cs="Palatino Linotype"/>
          <w:sz w:val="22"/>
          <w:szCs w:val="22"/>
        </w:rPr>
        <w:t>Por su parte Ernesto Villanueva define al derecho de acceso a la información pública como la prerrogativa de la persona para acceder a datos, registros y todo tipo de informaciones en poder de las entidades públicas y empresas privadas que ejercen gasto público o cumplen funciones de autoridad, con las excepciones taxativas que establezca la ley en una sociedad democrática.</w:t>
      </w:r>
    </w:p>
    <w:p w14:paraId="4EE33386" w14:textId="77777777" w:rsidR="006C1137" w:rsidRPr="00E450DD" w:rsidRDefault="006C1137" w:rsidP="006C1137"/>
    <w:p w14:paraId="7D3C82C7" w14:textId="77777777" w:rsidR="006C1137" w:rsidRPr="00E450DD" w:rsidRDefault="006C1137" w:rsidP="006C1137">
      <w:pPr>
        <w:pBdr>
          <w:top w:val="nil"/>
          <w:left w:val="nil"/>
          <w:bottom w:val="nil"/>
          <w:right w:val="nil"/>
          <w:between w:val="nil"/>
        </w:pBdr>
        <w:spacing w:line="360" w:lineRule="auto"/>
        <w:ind w:right="99"/>
        <w:jc w:val="both"/>
      </w:pPr>
      <w:r w:rsidRPr="00E450DD">
        <w:rPr>
          <w:rFonts w:ascii="Palatino Linotype" w:eastAsia="Palatino Linotype" w:hAnsi="Palatino Linotype" w:cs="Palatino Linotype"/>
          <w:sz w:val="22"/>
          <w:szCs w:val="22"/>
        </w:rPr>
        <w:t xml:space="preserve">De lo anterior se puede concluir que la distinción entre el </w:t>
      </w:r>
      <w:r w:rsidRPr="00E450DD">
        <w:rPr>
          <w:rFonts w:ascii="Palatino Linotype" w:eastAsia="Palatino Linotype" w:hAnsi="Palatino Linotype" w:cs="Palatino Linotype"/>
          <w:b/>
          <w:bCs/>
          <w:sz w:val="22"/>
          <w:szCs w:val="22"/>
        </w:rPr>
        <w:t>derecho de petición</w:t>
      </w:r>
      <w:r w:rsidRPr="00E450DD">
        <w:rPr>
          <w:rFonts w:ascii="Palatino Linotype" w:eastAsia="Palatino Linotype" w:hAnsi="Palatino Linotype" w:cs="Palatino Linotype"/>
          <w:sz w:val="22"/>
          <w:szCs w:val="22"/>
        </w:rPr>
        <w:t xml:space="preserve"> y el derecho de acceso a la información descansa, principalmente, en que </w:t>
      </w:r>
      <w:r w:rsidRPr="00E450DD">
        <w:rPr>
          <w:rFonts w:ascii="Palatino Linotype" w:eastAsia="Palatino Linotype" w:hAnsi="Palatino Linotype" w:cs="Palatino Linotype"/>
          <w:sz w:val="22"/>
          <w:szCs w:val="22"/>
          <w:u w:val="single"/>
        </w:rPr>
        <w:t>la pretensión del peticionario consiste generalmente en obligar a la autoridad responsable a que actúe en el sentido de contestar lo solicitado</w:t>
      </w:r>
      <w:r w:rsidRPr="00E450DD">
        <w:rPr>
          <w:rFonts w:ascii="Palatino Linotype" w:eastAsia="Palatino Linotype" w:hAnsi="Palatino Linotype" w:cs="Palatino Linotype"/>
          <w:sz w:val="22"/>
          <w:szCs w:val="22"/>
        </w:rPr>
        <w:t>, mientras que en el derecho de acceso a la información pública la pretensión radica en que se permita el acceso a datos y todo tipo de documentación que tenga el carácter de información pública, que sea generada, administrada o se encuentre en posesión de los considerados Sujetos Obligados por la Ley de la Materia.</w:t>
      </w:r>
    </w:p>
    <w:p w14:paraId="67222DD7" w14:textId="77777777" w:rsidR="00E14AC7" w:rsidRPr="00E450DD" w:rsidRDefault="00E14AC7" w:rsidP="006D05F9">
      <w:pPr>
        <w:spacing w:line="360" w:lineRule="auto"/>
        <w:jc w:val="both"/>
        <w:rPr>
          <w:rFonts w:ascii="Palatino Linotype" w:eastAsia="Palatino Linotype" w:hAnsi="Palatino Linotype" w:cs="Palatino Linotype"/>
          <w:sz w:val="22"/>
          <w:szCs w:val="22"/>
        </w:rPr>
      </w:pPr>
    </w:p>
    <w:p w14:paraId="25458A6B" w14:textId="68528745" w:rsidR="00E14AC7" w:rsidRPr="00E450DD" w:rsidRDefault="006C1137" w:rsidP="006D05F9">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De ahí que no procede ordenar la entrega de información alguna para brindar atención al requerimiento de mérito.</w:t>
      </w:r>
    </w:p>
    <w:p w14:paraId="77DBE144" w14:textId="77777777" w:rsidR="00E14AC7" w:rsidRPr="00E450DD" w:rsidRDefault="00E14AC7" w:rsidP="006D05F9">
      <w:pPr>
        <w:spacing w:line="360" w:lineRule="auto"/>
        <w:jc w:val="both"/>
        <w:rPr>
          <w:rFonts w:ascii="Palatino Linotype" w:eastAsia="Palatino Linotype" w:hAnsi="Palatino Linotype" w:cs="Palatino Linotype"/>
          <w:sz w:val="22"/>
          <w:szCs w:val="22"/>
        </w:rPr>
      </w:pPr>
    </w:p>
    <w:p w14:paraId="1AE07F9F" w14:textId="77777777" w:rsidR="006C1137" w:rsidRPr="00E450DD" w:rsidRDefault="006C1137" w:rsidP="006D05F9">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Por tanto, el requerimiento sobre el cual versará el presente asunto, será el relativo a:</w:t>
      </w:r>
    </w:p>
    <w:p w14:paraId="7D2F2F09" w14:textId="77777777" w:rsidR="006C1137" w:rsidRPr="00E450DD" w:rsidRDefault="006C1137" w:rsidP="006D05F9">
      <w:pPr>
        <w:spacing w:line="360" w:lineRule="auto"/>
        <w:jc w:val="both"/>
        <w:rPr>
          <w:rFonts w:ascii="Palatino Linotype" w:eastAsia="Palatino Linotype" w:hAnsi="Palatino Linotype" w:cs="Palatino Linotype"/>
          <w:sz w:val="22"/>
          <w:szCs w:val="22"/>
        </w:rPr>
      </w:pPr>
    </w:p>
    <w:p w14:paraId="0EDC3DE1" w14:textId="77777777" w:rsidR="006C1137" w:rsidRPr="00E450DD" w:rsidRDefault="006C1137" w:rsidP="006C1137">
      <w:pPr>
        <w:pStyle w:val="Prrafodelista"/>
        <w:numPr>
          <w:ilvl w:val="0"/>
          <w:numId w:val="21"/>
        </w:numPr>
        <w:pBdr>
          <w:top w:val="nil"/>
          <w:left w:val="nil"/>
          <w:bottom w:val="nil"/>
          <w:right w:val="nil"/>
          <w:between w:val="nil"/>
        </w:pBdr>
        <w:spacing w:line="360" w:lineRule="auto"/>
        <w:ind w:right="51"/>
        <w:jc w:val="both"/>
        <w:rPr>
          <w:rFonts w:ascii="Palatino Linotype" w:eastAsia="Palatino Linotype" w:hAnsi="Palatino Linotype" w:cs="Palatino Linotype"/>
          <w:b/>
          <w:sz w:val="22"/>
          <w:szCs w:val="22"/>
        </w:rPr>
      </w:pPr>
      <w:r w:rsidRPr="00E450DD">
        <w:rPr>
          <w:rFonts w:ascii="Palatino Linotype" w:eastAsia="Palatino Linotype" w:hAnsi="Palatino Linotype" w:cs="Palatino Linotype"/>
          <w:sz w:val="22"/>
          <w:szCs w:val="22"/>
        </w:rPr>
        <w:t xml:space="preserve"> </w:t>
      </w:r>
      <w:r w:rsidRPr="00E450DD">
        <w:rPr>
          <w:rFonts w:ascii="Palatino Linotype" w:eastAsia="Palatino Linotype" w:hAnsi="Palatino Linotype" w:cs="Palatino Linotype"/>
          <w:b/>
          <w:sz w:val="22"/>
          <w:szCs w:val="22"/>
        </w:rPr>
        <w:t>Documento donde conste el pago de horas extras a servidores públicos adscritos al Ayuntamiento de Tlalnepantla.</w:t>
      </w:r>
    </w:p>
    <w:p w14:paraId="20F2F04F" w14:textId="71FC38B9" w:rsidR="006C1137" w:rsidRPr="00E450DD" w:rsidRDefault="006C1137" w:rsidP="006C1137">
      <w:pPr>
        <w:widowControl w:val="0"/>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Como puede advertirse, la parte solicitante fue omisa en señalar el periodo sobre el cual requería la información, siendo aplicable el criterio orientador 03/19 emitido por el entonces Instituto Nacional de Transparencia Acceso a la Información y Protección de Datos Personales, INAI, en el cual es del tenor literal siguiente:</w:t>
      </w:r>
    </w:p>
    <w:p w14:paraId="22F9B921" w14:textId="77777777" w:rsidR="006C1137" w:rsidRPr="00E450DD" w:rsidRDefault="006C1137" w:rsidP="006C1137">
      <w:pPr>
        <w:widowControl w:val="0"/>
        <w:spacing w:before="240" w:after="240"/>
        <w:ind w:left="851" w:right="900"/>
        <w:jc w:val="both"/>
        <w:rPr>
          <w:rFonts w:ascii="Palatino Linotype" w:eastAsia="Palatino Linotype" w:hAnsi="Palatino Linotype" w:cs="Palatino Linotype"/>
          <w:i/>
          <w:sz w:val="22"/>
          <w:szCs w:val="22"/>
        </w:rPr>
      </w:pPr>
      <w:r w:rsidRPr="00E450DD">
        <w:rPr>
          <w:rFonts w:ascii="Palatino Linotype" w:eastAsia="Palatino Linotype" w:hAnsi="Palatino Linotype" w:cs="Palatino Linotype"/>
          <w:i/>
          <w:sz w:val="22"/>
          <w:szCs w:val="22"/>
        </w:rPr>
        <w:t>“</w:t>
      </w:r>
      <w:r w:rsidRPr="00E450DD">
        <w:rPr>
          <w:rFonts w:ascii="Palatino Linotype" w:eastAsia="Palatino Linotype" w:hAnsi="Palatino Linotype" w:cs="Palatino Linotype"/>
          <w:b/>
          <w:i/>
          <w:sz w:val="22"/>
          <w:szCs w:val="22"/>
        </w:rPr>
        <w:t>Periodo de búsqueda de la información</w:t>
      </w:r>
      <w:r w:rsidRPr="00E450DD">
        <w:rPr>
          <w:rFonts w:ascii="Palatino Linotype" w:eastAsia="Palatino Linotype" w:hAnsi="Palatino Linotype" w:cs="Palatino Linotype"/>
          <w:i/>
          <w:sz w:val="22"/>
          <w:szCs w:val="22"/>
        </w:rPr>
        <w:t xml:space="preserve">. En el supuesto de que el particular no haya señalado el periodo respecto del cual requiere la información, o bien, de la solicitud presentada no se adviertan elementos que permitan identificarlo, deberá considerarse, para efectos de la búsqueda de la información, que el requerimiento se refiere al año inmediato anterior, contado a partir de la fecha en que se presentó la solicitud.”  </w:t>
      </w:r>
    </w:p>
    <w:p w14:paraId="613FE3D4" w14:textId="584FF3F7" w:rsidR="006C1137" w:rsidRPr="00E450DD" w:rsidRDefault="006C1137" w:rsidP="006C1137">
      <w:pPr>
        <w:widowControl w:val="0"/>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De manera que, ante la omisión por parte de la solicitante, la información que es susceptible de entrega, en su caso, corresponde a la que el </w:t>
      </w:r>
      <w:r w:rsidRPr="00E450DD">
        <w:rPr>
          <w:rFonts w:ascii="Palatino Linotype" w:eastAsia="Palatino Linotype" w:hAnsi="Palatino Linotype" w:cs="Palatino Linotype"/>
          <w:b/>
          <w:sz w:val="22"/>
          <w:szCs w:val="22"/>
        </w:rPr>
        <w:t xml:space="preserve">Sujeto Obligado </w:t>
      </w:r>
      <w:r w:rsidRPr="00E450DD">
        <w:rPr>
          <w:rFonts w:ascii="Palatino Linotype" w:eastAsia="Palatino Linotype" w:hAnsi="Palatino Linotype" w:cs="Palatino Linotype"/>
          <w:sz w:val="22"/>
          <w:szCs w:val="22"/>
        </w:rPr>
        <w:t xml:space="preserve"> hubiera generado, administre o posea en el año inmediato anterior contado a partir de la fecha de presentación de la solicitud, es decir, </w:t>
      </w:r>
      <w:r w:rsidRPr="00E450DD">
        <w:rPr>
          <w:rFonts w:ascii="Palatino Linotype" w:eastAsia="Palatino Linotype" w:hAnsi="Palatino Linotype" w:cs="Palatino Linotype"/>
          <w:b/>
          <w:sz w:val="22"/>
          <w:szCs w:val="22"/>
        </w:rPr>
        <w:t>del seis de marzo de dos mil veinticinco al seis de marzo de dos mil veintiséis.</w:t>
      </w:r>
    </w:p>
    <w:p w14:paraId="6CEFC4CA" w14:textId="6A9ED171" w:rsidR="006D05F9" w:rsidRPr="00E450DD" w:rsidRDefault="00D84268" w:rsidP="006D05F9">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Ahora bien, e</w:t>
      </w:r>
      <w:r w:rsidR="004B20A7" w:rsidRPr="00E450DD">
        <w:rPr>
          <w:rFonts w:ascii="Palatino Linotype" w:eastAsia="Palatino Linotype" w:hAnsi="Palatino Linotype" w:cs="Palatino Linotype"/>
          <w:sz w:val="22"/>
          <w:szCs w:val="22"/>
        </w:rPr>
        <w:t xml:space="preserve">n respuesta </w:t>
      </w:r>
      <w:r w:rsidR="007B768D" w:rsidRPr="00E450DD">
        <w:rPr>
          <w:rFonts w:ascii="Palatino Linotype" w:eastAsia="Palatino Linotype" w:hAnsi="Palatino Linotype" w:cs="Palatino Linotype"/>
          <w:sz w:val="22"/>
          <w:szCs w:val="22"/>
        </w:rPr>
        <w:t xml:space="preserve">el </w:t>
      </w:r>
      <w:r w:rsidR="007B768D" w:rsidRPr="00E450DD">
        <w:rPr>
          <w:rFonts w:ascii="Palatino Linotype" w:eastAsia="Palatino Linotype" w:hAnsi="Palatino Linotype" w:cs="Palatino Linotype"/>
          <w:b/>
          <w:sz w:val="22"/>
          <w:szCs w:val="22"/>
        </w:rPr>
        <w:t xml:space="preserve">Sujeto Obligado </w:t>
      </w:r>
      <w:r w:rsidR="007B768D" w:rsidRPr="00E450DD">
        <w:rPr>
          <w:rFonts w:ascii="Palatino Linotype" w:eastAsia="Palatino Linotype" w:hAnsi="Palatino Linotype" w:cs="Palatino Linotype"/>
          <w:sz w:val="22"/>
          <w:szCs w:val="22"/>
        </w:rPr>
        <w:t>por conducto de</w:t>
      </w:r>
      <w:r w:rsidR="004636A6" w:rsidRPr="00E450DD">
        <w:t xml:space="preserve"> </w:t>
      </w:r>
      <w:r w:rsidR="004636A6" w:rsidRPr="00E450DD">
        <w:rPr>
          <w:rFonts w:ascii="Palatino Linotype" w:eastAsia="Palatino Linotype" w:hAnsi="Palatino Linotype" w:cs="Palatino Linotype"/>
          <w:sz w:val="22"/>
          <w:szCs w:val="22"/>
        </w:rPr>
        <w:t xml:space="preserve">la </w:t>
      </w:r>
      <w:r w:rsidRPr="00E450DD">
        <w:rPr>
          <w:rFonts w:ascii="Palatino Linotype" w:eastAsia="Palatino Linotype" w:hAnsi="Palatino Linotype" w:cs="Palatino Linotype"/>
          <w:sz w:val="22"/>
          <w:szCs w:val="22"/>
        </w:rPr>
        <w:t>Subdirectora de Recursos Humanos</w:t>
      </w:r>
      <w:r w:rsidR="004636A6" w:rsidRPr="00E450DD">
        <w:rPr>
          <w:rFonts w:ascii="Palatino Linotype" w:eastAsia="Palatino Linotype" w:hAnsi="Palatino Linotype" w:cs="Palatino Linotype"/>
          <w:sz w:val="22"/>
          <w:szCs w:val="22"/>
        </w:rPr>
        <w:t xml:space="preserve"> señaló que </w:t>
      </w:r>
      <w:r w:rsidRPr="00E450DD">
        <w:rPr>
          <w:rFonts w:ascii="Palatino Linotype" w:eastAsia="Palatino Linotype" w:hAnsi="Palatino Linotype" w:cs="Palatino Linotype"/>
          <w:sz w:val="22"/>
          <w:szCs w:val="22"/>
        </w:rPr>
        <w:t>lo requerido no constituye una solicitud de información pública, sino cuestionamientos de los cuales se requiere la emisión un pronunciamiento sobre temas en particular; aunado a que no se encontró documento donde conste lo requerido.</w:t>
      </w:r>
    </w:p>
    <w:p w14:paraId="74C2603D" w14:textId="6C49F959" w:rsidR="000D1F09" w:rsidRPr="00E450DD" w:rsidRDefault="000D1F09" w:rsidP="000D1F09">
      <w:pPr>
        <w:spacing w:line="360" w:lineRule="auto"/>
        <w:jc w:val="both"/>
        <w:rPr>
          <w:rFonts w:ascii="Palatino Linotype" w:eastAsia="Palatino Linotype" w:hAnsi="Palatino Linotype" w:cs="Palatino Linotype"/>
          <w:sz w:val="22"/>
          <w:szCs w:val="22"/>
        </w:rPr>
      </w:pPr>
    </w:p>
    <w:p w14:paraId="57636F8D" w14:textId="02003E9C" w:rsidR="007B768D" w:rsidRPr="00E450DD" w:rsidRDefault="007B768D" w:rsidP="000D1F09">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Inconforme con la respuesta, la parte </w:t>
      </w:r>
      <w:r w:rsidRPr="00E450DD">
        <w:rPr>
          <w:rFonts w:ascii="Palatino Linotype" w:eastAsia="Palatino Linotype" w:hAnsi="Palatino Linotype" w:cs="Palatino Linotype"/>
          <w:b/>
          <w:sz w:val="22"/>
          <w:szCs w:val="22"/>
        </w:rPr>
        <w:t xml:space="preserve">Recurrente </w:t>
      </w:r>
      <w:r w:rsidRPr="00E450DD">
        <w:rPr>
          <w:rFonts w:ascii="Palatino Linotype" w:eastAsia="Palatino Linotype" w:hAnsi="Palatino Linotype" w:cs="Palatino Linotype"/>
          <w:sz w:val="22"/>
          <w:szCs w:val="22"/>
        </w:rPr>
        <w:t xml:space="preserve">promovió el presente recurso de revisión señalando como acto impugnado o razones o motivos de inconformidad </w:t>
      </w:r>
      <w:r w:rsidR="00D84268" w:rsidRPr="00E450DD">
        <w:rPr>
          <w:rFonts w:ascii="Palatino Linotype" w:eastAsia="Palatino Linotype" w:hAnsi="Palatino Linotype" w:cs="Palatino Linotype"/>
          <w:sz w:val="22"/>
          <w:szCs w:val="22"/>
        </w:rPr>
        <w:t xml:space="preserve">medularmente </w:t>
      </w:r>
      <w:r w:rsidR="002008B1" w:rsidRPr="00E450DD">
        <w:rPr>
          <w:rFonts w:ascii="Palatino Linotype" w:eastAsia="Palatino Linotype" w:hAnsi="Palatino Linotype" w:cs="Palatino Linotype"/>
          <w:sz w:val="22"/>
          <w:szCs w:val="22"/>
        </w:rPr>
        <w:t xml:space="preserve">la </w:t>
      </w:r>
      <w:r w:rsidR="004636A6" w:rsidRPr="00E450DD">
        <w:rPr>
          <w:rFonts w:ascii="Palatino Linotype" w:eastAsia="Palatino Linotype" w:hAnsi="Palatino Linotype" w:cs="Palatino Linotype"/>
          <w:sz w:val="22"/>
          <w:szCs w:val="22"/>
        </w:rPr>
        <w:t>negativa a la entrega de la información requerida</w:t>
      </w:r>
      <w:r w:rsidR="003D3012" w:rsidRPr="00E450DD">
        <w:rPr>
          <w:rFonts w:ascii="Palatino Linotype" w:eastAsia="Palatino Linotype" w:hAnsi="Palatino Linotype" w:cs="Palatino Linotype"/>
          <w:sz w:val="22"/>
          <w:szCs w:val="22"/>
        </w:rPr>
        <w:t>.</w:t>
      </w:r>
    </w:p>
    <w:p w14:paraId="60A73340" w14:textId="77777777" w:rsidR="007B768D" w:rsidRPr="00E450DD" w:rsidRDefault="007B768D" w:rsidP="000D1F09">
      <w:pPr>
        <w:spacing w:line="360" w:lineRule="auto"/>
        <w:jc w:val="both"/>
        <w:rPr>
          <w:rFonts w:ascii="Palatino Linotype" w:eastAsia="Palatino Linotype" w:hAnsi="Palatino Linotype" w:cs="Palatino Linotype"/>
          <w:sz w:val="22"/>
          <w:szCs w:val="22"/>
        </w:rPr>
      </w:pPr>
    </w:p>
    <w:p w14:paraId="59C3CFAB" w14:textId="23F609CC" w:rsidR="000D1F09" w:rsidRPr="00E450DD" w:rsidRDefault="00BA0978">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De constancias del expediente electrónico del SAIMEX, se observa que </w:t>
      </w:r>
      <w:r w:rsidR="00D84268" w:rsidRPr="00E450DD">
        <w:rPr>
          <w:rFonts w:ascii="Palatino Linotype" w:eastAsia="Palatino Linotype" w:hAnsi="Palatino Linotype" w:cs="Palatino Linotype"/>
          <w:sz w:val="22"/>
          <w:szCs w:val="22"/>
        </w:rPr>
        <w:t xml:space="preserve">el </w:t>
      </w:r>
      <w:r w:rsidR="00D84268" w:rsidRPr="00E450DD">
        <w:rPr>
          <w:rFonts w:ascii="Palatino Linotype" w:eastAsia="Palatino Linotype" w:hAnsi="Palatino Linotype" w:cs="Palatino Linotype"/>
          <w:b/>
          <w:sz w:val="22"/>
          <w:szCs w:val="22"/>
        </w:rPr>
        <w:t xml:space="preserve">Sujeto Obligado </w:t>
      </w:r>
      <w:r w:rsidR="00D84268" w:rsidRPr="00E450DD">
        <w:rPr>
          <w:rFonts w:ascii="Palatino Linotype" w:eastAsia="Palatino Linotype" w:hAnsi="Palatino Linotype" w:cs="Palatino Linotype"/>
          <w:sz w:val="22"/>
          <w:szCs w:val="22"/>
        </w:rPr>
        <w:t>rindió su informe justificado ratificando en lo medular la respuesta inicial.</w:t>
      </w:r>
    </w:p>
    <w:p w14:paraId="30E28C03" w14:textId="77777777" w:rsidR="00D84268" w:rsidRPr="00E450DD" w:rsidRDefault="00D84268">
      <w:pPr>
        <w:spacing w:line="360" w:lineRule="auto"/>
        <w:jc w:val="both"/>
        <w:rPr>
          <w:rFonts w:ascii="Palatino Linotype" w:eastAsia="Palatino Linotype" w:hAnsi="Palatino Linotype" w:cs="Palatino Linotype"/>
          <w:sz w:val="22"/>
          <w:szCs w:val="22"/>
        </w:rPr>
      </w:pPr>
    </w:p>
    <w:p w14:paraId="7E220BB4" w14:textId="6C976C1D" w:rsidR="00D84268" w:rsidRPr="00E450DD" w:rsidRDefault="00D84268">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Por su lado, la </w:t>
      </w:r>
      <w:r w:rsidRPr="00E450DD">
        <w:rPr>
          <w:rFonts w:ascii="Palatino Linotype" w:eastAsia="Palatino Linotype" w:hAnsi="Palatino Linotype" w:cs="Palatino Linotype"/>
          <w:b/>
          <w:sz w:val="22"/>
          <w:szCs w:val="22"/>
        </w:rPr>
        <w:t xml:space="preserve">parte Recurrente </w:t>
      </w:r>
      <w:r w:rsidRPr="00E450DD">
        <w:rPr>
          <w:rFonts w:ascii="Palatino Linotype" w:eastAsia="Palatino Linotype" w:hAnsi="Palatino Linotype" w:cs="Palatino Linotype"/>
          <w:sz w:val="22"/>
          <w:szCs w:val="22"/>
        </w:rPr>
        <w:t>fue omisa en hacer valer manifestaciones o rendir alegatos que conforme a derecho resultaran procedentes.</w:t>
      </w:r>
    </w:p>
    <w:p w14:paraId="09F90FAA" w14:textId="77777777" w:rsidR="00BA0978" w:rsidRPr="00E450DD" w:rsidRDefault="00BA0978">
      <w:pPr>
        <w:spacing w:line="360" w:lineRule="auto"/>
        <w:jc w:val="both"/>
        <w:rPr>
          <w:rFonts w:ascii="Palatino Linotype" w:eastAsia="Palatino Linotype" w:hAnsi="Palatino Linotype" w:cs="Palatino Linotype"/>
          <w:sz w:val="22"/>
          <w:szCs w:val="22"/>
        </w:rPr>
      </w:pPr>
    </w:p>
    <w:p w14:paraId="28F2B84E" w14:textId="437AAC56" w:rsidR="00BC28DF" w:rsidRPr="00E450DD" w:rsidRDefault="00BC28DF" w:rsidP="00BC28DF">
      <w:pPr>
        <w:spacing w:line="360" w:lineRule="auto"/>
        <w:ind w:right="-28"/>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Expuestas las posturas de las partes, se procede a analizar la naturaleza de la información requerida, </w:t>
      </w:r>
      <w:r w:rsidR="00D84268" w:rsidRPr="00E450DD">
        <w:rPr>
          <w:rFonts w:ascii="Palatino Linotype" w:eastAsia="Palatino Linotype" w:hAnsi="Palatino Linotype" w:cs="Palatino Linotype"/>
          <w:sz w:val="22"/>
          <w:szCs w:val="22"/>
        </w:rPr>
        <w:t>y para ello conviene traer a contexto el contenido de los artículos 59, 60 y 64 de la Ley del Tr</w:t>
      </w:r>
      <w:r w:rsidR="007B6466" w:rsidRPr="00E450DD">
        <w:rPr>
          <w:rFonts w:ascii="Palatino Linotype" w:eastAsia="Palatino Linotype" w:hAnsi="Palatino Linotype" w:cs="Palatino Linotype"/>
          <w:sz w:val="22"/>
          <w:szCs w:val="22"/>
        </w:rPr>
        <w:t>abajo de los Servidores Públicos y Municipios, que disponen lo siguiente:</w:t>
      </w:r>
    </w:p>
    <w:p w14:paraId="38D9FAFF" w14:textId="37ABE423" w:rsidR="00D84268" w:rsidRPr="00E450DD" w:rsidRDefault="00D84268" w:rsidP="00D84268">
      <w:pPr>
        <w:spacing w:line="360" w:lineRule="auto"/>
        <w:ind w:left="567" w:right="333"/>
        <w:jc w:val="both"/>
        <w:rPr>
          <w:rFonts w:ascii="Palatino Linotype" w:eastAsia="Palatino Linotype" w:hAnsi="Palatino Linotype" w:cs="Palatino Linotype"/>
          <w:i/>
          <w:sz w:val="22"/>
          <w:szCs w:val="22"/>
        </w:rPr>
      </w:pPr>
      <w:r w:rsidRPr="00E450DD">
        <w:rPr>
          <w:rFonts w:ascii="Palatino Linotype" w:eastAsia="Palatino Linotype" w:hAnsi="Palatino Linotype" w:cs="Palatino Linotype"/>
          <w:i/>
          <w:sz w:val="22"/>
          <w:szCs w:val="22"/>
        </w:rPr>
        <w:t xml:space="preserve">“ARTÍCULO 59. Jornada de trabajo es el tiempo durante el cual el servidor público está a disposición de la institución pública para prestar sus servicios. </w:t>
      </w:r>
    </w:p>
    <w:p w14:paraId="28F1066A" w14:textId="77777777" w:rsidR="00D84268" w:rsidRPr="00E450DD" w:rsidRDefault="00D84268" w:rsidP="00D84268">
      <w:pPr>
        <w:spacing w:line="360" w:lineRule="auto"/>
        <w:ind w:left="567" w:right="333"/>
        <w:jc w:val="both"/>
        <w:rPr>
          <w:rFonts w:ascii="Palatino Linotype" w:eastAsia="Palatino Linotype" w:hAnsi="Palatino Linotype" w:cs="Palatino Linotype"/>
          <w:i/>
          <w:sz w:val="22"/>
          <w:szCs w:val="22"/>
        </w:rPr>
      </w:pPr>
      <w:r w:rsidRPr="00E450DD">
        <w:rPr>
          <w:rFonts w:ascii="Palatino Linotype" w:eastAsia="Palatino Linotype" w:hAnsi="Palatino Linotype" w:cs="Palatino Linotype"/>
          <w:i/>
          <w:sz w:val="22"/>
          <w:szCs w:val="22"/>
        </w:rPr>
        <w:t xml:space="preserve">El horario de trabajo será determinado conforme a las necesidades del servicio de la institución pública o dependencia, de acuerdo a lo estipulado en las condiciones generales de trabajo, sin que exceda los máximos legales. </w:t>
      </w:r>
    </w:p>
    <w:p w14:paraId="4771DD46" w14:textId="77777777" w:rsidR="00D84268" w:rsidRPr="00E450DD" w:rsidRDefault="00D84268" w:rsidP="00D84268">
      <w:pPr>
        <w:spacing w:line="360" w:lineRule="auto"/>
        <w:ind w:left="567" w:right="333"/>
        <w:jc w:val="both"/>
        <w:rPr>
          <w:rFonts w:ascii="Palatino Linotype" w:eastAsia="Palatino Linotype" w:hAnsi="Palatino Linotype" w:cs="Palatino Linotype"/>
          <w:i/>
          <w:sz w:val="22"/>
          <w:szCs w:val="22"/>
        </w:rPr>
      </w:pPr>
    </w:p>
    <w:p w14:paraId="7642A00A" w14:textId="77777777" w:rsidR="00D84268" w:rsidRPr="00E450DD" w:rsidRDefault="00D84268" w:rsidP="00D84268">
      <w:pPr>
        <w:spacing w:line="360" w:lineRule="auto"/>
        <w:ind w:left="567" w:right="333"/>
        <w:jc w:val="both"/>
        <w:rPr>
          <w:rFonts w:ascii="Palatino Linotype" w:eastAsia="Palatino Linotype" w:hAnsi="Palatino Linotype" w:cs="Palatino Linotype"/>
          <w:i/>
          <w:sz w:val="22"/>
          <w:szCs w:val="22"/>
        </w:rPr>
      </w:pPr>
      <w:r w:rsidRPr="00E450DD">
        <w:rPr>
          <w:rFonts w:ascii="Palatino Linotype" w:eastAsia="Palatino Linotype" w:hAnsi="Palatino Linotype" w:cs="Palatino Linotype"/>
          <w:i/>
          <w:sz w:val="22"/>
          <w:szCs w:val="22"/>
        </w:rPr>
        <w:t xml:space="preserve">ARTÍCULO 60. La jornada de trabajo puede ser diurna, nocturna o mixta, conforme a lo siguiente: </w:t>
      </w:r>
    </w:p>
    <w:p w14:paraId="021F1675" w14:textId="77777777" w:rsidR="00D84268" w:rsidRPr="00E450DD" w:rsidRDefault="00D84268" w:rsidP="00D84268">
      <w:pPr>
        <w:spacing w:line="360" w:lineRule="auto"/>
        <w:ind w:left="567" w:right="333"/>
        <w:jc w:val="both"/>
        <w:rPr>
          <w:rFonts w:ascii="Palatino Linotype" w:eastAsia="Palatino Linotype" w:hAnsi="Palatino Linotype" w:cs="Palatino Linotype"/>
          <w:i/>
          <w:sz w:val="22"/>
          <w:szCs w:val="22"/>
        </w:rPr>
      </w:pPr>
      <w:r w:rsidRPr="00E450DD">
        <w:rPr>
          <w:rFonts w:ascii="Palatino Linotype" w:eastAsia="Palatino Linotype" w:hAnsi="Palatino Linotype" w:cs="Palatino Linotype"/>
          <w:i/>
          <w:sz w:val="22"/>
          <w:szCs w:val="22"/>
        </w:rPr>
        <w:t xml:space="preserve">I. Diurna, la comprendida entre las seis y las veinte horas; </w:t>
      </w:r>
    </w:p>
    <w:p w14:paraId="65D2F825" w14:textId="77777777" w:rsidR="00D84268" w:rsidRPr="00E450DD" w:rsidRDefault="00D84268" w:rsidP="00D84268">
      <w:pPr>
        <w:spacing w:line="360" w:lineRule="auto"/>
        <w:ind w:left="567" w:right="333"/>
        <w:jc w:val="both"/>
        <w:rPr>
          <w:rFonts w:ascii="Palatino Linotype" w:eastAsia="Palatino Linotype" w:hAnsi="Palatino Linotype" w:cs="Palatino Linotype"/>
          <w:i/>
          <w:sz w:val="22"/>
          <w:szCs w:val="22"/>
        </w:rPr>
      </w:pPr>
      <w:r w:rsidRPr="00E450DD">
        <w:rPr>
          <w:rFonts w:ascii="Palatino Linotype" w:eastAsia="Palatino Linotype" w:hAnsi="Palatino Linotype" w:cs="Palatino Linotype"/>
          <w:i/>
          <w:sz w:val="22"/>
          <w:szCs w:val="22"/>
        </w:rPr>
        <w:t xml:space="preserve">II. Nocturna, la comprendida entre las veinte y las seis horas; y </w:t>
      </w:r>
    </w:p>
    <w:p w14:paraId="21715316" w14:textId="69869F98" w:rsidR="00D84268" w:rsidRPr="00E450DD" w:rsidRDefault="00D84268" w:rsidP="00D84268">
      <w:pPr>
        <w:spacing w:line="360" w:lineRule="auto"/>
        <w:ind w:left="567" w:right="333"/>
        <w:jc w:val="both"/>
        <w:rPr>
          <w:rFonts w:ascii="Palatino Linotype" w:eastAsia="Palatino Linotype" w:hAnsi="Palatino Linotype" w:cs="Palatino Linotype"/>
          <w:i/>
          <w:sz w:val="22"/>
          <w:szCs w:val="22"/>
        </w:rPr>
      </w:pPr>
      <w:r w:rsidRPr="00E450DD">
        <w:rPr>
          <w:rFonts w:ascii="Palatino Linotype" w:eastAsia="Palatino Linotype" w:hAnsi="Palatino Linotype" w:cs="Palatino Linotype"/>
          <w:i/>
          <w:sz w:val="22"/>
          <w:szCs w:val="22"/>
        </w:rPr>
        <w:t>III. Mixta, la que comprenda períodos de tiempo de las jornadas diurna y nocturna, siempre que el período nocturno sea menor de tres horas y media, pues en caso contrario, se considerará como jornada nocturna.</w:t>
      </w:r>
    </w:p>
    <w:p w14:paraId="138D3E39" w14:textId="77777777" w:rsidR="00D84268" w:rsidRPr="00E450DD" w:rsidRDefault="00D84268" w:rsidP="00D84268">
      <w:pPr>
        <w:spacing w:line="360" w:lineRule="auto"/>
        <w:ind w:left="567" w:right="333"/>
        <w:jc w:val="both"/>
        <w:rPr>
          <w:rFonts w:ascii="Palatino Linotype" w:eastAsia="Palatino Linotype" w:hAnsi="Palatino Linotype" w:cs="Palatino Linotype"/>
          <w:i/>
          <w:sz w:val="22"/>
          <w:szCs w:val="22"/>
        </w:rPr>
      </w:pPr>
    </w:p>
    <w:p w14:paraId="234A1E44" w14:textId="77777777" w:rsidR="00D84268" w:rsidRPr="00E450DD" w:rsidRDefault="00D84268" w:rsidP="00D84268">
      <w:pPr>
        <w:spacing w:line="360" w:lineRule="auto"/>
        <w:ind w:left="567" w:right="333"/>
        <w:jc w:val="both"/>
        <w:rPr>
          <w:rFonts w:ascii="Palatino Linotype" w:eastAsia="Palatino Linotype" w:hAnsi="Palatino Linotype" w:cs="Palatino Linotype"/>
          <w:i/>
          <w:sz w:val="22"/>
          <w:szCs w:val="22"/>
        </w:rPr>
      </w:pPr>
      <w:r w:rsidRPr="00E450DD">
        <w:rPr>
          <w:rFonts w:ascii="Palatino Linotype" w:eastAsia="Palatino Linotype" w:hAnsi="Palatino Linotype" w:cs="Palatino Linotype"/>
          <w:i/>
          <w:sz w:val="22"/>
          <w:szCs w:val="22"/>
        </w:rPr>
        <w:t xml:space="preserve">ARTÍCULO 64. Cuando por circunstancias especiales deban aumentarse las horas de trabajo establecidas, éstas serán consideradas como extraordinarias y no deberán exceder de tres horas diarias ni de tres veces consecutivas en una semana, con excepción de lo señalado en la fracción I del artículo 57 de esta ley. </w:t>
      </w:r>
    </w:p>
    <w:p w14:paraId="2B14F009" w14:textId="77777777" w:rsidR="00D84268" w:rsidRPr="00E450DD" w:rsidRDefault="00D84268" w:rsidP="00D84268">
      <w:pPr>
        <w:spacing w:line="360" w:lineRule="auto"/>
        <w:ind w:left="567" w:right="333"/>
        <w:jc w:val="both"/>
        <w:rPr>
          <w:rFonts w:ascii="Palatino Linotype" w:eastAsia="Palatino Linotype" w:hAnsi="Palatino Linotype" w:cs="Palatino Linotype"/>
          <w:i/>
          <w:sz w:val="22"/>
          <w:szCs w:val="22"/>
        </w:rPr>
      </w:pPr>
    </w:p>
    <w:p w14:paraId="7DC7786E" w14:textId="5A1A93F7" w:rsidR="00D84268" w:rsidRPr="00E450DD" w:rsidRDefault="00D84268" w:rsidP="00D84268">
      <w:pPr>
        <w:spacing w:line="360" w:lineRule="auto"/>
        <w:ind w:left="567" w:right="333"/>
        <w:jc w:val="both"/>
        <w:rPr>
          <w:rFonts w:ascii="Palatino Linotype" w:eastAsia="Palatino Linotype" w:hAnsi="Palatino Linotype" w:cs="Palatino Linotype"/>
          <w:i/>
          <w:sz w:val="22"/>
          <w:szCs w:val="22"/>
        </w:rPr>
      </w:pPr>
      <w:r w:rsidRPr="00E450DD">
        <w:rPr>
          <w:rFonts w:ascii="Palatino Linotype" w:eastAsia="Palatino Linotype" w:hAnsi="Palatino Linotype" w:cs="Palatino Linotype"/>
          <w:i/>
          <w:sz w:val="22"/>
          <w:szCs w:val="22"/>
        </w:rPr>
        <w:t>Las horas de trabajo extraordinarias se retribuirán con un cien por ciento más del sueldo que corresponda a las ordinarias, cuando no excedan de nueve. Las excedentes de nueve horas, se pagarán al doscientos por ciento más del sueldo que corresponda a las horas normales de su jornada.”</w:t>
      </w:r>
    </w:p>
    <w:p w14:paraId="029543D5" w14:textId="77777777" w:rsidR="00BC28DF" w:rsidRPr="00E450DD" w:rsidRDefault="00BC28DF" w:rsidP="00BC28DF">
      <w:pPr>
        <w:spacing w:line="360" w:lineRule="auto"/>
        <w:ind w:right="-28"/>
        <w:jc w:val="both"/>
        <w:rPr>
          <w:rFonts w:ascii="Palatino Linotype" w:eastAsia="Palatino Linotype" w:hAnsi="Palatino Linotype" w:cs="Palatino Linotype"/>
          <w:sz w:val="22"/>
          <w:szCs w:val="22"/>
        </w:rPr>
      </w:pPr>
    </w:p>
    <w:p w14:paraId="4740B481" w14:textId="0FEE77C0" w:rsidR="00D84268" w:rsidRPr="00E450DD" w:rsidRDefault="00D84268" w:rsidP="00BC28DF">
      <w:pPr>
        <w:spacing w:line="360" w:lineRule="auto"/>
        <w:ind w:right="-28"/>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Como se desprende de lo anterior, la jornada laboral es el </w:t>
      </w:r>
      <w:r w:rsidR="007B6466" w:rsidRPr="00E450DD">
        <w:rPr>
          <w:rFonts w:ascii="Palatino Linotype" w:eastAsia="Palatino Linotype" w:hAnsi="Palatino Linotype" w:cs="Palatino Linotype"/>
          <w:sz w:val="22"/>
          <w:szCs w:val="22"/>
        </w:rPr>
        <w:t>tiempo durante el cual el servidor público está a disposición de la institución pública para prestar sus servicios; jornada que puede ser diurna, nocturna o mixta.</w:t>
      </w:r>
    </w:p>
    <w:p w14:paraId="4A74C0D0" w14:textId="77777777" w:rsidR="007B6466" w:rsidRPr="00E450DD" w:rsidRDefault="007B6466" w:rsidP="00BC28DF">
      <w:pPr>
        <w:spacing w:line="360" w:lineRule="auto"/>
        <w:ind w:right="-28"/>
        <w:jc w:val="both"/>
        <w:rPr>
          <w:rFonts w:ascii="Palatino Linotype" w:eastAsia="Palatino Linotype" w:hAnsi="Palatino Linotype" w:cs="Palatino Linotype"/>
          <w:sz w:val="22"/>
          <w:szCs w:val="22"/>
        </w:rPr>
      </w:pPr>
    </w:p>
    <w:p w14:paraId="7C15D103" w14:textId="2F2A4014" w:rsidR="007B6466" w:rsidRPr="00E450DD" w:rsidRDefault="007B6466" w:rsidP="00BC28DF">
      <w:pPr>
        <w:spacing w:line="360" w:lineRule="auto"/>
        <w:ind w:right="-28"/>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Consecuentemente, se establece que cuando por  circunstancias especiales deban aumentarse las horas de trabajo establecidas, </w:t>
      </w:r>
      <w:r w:rsidRPr="00E450DD">
        <w:rPr>
          <w:rFonts w:ascii="Palatino Linotype" w:eastAsia="Palatino Linotype" w:hAnsi="Palatino Linotype" w:cs="Palatino Linotype"/>
          <w:b/>
          <w:sz w:val="22"/>
          <w:szCs w:val="22"/>
        </w:rPr>
        <w:t>éstas serán consideradas como extraordinarias</w:t>
      </w:r>
      <w:r w:rsidRPr="00E450DD">
        <w:rPr>
          <w:rFonts w:ascii="Palatino Linotype" w:eastAsia="Palatino Linotype" w:hAnsi="Palatino Linotype" w:cs="Palatino Linotype"/>
          <w:sz w:val="22"/>
          <w:szCs w:val="22"/>
        </w:rPr>
        <w:t xml:space="preserve"> y no deberán exceder de tres horas diarias ni de tres veces consecutivas en una semana, </w:t>
      </w:r>
      <w:r w:rsidRPr="00E450DD">
        <w:rPr>
          <w:rFonts w:ascii="Palatino Linotype" w:eastAsia="Palatino Linotype" w:hAnsi="Palatino Linotype" w:cs="Palatino Linotype"/>
          <w:b/>
          <w:sz w:val="22"/>
          <w:szCs w:val="22"/>
        </w:rPr>
        <w:t>cuya retribución se realiza</w:t>
      </w:r>
      <w:r w:rsidRPr="00E450DD">
        <w:rPr>
          <w:rFonts w:ascii="Palatino Linotype" w:eastAsia="Palatino Linotype" w:hAnsi="Palatino Linotype" w:cs="Palatino Linotype"/>
          <w:sz w:val="22"/>
          <w:szCs w:val="22"/>
        </w:rPr>
        <w:t xml:space="preserve"> con un cien por ciento más del sueldo que corresponda a las ordinarias, cuando no excedan de nueve, y se pagarán al doscientos por ciento más del sueldo excediéndose de las nueve horas.</w:t>
      </w:r>
    </w:p>
    <w:p w14:paraId="1859958D" w14:textId="77777777" w:rsidR="00D84268" w:rsidRPr="00E450DD" w:rsidRDefault="00D84268" w:rsidP="00BC28DF">
      <w:pPr>
        <w:spacing w:line="360" w:lineRule="auto"/>
        <w:ind w:right="-28"/>
        <w:jc w:val="both"/>
        <w:rPr>
          <w:rFonts w:ascii="Palatino Linotype" w:eastAsia="Palatino Linotype" w:hAnsi="Palatino Linotype" w:cs="Palatino Linotype"/>
          <w:sz w:val="22"/>
          <w:szCs w:val="22"/>
        </w:rPr>
      </w:pPr>
    </w:p>
    <w:p w14:paraId="02E90973" w14:textId="52759F92" w:rsidR="007B6466" w:rsidRPr="00E450DD" w:rsidRDefault="007B6466" w:rsidP="004B20A7">
      <w:pPr>
        <w:pBdr>
          <w:top w:val="nil"/>
          <w:left w:val="nil"/>
          <w:bottom w:val="nil"/>
          <w:right w:val="nil"/>
          <w:between w:val="nil"/>
        </w:pBdr>
        <w:spacing w:line="360" w:lineRule="auto"/>
        <w:ind w:right="49"/>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De lo anterior, se desprende que la Legislación Laboral de la Entidad prevé el pago de horas extra, el cual resulta aplicable a relaciones de trabajo entre entidades públicas y servidores públicos.</w:t>
      </w:r>
    </w:p>
    <w:p w14:paraId="0577982F" w14:textId="77777777" w:rsidR="007B6466" w:rsidRPr="00E450DD" w:rsidRDefault="007B6466" w:rsidP="004B20A7">
      <w:pPr>
        <w:pBdr>
          <w:top w:val="nil"/>
          <w:left w:val="nil"/>
          <w:bottom w:val="nil"/>
          <w:right w:val="nil"/>
          <w:between w:val="nil"/>
        </w:pBdr>
        <w:spacing w:line="360" w:lineRule="auto"/>
        <w:ind w:right="49"/>
        <w:jc w:val="both"/>
        <w:rPr>
          <w:rFonts w:ascii="Palatino Linotype" w:eastAsia="Palatino Linotype" w:hAnsi="Palatino Linotype" w:cs="Palatino Linotype"/>
          <w:sz w:val="22"/>
          <w:szCs w:val="22"/>
        </w:rPr>
      </w:pPr>
    </w:p>
    <w:p w14:paraId="5815E504" w14:textId="6DE447B1" w:rsidR="007B6466" w:rsidRPr="00E450DD" w:rsidRDefault="007B6466" w:rsidP="004B20A7">
      <w:pPr>
        <w:pBdr>
          <w:top w:val="nil"/>
          <w:left w:val="nil"/>
          <w:bottom w:val="nil"/>
          <w:right w:val="nil"/>
          <w:between w:val="nil"/>
        </w:pBdr>
        <w:spacing w:line="360" w:lineRule="auto"/>
        <w:ind w:right="49"/>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Asimismo, es de recordar que en el caso se pronunció la Subdirectora de Recursos Humanos, la cual si bien tiene </w:t>
      </w:r>
      <w:r w:rsidR="00FE2348" w:rsidRPr="00E450DD">
        <w:rPr>
          <w:rFonts w:ascii="Palatino Linotype" w:eastAsia="Palatino Linotype" w:hAnsi="Palatino Linotype" w:cs="Palatino Linotype"/>
          <w:sz w:val="22"/>
          <w:szCs w:val="22"/>
        </w:rPr>
        <w:t>a su cargo la administración del capital humano, la actualización e integración de los expedientes del personal; en el caso del pago de horas extras se estima que quien cuenta con la competencia es la Tesorería Municipal conforme el Reglamento Interior de la Administración Pública Municipal de Tlalnepantla de Baz, Estado de México vigente.</w:t>
      </w:r>
    </w:p>
    <w:p w14:paraId="699F3BD9" w14:textId="77777777" w:rsidR="00FE2348" w:rsidRPr="00E450DD" w:rsidRDefault="00FE2348" w:rsidP="004B20A7">
      <w:pPr>
        <w:pBdr>
          <w:top w:val="nil"/>
          <w:left w:val="nil"/>
          <w:bottom w:val="nil"/>
          <w:right w:val="nil"/>
          <w:between w:val="nil"/>
        </w:pBdr>
        <w:spacing w:line="360" w:lineRule="auto"/>
        <w:ind w:right="49"/>
        <w:jc w:val="both"/>
        <w:rPr>
          <w:rFonts w:ascii="Palatino Linotype" w:eastAsia="Palatino Linotype" w:hAnsi="Palatino Linotype" w:cs="Palatino Linotype"/>
          <w:sz w:val="22"/>
          <w:szCs w:val="22"/>
        </w:rPr>
      </w:pPr>
    </w:p>
    <w:p w14:paraId="1CC7D910" w14:textId="7894F83B" w:rsidR="00FE2348" w:rsidRPr="00E450DD" w:rsidRDefault="00FE2348" w:rsidP="004B20A7">
      <w:pPr>
        <w:pBdr>
          <w:top w:val="nil"/>
          <w:left w:val="nil"/>
          <w:bottom w:val="nil"/>
          <w:right w:val="nil"/>
          <w:between w:val="nil"/>
        </w:pBdr>
        <w:spacing w:line="360" w:lineRule="auto"/>
        <w:ind w:right="49"/>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Se afirma lo anterior, en razón de que la Tesorería Municipal es quien administra la Hacienda Pública Municipal y lleva los registros contables y financieros de los ingresos y egresos de Municipio.</w:t>
      </w:r>
    </w:p>
    <w:p w14:paraId="0668A979" w14:textId="77777777" w:rsidR="002B6F07" w:rsidRPr="00E450DD" w:rsidRDefault="002B6F07" w:rsidP="004B20A7">
      <w:pPr>
        <w:pBdr>
          <w:top w:val="nil"/>
          <w:left w:val="nil"/>
          <w:bottom w:val="nil"/>
          <w:right w:val="nil"/>
          <w:between w:val="nil"/>
        </w:pBdr>
        <w:spacing w:line="360" w:lineRule="auto"/>
        <w:ind w:right="49"/>
        <w:jc w:val="both"/>
        <w:rPr>
          <w:rFonts w:ascii="Palatino Linotype" w:eastAsia="Palatino Linotype" w:hAnsi="Palatino Linotype" w:cs="Palatino Linotype"/>
          <w:sz w:val="22"/>
          <w:szCs w:val="22"/>
        </w:rPr>
      </w:pPr>
    </w:p>
    <w:p w14:paraId="6719200B" w14:textId="7C43E4B0" w:rsidR="002B6F07" w:rsidRPr="00E450DD" w:rsidRDefault="002B6F07" w:rsidP="002B6F07">
      <w:pPr>
        <w:spacing w:before="240" w:after="240" w:line="360" w:lineRule="auto"/>
        <w:ind w:right="49"/>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b/>
          <w:bCs/>
          <w:sz w:val="22"/>
          <w:szCs w:val="22"/>
          <w:u w:val="single"/>
        </w:rPr>
        <w:t xml:space="preserve">Por lo que se refiere a los gastos efectuados por dicho horas extra, </w:t>
      </w:r>
      <w:r w:rsidRPr="00E450DD">
        <w:rPr>
          <w:rFonts w:ascii="Palatino Linotype" w:eastAsia="Palatino Linotype" w:hAnsi="Palatino Linotype" w:cs="Palatino Linotype"/>
          <w:sz w:val="22"/>
          <w:szCs w:val="22"/>
        </w:rPr>
        <w:t>se debe partir de lo dispuesto en los artículos 342, 343, 344 y 345 del Código Financiero del Estado de México y Municipios, los cuales disponen el sistema y las políticas que deben seguirse para llevar el registro contable y presupuestal de las operaciones financieras, en los siguientes términos:</w:t>
      </w:r>
    </w:p>
    <w:p w14:paraId="49EF3C02" w14:textId="77777777" w:rsidR="002B6F07" w:rsidRPr="00E450DD" w:rsidRDefault="002B6F07" w:rsidP="002B6F07">
      <w:pPr>
        <w:spacing w:before="120" w:after="120"/>
        <w:ind w:left="862" w:right="86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w:t>
      </w:r>
      <w:r w:rsidRPr="00E450DD">
        <w:rPr>
          <w:rFonts w:ascii="Palatino Linotype" w:eastAsia="Palatino Linotype" w:hAnsi="Palatino Linotype" w:cs="Palatino Linotype"/>
          <w:b/>
          <w:bCs/>
          <w:i/>
          <w:iCs/>
          <w:sz w:val="22"/>
          <w:szCs w:val="22"/>
        </w:rPr>
        <w:t>Artículo 342.-</w:t>
      </w:r>
      <w:r w:rsidRPr="00E450DD">
        <w:rPr>
          <w:rFonts w:ascii="Palatino Linotype" w:eastAsia="Palatino Linotype" w:hAnsi="Palatino Linotype" w:cs="Palatino Linotype"/>
          <w:i/>
          <w:iCs/>
          <w:sz w:val="22"/>
          <w:szCs w:val="22"/>
        </w:rPr>
        <w:t xml:space="preserve"> El registro contable del efecto patrimonial y presupuestal de las operaciones financieras, se realizará conforme al sistema y a las disposiciones que se aprueben en materia de planeación, programación, presupuestación, evaluación y contabilidad gubernamental.</w:t>
      </w:r>
    </w:p>
    <w:p w14:paraId="79DDF5C9" w14:textId="77777777" w:rsidR="002B6F07" w:rsidRPr="00E450DD" w:rsidRDefault="002B6F07" w:rsidP="002B6F07">
      <w:pPr>
        <w:spacing w:before="120" w:after="120"/>
        <w:ind w:left="862" w:right="86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En el caso de los municipios,</w:t>
      </w:r>
      <w:r w:rsidRPr="00E450DD">
        <w:rPr>
          <w:rFonts w:ascii="Palatino Linotype" w:eastAsia="Palatino Linotype" w:hAnsi="Palatino Linotype" w:cs="Palatino Linotype"/>
          <w:i/>
          <w:iCs/>
          <w:sz w:val="22"/>
          <w:szCs w:val="22"/>
        </w:rPr>
        <w:t xml:space="preserve"> el registro a que se refiere el párrafo anterior, se realizará conforme al sistema y a las disposiciones en materia de </w:t>
      </w:r>
      <w:r w:rsidRPr="00E450DD">
        <w:rPr>
          <w:rFonts w:ascii="Palatino Linotype" w:eastAsia="Palatino Linotype" w:hAnsi="Palatino Linotype" w:cs="Palatino Linotype"/>
          <w:b/>
          <w:bCs/>
          <w:i/>
          <w:iCs/>
          <w:sz w:val="22"/>
          <w:szCs w:val="22"/>
        </w:rPr>
        <w:t>planeación, programación, presupuestación, evaluación y contabilidad gubernamental</w:t>
      </w:r>
      <w:r w:rsidRPr="00E450DD">
        <w:rPr>
          <w:rFonts w:ascii="Palatino Linotype" w:eastAsia="Palatino Linotype" w:hAnsi="Palatino Linotype" w:cs="Palatino Linotype"/>
          <w:i/>
          <w:iCs/>
          <w:sz w:val="22"/>
          <w:szCs w:val="22"/>
        </w:rPr>
        <w:t>, que se aprueben en el marco del Sistema de Coordinación Hacendaria del Estado de México.</w:t>
      </w:r>
    </w:p>
    <w:p w14:paraId="532B10C9" w14:textId="77777777" w:rsidR="002B6F07" w:rsidRPr="00E450DD" w:rsidRDefault="002B6F07" w:rsidP="002B6F07">
      <w:pPr>
        <w:spacing w:before="120" w:after="120"/>
        <w:ind w:left="862" w:right="86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Artículo 343.-</w:t>
      </w:r>
      <w:r w:rsidRPr="00E450DD">
        <w:rPr>
          <w:rFonts w:ascii="Palatino Linotype" w:eastAsia="Palatino Linotype" w:hAnsi="Palatino Linotype" w:cs="Palatino Linotype"/>
          <w:i/>
          <w:iCs/>
          <w:sz w:val="22"/>
          <w:szCs w:val="22"/>
        </w:rPr>
        <w:t xml:space="preserve"> El sistema de contabilidad debe diseñarse sobre base acumulativa total y operarse en forma que facilite la fiscalización de los activos, pasivos, ingresos, egresos y, en general, que posibilite medir la eficacia del gasto público, y contener las medidas de control interno que permitan verificar el registro de la totalidad de las operaciones financieras.</w:t>
      </w:r>
    </w:p>
    <w:p w14:paraId="362FD719" w14:textId="77777777" w:rsidR="002B6F07" w:rsidRPr="00E450DD" w:rsidRDefault="002B6F07" w:rsidP="002B6F07">
      <w:pPr>
        <w:spacing w:before="120" w:after="120"/>
        <w:ind w:left="862" w:right="86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El sistema de contabilidad sobre base acumulativa total, se sustentará en las normas emitidas por el Consejo Nacional de Armonización Contable.</w:t>
      </w:r>
    </w:p>
    <w:p w14:paraId="645B9905" w14:textId="77777777" w:rsidR="002B6F07" w:rsidRPr="00E450DD" w:rsidRDefault="002B6F07" w:rsidP="002B6F07">
      <w:pPr>
        <w:spacing w:before="120" w:after="120"/>
        <w:ind w:left="862" w:right="862"/>
        <w:jc w:val="both"/>
        <w:rPr>
          <w:rFonts w:ascii="Palatino Linotype" w:eastAsia="Palatino Linotype" w:hAnsi="Palatino Linotype" w:cs="Palatino Linotype"/>
          <w:b/>
          <w:bCs/>
          <w:i/>
          <w:iCs/>
          <w:sz w:val="22"/>
          <w:szCs w:val="22"/>
        </w:rPr>
      </w:pPr>
      <w:r w:rsidRPr="00E450DD">
        <w:rPr>
          <w:rFonts w:ascii="Palatino Linotype" w:eastAsia="Palatino Linotype" w:hAnsi="Palatino Linotype" w:cs="Palatino Linotype"/>
          <w:b/>
          <w:bCs/>
          <w:i/>
          <w:iCs/>
          <w:sz w:val="22"/>
          <w:szCs w:val="22"/>
        </w:rPr>
        <w:t xml:space="preserve">Artículo 344.- Los Entes Públicos, a través de cualquiera de sus unidades administrativas, de acuerdo con su naturaleza jurídica y según corresponda, </w:t>
      </w:r>
      <w:r w:rsidRPr="00E450DD">
        <w:rPr>
          <w:rFonts w:ascii="Palatino Linotype" w:eastAsia="Palatino Linotype" w:hAnsi="Palatino Linotype" w:cs="Palatino Linotype"/>
          <w:b/>
          <w:bCs/>
          <w:i/>
          <w:iCs/>
          <w:sz w:val="22"/>
          <w:szCs w:val="22"/>
          <w:u w:val="single"/>
        </w:rPr>
        <w:t>registrarán contablemente el efecto patrimonial y presupuestal de las operaciones financieras que realicen, en el momento en que ocurran, con base en el sistema y políticas de registro establecidas, en el caso de los Municipios, se hará por la Tesorería</w:t>
      </w:r>
      <w:r w:rsidRPr="00E450DD">
        <w:rPr>
          <w:rFonts w:ascii="Palatino Linotype" w:eastAsia="Palatino Linotype" w:hAnsi="Palatino Linotype" w:cs="Palatino Linotype"/>
          <w:b/>
          <w:bCs/>
          <w:i/>
          <w:iCs/>
          <w:sz w:val="22"/>
          <w:szCs w:val="22"/>
        </w:rPr>
        <w:t>.</w:t>
      </w:r>
    </w:p>
    <w:p w14:paraId="290A44D6" w14:textId="77777777" w:rsidR="002B6F07" w:rsidRPr="00E450DD" w:rsidRDefault="002B6F07" w:rsidP="002B6F07">
      <w:pPr>
        <w:spacing w:before="120" w:after="120"/>
        <w:ind w:left="862" w:right="86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 xml:space="preserve">Todo registro contable y presupuestal </w:t>
      </w:r>
      <w:r w:rsidRPr="00E450DD">
        <w:rPr>
          <w:rFonts w:ascii="Palatino Linotype" w:eastAsia="Palatino Linotype" w:hAnsi="Palatino Linotype" w:cs="Palatino Linotype"/>
          <w:b/>
          <w:bCs/>
          <w:i/>
          <w:iCs/>
          <w:sz w:val="22"/>
          <w:szCs w:val="22"/>
          <w:u w:val="single"/>
        </w:rPr>
        <w:t>deberá estar soportado con los documentos de registro, justificativos y comprobatorios originales, en copias certificadas o en medios electrónicos, según corresponda</w:t>
      </w:r>
      <w:r w:rsidRPr="00E450DD">
        <w:rPr>
          <w:rFonts w:ascii="Palatino Linotype" w:eastAsia="Palatino Linotype" w:hAnsi="Palatino Linotype" w:cs="Palatino Linotype"/>
          <w:b/>
          <w:bCs/>
          <w:i/>
          <w:iCs/>
          <w:sz w:val="22"/>
          <w:szCs w:val="22"/>
        </w:rPr>
        <w:t xml:space="preserve">, los que deberán </w:t>
      </w:r>
      <w:r w:rsidRPr="00E450DD">
        <w:rPr>
          <w:rFonts w:ascii="Palatino Linotype" w:eastAsia="Palatino Linotype" w:hAnsi="Palatino Linotype" w:cs="Palatino Linotype"/>
          <w:b/>
          <w:bCs/>
          <w:i/>
          <w:iCs/>
          <w:sz w:val="22"/>
          <w:szCs w:val="22"/>
          <w:u w:val="single"/>
        </w:rPr>
        <w:t>permanecer en custodia y conservación</w:t>
      </w:r>
      <w:r w:rsidRPr="00E450DD">
        <w:rPr>
          <w:rFonts w:ascii="Palatino Linotype" w:eastAsia="Palatino Linotype" w:hAnsi="Palatino Linotype" w:cs="Palatino Linotype"/>
          <w:b/>
          <w:bCs/>
          <w:i/>
          <w:iCs/>
          <w:sz w:val="22"/>
          <w:szCs w:val="22"/>
        </w:rPr>
        <w:t xml:space="preserve"> de los Entes Públicos ejecutores del gasto a </w:t>
      </w:r>
      <w:r w:rsidRPr="00E450DD">
        <w:rPr>
          <w:rFonts w:ascii="Palatino Linotype" w:eastAsia="Palatino Linotype" w:hAnsi="Palatino Linotype" w:cs="Palatino Linotype"/>
          <w:b/>
          <w:bCs/>
          <w:i/>
          <w:iCs/>
          <w:sz w:val="22"/>
          <w:szCs w:val="22"/>
          <w:u w:val="single"/>
        </w:rPr>
        <w:t>través de las unidades administrativas correspondientes de conformidad con las disposiciones aplicables y a disposición de los Órganos de Fiscalización locales y federales</w:t>
      </w:r>
      <w:r w:rsidRPr="00E450DD">
        <w:rPr>
          <w:rFonts w:ascii="Palatino Linotype" w:eastAsia="Palatino Linotype" w:hAnsi="Palatino Linotype" w:cs="Palatino Linotype"/>
          <w:b/>
          <w:bCs/>
          <w:i/>
          <w:iCs/>
          <w:sz w:val="22"/>
          <w:szCs w:val="22"/>
        </w:rPr>
        <w:t xml:space="preserve">, de acuerdo a su naturaleza, </w:t>
      </w:r>
      <w:r w:rsidRPr="00E450DD">
        <w:rPr>
          <w:rFonts w:ascii="Palatino Linotype" w:eastAsia="Palatino Linotype" w:hAnsi="Palatino Linotype" w:cs="Palatino Linotype"/>
          <w:b/>
          <w:bCs/>
          <w:i/>
          <w:iCs/>
          <w:sz w:val="22"/>
          <w:szCs w:val="22"/>
          <w:u w:val="single"/>
        </w:rPr>
        <w:t>así como de los órganos internos de control</w:t>
      </w:r>
      <w:r w:rsidRPr="00E450DD">
        <w:rPr>
          <w:rFonts w:ascii="Palatino Linotype" w:eastAsia="Palatino Linotype" w:hAnsi="Palatino Linotype" w:cs="Palatino Linotype"/>
          <w:b/>
          <w:bCs/>
          <w:i/>
          <w:iCs/>
          <w:sz w:val="22"/>
          <w:szCs w:val="22"/>
        </w:rPr>
        <w:t>;</w:t>
      </w:r>
      <w:r w:rsidRPr="00E450DD">
        <w:rPr>
          <w:rFonts w:ascii="Palatino Linotype" w:eastAsia="Palatino Linotype" w:hAnsi="Palatino Linotype" w:cs="Palatino Linotype"/>
          <w:i/>
          <w:iCs/>
          <w:sz w:val="22"/>
          <w:szCs w:val="22"/>
        </w:rPr>
        <w:t xml:space="preserve"> </w:t>
      </w:r>
      <w:r w:rsidRPr="00E450DD">
        <w:rPr>
          <w:rFonts w:ascii="Palatino Linotype" w:eastAsia="Palatino Linotype" w:hAnsi="Palatino Linotype" w:cs="Palatino Linotype"/>
          <w:b/>
          <w:bCs/>
          <w:i/>
          <w:iCs/>
          <w:sz w:val="22"/>
          <w:szCs w:val="22"/>
          <w:u w:val="single"/>
        </w:rPr>
        <w:t>por un término de 6 años</w:t>
      </w:r>
      <w:r w:rsidRPr="00E450DD">
        <w:rPr>
          <w:rFonts w:ascii="Palatino Linotype" w:eastAsia="Palatino Linotype" w:hAnsi="Palatino Linotype" w:cs="Palatino Linotype"/>
          <w:b/>
          <w:bCs/>
          <w:i/>
          <w:iCs/>
          <w:sz w:val="22"/>
          <w:szCs w:val="22"/>
        </w:rPr>
        <w:t>,</w:t>
      </w:r>
      <w:r w:rsidRPr="00E450DD">
        <w:rPr>
          <w:rFonts w:ascii="Palatino Linotype" w:eastAsia="Palatino Linotype" w:hAnsi="Palatino Linotype" w:cs="Palatino Linotype"/>
          <w:i/>
          <w:iCs/>
          <w:sz w:val="22"/>
          <w:szCs w:val="22"/>
        </w:rPr>
        <w:t xml:space="preserve"> </w:t>
      </w:r>
      <w:r w:rsidRPr="00E450DD">
        <w:rPr>
          <w:rFonts w:ascii="Palatino Linotype" w:eastAsia="Palatino Linotype" w:hAnsi="Palatino Linotype" w:cs="Palatino Linotype"/>
          <w:b/>
          <w:bCs/>
          <w:i/>
          <w:iCs/>
          <w:sz w:val="22"/>
          <w:szCs w:val="22"/>
          <w:u w:val="single"/>
        </w:rPr>
        <w:t>contados a partir del ejercicio presupuestal siguiente al que corresponda</w:t>
      </w:r>
      <w:r w:rsidRPr="00E450DD">
        <w:rPr>
          <w:rFonts w:ascii="Palatino Linotype" w:eastAsia="Palatino Linotype" w:hAnsi="Palatino Linotype" w:cs="Palatino Linotype"/>
          <w:i/>
          <w:iCs/>
          <w:sz w:val="22"/>
          <w:szCs w:val="22"/>
        </w:rPr>
        <w:t>,</w:t>
      </w:r>
      <w:r w:rsidRPr="00E450DD">
        <w:rPr>
          <w:rFonts w:ascii="Palatino Linotype" w:eastAsia="Palatino Linotype" w:hAnsi="Palatino Linotype" w:cs="Palatino Linotype"/>
          <w:b/>
          <w:bCs/>
          <w:i/>
          <w:iCs/>
          <w:sz w:val="22"/>
          <w:szCs w:val="22"/>
        </w:rPr>
        <w:t xml:space="preserve"> </w:t>
      </w:r>
      <w:r w:rsidRPr="00E450DD">
        <w:rPr>
          <w:rFonts w:ascii="Palatino Linotype" w:eastAsia="Palatino Linotype" w:hAnsi="Palatino Linotype" w:cs="Palatino Linotype"/>
          <w:i/>
          <w:iCs/>
          <w:sz w:val="22"/>
          <w:szCs w:val="22"/>
        </w:rPr>
        <w:t>en el caso de los Municipios, dicha obligación corresponderá a la Tesorería.</w:t>
      </w:r>
    </w:p>
    <w:p w14:paraId="09FF8E6D" w14:textId="77777777" w:rsidR="002B6F07" w:rsidRPr="00E450DD" w:rsidRDefault="002B6F07" w:rsidP="002B6F07">
      <w:pPr>
        <w:spacing w:before="120" w:after="120"/>
        <w:ind w:left="862" w:right="86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Tratándose de documentos de carácter histórico, se estará a lo dispuesto por la legislación de la materia.</w:t>
      </w:r>
    </w:p>
    <w:p w14:paraId="2C07A66B" w14:textId="77777777" w:rsidR="002B6F07" w:rsidRPr="00E450DD" w:rsidRDefault="002B6F07" w:rsidP="002B6F07">
      <w:pPr>
        <w:spacing w:before="120" w:after="120"/>
        <w:ind w:left="862" w:right="86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w:t>
      </w:r>
    </w:p>
    <w:p w14:paraId="3C8820E7" w14:textId="77777777" w:rsidR="002B6F07" w:rsidRPr="00E450DD" w:rsidRDefault="002B6F07" w:rsidP="002B6F07">
      <w:pPr>
        <w:spacing w:before="120" w:after="120"/>
        <w:ind w:left="862" w:right="862"/>
        <w:jc w:val="both"/>
        <w:rPr>
          <w:rFonts w:ascii="Palatino Linotype" w:eastAsia="Palatino Linotype" w:hAnsi="Palatino Linotype" w:cs="Palatino Linotype"/>
          <w:b/>
          <w:bCs/>
          <w:i/>
          <w:iCs/>
          <w:sz w:val="22"/>
          <w:szCs w:val="22"/>
        </w:rPr>
      </w:pPr>
      <w:r w:rsidRPr="00E450DD">
        <w:rPr>
          <w:rFonts w:ascii="Palatino Linotype" w:eastAsia="Palatino Linotype" w:hAnsi="Palatino Linotype" w:cs="Palatino Linotype"/>
          <w:b/>
          <w:bCs/>
          <w:i/>
          <w:iCs/>
          <w:sz w:val="22"/>
          <w:szCs w:val="22"/>
        </w:rPr>
        <w:t>Artículo 345.-</w:t>
      </w:r>
      <w:r w:rsidRPr="00E450DD">
        <w:rPr>
          <w:rFonts w:ascii="Palatino Linotype" w:eastAsia="Palatino Linotype" w:hAnsi="Palatino Linotype" w:cs="Palatino Linotype"/>
          <w:i/>
          <w:iCs/>
          <w:sz w:val="22"/>
          <w:szCs w:val="22"/>
        </w:rPr>
        <w:t xml:space="preserve"> </w:t>
      </w:r>
      <w:r w:rsidRPr="00E450DD">
        <w:rPr>
          <w:rFonts w:ascii="Palatino Linotype" w:eastAsia="Palatino Linotype" w:hAnsi="Palatino Linotype" w:cs="Palatino Linotype"/>
          <w:b/>
          <w:bCs/>
          <w:i/>
          <w:iCs/>
          <w:sz w:val="22"/>
          <w:szCs w:val="22"/>
        </w:rPr>
        <w:t>Las Dependencias y sus unidades administrativas; deberán conservar la documentación contable del año en curso y la de ejercicios anteriores, cuyas cuentas públicas hayan sido revisadas y fiscalizadas y la remitirán al Archivo Contable Gubernamental en un plazo que no excederá de seis meses. Tratándose de los comprobantes fiscales digitales, estos deberán estar agregados en forma electrónica a cada póliza de registro contable.</w:t>
      </w:r>
    </w:p>
    <w:p w14:paraId="4D630314" w14:textId="77777777" w:rsidR="002B6F07" w:rsidRPr="00E450DD" w:rsidRDefault="002B6F07" w:rsidP="002B6F07">
      <w:pPr>
        <w:spacing w:before="120" w:after="120"/>
        <w:ind w:left="862" w:right="86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 xml:space="preserve">Los poderes Legislativo y Judicial, los Organismos Autónomos y las Entidades Públicas, de acuerdo con su naturaleza jurídica y según corresponda, deberán conservar la documentación contable del año en curso y la de ejercicios anteriores, cuyas cuentas públicas hayan sido revisadas y fiscalizadas, en sus propios Archivos Contables. Tratándose de los comprobantes fiscales digitales, estos </w:t>
      </w:r>
      <w:r w:rsidRPr="00E450DD">
        <w:rPr>
          <w:rFonts w:ascii="Palatino Linotype" w:eastAsia="Palatino Linotype" w:hAnsi="Palatino Linotype" w:cs="Palatino Linotype"/>
          <w:b/>
          <w:bCs/>
          <w:i/>
          <w:iCs/>
          <w:sz w:val="22"/>
          <w:szCs w:val="22"/>
        </w:rPr>
        <w:t>deberán estar agregados en forma electrónica a cada póliza de registro contable</w:t>
      </w:r>
      <w:r w:rsidRPr="00E450DD">
        <w:rPr>
          <w:rFonts w:ascii="Palatino Linotype" w:eastAsia="Palatino Linotype" w:hAnsi="Palatino Linotype" w:cs="Palatino Linotype"/>
          <w:i/>
          <w:iCs/>
          <w:sz w:val="22"/>
          <w:szCs w:val="22"/>
        </w:rPr>
        <w:t>.</w:t>
      </w:r>
    </w:p>
    <w:p w14:paraId="6A79E2D7" w14:textId="77777777" w:rsidR="002B6F07" w:rsidRPr="00E450DD" w:rsidRDefault="002B6F07" w:rsidP="002B6F07">
      <w:pPr>
        <w:spacing w:before="120" w:after="120"/>
        <w:ind w:left="862" w:right="862"/>
        <w:jc w:val="both"/>
        <w:rPr>
          <w:rFonts w:ascii="Palatino Linotype" w:eastAsia="Palatino Linotype" w:hAnsi="Palatino Linotype" w:cs="Palatino Linotype"/>
          <w:b/>
          <w:bCs/>
          <w:i/>
          <w:iCs/>
          <w:sz w:val="22"/>
          <w:szCs w:val="22"/>
        </w:rPr>
      </w:pPr>
      <w:r w:rsidRPr="00E450DD">
        <w:rPr>
          <w:rFonts w:ascii="Palatino Linotype" w:eastAsia="Palatino Linotype" w:hAnsi="Palatino Linotype" w:cs="Palatino Linotype"/>
          <w:i/>
          <w:iCs/>
          <w:sz w:val="22"/>
          <w:szCs w:val="22"/>
        </w:rPr>
        <w:t>El plazo señalado en este artículo empezará a contar a partir de la publicación en el Periódico Oficial, del decreto correspondiente.</w:t>
      </w:r>
      <w:r w:rsidRPr="00E450DD">
        <w:rPr>
          <w:rFonts w:ascii="Palatino Linotype" w:eastAsia="Palatino Linotype" w:hAnsi="Palatino Linotype" w:cs="Palatino Linotype"/>
          <w:b/>
          <w:bCs/>
          <w:i/>
          <w:iCs/>
          <w:sz w:val="22"/>
          <w:szCs w:val="22"/>
        </w:rPr>
        <w:t>”</w:t>
      </w:r>
    </w:p>
    <w:p w14:paraId="6100445F" w14:textId="77777777" w:rsidR="002B6F07" w:rsidRPr="00E450DD" w:rsidRDefault="002B6F07" w:rsidP="002B6F07">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De una interpretación sistemática de los artículos transcritos, se desprende, primeramente, que el registro contable del efecto patrimonial y presupuestal de las operaciones financieras se realizará conforme al sistema y a las disposiciones que se aprueben en materia de planeación, programación, presupuestación, evaluación y contabilidad gubernamental.</w:t>
      </w:r>
    </w:p>
    <w:p w14:paraId="624BCA6D" w14:textId="1D9856F3" w:rsidR="002B6F07" w:rsidRPr="00E450DD" w:rsidRDefault="002B6F07" w:rsidP="002B6F07">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Asimismo, que los entes públicos tiene la obligación de registrar contablemente el efecto patrimonial y presupuestal de las operaciones financieras que realicen, en el momento en que ocurran, por lo que </w:t>
      </w:r>
      <w:r w:rsidRPr="00E450DD">
        <w:rPr>
          <w:rFonts w:ascii="Palatino Linotype" w:eastAsia="Palatino Linotype" w:hAnsi="Palatino Linotype" w:cs="Palatino Linotype"/>
          <w:b/>
          <w:bCs/>
          <w:sz w:val="22"/>
          <w:szCs w:val="22"/>
        </w:rPr>
        <w:t>todo registro contable y presupuestal deberá estar soportado con los documentos comprobatorios originales o en medios electrónicos</w:t>
      </w:r>
      <w:r w:rsidRPr="00E450DD">
        <w:rPr>
          <w:rFonts w:ascii="Palatino Linotype" w:eastAsia="Palatino Linotype" w:hAnsi="Palatino Linotype" w:cs="Palatino Linotype"/>
          <w:sz w:val="22"/>
          <w:szCs w:val="22"/>
        </w:rPr>
        <w:t xml:space="preserve">, los que </w:t>
      </w:r>
      <w:r w:rsidRPr="00E450DD">
        <w:rPr>
          <w:rFonts w:ascii="Palatino Linotype" w:eastAsia="Palatino Linotype" w:hAnsi="Palatino Linotype" w:cs="Palatino Linotype"/>
          <w:b/>
          <w:bCs/>
          <w:sz w:val="22"/>
          <w:szCs w:val="22"/>
          <w:u w:val="single"/>
        </w:rPr>
        <w:t>deberán permanecer en custodia y conservación</w:t>
      </w:r>
      <w:r w:rsidRPr="00E450DD">
        <w:rPr>
          <w:rFonts w:ascii="Palatino Linotype" w:eastAsia="Palatino Linotype" w:hAnsi="Palatino Linotype" w:cs="Palatino Linotype"/>
          <w:sz w:val="22"/>
          <w:szCs w:val="22"/>
        </w:rPr>
        <w:t xml:space="preserve"> de los Entes Públicos a través de las unidades administrativas que ejercieron el gasto y a disposición de los Órganos de Fiscalización y de los órganos internos de control </w:t>
      </w:r>
      <w:r w:rsidRPr="00E450DD">
        <w:rPr>
          <w:rFonts w:ascii="Palatino Linotype" w:eastAsia="Palatino Linotype" w:hAnsi="Palatino Linotype" w:cs="Palatino Linotype"/>
          <w:b/>
          <w:bCs/>
          <w:sz w:val="22"/>
          <w:szCs w:val="22"/>
          <w:u w:val="single"/>
        </w:rPr>
        <w:t>por un término de seis años</w:t>
      </w:r>
      <w:r w:rsidRPr="00E450DD">
        <w:rPr>
          <w:rFonts w:ascii="Palatino Linotype" w:eastAsia="Palatino Linotype" w:hAnsi="Palatino Linotype" w:cs="Palatino Linotype"/>
          <w:sz w:val="22"/>
          <w:szCs w:val="22"/>
        </w:rPr>
        <w:t>, los cuales se cuentan a partir del ejercicio presupuestal siguiente al que corresponda. Dicha obligación corresponde a las tesorerías o a las áreas equivalentes.</w:t>
      </w:r>
    </w:p>
    <w:p w14:paraId="31B2A53C" w14:textId="77777777" w:rsidR="002B6F07" w:rsidRPr="00E450DD" w:rsidRDefault="002B6F07" w:rsidP="002B6F07">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Al respecto, si bien es cierto que el Código Financiero del Estado de México y Municipios establece la obligación de los Municipios para llevar los registros contables y presupuestales; también lo es que, dicho ordenamiento jurídico no establece que debemos entender por registro contable y presupuestal; sin embargo, el “Glosario de Términos para el Proceso de Planeación, Programación, Presupuestación y Evaluación en la Administración Pública”</w:t>
      </w:r>
      <w:r w:rsidRPr="00E450DD">
        <w:rPr>
          <w:rFonts w:ascii="Palatino Linotype" w:eastAsia="Palatino Linotype" w:hAnsi="Palatino Linotype" w:cs="Palatino Linotype"/>
          <w:sz w:val="22"/>
          <w:szCs w:val="22"/>
          <w:vertAlign w:val="superscript"/>
        </w:rPr>
        <w:footnoteReference w:id="1"/>
      </w:r>
      <w:r w:rsidRPr="00E450DD">
        <w:rPr>
          <w:rFonts w:ascii="Palatino Linotype" w:eastAsia="Palatino Linotype" w:hAnsi="Palatino Linotype" w:cs="Palatino Linotype"/>
          <w:sz w:val="22"/>
          <w:szCs w:val="22"/>
        </w:rPr>
        <w:t>, elaborado por el Grupo de Trabajo de Sistemas de Información Financiera, Contable y Presupuestal de la Comisión Permanente de Funcionarios Fiscales del Instituto para el Desarrollo Técnico de las Haciendas Públicas, INDETEC, señalan las siguientes definiciones de las palabras registro contable y registro presupuestario:</w:t>
      </w:r>
    </w:p>
    <w:p w14:paraId="2D79AB31" w14:textId="77777777" w:rsidR="002B6F07" w:rsidRPr="00E450DD" w:rsidRDefault="002B6F07" w:rsidP="002B6F07">
      <w:pPr>
        <w:spacing w:before="120" w:after="120"/>
        <w:ind w:left="850" w:right="902" w:hanging="10"/>
        <w:jc w:val="both"/>
        <w:rPr>
          <w:rFonts w:ascii="Palatino Linotype" w:eastAsia="Palatino Linotype" w:hAnsi="Palatino Linotype" w:cs="Palatino Linotype"/>
          <w:b/>
          <w:bCs/>
          <w:i/>
          <w:iCs/>
          <w:sz w:val="22"/>
          <w:szCs w:val="22"/>
        </w:rPr>
      </w:pPr>
      <w:r w:rsidRPr="00E450DD">
        <w:rPr>
          <w:rFonts w:ascii="Palatino Linotype" w:eastAsia="Palatino Linotype" w:hAnsi="Palatino Linotype" w:cs="Palatino Linotype"/>
          <w:b/>
          <w:bCs/>
          <w:i/>
          <w:iCs/>
          <w:sz w:val="22"/>
          <w:szCs w:val="22"/>
        </w:rPr>
        <w:t>“REGISTRO CONTABLE</w:t>
      </w:r>
    </w:p>
    <w:p w14:paraId="2FA939B7" w14:textId="77777777" w:rsidR="002B6F07" w:rsidRPr="00E450DD" w:rsidRDefault="002B6F07" w:rsidP="002B6F07">
      <w:pPr>
        <w:spacing w:before="120" w:after="120"/>
        <w:ind w:left="850" w:right="902" w:hanging="10"/>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Asiento que se realiza en los libros de contabilidad de las actividades relacionadas con el ingreso y egresos de un ente económico.”</w:t>
      </w:r>
    </w:p>
    <w:p w14:paraId="0A17DCD4" w14:textId="77777777" w:rsidR="002B6F07" w:rsidRPr="00E450DD" w:rsidRDefault="002B6F07" w:rsidP="002B6F07">
      <w:pPr>
        <w:spacing w:before="120" w:after="120"/>
        <w:ind w:left="850" w:right="902" w:hanging="10"/>
        <w:jc w:val="both"/>
        <w:rPr>
          <w:rFonts w:ascii="Palatino Linotype" w:eastAsia="Palatino Linotype" w:hAnsi="Palatino Linotype" w:cs="Palatino Linotype"/>
          <w:b/>
          <w:bCs/>
          <w:i/>
          <w:iCs/>
          <w:sz w:val="22"/>
          <w:szCs w:val="22"/>
        </w:rPr>
      </w:pPr>
      <w:r w:rsidRPr="00E450DD">
        <w:rPr>
          <w:rFonts w:ascii="Palatino Linotype" w:eastAsia="Palatino Linotype" w:hAnsi="Palatino Linotype" w:cs="Palatino Linotype"/>
          <w:b/>
          <w:bCs/>
          <w:i/>
          <w:iCs/>
          <w:sz w:val="22"/>
          <w:szCs w:val="22"/>
        </w:rPr>
        <w:t>“REGISTRO PRESUPUESTARIO</w:t>
      </w:r>
    </w:p>
    <w:p w14:paraId="507F5F19" w14:textId="77777777" w:rsidR="002B6F07" w:rsidRPr="00E450DD" w:rsidRDefault="002B6F07" w:rsidP="002B6F07">
      <w:pPr>
        <w:spacing w:before="120" w:after="120"/>
        <w:ind w:left="850" w:right="902" w:hanging="10"/>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Asiento contable de las erogaciones realizadas por las dependencias y entidades con relación a la asignación, modificación y ejercicio de los recursos presupuestarios que se les hayan autorizado.”</w:t>
      </w:r>
    </w:p>
    <w:p w14:paraId="417010C2" w14:textId="77777777" w:rsidR="002B6F07" w:rsidRPr="00E450DD" w:rsidRDefault="002B6F07" w:rsidP="002B6F07">
      <w:pPr>
        <w:spacing w:before="240" w:after="240" w:line="360" w:lineRule="auto"/>
        <w:ind w:right="51"/>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Como bien se desprende de las definiciones, los registros contables y presupuestarios son asientos o anotaciones contables que se realizan tanto de los ingresos como de los egresos, a decir se trata de un control financiero en el que se reconoce la obligación del Tesorero de llevar dicho registro.</w:t>
      </w:r>
    </w:p>
    <w:p w14:paraId="033FB1AE" w14:textId="77777777" w:rsidR="002B6F07" w:rsidRPr="00E450DD" w:rsidRDefault="002B6F07" w:rsidP="002B6F07">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Por otra parte, se establece que el sistema de contabilidad sobre base acumulativa total se sustentará en los principios de contabilidad gubernamental.</w:t>
      </w:r>
    </w:p>
    <w:p w14:paraId="3D901376" w14:textId="77777777" w:rsidR="002B6F07" w:rsidRPr="00E450DD" w:rsidRDefault="002B6F07" w:rsidP="002B6F07">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Igualmente, los preceptos legales citados señalan que los Sujetos Obligados deben contar con una unidad administrativa que registra contablemente el efecto patrimonial y presupuestal de las operaciones financieras que realizan, en el momento en que ocurran, con base en el sistema y políticas de registro establecidas.</w:t>
      </w:r>
    </w:p>
    <w:p w14:paraId="5B477900" w14:textId="77777777" w:rsidR="002B6F07" w:rsidRPr="00E450DD" w:rsidRDefault="002B6F07" w:rsidP="002B6F07">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Correlativo a lo anterior, es preciso referir una definición de </w:t>
      </w:r>
      <w:r w:rsidRPr="00E450DD">
        <w:rPr>
          <w:rFonts w:ascii="Palatino Linotype" w:eastAsia="Palatino Linotype" w:hAnsi="Palatino Linotype" w:cs="Palatino Linotype"/>
          <w:i/>
          <w:iCs/>
          <w:sz w:val="22"/>
          <w:szCs w:val="22"/>
        </w:rPr>
        <w:t>póliza contable</w:t>
      </w:r>
      <w:r w:rsidRPr="00E450DD">
        <w:rPr>
          <w:rFonts w:ascii="Palatino Linotype" w:eastAsia="Palatino Linotype" w:hAnsi="Palatino Linotype" w:cs="Palatino Linotype"/>
          <w:sz w:val="22"/>
          <w:szCs w:val="22"/>
        </w:rPr>
        <w:t>, la cual, primeramente, no está definida en el Código Financiero del Estado de México y Municipios; no obstante, el ya mencionado Glosario la define como:</w:t>
      </w:r>
    </w:p>
    <w:p w14:paraId="5FF9CB64" w14:textId="77777777" w:rsidR="002B6F07" w:rsidRPr="00E450DD" w:rsidRDefault="002B6F07" w:rsidP="002B6F07">
      <w:pPr>
        <w:spacing w:before="120" w:after="120"/>
        <w:ind w:left="862" w:right="902"/>
        <w:jc w:val="both"/>
        <w:rPr>
          <w:rFonts w:ascii="Palatino Linotype" w:eastAsia="Palatino Linotype" w:hAnsi="Palatino Linotype" w:cs="Palatino Linotype"/>
          <w:b/>
          <w:bCs/>
          <w:i/>
          <w:iCs/>
          <w:sz w:val="22"/>
          <w:szCs w:val="22"/>
        </w:rPr>
      </w:pPr>
      <w:r w:rsidRPr="00E450DD">
        <w:rPr>
          <w:rFonts w:ascii="Palatino Linotype" w:eastAsia="Palatino Linotype" w:hAnsi="Palatino Linotype" w:cs="Palatino Linotype"/>
          <w:i/>
          <w:iCs/>
          <w:sz w:val="22"/>
          <w:szCs w:val="22"/>
        </w:rPr>
        <w:t>“</w:t>
      </w:r>
      <w:r w:rsidRPr="00E450DD">
        <w:rPr>
          <w:rFonts w:ascii="Palatino Linotype" w:eastAsia="Palatino Linotype" w:hAnsi="Palatino Linotype" w:cs="Palatino Linotype"/>
          <w:b/>
          <w:bCs/>
          <w:i/>
          <w:iCs/>
          <w:sz w:val="22"/>
          <w:szCs w:val="22"/>
        </w:rPr>
        <w:t>PÓLIZA CONTABLE</w:t>
      </w:r>
    </w:p>
    <w:p w14:paraId="0CFCA5BB" w14:textId="77777777" w:rsidR="002B6F07" w:rsidRPr="00E450DD" w:rsidRDefault="002B6F07" w:rsidP="002B6F07">
      <w:pPr>
        <w:spacing w:before="120" w:after="120"/>
        <w:ind w:left="862"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 xml:space="preserve">Documento en el cual se asientan en forma individual todas y cada una de las operaciones desarrolladas por una institución, así como la información necesaria para la identificación de dichas operaciones.” </w:t>
      </w:r>
    </w:p>
    <w:p w14:paraId="536EA7B6" w14:textId="77777777" w:rsidR="002B6F07" w:rsidRPr="00E450DD" w:rsidRDefault="002B6F07" w:rsidP="002B6F07">
      <w:pPr>
        <w:spacing w:before="240" w:after="240" w:line="360" w:lineRule="auto"/>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sz w:val="22"/>
          <w:szCs w:val="22"/>
        </w:rPr>
        <w:t xml:space="preserve">Así, se advierte que la </w:t>
      </w:r>
      <w:r w:rsidRPr="00E450DD">
        <w:rPr>
          <w:rFonts w:ascii="Palatino Linotype" w:eastAsia="Palatino Linotype" w:hAnsi="Palatino Linotype" w:cs="Palatino Linotype"/>
          <w:i/>
          <w:iCs/>
          <w:sz w:val="22"/>
          <w:szCs w:val="22"/>
        </w:rPr>
        <w:t>póliza contable</w:t>
      </w:r>
      <w:r w:rsidRPr="00E450DD">
        <w:rPr>
          <w:rFonts w:ascii="Palatino Linotype" w:eastAsia="Palatino Linotype" w:hAnsi="Palatino Linotype" w:cs="Palatino Linotype"/>
          <w:sz w:val="22"/>
          <w:szCs w:val="22"/>
        </w:rPr>
        <w:t xml:space="preserve"> constituye un registro contable y presupuestal con el que cuentan los Municipios para el registro de operaciones relacionadas con </w:t>
      </w:r>
      <w:r w:rsidRPr="00E450DD">
        <w:rPr>
          <w:rFonts w:ascii="Palatino Linotype" w:eastAsia="Palatino Linotype" w:hAnsi="Palatino Linotype" w:cs="Palatino Linotype"/>
          <w:sz w:val="22"/>
          <w:szCs w:val="22"/>
          <w:u w:val="single"/>
        </w:rPr>
        <w:t>ingresos y egresos</w:t>
      </w:r>
      <w:r w:rsidRPr="00E450DD">
        <w:rPr>
          <w:rFonts w:ascii="Palatino Linotype" w:eastAsia="Palatino Linotype" w:hAnsi="Palatino Linotype" w:cs="Palatino Linotype"/>
          <w:sz w:val="22"/>
          <w:szCs w:val="22"/>
        </w:rPr>
        <w:t xml:space="preserve"> y se anexan los documentos o comprobantes que justifiquen las anotaciones y cantidades en ellas registradas, lo que permite la identificación plena de dichas operaciones.</w:t>
      </w:r>
    </w:p>
    <w:p w14:paraId="5724D479" w14:textId="77777777" w:rsidR="002B6F07" w:rsidRPr="00E450DD" w:rsidRDefault="002B6F07" w:rsidP="002B6F07">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En este sentido, existen diversos tipos de pólizas contables de acuerdo a las operaciones realizadas, dentro de las cuales, encontramos las </w:t>
      </w:r>
      <w:r w:rsidRPr="00E450DD">
        <w:rPr>
          <w:rFonts w:ascii="Palatino Linotype" w:eastAsia="Palatino Linotype" w:hAnsi="Palatino Linotype" w:cs="Palatino Linotype"/>
          <w:i/>
          <w:iCs/>
          <w:sz w:val="22"/>
          <w:szCs w:val="22"/>
        </w:rPr>
        <w:t xml:space="preserve">pólizas de ingresos y egresos. </w:t>
      </w:r>
      <w:r w:rsidRPr="00E450DD">
        <w:rPr>
          <w:rFonts w:ascii="Palatino Linotype" w:eastAsia="Palatino Linotype" w:hAnsi="Palatino Linotype" w:cs="Palatino Linotype"/>
          <w:b/>
          <w:bCs/>
          <w:sz w:val="22"/>
          <w:szCs w:val="22"/>
          <w:u w:val="single"/>
        </w:rPr>
        <w:t>Las primeras</w:t>
      </w:r>
      <w:r w:rsidRPr="00E450DD">
        <w:rPr>
          <w:rFonts w:ascii="Palatino Linotype" w:eastAsia="Palatino Linotype" w:hAnsi="Palatino Linotype" w:cs="Palatino Linotype"/>
          <w:b/>
          <w:bCs/>
          <w:sz w:val="22"/>
          <w:szCs w:val="22"/>
        </w:rPr>
        <w:t xml:space="preserve"> registran todas las entradas de dinero, </w:t>
      </w:r>
      <w:r w:rsidRPr="00E450DD">
        <w:rPr>
          <w:rFonts w:ascii="Palatino Linotype" w:eastAsia="Palatino Linotype" w:hAnsi="Palatino Linotype" w:cs="Palatino Linotype"/>
          <w:sz w:val="22"/>
          <w:szCs w:val="22"/>
        </w:rPr>
        <w:t xml:space="preserve">mientras que </w:t>
      </w:r>
      <w:r w:rsidRPr="00E450DD">
        <w:rPr>
          <w:rFonts w:ascii="Palatino Linotype" w:eastAsia="Palatino Linotype" w:hAnsi="Palatino Linotype" w:cs="Palatino Linotype"/>
          <w:b/>
          <w:bCs/>
          <w:sz w:val="22"/>
          <w:szCs w:val="22"/>
          <w:u w:val="single"/>
        </w:rPr>
        <w:t>las segundas</w:t>
      </w:r>
      <w:r w:rsidRPr="00E450DD">
        <w:rPr>
          <w:rFonts w:ascii="Palatino Linotype" w:eastAsia="Palatino Linotype" w:hAnsi="Palatino Linotype" w:cs="Palatino Linotype"/>
          <w:sz w:val="22"/>
          <w:szCs w:val="22"/>
        </w:rPr>
        <w:t xml:space="preserve"> </w:t>
      </w:r>
      <w:r w:rsidRPr="00E450DD">
        <w:rPr>
          <w:rFonts w:ascii="Palatino Linotype" w:eastAsia="Palatino Linotype" w:hAnsi="Palatino Linotype" w:cs="Palatino Linotype"/>
          <w:b/>
          <w:bCs/>
          <w:sz w:val="22"/>
          <w:szCs w:val="22"/>
        </w:rPr>
        <w:t>son aquellas en las cuales se anotan diariamente las operaciones que representan gastos, es decir, salidas de dinero</w:t>
      </w:r>
      <w:r w:rsidRPr="00E450DD">
        <w:rPr>
          <w:rFonts w:ascii="Palatino Linotype" w:eastAsia="Palatino Linotype" w:hAnsi="Palatino Linotype" w:cs="Palatino Linotype"/>
          <w:sz w:val="22"/>
          <w:szCs w:val="22"/>
        </w:rPr>
        <w:t xml:space="preserve"> las que, además, </w:t>
      </w:r>
      <w:r w:rsidRPr="00E450DD">
        <w:rPr>
          <w:rFonts w:ascii="Palatino Linotype" w:eastAsia="Palatino Linotype" w:hAnsi="Palatino Linotype" w:cs="Palatino Linotype"/>
          <w:b/>
          <w:bCs/>
          <w:sz w:val="22"/>
          <w:szCs w:val="22"/>
        </w:rPr>
        <w:t xml:space="preserve">deben encontrarse acompañadas de las documentales que sirven de soporte de dicho movimiento; </w:t>
      </w:r>
      <w:r w:rsidRPr="00E450DD">
        <w:rPr>
          <w:rFonts w:ascii="Palatino Linotype" w:eastAsia="Palatino Linotype" w:hAnsi="Palatino Linotype" w:cs="Palatino Linotype"/>
          <w:sz w:val="22"/>
          <w:szCs w:val="22"/>
        </w:rPr>
        <w:t xml:space="preserve">lo anterior </w:t>
      </w:r>
      <w:r w:rsidRPr="00E450DD">
        <w:rPr>
          <w:rFonts w:ascii="Palatino Linotype" w:eastAsia="Palatino Linotype" w:hAnsi="Palatino Linotype" w:cs="Palatino Linotype"/>
          <w:b/>
          <w:bCs/>
          <w:sz w:val="22"/>
          <w:szCs w:val="22"/>
        </w:rPr>
        <w:t>independientemente de la modalidad</w:t>
      </w:r>
      <w:r w:rsidRPr="00E450DD">
        <w:rPr>
          <w:rFonts w:ascii="Palatino Linotype" w:eastAsia="Palatino Linotype" w:hAnsi="Palatino Linotype" w:cs="Palatino Linotype"/>
          <w:sz w:val="22"/>
          <w:szCs w:val="22"/>
        </w:rPr>
        <w:t xml:space="preserve"> ya sea en efectivo, transferencia, cheque o pagaré, mediante la expedición de facturas.</w:t>
      </w:r>
    </w:p>
    <w:p w14:paraId="3AF7FA41" w14:textId="77777777" w:rsidR="002B6F07" w:rsidRPr="00E450DD" w:rsidRDefault="002B6F07" w:rsidP="002B6F07">
      <w:pPr>
        <w:spacing w:before="240" w:after="240" w:line="360" w:lineRule="auto"/>
        <w:ind w:right="51"/>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Atento a lo anterior, como ya ha sido mencionado en la normatividad antes citada, todo registro contable y presupuestal deberá estar soportado con los documentos comprobatorios originales, como lo son las facturas o pagos fiscales digitales por internet, mismos que deberán permanecer en custodia y conservación de la Unidad Administrativa correspondiente y a disposición del Órgano Superior de Fiscalización del Estado de México; por un término de seis años contados a partir del ejercicio presupuestal siguiente al que corresponda, tal y como se establece en el Código Financiero del Estado de México. </w:t>
      </w:r>
    </w:p>
    <w:p w14:paraId="3D62FF49" w14:textId="2D468E5D" w:rsidR="007B768D" w:rsidRPr="00E450DD" w:rsidRDefault="007B768D" w:rsidP="007B768D">
      <w:pPr>
        <w:widowControl w:val="0"/>
        <w:spacing w:line="360" w:lineRule="auto"/>
        <w:ind w:right="49"/>
        <w:jc w:val="both"/>
        <w:rPr>
          <w:rFonts w:ascii="Palatino Linotype" w:eastAsia="Palatino Linotype" w:hAnsi="Palatino Linotype" w:cs="Palatino Linotype"/>
          <w:sz w:val="22"/>
        </w:rPr>
      </w:pPr>
      <w:r w:rsidRPr="00E450DD">
        <w:rPr>
          <w:rFonts w:ascii="Palatino Linotype" w:eastAsia="Palatino Linotype" w:hAnsi="Palatino Linotype" w:cs="Palatino Linotype"/>
          <w:sz w:val="22"/>
        </w:rPr>
        <w:t xml:space="preserve">En consecuencia, </w:t>
      </w:r>
      <w:r w:rsidR="00FB19F7" w:rsidRPr="00E450DD">
        <w:rPr>
          <w:rFonts w:ascii="Palatino Linotype" w:eastAsia="Palatino Linotype" w:hAnsi="Palatino Linotype" w:cs="Palatino Linotype"/>
          <w:sz w:val="22"/>
        </w:rPr>
        <w:t xml:space="preserve">no </w:t>
      </w:r>
      <w:r w:rsidRPr="00E450DD">
        <w:rPr>
          <w:rFonts w:ascii="Palatino Linotype" w:eastAsia="Palatino Linotype" w:hAnsi="Palatino Linotype" w:cs="Palatino Linotype"/>
          <w:sz w:val="22"/>
        </w:rPr>
        <w:t xml:space="preserve">se </w:t>
      </w:r>
      <w:r w:rsidR="00DE5D1A" w:rsidRPr="00E450DD">
        <w:rPr>
          <w:rFonts w:ascii="Palatino Linotype" w:eastAsia="Palatino Linotype" w:hAnsi="Palatino Linotype" w:cs="Palatino Linotype"/>
          <w:sz w:val="22"/>
        </w:rPr>
        <w:t xml:space="preserve">puede tener por atendido el </w:t>
      </w:r>
      <w:r w:rsidRPr="00E450DD">
        <w:rPr>
          <w:rFonts w:ascii="Palatino Linotype" w:eastAsia="Palatino Linotype" w:hAnsi="Palatino Linotype" w:cs="Palatino Linotype"/>
          <w:sz w:val="22"/>
        </w:rPr>
        <w:t xml:space="preserve">procedimiento establecido por el artículo 162 de la Ley de Transparencia y Acceso a la Información Pública del Estado de México y Municipios, ya que </w:t>
      </w:r>
      <w:r w:rsidR="00FB19F7" w:rsidRPr="00E450DD">
        <w:rPr>
          <w:rFonts w:ascii="Palatino Linotype" w:eastAsia="Palatino Linotype" w:hAnsi="Palatino Linotype" w:cs="Palatino Linotype"/>
          <w:sz w:val="22"/>
        </w:rPr>
        <w:t xml:space="preserve">no </w:t>
      </w:r>
      <w:r w:rsidR="00DE5D1A" w:rsidRPr="00E450DD">
        <w:rPr>
          <w:rFonts w:ascii="Palatino Linotype" w:eastAsia="Palatino Linotype" w:hAnsi="Palatino Linotype" w:cs="Palatino Linotype"/>
          <w:sz w:val="22"/>
        </w:rPr>
        <w:t>se advierte que se haya turnado</w:t>
      </w:r>
      <w:r w:rsidRPr="00E450DD">
        <w:rPr>
          <w:rFonts w:ascii="Palatino Linotype" w:eastAsia="Palatino Linotype" w:hAnsi="Palatino Linotype" w:cs="Palatino Linotype"/>
          <w:sz w:val="22"/>
        </w:rPr>
        <w:t xml:space="preserve"> la solicitud al área competente en la que podría obrar la información</w:t>
      </w:r>
      <w:r w:rsidR="00DE5D1A" w:rsidRPr="00E450DD">
        <w:rPr>
          <w:rFonts w:ascii="Palatino Linotype" w:eastAsia="Palatino Linotype" w:hAnsi="Palatino Linotype" w:cs="Palatino Linotype"/>
          <w:sz w:val="22"/>
        </w:rPr>
        <w:t xml:space="preserve">, que en el caso sería la </w:t>
      </w:r>
      <w:r w:rsidR="00FE2348" w:rsidRPr="00E450DD">
        <w:rPr>
          <w:rFonts w:ascii="Palatino Linotype" w:eastAsia="Palatino Linotype" w:hAnsi="Palatino Linotype" w:cs="Palatino Linotype"/>
          <w:sz w:val="22"/>
        </w:rPr>
        <w:t xml:space="preserve">Tesorería </w:t>
      </w:r>
      <w:r w:rsidR="00DE5D1A" w:rsidRPr="00E450DD">
        <w:rPr>
          <w:rFonts w:ascii="Palatino Linotype" w:eastAsia="Palatino Linotype" w:hAnsi="Palatino Linotype" w:cs="Palatino Linotype"/>
          <w:sz w:val="22"/>
        </w:rPr>
        <w:t>Municipal,</w:t>
      </w:r>
      <w:r w:rsidRPr="00E450DD">
        <w:rPr>
          <w:rFonts w:ascii="Palatino Linotype" w:eastAsia="Palatino Linotype" w:hAnsi="Palatino Linotype" w:cs="Palatino Linotype"/>
          <w:sz w:val="22"/>
        </w:rPr>
        <w:t xml:space="preserve"> de conformidad con la fracción XXXIX del artículo tercero de la legislación local vigente en materia de transparencia: </w:t>
      </w:r>
    </w:p>
    <w:p w14:paraId="19E86113" w14:textId="77777777" w:rsidR="007B768D" w:rsidRPr="00E450DD" w:rsidRDefault="007B768D" w:rsidP="007B768D">
      <w:pPr>
        <w:rPr>
          <w:sz w:val="22"/>
        </w:rPr>
      </w:pPr>
    </w:p>
    <w:p w14:paraId="02E0C94F" w14:textId="77777777" w:rsidR="007B768D" w:rsidRPr="00E450DD" w:rsidRDefault="007B768D" w:rsidP="007B768D">
      <w:pPr>
        <w:pBdr>
          <w:top w:val="nil"/>
          <w:left w:val="nil"/>
          <w:bottom w:val="nil"/>
          <w:right w:val="nil"/>
          <w:between w:val="nil"/>
        </w:pBdr>
        <w:ind w:left="864" w:right="864"/>
        <w:jc w:val="both"/>
        <w:rPr>
          <w:sz w:val="22"/>
        </w:rPr>
      </w:pPr>
      <w:r w:rsidRPr="00E450DD">
        <w:rPr>
          <w:rFonts w:ascii="Palatino Linotype" w:eastAsia="Palatino Linotype" w:hAnsi="Palatino Linotype" w:cs="Palatino Linotype"/>
          <w:i/>
          <w:sz w:val="22"/>
        </w:rPr>
        <w:t>XXXIX. Servidor público habilitado: Persona encargada dentro de las diversas unidades administrativas o áreas del sujeto obligado, de apoyar, gestionar y entregar la información o datos personales que se ubiquen en la misma, a sus respectivas unidades de transparencia; respecto de las solicitudes presentadas y aportar en primera instancia el fundamento y motivación de la clasificación de la información. </w:t>
      </w:r>
    </w:p>
    <w:p w14:paraId="0497800B" w14:textId="77777777" w:rsidR="007B768D" w:rsidRPr="00E450DD" w:rsidRDefault="007B768D" w:rsidP="007B768D">
      <w:pPr>
        <w:rPr>
          <w:sz w:val="22"/>
        </w:rPr>
      </w:pPr>
    </w:p>
    <w:p w14:paraId="4317DD25" w14:textId="1EC929AE" w:rsidR="007B768D" w:rsidRPr="00E450DD" w:rsidRDefault="007B768D" w:rsidP="007B768D">
      <w:pPr>
        <w:pBdr>
          <w:top w:val="nil"/>
          <w:left w:val="nil"/>
          <w:bottom w:val="nil"/>
          <w:right w:val="nil"/>
          <w:between w:val="nil"/>
        </w:pBdr>
        <w:shd w:val="clear" w:color="auto" w:fill="FFFFFF"/>
        <w:spacing w:line="360" w:lineRule="auto"/>
        <w:jc w:val="both"/>
        <w:rPr>
          <w:sz w:val="22"/>
        </w:rPr>
      </w:pPr>
      <w:r w:rsidRPr="00E450DD">
        <w:rPr>
          <w:rFonts w:ascii="Palatino Linotype" w:eastAsia="Palatino Linotype" w:hAnsi="Palatino Linotype" w:cs="Palatino Linotype"/>
          <w:sz w:val="22"/>
        </w:rPr>
        <w:t xml:space="preserve">En este orden de ideas, se advierte que la Unidad de Transparencia </w:t>
      </w:r>
      <w:r w:rsidR="00FB19F7" w:rsidRPr="00E450DD">
        <w:rPr>
          <w:rFonts w:ascii="Palatino Linotype" w:eastAsia="Palatino Linotype" w:hAnsi="Palatino Linotype" w:cs="Palatino Linotype"/>
          <w:sz w:val="22"/>
        </w:rPr>
        <w:t xml:space="preserve">no </w:t>
      </w:r>
      <w:r w:rsidRPr="00E450DD">
        <w:rPr>
          <w:rFonts w:ascii="Palatino Linotype" w:eastAsia="Palatino Linotype" w:hAnsi="Palatino Linotype" w:cs="Palatino Linotype"/>
          <w:sz w:val="22"/>
        </w:rPr>
        <w:t>cumplió con lo expresado en el artículo 162 de la Ley de Transparencia y Acceso a la Información Pública del Estado de México y Municipios, el cual menciona lo siguiente:</w:t>
      </w:r>
    </w:p>
    <w:p w14:paraId="058BB94A" w14:textId="77777777" w:rsidR="007B768D" w:rsidRPr="00E450DD" w:rsidRDefault="007B768D" w:rsidP="007B768D">
      <w:pPr>
        <w:rPr>
          <w:sz w:val="22"/>
        </w:rPr>
      </w:pPr>
    </w:p>
    <w:p w14:paraId="5C5002CE" w14:textId="77777777" w:rsidR="007B768D" w:rsidRPr="00E450DD" w:rsidRDefault="007B768D" w:rsidP="007B768D">
      <w:pPr>
        <w:pBdr>
          <w:top w:val="nil"/>
          <w:left w:val="nil"/>
          <w:bottom w:val="nil"/>
          <w:right w:val="nil"/>
          <w:between w:val="nil"/>
        </w:pBdr>
        <w:ind w:left="864" w:right="864"/>
        <w:jc w:val="both"/>
        <w:rPr>
          <w:sz w:val="22"/>
        </w:rPr>
      </w:pPr>
      <w:r w:rsidRPr="00E450DD">
        <w:rPr>
          <w:rFonts w:ascii="Palatino Linotype" w:eastAsia="Palatino Linotype" w:hAnsi="Palatino Linotype" w:cs="Palatino Linotype"/>
          <w:i/>
          <w:sz w:val="22"/>
        </w:rPr>
        <w:t xml:space="preserve">“Artículo 162. Las unidades de transparencia deberán garantizar que las solicitudes </w:t>
      </w:r>
      <w:r w:rsidRPr="00E450DD">
        <w:rPr>
          <w:rFonts w:ascii="Palatino Linotype" w:eastAsia="Palatino Linotype" w:hAnsi="Palatino Linotype" w:cs="Palatino Linotype"/>
          <w:b/>
          <w:i/>
          <w:sz w:val="22"/>
        </w:rPr>
        <w:t xml:space="preserve">se turnen a todas las Áreas competentes </w:t>
      </w:r>
      <w:r w:rsidRPr="00E450DD">
        <w:rPr>
          <w:rFonts w:ascii="Palatino Linotype" w:eastAsia="Palatino Linotype" w:hAnsi="Palatino Linotype" w:cs="Palatino Linotype"/>
          <w:i/>
          <w:sz w:val="22"/>
        </w:rPr>
        <w:t>que cuenten con la información o deban tenerla de acuerdo a sus facultades, competencias y funciones, con el objeto de que realicen una búsqueda exhaustiva y razonable de la información solicitada.”</w:t>
      </w:r>
    </w:p>
    <w:p w14:paraId="652F10BB" w14:textId="77777777" w:rsidR="00FB19F7" w:rsidRPr="00E450DD" w:rsidRDefault="00FB19F7" w:rsidP="007B768D">
      <w:pPr>
        <w:spacing w:line="360" w:lineRule="auto"/>
        <w:jc w:val="both"/>
        <w:rPr>
          <w:rFonts w:ascii="Palatino Linotype" w:eastAsia="Palatino Linotype" w:hAnsi="Palatino Linotype" w:cs="Palatino Linotype"/>
          <w:sz w:val="22"/>
        </w:rPr>
      </w:pPr>
    </w:p>
    <w:p w14:paraId="06D05C8E" w14:textId="65A6462B" w:rsidR="00FE2348" w:rsidRPr="00E450DD" w:rsidRDefault="00FE2348" w:rsidP="007B768D">
      <w:pPr>
        <w:spacing w:line="360" w:lineRule="auto"/>
        <w:jc w:val="both"/>
        <w:rPr>
          <w:rFonts w:ascii="Palatino Linotype" w:eastAsia="Palatino Linotype" w:hAnsi="Palatino Linotype" w:cs="Palatino Linotype"/>
          <w:sz w:val="22"/>
        </w:rPr>
      </w:pPr>
      <w:r w:rsidRPr="00E450DD">
        <w:rPr>
          <w:rFonts w:ascii="Palatino Linotype" w:eastAsia="Palatino Linotype" w:hAnsi="Palatino Linotype" w:cs="Palatino Linotype"/>
          <w:sz w:val="22"/>
        </w:rPr>
        <w:t>Además, resulta necesario dejar claro que, si bien el particular señaló en sus motivos de inconformidad que requirió el pronunciamiento del Presidente Municipal, en materia de acceso a la información pública, a quien le corresponde emitir una respuesta a una solicitud de información es al servidor público habilitado competente que cuenta con las atribuciones ya sea porque genera, posee o administra lo requerido por el solicitante.</w:t>
      </w:r>
    </w:p>
    <w:p w14:paraId="027B741A" w14:textId="77777777" w:rsidR="00FE2348" w:rsidRPr="00E450DD" w:rsidRDefault="00FE2348" w:rsidP="007B768D">
      <w:pPr>
        <w:spacing w:line="360" w:lineRule="auto"/>
        <w:jc w:val="both"/>
        <w:rPr>
          <w:rFonts w:ascii="Palatino Linotype" w:eastAsia="Palatino Linotype" w:hAnsi="Palatino Linotype" w:cs="Palatino Linotype"/>
          <w:sz w:val="22"/>
        </w:rPr>
      </w:pPr>
    </w:p>
    <w:p w14:paraId="36DEC872" w14:textId="2EE8E380" w:rsidR="00FE2348" w:rsidRPr="00E450DD" w:rsidRDefault="00FE2348" w:rsidP="007B768D">
      <w:pPr>
        <w:spacing w:line="360" w:lineRule="auto"/>
        <w:jc w:val="both"/>
        <w:rPr>
          <w:rFonts w:ascii="Palatino Linotype" w:eastAsia="Palatino Linotype" w:hAnsi="Palatino Linotype" w:cs="Palatino Linotype"/>
          <w:sz w:val="22"/>
        </w:rPr>
      </w:pPr>
      <w:r w:rsidRPr="00E450DD">
        <w:rPr>
          <w:rFonts w:ascii="Palatino Linotype" w:eastAsia="Palatino Linotype" w:hAnsi="Palatino Linotype" w:cs="Palatino Linotype"/>
          <w:sz w:val="22"/>
        </w:rPr>
        <w:t>De ahí que no resulte dable ordenar pronunciamiento alguno o la búsqueda de la información en un área que no cuenta con competencia para contar con la misma.</w:t>
      </w:r>
    </w:p>
    <w:p w14:paraId="1BBC9BAD" w14:textId="77777777" w:rsidR="00FE2348" w:rsidRPr="00E450DD" w:rsidRDefault="00FE2348" w:rsidP="007B768D">
      <w:pPr>
        <w:spacing w:line="360" w:lineRule="auto"/>
        <w:jc w:val="both"/>
        <w:rPr>
          <w:rFonts w:ascii="Palatino Linotype" w:eastAsia="Palatino Linotype" w:hAnsi="Palatino Linotype" w:cs="Palatino Linotype"/>
          <w:sz w:val="22"/>
        </w:rPr>
      </w:pPr>
    </w:p>
    <w:p w14:paraId="59A1D0BD" w14:textId="2F0D5215" w:rsidR="00FB19F7" w:rsidRPr="00E450DD" w:rsidRDefault="00FE2348" w:rsidP="007B768D">
      <w:pPr>
        <w:spacing w:line="360" w:lineRule="auto"/>
        <w:jc w:val="both"/>
        <w:rPr>
          <w:rFonts w:ascii="Palatino Linotype" w:eastAsia="Palatino Linotype" w:hAnsi="Palatino Linotype" w:cs="Palatino Linotype"/>
          <w:sz w:val="22"/>
        </w:rPr>
      </w:pPr>
      <w:r w:rsidRPr="00E450DD">
        <w:rPr>
          <w:rFonts w:ascii="Palatino Linotype" w:eastAsia="Palatino Linotype" w:hAnsi="Palatino Linotype" w:cs="Palatino Linotype"/>
          <w:sz w:val="22"/>
        </w:rPr>
        <w:t>Ahora, del análisis a la respuesta, es de reiterar que la Subdirectora de Recursos Humanos refirió que lo requerido no constituía una solicitud de información pública, sino cuestionamientos de los cuales se requiere la emisión un pronunciamiento sobre temas en particular; aunado a que no se encontró documento donde conste lo requerido.</w:t>
      </w:r>
    </w:p>
    <w:p w14:paraId="4562CADD" w14:textId="77777777" w:rsidR="00124135" w:rsidRPr="00E450DD" w:rsidRDefault="00124135" w:rsidP="007B768D">
      <w:pPr>
        <w:spacing w:line="360" w:lineRule="auto"/>
        <w:jc w:val="both"/>
        <w:rPr>
          <w:rFonts w:ascii="Palatino Linotype" w:eastAsia="Palatino Linotype" w:hAnsi="Palatino Linotype" w:cs="Palatino Linotype"/>
          <w:sz w:val="22"/>
        </w:rPr>
      </w:pPr>
    </w:p>
    <w:p w14:paraId="7A0D4A76" w14:textId="1D6B42B4" w:rsidR="00124135" w:rsidRPr="00E450DD" w:rsidRDefault="00124135" w:rsidP="007B768D">
      <w:pPr>
        <w:spacing w:line="360" w:lineRule="auto"/>
        <w:jc w:val="both"/>
        <w:rPr>
          <w:rFonts w:ascii="Palatino Linotype" w:eastAsia="Palatino Linotype" w:hAnsi="Palatino Linotype" w:cs="Palatino Linotype"/>
          <w:sz w:val="22"/>
        </w:rPr>
      </w:pPr>
      <w:r w:rsidRPr="00E450DD">
        <w:rPr>
          <w:rFonts w:ascii="Palatino Linotype" w:eastAsia="Palatino Linotype" w:hAnsi="Palatino Linotype" w:cs="Palatino Linotype"/>
          <w:sz w:val="22"/>
        </w:rPr>
        <w:t xml:space="preserve">Sin embargo, como se mencionó faltó el pronunciamiento de la Tesorería Municipal, la cual al ser </w:t>
      </w:r>
      <w:r w:rsidRPr="00E450DD">
        <w:rPr>
          <w:rFonts w:ascii="Palatino Linotype" w:eastAsia="Palatino Linotype" w:hAnsi="Palatino Linotype" w:cs="Palatino Linotype"/>
          <w:sz w:val="22"/>
          <w:szCs w:val="22"/>
        </w:rPr>
        <w:t>quien administra la Hacienda Pública Municipal y lleva los registros contables y financieros de los ingresos y egresos de Municipio; por ende, debe conocer si en la temporalidad ordenada se efectuaron pagos de horas extraordinarias a servidores públicos.</w:t>
      </w:r>
      <w:r w:rsidRPr="00E450DD">
        <w:rPr>
          <w:rFonts w:ascii="Palatino Linotype" w:eastAsia="Palatino Linotype" w:hAnsi="Palatino Linotype" w:cs="Palatino Linotype"/>
          <w:sz w:val="22"/>
        </w:rPr>
        <w:t xml:space="preserve"> </w:t>
      </w:r>
    </w:p>
    <w:p w14:paraId="2FD1D7B3" w14:textId="77777777" w:rsidR="00FB19F7" w:rsidRPr="00E450DD" w:rsidRDefault="00FB19F7" w:rsidP="007B768D">
      <w:pPr>
        <w:spacing w:line="360" w:lineRule="auto"/>
        <w:jc w:val="both"/>
        <w:rPr>
          <w:rFonts w:ascii="Palatino Linotype" w:eastAsia="Palatino Linotype" w:hAnsi="Palatino Linotype" w:cs="Palatino Linotype"/>
          <w:sz w:val="22"/>
        </w:rPr>
      </w:pPr>
    </w:p>
    <w:p w14:paraId="38A44679" w14:textId="437BF99A" w:rsidR="004B20A7" w:rsidRPr="00E450DD" w:rsidRDefault="00B63AAF" w:rsidP="004B20A7">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Por tanto, se considera en el caso </w:t>
      </w:r>
      <w:r w:rsidR="002B6F07" w:rsidRPr="00E450DD">
        <w:rPr>
          <w:rFonts w:ascii="Palatino Linotype" w:eastAsia="Palatino Linotype" w:hAnsi="Palatino Linotype" w:cs="Palatino Linotype"/>
          <w:sz w:val="22"/>
          <w:szCs w:val="22"/>
        </w:rPr>
        <w:t>es</w:t>
      </w:r>
      <w:r w:rsidRPr="00E450DD">
        <w:rPr>
          <w:rFonts w:ascii="Palatino Linotype" w:eastAsia="Palatino Linotype" w:hAnsi="Palatino Linotype" w:cs="Palatino Linotype"/>
          <w:sz w:val="22"/>
          <w:szCs w:val="22"/>
        </w:rPr>
        <w:t xml:space="preserve"> procedente </w:t>
      </w:r>
      <w:r w:rsidR="007C69D8" w:rsidRPr="00E450DD">
        <w:rPr>
          <w:rFonts w:ascii="Palatino Linotype" w:eastAsia="Palatino Linotype" w:hAnsi="Palatino Linotype" w:cs="Palatino Linotype"/>
          <w:b/>
          <w:sz w:val="22"/>
          <w:szCs w:val="22"/>
        </w:rPr>
        <w:t>Revoca</w:t>
      </w:r>
      <w:r w:rsidRPr="00E450DD">
        <w:rPr>
          <w:rFonts w:ascii="Palatino Linotype" w:eastAsia="Palatino Linotype" w:hAnsi="Palatino Linotype" w:cs="Palatino Linotype"/>
          <w:b/>
          <w:sz w:val="22"/>
          <w:szCs w:val="22"/>
        </w:rPr>
        <w:t xml:space="preserve"> </w:t>
      </w:r>
      <w:r w:rsidRPr="00E450DD">
        <w:rPr>
          <w:rFonts w:ascii="Palatino Linotype" w:eastAsia="Palatino Linotype" w:hAnsi="Palatino Linotype" w:cs="Palatino Linotype"/>
          <w:sz w:val="22"/>
          <w:szCs w:val="22"/>
        </w:rPr>
        <w:t xml:space="preserve">la respuesta del ente obligado y ordenar que en cumplimiento a la presente se haga entrega, </w:t>
      </w:r>
      <w:r w:rsidR="00954941" w:rsidRPr="00E450DD">
        <w:rPr>
          <w:rFonts w:ascii="Palatino Linotype" w:eastAsia="Palatino Linotype" w:hAnsi="Palatino Linotype" w:cs="Palatino Linotype"/>
          <w:sz w:val="22"/>
          <w:szCs w:val="22"/>
        </w:rPr>
        <w:t xml:space="preserve">previa búsqueda exhaustiva y razonable, </w:t>
      </w:r>
      <w:r w:rsidR="00122FD7" w:rsidRPr="00E450DD">
        <w:rPr>
          <w:rFonts w:ascii="Palatino Linotype" w:eastAsia="Palatino Linotype" w:hAnsi="Palatino Linotype" w:cs="Palatino Linotype"/>
          <w:sz w:val="22"/>
          <w:szCs w:val="22"/>
        </w:rPr>
        <w:t xml:space="preserve">de ser procedente </w:t>
      </w:r>
      <w:r w:rsidRPr="00E450DD">
        <w:rPr>
          <w:rFonts w:ascii="Palatino Linotype" w:eastAsia="Palatino Linotype" w:hAnsi="Palatino Linotype" w:cs="Palatino Linotype"/>
          <w:sz w:val="22"/>
          <w:szCs w:val="22"/>
        </w:rPr>
        <w:t xml:space="preserve">en versión pública, </w:t>
      </w:r>
      <w:r w:rsidR="00122FD7" w:rsidRPr="00E450DD">
        <w:rPr>
          <w:rFonts w:ascii="Palatino Linotype" w:eastAsia="Palatino Linotype" w:hAnsi="Palatino Linotype" w:cs="Palatino Linotype"/>
          <w:sz w:val="22"/>
          <w:szCs w:val="22"/>
        </w:rPr>
        <w:t>el documento donde conste o se advierta</w:t>
      </w:r>
      <w:r w:rsidRPr="00E450DD">
        <w:rPr>
          <w:rFonts w:ascii="Palatino Linotype" w:eastAsia="Palatino Linotype" w:hAnsi="Palatino Linotype" w:cs="Palatino Linotype"/>
          <w:sz w:val="22"/>
          <w:szCs w:val="22"/>
        </w:rPr>
        <w:t>:</w:t>
      </w:r>
    </w:p>
    <w:p w14:paraId="7FD395D0" w14:textId="77777777" w:rsidR="002B6F07" w:rsidRPr="00E450DD" w:rsidRDefault="002B6F07" w:rsidP="004B20A7">
      <w:pPr>
        <w:spacing w:line="360" w:lineRule="auto"/>
        <w:jc w:val="both"/>
        <w:rPr>
          <w:rFonts w:ascii="Palatino Linotype" w:eastAsia="Palatino Linotype" w:hAnsi="Palatino Linotype" w:cs="Palatino Linotype"/>
          <w:sz w:val="22"/>
          <w:szCs w:val="22"/>
        </w:rPr>
      </w:pPr>
    </w:p>
    <w:p w14:paraId="73275647" w14:textId="5CF0AC14" w:rsidR="002B6F07" w:rsidRPr="00E450DD" w:rsidRDefault="002B6F07" w:rsidP="002B6F07">
      <w:pPr>
        <w:pStyle w:val="Prrafodelista"/>
        <w:numPr>
          <w:ilvl w:val="0"/>
          <w:numId w:val="21"/>
        </w:num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b/>
          <w:sz w:val="22"/>
          <w:szCs w:val="22"/>
        </w:rPr>
        <w:t>El pago de horas extras a servidores públicos adscritos al Ayuntamiento de Tlalnepantla, en el periodo comprendido del seis de marzo de dos mil veinticinco al seis de marzo de dos mil veintiséis.</w:t>
      </w:r>
    </w:p>
    <w:p w14:paraId="23CF0892" w14:textId="22C32459" w:rsidR="006D682B" w:rsidRPr="00E450DD" w:rsidRDefault="006D682B" w:rsidP="002B6F07">
      <w:pPr>
        <w:spacing w:before="240" w:after="240" w:line="360" w:lineRule="auto"/>
        <w:ind w:right="51"/>
        <w:jc w:val="both"/>
        <w:rPr>
          <w:rFonts w:ascii="Palatino Linotype" w:eastAsia="Palatino Linotype" w:hAnsi="Palatino Linotype" w:cs="Palatino Linotype"/>
          <w:b/>
          <w:bCs/>
          <w:sz w:val="22"/>
          <w:szCs w:val="22"/>
        </w:rPr>
      </w:pPr>
      <w:r w:rsidRPr="00E450DD">
        <w:rPr>
          <w:rFonts w:ascii="Palatino Linotype" w:eastAsia="Palatino Linotype" w:hAnsi="Palatino Linotype" w:cs="Palatino Linotype"/>
          <w:bCs/>
          <w:sz w:val="22"/>
          <w:szCs w:val="22"/>
        </w:rPr>
        <w:t>Para el caso de que la información que se ordena entregar no obre en los archivos del Sujeto Obligado, por no haberse efectuado el pago de horas extra a servidores públicos en el periodo ordenado, bastará con hacerlo del conocimiento del Particular en términos del artículo 19, párrafo segundo, de la Ley de Transparencia y Acceso a la Información Pública del Estado de México y Municipios, para tenerse por colmado dicho requerimiento.</w:t>
      </w:r>
    </w:p>
    <w:p w14:paraId="3B642A25" w14:textId="77777777" w:rsidR="002B6F07" w:rsidRPr="00E450DD" w:rsidRDefault="002B6F07" w:rsidP="002B6F07">
      <w:pPr>
        <w:spacing w:before="240" w:after="240" w:line="360" w:lineRule="auto"/>
        <w:ind w:right="51"/>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b/>
          <w:bCs/>
          <w:sz w:val="22"/>
          <w:szCs w:val="22"/>
        </w:rPr>
        <w:t xml:space="preserve">Quinto. Versión Pública. </w:t>
      </w:r>
      <w:r w:rsidRPr="00E450DD">
        <w:rPr>
          <w:rFonts w:ascii="Palatino Linotype" w:eastAsia="Palatino Linotype" w:hAnsi="Palatino Linotype" w:cs="Palatino Linotype"/>
          <w:sz w:val="22"/>
          <w:szCs w:val="22"/>
        </w:rPr>
        <w:t>Como fue debidamente apuntado, el </w:t>
      </w:r>
      <w:r w:rsidRPr="00E450DD">
        <w:rPr>
          <w:rFonts w:ascii="Palatino Linotype" w:eastAsia="Palatino Linotype" w:hAnsi="Palatino Linotype" w:cs="Palatino Linotype"/>
          <w:b/>
          <w:bCs/>
          <w:sz w:val="22"/>
          <w:szCs w:val="22"/>
        </w:rPr>
        <w:t>Sujeto Obligado</w:t>
      </w:r>
      <w:r w:rsidRPr="00E450DD">
        <w:rPr>
          <w:rFonts w:ascii="Palatino Linotype" w:eastAsia="Palatino Linotype" w:hAnsi="Palatino Linotype" w:cs="Palatino Linotype"/>
          <w:sz w:val="22"/>
          <w:szCs w:val="22"/>
        </w:rPr>
        <w:t> debe satisfacer la solicitud de acceso a la información; sin embargo, dada la naturaleza de la información de la cual se ordena su entrega, deberá hacerse en versión pública, toda vez que en los documentos que se ordenan, existe la posibilidad de que obren datos que son considerados confidenciales, cuyo acceso debe ser restringido que deben testarse al momento de la versión pública, atento a lo siguiente:</w:t>
      </w:r>
    </w:p>
    <w:p w14:paraId="0CB1A782" w14:textId="77777777" w:rsidR="002B6F07" w:rsidRPr="00E450DD" w:rsidRDefault="002B6F07" w:rsidP="002B6F07">
      <w:pPr>
        <w:spacing w:before="240" w:after="240" w:line="360" w:lineRule="auto"/>
        <w:ind w:right="49"/>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El derecho de acceso a la información pública tiene como limitante el respeto a la intimidad y a la vida privada de las personas, es por ello que este Instituto debe cuidar que los datos personales que obren en poder de los Sujetos Obligados sean protegidos y únicamente se den a conocer aquéllos que garanticen la rendición de cuentas y la transparencia en el ejercicio de las atribuciones que tienen conferidas.</w:t>
      </w:r>
    </w:p>
    <w:p w14:paraId="1673E671" w14:textId="77777777" w:rsidR="002B6F07" w:rsidRPr="00E450DD" w:rsidRDefault="002B6F07" w:rsidP="002B6F07">
      <w:pPr>
        <w:spacing w:before="240" w:after="240" w:line="360" w:lineRule="auto"/>
        <w:ind w:right="49"/>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De este modo, en armonía entre los principios constitucionales de máxima publicidad y de protección de datos personales, la ley permite la elaboración de versiones públicas en las que se suprima aquella información relacionada con la vida privada de las personas.</w:t>
      </w:r>
    </w:p>
    <w:p w14:paraId="775C4A13" w14:textId="77777777" w:rsidR="002B6F07" w:rsidRPr="00E450DD" w:rsidRDefault="002B6F07" w:rsidP="002B6F07">
      <w:pPr>
        <w:spacing w:before="240" w:after="240" w:line="360" w:lineRule="auto"/>
        <w:ind w:right="49"/>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Al respecto, los artículos 3, fracciones IX, XX, XXI, XXXII, XLV; 6, 91, 132, 137, 143, fracción I, de la Ley de Transparencia y Acceso a la Información Pública del Estado de México y Municipios vigente establecen:</w:t>
      </w:r>
    </w:p>
    <w:p w14:paraId="2A92B09E" w14:textId="77777777" w:rsidR="002B6F07" w:rsidRPr="00E450DD" w:rsidRDefault="002B6F07" w:rsidP="002B6F07">
      <w:pPr>
        <w:spacing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sz w:val="22"/>
          <w:szCs w:val="22"/>
        </w:rPr>
        <w:t> </w:t>
      </w:r>
      <w:r w:rsidRPr="00E450DD">
        <w:rPr>
          <w:rFonts w:ascii="Palatino Linotype" w:eastAsia="Palatino Linotype" w:hAnsi="Palatino Linotype" w:cs="Palatino Linotype"/>
          <w:i/>
          <w:iCs/>
          <w:sz w:val="22"/>
          <w:szCs w:val="22"/>
        </w:rPr>
        <w:t>“</w:t>
      </w:r>
      <w:r w:rsidRPr="00E450DD">
        <w:rPr>
          <w:rFonts w:ascii="Palatino Linotype" w:eastAsia="Palatino Linotype" w:hAnsi="Palatino Linotype" w:cs="Palatino Linotype"/>
          <w:b/>
          <w:bCs/>
          <w:i/>
          <w:iCs/>
          <w:sz w:val="22"/>
          <w:szCs w:val="22"/>
        </w:rPr>
        <w:t>Artículo 3.</w:t>
      </w:r>
      <w:r w:rsidRPr="00E450DD">
        <w:rPr>
          <w:rFonts w:ascii="Palatino Linotype" w:eastAsia="Palatino Linotype" w:hAnsi="Palatino Linotype" w:cs="Palatino Linotype"/>
          <w:i/>
          <w:iCs/>
          <w:sz w:val="22"/>
          <w:szCs w:val="22"/>
        </w:rPr>
        <w:t xml:space="preserve"> Para los efectos de la presente Ley se entenderá por:</w:t>
      </w:r>
    </w:p>
    <w:p w14:paraId="588E5EA9" w14:textId="77777777" w:rsidR="002B6F07" w:rsidRPr="00E450DD" w:rsidRDefault="002B6F07" w:rsidP="002B6F07">
      <w:pPr>
        <w:tabs>
          <w:tab w:val="left" w:pos="1276"/>
        </w:tabs>
        <w:spacing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w:t>
      </w:r>
    </w:p>
    <w:p w14:paraId="68D25B40" w14:textId="77777777" w:rsidR="002B6F07" w:rsidRPr="00E450DD" w:rsidRDefault="002B6F07" w:rsidP="002B6F07">
      <w:pPr>
        <w:tabs>
          <w:tab w:val="left" w:pos="1276"/>
        </w:tabs>
        <w:spacing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IX. Datos personales</w:t>
      </w:r>
      <w:r w:rsidRPr="00E450DD">
        <w:rPr>
          <w:rFonts w:ascii="Palatino Linotype" w:eastAsia="Palatino Linotype" w:hAnsi="Palatino Linotype" w:cs="Palatino Linotype"/>
          <w:i/>
          <w:iCs/>
          <w:sz w:val="22"/>
          <w:szCs w:val="22"/>
        </w:rPr>
        <w:t>: La información concerniente a una persona, identificada o identificable según lo dispuesto por la Ley de Protección de Datos Personales del Estado de México;</w:t>
      </w:r>
    </w:p>
    <w:p w14:paraId="690388A1" w14:textId="77777777" w:rsidR="002B6F07" w:rsidRPr="00E450DD" w:rsidRDefault="002B6F07" w:rsidP="002B6F07">
      <w:pPr>
        <w:tabs>
          <w:tab w:val="left" w:pos="1276"/>
        </w:tabs>
        <w:spacing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w:t>
      </w:r>
    </w:p>
    <w:p w14:paraId="479D7549" w14:textId="77777777" w:rsidR="002B6F07" w:rsidRPr="00E450DD" w:rsidRDefault="002B6F07" w:rsidP="002B6F07">
      <w:pPr>
        <w:tabs>
          <w:tab w:val="left" w:pos="1276"/>
        </w:tabs>
        <w:spacing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XX. Información clasificada</w:t>
      </w:r>
      <w:r w:rsidRPr="00E450DD">
        <w:rPr>
          <w:rFonts w:ascii="Palatino Linotype" w:eastAsia="Palatino Linotype" w:hAnsi="Palatino Linotype" w:cs="Palatino Linotype"/>
          <w:i/>
          <w:iCs/>
          <w:sz w:val="22"/>
          <w:szCs w:val="22"/>
        </w:rPr>
        <w:t>: Aquella considerada por la presente Ley como reservada o confidencial;</w:t>
      </w:r>
    </w:p>
    <w:p w14:paraId="7EA94177" w14:textId="77777777" w:rsidR="002B6F07" w:rsidRPr="00E450DD" w:rsidRDefault="002B6F07" w:rsidP="002B6F07">
      <w:pPr>
        <w:tabs>
          <w:tab w:val="left" w:pos="1276"/>
        </w:tabs>
        <w:spacing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XXI. Información confidencial</w:t>
      </w:r>
      <w:r w:rsidRPr="00E450DD">
        <w:rPr>
          <w:rFonts w:ascii="Palatino Linotype" w:eastAsia="Palatino Linotype" w:hAnsi="Palatino Linotype" w:cs="Palatino Linotype"/>
          <w:i/>
          <w:iCs/>
          <w:sz w:val="22"/>
          <w:szCs w:val="22"/>
        </w:rPr>
        <w:t>: 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14:paraId="3E416B2A" w14:textId="77777777" w:rsidR="002B6F07" w:rsidRPr="00E450DD" w:rsidRDefault="002B6F07" w:rsidP="002B6F07">
      <w:pPr>
        <w:tabs>
          <w:tab w:val="left" w:pos="1276"/>
        </w:tabs>
        <w:spacing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w:t>
      </w:r>
    </w:p>
    <w:p w14:paraId="6EB90AB0" w14:textId="77777777" w:rsidR="002B6F07" w:rsidRPr="00E450DD" w:rsidRDefault="002B6F07" w:rsidP="002B6F07">
      <w:pPr>
        <w:tabs>
          <w:tab w:val="left" w:pos="1276"/>
        </w:tabs>
        <w:spacing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XXXII. Protección de Datos Personales</w:t>
      </w:r>
      <w:r w:rsidRPr="00E450DD">
        <w:rPr>
          <w:rFonts w:ascii="Palatino Linotype" w:eastAsia="Palatino Linotype" w:hAnsi="Palatino Linotype" w:cs="Palatino Linotype"/>
          <w:i/>
          <w:iCs/>
          <w:sz w:val="22"/>
          <w:szCs w:val="22"/>
        </w:rPr>
        <w:t>: Derecho humano que tutela la privacidad de datos personales en poder de los sujetos obligados y sujetos particulares;</w:t>
      </w:r>
    </w:p>
    <w:p w14:paraId="4BDBF95F" w14:textId="77777777" w:rsidR="002B6F07" w:rsidRPr="00E450DD" w:rsidRDefault="002B6F07" w:rsidP="002B6F07">
      <w:pPr>
        <w:tabs>
          <w:tab w:val="left" w:pos="1276"/>
        </w:tabs>
        <w:spacing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w:t>
      </w:r>
    </w:p>
    <w:p w14:paraId="50FAA008" w14:textId="77777777" w:rsidR="002B6F07" w:rsidRPr="00E450DD" w:rsidRDefault="002B6F07" w:rsidP="002B6F07">
      <w:pPr>
        <w:tabs>
          <w:tab w:val="left" w:pos="1276"/>
        </w:tabs>
        <w:spacing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XLV. Versión pública</w:t>
      </w:r>
      <w:r w:rsidRPr="00E450DD">
        <w:rPr>
          <w:rFonts w:ascii="Palatino Linotype" w:eastAsia="Palatino Linotype" w:hAnsi="Palatino Linotype" w:cs="Palatino Linotype"/>
          <w:i/>
          <w:iCs/>
          <w:sz w:val="22"/>
          <w:szCs w:val="22"/>
        </w:rPr>
        <w:t>: Documento en el que se elimine, suprime o borra la información clasificada como reservada o confidencial para permitir su acceso.</w:t>
      </w:r>
    </w:p>
    <w:p w14:paraId="39DA29AD" w14:textId="77777777" w:rsidR="002B6F07" w:rsidRPr="00E450DD" w:rsidRDefault="002B6F07" w:rsidP="002B6F07">
      <w:pPr>
        <w:spacing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 Artículo 6</w:t>
      </w:r>
      <w:r w:rsidRPr="00E450DD">
        <w:rPr>
          <w:rFonts w:ascii="Palatino Linotype" w:eastAsia="Palatino Linotype" w:hAnsi="Palatino Linotype" w:cs="Palatino Linotype"/>
          <w:i/>
          <w:iCs/>
          <w:sz w:val="22"/>
          <w:szCs w:val="22"/>
        </w:rPr>
        <w:t>. Los datos personales son irrenunciables, intransferibles e indelegables, por lo que los sujetos obligados no deberán proporcionar o hacer pública la información que contenga, con excepción de aquellos casos en que deban hacerlo en observancia de las disposiciones aplicables. En el caso de los derechos de acceso, rectificación, cancelación u oposición; los principios, procedimientos, medidas de seguridad en el tratamiento y demás disposiciones en materia de datos personales, se deberá estar a lo dispuesto en las leyes de la materia.</w:t>
      </w:r>
    </w:p>
    <w:p w14:paraId="017D925D" w14:textId="77777777" w:rsidR="002B6F07" w:rsidRPr="00E450DD" w:rsidRDefault="002B6F07" w:rsidP="002B6F07">
      <w:pPr>
        <w:spacing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w:t>
      </w:r>
    </w:p>
    <w:p w14:paraId="4964BC52" w14:textId="77777777" w:rsidR="002B6F07" w:rsidRPr="00E450DD" w:rsidRDefault="002B6F07" w:rsidP="002B6F07">
      <w:pPr>
        <w:spacing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Artículo 91.</w:t>
      </w:r>
      <w:r w:rsidRPr="00E450DD">
        <w:rPr>
          <w:rFonts w:ascii="Palatino Linotype" w:eastAsia="Palatino Linotype" w:hAnsi="Palatino Linotype" w:cs="Palatino Linotype"/>
          <w:i/>
          <w:iCs/>
          <w:sz w:val="22"/>
          <w:szCs w:val="22"/>
        </w:rPr>
        <w:t xml:space="preserve"> El acceso a la información pública será restringido excepcionalmente, cuando ésta sea clasificada como reservada o confidencial.</w:t>
      </w:r>
      <w:r w:rsidRPr="00E450DD">
        <w:rPr>
          <w:rFonts w:ascii="Palatino Linotype" w:eastAsia="Palatino Linotype" w:hAnsi="Palatino Linotype" w:cs="Palatino Linotype"/>
          <w:i/>
          <w:iCs/>
          <w:sz w:val="22"/>
          <w:szCs w:val="22"/>
        </w:rPr>
        <w:br/>
        <w:t>…</w:t>
      </w:r>
    </w:p>
    <w:p w14:paraId="38997B05" w14:textId="77777777" w:rsidR="002B6F07" w:rsidRPr="00E450DD" w:rsidRDefault="002B6F07" w:rsidP="002B6F07">
      <w:pPr>
        <w:spacing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Artículo 132.</w:t>
      </w:r>
      <w:r w:rsidRPr="00E450DD">
        <w:rPr>
          <w:rFonts w:ascii="Palatino Linotype" w:eastAsia="Palatino Linotype" w:hAnsi="Palatino Linotype" w:cs="Palatino Linotype"/>
          <w:i/>
          <w:iCs/>
          <w:sz w:val="22"/>
          <w:szCs w:val="22"/>
        </w:rPr>
        <w:t xml:space="preserve"> La clasificación de la información se llevará a cabo en el momento en que:</w:t>
      </w:r>
    </w:p>
    <w:p w14:paraId="73113CF7" w14:textId="77777777" w:rsidR="002B6F07" w:rsidRPr="00E450DD" w:rsidRDefault="002B6F07" w:rsidP="002B6F07">
      <w:pPr>
        <w:spacing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I</w:t>
      </w:r>
      <w:r w:rsidRPr="00E450DD">
        <w:rPr>
          <w:rFonts w:ascii="Palatino Linotype" w:eastAsia="Palatino Linotype" w:hAnsi="Palatino Linotype" w:cs="Palatino Linotype"/>
          <w:i/>
          <w:iCs/>
          <w:sz w:val="22"/>
          <w:szCs w:val="22"/>
        </w:rPr>
        <w:t>. Se reciba una solicitud de acceso a la información;</w:t>
      </w:r>
    </w:p>
    <w:p w14:paraId="775CBAE0" w14:textId="77777777" w:rsidR="002B6F07" w:rsidRPr="00E450DD" w:rsidRDefault="002B6F07" w:rsidP="002B6F07">
      <w:pPr>
        <w:spacing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II.</w:t>
      </w:r>
      <w:r w:rsidRPr="00E450DD">
        <w:rPr>
          <w:rFonts w:ascii="Palatino Linotype" w:eastAsia="Palatino Linotype" w:hAnsi="Palatino Linotype" w:cs="Palatino Linotype"/>
          <w:i/>
          <w:iCs/>
          <w:sz w:val="22"/>
          <w:szCs w:val="22"/>
        </w:rPr>
        <w:t xml:space="preserve"> Se determine mediante resolución de autoridad competente; o</w:t>
      </w:r>
    </w:p>
    <w:p w14:paraId="3B7A19FD" w14:textId="77777777" w:rsidR="002B6F07" w:rsidRPr="00E450DD" w:rsidRDefault="002B6F07" w:rsidP="002B6F07">
      <w:pPr>
        <w:spacing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III.</w:t>
      </w:r>
      <w:r w:rsidRPr="00E450DD">
        <w:rPr>
          <w:rFonts w:ascii="Palatino Linotype" w:eastAsia="Palatino Linotype" w:hAnsi="Palatino Linotype" w:cs="Palatino Linotype"/>
          <w:i/>
          <w:iCs/>
          <w:sz w:val="22"/>
          <w:szCs w:val="22"/>
        </w:rPr>
        <w:t xml:space="preserve"> Se generen versiones públicas para dar cumplimiento a las obligaciones de transparencia previstas en esta Ley.</w:t>
      </w:r>
    </w:p>
    <w:p w14:paraId="5643C711" w14:textId="77777777" w:rsidR="002B6F07" w:rsidRPr="00E450DD" w:rsidRDefault="002B6F07" w:rsidP="002B6F07">
      <w:pPr>
        <w:spacing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w:t>
      </w:r>
    </w:p>
    <w:p w14:paraId="0138ADF2" w14:textId="77777777" w:rsidR="002B6F07" w:rsidRPr="00E450DD" w:rsidRDefault="002B6F07" w:rsidP="002B6F07">
      <w:pPr>
        <w:spacing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Artículo 137.</w:t>
      </w:r>
      <w:r w:rsidRPr="00E450DD">
        <w:rPr>
          <w:rFonts w:ascii="Palatino Linotype" w:eastAsia="Palatino Linotype" w:hAnsi="Palatino Linotype" w:cs="Palatino Linotype"/>
          <w:i/>
          <w:iCs/>
          <w:sz w:val="22"/>
          <w:szCs w:val="22"/>
        </w:rPr>
        <w:t xml:space="preserve"> Cuando un mismo medio, impreso o electrónico, contenga información pública y reservada o confidencial, la Unidad de Transparencia para efectos de atender una solicitud de información, deberán elaborar una versión pública en la que se testen las partes o secciones clasificadas, indicando su contenido de manera genérica y fundando y motivando su clasificación.</w:t>
      </w:r>
    </w:p>
    <w:p w14:paraId="7675DD6D" w14:textId="77777777" w:rsidR="002B6F07" w:rsidRPr="00E450DD" w:rsidRDefault="002B6F07" w:rsidP="002B6F07">
      <w:pPr>
        <w:spacing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 Artículo 143.</w:t>
      </w:r>
      <w:r w:rsidRPr="00E450DD">
        <w:rPr>
          <w:rFonts w:ascii="Palatino Linotype" w:eastAsia="Palatino Linotype" w:hAnsi="Palatino Linotype" w:cs="Palatino Linotype"/>
          <w:i/>
          <w:iCs/>
          <w:sz w:val="22"/>
          <w:szCs w:val="22"/>
        </w:rPr>
        <w:t xml:space="preserve"> Para los efectos de esta Ley se considera información confidencial, la clasificada como tal, de manera permanente, por su naturaleza, cuando:</w:t>
      </w:r>
    </w:p>
    <w:p w14:paraId="22BC8780" w14:textId="77777777" w:rsidR="002B6F07" w:rsidRPr="00E450DD" w:rsidRDefault="002B6F07" w:rsidP="002B6F07">
      <w:pPr>
        <w:spacing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I.</w:t>
      </w:r>
      <w:r w:rsidRPr="00E450DD">
        <w:rPr>
          <w:rFonts w:ascii="Palatino Linotype" w:eastAsia="Palatino Linotype" w:hAnsi="Palatino Linotype" w:cs="Palatino Linotype"/>
          <w:i/>
          <w:iCs/>
          <w:sz w:val="22"/>
          <w:szCs w:val="22"/>
        </w:rPr>
        <w:t xml:space="preserve"> Se refiera a la información privada y los datos personales concernientes a una persona física o jurídico colectiva identificada o identificable...”</w:t>
      </w:r>
    </w:p>
    <w:p w14:paraId="35A703E8" w14:textId="77777777" w:rsidR="002B6F07" w:rsidRPr="00E450DD" w:rsidRDefault="002B6F07" w:rsidP="002B6F07">
      <w:pPr>
        <w:spacing w:before="240" w:after="240" w:line="360" w:lineRule="auto"/>
        <w:ind w:right="50"/>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De los preceptos anteriores se desprende que cuando un documento que vaya a ser entregado vía acceso a la información pública, contenga tanto información de interés público como información que debe ser clasificada, se hará la entrega del mismo, testando las secciones o datos que deban ser clasificados; por ende el </w:t>
      </w:r>
      <w:r w:rsidRPr="00E450DD">
        <w:rPr>
          <w:rFonts w:ascii="Palatino Linotype" w:eastAsia="Palatino Linotype" w:hAnsi="Palatino Linotype" w:cs="Palatino Linotype"/>
          <w:b/>
          <w:bCs/>
          <w:sz w:val="22"/>
          <w:szCs w:val="22"/>
        </w:rPr>
        <w:t>Sujeto Obligado</w:t>
      </w:r>
      <w:r w:rsidRPr="00E450DD">
        <w:rPr>
          <w:rFonts w:ascii="Palatino Linotype" w:eastAsia="Palatino Linotype" w:hAnsi="Palatino Linotype" w:cs="Palatino Linotype"/>
          <w:sz w:val="22"/>
          <w:szCs w:val="22"/>
        </w:rPr>
        <w:t xml:space="preserve"> deberá proceder a testar los datos personales que se encuentre contenidos en los documentos a entregar para satisfacer el derecho de acceso a la información pública de la parte Recurrente, esto es, los datos concernientes a una persona identificada o identificable, o aquellos datos que tengan el carácter de sensibles, es decir los que afectan  la esfera más íntima de su titular o cuya utilización indebida pueda dar origen a discriminación o conlleven un riesgo grave para aquel de acuerdo a los que señala la fracción XII del artículo 4 de la Ley de Protección de Datos Personales en posesión de Sujeto Obligados del Estado de México.</w:t>
      </w:r>
    </w:p>
    <w:p w14:paraId="634D9CEB" w14:textId="77777777" w:rsidR="002B6F07" w:rsidRPr="00E450DD" w:rsidRDefault="002B6F07" w:rsidP="002B6F07">
      <w:pPr>
        <w:spacing w:before="240" w:after="240" w:line="360" w:lineRule="auto"/>
        <w:ind w:right="50"/>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Datos que deberá clasificar como confidenciales por tratarse precisamente de información privada, puesto que los datos personales son irrenunciables, intransferibles e indelegables y los Sujetos Obligados no deberán hacer entrega de los mismos a personas ajenas a su titular.</w:t>
      </w:r>
    </w:p>
    <w:p w14:paraId="3389C1B5" w14:textId="77777777" w:rsidR="002B6F07" w:rsidRPr="00E450DD" w:rsidRDefault="002B6F07" w:rsidP="002B6F07">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En el caso específico, la información que se ordena si bien tiene el carácter información pública en razón de que se trata de documentos que se encuentran en posesión del </w:t>
      </w:r>
      <w:r w:rsidRPr="00E450DD">
        <w:rPr>
          <w:rFonts w:ascii="Palatino Linotype" w:eastAsia="Palatino Linotype" w:hAnsi="Palatino Linotype" w:cs="Palatino Linotype"/>
          <w:b/>
          <w:bCs/>
          <w:sz w:val="22"/>
          <w:szCs w:val="22"/>
        </w:rPr>
        <w:t>Sujeto Obligado</w:t>
      </w:r>
      <w:r w:rsidRPr="00E450DD">
        <w:rPr>
          <w:rFonts w:ascii="Palatino Linotype" w:eastAsia="Palatino Linotype" w:hAnsi="Palatino Linotype" w:cs="Palatino Linotype"/>
          <w:sz w:val="22"/>
          <w:szCs w:val="22"/>
        </w:rPr>
        <w:t xml:space="preserve"> derivado del ejercicio de sus atribuciones, tal como quedo acotado en el cuerpo de la presente Resolución, también contienen los datos personales de servidores públicos, que de hacerse públicos afectarían su intimidad y vida privada; es por ello que es criterio reiterado en las resoluciones de este Pleno que, además de los datos especificados en la Ley de Transparencia y Acceso a la Información Pública del Estado de México y Municipios, se consideran confidenciales y por tanto deben testarse al momento de la elaboración de versiones públicas el </w:t>
      </w:r>
      <w:r w:rsidRPr="00E450DD">
        <w:rPr>
          <w:rFonts w:ascii="Palatino Linotype" w:eastAsia="Palatino Linotype" w:hAnsi="Palatino Linotype" w:cs="Palatino Linotype"/>
          <w:b/>
          <w:bCs/>
          <w:sz w:val="22"/>
          <w:szCs w:val="22"/>
        </w:rPr>
        <w:t>Registro Federal de Contribuyentes</w:t>
      </w:r>
      <w:r w:rsidRPr="00E450DD">
        <w:rPr>
          <w:rFonts w:ascii="Palatino Linotype" w:eastAsia="Palatino Linotype" w:hAnsi="Palatino Linotype" w:cs="Palatino Linotype"/>
          <w:sz w:val="22"/>
          <w:szCs w:val="22"/>
        </w:rPr>
        <w:t xml:space="preserve"> (RFC), la </w:t>
      </w:r>
      <w:r w:rsidRPr="00E450DD">
        <w:rPr>
          <w:rFonts w:ascii="Palatino Linotype" w:eastAsia="Palatino Linotype" w:hAnsi="Palatino Linotype" w:cs="Palatino Linotype"/>
          <w:b/>
          <w:bCs/>
          <w:sz w:val="22"/>
          <w:szCs w:val="22"/>
        </w:rPr>
        <w:t>Clave Única de Registro de Población</w:t>
      </w:r>
      <w:r w:rsidRPr="00E450DD">
        <w:rPr>
          <w:rFonts w:ascii="Palatino Linotype" w:eastAsia="Palatino Linotype" w:hAnsi="Palatino Linotype" w:cs="Palatino Linotype"/>
          <w:sz w:val="22"/>
          <w:szCs w:val="22"/>
        </w:rPr>
        <w:t xml:space="preserve"> (CURP), la </w:t>
      </w:r>
      <w:r w:rsidRPr="00E450DD">
        <w:rPr>
          <w:rFonts w:ascii="Palatino Linotype" w:eastAsia="Palatino Linotype" w:hAnsi="Palatino Linotype" w:cs="Palatino Linotype"/>
          <w:b/>
          <w:bCs/>
          <w:sz w:val="22"/>
          <w:szCs w:val="22"/>
        </w:rPr>
        <w:t>Clave de cualquier tipo de seguridad social</w:t>
      </w:r>
      <w:r w:rsidRPr="00E450DD">
        <w:rPr>
          <w:rFonts w:ascii="Palatino Linotype" w:eastAsia="Palatino Linotype" w:hAnsi="Palatino Linotype" w:cs="Palatino Linotype"/>
          <w:sz w:val="22"/>
          <w:szCs w:val="22"/>
        </w:rPr>
        <w:t xml:space="preserve"> (ISSEMYM, u otros), los </w:t>
      </w:r>
      <w:r w:rsidRPr="00E450DD">
        <w:rPr>
          <w:rFonts w:ascii="Palatino Linotype" w:eastAsia="Palatino Linotype" w:hAnsi="Palatino Linotype" w:cs="Palatino Linotype"/>
          <w:b/>
          <w:bCs/>
          <w:sz w:val="22"/>
          <w:szCs w:val="22"/>
        </w:rPr>
        <w:t>números de cuentas bancarias</w:t>
      </w:r>
      <w:r w:rsidRPr="00E450DD">
        <w:rPr>
          <w:rFonts w:ascii="Palatino Linotype" w:eastAsia="Palatino Linotype" w:hAnsi="Palatino Linotype" w:cs="Palatino Linotype"/>
          <w:sz w:val="22"/>
          <w:szCs w:val="22"/>
        </w:rPr>
        <w:t xml:space="preserve">, claves estandarizadas – interbancarias - (CLABES) y de tarjetas, los </w:t>
      </w:r>
      <w:r w:rsidRPr="00E450DD">
        <w:rPr>
          <w:rFonts w:ascii="Palatino Linotype" w:eastAsia="Palatino Linotype" w:hAnsi="Palatino Linotype" w:cs="Palatino Linotype"/>
          <w:b/>
          <w:bCs/>
          <w:sz w:val="22"/>
          <w:szCs w:val="22"/>
        </w:rPr>
        <w:t>préstamos o descuentos</w:t>
      </w:r>
      <w:r w:rsidRPr="00E450DD">
        <w:rPr>
          <w:rFonts w:ascii="Palatino Linotype" w:eastAsia="Palatino Linotype" w:hAnsi="Palatino Linotype" w:cs="Palatino Linotype"/>
          <w:sz w:val="22"/>
          <w:szCs w:val="22"/>
        </w:rPr>
        <w:t xml:space="preserve"> que se le hagan a la persona y que no tengan relación con los impuestos o la cuota por seguridad social, el</w:t>
      </w:r>
      <w:r w:rsidRPr="00E450DD">
        <w:rPr>
          <w:rFonts w:ascii="Palatino Linotype" w:eastAsia="Palatino Linotype" w:hAnsi="Palatino Linotype" w:cs="Palatino Linotype"/>
          <w:b/>
          <w:bCs/>
          <w:sz w:val="22"/>
          <w:szCs w:val="22"/>
        </w:rPr>
        <w:t xml:space="preserve"> número de empleado, </w:t>
      </w:r>
      <w:r w:rsidRPr="00E450DD">
        <w:rPr>
          <w:rFonts w:ascii="Palatino Linotype" w:eastAsia="Palatino Linotype" w:hAnsi="Palatino Linotype" w:cs="Palatino Linotype"/>
          <w:sz w:val="22"/>
          <w:szCs w:val="22"/>
        </w:rPr>
        <w:t xml:space="preserve">y, de ser el caso, el </w:t>
      </w:r>
      <w:r w:rsidRPr="00E450DD">
        <w:rPr>
          <w:rFonts w:ascii="Palatino Linotype" w:eastAsia="Palatino Linotype" w:hAnsi="Palatino Linotype" w:cs="Palatino Linotype"/>
          <w:b/>
          <w:bCs/>
          <w:sz w:val="22"/>
          <w:szCs w:val="22"/>
        </w:rPr>
        <w:t>folio fiscal</w:t>
      </w:r>
      <w:r w:rsidRPr="00E450DD">
        <w:rPr>
          <w:rFonts w:ascii="Palatino Linotype" w:eastAsia="Palatino Linotype" w:hAnsi="Palatino Linotype" w:cs="Palatino Linotype"/>
          <w:sz w:val="22"/>
          <w:szCs w:val="22"/>
        </w:rPr>
        <w:t xml:space="preserve">, la </w:t>
      </w:r>
      <w:r w:rsidRPr="00E450DD">
        <w:rPr>
          <w:rFonts w:ascii="Palatino Linotype" w:eastAsia="Palatino Linotype" w:hAnsi="Palatino Linotype" w:cs="Palatino Linotype"/>
          <w:b/>
          <w:bCs/>
          <w:sz w:val="22"/>
          <w:szCs w:val="22"/>
        </w:rPr>
        <w:t xml:space="preserve">cadena original, </w:t>
      </w:r>
      <w:r w:rsidRPr="00E450DD">
        <w:rPr>
          <w:rFonts w:ascii="Palatino Linotype" w:eastAsia="Palatino Linotype" w:hAnsi="Palatino Linotype" w:cs="Palatino Linotype"/>
          <w:sz w:val="22"/>
          <w:szCs w:val="22"/>
        </w:rPr>
        <w:t>los</w:t>
      </w:r>
      <w:r w:rsidRPr="00E450DD">
        <w:rPr>
          <w:rFonts w:ascii="Palatino Linotype" w:eastAsia="Palatino Linotype" w:hAnsi="Palatino Linotype" w:cs="Palatino Linotype"/>
          <w:b/>
          <w:bCs/>
          <w:sz w:val="22"/>
          <w:szCs w:val="22"/>
        </w:rPr>
        <w:t xml:space="preserve"> códigos bidimensionales o códigos QR,</w:t>
      </w:r>
      <w:r w:rsidRPr="00E450DD">
        <w:rPr>
          <w:rFonts w:ascii="Palatino Linotype" w:eastAsia="Palatino Linotype" w:hAnsi="Palatino Linotype" w:cs="Palatino Linotype"/>
          <w:sz w:val="22"/>
          <w:szCs w:val="22"/>
        </w:rPr>
        <w:t xml:space="preserve"> y cualquier información de carácter fiscal.</w:t>
      </w:r>
    </w:p>
    <w:p w14:paraId="46D90A88" w14:textId="77777777" w:rsidR="002B6F07" w:rsidRPr="00E450DD" w:rsidRDefault="002B6F07" w:rsidP="002B6F07">
      <w:pPr>
        <w:spacing w:before="240" w:after="240" w:line="360" w:lineRule="auto"/>
        <w:ind w:right="50"/>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Datos que deberá clasificar como confidenciales por tratarse precisamente de información privada, puesto que los datos personales son irrenunciables, intransferibles e indelegables y los Sujetos Obligados no deberán hacer entrega de los mismos a personas ajenas a su titular.</w:t>
      </w:r>
    </w:p>
    <w:p w14:paraId="0F75CBB7" w14:textId="77777777" w:rsidR="002B6F07" w:rsidRPr="00E450DD" w:rsidRDefault="002B6F07" w:rsidP="002B6F07">
      <w:pPr>
        <w:numPr>
          <w:ilvl w:val="0"/>
          <w:numId w:val="23"/>
        </w:numPr>
        <w:spacing w:line="360" w:lineRule="auto"/>
        <w:ind w:left="284" w:hanging="284"/>
        <w:jc w:val="both"/>
        <w:rPr>
          <w:rFonts w:ascii="Palatino Linotype" w:eastAsia="Palatino Linotype" w:hAnsi="Palatino Linotype" w:cs="Palatino Linotype"/>
          <w:b/>
          <w:bCs/>
          <w:sz w:val="22"/>
          <w:szCs w:val="22"/>
        </w:rPr>
      </w:pPr>
      <w:bookmarkStart w:id="8" w:name="_heading=h.3j2qqm3" w:colFirst="0" w:colLast="0"/>
      <w:bookmarkEnd w:id="8"/>
      <w:r w:rsidRPr="00E450DD">
        <w:rPr>
          <w:rFonts w:ascii="Palatino Linotype" w:eastAsia="Palatino Linotype" w:hAnsi="Palatino Linotype" w:cs="Palatino Linotype"/>
          <w:b/>
          <w:bCs/>
          <w:sz w:val="22"/>
          <w:szCs w:val="22"/>
        </w:rPr>
        <w:t>El Registro Federal de Contribuyentes (RFC):</w:t>
      </w:r>
    </w:p>
    <w:p w14:paraId="3514E9D2" w14:textId="77777777" w:rsidR="002B6F07" w:rsidRPr="00E450DD" w:rsidRDefault="002B6F07" w:rsidP="002B6F07">
      <w:pPr>
        <w:spacing w:line="360" w:lineRule="auto"/>
        <w:ind w:right="49"/>
        <w:jc w:val="both"/>
        <w:rPr>
          <w:rFonts w:ascii="Palatino Linotype" w:eastAsia="Palatino Linotype" w:hAnsi="Palatino Linotype" w:cs="Palatino Linotype"/>
          <w:sz w:val="22"/>
          <w:szCs w:val="22"/>
        </w:rPr>
      </w:pPr>
    </w:p>
    <w:p w14:paraId="7E5AFBEC" w14:textId="77777777" w:rsidR="002B6F07" w:rsidRPr="00E450DD" w:rsidRDefault="002B6F07" w:rsidP="002B6F07">
      <w:pPr>
        <w:spacing w:line="360" w:lineRule="auto"/>
        <w:ind w:right="49"/>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El RFC constituye un dato personal, ya que para su obtención es necesario acreditar ante la autoridad fiscal previamente la identidad de la persona, su fecha de nacimiento, entre otros aspectos.</w:t>
      </w:r>
    </w:p>
    <w:p w14:paraId="037F7663" w14:textId="77777777" w:rsidR="002B6F07" w:rsidRPr="00E450DD" w:rsidRDefault="002B6F07" w:rsidP="002B6F07">
      <w:pPr>
        <w:spacing w:line="360" w:lineRule="auto"/>
        <w:ind w:right="49"/>
        <w:jc w:val="both"/>
        <w:rPr>
          <w:rFonts w:ascii="Palatino Linotype" w:eastAsia="Palatino Linotype" w:hAnsi="Palatino Linotype" w:cs="Palatino Linotype"/>
          <w:sz w:val="22"/>
          <w:szCs w:val="22"/>
        </w:rPr>
      </w:pPr>
    </w:p>
    <w:p w14:paraId="4BED6BF0" w14:textId="77777777" w:rsidR="002B6F07" w:rsidRPr="00E450DD" w:rsidRDefault="002B6F07" w:rsidP="002B6F07">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Ahora bien, las personas físicas tramitan su inscripción en el registro con el propósito de realizar —mediante esa clave de identificación— operaciones o actividades de naturaleza fiscal, la cual, les permite hacerse identificables respecto de una situación fiscal determinada.</w:t>
      </w:r>
    </w:p>
    <w:p w14:paraId="6E52A3F6" w14:textId="77777777" w:rsidR="002B6F07" w:rsidRPr="00E450DD" w:rsidRDefault="002B6F07" w:rsidP="002B6F07">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Lo anterior era compartido por el entonces Instituto Nacional de Transparencia, Acceso a la Información y Protección de Datos (INAI) a través del Criterio orientador 19/17, el cual es del tenor literal siguiente:</w:t>
      </w:r>
    </w:p>
    <w:p w14:paraId="73690309" w14:textId="77777777" w:rsidR="002B6F07" w:rsidRPr="00E450DD" w:rsidRDefault="002B6F07" w:rsidP="002B6F07">
      <w:pPr>
        <w:spacing w:line="360" w:lineRule="auto"/>
        <w:jc w:val="both"/>
        <w:rPr>
          <w:rFonts w:ascii="Palatino Linotype" w:eastAsia="Palatino Linotype" w:hAnsi="Palatino Linotype" w:cs="Palatino Linotype"/>
          <w:sz w:val="22"/>
          <w:szCs w:val="22"/>
        </w:rPr>
      </w:pPr>
    </w:p>
    <w:p w14:paraId="1EA6550D" w14:textId="77777777" w:rsidR="002B6F07" w:rsidRPr="00E450DD" w:rsidRDefault="002B6F07" w:rsidP="002B6F07">
      <w:pPr>
        <w:spacing w:line="259" w:lineRule="auto"/>
        <w:ind w:left="851"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 xml:space="preserve">“Registro Federal de Contribuyentes (RFC) de personas físicas. </w:t>
      </w:r>
      <w:r w:rsidRPr="00E450DD">
        <w:rPr>
          <w:rFonts w:ascii="Palatino Linotype" w:eastAsia="Palatino Linotype" w:hAnsi="Palatino Linotype" w:cs="Palatino Linotype"/>
          <w:i/>
          <w:iCs/>
          <w:sz w:val="22"/>
          <w:szCs w:val="22"/>
        </w:rPr>
        <w:t>El RFC es una clave de carácter fiscal, única e irrepetible, que permite identificar al titular, su edad y fecha de nacimiento, por lo que es un dato personal de carácter confidencial.” (Sic)</w:t>
      </w:r>
    </w:p>
    <w:p w14:paraId="6E199309" w14:textId="77777777" w:rsidR="002B6F07" w:rsidRPr="00E450DD" w:rsidRDefault="002B6F07" w:rsidP="002B6F07">
      <w:pPr>
        <w:spacing w:line="259" w:lineRule="auto"/>
        <w:ind w:left="851" w:right="902"/>
        <w:jc w:val="both"/>
        <w:rPr>
          <w:rFonts w:ascii="Arial" w:eastAsia="Arial" w:hAnsi="Arial" w:cs="Arial"/>
          <w:sz w:val="22"/>
          <w:szCs w:val="22"/>
        </w:rPr>
      </w:pPr>
    </w:p>
    <w:p w14:paraId="662AACC4" w14:textId="77777777" w:rsidR="002B6F07" w:rsidRPr="00E450DD" w:rsidRDefault="002B6F07" w:rsidP="002B6F07">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Así, el RFC se vincula al nombre de su titular y permite identificar la edad de la persona, su fecha de nacimiento, así como su homoclave, la cual es única e irrepetible y determina la identificación de dicha persona para efectos fiscales, por lo que constituye un dato personal que concierne a una persona física identificada e identificable en términos de los artículos 3, fracción IX de la Ley de Transparencia y Acceso a la Información Pública del Estado de México y Municipios y 4 fracción VII de la Ley de Protección de Datos Personales del Estado de México; por lo que se actualiza la procedencia de la clasificación en términos de los dispuesto por el artículo 143 fracción I de la Ley de la Materia.</w:t>
      </w:r>
    </w:p>
    <w:p w14:paraId="0E32B5A5" w14:textId="77777777" w:rsidR="002B6F07" w:rsidRPr="00E450DD" w:rsidRDefault="002B6F07" w:rsidP="002B6F07">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p>
    <w:p w14:paraId="4A6F37A2" w14:textId="77777777" w:rsidR="002B6F07" w:rsidRPr="00E450DD" w:rsidRDefault="002B6F07" w:rsidP="002B6F07">
      <w:pPr>
        <w:numPr>
          <w:ilvl w:val="0"/>
          <w:numId w:val="23"/>
        </w:numPr>
        <w:pBdr>
          <w:top w:val="nil"/>
          <w:left w:val="nil"/>
          <w:bottom w:val="nil"/>
          <w:right w:val="nil"/>
          <w:between w:val="nil"/>
        </w:pBdr>
        <w:spacing w:line="360" w:lineRule="auto"/>
        <w:ind w:left="426"/>
        <w:jc w:val="both"/>
        <w:rPr>
          <w:rFonts w:ascii="Palatino Linotype" w:eastAsia="Palatino Linotype" w:hAnsi="Palatino Linotype" w:cs="Palatino Linotype"/>
          <w:b/>
          <w:bCs/>
          <w:sz w:val="22"/>
          <w:szCs w:val="22"/>
        </w:rPr>
      </w:pPr>
      <w:r w:rsidRPr="00E450DD">
        <w:rPr>
          <w:rFonts w:ascii="Palatino Linotype" w:eastAsia="Palatino Linotype" w:hAnsi="Palatino Linotype" w:cs="Palatino Linotype"/>
          <w:b/>
          <w:bCs/>
          <w:sz w:val="22"/>
          <w:szCs w:val="22"/>
        </w:rPr>
        <w:t>Clave Única del Registro de Población (CURP):</w:t>
      </w:r>
    </w:p>
    <w:p w14:paraId="27B620A3" w14:textId="77777777" w:rsidR="002B6F07" w:rsidRPr="00E450DD" w:rsidRDefault="002B6F07" w:rsidP="002B6F07">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En cuanto al CURP, en virtud de que éste se integra por datos personales que únicamente le conciernen a un particular como son su fecha de nacimiento, su nombre, sus apellidos y su lugar de nacimiento; información que permite distinguirlo del resto de los habitantes, se considera que es de carácter confidencial;  por lo que se actualiza la procedencia de la clasificación en términos de los dispuesto por el artículo 143 fracción I de la Ley de la Materia.</w:t>
      </w:r>
    </w:p>
    <w:p w14:paraId="110EDE71" w14:textId="77777777" w:rsidR="002B6F07" w:rsidRPr="00E450DD" w:rsidRDefault="002B6F07" w:rsidP="002B6F07">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Argumento que era compartido por el entonces Instituto Nacional de Transparencia, Acceso a la Información y Protección de Datos (INAI)</w:t>
      </w:r>
      <w:r w:rsidRPr="00E450DD">
        <w:rPr>
          <w:rFonts w:ascii="Palatino Linotype" w:eastAsia="Palatino Linotype" w:hAnsi="Palatino Linotype" w:cs="Palatino Linotype"/>
          <w:b/>
          <w:bCs/>
          <w:sz w:val="22"/>
          <w:szCs w:val="22"/>
        </w:rPr>
        <w:t xml:space="preserve">, conforme al </w:t>
      </w:r>
      <w:r w:rsidRPr="00E450DD">
        <w:rPr>
          <w:rFonts w:ascii="Palatino Linotype" w:eastAsia="Palatino Linotype" w:hAnsi="Palatino Linotype" w:cs="Palatino Linotype"/>
          <w:sz w:val="22"/>
          <w:szCs w:val="22"/>
        </w:rPr>
        <w:t xml:space="preserve">criterio orientador número 18/17, el cual refiere: </w:t>
      </w:r>
    </w:p>
    <w:p w14:paraId="027844A2" w14:textId="77777777" w:rsidR="002B6F07" w:rsidRPr="00E450DD" w:rsidRDefault="002B6F07" w:rsidP="002B6F07">
      <w:pPr>
        <w:spacing w:line="360" w:lineRule="auto"/>
        <w:jc w:val="both"/>
        <w:rPr>
          <w:rFonts w:ascii="Palatino Linotype" w:eastAsia="Palatino Linotype" w:hAnsi="Palatino Linotype" w:cs="Palatino Linotype"/>
          <w:sz w:val="22"/>
          <w:szCs w:val="22"/>
        </w:rPr>
      </w:pPr>
    </w:p>
    <w:p w14:paraId="5AEDBB70" w14:textId="77777777" w:rsidR="002B6F07" w:rsidRPr="00E450DD" w:rsidRDefault="002B6F07" w:rsidP="002B6F07">
      <w:pPr>
        <w:pBdr>
          <w:top w:val="nil"/>
          <w:left w:val="nil"/>
          <w:bottom w:val="nil"/>
          <w:right w:val="nil"/>
          <w:between w:val="nil"/>
        </w:pBdr>
        <w:spacing w:line="259" w:lineRule="auto"/>
        <w:ind w:left="851"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 xml:space="preserve">“Clave Única de Registro de Población (CURP). </w:t>
      </w:r>
      <w:r w:rsidRPr="00E450DD">
        <w:rPr>
          <w:rFonts w:ascii="Palatino Linotype" w:eastAsia="Palatino Linotype" w:hAnsi="Palatino Linotype" w:cs="Palatino Linotype"/>
          <w:i/>
          <w:iCs/>
          <w:sz w:val="22"/>
          <w:szCs w:val="22"/>
        </w:rPr>
        <w:t>La Clave Única de Registro de Población se integra por datos personales que sólo conciernen al particular titular de la misma, como lo son su nombre, apellidos, fecha de nacimiento, lugar de nacimiento y sexo. Dichos datos, constituyen información que distingue plenamente a una persona física del resto de los habitantes del país, por lo que la CURP está considerada como información confidencial.” (Sic)</w:t>
      </w:r>
    </w:p>
    <w:p w14:paraId="6D3CA78E" w14:textId="77777777" w:rsidR="002B6F07" w:rsidRPr="00E450DD" w:rsidRDefault="002B6F07" w:rsidP="002B6F07">
      <w:pPr>
        <w:pBdr>
          <w:top w:val="nil"/>
          <w:left w:val="nil"/>
          <w:bottom w:val="nil"/>
          <w:right w:val="nil"/>
          <w:between w:val="nil"/>
        </w:pBdr>
        <w:spacing w:line="259" w:lineRule="auto"/>
        <w:ind w:left="851" w:right="902"/>
        <w:jc w:val="both"/>
        <w:rPr>
          <w:rFonts w:ascii="Palatino Linotype" w:eastAsia="Palatino Linotype" w:hAnsi="Palatino Linotype" w:cs="Palatino Linotype"/>
          <w:i/>
          <w:iCs/>
          <w:sz w:val="22"/>
          <w:szCs w:val="22"/>
        </w:rPr>
      </w:pPr>
    </w:p>
    <w:p w14:paraId="4AF4EAB2" w14:textId="77777777" w:rsidR="002B6F07" w:rsidRPr="00E450DD" w:rsidRDefault="002B6F07" w:rsidP="002B6F07">
      <w:pPr>
        <w:pBdr>
          <w:top w:val="nil"/>
          <w:left w:val="nil"/>
          <w:bottom w:val="nil"/>
          <w:right w:val="nil"/>
          <w:between w:val="nil"/>
        </w:pBdr>
        <w:spacing w:line="259" w:lineRule="auto"/>
        <w:ind w:left="851" w:right="902"/>
        <w:jc w:val="both"/>
        <w:rPr>
          <w:rFonts w:ascii="Arial" w:eastAsia="Arial" w:hAnsi="Arial" w:cs="Arial"/>
          <w:b/>
          <w:bCs/>
          <w:sz w:val="22"/>
          <w:szCs w:val="22"/>
        </w:rPr>
      </w:pPr>
    </w:p>
    <w:p w14:paraId="30DC8F19" w14:textId="77777777" w:rsidR="002B6F07" w:rsidRPr="00E450DD" w:rsidRDefault="002B6F07" w:rsidP="002B6F07">
      <w:pPr>
        <w:numPr>
          <w:ilvl w:val="0"/>
          <w:numId w:val="23"/>
        </w:numPr>
        <w:spacing w:line="360" w:lineRule="auto"/>
        <w:ind w:left="284" w:hanging="284"/>
        <w:jc w:val="both"/>
        <w:rPr>
          <w:rFonts w:ascii="Palatino Linotype" w:eastAsia="Palatino Linotype" w:hAnsi="Palatino Linotype" w:cs="Palatino Linotype"/>
          <w:b/>
          <w:bCs/>
          <w:sz w:val="22"/>
          <w:szCs w:val="22"/>
        </w:rPr>
      </w:pPr>
      <w:r w:rsidRPr="00E450DD">
        <w:rPr>
          <w:rFonts w:ascii="Palatino Linotype" w:eastAsia="Palatino Linotype" w:hAnsi="Palatino Linotype" w:cs="Palatino Linotype"/>
          <w:b/>
          <w:bCs/>
          <w:sz w:val="22"/>
          <w:szCs w:val="22"/>
        </w:rPr>
        <w:t>Clave seguridad social:</w:t>
      </w:r>
    </w:p>
    <w:p w14:paraId="186A8328" w14:textId="77777777" w:rsidR="002B6F07" w:rsidRPr="00E450DD" w:rsidRDefault="002B6F07" w:rsidP="002B6F07">
      <w:pPr>
        <w:spacing w:line="360" w:lineRule="auto"/>
        <w:jc w:val="both"/>
        <w:rPr>
          <w:rFonts w:ascii="Palatino Linotype" w:eastAsia="Palatino Linotype" w:hAnsi="Palatino Linotype" w:cs="Palatino Linotype"/>
          <w:b/>
          <w:bCs/>
          <w:sz w:val="22"/>
          <w:szCs w:val="22"/>
        </w:rPr>
      </w:pPr>
    </w:p>
    <w:p w14:paraId="49365D89" w14:textId="77777777" w:rsidR="002B6F07" w:rsidRPr="00E450DD" w:rsidRDefault="002B6F07" w:rsidP="002B6F07">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Al respecto, debe decirse que la Ley establece que es obligación de los derechohabientes tramitar la credencial que los acredite como tal, la cual será de naturaleza personal e intransferible. En esta credencial se consignan diversos datos personales y se le asigna una clave para hacer identificable al trabajador con el objetivo de poder proporcionar los servicios que brinda el instituto de seguridad social. </w:t>
      </w:r>
    </w:p>
    <w:p w14:paraId="45AF3FF7" w14:textId="77777777" w:rsidR="002B6F07" w:rsidRPr="00E450DD" w:rsidRDefault="002B6F07" w:rsidP="002B6F07">
      <w:pPr>
        <w:spacing w:line="360" w:lineRule="auto"/>
        <w:jc w:val="both"/>
        <w:rPr>
          <w:rFonts w:ascii="Palatino Linotype" w:eastAsia="Palatino Linotype" w:hAnsi="Palatino Linotype" w:cs="Palatino Linotype"/>
          <w:sz w:val="22"/>
          <w:szCs w:val="22"/>
        </w:rPr>
      </w:pPr>
    </w:p>
    <w:p w14:paraId="6F35AF7C" w14:textId="77777777" w:rsidR="002B6F07" w:rsidRPr="00E450DD" w:rsidRDefault="002B6F07" w:rsidP="002B6F07">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Como se advierte, la clave de seguridad social es un dato personal que permite identificar que una persona ya trabajó o trabaja en alguna institución pública, por la que tiene o tuvo derecho a esta prestación de seguridad social; es de destacar que esta clave no cambia, aunque el trabajador se dé de baja y alta en diversas ocasiones, con motivo de haber trabajado en diferentes instituciones públicas de la Entidad. </w:t>
      </w:r>
    </w:p>
    <w:p w14:paraId="799A1032" w14:textId="77777777" w:rsidR="002B6F07" w:rsidRPr="00E450DD" w:rsidRDefault="002B6F07" w:rsidP="002B6F07">
      <w:pPr>
        <w:spacing w:line="360" w:lineRule="auto"/>
        <w:jc w:val="both"/>
        <w:rPr>
          <w:rFonts w:ascii="Palatino Linotype" w:eastAsia="Palatino Linotype" w:hAnsi="Palatino Linotype" w:cs="Palatino Linotype"/>
          <w:sz w:val="22"/>
          <w:szCs w:val="22"/>
        </w:rPr>
      </w:pPr>
    </w:p>
    <w:p w14:paraId="266C3A96" w14:textId="77777777" w:rsidR="002B6F07" w:rsidRPr="00E450DD" w:rsidRDefault="002B6F07" w:rsidP="002B6F07">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Contar con la prestación de seguridad social no es una obligación para entrar a trabajar a una institución pública, por el contrario es un derecho que se adquiere cuando se ingresa al servicio público, por tal motivo, es un dato personal confidencial, por lo que es procedente su eliminación en las versiones públicas que se elaboren, toda vez que actualiza el supuesto de confidencialidad del artículo 143, fracción I de la Ley de Transparencia y Acceso a la Información Pública del Estado de México y Municipios.</w:t>
      </w:r>
    </w:p>
    <w:p w14:paraId="2110600A" w14:textId="77777777" w:rsidR="002B6F07" w:rsidRPr="00E450DD" w:rsidRDefault="002B6F07" w:rsidP="002B6F07">
      <w:pPr>
        <w:spacing w:line="360" w:lineRule="auto"/>
        <w:jc w:val="both"/>
        <w:rPr>
          <w:rFonts w:ascii="Palatino Linotype" w:eastAsia="Palatino Linotype" w:hAnsi="Palatino Linotype" w:cs="Palatino Linotype"/>
          <w:sz w:val="22"/>
          <w:szCs w:val="22"/>
        </w:rPr>
      </w:pPr>
    </w:p>
    <w:p w14:paraId="0C41276B" w14:textId="77777777" w:rsidR="002B6F07" w:rsidRPr="00E450DD" w:rsidRDefault="002B6F07" w:rsidP="002B6F07">
      <w:pPr>
        <w:numPr>
          <w:ilvl w:val="0"/>
          <w:numId w:val="23"/>
        </w:numPr>
        <w:pBdr>
          <w:top w:val="nil"/>
          <w:left w:val="nil"/>
          <w:bottom w:val="nil"/>
          <w:right w:val="nil"/>
          <w:between w:val="nil"/>
        </w:pBdr>
        <w:spacing w:line="360" w:lineRule="auto"/>
        <w:ind w:left="426"/>
        <w:jc w:val="both"/>
        <w:rPr>
          <w:rFonts w:ascii="Palatino Linotype" w:eastAsia="Palatino Linotype" w:hAnsi="Palatino Linotype" w:cs="Palatino Linotype"/>
          <w:b/>
          <w:bCs/>
          <w:sz w:val="22"/>
          <w:szCs w:val="22"/>
        </w:rPr>
      </w:pPr>
      <w:r w:rsidRPr="00E450DD">
        <w:rPr>
          <w:rFonts w:ascii="Palatino Linotype" w:eastAsia="Palatino Linotype" w:hAnsi="Palatino Linotype" w:cs="Palatino Linotype"/>
          <w:b/>
          <w:bCs/>
          <w:sz w:val="22"/>
          <w:szCs w:val="22"/>
        </w:rPr>
        <w:t>Deducciones personales:</w:t>
      </w:r>
    </w:p>
    <w:p w14:paraId="3A91E7CC" w14:textId="77777777" w:rsidR="002B6F07" w:rsidRPr="00E450DD" w:rsidRDefault="002B6F07" w:rsidP="002B6F07">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Por cuanto hace a los </w:t>
      </w:r>
      <w:r w:rsidRPr="00E450DD">
        <w:rPr>
          <w:rFonts w:ascii="Palatino Linotype" w:eastAsia="Palatino Linotype" w:hAnsi="Palatino Linotype" w:cs="Palatino Linotype"/>
          <w:b/>
          <w:bCs/>
          <w:sz w:val="22"/>
          <w:szCs w:val="22"/>
        </w:rPr>
        <w:t>préstamos o descuentos de carácter personal</w:t>
      </w:r>
      <w:r w:rsidRPr="00E450DD">
        <w:rPr>
          <w:rFonts w:ascii="Palatino Linotype" w:eastAsia="Palatino Linotype" w:hAnsi="Palatino Linotype" w:cs="Palatino Linotype"/>
          <w:sz w:val="22"/>
          <w:szCs w:val="22"/>
        </w:rPr>
        <w:t>, en virtud de no tener relación con la prestación del servicio y al no involucrar instituciones públicas, se consideran datos confidenciales.</w:t>
      </w:r>
    </w:p>
    <w:p w14:paraId="0A76523B" w14:textId="77777777" w:rsidR="002B6F07" w:rsidRPr="00E450DD" w:rsidRDefault="002B6F07" w:rsidP="002B6F07">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Para entender los límites y alcances de esta restricción, es oportuno recurrir al artículo 84 de la Ley del Trabajo de los Servidores Públicos del Estado y Municipios:</w:t>
      </w:r>
    </w:p>
    <w:p w14:paraId="783D6218" w14:textId="77777777" w:rsidR="002B6F07" w:rsidRPr="00E450DD" w:rsidRDefault="002B6F07" w:rsidP="002B6F07">
      <w:pPr>
        <w:spacing w:after="200" w:line="276" w:lineRule="auto"/>
        <w:ind w:left="851" w:right="616"/>
        <w:jc w:val="both"/>
        <w:rPr>
          <w:rFonts w:ascii="Palatino Linotype" w:eastAsia="Palatino Linotype" w:hAnsi="Palatino Linotype" w:cs="Palatino Linotype"/>
          <w:b/>
          <w:bCs/>
          <w:i/>
          <w:iCs/>
          <w:sz w:val="22"/>
          <w:szCs w:val="22"/>
        </w:rPr>
      </w:pPr>
      <w:r w:rsidRPr="00E450DD">
        <w:rPr>
          <w:rFonts w:ascii="Palatino Linotype" w:eastAsia="Palatino Linotype" w:hAnsi="Palatino Linotype" w:cs="Palatino Linotype"/>
          <w:b/>
          <w:bCs/>
          <w:i/>
          <w:iCs/>
          <w:sz w:val="22"/>
          <w:szCs w:val="22"/>
        </w:rPr>
        <w:t xml:space="preserve">“ARTÍCULO 84. </w:t>
      </w:r>
      <w:r w:rsidRPr="00E450DD">
        <w:rPr>
          <w:rFonts w:ascii="Palatino Linotype" w:eastAsia="Palatino Linotype" w:hAnsi="Palatino Linotype" w:cs="Palatino Linotype"/>
          <w:i/>
          <w:iCs/>
          <w:sz w:val="22"/>
          <w:szCs w:val="22"/>
        </w:rPr>
        <w:t>Sólo podrán hacerse retenciones, descuentos o deducciones al sueldo de los servidores públicos por concepto de:</w:t>
      </w:r>
    </w:p>
    <w:p w14:paraId="65E9298E" w14:textId="77777777" w:rsidR="002B6F07" w:rsidRPr="00E450DD" w:rsidRDefault="002B6F07" w:rsidP="002B6F07">
      <w:pPr>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I.</w:t>
      </w:r>
      <w:r w:rsidRPr="00E450DD">
        <w:rPr>
          <w:rFonts w:ascii="Palatino Linotype" w:eastAsia="Palatino Linotype" w:hAnsi="Palatino Linotype" w:cs="Palatino Linotype"/>
          <w:i/>
          <w:iCs/>
          <w:sz w:val="22"/>
          <w:szCs w:val="22"/>
        </w:rPr>
        <w:t xml:space="preserve"> Gravámenes fiscales relacionados con el sueldo;</w:t>
      </w:r>
    </w:p>
    <w:p w14:paraId="3CEC09B9" w14:textId="77777777" w:rsidR="002B6F07" w:rsidRPr="00E450DD" w:rsidRDefault="002B6F07" w:rsidP="002B6F07">
      <w:pPr>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II.</w:t>
      </w:r>
      <w:r w:rsidRPr="00E450DD">
        <w:rPr>
          <w:rFonts w:ascii="Palatino Linotype" w:eastAsia="Palatino Linotype" w:hAnsi="Palatino Linotype" w:cs="Palatino Linotype"/>
          <w:i/>
          <w:iCs/>
          <w:sz w:val="22"/>
          <w:szCs w:val="22"/>
        </w:rPr>
        <w:t xml:space="preserve"> Deudas contraídas con las instituciones públicas o dependencias por concepto de anticipos de sueldo, pagos hechos con exceso, errores o pérdidas debidamente comprobados;</w:t>
      </w:r>
    </w:p>
    <w:p w14:paraId="463DCF94" w14:textId="77777777" w:rsidR="002B6F07" w:rsidRPr="00E450DD" w:rsidRDefault="002B6F07" w:rsidP="002B6F07">
      <w:pPr>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III.</w:t>
      </w:r>
      <w:r w:rsidRPr="00E450DD">
        <w:rPr>
          <w:rFonts w:ascii="Palatino Linotype" w:eastAsia="Palatino Linotype" w:hAnsi="Palatino Linotype" w:cs="Palatino Linotype"/>
          <w:i/>
          <w:iCs/>
          <w:sz w:val="22"/>
          <w:szCs w:val="22"/>
        </w:rPr>
        <w:t xml:space="preserve"> </w:t>
      </w:r>
      <w:r w:rsidRPr="00E450DD">
        <w:rPr>
          <w:rFonts w:ascii="Palatino Linotype" w:eastAsia="Palatino Linotype" w:hAnsi="Palatino Linotype" w:cs="Palatino Linotype"/>
          <w:b/>
          <w:bCs/>
          <w:i/>
          <w:iCs/>
          <w:sz w:val="22"/>
          <w:szCs w:val="22"/>
        </w:rPr>
        <w:t>Cuotas sindicales</w:t>
      </w:r>
      <w:r w:rsidRPr="00E450DD">
        <w:rPr>
          <w:rFonts w:ascii="Palatino Linotype" w:eastAsia="Palatino Linotype" w:hAnsi="Palatino Linotype" w:cs="Palatino Linotype"/>
          <w:i/>
          <w:iCs/>
          <w:sz w:val="22"/>
          <w:szCs w:val="22"/>
        </w:rPr>
        <w:t>;</w:t>
      </w:r>
    </w:p>
    <w:p w14:paraId="4C5144A5" w14:textId="77777777" w:rsidR="002B6F07" w:rsidRPr="00E450DD" w:rsidRDefault="002B6F07" w:rsidP="002B6F07">
      <w:pPr>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IV.</w:t>
      </w:r>
      <w:r w:rsidRPr="00E450DD">
        <w:rPr>
          <w:rFonts w:ascii="Palatino Linotype" w:eastAsia="Palatino Linotype" w:hAnsi="Palatino Linotype" w:cs="Palatino Linotype"/>
          <w:i/>
          <w:iCs/>
          <w:sz w:val="22"/>
          <w:szCs w:val="22"/>
        </w:rPr>
        <w:t xml:space="preserve"> Cuotas de aportación a fondos para la constitución de cooperativas y de cajas de ahorro, siempre que el servidor público hubiese manifestado previamente, de manera expresa, su conformidad;</w:t>
      </w:r>
    </w:p>
    <w:p w14:paraId="64C34CA6" w14:textId="77777777" w:rsidR="002B6F07" w:rsidRPr="00E450DD" w:rsidRDefault="002B6F07" w:rsidP="002B6F07">
      <w:pPr>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V.</w:t>
      </w:r>
      <w:r w:rsidRPr="00E450DD">
        <w:rPr>
          <w:rFonts w:ascii="Palatino Linotype" w:eastAsia="Palatino Linotype" w:hAnsi="Palatino Linotype" w:cs="Palatino Linotype"/>
          <w:i/>
          <w:iCs/>
          <w:sz w:val="22"/>
          <w:szCs w:val="22"/>
        </w:rPr>
        <w:t xml:space="preserve"> Descuentos ordenados por el Instituto de Seguridad Social del Estado de México y Municipios, con motivo de cuotas y obligaciones contraídas con éste por los servidores públicos;</w:t>
      </w:r>
    </w:p>
    <w:p w14:paraId="33606CEC" w14:textId="77777777" w:rsidR="002B6F07" w:rsidRPr="00E450DD" w:rsidRDefault="002B6F07" w:rsidP="002B6F07">
      <w:pPr>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VI.</w:t>
      </w:r>
      <w:r w:rsidRPr="00E450DD">
        <w:rPr>
          <w:rFonts w:ascii="Palatino Linotype" w:eastAsia="Palatino Linotype" w:hAnsi="Palatino Linotype" w:cs="Palatino Linotype"/>
          <w:i/>
          <w:iCs/>
          <w:sz w:val="22"/>
          <w:szCs w:val="22"/>
        </w:rPr>
        <w:t xml:space="preserve"> Obligaciones a cargo del servidor público con las que haya consentido, derivadas de la adquisición o del uso de habitaciones consideradas como de interés social;</w:t>
      </w:r>
    </w:p>
    <w:p w14:paraId="153F73CD" w14:textId="77777777" w:rsidR="002B6F07" w:rsidRPr="00E450DD" w:rsidRDefault="002B6F07" w:rsidP="002B6F07">
      <w:pPr>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VII.</w:t>
      </w:r>
      <w:r w:rsidRPr="00E450DD">
        <w:rPr>
          <w:rFonts w:ascii="Palatino Linotype" w:eastAsia="Palatino Linotype" w:hAnsi="Palatino Linotype" w:cs="Palatino Linotype"/>
          <w:i/>
          <w:iCs/>
          <w:sz w:val="22"/>
          <w:szCs w:val="22"/>
        </w:rPr>
        <w:t xml:space="preserve"> Faltas de puntualidad o de asistencia injustificadas;</w:t>
      </w:r>
    </w:p>
    <w:p w14:paraId="3E4A3FB0" w14:textId="77777777" w:rsidR="002B6F07" w:rsidRPr="00E450DD" w:rsidRDefault="002B6F07" w:rsidP="002B6F07">
      <w:pPr>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VIII. Pensiones alimenticias ordenadas por la autoridad judicial;</w:t>
      </w:r>
      <w:r w:rsidRPr="00E450DD">
        <w:rPr>
          <w:rFonts w:ascii="Palatino Linotype" w:eastAsia="Palatino Linotype" w:hAnsi="Palatino Linotype" w:cs="Palatino Linotype"/>
          <w:i/>
          <w:iCs/>
          <w:sz w:val="22"/>
          <w:szCs w:val="22"/>
        </w:rPr>
        <w:t xml:space="preserve"> o</w:t>
      </w:r>
    </w:p>
    <w:p w14:paraId="417A0FF7" w14:textId="77777777" w:rsidR="002B6F07" w:rsidRPr="00E450DD" w:rsidRDefault="002B6F07" w:rsidP="002B6F07">
      <w:pPr>
        <w:spacing w:after="200" w:line="276" w:lineRule="auto"/>
        <w:ind w:left="851" w:right="616"/>
        <w:jc w:val="both"/>
        <w:rPr>
          <w:rFonts w:ascii="Palatino Linotype" w:eastAsia="Palatino Linotype" w:hAnsi="Palatino Linotype" w:cs="Palatino Linotype"/>
          <w:b/>
          <w:bCs/>
          <w:i/>
          <w:iCs/>
          <w:sz w:val="22"/>
          <w:szCs w:val="22"/>
        </w:rPr>
      </w:pPr>
      <w:r w:rsidRPr="00E450DD">
        <w:rPr>
          <w:rFonts w:ascii="Palatino Linotype" w:eastAsia="Palatino Linotype" w:hAnsi="Palatino Linotype" w:cs="Palatino Linotype"/>
          <w:b/>
          <w:bCs/>
          <w:i/>
          <w:iCs/>
          <w:sz w:val="22"/>
          <w:szCs w:val="22"/>
        </w:rPr>
        <w:t>IX. Cualquier otro convenido con instituciones de servicios y aceptado por el servidor público.</w:t>
      </w:r>
    </w:p>
    <w:p w14:paraId="02C34615" w14:textId="77777777" w:rsidR="002B6F07" w:rsidRPr="00E450DD" w:rsidRDefault="002B6F07" w:rsidP="002B6F07">
      <w:pPr>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 xml:space="preserve">El monto total de las retenciones, descuentos o deducciones no podrá exceder del 30% de la remuneración total, excepto en los casos a que se refieren las fracciones IV, V y VI de este artículo, en que podrán ser de hasta el 50%, salvo en los casos en que se demuestre que el crédito se concedió con base en los ingresos familiares para hacer posible el derecho constitucional a una vivienda digna, o se refieran a lo establecido en la fracción VIII de este artículo, en que se ajustará a lo determinado por la autoridad judicial.” </w:t>
      </w:r>
    </w:p>
    <w:p w14:paraId="186454D2" w14:textId="77777777" w:rsidR="002B6F07" w:rsidRPr="00E450DD" w:rsidRDefault="002B6F07" w:rsidP="002B6F07">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Como se puede observar, el precepto citado establece claramente cuáles son esos descuentos o gravámenes que directamente se relacionan con las obligaciones adquiridas como servidores públicos y aquéllos que únicamente inciden en su vida privada. </w:t>
      </w:r>
    </w:p>
    <w:p w14:paraId="5C16B0D1" w14:textId="77777777" w:rsidR="002B6F07" w:rsidRPr="00E450DD" w:rsidRDefault="002B6F07" w:rsidP="002B6F07">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De este modo, los </w:t>
      </w:r>
      <w:r w:rsidRPr="00E450DD">
        <w:rPr>
          <w:rFonts w:ascii="Palatino Linotype" w:eastAsia="Palatino Linotype" w:hAnsi="Palatino Linotype" w:cs="Palatino Linotype"/>
          <w:b/>
          <w:bCs/>
          <w:sz w:val="22"/>
          <w:szCs w:val="22"/>
        </w:rPr>
        <w:t>descuentos o deducciones por cuotas sindicales</w:t>
      </w:r>
      <w:r w:rsidRPr="00E450DD">
        <w:rPr>
          <w:rFonts w:ascii="Palatino Linotype" w:eastAsia="Palatino Linotype" w:hAnsi="Palatino Linotype" w:cs="Palatino Linotype"/>
          <w:sz w:val="22"/>
          <w:szCs w:val="22"/>
        </w:rPr>
        <w:t xml:space="preserve">, </w:t>
      </w:r>
      <w:r w:rsidRPr="00E450DD">
        <w:rPr>
          <w:rFonts w:ascii="Palatino Linotype" w:eastAsia="Palatino Linotype" w:hAnsi="Palatino Linotype" w:cs="Palatino Linotype"/>
          <w:b/>
          <w:bCs/>
          <w:sz w:val="22"/>
          <w:szCs w:val="22"/>
        </w:rPr>
        <w:t>pensiones alimenticias</w:t>
      </w:r>
      <w:r w:rsidRPr="00E450DD">
        <w:rPr>
          <w:rFonts w:ascii="Palatino Linotype" w:eastAsia="Palatino Linotype" w:hAnsi="Palatino Linotype" w:cs="Palatino Linotype"/>
          <w:sz w:val="22"/>
          <w:szCs w:val="22"/>
        </w:rPr>
        <w:t xml:space="preserve"> o </w:t>
      </w:r>
      <w:r w:rsidRPr="00E450DD">
        <w:rPr>
          <w:rFonts w:ascii="Palatino Linotype" w:eastAsia="Palatino Linotype" w:hAnsi="Palatino Linotype" w:cs="Palatino Linotype"/>
          <w:b/>
          <w:bCs/>
          <w:sz w:val="22"/>
          <w:szCs w:val="22"/>
        </w:rPr>
        <w:t>créditos adquiridos con instituciones privadas</w:t>
      </w:r>
      <w:r w:rsidRPr="00E450DD">
        <w:rPr>
          <w:rFonts w:ascii="Palatino Linotype" w:eastAsia="Palatino Linotype" w:hAnsi="Palatino Linotype" w:cs="Palatino Linotype"/>
          <w:sz w:val="22"/>
          <w:szCs w:val="22"/>
        </w:rPr>
        <w:t xml:space="preserve">, entre otros que no se relacionen con el gasto público, al revelar parte de las decisiones que adopta una persona respecto del uso y destino de su remuneración salarial, lo cual incide en la manera en que se integra su patrimonio, </w:t>
      </w:r>
      <w:r w:rsidRPr="00E450DD">
        <w:rPr>
          <w:rFonts w:ascii="Palatino Linotype" w:eastAsia="Palatino Linotype" w:hAnsi="Palatino Linotype" w:cs="Palatino Linotype"/>
          <w:b/>
          <w:bCs/>
          <w:sz w:val="22"/>
          <w:szCs w:val="22"/>
        </w:rPr>
        <w:t>es información que no es de carácter público, sino que constituye información confidencial</w:t>
      </w:r>
      <w:r w:rsidRPr="00E450DD">
        <w:rPr>
          <w:rFonts w:ascii="Palatino Linotype" w:eastAsia="Palatino Linotype" w:hAnsi="Palatino Linotype" w:cs="Palatino Linotype"/>
          <w:sz w:val="22"/>
          <w:szCs w:val="22"/>
        </w:rPr>
        <w:t xml:space="preserve"> en virtud de que corresponde con decisiones personales, y por tanto, se debe clasificar.</w:t>
      </w:r>
    </w:p>
    <w:p w14:paraId="6D8A1911" w14:textId="77777777" w:rsidR="002B6F07" w:rsidRPr="00E450DD" w:rsidRDefault="002B6F07" w:rsidP="002B6F07">
      <w:pPr>
        <w:pBdr>
          <w:top w:val="nil"/>
          <w:left w:val="nil"/>
          <w:bottom w:val="nil"/>
          <w:right w:val="nil"/>
          <w:between w:val="nil"/>
        </w:pBdr>
        <w:spacing w:after="20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Las claves y conceptos de los descuentos personales guardan también la misma naturaleza que los importes, ya que al hacerse públicas, es posible inferir que cierto servidor público tiene determinada deducción personal, misma que se relaciona con su esfera más íntima de privacidad, asimismo, en aquellos casos en los que sólo se tenga una deducción, inclusive es posible deducir el importe de la misma, derivado de los cálculos que se hagan respecto al sueldo bruto y sueldo neto.</w:t>
      </w:r>
    </w:p>
    <w:p w14:paraId="65F08487" w14:textId="77777777" w:rsidR="002B6F07" w:rsidRPr="00E450DD" w:rsidRDefault="002B6F07" w:rsidP="002B6F07">
      <w:pPr>
        <w:pBdr>
          <w:top w:val="nil"/>
          <w:left w:val="nil"/>
          <w:bottom w:val="nil"/>
          <w:right w:val="nil"/>
          <w:between w:val="nil"/>
        </w:pBd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En conclusión, la información relacionada con deducciones personales, únicamente por lo que corresponde a los préstamos o descuentos de carácter personal, en virtud de no tener relación con la prestación del servicio y al no involucrar instituciones públicas, se consideran datos confidenciales.</w:t>
      </w:r>
    </w:p>
    <w:p w14:paraId="571929D9" w14:textId="77777777" w:rsidR="002B6F07" w:rsidRPr="00E450DD" w:rsidRDefault="002B6F07" w:rsidP="002B6F07">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Por lo que tratándose de deducciones establecidas por Ley las mismas serán públicas, esto excluyendo a las de carácter personal.</w:t>
      </w:r>
    </w:p>
    <w:p w14:paraId="7B675EDE" w14:textId="77777777" w:rsidR="002B6F07" w:rsidRPr="00E450DD" w:rsidRDefault="002B6F07" w:rsidP="002B6F07">
      <w:pPr>
        <w:spacing w:line="360" w:lineRule="auto"/>
        <w:jc w:val="both"/>
        <w:rPr>
          <w:rFonts w:ascii="Palatino Linotype" w:eastAsia="Palatino Linotype" w:hAnsi="Palatino Linotype" w:cs="Palatino Linotype"/>
          <w:b/>
          <w:bCs/>
          <w:sz w:val="22"/>
          <w:szCs w:val="22"/>
          <w:u w:val="single"/>
        </w:rPr>
      </w:pPr>
    </w:p>
    <w:p w14:paraId="47AF6036" w14:textId="77777777" w:rsidR="002B6F07" w:rsidRPr="00E450DD" w:rsidRDefault="002B6F07" w:rsidP="002B6F07">
      <w:pPr>
        <w:numPr>
          <w:ilvl w:val="0"/>
          <w:numId w:val="23"/>
        </w:numPr>
        <w:spacing w:line="360" w:lineRule="auto"/>
        <w:ind w:left="284" w:hanging="284"/>
        <w:jc w:val="both"/>
        <w:rPr>
          <w:rFonts w:ascii="Palatino Linotype" w:eastAsia="Palatino Linotype" w:hAnsi="Palatino Linotype" w:cs="Palatino Linotype"/>
          <w:b/>
          <w:bCs/>
          <w:sz w:val="22"/>
          <w:szCs w:val="22"/>
        </w:rPr>
      </w:pPr>
      <w:r w:rsidRPr="00E450DD">
        <w:rPr>
          <w:rFonts w:ascii="Palatino Linotype" w:eastAsia="Palatino Linotype" w:hAnsi="Palatino Linotype" w:cs="Palatino Linotype"/>
          <w:b/>
          <w:bCs/>
          <w:sz w:val="22"/>
          <w:szCs w:val="22"/>
        </w:rPr>
        <w:t>Número de Empleado:</w:t>
      </w:r>
    </w:p>
    <w:p w14:paraId="2E0AD14F" w14:textId="77777777" w:rsidR="002B6F07" w:rsidRPr="00E450DD" w:rsidRDefault="002B6F07" w:rsidP="002B6F07">
      <w:pPr>
        <w:spacing w:line="360" w:lineRule="auto"/>
        <w:jc w:val="both"/>
        <w:rPr>
          <w:rFonts w:ascii="Palatino Linotype" w:eastAsia="Palatino Linotype" w:hAnsi="Palatino Linotype" w:cs="Palatino Linotype"/>
          <w:sz w:val="22"/>
          <w:szCs w:val="22"/>
        </w:rPr>
      </w:pPr>
    </w:p>
    <w:p w14:paraId="700C876F" w14:textId="77777777" w:rsidR="002B6F07" w:rsidRPr="00E450DD" w:rsidRDefault="002B6F07" w:rsidP="002B6F07">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En relación con el número de empleado de servidores públicos o su equivalente, con independencia del nombre que reciba, constituye un instrumento de control interno que permite a las dependencias y entidades identificar a sus trabajadores y a estos les facilita la realización de gestiones en su carácter de empleado.</w:t>
      </w:r>
    </w:p>
    <w:p w14:paraId="2BB48EF5" w14:textId="77777777" w:rsidR="002B6F07" w:rsidRPr="00E450DD" w:rsidRDefault="002B6F07" w:rsidP="002B6F07">
      <w:pPr>
        <w:spacing w:line="360" w:lineRule="auto"/>
        <w:jc w:val="both"/>
        <w:rPr>
          <w:rFonts w:ascii="Palatino Linotype" w:eastAsia="Palatino Linotype" w:hAnsi="Palatino Linotype" w:cs="Palatino Linotype"/>
          <w:sz w:val="22"/>
          <w:szCs w:val="22"/>
        </w:rPr>
      </w:pPr>
    </w:p>
    <w:p w14:paraId="48DD1A8E" w14:textId="77777777" w:rsidR="002B6F07" w:rsidRPr="00E450DD" w:rsidRDefault="002B6F07" w:rsidP="002B6F07">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En ese sentido, cuando el número de empleado se integre de datos personales de los trabajadores, procede su clasificación en términos de lo previsto en el artículo 143, fracción I de la Ley de Transparencia y Acceso a la Información Pública del Estado de México y Municipios; sin embargo, cuando dicho dato se conforma de dígitos, letras o símbolos que no revelan datos personales, no reviste el carácter de confidencial, al no dar por sí solo acceso a datos personales.</w:t>
      </w:r>
    </w:p>
    <w:p w14:paraId="65509359" w14:textId="77777777" w:rsidR="002B6F07" w:rsidRPr="00E450DD" w:rsidRDefault="002B6F07" w:rsidP="002B6F07">
      <w:pPr>
        <w:spacing w:line="360" w:lineRule="auto"/>
        <w:jc w:val="both"/>
        <w:rPr>
          <w:rFonts w:ascii="Palatino Linotype" w:eastAsia="Palatino Linotype" w:hAnsi="Palatino Linotype" w:cs="Palatino Linotype"/>
          <w:sz w:val="22"/>
          <w:szCs w:val="22"/>
        </w:rPr>
      </w:pPr>
    </w:p>
    <w:p w14:paraId="5F31AE66" w14:textId="77777777" w:rsidR="002B6F07" w:rsidRPr="00E450DD" w:rsidRDefault="002B6F07" w:rsidP="002B6F07">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Lo anterior, toma sustento en el Criterio de Interpretación, de la Segunda Época, con número de registro SO/006/2019, emitido por el Instituto Nacional de Transparencia, Acceso a la Información y Protección de Datos Personales, que establece lo siguiente:</w:t>
      </w:r>
    </w:p>
    <w:p w14:paraId="0FFC5C92" w14:textId="77777777" w:rsidR="002B6F07" w:rsidRPr="00E450DD" w:rsidRDefault="002B6F07" w:rsidP="002B6F07">
      <w:pPr>
        <w:spacing w:line="360" w:lineRule="auto"/>
        <w:jc w:val="both"/>
        <w:rPr>
          <w:rFonts w:ascii="Palatino Linotype" w:eastAsia="Palatino Linotype" w:hAnsi="Palatino Linotype" w:cs="Palatino Linotype"/>
          <w:sz w:val="22"/>
          <w:szCs w:val="22"/>
        </w:rPr>
      </w:pPr>
    </w:p>
    <w:p w14:paraId="5F77F486" w14:textId="77777777" w:rsidR="002B6F07" w:rsidRPr="00E450DD" w:rsidRDefault="002B6F07" w:rsidP="002B6F07">
      <w:pPr>
        <w:spacing w:line="259" w:lineRule="auto"/>
        <w:ind w:left="851" w:right="851"/>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w:t>
      </w:r>
      <w:r w:rsidRPr="00E450DD">
        <w:rPr>
          <w:rFonts w:ascii="Palatino Linotype" w:eastAsia="Palatino Linotype" w:hAnsi="Palatino Linotype" w:cs="Palatino Linotype"/>
          <w:b/>
          <w:bCs/>
          <w:i/>
          <w:iCs/>
          <w:sz w:val="22"/>
          <w:szCs w:val="22"/>
        </w:rPr>
        <w:t>Número de empleado</w:t>
      </w:r>
      <w:r w:rsidRPr="00E450DD">
        <w:rPr>
          <w:rFonts w:ascii="Palatino Linotype" w:eastAsia="Palatino Linotype" w:hAnsi="Palatino Linotype" w:cs="Palatino Linotype"/>
          <w:i/>
          <w:iCs/>
          <w:sz w:val="22"/>
          <w:szCs w:val="22"/>
        </w:rPr>
        <w:t>. Cuando el número de empleado o su equivalente, se integra con datos personales de los trabajadores o funciona como una clave de acceso que no requiere adicionalmente de una contraseña para ingresar a sistemas o bases de datos personales, procede su clasificación como información confidencial.”(Sic)</w:t>
      </w:r>
    </w:p>
    <w:p w14:paraId="17ECAE52" w14:textId="77777777" w:rsidR="002B6F07" w:rsidRPr="00E450DD" w:rsidRDefault="002B6F07" w:rsidP="002B6F07">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Así, se colige que solamente procederá la clasificación del número de empleado, cuando se integre con datos personales de los servidores públicos o funcione como clave de acceso que no requiera una contraseña para ingresar a sistemas o bases de datos.</w:t>
      </w:r>
    </w:p>
    <w:p w14:paraId="6DE83A02" w14:textId="77777777" w:rsidR="002B6F07" w:rsidRPr="00E450DD" w:rsidRDefault="002B6F07" w:rsidP="002B6F07">
      <w:pPr>
        <w:spacing w:line="360" w:lineRule="auto"/>
        <w:jc w:val="both"/>
        <w:rPr>
          <w:rFonts w:ascii="Palatino Linotype" w:eastAsia="Palatino Linotype" w:hAnsi="Palatino Linotype" w:cs="Palatino Linotype"/>
          <w:sz w:val="22"/>
          <w:szCs w:val="22"/>
        </w:rPr>
      </w:pPr>
    </w:p>
    <w:p w14:paraId="01063DBD" w14:textId="77777777" w:rsidR="002B6F07" w:rsidRPr="00E450DD" w:rsidRDefault="002B6F07" w:rsidP="002B6F07">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De tales circunstancias, se considera que el </w:t>
      </w:r>
      <w:r w:rsidRPr="00E450DD">
        <w:rPr>
          <w:rFonts w:ascii="Palatino Linotype" w:eastAsia="Palatino Linotype" w:hAnsi="Palatino Linotype" w:cs="Palatino Linotype"/>
          <w:b/>
          <w:bCs/>
          <w:sz w:val="22"/>
          <w:szCs w:val="22"/>
        </w:rPr>
        <w:t>Sujeto Obligado</w:t>
      </w:r>
      <w:r w:rsidRPr="00E450DD">
        <w:rPr>
          <w:rFonts w:ascii="Palatino Linotype" w:eastAsia="Palatino Linotype" w:hAnsi="Palatino Linotype" w:cs="Palatino Linotype"/>
          <w:sz w:val="22"/>
          <w:szCs w:val="22"/>
        </w:rPr>
        <w:t xml:space="preserve"> deberá proporcionar dicho dato, en el caso, de que este se conforme únicamente de números, símbolos o dígitos, que de ninguna manera puedan revelar datos personales o de acceso a sistemas con información de los trabajadores; en el caso contrario, procederá su clasificación, en términos del artículo 143, fracción I, de la Ley de la materia.</w:t>
      </w:r>
    </w:p>
    <w:p w14:paraId="677B3B6C" w14:textId="77777777" w:rsidR="002B6F07" w:rsidRPr="00E450DD" w:rsidRDefault="002B6F07" w:rsidP="002B6F07">
      <w:pPr>
        <w:spacing w:line="360" w:lineRule="auto"/>
        <w:jc w:val="both"/>
        <w:rPr>
          <w:rFonts w:ascii="Palatino Linotype" w:eastAsia="Palatino Linotype" w:hAnsi="Palatino Linotype" w:cs="Palatino Linotype"/>
          <w:b/>
          <w:bCs/>
          <w:sz w:val="22"/>
          <w:szCs w:val="22"/>
        </w:rPr>
      </w:pPr>
    </w:p>
    <w:p w14:paraId="7DA38E2D" w14:textId="77777777" w:rsidR="002B6F07" w:rsidRPr="00E450DD" w:rsidRDefault="002B6F07" w:rsidP="002B6F07">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b/>
          <w:bCs/>
          <w:sz w:val="22"/>
          <w:szCs w:val="22"/>
        </w:rPr>
        <w:t>De la información fiscal</w:t>
      </w:r>
      <w:r w:rsidRPr="00E450DD">
        <w:rPr>
          <w:rFonts w:ascii="Palatino Linotype" w:eastAsia="Palatino Linotype" w:hAnsi="Palatino Linotype" w:cs="Palatino Linotype"/>
          <w:sz w:val="22"/>
          <w:szCs w:val="22"/>
        </w:rPr>
        <w:t xml:space="preserve">: </w:t>
      </w:r>
    </w:p>
    <w:p w14:paraId="069247E4" w14:textId="77777777" w:rsidR="002B6F07" w:rsidRPr="00E450DD" w:rsidRDefault="002B6F07" w:rsidP="002B6F07">
      <w:pPr>
        <w:pBdr>
          <w:top w:val="nil"/>
          <w:left w:val="nil"/>
          <w:bottom w:val="nil"/>
          <w:right w:val="nil"/>
          <w:between w:val="nil"/>
        </w:pBdr>
        <w:spacing w:line="360" w:lineRule="auto"/>
        <w:ind w:right="49"/>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b/>
          <w:bCs/>
          <w:sz w:val="22"/>
          <w:szCs w:val="22"/>
          <w:u w:val="single"/>
        </w:rPr>
        <w:t>Por lo que hace Folio Fiscal</w:t>
      </w:r>
      <w:r w:rsidRPr="00E450DD">
        <w:rPr>
          <w:rFonts w:ascii="Palatino Linotype" w:eastAsia="Palatino Linotype" w:hAnsi="Palatino Linotype" w:cs="Palatino Linotype"/>
          <w:sz w:val="22"/>
          <w:szCs w:val="22"/>
        </w:rPr>
        <w:t xml:space="preserve">, conforme al ANEXO 20 de la Segunda Resolución de modificaciones a la Resolución Miscelánea Fiscal, el folio fiscal se conforma de treinta seis caracteres alfanuméricos; además, que conforme al documento denominado “Cómo ubicar el Folio Fiscal en una factura”, el dato se ubica dentro de los datos del emisor o en el recuadro de los datos de identificación del comprobante fiscal. Es un número consecutivo contenido en los comprobantes fiscales digitales, compuesto por 5 grupos de números y letras separados por guiones. </w:t>
      </w:r>
    </w:p>
    <w:p w14:paraId="34DCACE7" w14:textId="77777777" w:rsidR="002B6F07" w:rsidRPr="00E450DD" w:rsidRDefault="002B6F07" w:rsidP="002B6F07">
      <w:pPr>
        <w:pBdr>
          <w:top w:val="nil"/>
          <w:left w:val="nil"/>
          <w:bottom w:val="nil"/>
          <w:right w:val="nil"/>
          <w:between w:val="nil"/>
        </w:pBdr>
        <w:spacing w:line="360" w:lineRule="auto"/>
        <w:ind w:right="49"/>
        <w:jc w:val="both"/>
        <w:rPr>
          <w:rFonts w:ascii="Palatino Linotype" w:eastAsia="Palatino Linotype" w:hAnsi="Palatino Linotype" w:cs="Palatino Linotype"/>
          <w:sz w:val="22"/>
          <w:szCs w:val="22"/>
        </w:rPr>
      </w:pPr>
    </w:p>
    <w:p w14:paraId="10E1E0CE" w14:textId="77777777" w:rsidR="002B6F07" w:rsidRPr="00E450DD" w:rsidRDefault="002B6F07" w:rsidP="002B6F07">
      <w:pPr>
        <w:pBdr>
          <w:top w:val="nil"/>
          <w:left w:val="nil"/>
          <w:bottom w:val="nil"/>
          <w:right w:val="nil"/>
          <w:between w:val="nil"/>
        </w:pBdr>
        <w:spacing w:line="360" w:lineRule="auto"/>
        <w:ind w:right="49"/>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En ese contexto, del folio fiscal no se puede obtener información confidencial del emisor, pues solamente es un identificador del emisor, del cual su transparencia ayuda a legitimar que el documento cumple con todos los requisitos establecidos en la normatividad aplicable, sin necesidad algún dato personal, por lo que, </w:t>
      </w:r>
      <w:r w:rsidRPr="00E450DD">
        <w:rPr>
          <w:rFonts w:ascii="Palatino Linotype" w:eastAsia="Palatino Linotype" w:hAnsi="Palatino Linotype" w:cs="Palatino Linotype"/>
          <w:b/>
          <w:bCs/>
          <w:sz w:val="22"/>
          <w:szCs w:val="22"/>
        </w:rPr>
        <w:t>no se actualiza la clasificación</w:t>
      </w:r>
      <w:r w:rsidRPr="00E450DD">
        <w:rPr>
          <w:rFonts w:ascii="Palatino Linotype" w:eastAsia="Palatino Linotype" w:hAnsi="Palatino Linotype" w:cs="Palatino Linotype"/>
          <w:sz w:val="22"/>
          <w:szCs w:val="22"/>
        </w:rPr>
        <w:t>, en términos del artículo 143, fracción I de la Ley de la materia.</w:t>
      </w:r>
    </w:p>
    <w:p w14:paraId="4479EBDE" w14:textId="77777777" w:rsidR="002B6F07" w:rsidRPr="00E450DD" w:rsidRDefault="002B6F07" w:rsidP="002B6F07">
      <w:pPr>
        <w:pBdr>
          <w:top w:val="nil"/>
          <w:left w:val="nil"/>
          <w:bottom w:val="nil"/>
          <w:right w:val="nil"/>
          <w:between w:val="nil"/>
        </w:pBdr>
        <w:spacing w:line="360" w:lineRule="auto"/>
        <w:ind w:right="49"/>
        <w:jc w:val="both"/>
        <w:rPr>
          <w:rFonts w:ascii="Palatino Linotype" w:eastAsia="Palatino Linotype" w:hAnsi="Palatino Linotype" w:cs="Palatino Linotype"/>
          <w:sz w:val="22"/>
          <w:szCs w:val="22"/>
        </w:rPr>
      </w:pPr>
    </w:p>
    <w:p w14:paraId="145A83DC" w14:textId="77777777" w:rsidR="002B6F07" w:rsidRPr="00E450DD" w:rsidRDefault="002B6F07" w:rsidP="002B6F07">
      <w:pPr>
        <w:pBdr>
          <w:top w:val="nil"/>
          <w:left w:val="nil"/>
          <w:bottom w:val="nil"/>
          <w:right w:val="nil"/>
          <w:between w:val="nil"/>
        </w:pBdr>
        <w:spacing w:line="360" w:lineRule="auto"/>
        <w:ind w:right="49"/>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b/>
          <w:bCs/>
          <w:sz w:val="22"/>
          <w:szCs w:val="22"/>
          <w:u w:val="single"/>
        </w:rPr>
        <w:t>Sobre el lugar y fecha de emisión del comprobante</w:t>
      </w:r>
      <w:r w:rsidRPr="00E450DD">
        <w:rPr>
          <w:rFonts w:ascii="Palatino Linotype" w:eastAsia="Palatino Linotype" w:hAnsi="Palatino Linotype" w:cs="Palatino Linotype"/>
          <w:sz w:val="22"/>
          <w:szCs w:val="22"/>
        </w:rPr>
        <w:t>, se considera que dicha información tampoco actualiza la causal de clasificación en términos del artículo 143, fracción I de la Ley de la materia, en razón de que únicamente darían cuenta de lugar y fecha donde se emitió el comprobante (ejemplo: Toluca, Estado de México a 14 de agosto de 2025).</w:t>
      </w:r>
    </w:p>
    <w:p w14:paraId="6F814B16" w14:textId="77777777" w:rsidR="002B6F07" w:rsidRPr="00E450DD" w:rsidRDefault="002B6F07" w:rsidP="002B6F07">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Sobre la </w:t>
      </w:r>
      <w:r w:rsidRPr="00E450DD">
        <w:rPr>
          <w:rFonts w:ascii="Palatino Linotype" w:eastAsia="Palatino Linotype" w:hAnsi="Palatino Linotype" w:cs="Palatino Linotype"/>
          <w:b/>
          <w:bCs/>
          <w:sz w:val="22"/>
          <w:szCs w:val="22"/>
        </w:rPr>
        <w:t>Cadena Original</w:t>
      </w:r>
      <w:r w:rsidRPr="00E450DD">
        <w:rPr>
          <w:rFonts w:ascii="Palatino Linotype" w:eastAsia="Palatino Linotype" w:hAnsi="Palatino Linotype" w:cs="Palatino Linotype"/>
          <w:sz w:val="22"/>
          <w:szCs w:val="22"/>
        </w:rPr>
        <w:t xml:space="preserve"> es la secuencia de datos formada con la información contenida dentro de los comprobantes fiscales, entre los que podría encontrarse de manera enunciativa, más no limitativa, el RFC del receptor, es decir del servidor público. En dicho supuesto, la cadena original constituiría información que únicamente atañe al contribuyente, siendo tarea del </w:t>
      </w:r>
      <w:r w:rsidRPr="00E450DD">
        <w:rPr>
          <w:rFonts w:ascii="Palatino Linotype" w:eastAsia="Palatino Linotype" w:hAnsi="Palatino Linotype" w:cs="Palatino Linotype"/>
          <w:b/>
          <w:bCs/>
          <w:sz w:val="22"/>
          <w:szCs w:val="22"/>
        </w:rPr>
        <w:t>Sujeto Obligado</w:t>
      </w:r>
      <w:r w:rsidRPr="00E450DD">
        <w:rPr>
          <w:rFonts w:ascii="Palatino Linotype" w:eastAsia="Palatino Linotype" w:hAnsi="Palatino Linotype" w:cs="Palatino Linotype"/>
          <w:sz w:val="22"/>
          <w:szCs w:val="22"/>
        </w:rPr>
        <w:t xml:space="preserve"> analizar dicha circunstancia con la finalidad de proteger, de ser el caso, la información a través de su clasificación por actualizarse el supuesto de confidencialidad.</w:t>
      </w:r>
    </w:p>
    <w:p w14:paraId="4E2A85B9" w14:textId="77777777" w:rsidR="002B6F07" w:rsidRPr="00E450DD" w:rsidRDefault="002B6F07" w:rsidP="002B6F07">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Los </w:t>
      </w:r>
      <w:r w:rsidRPr="00E450DD">
        <w:rPr>
          <w:rFonts w:ascii="Palatino Linotype" w:eastAsia="Palatino Linotype" w:hAnsi="Palatino Linotype" w:cs="Palatino Linotype"/>
          <w:b/>
          <w:bCs/>
          <w:sz w:val="22"/>
          <w:szCs w:val="22"/>
        </w:rPr>
        <w:t>códigos bidimensionales</w:t>
      </w:r>
      <w:r w:rsidRPr="00E450DD">
        <w:rPr>
          <w:rFonts w:ascii="Palatino Linotype" w:eastAsia="Palatino Linotype" w:hAnsi="Palatino Linotype" w:cs="Palatino Linotype"/>
          <w:sz w:val="22"/>
          <w:szCs w:val="22"/>
        </w:rPr>
        <w:t xml:space="preserve"> o </w:t>
      </w:r>
      <w:r w:rsidRPr="00E450DD">
        <w:rPr>
          <w:rFonts w:ascii="Palatino Linotype" w:eastAsia="Palatino Linotype" w:hAnsi="Palatino Linotype" w:cs="Palatino Linotype"/>
          <w:b/>
          <w:bCs/>
          <w:sz w:val="22"/>
          <w:szCs w:val="22"/>
        </w:rPr>
        <w:t xml:space="preserve">códigos QR, </w:t>
      </w:r>
      <w:r w:rsidRPr="00E450DD">
        <w:rPr>
          <w:rFonts w:ascii="Palatino Linotype" w:eastAsia="Palatino Linotype" w:hAnsi="Palatino Linotype" w:cs="Palatino Linotype"/>
          <w:sz w:val="22"/>
          <w:szCs w:val="22"/>
        </w:rPr>
        <w:t xml:space="preserve">al corresponder a barras en dos dimensiones que, al igual que los códigos de barras o códigos unidimensionales, son utilizados para almacenar diversos tipos de datos de manera codificada, los cuales a través de lectores que pueden ser obtenidos por cualquier persona, pueden contener datos personales, no susceptibles de conocimiento público, debiendo el </w:t>
      </w:r>
      <w:r w:rsidRPr="00E450DD">
        <w:rPr>
          <w:rFonts w:ascii="Palatino Linotype" w:eastAsia="Palatino Linotype" w:hAnsi="Palatino Linotype" w:cs="Palatino Linotype"/>
          <w:b/>
          <w:bCs/>
          <w:sz w:val="22"/>
          <w:szCs w:val="22"/>
        </w:rPr>
        <w:t>Sujeto Obligado</w:t>
      </w:r>
      <w:r w:rsidRPr="00E450DD">
        <w:rPr>
          <w:rFonts w:ascii="Palatino Linotype" w:eastAsia="Palatino Linotype" w:hAnsi="Palatino Linotype" w:cs="Palatino Linotype"/>
          <w:sz w:val="22"/>
          <w:szCs w:val="22"/>
        </w:rPr>
        <w:t xml:space="preserve"> analizar dicha circunstancia con la finalidad de determinar si se actualiza algún supuesto de confidencialidad.</w:t>
      </w:r>
    </w:p>
    <w:p w14:paraId="5058F86D" w14:textId="77777777" w:rsidR="002B6F07" w:rsidRPr="00E450DD" w:rsidRDefault="002B6F07" w:rsidP="002B6F07">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En tal sentido, si derivado del análisis efectuado por el </w:t>
      </w:r>
      <w:r w:rsidRPr="00E450DD">
        <w:rPr>
          <w:rFonts w:ascii="Palatino Linotype" w:eastAsia="Palatino Linotype" w:hAnsi="Palatino Linotype" w:cs="Palatino Linotype"/>
          <w:b/>
          <w:bCs/>
          <w:sz w:val="22"/>
          <w:szCs w:val="22"/>
        </w:rPr>
        <w:t>Sujeto Obligado</w:t>
      </w:r>
      <w:r w:rsidRPr="00E450DD">
        <w:rPr>
          <w:rFonts w:ascii="Palatino Linotype" w:eastAsia="Palatino Linotype" w:hAnsi="Palatino Linotype" w:cs="Palatino Linotype"/>
          <w:sz w:val="22"/>
          <w:szCs w:val="22"/>
        </w:rPr>
        <w:t xml:space="preserve"> en el presente caso, se desprende que, de la información fiscal contenida en los comprobantes fiscales digitales por internet, tales como cadenas, sellos digitales y/o códigos bidimensionales, se pueden obtener datos personales como el Registro Federal de Contribuyentes, la Clave Única del Registro de Población, entre otros no susceptibles de conocimiento público que, de difundirse, pudieran vulnerar la esfera más íntima de privacidad de su titular, deberá clasificarla como confidencial, de manera fundada y motivada en términos del artículo 143, fracción I de la Ley de Transparencia y Acceso a la Información Pública del Estado de México y Municipios.</w:t>
      </w:r>
    </w:p>
    <w:p w14:paraId="003F4EDC" w14:textId="77777777" w:rsidR="002B6F07" w:rsidRPr="00E450DD" w:rsidRDefault="002B6F07" w:rsidP="002B6F07">
      <w:pPr>
        <w:spacing w:before="240" w:after="240" w:line="360" w:lineRule="auto"/>
        <w:ind w:right="50"/>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En tal contexto, es de señalar que la clasificación de la información no opera con la simple supresión de datos que se haga en los documentos de que se trate o con la simple decisión que tome el Servidor Público Habilitado o el Responsable de la Unidad de Transparencia del Sujeto Obligado, sino que ello deberá realizarse en términos de lo que disponen los artículos 49 fracción VIII, 53, fracción X y 59, fracción V, de la Ley en consulta, cuyo sentido literal es el siguiente:</w:t>
      </w:r>
    </w:p>
    <w:p w14:paraId="17C0F88F" w14:textId="77777777" w:rsidR="002B6F07" w:rsidRPr="00E450DD" w:rsidRDefault="002B6F07" w:rsidP="002B6F07">
      <w:pPr>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“Artículo 49.</w:t>
      </w:r>
      <w:r w:rsidRPr="00E450DD">
        <w:rPr>
          <w:rFonts w:ascii="Palatino Linotype" w:eastAsia="Palatino Linotype" w:hAnsi="Palatino Linotype" w:cs="Palatino Linotype"/>
          <w:i/>
          <w:iCs/>
          <w:sz w:val="22"/>
          <w:szCs w:val="22"/>
        </w:rPr>
        <w:t xml:space="preserve"> </w:t>
      </w:r>
      <w:r w:rsidRPr="00E450DD">
        <w:rPr>
          <w:rFonts w:ascii="Palatino Linotype" w:eastAsia="Palatino Linotype" w:hAnsi="Palatino Linotype" w:cs="Palatino Linotype"/>
          <w:b/>
          <w:bCs/>
          <w:i/>
          <w:iCs/>
          <w:sz w:val="22"/>
          <w:szCs w:val="22"/>
        </w:rPr>
        <w:t>Los Comités de Transparencia</w:t>
      </w:r>
      <w:r w:rsidRPr="00E450DD">
        <w:rPr>
          <w:rFonts w:ascii="Palatino Linotype" w:eastAsia="Palatino Linotype" w:hAnsi="Palatino Linotype" w:cs="Palatino Linotype"/>
          <w:i/>
          <w:iCs/>
          <w:sz w:val="22"/>
          <w:szCs w:val="22"/>
        </w:rPr>
        <w:t xml:space="preserve"> tendrán las siguientes atribuciones:</w:t>
      </w:r>
    </w:p>
    <w:p w14:paraId="610C46FD" w14:textId="77777777" w:rsidR="002B6F07" w:rsidRPr="00E450DD" w:rsidRDefault="002B6F07" w:rsidP="002B6F07">
      <w:pPr>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VIII. Aprobar, modificar o revocar la clasificación de la información</w:t>
      </w:r>
      <w:r w:rsidRPr="00E450DD">
        <w:rPr>
          <w:rFonts w:ascii="Palatino Linotype" w:eastAsia="Palatino Linotype" w:hAnsi="Palatino Linotype" w:cs="Palatino Linotype"/>
          <w:i/>
          <w:iCs/>
          <w:sz w:val="22"/>
          <w:szCs w:val="22"/>
        </w:rPr>
        <w:t>…”</w:t>
      </w:r>
    </w:p>
    <w:p w14:paraId="2F0C333B" w14:textId="77777777" w:rsidR="002B6F07" w:rsidRPr="00E450DD" w:rsidRDefault="002B6F07" w:rsidP="002B6F07">
      <w:pPr>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w:t>
      </w:r>
      <w:r w:rsidRPr="00E450DD">
        <w:rPr>
          <w:rFonts w:ascii="Palatino Linotype" w:eastAsia="Palatino Linotype" w:hAnsi="Palatino Linotype" w:cs="Palatino Linotype"/>
          <w:b/>
          <w:bCs/>
          <w:i/>
          <w:iCs/>
          <w:sz w:val="22"/>
          <w:szCs w:val="22"/>
        </w:rPr>
        <w:t>Artículo 53.</w:t>
      </w:r>
      <w:r w:rsidRPr="00E450DD">
        <w:rPr>
          <w:rFonts w:ascii="Palatino Linotype" w:eastAsia="Palatino Linotype" w:hAnsi="Palatino Linotype" w:cs="Palatino Linotype"/>
          <w:i/>
          <w:iCs/>
          <w:sz w:val="22"/>
          <w:szCs w:val="22"/>
        </w:rPr>
        <w:t xml:space="preserve"> Las </w:t>
      </w:r>
      <w:r w:rsidRPr="00E450DD">
        <w:rPr>
          <w:rFonts w:ascii="Palatino Linotype" w:eastAsia="Palatino Linotype" w:hAnsi="Palatino Linotype" w:cs="Palatino Linotype"/>
          <w:b/>
          <w:bCs/>
          <w:i/>
          <w:iCs/>
          <w:sz w:val="22"/>
          <w:szCs w:val="22"/>
        </w:rPr>
        <w:t>Unidades de Transparencia</w:t>
      </w:r>
      <w:r w:rsidRPr="00E450DD">
        <w:rPr>
          <w:rFonts w:ascii="Palatino Linotype" w:eastAsia="Palatino Linotype" w:hAnsi="Palatino Linotype" w:cs="Palatino Linotype"/>
          <w:i/>
          <w:iCs/>
          <w:sz w:val="22"/>
          <w:szCs w:val="22"/>
        </w:rPr>
        <w:t xml:space="preserve"> tendrán las siguientes </w:t>
      </w:r>
      <w:r w:rsidRPr="00E450DD">
        <w:rPr>
          <w:rFonts w:ascii="Palatino Linotype" w:eastAsia="Palatino Linotype" w:hAnsi="Palatino Linotype" w:cs="Palatino Linotype"/>
          <w:b/>
          <w:bCs/>
          <w:i/>
          <w:iCs/>
          <w:sz w:val="22"/>
          <w:szCs w:val="22"/>
        </w:rPr>
        <w:t>funciones</w:t>
      </w:r>
      <w:r w:rsidRPr="00E450DD">
        <w:rPr>
          <w:rFonts w:ascii="Palatino Linotype" w:eastAsia="Palatino Linotype" w:hAnsi="Palatino Linotype" w:cs="Palatino Linotype"/>
          <w:i/>
          <w:iCs/>
          <w:sz w:val="22"/>
          <w:szCs w:val="22"/>
        </w:rPr>
        <w:t>:</w:t>
      </w:r>
    </w:p>
    <w:p w14:paraId="021629E4" w14:textId="77777777" w:rsidR="002B6F07" w:rsidRPr="00E450DD" w:rsidRDefault="002B6F07" w:rsidP="002B6F07">
      <w:pPr>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X. Presentar ante el Comité, el proyecto de clasificación de información</w:t>
      </w:r>
      <w:r w:rsidRPr="00E450DD">
        <w:rPr>
          <w:rFonts w:ascii="Palatino Linotype" w:eastAsia="Palatino Linotype" w:hAnsi="Palatino Linotype" w:cs="Palatino Linotype"/>
          <w:i/>
          <w:iCs/>
          <w:sz w:val="22"/>
          <w:szCs w:val="22"/>
        </w:rPr>
        <w:t xml:space="preserve">…” </w:t>
      </w:r>
    </w:p>
    <w:p w14:paraId="2751BFEF" w14:textId="77777777" w:rsidR="002B6F07" w:rsidRPr="00E450DD" w:rsidRDefault="002B6F07" w:rsidP="002B6F07">
      <w:pPr>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“Artículo 59.</w:t>
      </w:r>
      <w:r w:rsidRPr="00E450DD">
        <w:rPr>
          <w:rFonts w:ascii="Palatino Linotype" w:eastAsia="Palatino Linotype" w:hAnsi="Palatino Linotype" w:cs="Palatino Linotype"/>
          <w:i/>
          <w:iCs/>
          <w:sz w:val="22"/>
          <w:szCs w:val="22"/>
        </w:rPr>
        <w:t xml:space="preserve"> Los </w:t>
      </w:r>
      <w:r w:rsidRPr="00E450DD">
        <w:rPr>
          <w:rFonts w:ascii="Palatino Linotype" w:eastAsia="Palatino Linotype" w:hAnsi="Palatino Linotype" w:cs="Palatino Linotype"/>
          <w:b/>
          <w:bCs/>
          <w:i/>
          <w:iCs/>
          <w:sz w:val="22"/>
          <w:szCs w:val="22"/>
        </w:rPr>
        <w:t>servidores públicos habilitados</w:t>
      </w:r>
      <w:r w:rsidRPr="00E450DD">
        <w:rPr>
          <w:rFonts w:ascii="Palatino Linotype" w:eastAsia="Palatino Linotype" w:hAnsi="Palatino Linotype" w:cs="Palatino Linotype"/>
          <w:i/>
          <w:iCs/>
          <w:sz w:val="22"/>
          <w:szCs w:val="22"/>
        </w:rPr>
        <w:t xml:space="preserve"> tendrán las </w:t>
      </w:r>
      <w:r w:rsidRPr="00E450DD">
        <w:rPr>
          <w:rFonts w:ascii="Palatino Linotype" w:eastAsia="Palatino Linotype" w:hAnsi="Palatino Linotype" w:cs="Palatino Linotype"/>
          <w:b/>
          <w:bCs/>
          <w:i/>
          <w:iCs/>
          <w:sz w:val="22"/>
          <w:szCs w:val="22"/>
        </w:rPr>
        <w:t>funciones</w:t>
      </w:r>
      <w:r w:rsidRPr="00E450DD">
        <w:rPr>
          <w:rFonts w:ascii="Palatino Linotype" w:eastAsia="Palatino Linotype" w:hAnsi="Palatino Linotype" w:cs="Palatino Linotype"/>
          <w:i/>
          <w:iCs/>
          <w:sz w:val="22"/>
          <w:szCs w:val="22"/>
        </w:rPr>
        <w:t xml:space="preserve"> siguientes:</w:t>
      </w:r>
    </w:p>
    <w:p w14:paraId="063CFED5" w14:textId="77777777" w:rsidR="002B6F07" w:rsidRPr="00E450DD" w:rsidRDefault="002B6F07" w:rsidP="002B6F07">
      <w:pPr>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V. Integrar y presentar al responsable de la Unidad de Transparencia la propuesta de clasificación de información</w:t>
      </w:r>
      <w:r w:rsidRPr="00E450DD">
        <w:rPr>
          <w:rFonts w:ascii="Palatino Linotype" w:eastAsia="Palatino Linotype" w:hAnsi="Palatino Linotype" w:cs="Palatino Linotype"/>
          <w:i/>
          <w:iCs/>
          <w:sz w:val="22"/>
          <w:szCs w:val="22"/>
        </w:rPr>
        <w:t>, la cual tendrá los fundamentos y argumentos en que se basa dicha propuesta…”</w:t>
      </w:r>
    </w:p>
    <w:p w14:paraId="6D08F509" w14:textId="77777777" w:rsidR="002B6F07" w:rsidRPr="00E450DD" w:rsidRDefault="002B6F07" w:rsidP="002B6F07">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Denotándose de dichos elementos normativos que el determinar la clasificación de la información es un trabajo en conjunto tanto de los Servidores Públicos Habilitados, de las Unidades de Transparencia y del Comité de Transparencia del Sujeto Obligado, teniendo el deber los primeros de ellos de presentar ante la Unidad de Transparencia la propuesta de la clasificación de la información, para que luego ésta presente ante al Comité de Transparencia de así resultar procedente el proyecto de clasificación de la información y finalmente sea éste último quien apruebe, modifique o revoque la clasificación de la información solicitada.</w:t>
      </w:r>
    </w:p>
    <w:p w14:paraId="0BAD5B4D" w14:textId="77777777" w:rsidR="002B6F07" w:rsidRPr="00E450DD" w:rsidRDefault="002B6F07" w:rsidP="002B6F07">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Para lo cual, a su vez en el caso de información de carácter confidencial, se debe atender a lo que señala el artículo 149 de la Ley de Transparencia Local vigente, que se lee como sigue:</w:t>
      </w:r>
    </w:p>
    <w:p w14:paraId="1494445C" w14:textId="77777777" w:rsidR="002B6F07" w:rsidRPr="00E450DD" w:rsidRDefault="002B6F07" w:rsidP="002B6F07">
      <w:pPr>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w:t>
      </w:r>
      <w:r w:rsidRPr="00E450DD">
        <w:rPr>
          <w:rFonts w:ascii="Palatino Linotype" w:eastAsia="Palatino Linotype" w:hAnsi="Palatino Linotype" w:cs="Palatino Linotype"/>
          <w:b/>
          <w:bCs/>
          <w:i/>
          <w:iCs/>
          <w:sz w:val="22"/>
          <w:szCs w:val="22"/>
        </w:rPr>
        <w:t>Artículo 149.</w:t>
      </w:r>
      <w:r w:rsidRPr="00E450DD">
        <w:rPr>
          <w:rFonts w:ascii="Palatino Linotype" w:eastAsia="Palatino Linotype" w:hAnsi="Palatino Linotype" w:cs="Palatino Linotype"/>
          <w:i/>
          <w:iCs/>
          <w:sz w:val="22"/>
          <w:szCs w:val="22"/>
        </w:rPr>
        <w:t xml:space="preserve"> El </w:t>
      </w:r>
      <w:r w:rsidRPr="00E450DD">
        <w:rPr>
          <w:rFonts w:ascii="Palatino Linotype" w:eastAsia="Palatino Linotype" w:hAnsi="Palatino Linotype" w:cs="Palatino Linotype"/>
          <w:b/>
          <w:bCs/>
          <w:i/>
          <w:iCs/>
          <w:sz w:val="22"/>
          <w:szCs w:val="22"/>
        </w:rPr>
        <w:t>acuerdo que clasifique la información como confidencial</w:t>
      </w:r>
      <w:r w:rsidRPr="00E450DD">
        <w:rPr>
          <w:rFonts w:ascii="Palatino Linotype" w:eastAsia="Palatino Linotype" w:hAnsi="Palatino Linotype" w:cs="Palatino Linotype"/>
          <w:i/>
          <w:iCs/>
          <w:sz w:val="22"/>
          <w:szCs w:val="22"/>
        </w:rPr>
        <w:t xml:space="preserve"> deberá contener un razonamiento lógico en el que demuestre que la información se encuentra en alguna o algunas de las hipótesis previstas en la presente Ley.” </w:t>
      </w:r>
    </w:p>
    <w:p w14:paraId="170F376B" w14:textId="77777777" w:rsidR="002B6F07" w:rsidRPr="00E450DD" w:rsidRDefault="002B6F07" w:rsidP="002B6F07">
      <w:pPr>
        <w:spacing w:before="240" w:after="240" w:line="360" w:lineRule="auto"/>
        <w:ind w:right="51"/>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Es decir, el </w:t>
      </w:r>
      <w:r w:rsidRPr="00E450DD">
        <w:rPr>
          <w:rFonts w:ascii="Palatino Linotype" w:eastAsia="Palatino Linotype" w:hAnsi="Palatino Linotype" w:cs="Palatino Linotype"/>
          <w:b/>
          <w:bCs/>
          <w:sz w:val="22"/>
          <w:szCs w:val="22"/>
        </w:rPr>
        <w:t>Sujeto Obligado</w:t>
      </w:r>
      <w:r w:rsidRPr="00E450DD">
        <w:rPr>
          <w:rFonts w:ascii="Palatino Linotype" w:eastAsia="Palatino Linotype" w:hAnsi="Palatino Linotype" w:cs="Palatino Linotype"/>
          <w:sz w:val="22"/>
          <w:szCs w:val="22"/>
        </w:rPr>
        <w:t xml:space="preserve"> a través de su Comité de Transparencia, deberá elaborar acuerdo que contenga un razonamiento lógico con el que se demuestre que la información que se testa de las versiones públicas que se sirva elaborar, encuadra en alguna de las hipótesis que contempla la Ley de la Materia en su artículo 143; ya que de lo contrario, se crearía la incertidumbre jurídica en relación a si lo entregado es formalmente una versión pública, o un documento ilegible, incompleto o tachado; en otras palabras si no se exponen de manera puntual las razones de la versión pública de la documentación entregada se estaría violentando el derecho de acceso a la información de la persona solicitante.</w:t>
      </w:r>
    </w:p>
    <w:p w14:paraId="3DCDCDFA" w14:textId="77777777" w:rsidR="002B6F07" w:rsidRPr="00E450DD" w:rsidRDefault="002B6F07" w:rsidP="002B6F07">
      <w:pPr>
        <w:spacing w:before="240" w:after="240" w:line="360" w:lineRule="auto"/>
        <w:ind w:right="49"/>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Atento a lo anterior, cabe señalar que el Comité de Transparencia del </w:t>
      </w:r>
      <w:r w:rsidRPr="00E450DD">
        <w:rPr>
          <w:rFonts w:ascii="Palatino Linotype" w:eastAsia="Palatino Linotype" w:hAnsi="Palatino Linotype" w:cs="Palatino Linotype"/>
          <w:b/>
          <w:bCs/>
          <w:sz w:val="22"/>
          <w:szCs w:val="22"/>
        </w:rPr>
        <w:t>Sujeto Obligado</w:t>
      </w:r>
      <w:r w:rsidRPr="00E450DD">
        <w:rPr>
          <w:rFonts w:ascii="Palatino Linotype" w:eastAsia="Palatino Linotype" w:hAnsi="Palatino Linotype" w:cs="Palatino Linotype"/>
          <w:sz w:val="22"/>
          <w:szCs w:val="22"/>
        </w:rPr>
        <w:t>, deberá emitir el acuerdo de clasificación de información debidamente fundado y motivado, en términos de los Lineamientos Segundo, fracción XVIII, y del Cuarto al Décimo Primero de los “Lineamientos Generales en materia de Clasificación y Desclasificación de la Información, así como para la elaboración de Versiones Públicas”, vigentes a la fecha de la solicitud que literalmente expresan:</w:t>
      </w:r>
    </w:p>
    <w:p w14:paraId="1B63BBF3" w14:textId="77777777" w:rsidR="002B6F07" w:rsidRPr="00E450DD" w:rsidRDefault="002B6F07" w:rsidP="002B6F07">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 xml:space="preserve"> “</w:t>
      </w:r>
      <w:r w:rsidRPr="00E450DD">
        <w:rPr>
          <w:rFonts w:ascii="Palatino Linotype" w:eastAsia="Palatino Linotype" w:hAnsi="Palatino Linotype" w:cs="Palatino Linotype"/>
          <w:b/>
          <w:bCs/>
          <w:i/>
          <w:iCs/>
          <w:sz w:val="22"/>
          <w:szCs w:val="22"/>
        </w:rPr>
        <w:t>Segundo.-</w:t>
      </w:r>
      <w:r w:rsidRPr="00E450DD">
        <w:rPr>
          <w:rFonts w:ascii="Palatino Linotype" w:eastAsia="Palatino Linotype" w:hAnsi="Palatino Linotype" w:cs="Palatino Linotype"/>
          <w:i/>
          <w:iCs/>
          <w:sz w:val="22"/>
          <w:szCs w:val="22"/>
        </w:rPr>
        <w:t xml:space="preserve"> Para efectos de los presentes Lineamientos Generales, se entenderá por:</w:t>
      </w:r>
    </w:p>
    <w:p w14:paraId="5C2E21BB" w14:textId="77777777" w:rsidR="002B6F07" w:rsidRPr="00E450DD" w:rsidRDefault="002B6F07" w:rsidP="002B6F07">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XVIII.</w:t>
      </w:r>
      <w:r w:rsidRPr="00E450DD">
        <w:rPr>
          <w:rFonts w:ascii="Palatino Linotype" w:eastAsia="Palatino Linotype" w:hAnsi="Palatino Linotype" w:cs="Palatino Linotype"/>
          <w:i/>
          <w:iCs/>
          <w:sz w:val="22"/>
          <w:szCs w:val="22"/>
        </w:rPr>
        <w:t xml:space="preserve"> </w:t>
      </w:r>
      <w:r w:rsidRPr="00E450DD">
        <w:rPr>
          <w:rFonts w:ascii="Palatino Linotype" w:eastAsia="Palatino Linotype" w:hAnsi="Palatino Linotype" w:cs="Palatino Linotype"/>
          <w:b/>
          <w:bCs/>
          <w:i/>
          <w:iCs/>
          <w:sz w:val="22"/>
          <w:szCs w:val="22"/>
        </w:rPr>
        <w:t>Versión pública:</w:t>
      </w:r>
      <w:r w:rsidRPr="00E450DD">
        <w:rPr>
          <w:rFonts w:ascii="Palatino Linotype" w:eastAsia="Palatino Linotype" w:hAnsi="Palatino Linotype" w:cs="Palatino Linotype"/>
          <w:i/>
          <w:iCs/>
          <w:sz w:val="22"/>
          <w:szCs w:val="22"/>
        </w:rPr>
        <w:t xml:space="preserve"> El documento a partir del que se otorga acceso a la información, en el que se testan partes o secciones clasificadas, indicando el contenido de éstas de manera genérica, </w:t>
      </w:r>
      <w:r w:rsidRPr="00E450DD">
        <w:rPr>
          <w:rFonts w:ascii="Palatino Linotype" w:eastAsia="Palatino Linotype" w:hAnsi="Palatino Linotype" w:cs="Palatino Linotype"/>
          <w:b/>
          <w:bCs/>
          <w:i/>
          <w:iCs/>
          <w:sz w:val="22"/>
          <w:szCs w:val="22"/>
        </w:rPr>
        <w:t>fundando y motivando la</w:t>
      </w:r>
      <w:r w:rsidRPr="00E450DD">
        <w:rPr>
          <w:rFonts w:ascii="Palatino Linotype" w:eastAsia="Palatino Linotype" w:hAnsi="Palatino Linotype" w:cs="Palatino Linotype"/>
          <w:i/>
          <w:iCs/>
          <w:sz w:val="22"/>
          <w:szCs w:val="22"/>
        </w:rPr>
        <w:t xml:space="preserve"> </w:t>
      </w:r>
      <w:r w:rsidRPr="00E450DD">
        <w:rPr>
          <w:rFonts w:ascii="Palatino Linotype" w:eastAsia="Palatino Linotype" w:hAnsi="Palatino Linotype" w:cs="Palatino Linotype"/>
          <w:b/>
          <w:bCs/>
          <w:i/>
          <w:iCs/>
          <w:sz w:val="22"/>
          <w:szCs w:val="22"/>
        </w:rPr>
        <w:t>reserva o confidencialidad</w:t>
      </w:r>
      <w:r w:rsidRPr="00E450DD">
        <w:rPr>
          <w:rFonts w:ascii="Palatino Linotype" w:eastAsia="Palatino Linotype" w:hAnsi="Palatino Linotype" w:cs="Palatino Linotype"/>
          <w:i/>
          <w:iCs/>
          <w:sz w:val="22"/>
          <w:szCs w:val="22"/>
        </w:rPr>
        <w:t>, a través de la resolución que para tal efecto emita el Comité de Transparencia.</w:t>
      </w:r>
    </w:p>
    <w:p w14:paraId="70D0F592" w14:textId="77777777" w:rsidR="002B6F07" w:rsidRPr="00E450DD" w:rsidRDefault="002B6F07" w:rsidP="002B6F07">
      <w:pPr>
        <w:tabs>
          <w:tab w:val="left" w:pos="8222"/>
        </w:tabs>
        <w:spacing w:after="200" w:line="276" w:lineRule="auto"/>
        <w:ind w:left="851" w:right="616"/>
        <w:jc w:val="both"/>
        <w:rPr>
          <w:rFonts w:ascii="Palatino Linotype" w:eastAsia="Palatino Linotype" w:hAnsi="Palatino Linotype" w:cs="Palatino Linotype"/>
          <w:b/>
          <w:bCs/>
          <w:i/>
          <w:iCs/>
          <w:sz w:val="22"/>
          <w:szCs w:val="22"/>
        </w:rPr>
      </w:pPr>
      <w:r w:rsidRPr="00E450DD">
        <w:rPr>
          <w:rFonts w:ascii="Palatino Linotype" w:eastAsia="Palatino Linotype" w:hAnsi="Palatino Linotype" w:cs="Palatino Linotype"/>
          <w:b/>
          <w:bCs/>
          <w:i/>
          <w:iCs/>
          <w:sz w:val="22"/>
          <w:szCs w:val="22"/>
        </w:rPr>
        <w:t>...</w:t>
      </w:r>
    </w:p>
    <w:p w14:paraId="1B69DECC" w14:textId="77777777" w:rsidR="002B6F07" w:rsidRPr="00E450DD" w:rsidRDefault="002B6F07" w:rsidP="002B6F07">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Cuarto.</w:t>
      </w:r>
      <w:r w:rsidRPr="00E450DD">
        <w:rPr>
          <w:rFonts w:ascii="Palatino Linotype" w:eastAsia="Palatino Linotype" w:hAnsi="Palatino Linotype" w:cs="Palatino Linotype"/>
          <w:i/>
          <w:iCs/>
          <w:sz w:val="22"/>
          <w:szCs w:val="22"/>
        </w:rPr>
        <w:t xml:space="preserve"> </w:t>
      </w:r>
      <w:r w:rsidRPr="00E450DD">
        <w:rPr>
          <w:rFonts w:ascii="Palatino Linotype" w:eastAsia="Palatino Linotype" w:hAnsi="Palatino Linotype" w:cs="Palatino Linotype"/>
          <w:b/>
          <w:bCs/>
          <w:i/>
          <w:iCs/>
          <w:sz w:val="22"/>
          <w:szCs w:val="22"/>
        </w:rPr>
        <w:t>Para clasificar la información como</w:t>
      </w:r>
      <w:r w:rsidRPr="00E450DD">
        <w:rPr>
          <w:rFonts w:ascii="Palatino Linotype" w:eastAsia="Palatino Linotype" w:hAnsi="Palatino Linotype" w:cs="Palatino Linotype"/>
          <w:i/>
          <w:iCs/>
          <w:sz w:val="22"/>
          <w:szCs w:val="22"/>
        </w:rPr>
        <w:t xml:space="preserve"> </w:t>
      </w:r>
      <w:r w:rsidRPr="00E450DD">
        <w:rPr>
          <w:rFonts w:ascii="Palatino Linotype" w:eastAsia="Palatino Linotype" w:hAnsi="Palatino Linotype" w:cs="Palatino Linotype"/>
          <w:b/>
          <w:bCs/>
          <w:i/>
          <w:iCs/>
          <w:sz w:val="22"/>
          <w:szCs w:val="22"/>
        </w:rPr>
        <w:t>reservada o</w:t>
      </w:r>
      <w:r w:rsidRPr="00E450DD">
        <w:rPr>
          <w:rFonts w:ascii="Palatino Linotype" w:eastAsia="Palatino Linotype" w:hAnsi="Palatino Linotype" w:cs="Palatino Linotype"/>
          <w:i/>
          <w:iCs/>
          <w:sz w:val="22"/>
          <w:szCs w:val="22"/>
        </w:rPr>
        <w:t xml:space="preserve"> </w:t>
      </w:r>
      <w:r w:rsidRPr="00E450DD">
        <w:rPr>
          <w:rFonts w:ascii="Palatino Linotype" w:eastAsia="Palatino Linotype" w:hAnsi="Palatino Linotype" w:cs="Palatino Linotype"/>
          <w:b/>
          <w:bCs/>
          <w:i/>
          <w:iCs/>
          <w:sz w:val="22"/>
          <w:szCs w:val="22"/>
        </w:rPr>
        <w:t>confidencial, de manera total o parcial, el titular del área del sujeto obligado deberá atender lo dispuesto por el Título Sexto de la Ley General</w:t>
      </w:r>
      <w:r w:rsidRPr="00E450DD">
        <w:rPr>
          <w:rFonts w:ascii="Palatino Linotype" w:eastAsia="Palatino Linotype" w:hAnsi="Palatino Linotype" w:cs="Palatino Linotype"/>
          <w:i/>
          <w:iCs/>
          <w:sz w:val="22"/>
          <w:szCs w:val="22"/>
        </w:rPr>
        <w:t>, en relación con las disposiciones contenidas en los presentes lineamientos, así como en aquellas disposiciones legales aplicables a la materia en el ámbito de sus respectivas competencias, en tanto estas últimas no contravengan lo dispuesto en la Ley General.</w:t>
      </w:r>
    </w:p>
    <w:p w14:paraId="4794FC38" w14:textId="77777777" w:rsidR="002B6F07" w:rsidRPr="00E450DD" w:rsidRDefault="002B6F07" w:rsidP="002B6F07">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Los sujetos obligados deberán aplicar, de manera estricta, las excepciones al derecho de acceso a la información y sólo podrán invocarlas cuando acrediten su procedencia.</w:t>
      </w:r>
    </w:p>
    <w:p w14:paraId="399CCE74" w14:textId="77777777" w:rsidR="002B6F07" w:rsidRPr="00E450DD" w:rsidRDefault="002B6F07" w:rsidP="002B6F07">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Quinto.</w:t>
      </w:r>
      <w:r w:rsidRPr="00E450DD">
        <w:rPr>
          <w:rFonts w:ascii="Palatino Linotype" w:eastAsia="Palatino Linotype" w:hAnsi="Palatino Linotype" w:cs="Palatino Linotype"/>
          <w:i/>
          <w:iCs/>
          <w:sz w:val="22"/>
          <w:szCs w:val="22"/>
        </w:rPr>
        <w:t xml:space="preserve"> La carga de la prueba para justificar toda negativa de acceso a la información, por actualizarse cualquiera de los supuestos de clasificación previstos en la Ley General, la Ley Federal y leyes estatales, corresponderá a los sujetos obligados, por lo que deberán fundar y motivar debidamente la clasificación de la información ante una solicitud de acceso o al momento en que generen versiones públicas para dar cumplimiento a las obligaciones de transparencia, observando lo dispuesto en la Ley General y las demás disposiciones aplicables en la materia.</w:t>
      </w:r>
    </w:p>
    <w:p w14:paraId="4FA91760" w14:textId="77777777" w:rsidR="002B6F07" w:rsidRPr="00E450DD" w:rsidRDefault="002B6F07" w:rsidP="002B6F07">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Sexto.</w:t>
      </w:r>
      <w:r w:rsidRPr="00E450DD">
        <w:rPr>
          <w:rFonts w:ascii="Palatino Linotype" w:eastAsia="Palatino Linotype" w:hAnsi="Palatino Linotype" w:cs="Palatino Linotype"/>
          <w:i/>
          <w:iCs/>
          <w:sz w:val="22"/>
          <w:szCs w:val="22"/>
        </w:rPr>
        <w:t xml:space="preserve"> Se deroga.</w:t>
      </w:r>
    </w:p>
    <w:p w14:paraId="24F2928C" w14:textId="77777777" w:rsidR="002B6F07" w:rsidRPr="00E450DD" w:rsidRDefault="002B6F07" w:rsidP="002B6F07">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Séptimo.</w:t>
      </w:r>
      <w:r w:rsidRPr="00E450DD">
        <w:rPr>
          <w:rFonts w:ascii="Palatino Linotype" w:eastAsia="Palatino Linotype" w:hAnsi="Palatino Linotype" w:cs="Palatino Linotype"/>
          <w:i/>
          <w:iCs/>
          <w:sz w:val="22"/>
          <w:szCs w:val="22"/>
        </w:rPr>
        <w:t xml:space="preserve"> La clasificación de la información se llevará a cabo en el momento en que:</w:t>
      </w:r>
    </w:p>
    <w:p w14:paraId="08ECC214" w14:textId="77777777" w:rsidR="002B6F07" w:rsidRPr="00E450DD" w:rsidRDefault="002B6F07" w:rsidP="002B6F07">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I.</w:t>
      </w:r>
      <w:r w:rsidRPr="00E450DD">
        <w:rPr>
          <w:rFonts w:ascii="Palatino Linotype" w:eastAsia="Palatino Linotype" w:hAnsi="Palatino Linotype" w:cs="Palatino Linotype"/>
          <w:i/>
          <w:iCs/>
          <w:sz w:val="22"/>
          <w:szCs w:val="22"/>
        </w:rPr>
        <w:t xml:space="preserve"> Se reciba una solicitud de acceso a la información;</w:t>
      </w:r>
    </w:p>
    <w:p w14:paraId="7DDE3C19" w14:textId="77777777" w:rsidR="002B6F07" w:rsidRPr="00E450DD" w:rsidRDefault="002B6F07" w:rsidP="002B6F07">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II.</w:t>
      </w:r>
      <w:r w:rsidRPr="00E450DD">
        <w:rPr>
          <w:rFonts w:ascii="Palatino Linotype" w:eastAsia="Palatino Linotype" w:hAnsi="Palatino Linotype" w:cs="Palatino Linotype"/>
          <w:i/>
          <w:iCs/>
          <w:sz w:val="22"/>
          <w:szCs w:val="22"/>
        </w:rPr>
        <w:t xml:space="preserve"> Se determine mediante resolución del Comité de Transparencia, el órgano garante competente, o en cumplimiento a una sentencia del Poder Judicial; o</w:t>
      </w:r>
    </w:p>
    <w:p w14:paraId="51B48C2F" w14:textId="77777777" w:rsidR="002B6F07" w:rsidRPr="00E450DD" w:rsidRDefault="002B6F07" w:rsidP="002B6F07">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III.</w:t>
      </w:r>
      <w:r w:rsidRPr="00E450DD">
        <w:rPr>
          <w:rFonts w:ascii="Palatino Linotype" w:eastAsia="Palatino Linotype" w:hAnsi="Palatino Linotype" w:cs="Palatino Linotype"/>
          <w:i/>
          <w:iCs/>
          <w:sz w:val="22"/>
          <w:szCs w:val="22"/>
        </w:rPr>
        <w:t xml:space="preserve"> Se generen versiones públicas para dar cumplimiento a las obligaciones de transparencia previstas en la Ley General, la Ley Federal y las correspondientes de las entidades federativas.</w:t>
      </w:r>
    </w:p>
    <w:p w14:paraId="1672BFB8" w14:textId="77777777" w:rsidR="002B6F07" w:rsidRPr="00E450DD" w:rsidRDefault="002B6F07" w:rsidP="002B6F07">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Los titulares de las áreas deberán revisar la clasificación al momento de la recepción de una solicitud de acceso, para verificar</w:t>
      </w:r>
      <w:r w:rsidRPr="00E450DD">
        <w:rPr>
          <w:rFonts w:ascii="Palatino Linotype" w:eastAsia="Palatino Linotype" w:hAnsi="Palatino Linotype" w:cs="Palatino Linotype"/>
          <w:sz w:val="22"/>
          <w:szCs w:val="22"/>
        </w:rPr>
        <w:t xml:space="preserve">, </w:t>
      </w:r>
      <w:r w:rsidRPr="00E450DD">
        <w:rPr>
          <w:rFonts w:ascii="Palatino Linotype" w:eastAsia="Palatino Linotype" w:hAnsi="Palatino Linotype" w:cs="Palatino Linotype"/>
          <w:i/>
          <w:iCs/>
          <w:sz w:val="22"/>
          <w:szCs w:val="22"/>
        </w:rPr>
        <w:t>conforme a su naturaleza, si encuadra en una causal de reserva o de confidencialidad.</w:t>
      </w:r>
    </w:p>
    <w:p w14:paraId="4B31A4C0" w14:textId="77777777" w:rsidR="002B6F07" w:rsidRPr="00E450DD" w:rsidRDefault="002B6F07" w:rsidP="002B6F07">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Octavo.</w:t>
      </w:r>
      <w:r w:rsidRPr="00E450DD">
        <w:rPr>
          <w:rFonts w:ascii="Palatino Linotype" w:eastAsia="Palatino Linotype" w:hAnsi="Palatino Linotype" w:cs="Palatino Linotype"/>
          <w:i/>
          <w:iCs/>
          <w:sz w:val="22"/>
          <w:szCs w:val="22"/>
        </w:rPr>
        <w:t xml:space="preserve"> Para fundar la clasificación de la información se debe señalar el artículo, fracción, inciso, párrafo o numeral de la ley o tratado internacional suscrito por el Estado mexicano que expresamente le otorga el carácter de reservada o confidencial.</w:t>
      </w:r>
    </w:p>
    <w:p w14:paraId="4A8A2859" w14:textId="77777777" w:rsidR="002B6F07" w:rsidRPr="00E450DD" w:rsidRDefault="002B6F07" w:rsidP="002B6F07">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Para motivar la clasificación se deberán señalar las razones o circunstancias especiales que lo llevaron a concluir que el caso particular se ajusta al supuesto previsto por la norma legal invocada como fundamento.</w:t>
      </w:r>
    </w:p>
    <w:p w14:paraId="313ACCED" w14:textId="77777777" w:rsidR="002B6F07" w:rsidRPr="00E450DD" w:rsidRDefault="002B6F07" w:rsidP="002B6F07">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En caso de referirse a información reservada, la motivación de la clasificación deberá comprender el análisis de la prueba de daño a que hace referencia el artículo 104 de la Ley General, en relación con el artículo trigésimo tercero de los presentes lineamientos, así como las circunstancias que justifican el establecimiento de determinado plazo de reserva.</w:t>
      </w:r>
    </w:p>
    <w:p w14:paraId="37D47DD5" w14:textId="77777777" w:rsidR="002B6F07" w:rsidRPr="00E450DD" w:rsidRDefault="002B6F07" w:rsidP="002B6F07">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Noveno.</w:t>
      </w:r>
      <w:r w:rsidRPr="00E450DD">
        <w:rPr>
          <w:rFonts w:ascii="Palatino Linotype" w:eastAsia="Palatino Linotype" w:hAnsi="Palatino Linotype" w:cs="Palatino Linotype"/>
          <w:i/>
          <w:iCs/>
          <w:sz w:val="22"/>
          <w:szCs w:val="22"/>
        </w:rPr>
        <w:t xml:space="preserve"> En los casos en que se solicite un documento o expediente que contenga partes o secciones clasificadas, los titulares de las áreas deberán elaborar una versión pública fundando y motivando la clasificación de las partes o secciones que se testen, siguiendo los procedimientos establecidos en el Capítulo IX de los presentes lineamientos.</w:t>
      </w:r>
    </w:p>
    <w:p w14:paraId="6DEC3722" w14:textId="77777777" w:rsidR="002B6F07" w:rsidRPr="00E450DD" w:rsidRDefault="002B6F07" w:rsidP="002B6F07">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Décimo.</w:t>
      </w:r>
      <w:r w:rsidRPr="00E450DD">
        <w:rPr>
          <w:rFonts w:ascii="Palatino Linotype" w:eastAsia="Palatino Linotype" w:hAnsi="Palatino Linotype" w:cs="Palatino Linotype"/>
          <w:i/>
          <w:iCs/>
          <w:sz w:val="22"/>
          <w:szCs w:val="22"/>
        </w:rPr>
        <w:t xml:space="preserve"> Los titulares de las áreas, deberán tener conocimiento y llevar un registro del personal que, por la naturaleza de sus atribuciones, tenga acceso a los documentos clasificados. Asimismo, deberán asegurarse de que dicho personal cuente con los conocimientos técnicos y legales que le permitan manejar adecuadamente la información clasificada, en los términos de la Ley General de Archivos, Lineamientos para la Organización y Conservación de Archivos y demás normatividad aplicable.</w:t>
      </w:r>
    </w:p>
    <w:p w14:paraId="1A0BFCA1" w14:textId="77777777" w:rsidR="002B6F07" w:rsidRPr="00E450DD" w:rsidRDefault="002B6F07" w:rsidP="002B6F07">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En ausencia de los titulares de las áreas, la información será clasificada o desclasificada por la persona que lo supla, en términos de la normativa que rija la actuación del sujeto obligado.</w:t>
      </w:r>
    </w:p>
    <w:p w14:paraId="58E767E8" w14:textId="77777777" w:rsidR="002B6F07" w:rsidRPr="00E450DD" w:rsidRDefault="002B6F07" w:rsidP="002B6F07">
      <w:pPr>
        <w:tabs>
          <w:tab w:val="left" w:pos="8222"/>
        </w:tabs>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Décimo primero.</w:t>
      </w:r>
      <w:r w:rsidRPr="00E450DD">
        <w:rPr>
          <w:rFonts w:ascii="Palatino Linotype" w:eastAsia="Palatino Linotype" w:hAnsi="Palatino Linotype" w:cs="Palatino Linotype"/>
          <w:i/>
          <w:iCs/>
          <w:sz w:val="22"/>
          <w:szCs w:val="22"/>
        </w:rPr>
        <w:t xml:space="preserve"> En el intercambio de información entre sujetos obligados para el ejercicio de sus atribuciones, los documentos que se encuentren clasificados deberán llevar la leyenda correspondiente de conformidad con lo dispuesto en el Capítulo VIII de los presentes lineamientos.” </w:t>
      </w:r>
    </w:p>
    <w:p w14:paraId="408A0AB2" w14:textId="77777777" w:rsidR="002B6F07" w:rsidRPr="00E450DD" w:rsidRDefault="002B6F07" w:rsidP="002B6F07">
      <w:pPr>
        <w:pBdr>
          <w:top w:val="nil"/>
          <w:left w:val="nil"/>
          <w:bottom w:val="nil"/>
          <w:right w:val="nil"/>
          <w:between w:val="nil"/>
        </w:pBdr>
        <w:spacing w:before="240" w:after="240" w:line="360" w:lineRule="auto"/>
        <w:ind w:right="51"/>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Asimismo, respecto a las formalidades que deberá llevar el acuerdo de clasificación que deberá emitir el </w:t>
      </w:r>
      <w:r w:rsidRPr="00E450DD">
        <w:rPr>
          <w:rFonts w:ascii="Palatino Linotype" w:eastAsia="Palatino Linotype" w:hAnsi="Palatino Linotype" w:cs="Palatino Linotype"/>
          <w:b/>
          <w:bCs/>
          <w:sz w:val="22"/>
          <w:szCs w:val="22"/>
        </w:rPr>
        <w:t>Sujeto Obligado</w:t>
      </w:r>
      <w:r w:rsidRPr="00E450DD">
        <w:rPr>
          <w:rFonts w:ascii="Palatino Linotype" w:eastAsia="Palatino Linotype" w:hAnsi="Palatino Linotype" w:cs="Palatino Linotype"/>
          <w:sz w:val="22"/>
          <w:szCs w:val="22"/>
        </w:rPr>
        <w:t xml:space="preserve"> a través de su Comité de Transparencia, los Lineamientos Quincuagésimo y Quincuagésimo primero de los Lineamientos Generales en Materia de Clasificación y Desclasificación de la Información, así como para la Elaboración de Versiones Públicas, vigentes a la fecha de la solicitud, señalan lo siguiente:</w:t>
      </w:r>
    </w:p>
    <w:p w14:paraId="0AC91939" w14:textId="77777777" w:rsidR="002B6F07" w:rsidRPr="00E450DD" w:rsidRDefault="002B6F07" w:rsidP="002B6F07">
      <w:pPr>
        <w:spacing w:after="200" w:line="276" w:lineRule="auto"/>
        <w:ind w:left="851"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 xml:space="preserve">“Quincuagésimo. </w:t>
      </w:r>
      <w:r w:rsidRPr="00E450DD">
        <w:rPr>
          <w:rFonts w:ascii="Palatino Linotype" w:eastAsia="Palatino Linotype" w:hAnsi="Palatino Linotype" w:cs="Palatino Linotype"/>
          <w:i/>
          <w:iCs/>
          <w:sz w:val="22"/>
          <w:szCs w:val="22"/>
        </w:rPr>
        <w:t xml:space="preserve">Los titulares de las áreas de los sujetos obligados podrán establecer sus propios modelos o formatos para la elaboración de versiones públicas de documentos o expedientes, siempre y cuando cumplan lo establecido en los presentes Lineamientos, así como en las correspondientes Leyes Generales. </w:t>
      </w:r>
    </w:p>
    <w:p w14:paraId="5FD948EA" w14:textId="77777777" w:rsidR="002B6F07" w:rsidRPr="00E450DD" w:rsidRDefault="002B6F07" w:rsidP="002B6F07">
      <w:pPr>
        <w:pBdr>
          <w:top w:val="nil"/>
          <w:left w:val="nil"/>
          <w:bottom w:val="nil"/>
          <w:right w:val="nil"/>
          <w:between w:val="nil"/>
        </w:pBdr>
        <w:spacing w:after="200" w:line="276" w:lineRule="auto"/>
        <w:ind w:left="851"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 xml:space="preserve">Quincuagésimo primero. </w:t>
      </w:r>
      <w:r w:rsidRPr="00E450DD">
        <w:rPr>
          <w:rFonts w:ascii="Palatino Linotype" w:eastAsia="Palatino Linotype" w:hAnsi="Palatino Linotype" w:cs="Palatino Linotype"/>
          <w:i/>
          <w:iCs/>
          <w:sz w:val="22"/>
          <w:szCs w:val="22"/>
        </w:rPr>
        <w:t xml:space="preserve">Toda acta del Comité de Transparencia deberá contener: </w:t>
      </w:r>
    </w:p>
    <w:p w14:paraId="2DCF3577" w14:textId="77777777" w:rsidR="002B6F07" w:rsidRPr="00E450DD" w:rsidRDefault="002B6F07" w:rsidP="002B6F07">
      <w:pPr>
        <w:pBdr>
          <w:top w:val="nil"/>
          <w:left w:val="nil"/>
          <w:bottom w:val="nil"/>
          <w:right w:val="nil"/>
          <w:between w:val="nil"/>
        </w:pBdr>
        <w:spacing w:after="200" w:line="276" w:lineRule="auto"/>
        <w:ind w:left="1134"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I.</w:t>
      </w:r>
      <w:r w:rsidRPr="00E450DD">
        <w:rPr>
          <w:rFonts w:ascii="Palatino Linotype" w:eastAsia="Palatino Linotype" w:hAnsi="Palatino Linotype" w:cs="Palatino Linotype"/>
          <w:i/>
          <w:iCs/>
          <w:sz w:val="22"/>
          <w:szCs w:val="22"/>
        </w:rPr>
        <w:t xml:space="preserve"> El número de sesión y fecha; </w:t>
      </w:r>
    </w:p>
    <w:p w14:paraId="0142E4C2" w14:textId="77777777" w:rsidR="002B6F07" w:rsidRPr="00E450DD" w:rsidRDefault="002B6F07" w:rsidP="002B6F07">
      <w:pPr>
        <w:pBdr>
          <w:top w:val="nil"/>
          <w:left w:val="nil"/>
          <w:bottom w:val="nil"/>
          <w:right w:val="nil"/>
          <w:between w:val="nil"/>
        </w:pBdr>
        <w:spacing w:after="200" w:line="276" w:lineRule="auto"/>
        <w:ind w:left="1134"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II</w:t>
      </w:r>
      <w:r w:rsidRPr="00E450DD">
        <w:rPr>
          <w:rFonts w:ascii="Palatino Linotype" w:eastAsia="Palatino Linotype" w:hAnsi="Palatino Linotype" w:cs="Palatino Linotype"/>
          <w:i/>
          <w:iCs/>
          <w:sz w:val="22"/>
          <w:szCs w:val="22"/>
        </w:rPr>
        <w:t xml:space="preserve">. El nombre del área que solicitó la clasificación de información; </w:t>
      </w:r>
    </w:p>
    <w:p w14:paraId="7E4EA7BC" w14:textId="77777777" w:rsidR="002B6F07" w:rsidRPr="00E450DD" w:rsidRDefault="002B6F07" w:rsidP="002B6F07">
      <w:pPr>
        <w:pBdr>
          <w:top w:val="nil"/>
          <w:left w:val="nil"/>
          <w:bottom w:val="nil"/>
          <w:right w:val="nil"/>
          <w:between w:val="nil"/>
        </w:pBdr>
        <w:spacing w:after="200" w:line="276" w:lineRule="auto"/>
        <w:ind w:left="1134"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III</w:t>
      </w:r>
      <w:r w:rsidRPr="00E450DD">
        <w:rPr>
          <w:rFonts w:ascii="Palatino Linotype" w:eastAsia="Palatino Linotype" w:hAnsi="Palatino Linotype" w:cs="Palatino Linotype"/>
          <w:i/>
          <w:iCs/>
          <w:sz w:val="22"/>
          <w:szCs w:val="22"/>
        </w:rPr>
        <w:t xml:space="preserve">. La fundamentación legal y motivación correspondiente; </w:t>
      </w:r>
    </w:p>
    <w:p w14:paraId="2A85DF85" w14:textId="77777777" w:rsidR="002B6F07" w:rsidRPr="00E450DD" w:rsidRDefault="002B6F07" w:rsidP="002B6F07">
      <w:pPr>
        <w:pBdr>
          <w:top w:val="nil"/>
          <w:left w:val="nil"/>
          <w:bottom w:val="nil"/>
          <w:right w:val="nil"/>
          <w:between w:val="nil"/>
        </w:pBdr>
        <w:spacing w:after="200" w:line="276" w:lineRule="auto"/>
        <w:ind w:left="1134"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IV</w:t>
      </w:r>
      <w:r w:rsidRPr="00E450DD">
        <w:rPr>
          <w:rFonts w:ascii="Palatino Linotype" w:eastAsia="Palatino Linotype" w:hAnsi="Palatino Linotype" w:cs="Palatino Linotype"/>
          <w:i/>
          <w:iCs/>
          <w:sz w:val="22"/>
          <w:szCs w:val="22"/>
        </w:rPr>
        <w:t xml:space="preserve">. La resolución o resoluciones aprobadas; y </w:t>
      </w:r>
    </w:p>
    <w:p w14:paraId="6CDCB8DF" w14:textId="77777777" w:rsidR="002B6F07" w:rsidRPr="00E450DD" w:rsidRDefault="002B6F07" w:rsidP="002B6F07">
      <w:pPr>
        <w:pBdr>
          <w:top w:val="nil"/>
          <w:left w:val="nil"/>
          <w:bottom w:val="nil"/>
          <w:right w:val="nil"/>
          <w:between w:val="nil"/>
        </w:pBdr>
        <w:spacing w:after="200" w:line="276" w:lineRule="auto"/>
        <w:ind w:left="1134"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V</w:t>
      </w:r>
      <w:r w:rsidRPr="00E450DD">
        <w:rPr>
          <w:rFonts w:ascii="Palatino Linotype" w:eastAsia="Palatino Linotype" w:hAnsi="Palatino Linotype" w:cs="Palatino Linotype"/>
          <w:i/>
          <w:iCs/>
          <w:sz w:val="22"/>
          <w:szCs w:val="22"/>
        </w:rPr>
        <w:t xml:space="preserve">. La rúbrica o firma digital de cada integrante del Comité de Transparencia. </w:t>
      </w:r>
    </w:p>
    <w:p w14:paraId="6AAD2EC2" w14:textId="77777777" w:rsidR="002B6F07" w:rsidRPr="00E450DD" w:rsidRDefault="002B6F07" w:rsidP="002B6F07">
      <w:pPr>
        <w:pBdr>
          <w:top w:val="nil"/>
          <w:left w:val="nil"/>
          <w:bottom w:val="nil"/>
          <w:right w:val="nil"/>
          <w:between w:val="nil"/>
        </w:pBdr>
        <w:spacing w:after="200" w:line="276" w:lineRule="auto"/>
        <w:ind w:left="851"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 xml:space="preserve">Las resoluciones del Comité en las que se haya determinado confirmar o modificar la clasificación de información pública como reservada, deberán incluir, cuando menos: </w:t>
      </w:r>
    </w:p>
    <w:p w14:paraId="10E7AA1C" w14:textId="77777777" w:rsidR="002B6F07" w:rsidRPr="00E450DD" w:rsidRDefault="002B6F07" w:rsidP="002B6F07">
      <w:pPr>
        <w:pBdr>
          <w:top w:val="nil"/>
          <w:left w:val="nil"/>
          <w:bottom w:val="nil"/>
          <w:right w:val="nil"/>
          <w:between w:val="nil"/>
        </w:pBdr>
        <w:spacing w:after="200" w:line="276" w:lineRule="auto"/>
        <w:ind w:left="1134"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I.</w:t>
      </w:r>
      <w:r w:rsidRPr="00E450DD">
        <w:rPr>
          <w:rFonts w:ascii="Palatino Linotype" w:eastAsia="Palatino Linotype" w:hAnsi="Palatino Linotype" w:cs="Palatino Linotype"/>
          <w:i/>
          <w:iCs/>
          <w:sz w:val="22"/>
          <w:szCs w:val="22"/>
        </w:rPr>
        <w:t xml:space="preserve"> Los motivos y razonamientos que sustenten la confirmación o modificación de la prueba de daño;</w:t>
      </w:r>
    </w:p>
    <w:p w14:paraId="2275C1A6" w14:textId="77777777" w:rsidR="002B6F07" w:rsidRPr="00E450DD" w:rsidRDefault="002B6F07" w:rsidP="002B6F07">
      <w:pPr>
        <w:pBdr>
          <w:top w:val="nil"/>
          <w:left w:val="nil"/>
          <w:bottom w:val="nil"/>
          <w:right w:val="nil"/>
          <w:between w:val="nil"/>
        </w:pBdr>
        <w:spacing w:after="200" w:line="276" w:lineRule="auto"/>
        <w:ind w:left="1134" w:right="902"/>
        <w:jc w:val="both"/>
        <w:rPr>
          <w:rFonts w:ascii="Palatino Linotype" w:eastAsia="Palatino Linotype" w:hAnsi="Palatino Linotype" w:cs="Palatino Linotype"/>
          <w:b/>
          <w:bCs/>
          <w:i/>
          <w:iCs/>
          <w:sz w:val="22"/>
          <w:szCs w:val="22"/>
        </w:rPr>
      </w:pPr>
      <w:r w:rsidRPr="00E450DD">
        <w:rPr>
          <w:rFonts w:ascii="Palatino Linotype" w:eastAsia="Palatino Linotype" w:hAnsi="Palatino Linotype" w:cs="Palatino Linotype"/>
          <w:b/>
          <w:bCs/>
          <w:i/>
          <w:iCs/>
          <w:sz w:val="22"/>
          <w:szCs w:val="22"/>
        </w:rPr>
        <w:t>II</w:t>
      </w:r>
      <w:r w:rsidRPr="00E450DD">
        <w:rPr>
          <w:rFonts w:ascii="Palatino Linotype" w:eastAsia="Palatino Linotype" w:hAnsi="Palatino Linotype" w:cs="Palatino Linotype"/>
          <w:i/>
          <w:iCs/>
          <w:sz w:val="22"/>
          <w:szCs w:val="22"/>
        </w:rPr>
        <w:t>. Descripción de las partes o secciones reservadas, en caso de clasificación parcial</w:t>
      </w:r>
      <w:r w:rsidRPr="00E450DD">
        <w:rPr>
          <w:rFonts w:ascii="Palatino Linotype" w:eastAsia="Palatino Linotype" w:hAnsi="Palatino Linotype" w:cs="Palatino Linotype"/>
          <w:b/>
          <w:bCs/>
          <w:i/>
          <w:iCs/>
          <w:sz w:val="22"/>
          <w:szCs w:val="22"/>
        </w:rPr>
        <w:t xml:space="preserve">; </w:t>
      </w:r>
    </w:p>
    <w:p w14:paraId="1A92D01A" w14:textId="77777777" w:rsidR="002B6F07" w:rsidRPr="00E450DD" w:rsidRDefault="002B6F07" w:rsidP="002B6F07">
      <w:pPr>
        <w:pBdr>
          <w:top w:val="nil"/>
          <w:left w:val="nil"/>
          <w:bottom w:val="nil"/>
          <w:right w:val="nil"/>
          <w:between w:val="nil"/>
        </w:pBdr>
        <w:spacing w:after="200" w:line="276" w:lineRule="auto"/>
        <w:ind w:left="1134"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III.</w:t>
      </w:r>
      <w:r w:rsidRPr="00E450DD">
        <w:rPr>
          <w:rFonts w:ascii="Palatino Linotype" w:eastAsia="Palatino Linotype" w:hAnsi="Palatino Linotype" w:cs="Palatino Linotype"/>
          <w:i/>
          <w:iCs/>
          <w:sz w:val="22"/>
          <w:szCs w:val="22"/>
        </w:rPr>
        <w:t xml:space="preserve"> El periodo por el que mantendrá su clasificación y fecha de expiración; y </w:t>
      </w:r>
    </w:p>
    <w:p w14:paraId="0D464446" w14:textId="77777777" w:rsidR="002B6F07" w:rsidRPr="00E450DD" w:rsidRDefault="002B6F07" w:rsidP="002B6F07">
      <w:pPr>
        <w:pBdr>
          <w:top w:val="nil"/>
          <w:left w:val="nil"/>
          <w:bottom w:val="nil"/>
          <w:right w:val="nil"/>
          <w:between w:val="nil"/>
        </w:pBdr>
        <w:spacing w:after="200" w:line="276" w:lineRule="auto"/>
        <w:ind w:left="1134"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IV.</w:t>
      </w:r>
      <w:r w:rsidRPr="00E450DD">
        <w:rPr>
          <w:rFonts w:ascii="Palatino Linotype" w:eastAsia="Palatino Linotype" w:hAnsi="Palatino Linotype" w:cs="Palatino Linotype"/>
          <w:i/>
          <w:iCs/>
          <w:sz w:val="22"/>
          <w:szCs w:val="22"/>
        </w:rPr>
        <w:t xml:space="preserve"> El nombre del titular y área encargada de realizar la versión pública del documento, en su caso. </w:t>
      </w:r>
    </w:p>
    <w:p w14:paraId="5BB5E833" w14:textId="77777777" w:rsidR="002B6F07" w:rsidRPr="00E450DD" w:rsidRDefault="002B6F07" w:rsidP="002B6F07">
      <w:pPr>
        <w:pBdr>
          <w:top w:val="nil"/>
          <w:left w:val="nil"/>
          <w:bottom w:val="nil"/>
          <w:right w:val="nil"/>
          <w:between w:val="nil"/>
        </w:pBdr>
        <w:spacing w:after="200" w:line="276" w:lineRule="auto"/>
        <w:ind w:left="851"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 xml:space="preserve">En los casos en que se clasifique la información como reservada siempre se entregará o anexará la prueba de daño con la respuesta al solicitante. </w:t>
      </w:r>
    </w:p>
    <w:p w14:paraId="6C99E443" w14:textId="77777777" w:rsidR="002B6F07" w:rsidRPr="00E450DD" w:rsidRDefault="002B6F07" w:rsidP="002B6F07">
      <w:pPr>
        <w:pBdr>
          <w:top w:val="nil"/>
          <w:left w:val="nil"/>
          <w:bottom w:val="nil"/>
          <w:right w:val="nil"/>
          <w:between w:val="nil"/>
        </w:pBdr>
        <w:spacing w:after="200" w:line="276" w:lineRule="auto"/>
        <w:ind w:left="851" w:right="902"/>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En los casos de resoluciones del Comité de Transparencia en las que se confirme la clasificación de información confidencial solo se deberán de identificar los tipos de datos protegidos, de conformidad con el lineamiento trigésimo octavo.</w:t>
      </w:r>
    </w:p>
    <w:p w14:paraId="66D6C238" w14:textId="77777777" w:rsidR="002B6F07" w:rsidRPr="00E450DD" w:rsidRDefault="002B6F07" w:rsidP="002B6F07">
      <w:pPr>
        <w:spacing w:before="240" w:after="240"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Para la elaboración de las versiones públicas, además, se deberán observar las formalidades establecidas en los Lineamientos Quincuagésimo segundo, Quincuagésimo cuarto, Quincuagésimo quinto, Quincuagésimo séptimo y Quincuagésimo octavo, vigentes a la fecha de la solicitud, que establecen lo siguiente:</w:t>
      </w:r>
    </w:p>
    <w:p w14:paraId="57E5BD20" w14:textId="77777777" w:rsidR="002B6F07" w:rsidRPr="00E450DD" w:rsidRDefault="002B6F07" w:rsidP="002B6F07">
      <w:pPr>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w:t>
      </w:r>
      <w:r w:rsidRPr="00E450DD">
        <w:rPr>
          <w:rFonts w:ascii="Palatino Linotype" w:eastAsia="Palatino Linotype" w:hAnsi="Palatino Linotype" w:cs="Palatino Linotype"/>
          <w:b/>
          <w:bCs/>
          <w:i/>
          <w:iCs/>
          <w:sz w:val="22"/>
          <w:szCs w:val="22"/>
        </w:rPr>
        <w:t>Quincuagésimo segundo</w:t>
      </w:r>
      <w:r w:rsidRPr="00E450DD">
        <w:rPr>
          <w:rFonts w:ascii="Palatino Linotype" w:eastAsia="Palatino Linotype" w:hAnsi="Palatino Linotype" w:cs="Palatino Linotype"/>
          <w:i/>
          <w:iCs/>
          <w:sz w:val="22"/>
          <w:szCs w:val="22"/>
        </w:rPr>
        <w:t>. Para la clasificación y elaboración de versiones públicas de documentos que contengan información clasificada como reservada o confidencial, las áreas de los sujetos obligados deberán tomar las medidas pertinentes tendientes a asegurar que el espacio utilizado para testar la información no podrá ser empleado para la sobreposición de contenido distinto al autorizado por el Comité.</w:t>
      </w:r>
    </w:p>
    <w:p w14:paraId="23956C36" w14:textId="77777777" w:rsidR="002B6F07" w:rsidRPr="00E450DD" w:rsidRDefault="002B6F07" w:rsidP="002B6F07">
      <w:pPr>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 xml:space="preserve">En el caso específico de la clasificación y elaboración de versiones públicas de documentos que contengan información confidencial, las áreas de los sujetos obligados deberán: </w:t>
      </w:r>
    </w:p>
    <w:p w14:paraId="36652990" w14:textId="77777777" w:rsidR="002B6F07" w:rsidRPr="00E450DD" w:rsidRDefault="002B6F07" w:rsidP="002B6F07">
      <w:pPr>
        <w:spacing w:after="200" w:line="276" w:lineRule="auto"/>
        <w:ind w:left="1134"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I.</w:t>
      </w:r>
      <w:r w:rsidRPr="00E450DD">
        <w:rPr>
          <w:rFonts w:ascii="Palatino Linotype" w:eastAsia="Palatino Linotype" w:hAnsi="Palatino Linotype" w:cs="Palatino Linotype"/>
          <w:i/>
          <w:iCs/>
          <w:sz w:val="22"/>
          <w:szCs w:val="22"/>
        </w:rPr>
        <w:t xml:space="preserve"> Fijar la fecha en que se elaboró la versión pública y la fecha en la cual el Comité de Transparencia confirmó dicha versión;</w:t>
      </w:r>
    </w:p>
    <w:p w14:paraId="61F839E6" w14:textId="77777777" w:rsidR="002B6F07" w:rsidRPr="00E450DD" w:rsidRDefault="002B6F07" w:rsidP="002B6F07">
      <w:pPr>
        <w:spacing w:after="200" w:line="276" w:lineRule="auto"/>
        <w:ind w:left="1134"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II.</w:t>
      </w:r>
      <w:r w:rsidRPr="00E450DD">
        <w:rPr>
          <w:rFonts w:ascii="Palatino Linotype" w:eastAsia="Palatino Linotype" w:hAnsi="Palatino Linotype" w:cs="Palatino Linotype"/>
          <w:i/>
          <w:iCs/>
          <w:sz w:val="22"/>
          <w:szCs w:val="22"/>
        </w:rPr>
        <w:t xml:space="preserve"> Señalar dentro del documento el tipo de información confidencial que fue testada en cada caso específico, de conformidad con el lineamiento trigésimo octavo; y</w:t>
      </w:r>
    </w:p>
    <w:p w14:paraId="0AD21C6D" w14:textId="77777777" w:rsidR="002B6F07" w:rsidRPr="00E450DD" w:rsidRDefault="002B6F07" w:rsidP="002B6F07">
      <w:pPr>
        <w:spacing w:after="200" w:line="276" w:lineRule="auto"/>
        <w:ind w:left="1134"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III.</w:t>
      </w:r>
      <w:r w:rsidRPr="00E450DD">
        <w:rPr>
          <w:rFonts w:ascii="Palatino Linotype" w:eastAsia="Palatino Linotype" w:hAnsi="Palatino Linotype" w:cs="Palatino Linotype"/>
          <w:i/>
          <w:iCs/>
          <w:sz w:val="22"/>
          <w:szCs w:val="22"/>
        </w:rPr>
        <w:t xml:space="preserve"> Señalar las personas o instancias autorizadas a acceder a la información clasificada.</w:t>
      </w:r>
    </w:p>
    <w:p w14:paraId="39993C58" w14:textId="77777777" w:rsidR="002B6F07" w:rsidRPr="00E450DD" w:rsidRDefault="002B6F07" w:rsidP="002B6F07">
      <w:pPr>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En los documentos de difusión electrónica, señalar en la primera hoja y en el nombre del archivo, que la versión pública corresponde a un documento que contiene información confidencial.”</w:t>
      </w:r>
    </w:p>
    <w:p w14:paraId="46ACBF08" w14:textId="77777777" w:rsidR="002B6F07" w:rsidRPr="00E450DD" w:rsidRDefault="002B6F07" w:rsidP="002B6F07">
      <w:pPr>
        <w:pBdr>
          <w:top w:val="nil"/>
          <w:left w:val="nil"/>
          <w:bottom w:val="nil"/>
          <w:right w:val="nil"/>
          <w:between w:val="nil"/>
        </w:pBdr>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w:t>
      </w:r>
    </w:p>
    <w:p w14:paraId="6C295F2F" w14:textId="77777777" w:rsidR="002B6F07" w:rsidRPr="00E450DD" w:rsidRDefault="002B6F07" w:rsidP="002B6F07">
      <w:pPr>
        <w:pBdr>
          <w:top w:val="nil"/>
          <w:left w:val="nil"/>
          <w:bottom w:val="nil"/>
          <w:right w:val="nil"/>
          <w:between w:val="nil"/>
        </w:pBdr>
        <w:spacing w:after="200" w:line="276" w:lineRule="auto"/>
        <w:ind w:left="851" w:right="616"/>
        <w:jc w:val="both"/>
        <w:rPr>
          <w:rFonts w:ascii="Palatino Linotype" w:eastAsia="Palatino Linotype" w:hAnsi="Palatino Linotype" w:cs="Palatino Linotype"/>
          <w:b/>
          <w:bCs/>
          <w:i/>
          <w:iCs/>
          <w:sz w:val="22"/>
          <w:szCs w:val="22"/>
        </w:rPr>
      </w:pPr>
      <w:r w:rsidRPr="00E450DD">
        <w:rPr>
          <w:rFonts w:ascii="Palatino Linotype" w:eastAsia="Palatino Linotype" w:hAnsi="Palatino Linotype" w:cs="Palatino Linotype"/>
          <w:b/>
          <w:bCs/>
          <w:i/>
          <w:iCs/>
          <w:sz w:val="22"/>
          <w:szCs w:val="22"/>
        </w:rPr>
        <w:t xml:space="preserve">Quincuagésimo cuarto. </w:t>
      </w:r>
      <w:r w:rsidRPr="00E450DD">
        <w:rPr>
          <w:rFonts w:ascii="Palatino Linotype" w:eastAsia="Palatino Linotype" w:hAnsi="Palatino Linotype" w:cs="Palatino Linotype"/>
          <w:i/>
          <w:iCs/>
          <w:sz w:val="22"/>
          <w:szCs w:val="22"/>
        </w:rPr>
        <w:t>Cuando el Comité de Transparencia confirme la clasificación de documentos reservados y/o confidenciales, sea total o parcialmente; se deberá anexar al expediente la resolución que determinó la clasificación o, en su defecto, identificar en la carátula del expediente del cual formen parte, la fecha y sesión del Comité de Transparencia en la que se confirmó dicha clasificación.</w:t>
      </w:r>
      <w:r w:rsidRPr="00E450DD">
        <w:rPr>
          <w:rFonts w:ascii="Palatino Linotype" w:eastAsia="Palatino Linotype" w:hAnsi="Palatino Linotype" w:cs="Palatino Linotype"/>
          <w:b/>
          <w:bCs/>
          <w:i/>
          <w:iCs/>
          <w:sz w:val="22"/>
          <w:szCs w:val="22"/>
        </w:rPr>
        <w:t xml:space="preserve"> </w:t>
      </w:r>
    </w:p>
    <w:p w14:paraId="0A3580A5" w14:textId="77777777" w:rsidR="002B6F07" w:rsidRPr="00E450DD" w:rsidRDefault="002B6F07" w:rsidP="002B6F07">
      <w:pPr>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 xml:space="preserve">Quincuagésimo quinto. </w:t>
      </w:r>
      <w:r w:rsidRPr="00E450DD">
        <w:rPr>
          <w:rFonts w:ascii="Palatino Linotype" w:eastAsia="Palatino Linotype" w:hAnsi="Palatino Linotype" w:cs="Palatino Linotype"/>
          <w:i/>
          <w:iCs/>
          <w:sz w:val="22"/>
          <w:szCs w:val="22"/>
        </w:rPr>
        <w:t>Cada área del sujeto obligado podrá designar formalmente a una o más personas como responsables del testado, que sean encargadas de la adecuada elaboración o supervisión de las versiones públicas de los documentos o expedientes, verificando que cumplan con los requisitos señalados en las Leyes Generales, los presentes Lineamientos y demás normativa aplicable antes de su confirmación por el Comité de Transparencia.</w:t>
      </w:r>
    </w:p>
    <w:p w14:paraId="4194E314" w14:textId="77777777" w:rsidR="002B6F07" w:rsidRPr="00E450DD" w:rsidRDefault="002B6F07" w:rsidP="002B6F07">
      <w:pPr>
        <w:spacing w:after="200" w:line="276" w:lineRule="auto"/>
        <w:ind w:left="851" w:right="616"/>
        <w:jc w:val="both"/>
        <w:rPr>
          <w:rFonts w:ascii="Palatino Linotype" w:eastAsia="Palatino Linotype" w:hAnsi="Palatino Linotype" w:cs="Palatino Linotype"/>
          <w:b/>
          <w:bCs/>
          <w:i/>
          <w:iCs/>
          <w:sz w:val="22"/>
          <w:szCs w:val="22"/>
        </w:rPr>
      </w:pPr>
      <w:r w:rsidRPr="00E450DD">
        <w:rPr>
          <w:rFonts w:ascii="Palatino Linotype" w:eastAsia="Palatino Linotype" w:hAnsi="Palatino Linotype" w:cs="Palatino Linotype"/>
          <w:b/>
          <w:bCs/>
          <w:i/>
          <w:iCs/>
          <w:sz w:val="22"/>
          <w:szCs w:val="22"/>
        </w:rPr>
        <w:t>...</w:t>
      </w:r>
    </w:p>
    <w:p w14:paraId="07D84565" w14:textId="77777777" w:rsidR="002B6F07" w:rsidRPr="00E450DD" w:rsidRDefault="002B6F07" w:rsidP="002B6F07">
      <w:pPr>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Quincuagésimo séptimo</w:t>
      </w:r>
      <w:r w:rsidRPr="00E450DD">
        <w:rPr>
          <w:rFonts w:ascii="Palatino Linotype" w:eastAsia="Palatino Linotype" w:hAnsi="Palatino Linotype" w:cs="Palatino Linotype"/>
          <w:i/>
          <w:iCs/>
          <w:sz w:val="22"/>
          <w:szCs w:val="22"/>
        </w:rPr>
        <w:t xml:space="preserve">. Se considera, en principio, como información pública y no podrá omitirse de las versiones públicas la siguiente: </w:t>
      </w:r>
    </w:p>
    <w:p w14:paraId="0EEADFFA" w14:textId="77777777" w:rsidR="002B6F07" w:rsidRPr="00E450DD" w:rsidRDefault="002B6F07" w:rsidP="002B6F07">
      <w:pPr>
        <w:spacing w:after="200" w:line="276" w:lineRule="auto"/>
        <w:ind w:left="1134"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I</w:t>
      </w:r>
      <w:r w:rsidRPr="00E450DD">
        <w:rPr>
          <w:rFonts w:ascii="Palatino Linotype" w:eastAsia="Palatino Linotype" w:hAnsi="Palatino Linotype" w:cs="Palatino Linotype"/>
          <w:i/>
          <w:iCs/>
          <w:sz w:val="22"/>
          <w:szCs w:val="22"/>
        </w:rPr>
        <w:t xml:space="preserve">. La relativa a las Obligaciones de Transparencia que contempla el Título V de la Ley General y las demás disposiciones legales aplicables; </w:t>
      </w:r>
    </w:p>
    <w:p w14:paraId="639F3AB5" w14:textId="77777777" w:rsidR="002B6F07" w:rsidRPr="00E450DD" w:rsidRDefault="002B6F07" w:rsidP="002B6F07">
      <w:pPr>
        <w:spacing w:after="200" w:line="276" w:lineRule="auto"/>
        <w:ind w:left="1134"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II.</w:t>
      </w:r>
      <w:r w:rsidRPr="00E450DD">
        <w:rPr>
          <w:rFonts w:ascii="Palatino Linotype" w:eastAsia="Palatino Linotype" w:hAnsi="Palatino Linotype" w:cs="Palatino Linotype"/>
          <w:i/>
          <w:iCs/>
          <w:sz w:val="22"/>
          <w:szCs w:val="22"/>
        </w:rPr>
        <w:t xml:space="preserve"> El nombre de los integrantes de los sujetos obligados en los documentos, y sus firmas autógrafas o digitales, cuando sean utilizados en el ejercicio de las facultades conferidas para el desempeño del servicio público, y</w:t>
      </w:r>
    </w:p>
    <w:p w14:paraId="6E9C1721" w14:textId="77777777" w:rsidR="002B6F07" w:rsidRPr="00E450DD" w:rsidRDefault="002B6F07" w:rsidP="002B6F07">
      <w:pPr>
        <w:spacing w:after="200" w:line="276" w:lineRule="auto"/>
        <w:ind w:left="1134"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III</w:t>
      </w:r>
      <w:r w:rsidRPr="00E450DD">
        <w:rPr>
          <w:rFonts w:ascii="Palatino Linotype" w:eastAsia="Palatino Linotype" w:hAnsi="Palatino Linotype" w:cs="Palatino Linotype"/>
          <w:i/>
          <w:iCs/>
          <w:sz w:val="22"/>
          <w:szCs w:val="22"/>
        </w:rPr>
        <w:t xml:space="preserve">. La información que documente decisiones y los actos de autoridad concluidos de los sujetos obligados, así como el ejercicio de las facultades o actividades de los servidores públicos, de manera que se pueda valorar el desempeño de los mismos. </w:t>
      </w:r>
    </w:p>
    <w:p w14:paraId="753043F9" w14:textId="77777777" w:rsidR="002B6F07" w:rsidRPr="00E450DD" w:rsidRDefault="002B6F07" w:rsidP="002B6F07">
      <w:pPr>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i/>
          <w:iCs/>
          <w:sz w:val="22"/>
          <w:szCs w:val="22"/>
        </w:rPr>
        <w:t xml:space="preserve">Lo anterior, siempre y cuando no se acredite alguna causal de clasificación, prevista en las leyes o en los tratados internacionales suscritas por el Estado mexicano.  </w:t>
      </w:r>
    </w:p>
    <w:p w14:paraId="57AC9261" w14:textId="77777777" w:rsidR="002B6F07" w:rsidRPr="00E450DD" w:rsidRDefault="002B6F07" w:rsidP="002B6F07">
      <w:pPr>
        <w:spacing w:after="200" w:line="276" w:lineRule="auto"/>
        <w:ind w:left="851" w:right="616"/>
        <w:jc w:val="both"/>
        <w:rPr>
          <w:rFonts w:ascii="Palatino Linotype" w:eastAsia="Palatino Linotype" w:hAnsi="Palatino Linotype" w:cs="Palatino Linotype"/>
          <w:i/>
          <w:iCs/>
          <w:sz w:val="22"/>
          <w:szCs w:val="22"/>
        </w:rPr>
      </w:pPr>
      <w:r w:rsidRPr="00E450DD">
        <w:rPr>
          <w:rFonts w:ascii="Palatino Linotype" w:eastAsia="Palatino Linotype" w:hAnsi="Palatino Linotype" w:cs="Palatino Linotype"/>
          <w:b/>
          <w:bCs/>
          <w:i/>
          <w:iCs/>
          <w:sz w:val="22"/>
          <w:szCs w:val="22"/>
        </w:rPr>
        <w:t>Quincuagésimo octavo</w:t>
      </w:r>
      <w:r w:rsidRPr="00E450DD">
        <w:rPr>
          <w:rFonts w:ascii="Palatino Linotype" w:eastAsia="Palatino Linotype" w:hAnsi="Palatino Linotype" w:cs="Palatino Linotype"/>
          <w:i/>
          <w:iCs/>
          <w:sz w:val="22"/>
          <w:szCs w:val="22"/>
        </w:rPr>
        <w:t>. Los sujetos obligados garantizarán que los sistemas o medios empleados para eliminar la información en las versiones públicas sean irreversibles, de tal forma que no permitan su recuperación o la visualización de la misma.”</w:t>
      </w:r>
    </w:p>
    <w:p w14:paraId="127874DF" w14:textId="77777777" w:rsidR="002B6F07" w:rsidRPr="00E450DD" w:rsidRDefault="002B6F07" w:rsidP="002B6F07">
      <w:pPr>
        <w:shd w:val="clear" w:color="auto" w:fill="FFFFFF"/>
        <w:spacing w:line="360" w:lineRule="auto"/>
        <w:ind w:right="51"/>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 xml:space="preserve">Por lo tanto, la entrega de documentos en su versión pública debe acompañarse necesariamente del Acuerdo del Comité de Transparencia que la sustente, en el que se expongan los fundamentos y razonamientos que llevaron al </w:t>
      </w:r>
      <w:r w:rsidRPr="00E450DD">
        <w:rPr>
          <w:rFonts w:ascii="Palatino Linotype" w:eastAsia="Palatino Linotype" w:hAnsi="Palatino Linotype" w:cs="Palatino Linotype"/>
          <w:b/>
          <w:bCs/>
          <w:sz w:val="22"/>
          <w:szCs w:val="22"/>
        </w:rPr>
        <w:t>Sujeto Obligado</w:t>
      </w:r>
      <w:r w:rsidRPr="00E450DD">
        <w:rPr>
          <w:rFonts w:ascii="Palatino Linotype" w:eastAsia="Palatino Linotype" w:hAnsi="Palatino Linotype" w:cs="Palatino Linotype"/>
          <w:sz w:val="22"/>
          <w:szCs w:val="22"/>
        </w:rPr>
        <w:t xml:space="preserve"> a testar, suprimir o eliminar datos de dicho soporte documental, ya que no hacerlo implica que lo entregado no es legal ni formalmente una versión pública, sino más bien una documentación ilegible, incompleta o tachada; pues no señalar las razones por las que no se aprecian determinados datos -ya sea porque se testan o suprimen- deja al solicitante en estado de incertidumbre, al no conocer o comprender porque no aparecen en la documentación respectiva, es decir, si no se exponen de manera puntual las razones de ello se estaría violentando desde un inicio el derecho de acceso a la información del solicitante, por lo que el acuerdo respectivo, deberá hacerse del conocimiento del </w:t>
      </w:r>
      <w:r w:rsidRPr="00E450DD">
        <w:rPr>
          <w:rFonts w:ascii="Palatino Linotype" w:eastAsia="Palatino Linotype" w:hAnsi="Palatino Linotype" w:cs="Palatino Linotype"/>
          <w:b/>
          <w:bCs/>
          <w:sz w:val="22"/>
          <w:szCs w:val="22"/>
        </w:rPr>
        <w:t>Recurrente</w:t>
      </w:r>
      <w:r w:rsidRPr="00E450DD">
        <w:rPr>
          <w:rFonts w:ascii="Palatino Linotype" w:eastAsia="Palatino Linotype" w:hAnsi="Palatino Linotype" w:cs="Palatino Linotype"/>
          <w:sz w:val="22"/>
          <w:szCs w:val="22"/>
        </w:rPr>
        <w:t>.</w:t>
      </w:r>
    </w:p>
    <w:p w14:paraId="38F1BAE9" w14:textId="77777777" w:rsidR="004B20A7" w:rsidRPr="00E450DD" w:rsidRDefault="004B20A7" w:rsidP="004B20A7">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sz w:val="22"/>
          <w:szCs w:val="22"/>
        </w:rPr>
        <w:t>Así, con fundamento en lo prescrito en los artículos 5 párrafos cuadragésimo cuarto, cuadragésimo quinto,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fracción III, así como 188 de la Ley de Transparencia y Acceso a la Información Pública del Estado de México y Municipios, este Pleno:</w:t>
      </w:r>
    </w:p>
    <w:p w14:paraId="34706C1B" w14:textId="77777777" w:rsidR="004A2F65" w:rsidRPr="00E450DD" w:rsidRDefault="00243A40">
      <w:pPr>
        <w:pBdr>
          <w:top w:val="nil"/>
          <w:left w:val="nil"/>
          <w:bottom w:val="nil"/>
          <w:right w:val="nil"/>
          <w:between w:val="nil"/>
        </w:pBdr>
        <w:spacing w:before="240" w:after="240" w:line="360" w:lineRule="auto"/>
        <w:jc w:val="center"/>
        <w:rPr>
          <w:rFonts w:ascii="Palatino Linotype" w:eastAsia="Palatino Linotype" w:hAnsi="Palatino Linotype" w:cs="Palatino Linotype"/>
          <w:sz w:val="22"/>
          <w:szCs w:val="22"/>
        </w:rPr>
      </w:pPr>
      <w:r w:rsidRPr="00E450DD">
        <w:rPr>
          <w:rFonts w:ascii="Palatino Linotype" w:eastAsia="Palatino Linotype" w:hAnsi="Palatino Linotype" w:cs="Palatino Linotype"/>
          <w:b/>
          <w:bCs/>
          <w:sz w:val="22"/>
          <w:szCs w:val="22"/>
        </w:rPr>
        <w:t>III. R E S U E L V E</w:t>
      </w:r>
    </w:p>
    <w:p w14:paraId="668D9546" w14:textId="4E6E64A4" w:rsidR="005270B4" w:rsidRPr="00E450DD" w:rsidRDefault="005270B4" w:rsidP="005270B4">
      <w:pPr>
        <w:spacing w:line="360" w:lineRule="auto"/>
        <w:jc w:val="both"/>
        <w:rPr>
          <w:rFonts w:ascii="Palatino Linotype" w:eastAsia="Palatino Linotype" w:hAnsi="Palatino Linotype" w:cs="Palatino Linotype"/>
          <w:b/>
          <w:sz w:val="22"/>
          <w:szCs w:val="22"/>
        </w:rPr>
      </w:pPr>
      <w:r w:rsidRPr="00E450DD">
        <w:rPr>
          <w:rFonts w:ascii="Palatino Linotype" w:eastAsia="Palatino Linotype" w:hAnsi="Palatino Linotype" w:cs="Palatino Linotype"/>
          <w:b/>
          <w:sz w:val="22"/>
          <w:szCs w:val="22"/>
        </w:rPr>
        <w:t xml:space="preserve">Primero. </w:t>
      </w:r>
      <w:r w:rsidRPr="00E450DD">
        <w:rPr>
          <w:rFonts w:ascii="Palatino Linotype" w:eastAsia="Palatino Linotype" w:hAnsi="Palatino Linotype" w:cs="Palatino Linotype"/>
          <w:sz w:val="22"/>
          <w:szCs w:val="22"/>
        </w:rPr>
        <w:t>Resultan</w:t>
      </w:r>
      <w:r w:rsidR="006D682B" w:rsidRPr="00E450DD">
        <w:rPr>
          <w:rFonts w:ascii="Palatino Linotype" w:eastAsia="Palatino Linotype" w:hAnsi="Palatino Linotype" w:cs="Palatino Linotype"/>
          <w:sz w:val="22"/>
          <w:szCs w:val="22"/>
        </w:rPr>
        <w:t xml:space="preserve"> parcialmente</w:t>
      </w:r>
      <w:r w:rsidRPr="00E450DD">
        <w:rPr>
          <w:rFonts w:ascii="Palatino Linotype" w:eastAsia="Palatino Linotype" w:hAnsi="Palatino Linotype" w:cs="Palatino Linotype"/>
          <w:sz w:val="22"/>
          <w:szCs w:val="22"/>
        </w:rPr>
        <w:t xml:space="preserve"> </w:t>
      </w:r>
      <w:r w:rsidRPr="00E450DD">
        <w:rPr>
          <w:rFonts w:ascii="Palatino Linotype" w:eastAsia="Palatino Linotype" w:hAnsi="Palatino Linotype" w:cs="Palatino Linotype"/>
          <w:b/>
          <w:sz w:val="22"/>
          <w:szCs w:val="22"/>
        </w:rPr>
        <w:t>fundadas</w:t>
      </w:r>
      <w:r w:rsidRPr="00E450DD">
        <w:rPr>
          <w:rFonts w:ascii="Palatino Linotype" w:eastAsia="Palatino Linotype" w:hAnsi="Palatino Linotype" w:cs="Palatino Linotype"/>
          <w:sz w:val="22"/>
          <w:szCs w:val="22"/>
        </w:rPr>
        <w:t xml:space="preserve"> las razones o motivos de inconformidad hechos valer por la parte</w:t>
      </w:r>
      <w:r w:rsidRPr="00E450DD">
        <w:rPr>
          <w:rFonts w:ascii="Palatino Linotype" w:eastAsia="Palatino Linotype" w:hAnsi="Palatino Linotype" w:cs="Palatino Linotype"/>
          <w:b/>
          <w:sz w:val="22"/>
          <w:szCs w:val="22"/>
        </w:rPr>
        <w:t xml:space="preserve"> Recurrente</w:t>
      </w:r>
      <w:r w:rsidRPr="00E450DD">
        <w:rPr>
          <w:rFonts w:ascii="Palatino Linotype" w:eastAsia="Palatino Linotype" w:hAnsi="Palatino Linotype" w:cs="Palatino Linotype"/>
          <w:sz w:val="22"/>
          <w:szCs w:val="22"/>
        </w:rPr>
        <w:t xml:space="preserve"> en el recurso de revisión </w:t>
      </w:r>
      <w:r w:rsidRPr="00E450DD">
        <w:rPr>
          <w:rFonts w:ascii="Palatino Linotype" w:eastAsia="Palatino Linotype" w:hAnsi="Palatino Linotype" w:cs="Palatino Linotype"/>
          <w:b/>
          <w:sz w:val="22"/>
          <w:szCs w:val="22"/>
        </w:rPr>
        <w:t>0</w:t>
      </w:r>
      <w:r w:rsidR="006D682B" w:rsidRPr="00E450DD">
        <w:rPr>
          <w:rFonts w:ascii="Palatino Linotype" w:eastAsia="Palatino Linotype" w:hAnsi="Palatino Linotype" w:cs="Palatino Linotype"/>
          <w:b/>
          <w:sz w:val="22"/>
          <w:szCs w:val="22"/>
        </w:rPr>
        <w:t>3807</w:t>
      </w:r>
      <w:r w:rsidRPr="00E450DD">
        <w:rPr>
          <w:rFonts w:ascii="Palatino Linotype" w:eastAsia="Palatino Linotype" w:hAnsi="Palatino Linotype" w:cs="Palatino Linotype"/>
          <w:b/>
          <w:sz w:val="22"/>
          <w:szCs w:val="22"/>
        </w:rPr>
        <w:t>/INFOEM/IP/RR/2026</w:t>
      </w:r>
      <w:r w:rsidRPr="00E450DD">
        <w:rPr>
          <w:rFonts w:ascii="Palatino Linotype" w:eastAsia="Palatino Linotype" w:hAnsi="Palatino Linotype" w:cs="Palatino Linotype"/>
          <w:sz w:val="22"/>
          <w:szCs w:val="22"/>
        </w:rPr>
        <w:t xml:space="preserve">; por lo que, en términos del </w:t>
      </w:r>
      <w:r w:rsidRPr="00E450DD">
        <w:rPr>
          <w:rFonts w:ascii="Palatino Linotype" w:eastAsia="Palatino Linotype" w:hAnsi="Palatino Linotype" w:cs="Palatino Linotype"/>
          <w:b/>
          <w:sz w:val="22"/>
          <w:szCs w:val="22"/>
        </w:rPr>
        <w:t>Considerando</w:t>
      </w:r>
      <w:r w:rsidRPr="00E450DD">
        <w:rPr>
          <w:rFonts w:ascii="Palatino Linotype" w:eastAsia="Palatino Linotype" w:hAnsi="Palatino Linotype" w:cs="Palatino Linotype"/>
          <w:sz w:val="22"/>
          <w:szCs w:val="22"/>
        </w:rPr>
        <w:t xml:space="preserve"> </w:t>
      </w:r>
      <w:r w:rsidRPr="00E450DD">
        <w:rPr>
          <w:rFonts w:ascii="Palatino Linotype" w:eastAsia="Palatino Linotype" w:hAnsi="Palatino Linotype" w:cs="Palatino Linotype"/>
          <w:b/>
          <w:sz w:val="22"/>
          <w:szCs w:val="22"/>
        </w:rPr>
        <w:t xml:space="preserve">Cuarto </w:t>
      </w:r>
      <w:r w:rsidRPr="00E450DD">
        <w:rPr>
          <w:rFonts w:ascii="Palatino Linotype" w:eastAsia="Palatino Linotype" w:hAnsi="Palatino Linotype" w:cs="Palatino Linotype"/>
          <w:sz w:val="22"/>
          <w:szCs w:val="22"/>
        </w:rPr>
        <w:t xml:space="preserve">de esta resolución, se </w:t>
      </w:r>
      <w:r w:rsidR="007C69D8" w:rsidRPr="00E450DD">
        <w:rPr>
          <w:rFonts w:ascii="Palatino Linotype" w:eastAsia="Palatino Linotype" w:hAnsi="Palatino Linotype" w:cs="Palatino Linotype"/>
          <w:b/>
          <w:sz w:val="22"/>
          <w:szCs w:val="22"/>
        </w:rPr>
        <w:t xml:space="preserve">Revoca </w:t>
      </w:r>
      <w:r w:rsidRPr="00E450DD">
        <w:rPr>
          <w:rFonts w:ascii="Palatino Linotype" w:eastAsia="Palatino Linotype" w:hAnsi="Palatino Linotype" w:cs="Palatino Linotype"/>
          <w:sz w:val="22"/>
          <w:szCs w:val="22"/>
        </w:rPr>
        <w:t xml:space="preserve">la respuesta emitida por el </w:t>
      </w:r>
      <w:r w:rsidRPr="00E450DD">
        <w:rPr>
          <w:rFonts w:ascii="Palatino Linotype" w:eastAsia="Palatino Linotype" w:hAnsi="Palatino Linotype" w:cs="Palatino Linotype"/>
          <w:b/>
          <w:sz w:val="22"/>
          <w:szCs w:val="22"/>
        </w:rPr>
        <w:t>Sujeto Obligado.</w:t>
      </w:r>
    </w:p>
    <w:p w14:paraId="60A49663" w14:textId="77777777" w:rsidR="005270B4" w:rsidRPr="00E450DD" w:rsidRDefault="005270B4" w:rsidP="005270B4">
      <w:pPr>
        <w:spacing w:line="360" w:lineRule="auto"/>
        <w:jc w:val="both"/>
        <w:rPr>
          <w:rFonts w:ascii="Palatino Linotype" w:eastAsia="Palatino Linotype" w:hAnsi="Palatino Linotype" w:cs="Palatino Linotype"/>
          <w:b/>
          <w:sz w:val="22"/>
          <w:szCs w:val="22"/>
        </w:rPr>
      </w:pPr>
    </w:p>
    <w:p w14:paraId="79375FCA" w14:textId="77777777" w:rsidR="00122FD7" w:rsidRPr="00E450DD" w:rsidRDefault="005270B4" w:rsidP="00122FD7">
      <w:pPr>
        <w:spacing w:line="360" w:lineRule="auto"/>
        <w:jc w:val="both"/>
        <w:rPr>
          <w:rFonts w:ascii="Palatino Linotype" w:eastAsia="Palatino Linotype" w:hAnsi="Palatino Linotype" w:cs="Palatino Linotype"/>
          <w:b/>
          <w:sz w:val="22"/>
          <w:szCs w:val="22"/>
        </w:rPr>
      </w:pPr>
      <w:r w:rsidRPr="00E450DD">
        <w:rPr>
          <w:rFonts w:ascii="Palatino Linotype" w:eastAsia="Palatino Linotype" w:hAnsi="Palatino Linotype" w:cs="Palatino Linotype"/>
          <w:b/>
          <w:sz w:val="22"/>
          <w:szCs w:val="22"/>
        </w:rPr>
        <w:t xml:space="preserve">Segundo. </w:t>
      </w:r>
      <w:r w:rsidRPr="00E450DD">
        <w:rPr>
          <w:rFonts w:ascii="Palatino Linotype" w:eastAsia="Palatino Linotype" w:hAnsi="Palatino Linotype" w:cs="Palatino Linotype"/>
          <w:sz w:val="22"/>
          <w:szCs w:val="22"/>
        </w:rPr>
        <w:t xml:space="preserve">Se </w:t>
      </w:r>
      <w:r w:rsidRPr="00E450DD">
        <w:rPr>
          <w:rFonts w:ascii="Palatino Linotype" w:eastAsia="Palatino Linotype" w:hAnsi="Palatino Linotype" w:cs="Palatino Linotype"/>
          <w:b/>
          <w:sz w:val="22"/>
          <w:szCs w:val="22"/>
        </w:rPr>
        <w:t>Ordena</w:t>
      </w:r>
      <w:r w:rsidRPr="00E450DD">
        <w:rPr>
          <w:rFonts w:ascii="Palatino Linotype" w:eastAsia="Palatino Linotype" w:hAnsi="Palatino Linotype" w:cs="Palatino Linotype"/>
          <w:sz w:val="22"/>
          <w:szCs w:val="22"/>
        </w:rPr>
        <w:t xml:space="preserve"> al </w:t>
      </w:r>
      <w:r w:rsidRPr="00E450DD">
        <w:rPr>
          <w:rFonts w:ascii="Palatino Linotype" w:eastAsia="Palatino Linotype" w:hAnsi="Palatino Linotype" w:cs="Palatino Linotype"/>
          <w:b/>
          <w:sz w:val="22"/>
          <w:szCs w:val="22"/>
        </w:rPr>
        <w:t>Sujeto Obligado</w:t>
      </w:r>
      <w:r w:rsidRPr="00E450DD">
        <w:rPr>
          <w:rFonts w:ascii="Palatino Linotype" w:eastAsia="Palatino Linotype" w:hAnsi="Palatino Linotype" w:cs="Palatino Linotype"/>
          <w:sz w:val="22"/>
          <w:szCs w:val="22"/>
        </w:rPr>
        <w:t xml:space="preserve">, en términos de los Considerandos </w:t>
      </w:r>
      <w:r w:rsidRPr="00E450DD">
        <w:rPr>
          <w:rFonts w:ascii="Palatino Linotype" w:eastAsia="Palatino Linotype" w:hAnsi="Palatino Linotype" w:cs="Palatino Linotype"/>
          <w:b/>
          <w:sz w:val="22"/>
          <w:szCs w:val="22"/>
        </w:rPr>
        <w:t xml:space="preserve">Cuarto y Quinto </w:t>
      </w:r>
      <w:r w:rsidRPr="00E450DD">
        <w:rPr>
          <w:rFonts w:ascii="Palatino Linotype" w:eastAsia="Palatino Linotype" w:hAnsi="Palatino Linotype" w:cs="Palatino Linotype"/>
          <w:sz w:val="22"/>
          <w:szCs w:val="22"/>
        </w:rPr>
        <w:t xml:space="preserve">de esta resolución, </w:t>
      </w:r>
      <w:r w:rsidRPr="00E450DD">
        <w:rPr>
          <w:rFonts w:ascii="Palatino Linotype" w:eastAsia="Palatino Linotype" w:hAnsi="Palatino Linotype" w:cs="Palatino Linotype"/>
          <w:b/>
          <w:sz w:val="22"/>
          <w:szCs w:val="22"/>
        </w:rPr>
        <w:t xml:space="preserve">haga entrega vía Sistema de Acceso a la Información Mexiquense (SAIMEX), </w:t>
      </w:r>
      <w:r w:rsidR="00122FD7" w:rsidRPr="00E450DD">
        <w:rPr>
          <w:rFonts w:ascii="Palatino Linotype" w:eastAsia="Palatino Linotype" w:hAnsi="Palatino Linotype" w:cs="Palatino Linotype"/>
          <w:b/>
          <w:sz w:val="22"/>
          <w:szCs w:val="22"/>
        </w:rPr>
        <w:t>previa búsqueda exhaustiva y razonable, de ser procedente en versión pública, el documento donde conste o se advierta:</w:t>
      </w:r>
    </w:p>
    <w:p w14:paraId="5C62CCEE" w14:textId="77777777" w:rsidR="00122FD7" w:rsidRPr="00E450DD" w:rsidRDefault="00122FD7" w:rsidP="00122FD7">
      <w:pPr>
        <w:spacing w:line="360" w:lineRule="auto"/>
        <w:jc w:val="both"/>
        <w:rPr>
          <w:rFonts w:ascii="Palatino Linotype" w:eastAsia="Palatino Linotype" w:hAnsi="Palatino Linotype" w:cs="Palatino Linotype"/>
          <w:b/>
          <w:sz w:val="22"/>
          <w:szCs w:val="22"/>
        </w:rPr>
      </w:pPr>
    </w:p>
    <w:p w14:paraId="7B8F2E61" w14:textId="77777777" w:rsidR="006D682B" w:rsidRPr="00E450DD" w:rsidRDefault="006D682B" w:rsidP="006D682B">
      <w:pPr>
        <w:pStyle w:val="Prrafodelista"/>
        <w:numPr>
          <w:ilvl w:val="0"/>
          <w:numId w:val="21"/>
        </w:num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b/>
          <w:sz w:val="22"/>
          <w:szCs w:val="22"/>
        </w:rPr>
        <w:t>El pago de horas extras a servidores públicos adscritos al Ayuntamiento de Tlalnepantla, en el periodo comprendido del seis de marzo de dos mil veinticinco al seis de marzo de dos mil veintiséis.</w:t>
      </w:r>
    </w:p>
    <w:p w14:paraId="46AF10DB" w14:textId="77777777" w:rsidR="007F69D8" w:rsidRPr="00E450DD" w:rsidRDefault="007F69D8" w:rsidP="007F69D8">
      <w:pPr>
        <w:pStyle w:val="Prrafodelista"/>
        <w:spacing w:line="360" w:lineRule="auto"/>
        <w:jc w:val="both"/>
        <w:rPr>
          <w:rFonts w:ascii="Palatino Linotype" w:eastAsia="Palatino Linotype" w:hAnsi="Palatino Linotype" w:cs="Palatino Linotype"/>
          <w:sz w:val="22"/>
          <w:szCs w:val="22"/>
        </w:rPr>
      </w:pPr>
    </w:p>
    <w:p w14:paraId="126D0947" w14:textId="77777777" w:rsidR="005270B4" w:rsidRPr="00E450DD" w:rsidRDefault="005270B4" w:rsidP="005270B4">
      <w:pPr>
        <w:pBdr>
          <w:top w:val="nil"/>
          <w:left w:val="nil"/>
          <w:bottom w:val="nil"/>
          <w:right w:val="nil"/>
          <w:between w:val="nil"/>
        </w:pBdr>
        <w:spacing w:line="276" w:lineRule="auto"/>
        <w:ind w:right="134"/>
        <w:jc w:val="both"/>
        <w:rPr>
          <w:rFonts w:ascii="Palatino Linotype" w:eastAsia="Palatino Linotype" w:hAnsi="Palatino Linotype" w:cs="Palatino Linotype"/>
          <w:i/>
        </w:rPr>
      </w:pPr>
      <w:r w:rsidRPr="00E450DD">
        <w:rPr>
          <w:rFonts w:ascii="Palatino Linotype" w:eastAsia="Palatino Linotype" w:hAnsi="Palatino Linotype" w:cs="Palatino Linotype"/>
          <w:i/>
        </w:rPr>
        <w:t xml:space="preserve">Para la entrega en versión pública, se deberá emitir el Acuerdo del Comité de Transparencia de acuerdo con la Ley de Transparencia y Acceso a la Información Pública del Estado de México y Municipios, en el que funde y motive las razones sobre los datos que se supriman o eliminen de los soportes documentales objeto de las versiones públicas que se formulen y se pongan a disposición de la parte Recurrente. </w:t>
      </w:r>
    </w:p>
    <w:p w14:paraId="075BFA0A" w14:textId="77777777" w:rsidR="006D682B" w:rsidRPr="00E450DD" w:rsidRDefault="006D682B" w:rsidP="006D682B">
      <w:pPr>
        <w:spacing w:before="240" w:after="240" w:line="360" w:lineRule="auto"/>
        <w:ind w:right="51"/>
        <w:jc w:val="both"/>
        <w:rPr>
          <w:rFonts w:ascii="Palatino Linotype" w:eastAsia="Palatino Linotype" w:hAnsi="Palatino Linotype" w:cs="Palatino Linotype"/>
          <w:b/>
          <w:bCs/>
          <w:i/>
          <w:sz w:val="22"/>
          <w:szCs w:val="22"/>
        </w:rPr>
      </w:pPr>
      <w:r w:rsidRPr="00E450DD">
        <w:rPr>
          <w:rFonts w:ascii="Palatino Linotype" w:eastAsia="Palatino Linotype" w:hAnsi="Palatino Linotype" w:cs="Palatino Linotype"/>
          <w:bCs/>
          <w:i/>
          <w:sz w:val="22"/>
          <w:szCs w:val="22"/>
        </w:rPr>
        <w:t>Para el caso de que la información que se ordena entregar no obre en los archivos del Sujeto Obligado, por no haberse efectuado el pago de horas extra a servidores públicos en el periodo ordenado, bastará con hacerlo del conocimiento del Particular en términos del artículo 19, párrafo segundo, de la Ley de Transparencia y Acceso a la Información Pública del Estado de México y Municipios, para tenerse por colmado dicho requerimiento.</w:t>
      </w:r>
    </w:p>
    <w:p w14:paraId="16A8E128" w14:textId="77777777" w:rsidR="005270B4" w:rsidRPr="00E450DD" w:rsidRDefault="005270B4" w:rsidP="005270B4">
      <w:pPr>
        <w:spacing w:line="360" w:lineRule="auto"/>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b/>
          <w:sz w:val="22"/>
          <w:szCs w:val="22"/>
        </w:rPr>
        <w:t xml:space="preserve">Tercero. Notifíquese, </w:t>
      </w:r>
      <w:r w:rsidRPr="00E450DD">
        <w:rPr>
          <w:rFonts w:ascii="Palatino Linotype" w:eastAsia="Palatino Linotype" w:hAnsi="Palatino Linotype" w:cs="Palatino Linotype"/>
          <w:sz w:val="22"/>
          <w:szCs w:val="22"/>
        </w:rPr>
        <w:t xml:space="preserve">vía </w:t>
      </w:r>
      <w:r w:rsidRPr="00E450DD">
        <w:rPr>
          <w:rFonts w:ascii="Palatino Linotype" w:eastAsia="Palatino Linotype" w:hAnsi="Palatino Linotype" w:cs="Palatino Linotype"/>
          <w:b/>
          <w:sz w:val="22"/>
          <w:szCs w:val="22"/>
        </w:rPr>
        <w:t>SAIMEX</w:t>
      </w:r>
      <w:r w:rsidRPr="00E450DD">
        <w:rPr>
          <w:rFonts w:ascii="Palatino Linotype" w:eastAsia="Palatino Linotype" w:hAnsi="Palatino Linotype" w:cs="Palatino Linotype"/>
          <w:sz w:val="22"/>
          <w:szCs w:val="22"/>
        </w:rPr>
        <w:t xml:space="preserve">, al Titular de la Unidad de Transparencia del </w:t>
      </w:r>
      <w:r w:rsidRPr="00E450DD">
        <w:rPr>
          <w:rFonts w:ascii="Palatino Linotype" w:eastAsia="Palatino Linotype" w:hAnsi="Palatino Linotype" w:cs="Palatino Linotype"/>
          <w:b/>
          <w:sz w:val="22"/>
          <w:szCs w:val="22"/>
        </w:rPr>
        <w:t>Sujeto Obligado,</w:t>
      </w:r>
      <w:r w:rsidRPr="00E450DD">
        <w:rPr>
          <w:rFonts w:ascii="Palatino Linotype" w:eastAsia="Palatino Linotype" w:hAnsi="Palatino Linotype" w:cs="Palatino Linotype"/>
          <w:sz w:val="22"/>
          <w:szCs w:val="22"/>
        </w:rPr>
        <w:t xml:space="preserve"> la presente resolución para que conforme a los artículos 186, último párrafo y 189, párrafo segundo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67D27AB2" w14:textId="77777777" w:rsidR="005270B4" w:rsidRPr="00E450DD" w:rsidRDefault="005270B4" w:rsidP="005270B4">
      <w:pPr>
        <w:spacing w:line="360" w:lineRule="auto"/>
        <w:jc w:val="both"/>
        <w:rPr>
          <w:rFonts w:ascii="Palatino Linotype" w:eastAsia="Palatino Linotype" w:hAnsi="Palatino Linotype" w:cs="Palatino Linotype"/>
          <w:sz w:val="22"/>
          <w:szCs w:val="22"/>
        </w:rPr>
      </w:pPr>
    </w:p>
    <w:p w14:paraId="10B9DD3A" w14:textId="77777777" w:rsidR="005270B4" w:rsidRPr="00E450DD" w:rsidRDefault="005270B4" w:rsidP="005270B4">
      <w:pPr>
        <w:spacing w:line="360" w:lineRule="auto"/>
        <w:ind w:right="49"/>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b/>
          <w:sz w:val="22"/>
          <w:szCs w:val="22"/>
        </w:rPr>
        <w:t>Cuarto.</w:t>
      </w:r>
      <w:r w:rsidRPr="00E450DD">
        <w:rPr>
          <w:rFonts w:ascii="Palatino Linotype" w:eastAsia="Palatino Linotype" w:hAnsi="Palatino Linotype" w:cs="Palatino Linotype"/>
          <w:sz w:val="22"/>
          <w:szCs w:val="22"/>
        </w:rPr>
        <w:t xml:space="preserve"> </w:t>
      </w:r>
      <w:r w:rsidRPr="00E450DD">
        <w:rPr>
          <w:rFonts w:ascii="Palatino Linotype" w:eastAsia="Palatino Linotype" w:hAnsi="Palatino Linotype" w:cs="Palatino Linotype"/>
          <w:b/>
          <w:sz w:val="22"/>
          <w:szCs w:val="22"/>
        </w:rPr>
        <w:t xml:space="preserve">Notifíquese, </w:t>
      </w:r>
      <w:r w:rsidRPr="00E450DD">
        <w:rPr>
          <w:rFonts w:ascii="Palatino Linotype" w:eastAsia="Palatino Linotype" w:hAnsi="Palatino Linotype" w:cs="Palatino Linotype"/>
          <w:sz w:val="22"/>
          <w:szCs w:val="22"/>
        </w:rPr>
        <w:t xml:space="preserve">vía </w:t>
      </w:r>
      <w:r w:rsidRPr="00E450DD">
        <w:rPr>
          <w:rFonts w:ascii="Palatino Linotype" w:eastAsia="Palatino Linotype" w:hAnsi="Palatino Linotype" w:cs="Palatino Linotype"/>
          <w:b/>
          <w:sz w:val="22"/>
          <w:szCs w:val="22"/>
        </w:rPr>
        <w:t>SAIMEX</w:t>
      </w:r>
      <w:r w:rsidRPr="00E450DD">
        <w:rPr>
          <w:rFonts w:ascii="Palatino Linotype" w:eastAsia="Palatino Linotype" w:hAnsi="Palatino Linotype" w:cs="Palatino Linotype"/>
          <w:sz w:val="22"/>
          <w:szCs w:val="22"/>
        </w:rPr>
        <w:t xml:space="preserve">, al Titular de la Unidad de Transparencia del </w:t>
      </w:r>
      <w:r w:rsidRPr="00E450DD">
        <w:rPr>
          <w:rFonts w:ascii="Palatino Linotype" w:eastAsia="Palatino Linotype" w:hAnsi="Palatino Linotype" w:cs="Palatino Linotype"/>
          <w:b/>
          <w:sz w:val="22"/>
          <w:szCs w:val="22"/>
        </w:rPr>
        <w:t>Sujeto Obligado,</w:t>
      </w:r>
      <w:r w:rsidRPr="00E450DD">
        <w:rPr>
          <w:rFonts w:ascii="Palatino Linotype" w:eastAsia="Palatino Linotype" w:hAnsi="Palatino Linotype" w:cs="Palatino Linotype"/>
          <w:sz w:val="22"/>
          <w:szCs w:val="22"/>
        </w:rPr>
        <w:t xml:space="preserve"> que de conformidad con el artículo 198 de la Ley de Transparencia y Acceso a la Información Pública del Estado de México y Municipios, de considerarlo procedente, de manera fundada y motivada, podrá solicitar una ampliación de plazo para el cumplimiento de la presente resolución.</w:t>
      </w:r>
    </w:p>
    <w:p w14:paraId="4568B663" w14:textId="77777777" w:rsidR="005270B4" w:rsidRPr="00E450DD" w:rsidRDefault="005270B4" w:rsidP="005270B4">
      <w:pPr>
        <w:spacing w:line="360" w:lineRule="auto"/>
        <w:ind w:right="49"/>
        <w:jc w:val="both"/>
        <w:rPr>
          <w:rFonts w:ascii="Palatino Linotype" w:eastAsia="Palatino Linotype" w:hAnsi="Palatino Linotype" w:cs="Palatino Linotype"/>
          <w:sz w:val="22"/>
          <w:szCs w:val="22"/>
        </w:rPr>
      </w:pPr>
    </w:p>
    <w:p w14:paraId="5D29D645" w14:textId="77777777" w:rsidR="005270B4" w:rsidRPr="00E450DD" w:rsidRDefault="005270B4" w:rsidP="005270B4">
      <w:pPr>
        <w:spacing w:line="360" w:lineRule="auto"/>
        <w:ind w:right="49"/>
        <w:jc w:val="both"/>
        <w:rPr>
          <w:rFonts w:ascii="Palatino Linotype" w:eastAsia="Palatino Linotype" w:hAnsi="Palatino Linotype" w:cs="Palatino Linotype"/>
          <w:sz w:val="22"/>
          <w:szCs w:val="22"/>
        </w:rPr>
      </w:pPr>
      <w:r w:rsidRPr="00E450DD">
        <w:rPr>
          <w:rFonts w:ascii="Palatino Linotype" w:eastAsia="Palatino Linotype" w:hAnsi="Palatino Linotype" w:cs="Palatino Linotype"/>
          <w:b/>
          <w:sz w:val="22"/>
          <w:szCs w:val="22"/>
        </w:rPr>
        <w:t xml:space="preserve">Quinto. Notifíquese vía SAIMEX, </w:t>
      </w:r>
      <w:r w:rsidRPr="00E450DD">
        <w:rPr>
          <w:rFonts w:ascii="Palatino Linotype" w:eastAsia="Palatino Linotype" w:hAnsi="Palatino Linotype" w:cs="Palatino Linotype"/>
          <w:sz w:val="22"/>
          <w:szCs w:val="22"/>
        </w:rPr>
        <w:t xml:space="preserve">la presente resolución a la parte </w:t>
      </w:r>
      <w:r w:rsidRPr="00E450DD">
        <w:rPr>
          <w:rFonts w:ascii="Palatino Linotype" w:eastAsia="Palatino Linotype" w:hAnsi="Palatino Linotype" w:cs="Palatino Linotype"/>
          <w:b/>
          <w:sz w:val="22"/>
          <w:szCs w:val="22"/>
        </w:rPr>
        <w:t>Recurrente</w:t>
      </w:r>
      <w:r w:rsidRPr="00E450DD">
        <w:rPr>
          <w:rFonts w:ascii="Palatino Linotype" w:eastAsia="Palatino Linotype" w:hAnsi="Palatino Linotype" w:cs="Palatino Linotype"/>
          <w:sz w:val="22"/>
          <w:szCs w:val="22"/>
        </w:rPr>
        <w:t>, y hágase del conocimiento que en caso de que considere que la presente resolución le causa algún perjuicio, podrá promover el Juicio de Amparo en los términos de las leyes aplicables, de acuerdo a lo estipulado por el artículo 196 de la Ley de Transparencia y Acceso a la Información Pública del Estado de México y Municipios.</w:t>
      </w:r>
    </w:p>
    <w:p w14:paraId="290DFAE5" w14:textId="5C47BA58" w:rsidR="005270B4" w:rsidRPr="00B417E0" w:rsidRDefault="005270B4" w:rsidP="005270B4">
      <w:pPr>
        <w:spacing w:before="240" w:after="240" w:line="360" w:lineRule="auto"/>
        <w:jc w:val="both"/>
        <w:rPr>
          <w:rFonts w:ascii="Palatino Linotype" w:eastAsia="Palatino Linotype" w:hAnsi="Palatino Linotype" w:cs="Palatino Linotype"/>
          <w:sz w:val="22"/>
          <w:szCs w:val="22"/>
        </w:rPr>
      </w:pPr>
      <w:r w:rsidRPr="00E450DD">
        <w:rPr>
          <w:rFonts w:ascii="Palatino Linotype" w:hAnsi="Palatino Linotype"/>
          <w:sz w:val="22"/>
          <w:szCs w:val="22"/>
        </w:rPr>
        <w:t>ASÍ LO RESUELVE, POR UNANIMIDAD DE VOTOS, EL PLENO DEL INSTITUTO DE TRANSPARENCIA, ACCESO A LA INFORMACIÓN PÚBLICA Y PROTECCIÓN DE DATOS PERSONALES DEL ESTADO DE MÉXICO Y MUNICIPIOS, CONFORMADO POR LOS COMISIONADOS JOSÉ MARTÍNEZ VILCHIS,</w:t>
      </w:r>
      <w:r w:rsidR="00954941" w:rsidRPr="00E450DD">
        <w:rPr>
          <w:rFonts w:ascii="Palatino Linotype" w:hAnsi="Palatino Linotype"/>
          <w:sz w:val="22"/>
          <w:szCs w:val="22"/>
        </w:rPr>
        <w:t xml:space="preserve"> MARÍA DEL ROSARIO MEJÍA AYALA </w:t>
      </w:r>
      <w:r w:rsidRPr="00E450DD">
        <w:rPr>
          <w:rFonts w:ascii="Palatino Linotype" w:hAnsi="Palatino Linotype"/>
          <w:sz w:val="22"/>
          <w:szCs w:val="22"/>
        </w:rPr>
        <w:t xml:space="preserve">Y GUADALUPE RAMÍREZ PEÑA; EN LA </w:t>
      </w:r>
      <w:r w:rsidR="00954941" w:rsidRPr="00E450DD">
        <w:rPr>
          <w:rFonts w:ascii="Palatino Linotype" w:hAnsi="Palatino Linotype"/>
          <w:sz w:val="22"/>
          <w:szCs w:val="22"/>
        </w:rPr>
        <w:t xml:space="preserve">TRIGÉSIMA </w:t>
      </w:r>
      <w:r w:rsidR="006D682B" w:rsidRPr="00E450DD">
        <w:rPr>
          <w:rFonts w:ascii="Palatino Linotype" w:hAnsi="Palatino Linotype"/>
          <w:sz w:val="22"/>
          <w:szCs w:val="22"/>
        </w:rPr>
        <w:t>CUARTA</w:t>
      </w:r>
      <w:r w:rsidR="00AC2E05" w:rsidRPr="00E450DD">
        <w:rPr>
          <w:rFonts w:ascii="Palatino Linotype" w:hAnsi="Palatino Linotype"/>
          <w:sz w:val="22"/>
          <w:szCs w:val="22"/>
        </w:rPr>
        <w:t xml:space="preserve"> </w:t>
      </w:r>
      <w:r w:rsidRPr="00E450DD">
        <w:rPr>
          <w:rFonts w:ascii="Palatino Linotype" w:hAnsi="Palatino Linotype"/>
          <w:sz w:val="22"/>
          <w:szCs w:val="22"/>
        </w:rPr>
        <w:t xml:space="preserve">SESIÓN ORDINARIA, CELEBRADA EL </w:t>
      </w:r>
      <w:r w:rsidR="006D682B" w:rsidRPr="00E450DD">
        <w:rPr>
          <w:rFonts w:ascii="Palatino Linotype" w:hAnsi="Palatino Linotype"/>
          <w:sz w:val="22"/>
          <w:szCs w:val="22"/>
        </w:rPr>
        <w:t>VEINTI</w:t>
      </w:r>
      <w:r w:rsidR="00B417E0" w:rsidRPr="00E450DD">
        <w:rPr>
          <w:rFonts w:ascii="Palatino Linotype" w:hAnsi="Palatino Linotype"/>
          <w:sz w:val="22"/>
          <w:szCs w:val="22"/>
        </w:rPr>
        <w:t>CUATRO</w:t>
      </w:r>
      <w:r w:rsidR="00954941" w:rsidRPr="00E450DD">
        <w:rPr>
          <w:rFonts w:ascii="Palatino Linotype" w:hAnsi="Palatino Linotype"/>
          <w:sz w:val="22"/>
          <w:szCs w:val="22"/>
        </w:rPr>
        <w:t xml:space="preserve"> DE SEPTIEMBRE</w:t>
      </w:r>
      <w:r w:rsidRPr="00E450DD">
        <w:rPr>
          <w:rFonts w:ascii="Palatino Linotype" w:hAnsi="Palatino Linotype"/>
          <w:sz w:val="22"/>
          <w:szCs w:val="22"/>
        </w:rPr>
        <w:t xml:space="preserve"> DE DOS MIL VEINTISÉIS, </w:t>
      </w:r>
      <w:r w:rsidRPr="00E450DD">
        <w:rPr>
          <w:rFonts w:ascii="Palatino Linotype" w:eastAsia="Palatino Linotype" w:hAnsi="Palatino Linotype" w:cs="Palatino Linotype"/>
          <w:sz w:val="22"/>
          <w:szCs w:val="22"/>
        </w:rPr>
        <w:t>ANTE EL SECRETARIO TÉCNICO DEL PLENO ALEXIS TAPIA RAMÍREZ.</w:t>
      </w:r>
    </w:p>
    <w:p w14:paraId="696EDD42" w14:textId="77777777" w:rsidR="004A2F65" w:rsidRPr="00B417E0" w:rsidRDefault="00243A40">
      <w:pPr>
        <w:spacing w:line="360" w:lineRule="auto"/>
        <w:jc w:val="both"/>
        <w:rPr>
          <w:rFonts w:ascii="Palatino Linotype" w:eastAsia="Palatino Linotype" w:hAnsi="Palatino Linotype" w:cs="Palatino Linotype"/>
          <w:sz w:val="22"/>
          <w:szCs w:val="22"/>
        </w:rPr>
      </w:pPr>
      <w:r w:rsidRPr="00B417E0">
        <w:rPr>
          <w:rFonts w:ascii="Palatino Linotype" w:eastAsia="Palatino Linotype" w:hAnsi="Palatino Linotype" w:cs="Palatino Linotype"/>
          <w:sz w:val="22"/>
          <w:szCs w:val="22"/>
        </w:rPr>
        <w:t xml:space="preserve"> </w:t>
      </w:r>
    </w:p>
    <w:p w14:paraId="5D2B2190" w14:textId="77777777" w:rsidR="004A2F65" w:rsidRPr="00B417E0" w:rsidRDefault="004A2F65">
      <w:pPr>
        <w:rPr>
          <w:rFonts w:ascii="Palatino Linotype" w:eastAsia="Palatino Linotype" w:hAnsi="Palatino Linotype" w:cs="Palatino Linotype"/>
          <w:sz w:val="22"/>
          <w:szCs w:val="22"/>
        </w:rPr>
      </w:pPr>
    </w:p>
    <w:p w14:paraId="5AB3836D" w14:textId="77777777" w:rsidR="004A2F65" w:rsidRPr="00B417E0" w:rsidRDefault="004A2F65">
      <w:pPr>
        <w:rPr>
          <w:rFonts w:ascii="Palatino Linotype" w:eastAsia="Palatino Linotype" w:hAnsi="Palatino Linotype" w:cs="Palatino Linotype"/>
          <w:sz w:val="22"/>
          <w:szCs w:val="22"/>
        </w:rPr>
      </w:pPr>
    </w:p>
    <w:p w14:paraId="33C5DEF0" w14:textId="77777777" w:rsidR="004A2F65" w:rsidRPr="00B417E0" w:rsidRDefault="004A2F65">
      <w:pPr>
        <w:rPr>
          <w:rFonts w:ascii="Palatino Linotype" w:eastAsia="Palatino Linotype" w:hAnsi="Palatino Linotype" w:cs="Palatino Linotype"/>
          <w:sz w:val="22"/>
          <w:szCs w:val="22"/>
        </w:rPr>
      </w:pPr>
    </w:p>
    <w:p w14:paraId="49067E12" w14:textId="77777777" w:rsidR="004A2F65" w:rsidRPr="00B417E0" w:rsidRDefault="004A2F65">
      <w:pPr>
        <w:rPr>
          <w:rFonts w:ascii="Palatino Linotype" w:eastAsia="Palatino Linotype" w:hAnsi="Palatino Linotype" w:cs="Palatino Linotype"/>
          <w:sz w:val="22"/>
          <w:szCs w:val="22"/>
        </w:rPr>
      </w:pPr>
    </w:p>
    <w:p w14:paraId="191F4D10" w14:textId="77777777" w:rsidR="004A2F65" w:rsidRPr="00B417E0" w:rsidRDefault="004A2F65">
      <w:pPr>
        <w:rPr>
          <w:rFonts w:ascii="Palatino Linotype" w:eastAsia="Palatino Linotype" w:hAnsi="Palatino Linotype" w:cs="Palatino Linotype"/>
          <w:sz w:val="22"/>
          <w:szCs w:val="22"/>
        </w:rPr>
      </w:pPr>
    </w:p>
    <w:p w14:paraId="60DC0E17" w14:textId="77777777" w:rsidR="004A2F65" w:rsidRPr="00B417E0" w:rsidRDefault="004A2F65">
      <w:pPr>
        <w:rPr>
          <w:rFonts w:ascii="Palatino Linotype" w:eastAsia="Palatino Linotype" w:hAnsi="Palatino Linotype" w:cs="Palatino Linotype"/>
          <w:sz w:val="22"/>
          <w:szCs w:val="22"/>
        </w:rPr>
      </w:pPr>
    </w:p>
    <w:p w14:paraId="751579CB" w14:textId="77777777" w:rsidR="004A2F65" w:rsidRPr="00B417E0" w:rsidRDefault="004A2F65">
      <w:pPr>
        <w:rPr>
          <w:rFonts w:ascii="Palatino Linotype" w:eastAsia="Palatino Linotype" w:hAnsi="Palatino Linotype" w:cs="Palatino Linotype"/>
          <w:sz w:val="22"/>
          <w:szCs w:val="22"/>
        </w:rPr>
      </w:pPr>
    </w:p>
    <w:p w14:paraId="53EE6119" w14:textId="77777777" w:rsidR="004A2F65" w:rsidRPr="00B417E0" w:rsidRDefault="004A2F65">
      <w:pPr>
        <w:rPr>
          <w:rFonts w:ascii="Palatino Linotype" w:eastAsia="Palatino Linotype" w:hAnsi="Palatino Linotype" w:cs="Palatino Linotype"/>
          <w:sz w:val="22"/>
          <w:szCs w:val="22"/>
        </w:rPr>
      </w:pPr>
    </w:p>
    <w:p w14:paraId="7B0FDBC3" w14:textId="77777777" w:rsidR="004A2F65" w:rsidRPr="00B417E0" w:rsidRDefault="004A2F65">
      <w:pPr>
        <w:rPr>
          <w:rFonts w:ascii="Palatino Linotype" w:eastAsia="Palatino Linotype" w:hAnsi="Palatino Linotype" w:cs="Palatino Linotype"/>
          <w:sz w:val="22"/>
          <w:szCs w:val="22"/>
        </w:rPr>
      </w:pPr>
    </w:p>
    <w:p w14:paraId="2A6EC652" w14:textId="77777777" w:rsidR="004A2F65" w:rsidRPr="00B417E0" w:rsidRDefault="004A2F65">
      <w:pPr>
        <w:spacing w:line="360" w:lineRule="auto"/>
        <w:jc w:val="both"/>
        <w:rPr>
          <w:rFonts w:ascii="Palatino Linotype" w:eastAsia="Palatino Linotype" w:hAnsi="Palatino Linotype" w:cs="Palatino Linotype"/>
          <w:sz w:val="22"/>
          <w:szCs w:val="22"/>
        </w:rPr>
      </w:pPr>
      <w:bookmarkStart w:id="9" w:name="_heading=h.3rdcrjn" w:colFirst="0" w:colLast="0"/>
      <w:bookmarkEnd w:id="9"/>
    </w:p>
    <w:p w14:paraId="76BB02A4" w14:textId="4032F2F8" w:rsidR="004A2F65" w:rsidRPr="00B417E0" w:rsidRDefault="004A2F65">
      <w:pPr>
        <w:spacing w:line="360" w:lineRule="auto"/>
        <w:jc w:val="both"/>
        <w:rPr>
          <w:rFonts w:ascii="Palatino Linotype" w:eastAsia="Palatino Linotype" w:hAnsi="Palatino Linotype" w:cs="Palatino Linotype"/>
          <w:sz w:val="22"/>
          <w:szCs w:val="22"/>
        </w:rPr>
      </w:pPr>
    </w:p>
    <w:p w14:paraId="7D9FEA68" w14:textId="7AF0A192" w:rsidR="00BD6199" w:rsidRPr="00B417E0" w:rsidRDefault="00BD6199">
      <w:pPr>
        <w:spacing w:line="360" w:lineRule="auto"/>
        <w:jc w:val="both"/>
        <w:rPr>
          <w:rFonts w:ascii="Palatino Linotype" w:eastAsia="Palatino Linotype" w:hAnsi="Palatino Linotype" w:cs="Palatino Linotype"/>
          <w:sz w:val="22"/>
          <w:szCs w:val="22"/>
        </w:rPr>
      </w:pPr>
    </w:p>
    <w:p w14:paraId="7C735FBD" w14:textId="712CBFAE" w:rsidR="00BD6199" w:rsidRPr="00B417E0" w:rsidRDefault="00BD6199">
      <w:pPr>
        <w:spacing w:line="360" w:lineRule="auto"/>
        <w:jc w:val="both"/>
        <w:rPr>
          <w:rFonts w:ascii="Palatino Linotype" w:eastAsia="Palatino Linotype" w:hAnsi="Palatino Linotype" w:cs="Palatino Linotype"/>
          <w:sz w:val="22"/>
          <w:szCs w:val="22"/>
        </w:rPr>
      </w:pPr>
    </w:p>
    <w:p w14:paraId="5CC27750" w14:textId="2B6810B4" w:rsidR="00BD6199" w:rsidRPr="00B417E0" w:rsidRDefault="00BD6199">
      <w:pPr>
        <w:spacing w:line="360" w:lineRule="auto"/>
        <w:jc w:val="both"/>
        <w:rPr>
          <w:rFonts w:ascii="Palatino Linotype" w:eastAsia="Palatino Linotype" w:hAnsi="Palatino Linotype" w:cs="Palatino Linotype"/>
          <w:sz w:val="22"/>
          <w:szCs w:val="22"/>
        </w:rPr>
      </w:pPr>
    </w:p>
    <w:p w14:paraId="52559EA9" w14:textId="39B487FF" w:rsidR="00BD6199" w:rsidRPr="00B417E0" w:rsidRDefault="00BD6199">
      <w:pPr>
        <w:spacing w:line="360" w:lineRule="auto"/>
        <w:jc w:val="both"/>
        <w:rPr>
          <w:rFonts w:ascii="Palatino Linotype" w:eastAsia="Palatino Linotype" w:hAnsi="Palatino Linotype" w:cs="Palatino Linotype"/>
          <w:sz w:val="22"/>
          <w:szCs w:val="22"/>
        </w:rPr>
      </w:pPr>
    </w:p>
    <w:p w14:paraId="5DD209DE" w14:textId="5DD16762" w:rsidR="00BD6199" w:rsidRPr="00B417E0" w:rsidRDefault="00BD6199">
      <w:pPr>
        <w:spacing w:line="360" w:lineRule="auto"/>
        <w:jc w:val="both"/>
        <w:rPr>
          <w:rFonts w:ascii="Palatino Linotype" w:eastAsia="Palatino Linotype" w:hAnsi="Palatino Linotype" w:cs="Palatino Linotype"/>
          <w:sz w:val="22"/>
          <w:szCs w:val="22"/>
        </w:rPr>
      </w:pPr>
    </w:p>
    <w:p w14:paraId="4577FD5B" w14:textId="273F7556" w:rsidR="00BD6199" w:rsidRPr="00B417E0" w:rsidRDefault="00BD6199">
      <w:pPr>
        <w:spacing w:line="360" w:lineRule="auto"/>
        <w:jc w:val="both"/>
        <w:rPr>
          <w:rFonts w:ascii="Palatino Linotype" w:eastAsia="Palatino Linotype" w:hAnsi="Palatino Linotype" w:cs="Palatino Linotype"/>
          <w:sz w:val="22"/>
          <w:szCs w:val="22"/>
        </w:rPr>
      </w:pPr>
    </w:p>
    <w:p w14:paraId="48851F96" w14:textId="361991F0" w:rsidR="00BD6199" w:rsidRPr="00B417E0" w:rsidRDefault="00BD6199">
      <w:pPr>
        <w:spacing w:line="360" w:lineRule="auto"/>
        <w:jc w:val="both"/>
        <w:rPr>
          <w:rFonts w:ascii="Palatino Linotype" w:eastAsia="Palatino Linotype" w:hAnsi="Palatino Linotype" w:cs="Palatino Linotype"/>
          <w:sz w:val="22"/>
          <w:szCs w:val="22"/>
        </w:rPr>
      </w:pPr>
    </w:p>
    <w:p w14:paraId="0E0072DE" w14:textId="4243577C" w:rsidR="00BD6199" w:rsidRPr="00B417E0" w:rsidRDefault="00BD6199">
      <w:pPr>
        <w:spacing w:line="360" w:lineRule="auto"/>
        <w:jc w:val="both"/>
        <w:rPr>
          <w:rFonts w:ascii="Palatino Linotype" w:eastAsia="Palatino Linotype" w:hAnsi="Palatino Linotype" w:cs="Palatino Linotype"/>
          <w:sz w:val="22"/>
          <w:szCs w:val="22"/>
        </w:rPr>
      </w:pPr>
    </w:p>
    <w:p w14:paraId="2C8009AA" w14:textId="46FF7B86" w:rsidR="00BD6199" w:rsidRPr="00B417E0" w:rsidRDefault="00BD6199">
      <w:pPr>
        <w:spacing w:line="360" w:lineRule="auto"/>
        <w:jc w:val="both"/>
        <w:rPr>
          <w:rFonts w:ascii="Palatino Linotype" w:eastAsia="Palatino Linotype" w:hAnsi="Palatino Linotype" w:cs="Palatino Linotype"/>
          <w:sz w:val="22"/>
          <w:szCs w:val="22"/>
        </w:rPr>
      </w:pPr>
    </w:p>
    <w:p w14:paraId="5232A96E" w14:textId="7C9AD46C" w:rsidR="00BD6199" w:rsidRPr="00B417E0" w:rsidRDefault="00BD6199">
      <w:pPr>
        <w:spacing w:line="360" w:lineRule="auto"/>
        <w:jc w:val="both"/>
        <w:rPr>
          <w:rFonts w:ascii="Palatino Linotype" w:eastAsia="Palatino Linotype" w:hAnsi="Palatino Linotype" w:cs="Palatino Linotype"/>
          <w:sz w:val="22"/>
          <w:szCs w:val="22"/>
        </w:rPr>
      </w:pPr>
    </w:p>
    <w:p w14:paraId="5AD42FEA" w14:textId="193F0771" w:rsidR="00BD6199" w:rsidRPr="00B417E0" w:rsidRDefault="00BD6199">
      <w:pPr>
        <w:spacing w:line="360" w:lineRule="auto"/>
        <w:jc w:val="both"/>
        <w:rPr>
          <w:rFonts w:ascii="Palatino Linotype" w:eastAsia="Palatino Linotype" w:hAnsi="Palatino Linotype" w:cs="Palatino Linotype"/>
          <w:sz w:val="22"/>
          <w:szCs w:val="22"/>
        </w:rPr>
      </w:pPr>
    </w:p>
    <w:p w14:paraId="220D2EF4" w14:textId="77777777" w:rsidR="00BD6199" w:rsidRPr="00B417E0" w:rsidRDefault="00BD6199">
      <w:pPr>
        <w:spacing w:line="360" w:lineRule="auto"/>
        <w:jc w:val="both"/>
        <w:rPr>
          <w:rFonts w:ascii="Palatino Linotype" w:eastAsia="Palatino Linotype" w:hAnsi="Palatino Linotype" w:cs="Palatino Linotype"/>
          <w:sz w:val="22"/>
          <w:szCs w:val="22"/>
        </w:rPr>
      </w:pPr>
    </w:p>
    <w:sectPr w:rsidR="00BD6199" w:rsidRPr="00B417E0">
      <w:headerReference w:type="default" r:id="rId8"/>
      <w:footerReference w:type="default" r:id="rId9"/>
      <w:headerReference w:type="first" r:id="rId10"/>
      <w:footerReference w:type="first" r:id="rId11"/>
      <w:pgSz w:w="12240" w:h="15840"/>
      <w:pgMar w:top="1985" w:right="1701" w:bottom="170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0FF801" w14:textId="77777777" w:rsidR="00C300E0" w:rsidRDefault="00C300E0">
      <w:r>
        <w:separator/>
      </w:r>
    </w:p>
  </w:endnote>
  <w:endnote w:type="continuationSeparator" w:id="0">
    <w:p w14:paraId="23C307D6" w14:textId="77777777" w:rsidR="00C300E0" w:rsidRDefault="00C30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embedRegular r:id="rId1" w:fontKey="{9F94C4B9-7318-4DF9-AF1A-28D4F8413345}"/>
  </w:font>
  <w:font w:name="Palatino Linotype">
    <w:panose1 w:val="02040502050505030304"/>
    <w:charset w:val="00"/>
    <w:family w:val="roman"/>
    <w:pitch w:val="variable"/>
    <w:sig w:usb0="E0000287" w:usb1="40000013" w:usb2="00000000" w:usb3="00000000" w:csb0="0000019F" w:csb1="00000000"/>
    <w:embedRegular r:id="rId2" w:fontKey="{5CC4ED7A-3C09-4997-86E4-07A859F1C06E}"/>
    <w:embedBold r:id="rId3" w:fontKey="{9AE0950C-C0A5-4F28-AFC1-EE71297DE365}"/>
    <w:embedItalic r:id="rId4" w:fontKey="{0F0E4BBB-28DB-458B-85F1-67EC52191CF3}"/>
    <w:embedBoldItalic r:id="rId5" w:fontKey="{96E119DF-EE49-4A20-AB84-124878F50F3E}"/>
  </w:font>
  <w:font w:name="Calibri">
    <w:panose1 w:val="020F0502020204030204"/>
    <w:charset w:val="00"/>
    <w:family w:val="swiss"/>
    <w:pitch w:val="variable"/>
    <w:sig w:usb0="E4002EFF" w:usb1="C200247B" w:usb2="00000009" w:usb3="00000000" w:csb0="000001FF" w:csb1="00000000"/>
    <w:embedRegular r:id="rId6" w:fontKey="{2970D547-A398-4D24-A9DA-6D89A2A202DA}"/>
    <w:embedBold r:id="rId7" w:fontKey="{60DD1784-1A5D-4052-A031-0FB44F1516E6}"/>
  </w:font>
  <w:font w:name="Cambria">
    <w:panose1 w:val="02040503050406030204"/>
    <w:charset w:val="00"/>
    <w:family w:val="roman"/>
    <w:pitch w:val="variable"/>
    <w:sig w:usb0="E00006FF" w:usb1="420024FF" w:usb2="02000000" w:usb3="00000000" w:csb0="0000019F" w:csb1="00000000"/>
    <w:embedRegular r:id="rId8" w:fontKey="{8827B0C1-8FFB-4918-BCCF-26285BB226AC}"/>
    <w:embedBold r:id="rId9" w:fontKey="{B7378EAD-53F8-4ED5-A078-22B240433DF7}"/>
    <w:embedBoldItalic r:id="rId10" w:fontKey="{A830821A-BCC7-4765-AF07-69C643D82FB8}"/>
  </w:font>
  <w:font w:name="Georgia">
    <w:panose1 w:val="02040502050405020303"/>
    <w:charset w:val="00"/>
    <w:family w:val="roman"/>
    <w:pitch w:val="variable"/>
    <w:sig w:usb0="00000287" w:usb1="00000000" w:usb2="00000000" w:usb3="00000000" w:csb0="0000009F" w:csb1="00000000"/>
    <w:embedItalic r:id="rId11" w:fontKey="{A213EC04-49C1-409C-A9AB-E2EE3A78DE59}"/>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C2D42" w14:textId="73D67080" w:rsidR="00FE2348" w:rsidRDefault="00FE2348">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bCs/>
        <w:color w:val="000000"/>
        <w:sz w:val="20"/>
        <w:szCs w:val="20"/>
      </w:rPr>
      <w:t xml:space="preserve">Página </w:t>
    </w:r>
    <w:r>
      <w:rPr>
        <w:rFonts w:ascii="Palatino Linotype" w:eastAsia="Palatino Linotype" w:hAnsi="Palatino Linotype" w:cs="Palatino Linotype"/>
        <w:b/>
        <w:bCs/>
        <w:color w:val="000000"/>
        <w:sz w:val="20"/>
        <w:szCs w:val="20"/>
      </w:rPr>
      <w:fldChar w:fldCharType="begin"/>
    </w:r>
    <w:r>
      <w:rPr>
        <w:rFonts w:ascii="Palatino Linotype" w:eastAsia="Palatino Linotype" w:hAnsi="Palatino Linotype" w:cs="Palatino Linotype"/>
        <w:b/>
        <w:bCs/>
        <w:color w:val="000000"/>
        <w:sz w:val="20"/>
        <w:szCs w:val="20"/>
      </w:rPr>
      <w:instrText>PAGE</w:instrText>
    </w:r>
    <w:r>
      <w:rPr>
        <w:rFonts w:ascii="Palatino Linotype" w:eastAsia="Palatino Linotype" w:hAnsi="Palatino Linotype" w:cs="Palatino Linotype"/>
        <w:b/>
        <w:bCs/>
        <w:color w:val="000000"/>
        <w:sz w:val="20"/>
        <w:szCs w:val="20"/>
      </w:rPr>
      <w:fldChar w:fldCharType="separate"/>
    </w:r>
    <w:r w:rsidR="00F160EC">
      <w:rPr>
        <w:rFonts w:ascii="Palatino Linotype" w:eastAsia="Palatino Linotype" w:hAnsi="Palatino Linotype" w:cs="Palatino Linotype"/>
        <w:b/>
        <w:bCs/>
        <w:noProof/>
        <w:color w:val="000000"/>
        <w:sz w:val="20"/>
        <w:szCs w:val="20"/>
      </w:rPr>
      <w:t>5</w:t>
    </w:r>
    <w:r>
      <w:rPr>
        <w:rFonts w:ascii="Palatino Linotype" w:eastAsia="Palatino Linotype" w:hAnsi="Palatino Linotype" w:cs="Palatino Linotype"/>
        <w:b/>
        <w:bCs/>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bCs/>
        <w:color w:val="000000"/>
        <w:sz w:val="20"/>
        <w:szCs w:val="20"/>
      </w:rPr>
      <w:fldChar w:fldCharType="begin"/>
    </w:r>
    <w:r>
      <w:rPr>
        <w:rFonts w:ascii="Palatino Linotype" w:eastAsia="Palatino Linotype" w:hAnsi="Palatino Linotype" w:cs="Palatino Linotype"/>
        <w:b/>
        <w:bCs/>
        <w:color w:val="000000"/>
        <w:sz w:val="20"/>
        <w:szCs w:val="20"/>
      </w:rPr>
      <w:instrText>NUMPAGES</w:instrText>
    </w:r>
    <w:r>
      <w:rPr>
        <w:rFonts w:ascii="Palatino Linotype" w:eastAsia="Palatino Linotype" w:hAnsi="Palatino Linotype" w:cs="Palatino Linotype"/>
        <w:b/>
        <w:bCs/>
        <w:color w:val="000000"/>
        <w:sz w:val="20"/>
        <w:szCs w:val="20"/>
      </w:rPr>
      <w:fldChar w:fldCharType="separate"/>
    </w:r>
    <w:r w:rsidR="00F160EC">
      <w:rPr>
        <w:rFonts w:ascii="Palatino Linotype" w:eastAsia="Palatino Linotype" w:hAnsi="Palatino Linotype" w:cs="Palatino Linotype"/>
        <w:b/>
        <w:bCs/>
        <w:noProof/>
        <w:color w:val="000000"/>
        <w:sz w:val="20"/>
        <w:szCs w:val="20"/>
      </w:rPr>
      <w:t>50</w:t>
    </w:r>
    <w:r>
      <w:rPr>
        <w:rFonts w:ascii="Palatino Linotype" w:eastAsia="Palatino Linotype" w:hAnsi="Palatino Linotype" w:cs="Palatino Linotype"/>
        <w:b/>
        <w:bCs/>
        <w:color w:val="000000"/>
        <w:sz w:val="20"/>
        <w:szCs w:val="20"/>
      </w:rPr>
      <w:fldChar w:fldCharType="end"/>
    </w:r>
  </w:p>
  <w:p w14:paraId="09012102" w14:textId="77777777" w:rsidR="00FE2348" w:rsidRDefault="00FE2348">
    <w:pPr>
      <w:pBdr>
        <w:top w:val="nil"/>
        <w:left w:val="nil"/>
        <w:bottom w:val="nil"/>
        <w:right w:val="nil"/>
        <w:between w:val="nil"/>
      </w:pBdr>
      <w:tabs>
        <w:tab w:val="center" w:pos="4252"/>
        <w:tab w:val="right" w:pos="8504"/>
      </w:tabs>
      <w:ind w:firstLine="708"/>
      <w:rPr>
        <w:rFonts w:ascii="Cambria" w:eastAsia="Cambria" w:hAnsi="Cambria" w:cs="Cambria"/>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D13B7" w14:textId="5442305F" w:rsidR="00FE2348" w:rsidRDefault="00FE2348">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bCs/>
        <w:color w:val="000000"/>
        <w:sz w:val="20"/>
        <w:szCs w:val="20"/>
      </w:rPr>
      <w:t xml:space="preserve">Página </w:t>
    </w:r>
    <w:r>
      <w:rPr>
        <w:rFonts w:ascii="Palatino Linotype" w:eastAsia="Palatino Linotype" w:hAnsi="Palatino Linotype" w:cs="Palatino Linotype"/>
        <w:b/>
        <w:bCs/>
        <w:color w:val="000000"/>
        <w:sz w:val="20"/>
        <w:szCs w:val="20"/>
      </w:rPr>
      <w:fldChar w:fldCharType="begin"/>
    </w:r>
    <w:r>
      <w:rPr>
        <w:rFonts w:ascii="Palatino Linotype" w:eastAsia="Palatino Linotype" w:hAnsi="Palatino Linotype" w:cs="Palatino Linotype"/>
        <w:b/>
        <w:bCs/>
        <w:color w:val="000000"/>
        <w:sz w:val="20"/>
        <w:szCs w:val="20"/>
      </w:rPr>
      <w:instrText>PAGE</w:instrText>
    </w:r>
    <w:r>
      <w:rPr>
        <w:rFonts w:ascii="Palatino Linotype" w:eastAsia="Palatino Linotype" w:hAnsi="Palatino Linotype" w:cs="Palatino Linotype"/>
        <w:b/>
        <w:bCs/>
        <w:color w:val="000000"/>
        <w:sz w:val="20"/>
        <w:szCs w:val="20"/>
      </w:rPr>
      <w:fldChar w:fldCharType="separate"/>
    </w:r>
    <w:r w:rsidR="00F160EC">
      <w:rPr>
        <w:rFonts w:ascii="Palatino Linotype" w:eastAsia="Palatino Linotype" w:hAnsi="Palatino Linotype" w:cs="Palatino Linotype"/>
        <w:b/>
        <w:bCs/>
        <w:noProof/>
        <w:color w:val="000000"/>
        <w:sz w:val="20"/>
        <w:szCs w:val="20"/>
      </w:rPr>
      <w:t>1</w:t>
    </w:r>
    <w:r>
      <w:rPr>
        <w:rFonts w:ascii="Palatino Linotype" w:eastAsia="Palatino Linotype" w:hAnsi="Palatino Linotype" w:cs="Palatino Linotype"/>
        <w:b/>
        <w:bCs/>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bCs/>
        <w:color w:val="000000"/>
        <w:sz w:val="20"/>
        <w:szCs w:val="20"/>
      </w:rPr>
      <w:fldChar w:fldCharType="begin"/>
    </w:r>
    <w:r>
      <w:rPr>
        <w:rFonts w:ascii="Palatino Linotype" w:eastAsia="Palatino Linotype" w:hAnsi="Palatino Linotype" w:cs="Palatino Linotype"/>
        <w:b/>
        <w:bCs/>
        <w:color w:val="000000"/>
        <w:sz w:val="20"/>
        <w:szCs w:val="20"/>
      </w:rPr>
      <w:instrText>NUMPAGES</w:instrText>
    </w:r>
    <w:r>
      <w:rPr>
        <w:rFonts w:ascii="Palatino Linotype" w:eastAsia="Palatino Linotype" w:hAnsi="Palatino Linotype" w:cs="Palatino Linotype"/>
        <w:b/>
        <w:bCs/>
        <w:color w:val="000000"/>
        <w:sz w:val="20"/>
        <w:szCs w:val="20"/>
      </w:rPr>
      <w:fldChar w:fldCharType="separate"/>
    </w:r>
    <w:r w:rsidR="00F160EC">
      <w:rPr>
        <w:rFonts w:ascii="Palatino Linotype" w:eastAsia="Palatino Linotype" w:hAnsi="Palatino Linotype" w:cs="Palatino Linotype"/>
        <w:b/>
        <w:bCs/>
        <w:noProof/>
        <w:color w:val="000000"/>
        <w:sz w:val="20"/>
        <w:szCs w:val="20"/>
      </w:rPr>
      <w:t>50</w:t>
    </w:r>
    <w:r>
      <w:rPr>
        <w:rFonts w:ascii="Palatino Linotype" w:eastAsia="Palatino Linotype" w:hAnsi="Palatino Linotype" w:cs="Palatino Linotype"/>
        <w:b/>
        <w:bCs/>
        <w:color w:val="000000"/>
        <w:sz w:val="20"/>
        <w:szCs w:val="20"/>
      </w:rPr>
      <w:fldChar w:fldCharType="end"/>
    </w:r>
  </w:p>
  <w:p w14:paraId="5A6A509C" w14:textId="77777777" w:rsidR="00FE2348" w:rsidRDefault="00FE2348">
    <w:pPr>
      <w:pBdr>
        <w:top w:val="nil"/>
        <w:left w:val="nil"/>
        <w:bottom w:val="nil"/>
        <w:right w:val="nil"/>
        <w:between w:val="nil"/>
      </w:pBdr>
      <w:tabs>
        <w:tab w:val="center" w:pos="4252"/>
        <w:tab w:val="right" w:pos="8504"/>
      </w:tabs>
      <w:rPr>
        <w:rFonts w:ascii="Cambria" w:eastAsia="Cambria" w:hAnsi="Cambria" w:cs="Cambria"/>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7A31ED" w14:textId="77777777" w:rsidR="00C300E0" w:rsidRDefault="00C300E0">
      <w:r>
        <w:separator/>
      </w:r>
    </w:p>
  </w:footnote>
  <w:footnote w:type="continuationSeparator" w:id="0">
    <w:p w14:paraId="7E5D6E6E" w14:textId="77777777" w:rsidR="00C300E0" w:rsidRDefault="00C300E0">
      <w:r>
        <w:continuationSeparator/>
      </w:r>
    </w:p>
  </w:footnote>
  <w:footnote w:id="1">
    <w:p w14:paraId="5648505A" w14:textId="77777777" w:rsidR="002B6F07" w:rsidRDefault="002B6F07" w:rsidP="002B6F07">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Consultable en: </w:t>
      </w:r>
    </w:p>
    <w:p w14:paraId="2F3F6423" w14:textId="77777777" w:rsidR="002B6F07" w:rsidRDefault="00F160EC" w:rsidP="002B6F07">
      <w:pPr>
        <w:pBdr>
          <w:top w:val="nil"/>
          <w:left w:val="nil"/>
          <w:bottom w:val="nil"/>
          <w:right w:val="nil"/>
          <w:between w:val="nil"/>
        </w:pBdr>
        <w:jc w:val="both"/>
        <w:rPr>
          <w:rFonts w:ascii="Palatino Linotype" w:eastAsia="Palatino Linotype" w:hAnsi="Palatino Linotype" w:cs="Palatino Linotype"/>
          <w:color w:val="000000"/>
          <w:sz w:val="16"/>
          <w:szCs w:val="16"/>
        </w:rPr>
      </w:pPr>
      <w:hyperlink r:id="rId1">
        <w:r w:rsidR="002B6F07">
          <w:rPr>
            <w:rFonts w:ascii="Palatino Linotype" w:eastAsia="Palatino Linotype" w:hAnsi="Palatino Linotype" w:cs="Palatino Linotype"/>
            <w:color w:val="0000FF"/>
            <w:sz w:val="16"/>
            <w:szCs w:val="16"/>
            <w:u w:val="single"/>
          </w:rPr>
          <w:t>https://www.indetec.gob.mx/delivery?srv=0&amp;sl=3&amp;path=/biblioteca/Especiales/386_Glosario_Terminos_Proceso_Planeacion.pdf</w:t>
        </w:r>
      </w:hyperlink>
      <w:r w:rsidR="002B6F07">
        <w:rPr>
          <w:rFonts w:ascii="Palatino Linotype" w:eastAsia="Palatino Linotype" w:hAnsi="Palatino Linotype" w:cs="Palatino Linotype"/>
          <w:color w:val="000000"/>
          <w:sz w:val="16"/>
          <w:szCs w:val="16"/>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639EB" w14:textId="77777777" w:rsidR="00FE2348" w:rsidRDefault="00FE2348">
    <w:pPr>
      <w:rPr>
        <w:rFonts w:ascii="Cambria" w:eastAsia="Cambria" w:hAnsi="Cambria" w:cs="Cambria"/>
        <w:color w:val="000000"/>
      </w:rPr>
    </w:pPr>
    <w:r>
      <w:rPr>
        <w:noProof/>
      </w:rPr>
      <w:drawing>
        <wp:anchor distT="0" distB="0" distL="0" distR="0" simplePos="0" relativeHeight="251658240" behindDoc="1" locked="0" layoutInCell="1" hidden="0" allowOverlap="1" wp14:anchorId="2E32917D" wp14:editId="65042BD8">
          <wp:simplePos x="0" y="0"/>
          <wp:positionH relativeFrom="column">
            <wp:posOffset>-1080102</wp:posOffset>
          </wp:positionH>
          <wp:positionV relativeFrom="paragraph">
            <wp:posOffset>-488276</wp:posOffset>
          </wp:positionV>
          <wp:extent cx="7809865" cy="10165715"/>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anchor>
      </w:drawing>
    </w:r>
  </w:p>
  <w:tbl>
    <w:tblPr>
      <w:tblStyle w:val="a"/>
      <w:tblW w:w="5953" w:type="dxa"/>
      <w:tblInd w:w="3261" w:type="dxa"/>
      <w:tblLayout w:type="fixed"/>
      <w:tblLook w:val="0400" w:firstRow="0" w:lastRow="0" w:firstColumn="0" w:lastColumn="0" w:noHBand="0" w:noVBand="1"/>
    </w:tblPr>
    <w:tblGrid>
      <w:gridCol w:w="2489"/>
      <w:gridCol w:w="3464"/>
    </w:tblGrid>
    <w:tr w:rsidR="00FE2348" w14:paraId="14F3112F" w14:textId="77777777">
      <w:tc>
        <w:tcPr>
          <w:tcW w:w="2489" w:type="dxa"/>
          <w:shd w:val="clear" w:color="auto" w:fill="auto"/>
        </w:tcPr>
        <w:p w14:paraId="4808AADC" w14:textId="77777777" w:rsidR="00FE2348" w:rsidRDefault="00FE2348">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Recurso de Revisión:</w:t>
          </w:r>
        </w:p>
      </w:tc>
      <w:tc>
        <w:tcPr>
          <w:tcW w:w="3464" w:type="dxa"/>
          <w:shd w:val="clear" w:color="auto" w:fill="auto"/>
          <w:vAlign w:val="center"/>
        </w:tcPr>
        <w:p w14:paraId="0F8FA67F" w14:textId="2EB30435" w:rsidR="00FE2348" w:rsidRDefault="00FE2348" w:rsidP="00AD0349">
          <w:pPr>
            <w:ind w:right="175"/>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03807/INFOEM/IP/RR/2026</w:t>
          </w:r>
        </w:p>
      </w:tc>
    </w:tr>
    <w:tr w:rsidR="00FE2348" w14:paraId="33F1B826" w14:textId="77777777">
      <w:trPr>
        <w:trHeight w:val="228"/>
      </w:trPr>
      <w:tc>
        <w:tcPr>
          <w:tcW w:w="2489" w:type="dxa"/>
          <w:shd w:val="clear" w:color="auto" w:fill="auto"/>
          <w:vAlign w:val="center"/>
        </w:tcPr>
        <w:p w14:paraId="4BE6F0A5" w14:textId="77777777" w:rsidR="00FE2348" w:rsidRDefault="00FE2348">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Sujeto Obligado:</w:t>
          </w:r>
        </w:p>
      </w:tc>
      <w:tc>
        <w:tcPr>
          <w:tcW w:w="3464" w:type="dxa"/>
          <w:shd w:val="clear" w:color="auto" w:fill="auto"/>
          <w:vAlign w:val="center"/>
        </w:tcPr>
        <w:p w14:paraId="75AAC919" w14:textId="7809AA27" w:rsidR="00FE2348" w:rsidRDefault="00FE2348">
          <w:pPr>
            <w:ind w:left="-45" w:right="176"/>
            <w:jc w:val="both"/>
            <w:rPr>
              <w:rFonts w:ascii="Palatino Linotype" w:eastAsia="Palatino Linotype" w:hAnsi="Palatino Linotype" w:cs="Palatino Linotype"/>
              <w:b/>
              <w:bCs/>
              <w:sz w:val="22"/>
              <w:szCs w:val="22"/>
            </w:rPr>
          </w:pPr>
          <w:r w:rsidRPr="00AD0349">
            <w:rPr>
              <w:rFonts w:ascii="Palatino Linotype" w:eastAsia="Palatino Linotype" w:hAnsi="Palatino Linotype" w:cs="Palatino Linotype"/>
              <w:b/>
              <w:bCs/>
              <w:sz w:val="22"/>
              <w:szCs w:val="22"/>
            </w:rPr>
            <w:t>Ayuntamiento de Tlalnepantla de Baz</w:t>
          </w:r>
        </w:p>
      </w:tc>
    </w:tr>
    <w:tr w:rsidR="00FE2348" w14:paraId="4765C211" w14:textId="77777777">
      <w:tc>
        <w:tcPr>
          <w:tcW w:w="2489" w:type="dxa"/>
          <w:shd w:val="clear" w:color="auto" w:fill="auto"/>
          <w:vAlign w:val="center"/>
        </w:tcPr>
        <w:p w14:paraId="5B324B37" w14:textId="77777777" w:rsidR="00FE2348" w:rsidRDefault="00FE2348">
          <w:pPr>
            <w:ind w:right="-108"/>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Comisionada ponente:</w:t>
          </w:r>
        </w:p>
      </w:tc>
      <w:tc>
        <w:tcPr>
          <w:tcW w:w="3464" w:type="dxa"/>
          <w:shd w:val="clear" w:color="auto" w:fill="auto"/>
          <w:vAlign w:val="center"/>
        </w:tcPr>
        <w:p w14:paraId="337C6CC6" w14:textId="77777777" w:rsidR="00FE2348" w:rsidRDefault="00FE2348">
          <w:pPr>
            <w:ind w:right="175"/>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Guadalupe Ramírez Peña</w:t>
          </w:r>
        </w:p>
      </w:tc>
    </w:tr>
  </w:tbl>
  <w:p w14:paraId="25D2F3B9" w14:textId="77777777" w:rsidR="00FE2348" w:rsidRDefault="00FE2348">
    <w:pPr>
      <w:rPr>
        <w:rFonts w:ascii="Cambria" w:eastAsia="Cambria" w:hAnsi="Cambria" w:cs="Cambria"/>
        <w:color w:val="000000"/>
      </w:rPr>
    </w:pPr>
    <w:r>
      <w:rPr>
        <w:rFonts w:ascii="Cambria" w:eastAsia="Cambria" w:hAnsi="Cambria" w:cs="Cambria"/>
        <w:color w:val="000000"/>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F051A" w14:textId="77777777" w:rsidR="00FE2348" w:rsidRDefault="00FE2348">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 xml:space="preserve"> </w:t>
    </w:r>
    <w:r>
      <w:rPr>
        <w:noProof/>
      </w:rPr>
      <w:drawing>
        <wp:anchor distT="0" distB="0" distL="0" distR="0" simplePos="0" relativeHeight="251659264" behindDoc="1" locked="0" layoutInCell="1" hidden="0" allowOverlap="1" wp14:anchorId="6C12E997" wp14:editId="55AD502F">
          <wp:simplePos x="0" y="0"/>
          <wp:positionH relativeFrom="column">
            <wp:posOffset>-1080128</wp:posOffset>
          </wp:positionH>
          <wp:positionV relativeFrom="paragraph">
            <wp:posOffset>-369904</wp:posOffset>
          </wp:positionV>
          <wp:extent cx="7809865" cy="1016571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14:sizeRelH relativeFrom="margin">
            <wp14:pctWidth>0</wp14:pctWidth>
          </wp14:sizeRelH>
          <wp14:sizeRelV relativeFrom="margin">
            <wp14:pctHeight>0</wp14:pctHeight>
          </wp14:sizeRelV>
        </wp:anchor>
      </w:drawing>
    </w:r>
  </w:p>
  <w:tbl>
    <w:tblPr>
      <w:tblStyle w:val="a0"/>
      <w:tblW w:w="5953" w:type="dxa"/>
      <w:tblInd w:w="3261" w:type="dxa"/>
      <w:tblLayout w:type="fixed"/>
      <w:tblLook w:val="0400" w:firstRow="0" w:lastRow="0" w:firstColumn="0" w:lastColumn="0" w:noHBand="0" w:noVBand="1"/>
    </w:tblPr>
    <w:tblGrid>
      <w:gridCol w:w="2489"/>
      <w:gridCol w:w="3464"/>
    </w:tblGrid>
    <w:tr w:rsidR="00FE2348" w14:paraId="09811BC6" w14:textId="77777777">
      <w:tc>
        <w:tcPr>
          <w:tcW w:w="2489" w:type="dxa"/>
          <w:shd w:val="clear" w:color="auto" w:fill="auto"/>
        </w:tcPr>
        <w:p w14:paraId="37D39142" w14:textId="77777777" w:rsidR="00FE2348" w:rsidRDefault="00FE2348">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Recurso de Revisión:</w:t>
          </w:r>
        </w:p>
      </w:tc>
      <w:tc>
        <w:tcPr>
          <w:tcW w:w="3464" w:type="dxa"/>
          <w:shd w:val="clear" w:color="auto" w:fill="auto"/>
          <w:vAlign w:val="center"/>
        </w:tcPr>
        <w:p w14:paraId="4A787083" w14:textId="209A4DE8" w:rsidR="00FE2348" w:rsidRDefault="00FE2348" w:rsidP="00AD0349">
          <w:pPr>
            <w:ind w:right="175"/>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03807/INFOEM/IP/RR/2026</w:t>
          </w:r>
        </w:p>
      </w:tc>
    </w:tr>
    <w:tr w:rsidR="00FE2348" w14:paraId="31FD8A5F" w14:textId="77777777">
      <w:tc>
        <w:tcPr>
          <w:tcW w:w="2489" w:type="dxa"/>
          <w:shd w:val="clear" w:color="auto" w:fill="auto"/>
        </w:tcPr>
        <w:p w14:paraId="391327AA" w14:textId="77777777" w:rsidR="00FE2348" w:rsidRDefault="00FE2348">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Recurrente</w:t>
          </w:r>
        </w:p>
      </w:tc>
      <w:tc>
        <w:tcPr>
          <w:tcW w:w="3464" w:type="dxa"/>
          <w:shd w:val="clear" w:color="auto" w:fill="auto"/>
          <w:vAlign w:val="center"/>
        </w:tcPr>
        <w:p w14:paraId="2EE56918" w14:textId="5AAB7720" w:rsidR="00FE2348" w:rsidRDefault="00FE2348">
          <w:pPr>
            <w:ind w:right="175"/>
            <w:jc w:val="both"/>
            <w:rPr>
              <w:rFonts w:ascii="Palatino Linotype" w:eastAsia="Palatino Linotype" w:hAnsi="Palatino Linotype" w:cs="Palatino Linotype"/>
              <w:b/>
              <w:bCs/>
              <w:sz w:val="22"/>
              <w:szCs w:val="22"/>
            </w:rPr>
          </w:pPr>
        </w:p>
      </w:tc>
    </w:tr>
    <w:tr w:rsidR="00FE2348" w14:paraId="48EEC5B5" w14:textId="77777777">
      <w:trPr>
        <w:trHeight w:val="228"/>
      </w:trPr>
      <w:tc>
        <w:tcPr>
          <w:tcW w:w="2489" w:type="dxa"/>
          <w:shd w:val="clear" w:color="auto" w:fill="auto"/>
          <w:vAlign w:val="center"/>
        </w:tcPr>
        <w:p w14:paraId="66B23161" w14:textId="77777777" w:rsidR="00FE2348" w:rsidRDefault="00FE2348">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Sujeto Obligado:</w:t>
          </w:r>
        </w:p>
      </w:tc>
      <w:tc>
        <w:tcPr>
          <w:tcW w:w="3464" w:type="dxa"/>
          <w:shd w:val="clear" w:color="auto" w:fill="auto"/>
          <w:vAlign w:val="center"/>
        </w:tcPr>
        <w:p w14:paraId="5D1D5265" w14:textId="3DC6148A" w:rsidR="00FE2348" w:rsidRDefault="00FE2348" w:rsidP="0003629B">
          <w:pPr>
            <w:ind w:left="-45" w:right="176"/>
            <w:jc w:val="both"/>
            <w:rPr>
              <w:rFonts w:ascii="Palatino Linotype" w:eastAsia="Palatino Linotype" w:hAnsi="Palatino Linotype" w:cs="Palatino Linotype"/>
              <w:b/>
              <w:bCs/>
              <w:sz w:val="22"/>
              <w:szCs w:val="22"/>
            </w:rPr>
          </w:pPr>
          <w:r w:rsidRPr="00AD0349">
            <w:rPr>
              <w:rFonts w:ascii="Palatino Linotype" w:eastAsia="Palatino Linotype" w:hAnsi="Palatino Linotype" w:cs="Palatino Linotype"/>
              <w:b/>
              <w:bCs/>
              <w:sz w:val="22"/>
              <w:szCs w:val="22"/>
            </w:rPr>
            <w:t>Ayuntamiento de Tlalnepantla de Baz</w:t>
          </w:r>
        </w:p>
      </w:tc>
    </w:tr>
    <w:tr w:rsidR="00FE2348" w14:paraId="2BC1EA07" w14:textId="77777777">
      <w:tc>
        <w:tcPr>
          <w:tcW w:w="2489" w:type="dxa"/>
          <w:shd w:val="clear" w:color="auto" w:fill="auto"/>
          <w:vAlign w:val="center"/>
        </w:tcPr>
        <w:p w14:paraId="0B238281" w14:textId="77777777" w:rsidR="00FE2348" w:rsidRDefault="00FE2348">
          <w:pPr>
            <w:ind w:right="-108"/>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Comisionada ponente:</w:t>
          </w:r>
        </w:p>
      </w:tc>
      <w:tc>
        <w:tcPr>
          <w:tcW w:w="3464" w:type="dxa"/>
          <w:shd w:val="clear" w:color="auto" w:fill="auto"/>
          <w:vAlign w:val="center"/>
        </w:tcPr>
        <w:p w14:paraId="6C5248DB" w14:textId="77777777" w:rsidR="00FE2348" w:rsidRDefault="00FE2348">
          <w:pPr>
            <w:ind w:right="175"/>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Guadalupe Ramírez Peña</w:t>
          </w:r>
        </w:p>
      </w:tc>
    </w:tr>
  </w:tbl>
  <w:p w14:paraId="493BDABF" w14:textId="77777777" w:rsidR="00FE2348" w:rsidRDefault="00FE234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B08C6"/>
    <w:multiLevelType w:val="hybridMultilevel"/>
    <w:tmpl w:val="21AE90AA"/>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AA91AF5"/>
    <w:multiLevelType w:val="multilevel"/>
    <w:tmpl w:val="B52044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D4E0E81"/>
    <w:multiLevelType w:val="multilevel"/>
    <w:tmpl w:val="1494C1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8940F6B"/>
    <w:multiLevelType w:val="multilevel"/>
    <w:tmpl w:val="7F1A66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4365396"/>
    <w:multiLevelType w:val="multilevel"/>
    <w:tmpl w:val="F09E9E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4E2753F"/>
    <w:multiLevelType w:val="multilevel"/>
    <w:tmpl w:val="6F6628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8D3271B"/>
    <w:multiLevelType w:val="hybridMultilevel"/>
    <w:tmpl w:val="88F0C76E"/>
    <w:lvl w:ilvl="0" w:tplc="4B428A28">
      <w:start w:val="7"/>
      <w:numFmt w:val="bullet"/>
      <w:lvlText w:val=""/>
      <w:lvlJc w:val="left"/>
      <w:pPr>
        <w:ind w:left="720" w:hanging="360"/>
      </w:pPr>
      <w:rPr>
        <w:rFonts w:ascii="Symbol" w:eastAsia="Palatino Linotype" w:hAnsi="Symbol" w:cs="Palatino Linotyp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D4532C7"/>
    <w:multiLevelType w:val="multilevel"/>
    <w:tmpl w:val="6F08DD82"/>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8" w15:restartNumberingAfterBreak="0">
    <w:nsid w:val="3D897200"/>
    <w:multiLevelType w:val="hybridMultilevel"/>
    <w:tmpl w:val="8514BEAC"/>
    <w:lvl w:ilvl="0" w:tplc="B18A77DA">
      <w:start w:val="2"/>
      <w:numFmt w:val="bullet"/>
      <w:lvlText w:val=""/>
      <w:lvlJc w:val="left"/>
      <w:pPr>
        <w:ind w:left="720" w:hanging="360"/>
      </w:pPr>
      <w:rPr>
        <w:rFonts w:ascii="Symbol" w:eastAsia="Palatino Linotype" w:hAnsi="Symbol" w:cs="Palatino Linotyp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6D05C74"/>
    <w:multiLevelType w:val="multilevel"/>
    <w:tmpl w:val="1EA2AD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9A044CF"/>
    <w:multiLevelType w:val="multilevel"/>
    <w:tmpl w:val="0D282D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081254A"/>
    <w:multiLevelType w:val="multilevel"/>
    <w:tmpl w:val="626A01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4557AAD"/>
    <w:multiLevelType w:val="hybridMultilevel"/>
    <w:tmpl w:val="116CC7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55BE2B34"/>
    <w:multiLevelType w:val="hybridMultilevel"/>
    <w:tmpl w:val="ED8254DA"/>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5BED5EF8"/>
    <w:multiLevelType w:val="hybridMultilevel"/>
    <w:tmpl w:val="410256E2"/>
    <w:lvl w:ilvl="0" w:tplc="95765578">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F7F5EB6"/>
    <w:multiLevelType w:val="multilevel"/>
    <w:tmpl w:val="6D16810E"/>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5FA461CE"/>
    <w:multiLevelType w:val="multilevel"/>
    <w:tmpl w:val="C0BC72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04C0C05"/>
    <w:multiLevelType w:val="hybridMultilevel"/>
    <w:tmpl w:val="21AE90AA"/>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70175F11"/>
    <w:multiLevelType w:val="hybridMultilevel"/>
    <w:tmpl w:val="0BCC04D6"/>
    <w:lvl w:ilvl="0" w:tplc="20BAE572">
      <w:start w:val="9"/>
      <w:numFmt w:val="bullet"/>
      <w:lvlText w:val="-"/>
      <w:lvlJc w:val="left"/>
      <w:pPr>
        <w:ind w:left="1080" w:hanging="360"/>
      </w:pPr>
      <w:rPr>
        <w:rFonts w:ascii="Palatino Linotype" w:eastAsia="Palatino Linotype" w:hAnsi="Palatino Linotype" w:cs="Palatino Linotype"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9" w15:restartNumberingAfterBreak="0">
    <w:nsid w:val="72561DD6"/>
    <w:multiLevelType w:val="hybridMultilevel"/>
    <w:tmpl w:val="21AE90AA"/>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783A1974"/>
    <w:multiLevelType w:val="hybridMultilevel"/>
    <w:tmpl w:val="ED8254DA"/>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7A5278F5"/>
    <w:multiLevelType w:val="hybridMultilevel"/>
    <w:tmpl w:val="06FA1FC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2" w15:restartNumberingAfterBreak="0">
    <w:nsid w:val="7F907DC0"/>
    <w:multiLevelType w:val="hybridMultilevel"/>
    <w:tmpl w:val="3DF0885A"/>
    <w:lvl w:ilvl="0" w:tplc="4B0EB384">
      <w:start w:val="2"/>
      <w:numFmt w:val="bullet"/>
      <w:lvlText w:val=""/>
      <w:lvlJc w:val="left"/>
      <w:pPr>
        <w:ind w:left="720" w:hanging="360"/>
      </w:pPr>
      <w:rPr>
        <w:rFonts w:ascii="Symbol" w:eastAsia="Palatino Linotype" w:hAnsi="Symbol" w:cs="Palatino Linotyp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15"/>
  </w:num>
  <w:num w:numId="4">
    <w:abstractNumId w:val="19"/>
  </w:num>
  <w:num w:numId="5">
    <w:abstractNumId w:val="10"/>
  </w:num>
  <w:num w:numId="6">
    <w:abstractNumId w:val="2"/>
  </w:num>
  <w:num w:numId="7">
    <w:abstractNumId w:val="3"/>
  </w:num>
  <w:num w:numId="8">
    <w:abstractNumId w:val="9"/>
  </w:num>
  <w:num w:numId="9">
    <w:abstractNumId w:val="4"/>
  </w:num>
  <w:num w:numId="10">
    <w:abstractNumId w:val="11"/>
  </w:num>
  <w:num w:numId="11">
    <w:abstractNumId w:val="16"/>
  </w:num>
  <w:num w:numId="12">
    <w:abstractNumId w:val="17"/>
  </w:num>
  <w:num w:numId="13">
    <w:abstractNumId w:val="21"/>
  </w:num>
  <w:num w:numId="14">
    <w:abstractNumId w:val="0"/>
  </w:num>
  <w:num w:numId="15">
    <w:abstractNumId w:val="6"/>
  </w:num>
  <w:num w:numId="16">
    <w:abstractNumId w:val="12"/>
  </w:num>
  <w:num w:numId="17">
    <w:abstractNumId w:val="14"/>
  </w:num>
  <w:num w:numId="18">
    <w:abstractNumId w:val="22"/>
  </w:num>
  <w:num w:numId="19">
    <w:abstractNumId w:val="20"/>
  </w:num>
  <w:num w:numId="20">
    <w:abstractNumId w:val="13"/>
  </w:num>
  <w:num w:numId="21">
    <w:abstractNumId w:val="8"/>
  </w:num>
  <w:num w:numId="22">
    <w:abstractNumId w:val="18"/>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F65"/>
    <w:rsid w:val="00015388"/>
    <w:rsid w:val="0003629B"/>
    <w:rsid w:val="000A6DAF"/>
    <w:rsid w:val="000D1F09"/>
    <w:rsid w:val="0010351E"/>
    <w:rsid w:val="00122FD7"/>
    <w:rsid w:val="00124135"/>
    <w:rsid w:val="001945A4"/>
    <w:rsid w:val="001D06B8"/>
    <w:rsid w:val="001F7B9F"/>
    <w:rsid w:val="002008B1"/>
    <w:rsid w:val="0024347A"/>
    <w:rsid w:val="00243A40"/>
    <w:rsid w:val="002779F7"/>
    <w:rsid w:val="002871D6"/>
    <w:rsid w:val="002B511B"/>
    <w:rsid w:val="002B6F07"/>
    <w:rsid w:val="002D5B2D"/>
    <w:rsid w:val="00337259"/>
    <w:rsid w:val="00341CAB"/>
    <w:rsid w:val="00344B4B"/>
    <w:rsid w:val="00357C8A"/>
    <w:rsid w:val="00372776"/>
    <w:rsid w:val="003D3012"/>
    <w:rsid w:val="003F307C"/>
    <w:rsid w:val="003F4E52"/>
    <w:rsid w:val="004636A6"/>
    <w:rsid w:val="00480778"/>
    <w:rsid w:val="00496487"/>
    <w:rsid w:val="004A2F65"/>
    <w:rsid w:val="004B20A7"/>
    <w:rsid w:val="004E54CF"/>
    <w:rsid w:val="005270B4"/>
    <w:rsid w:val="00591A4C"/>
    <w:rsid w:val="0059650F"/>
    <w:rsid w:val="005B2446"/>
    <w:rsid w:val="005F09F3"/>
    <w:rsid w:val="00610559"/>
    <w:rsid w:val="00617983"/>
    <w:rsid w:val="00642253"/>
    <w:rsid w:val="00681FE9"/>
    <w:rsid w:val="006C1137"/>
    <w:rsid w:val="006C6055"/>
    <w:rsid w:val="006D05F9"/>
    <w:rsid w:val="006D5C28"/>
    <w:rsid w:val="006D682B"/>
    <w:rsid w:val="006F5624"/>
    <w:rsid w:val="00702192"/>
    <w:rsid w:val="0074611A"/>
    <w:rsid w:val="007B114F"/>
    <w:rsid w:val="007B6466"/>
    <w:rsid w:val="007B768D"/>
    <w:rsid w:val="007C69D8"/>
    <w:rsid w:val="007C6E99"/>
    <w:rsid w:val="007F69D8"/>
    <w:rsid w:val="008B6181"/>
    <w:rsid w:val="0090258F"/>
    <w:rsid w:val="00940658"/>
    <w:rsid w:val="00954941"/>
    <w:rsid w:val="0097057A"/>
    <w:rsid w:val="009C261A"/>
    <w:rsid w:val="00AC2E05"/>
    <w:rsid w:val="00AD0349"/>
    <w:rsid w:val="00B12EAA"/>
    <w:rsid w:val="00B17074"/>
    <w:rsid w:val="00B417D1"/>
    <w:rsid w:val="00B417E0"/>
    <w:rsid w:val="00B63AAF"/>
    <w:rsid w:val="00B71393"/>
    <w:rsid w:val="00B72443"/>
    <w:rsid w:val="00B96555"/>
    <w:rsid w:val="00BA0978"/>
    <w:rsid w:val="00BA523D"/>
    <w:rsid w:val="00BC1720"/>
    <w:rsid w:val="00BC28DF"/>
    <w:rsid w:val="00BD6199"/>
    <w:rsid w:val="00C300E0"/>
    <w:rsid w:val="00C62976"/>
    <w:rsid w:val="00CA54E4"/>
    <w:rsid w:val="00CC46F4"/>
    <w:rsid w:val="00D373E2"/>
    <w:rsid w:val="00D51817"/>
    <w:rsid w:val="00D567C7"/>
    <w:rsid w:val="00D6170A"/>
    <w:rsid w:val="00D75565"/>
    <w:rsid w:val="00D80999"/>
    <w:rsid w:val="00D84268"/>
    <w:rsid w:val="00DA4868"/>
    <w:rsid w:val="00DD6032"/>
    <w:rsid w:val="00DD6A3B"/>
    <w:rsid w:val="00DE5D1A"/>
    <w:rsid w:val="00E14AC7"/>
    <w:rsid w:val="00E450DD"/>
    <w:rsid w:val="00E84FAC"/>
    <w:rsid w:val="00ED7571"/>
    <w:rsid w:val="00EE2957"/>
    <w:rsid w:val="00F12FCD"/>
    <w:rsid w:val="00F160EC"/>
    <w:rsid w:val="00FB19F7"/>
    <w:rsid w:val="00FE234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0595B"/>
  <w15:docId w15:val="{68F18416-C550-4D27-BBC6-A48CF9F78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Calibri" w:eastAsia="Calibri" w:hAnsi="Calibri" w:cs="Calibri"/>
      <w:color w:val="366091"/>
      <w:sz w:val="32"/>
      <w:szCs w:val="32"/>
    </w:rPr>
  </w:style>
  <w:style w:type="paragraph" w:styleId="Ttulo2">
    <w:name w:val="heading 2"/>
    <w:basedOn w:val="Normal"/>
    <w:next w:val="Normal"/>
    <w:uiPriority w:val="9"/>
    <w:semiHidden/>
    <w:unhideWhenUsed/>
    <w:qFormat/>
    <w:pPr>
      <w:keepNext/>
      <w:keepLines/>
      <w:spacing w:before="40"/>
      <w:outlineLvl w:val="1"/>
    </w:pPr>
    <w:rPr>
      <w:rFonts w:ascii="Calibri" w:eastAsia="Calibri" w:hAnsi="Calibri" w:cs="Calibri"/>
      <w:color w:val="366091"/>
      <w:sz w:val="26"/>
      <w:szCs w:val="26"/>
    </w:rPr>
  </w:style>
  <w:style w:type="paragraph" w:styleId="Ttulo3">
    <w:name w:val="heading 3"/>
    <w:basedOn w:val="Normal"/>
    <w:next w:val="Normal"/>
    <w:uiPriority w:val="9"/>
    <w:semiHidden/>
    <w:unhideWhenUsed/>
    <w:qFormat/>
    <w:pPr>
      <w:keepNext/>
      <w:spacing w:before="240" w:after="60"/>
      <w:ind w:left="2160" w:hanging="720"/>
      <w:outlineLvl w:val="2"/>
    </w:pPr>
    <w:rPr>
      <w:rFonts w:ascii="Calibri" w:eastAsia="Calibri" w:hAnsi="Calibri" w:cs="Calibri"/>
      <w:b/>
      <w:bCs/>
      <w:sz w:val="26"/>
      <w:szCs w:val="26"/>
    </w:rPr>
  </w:style>
  <w:style w:type="paragraph" w:styleId="Ttulo4">
    <w:name w:val="heading 4"/>
    <w:basedOn w:val="Normal"/>
    <w:next w:val="Normal"/>
    <w:uiPriority w:val="9"/>
    <w:semiHidden/>
    <w:unhideWhenUsed/>
    <w:qFormat/>
    <w:pPr>
      <w:keepNext/>
      <w:spacing w:before="240" w:after="60"/>
      <w:ind w:left="2880" w:hanging="720"/>
      <w:outlineLvl w:val="3"/>
    </w:pPr>
    <w:rPr>
      <w:rFonts w:ascii="Cambria" w:eastAsia="Cambria" w:hAnsi="Cambria" w:cs="Cambria"/>
      <w:b/>
      <w:bCs/>
      <w:sz w:val="28"/>
      <w:szCs w:val="28"/>
    </w:rPr>
  </w:style>
  <w:style w:type="paragraph" w:styleId="Ttulo5">
    <w:name w:val="heading 5"/>
    <w:basedOn w:val="Normal"/>
    <w:next w:val="Normal"/>
    <w:uiPriority w:val="9"/>
    <w:semiHidden/>
    <w:unhideWhenUsed/>
    <w:qFormat/>
    <w:pPr>
      <w:spacing w:before="240" w:after="60"/>
      <w:ind w:left="3600" w:hanging="720"/>
      <w:outlineLvl w:val="4"/>
    </w:pPr>
    <w:rPr>
      <w:rFonts w:ascii="Cambria" w:eastAsia="Cambria" w:hAnsi="Cambria" w:cs="Cambria"/>
      <w:b/>
      <w:bCs/>
      <w:i/>
      <w:iCs/>
      <w:sz w:val="26"/>
      <w:szCs w:val="26"/>
    </w:rPr>
  </w:style>
  <w:style w:type="paragraph" w:styleId="Ttulo6">
    <w:name w:val="heading 6"/>
    <w:basedOn w:val="Normal"/>
    <w:next w:val="Normal"/>
    <w:uiPriority w:val="9"/>
    <w:semiHidden/>
    <w:unhideWhenUsed/>
    <w:qFormat/>
    <w:pPr>
      <w:spacing w:before="240" w:after="60"/>
      <w:ind w:left="4320" w:hanging="720"/>
      <w:outlineLvl w:val="5"/>
    </w:pPr>
    <w:rPr>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paragraph" w:styleId="Encabezado">
    <w:name w:val="header"/>
    <w:basedOn w:val="Normal"/>
    <w:link w:val="EncabezadoCar"/>
    <w:uiPriority w:val="99"/>
    <w:unhideWhenUsed/>
    <w:rsid w:val="00DD6A3B"/>
    <w:pPr>
      <w:tabs>
        <w:tab w:val="center" w:pos="4419"/>
        <w:tab w:val="right" w:pos="8838"/>
      </w:tabs>
    </w:pPr>
  </w:style>
  <w:style w:type="character" w:customStyle="1" w:styleId="EncabezadoCar">
    <w:name w:val="Encabezado Car"/>
    <w:basedOn w:val="Fuentedeprrafopredeter"/>
    <w:link w:val="Encabezado"/>
    <w:uiPriority w:val="99"/>
    <w:rsid w:val="00DD6A3B"/>
  </w:style>
  <w:style w:type="paragraph" w:styleId="Piedepgina">
    <w:name w:val="footer"/>
    <w:basedOn w:val="Normal"/>
    <w:link w:val="PiedepginaCar"/>
    <w:uiPriority w:val="99"/>
    <w:unhideWhenUsed/>
    <w:rsid w:val="00DD6A3B"/>
    <w:pPr>
      <w:tabs>
        <w:tab w:val="center" w:pos="4419"/>
        <w:tab w:val="right" w:pos="8838"/>
      </w:tabs>
    </w:pPr>
  </w:style>
  <w:style w:type="character" w:customStyle="1" w:styleId="PiedepginaCar">
    <w:name w:val="Pie de página Car"/>
    <w:basedOn w:val="Fuentedeprrafopredeter"/>
    <w:link w:val="Piedepgina"/>
    <w:uiPriority w:val="99"/>
    <w:rsid w:val="00DD6A3B"/>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0D1F09"/>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5270B4"/>
  </w:style>
  <w:style w:type="character" w:styleId="Hipervnculo">
    <w:name w:val="Hyperlink"/>
    <w:basedOn w:val="Fuentedeprrafopredeter"/>
    <w:uiPriority w:val="99"/>
    <w:unhideWhenUsed/>
    <w:rsid w:val="00D518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97897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s://www.indetec.gob.mx/delivery?srv=0&amp;sl=3&amp;path=/biblioteca/Especiales/386_Glosario_Terminos_Proceso_Planeacio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MAbUqqZ7WgWVtIsN4f8Lw9L0Xw==">CgMxLjAyCWguNGQzNG9nODIIaC5namRneHMyCWguM2R5NnZrbTIJaC4zMGowemxsMgloLjJzOGV5bzEyDmguand5d3Fnd3pwdTdlMghoLnR5amN3dDIJaC4yZXQ5MnAwMgloLjQ0c2luaW8yCWguM3JkY3JqbjgAciExWE9iaFE3MjhQTDR2ZjlnNFVNaEdQbXRoZEFTN2lJb18=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13405</Words>
  <Characters>73731</Characters>
  <Application>Microsoft Office Word</Application>
  <DocSecurity>0</DocSecurity>
  <Lines>614</Lines>
  <Paragraphs>173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INFOEM603</dc:creator>
  <cp:lastModifiedBy>Maricela Villagómez Martínez</cp:lastModifiedBy>
  <cp:revision>2</cp:revision>
  <cp:lastPrinted>2026-09-25T16:04:00Z</cp:lastPrinted>
  <dcterms:created xsi:type="dcterms:W3CDTF">2026-09-28T15:56:00Z</dcterms:created>
  <dcterms:modified xsi:type="dcterms:W3CDTF">2026-09-28T15:56:00Z</dcterms:modified>
</cp:coreProperties>
</file>