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FC7" w:rsidRPr="00640238" w:rsidRDefault="00980FC7" w:rsidP="00980FC7">
      <w:pPr>
        <w:spacing w:before="240" w:after="240" w:line="360" w:lineRule="auto"/>
        <w:jc w:val="both"/>
        <w:rPr>
          <w:rFonts w:ascii="Palatino Linotype" w:eastAsia="Palatino Linotype" w:hAnsi="Palatino Linotype" w:cs="Palatino Linotype"/>
          <w:b/>
          <w:sz w:val="24"/>
          <w:szCs w:val="24"/>
        </w:rPr>
      </w:pPr>
      <w:r w:rsidRPr="00640238">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w:t>
      </w:r>
      <w:r w:rsidR="00640238">
        <w:rPr>
          <w:rFonts w:ascii="Palatino Linotype" w:eastAsia="Palatino Linotype" w:hAnsi="Palatino Linotype" w:cs="Palatino Linotype"/>
          <w:sz w:val="24"/>
          <w:szCs w:val="24"/>
        </w:rPr>
        <w:t xml:space="preserve"> Metepec, Estado de México; de </w:t>
      </w:r>
      <w:r w:rsidR="00640238" w:rsidRPr="00640238">
        <w:rPr>
          <w:rFonts w:ascii="Palatino Linotype" w:eastAsia="Palatino Linotype" w:hAnsi="Palatino Linotype" w:cs="Palatino Linotype"/>
          <w:b/>
          <w:sz w:val="24"/>
          <w:szCs w:val="24"/>
        </w:rPr>
        <w:t xml:space="preserve">fecha </w:t>
      </w:r>
      <w:r w:rsidR="00D65A36" w:rsidRPr="00640238">
        <w:rPr>
          <w:rFonts w:ascii="Palatino Linotype" w:eastAsia="Palatino Linotype" w:hAnsi="Palatino Linotype" w:cs="Palatino Linotype"/>
          <w:b/>
          <w:sz w:val="24"/>
          <w:szCs w:val="24"/>
        </w:rPr>
        <w:t xml:space="preserve">diez </w:t>
      </w:r>
      <w:r w:rsidR="00640238" w:rsidRPr="00640238">
        <w:rPr>
          <w:rFonts w:ascii="Palatino Linotype" w:eastAsia="Palatino Linotype" w:hAnsi="Palatino Linotype" w:cs="Palatino Linotype"/>
          <w:b/>
          <w:sz w:val="24"/>
          <w:szCs w:val="24"/>
        </w:rPr>
        <w:t xml:space="preserve">(10) </w:t>
      </w:r>
      <w:r w:rsidR="00D65A36" w:rsidRPr="00640238">
        <w:rPr>
          <w:rFonts w:ascii="Palatino Linotype" w:eastAsia="Palatino Linotype" w:hAnsi="Palatino Linotype" w:cs="Palatino Linotype"/>
          <w:b/>
          <w:sz w:val="24"/>
          <w:szCs w:val="24"/>
        </w:rPr>
        <w:t>de junio</w:t>
      </w:r>
      <w:r w:rsidRPr="00640238">
        <w:rPr>
          <w:rFonts w:ascii="Palatino Linotype" w:eastAsia="Palatino Linotype" w:hAnsi="Palatino Linotype" w:cs="Palatino Linotype"/>
          <w:b/>
          <w:sz w:val="24"/>
          <w:szCs w:val="24"/>
        </w:rPr>
        <w:t xml:space="preserve"> de dos mil veintiséis.  </w:t>
      </w:r>
    </w:p>
    <w:p w:rsidR="00980FC7" w:rsidRDefault="00980FC7" w:rsidP="00980FC7">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b/>
          <w:color w:val="000000"/>
          <w:sz w:val="24"/>
          <w:szCs w:val="24"/>
        </w:rPr>
        <w:t>VISTO el</w:t>
      </w:r>
      <w:r w:rsidRPr="00640238">
        <w:rPr>
          <w:rFonts w:ascii="Palatino Linotype" w:eastAsia="Palatino Linotype" w:hAnsi="Palatino Linotype" w:cs="Palatino Linotype"/>
          <w:color w:val="000000"/>
          <w:sz w:val="24"/>
          <w:szCs w:val="24"/>
        </w:rPr>
        <w:t xml:space="preserve"> expediente electrónico formado con motivo del recurso de revisión </w:t>
      </w:r>
      <w:r w:rsidR="00D65A36" w:rsidRPr="00640238">
        <w:rPr>
          <w:rFonts w:ascii="Palatino Linotype" w:eastAsia="Palatino Linotype" w:hAnsi="Palatino Linotype" w:cs="Palatino Linotype"/>
          <w:b/>
          <w:color w:val="000000"/>
          <w:sz w:val="24"/>
          <w:szCs w:val="24"/>
        </w:rPr>
        <w:t>03858/INFOEM/IP/RR/2026</w:t>
      </w:r>
      <w:r w:rsidRP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color w:val="000000"/>
          <w:sz w:val="24"/>
          <w:szCs w:val="24"/>
        </w:rPr>
        <w:t xml:space="preserve">promovido por </w:t>
      </w:r>
      <w:r w:rsidR="00077FB1">
        <w:rPr>
          <w:rFonts w:ascii="Palatino Linotype" w:eastAsia="Palatino Linotype" w:hAnsi="Palatino Linotype" w:cs="Palatino Linotype"/>
          <w:b/>
          <w:bCs/>
          <w:color w:val="000000"/>
          <w:sz w:val="24"/>
          <w:szCs w:val="24"/>
        </w:rPr>
        <w:t>XXXX</w:t>
      </w:r>
      <w:r w:rsidRPr="00640238">
        <w:rPr>
          <w:rFonts w:ascii="Palatino Linotype" w:eastAsia="Palatino Linotype" w:hAnsi="Palatino Linotype" w:cs="Palatino Linotype"/>
          <w:color w:val="000000"/>
          <w:sz w:val="24"/>
          <w:szCs w:val="24"/>
        </w:rPr>
        <w:t xml:space="preserve">, en su calidad de </w:t>
      </w:r>
      <w:r w:rsidRPr="00640238">
        <w:rPr>
          <w:rFonts w:ascii="Palatino Linotype" w:eastAsia="Palatino Linotype" w:hAnsi="Palatino Linotype" w:cs="Palatino Linotype"/>
          <w:b/>
          <w:color w:val="000000"/>
          <w:sz w:val="24"/>
          <w:szCs w:val="24"/>
        </w:rPr>
        <w:t>RECURRENTE</w:t>
      </w:r>
      <w:r w:rsidRPr="00640238">
        <w:rPr>
          <w:rFonts w:ascii="Palatino Linotype" w:eastAsia="Palatino Linotype" w:hAnsi="Palatino Linotype" w:cs="Palatino Linotype"/>
          <w:color w:val="000000"/>
          <w:sz w:val="24"/>
          <w:szCs w:val="24"/>
        </w:rPr>
        <w:t xml:space="preserve">, en contra de la falta de respuesta del </w:t>
      </w:r>
      <w:r w:rsidRPr="00640238">
        <w:rPr>
          <w:rFonts w:ascii="Palatino Linotype" w:eastAsia="Palatino Linotype" w:hAnsi="Palatino Linotype" w:cs="Palatino Linotype"/>
          <w:b/>
          <w:color w:val="000000"/>
          <w:sz w:val="24"/>
          <w:szCs w:val="24"/>
        </w:rPr>
        <w:t>Ayuntamient</w:t>
      </w:r>
      <w:r w:rsidR="00D65A36" w:rsidRPr="00640238">
        <w:rPr>
          <w:rFonts w:ascii="Palatino Linotype" w:eastAsia="Palatino Linotype" w:hAnsi="Palatino Linotype" w:cs="Palatino Linotype"/>
          <w:b/>
          <w:color w:val="000000"/>
          <w:sz w:val="24"/>
          <w:szCs w:val="24"/>
        </w:rPr>
        <w:t>o de Papalotla</w:t>
      </w:r>
      <w:r w:rsidRPr="00640238">
        <w:rPr>
          <w:rFonts w:ascii="Palatino Linotype" w:eastAsia="Palatino Linotype" w:hAnsi="Palatino Linotype" w:cs="Palatino Linotype"/>
          <w:color w:val="000000"/>
          <w:sz w:val="24"/>
          <w:szCs w:val="24"/>
        </w:rPr>
        <w:t>,</w:t>
      </w:r>
      <w:r w:rsidRP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color w:val="000000"/>
          <w:sz w:val="24"/>
          <w:szCs w:val="24"/>
        </w:rPr>
        <w:t>en lo sucesivo el</w:t>
      </w:r>
      <w:r w:rsidRPr="00640238">
        <w:rPr>
          <w:rFonts w:ascii="Palatino Linotype" w:eastAsia="Palatino Linotype" w:hAnsi="Palatino Linotype" w:cs="Palatino Linotype"/>
          <w:b/>
          <w:color w:val="000000"/>
          <w:sz w:val="24"/>
          <w:szCs w:val="24"/>
        </w:rPr>
        <w:t xml:space="preserve"> SUJETO OBLIGADO, </w:t>
      </w:r>
      <w:r w:rsidRPr="00640238">
        <w:rPr>
          <w:rFonts w:ascii="Palatino Linotype" w:eastAsia="Palatino Linotype" w:hAnsi="Palatino Linotype" w:cs="Palatino Linotype"/>
          <w:color w:val="000000"/>
          <w:sz w:val="24"/>
          <w:szCs w:val="24"/>
        </w:rPr>
        <w:t>se procede a dictar la presente resolución, con base en los siguientes:</w:t>
      </w:r>
      <w:bookmarkStart w:id="0" w:name="_GoBack"/>
      <w:bookmarkEnd w:id="0"/>
    </w:p>
    <w:p w:rsidR="00077FB1" w:rsidRPr="00640238" w:rsidRDefault="00077FB1" w:rsidP="00980FC7">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b/>
          <w:color w:val="000000"/>
          <w:sz w:val="24"/>
          <w:szCs w:val="24"/>
        </w:rPr>
      </w:pPr>
    </w:p>
    <w:p w:rsidR="00980FC7" w:rsidRPr="00640238" w:rsidRDefault="00980FC7" w:rsidP="00980FC7">
      <w:pPr>
        <w:pStyle w:val="Ttulo1"/>
        <w:jc w:val="center"/>
        <w:rPr>
          <w:rFonts w:ascii="Palatino Linotype" w:eastAsia="Palatino Linotype" w:hAnsi="Palatino Linotype" w:cs="Palatino Linotype"/>
          <w:b/>
          <w:color w:val="000000"/>
          <w:sz w:val="24"/>
          <w:szCs w:val="24"/>
        </w:rPr>
      </w:pPr>
      <w:bookmarkStart w:id="1" w:name="_heading=h.gjdgxs" w:colFirst="0" w:colLast="0"/>
      <w:bookmarkEnd w:id="1"/>
      <w:r w:rsidRPr="00640238">
        <w:rPr>
          <w:rFonts w:ascii="Palatino Linotype" w:eastAsia="Palatino Linotype" w:hAnsi="Palatino Linotype" w:cs="Palatino Linotype"/>
          <w:b/>
          <w:color w:val="000000"/>
          <w:sz w:val="24"/>
          <w:szCs w:val="24"/>
        </w:rPr>
        <w:t>A</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N</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T</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E</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C</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E</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D</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E</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N</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T</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E</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S</w:t>
      </w:r>
    </w:p>
    <w:p w:rsidR="00980FC7" w:rsidRPr="00640238" w:rsidRDefault="00980FC7" w:rsidP="00980FC7">
      <w:pPr>
        <w:rPr>
          <w:rFonts w:ascii="Palatino Linotype" w:eastAsia="Palatino Linotype" w:hAnsi="Palatino Linotype" w:cs="Palatino Linotype"/>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El </w:t>
      </w:r>
      <w:r w:rsidR="00D65A36" w:rsidRPr="00640238">
        <w:rPr>
          <w:rFonts w:ascii="Palatino Linotype" w:eastAsia="Palatino Linotype" w:hAnsi="Palatino Linotype" w:cs="Palatino Linotype"/>
          <w:b/>
          <w:color w:val="000000"/>
          <w:sz w:val="24"/>
          <w:szCs w:val="24"/>
        </w:rPr>
        <w:t>diecisiete de marzo de dos mil veintiséis</w:t>
      </w:r>
      <w:r w:rsidRPr="00640238">
        <w:rPr>
          <w:rFonts w:ascii="Palatino Linotype" w:eastAsia="Palatino Linotype" w:hAnsi="Palatino Linotype" w:cs="Palatino Linotype"/>
          <w:b/>
          <w:color w:val="000000"/>
          <w:sz w:val="24"/>
          <w:szCs w:val="24"/>
        </w:rPr>
        <w:t>,</w:t>
      </w:r>
      <w:r w:rsidRPr="00640238">
        <w:rPr>
          <w:rFonts w:ascii="Palatino Linotype" w:eastAsia="Palatino Linotype" w:hAnsi="Palatino Linotype" w:cs="Palatino Linotype"/>
          <w:color w:val="000000"/>
          <w:sz w:val="24"/>
          <w:szCs w:val="24"/>
        </w:rPr>
        <w:t xml:space="preserve"> </w:t>
      </w:r>
      <w:r w:rsidRPr="00640238">
        <w:rPr>
          <w:rFonts w:ascii="Palatino Linotype" w:eastAsia="Palatino Linotype" w:hAnsi="Palatino Linotype" w:cs="Palatino Linotype"/>
          <w:b/>
          <w:color w:val="000000"/>
          <w:sz w:val="24"/>
          <w:szCs w:val="24"/>
        </w:rPr>
        <w:t xml:space="preserve">EL RECURRENTE </w:t>
      </w:r>
      <w:r w:rsidRPr="00640238">
        <w:rPr>
          <w:rFonts w:ascii="Palatino Linotype" w:eastAsia="Palatino Linotype" w:hAnsi="Palatino Linotype" w:cs="Palatino Linotype"/>
          <w:color w:val="000000"/>
          <w:sz w:val="24"/>
          <w:szCs w:val="24"/>
        </w:rPr>
        <w:t>presentó</w:t>
      </w:r>
      <w:r w:rsidRPr="00640238">
        <w:rPr>
          <w:rFonts w:ascii="Palatino Linotype" w:eastAsia="Palatino Linotype" w:hAnsi="Palatino Linotype" w:cs="Palatino Linotype"/>
          <w:b/>
          <w:color w:val="000000"/>
          <w:sz w:val="24"/>
          <w:szCs w:val="24"/>
        </w:rPr>
        <w:t>,</w:t>
      </w:r>
      <w:r w:rsidRPr="00640238">
        <w:rPr>
          <w:rFonts w:ascii="Palatino Linotype" w:eastAsia="Palatino Linotype" w:hAnsi="Palatino Linotype" w:cs="Palatino Linotype"/>
          <w:color w:val="000000"/>
          <w:sz w:val="24"/>
          <w:szCs w:val="24"/>
        </w:rPr>
        <w:t xml:space="preserve"> ante el </w:t>
      </w:r>
      <w:r w:rsidRPr="00640238">
        <w:rPr>
          <w:rFonts w:ascii="Palatino Linotype" w:eastAsia="Palatino Linotype" w:hAnsi="Palatino Linotype" w:cs="Palatino Linotype"/>
          <w:b/>
          <w:color w:val="000000"/>
          <w:sz w:val="24"/>
          <w:szCs w:val="24"/>
        </w:rPr>
        <w:t>SUJETO OBLIGADO</w:t>
      </w:r>
      <w:r w:rsidRPr="00640238">
        <w:rPr>
          <w:rFonts w:ascii="Palatino Linotype" w:eastAsia="Palatino Linotype" w:hAnsi="Palatino Linotype" w:cs="Palatino Linotype"/>
          <w:color w:val="000000"/>
          <w:sz w:val="24"/>
          <w:szCs w:val="24"/>
        </w:rPr>
        <w:t xml:space="preserve"> vía Sistema de Acceso a la Información Mexiquense (</w:t>
      </w:r>
      <w:r w:rsidRPr="00640238">
        <w:rPr>
          <w:rFonts w:ascii="Palatino Linotype" w:eastAsia="Palatino Linotype" w:hAnsi="Palatino Linotype" w:cs="Palatino Linotype"/>
          <w:b/>
          <w:color w:val="000000"/>
          <w:sz w:val="24"/>
          <w:szCs w:val="24"/>
        </w:rPr>
        <w:t>SAIMEX)</w:t>
      </w:r>
      <w:r w:rsidRPr="00640238">
        <w:rPr>
          <w:rFonts w:ascii="Palatino Linotype" w:eastAsia="Palatino Linotype" w:hAnsi="Palatino Linotype" w:cs="Palatino Linotype"/>
          <w:color w:val="000000"/>
          <w:sz w:val="24"/>
          <w:szCs w:val="24"/>
        </w:rPr>
        <w:t xml:space="preserve">, la solicitud de información pública registrada con el número </w:t>
      </w:r>
      <w:r w:rsidR="00D65A36" w:rsidRPr="00640238">
        <w:rPr>
          <w:rFonts w:ascii="Palatino Linotype" w:eastAsia="Palatino Linotype" w:hAnsi="Palatino Linotype" w:cs="Palatino Linotype"/>
          <w:b/>
          <w:bCs/>
          <w:color w:val="000000"/>
          <w:sz w:val="24"/>
          <w:szCs w:val="24"/>
        </w:rPr>
        <w:t>00055/PAPALO/IP/2026</w:t>
      </w:r>
      <w:r w:rsidRP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color w:val="000000"/>
          <w:sz w:val="24"/>
          <w:szCs w:val="24"/>
        </w:rPr>
        <w:t>mediante la cual solicitó lo siguiente:</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spacing w:line="276" w:lineRule="auto"/>
        <w:ind w:left="851" w:right="822"/>
        <w:jc w:val="both"/>
        <w:rPr>
          <w:rFonts w:ascii="Palatino Linotype" w:eastAsia="Palatino Linotype" w:hAnsi="Palatino Linotype" w:cs="Palatino Linotype"/>
          <w:i/>
          <w:sz w:val="24"/>
          <w:szCs w:val="24"/>
        </w:rPr>
      </w:pPr>
      <w:r w:rsidRPr="00640238">
        <w:rPr>
          <w:rFonts w:ascii="Palatino Linotype" w:eastAsia="Palatino Linotype" w:hAnsi="Palatino Linotype" w:cs="Palatino Linotype"/>
          <w:i/>
          <w:sz w:val="24"/>
          <w:szCs w:val="24"/>
        </w:rPr>
        <w:t>“</w:t>
      </w:r>
      <w:r w:rsidR="00D65A36" w:rsidRPr="00640238">
        <w:rPr>
          <w:rFonts w:ascii="Palatino Linotype" w:eastAsia="Palatino Linotype" w:hAnsi="Palatino Linotype" w:cs="Palatino Linotype"/>
          <w:i/>
          <w:sz w:val="24"/>
          <w:szCs w:val="24"/>
        </w:rPr>
        <w:t>Se solicita una copia digital (VERSIÓN PÚBLICA) del acta de la sesión extraordinaria vigésimo primera (21a) del Comité de Transparencia del H. Ayuntamiento de Papalotla 2025-2027, Estado de México.</w:t>
      </w:r>
      <w:r w:rsidRPr="00640238">
        <w:rPr>
          <w:rFonts w:ascii="Palatino Linotype" w:eastAsia="Palatino Linotype" w:hAnsi="Palatino Linotype" w:cs="Palatino Linotype"/>
          <w:i/>
          <w:sz w:val="24"/>
          <w:szCs w:val="24"/>
        </w:rPr>
        <w:t>” (Sic)</w:t>
      </w:r>
    </w:p>
    <w:p w:rsidR="00980FC7" w:rsidRPr="00640238" w:rsidRDefault="00980FC7" w:rsidP="00980FC7">
      <w:pPr>
        <w:pBdr>
          <w:top w:val="nil"/>
          <w:left w:val="nil"/>
          <w:bottom w:val="nil"/>
          <w:right w:val="nil"/>
          <w:between w:val="nil"/>
        </w:pBdr>
        <w:ind w:right="567"/>
        <w:jc w:val="both"/>
        <w:rPr>
          <w:rFonts w:ascii="Palatino Linotype" w:eastAsia="Palatino Linotype" w:hAnsi="Palatino Linotype" w:cs="Palatino Linotype"/>
          <w:color w:val="000000"/>
          <w:sz w:val="24"/>
          <w:szCs w:val="24"/>
        </w:rPr>
      </w:pPr>
    </w:p>
    <w:p w:rsidR="00980FC7" w:rsidRPr="00640238" w:rsidRDefault="00980FC7" w:rsidP="00980FC7">
      <w:pPr>
        <w:ind w:right="567"/>
        <w:jc w:val="both"/>
        <w:rPr>
          <w:rFonts w:ascii="Palatino Linotype" w:eastAsia="Palatino Linotype" w:hAnsi="Palatino Linotype" w:cs="Palatino Linotype"/>
          <w:i/>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Señaló como modalidad de entrega de la información a través de la Plataforma SAIMEX</w:t>
      </w:r>
      <w:r w:rsidRPr="00640238">
        <w:rPr>
          <w:rFonts w:ascii="Palatino Linotype" w:eastAsia="Palatino Linotype" w:hAnsi="Palatino Linotype" w:cs="Palatino Linotype"/>
          <w:b/>
          <w:color w:val="000000"/>
          <w:sz w:val="24"/>
          <w:szCs w:val="24"/>
        </w:rPr>
        <w:t>.</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El </w:t>
      </w:r>
      <w:r w:rsidR="00D65A36" w:rsidRPr="00640238">
        <w:rPr>
          <w:rFonts w:ascii="Palatino Linotype" w:eastAsia="Palatino Linotype" w:hAnsi="Palatino Linotype" w:cs="Palatino Linotype"/>
          <w:color w:val="000000"/>
          <w:sz w:val="24"/>
          <w:szCs w:val="24"/>
        </w:rPr>
        <w:t>diez de abril de dos mil veintiséis, el Sujeto Obligado dio respuesta a la solicitud de información en el siguiente sentido:</w:t>
      </w:r>
    </w:p>
    <w:tbl>
      <w:tblPr>
        <w:tblW w:w="7379" w:type="dxa"/>
        <w:jc w:val="center"/>
        <w:tblCellSpacing w:w="0" w:type="dxa"/>
        <w:tblCellMar>
          <w:left w:w="0" w:type="dxa"/>
          <w:right w:w="0" w:type="dxa"/>
        </w:tblCellMar>
        <w:tblLook w:val="04A0" w:firstRow="1" w:lastRow="0" w:firstColumn="1" w:lastColumn="0" w:noHBand="0" w:noVBand="1"/>
      </w:tblPr>
      <w:tblGrid>
        <w:gridCol w:w="7379"/>
      </w:tblGrid>
      <w:tr w:rsidR="00D65A36" w:rsidRPr="00640238" w:rsidTr="00D65A36">
        <w:trPr>
          <w:trHeight w:val="311"/>
          <w:tblCellSpacing w:w="0" w:type="dxa"/>
          <w:jc w:val="center"/>
        </w:trPr>
        <w:tc>
          <w:tcPr>
            <w:tcW w:w="0" w:type="auto"/>
            <w:vAlign w:val="center"/>
            <w:hideMark/>
          </w:tcPr>
          <w:p w:rsidR="00D65A36" w:rsidRPr="00640238" w:rsidRDefault="00D65A36" w:rsidP="00D65A36">
            <w:pPr>
              <w:jc w:val="right"/>
              <w:rPr>
                <w:rFonts w:ascii="Palatino Linotype" w:hAnsi="Palatino Linotype"/>
                <w:i/>
                <w:sz w:val="24"/>
                <w:szCs w:val="24"/>
                <w:lang w:eastAsia="es-MX"/>
              </w:rPr>
            </w:pPr>
            <w:r w:rsidRPr="00640238">
              <w:rPr>
                <w:rFonts w:ascii="Palatino Linotype" w:hAnsi="Palatino Linotype"/>
                <w:i/>
                <w:sz w:val="24"/>
                <w:szCs w:val="24"/>
                <w:lang w:eastAsia="es-MX"/>
              </w:rPr>
              <w:lastRenderedPageBreak/>
              <w:t>“Papalotla, México a 10 de Abril de 2026</w:t>
            </w:r>
          </w:p>
        </w:tc>
      </w:tr>
      <w:tr w:rsidR="00D65A36" w:rsidRPr="00640238" w:rsidTr="00D65A36">
        <w:trPr>
          <w:trHeight w:val="311"/>
          <w:tblCellSpacing w:w="0" w:type="dxa"/>
          <w:jc w:val="center"/>
        </w:trPr>
        <w:tc>
          <w:tcPr>
            <w:tcW w:w="0" w:type="auto"/>
            <w:vAlign w:val="center"/>
            <w:hideMark/>
          </w:tcPr>
          <w:p w:rsidR="00D65A36" w:rsidRPr="00640238" w:rsidRDefault="00D65A36" w:rsidP="00D65A36">
            <w:pPr>
              <w:jc w:val="right"/>
              <w:rPr>
                <w:rFonts w:ascii="Palatino Linotype" w:hAnsi="Palatino Linotype"/>
                <w:i/>
                <w:sz w:val="24"/>
                <w:szCs w:val="24"/>
                <w:lang w:eastAsia="es-MX"/>
              </w:rPr>
            </w:pPr>
            <w:r w:rsidRPr="00640238">
              <w:rPr>
                <w:rFonts w:ascii="Palatino Linotype" w:hAnsi="Palatino Linotype"/>
                <w:i/>
                <w:sz w:val="24"/>
                <w:szCs w:val="24"/>
                <w:lang w:eastAsia="es-MX"/>
              </w:rPr>
              <w:t>Nombre del solicitante: C. Solicitante</w:t>
            </w:r>
          </w:p>
        </w:tc>
      </w:tr>
      <w:tr w:rsidR="00D65A36" w:rsidRPr="00640238" w:rsidTr="00D65A36">
        <w:trPr>
          <w:trHeight w:val="311"/>
          <w:tblCellSpacing w:w="0" w:type="dxa"/>
          <w:jc w:val="center"/>
        </w:trPr>
        <w:tc>
          <w:tcPr>
            <w:tcW w:w="0" w:type="auto"/>
            <w:vAlign w:val="center"/>
            <w:hideMark/>
          </w:tcPr>
          <w:p w:rsidR="00D65A36" w:rsidRPr="00640238" w:rsidRDefault="00D65A36" w:rsidP="00D65A36">
            <w:pPr>
              <w:jc w:val="right"/>
              <w:rPr>
                <w:rFonts w:ascii="Palatino Linotype" w:hAnsi="Palatino Linotype"/>
                <w:i/>
                <w:sz w:val="24"/>
                <w:szCs w:val="24"/>
                <w:lang w:eastAsia="es-MX"/>
              </w:rPr>
            </w:pPr>
            <w:r w:rsidRPr="00640238">
              <w:rPr>
                <w:rFonts w:ascii="Palatino Linotype" w:hAnsi="Palatino Linotype"/>
                <w:i/>
                <w:sz w:val="24"/>
                <w:szCs w:val="24"/>
                <w:lang w:eastAsia="es-MX"/>
              </w:rPr>
              <w:t>Folio de la solicitud: 00055/PAPALO/IP/2026</w:t>
            </w:r>
          </w:p>
        </w:tc>
      </w:tr>
      <w:tr w:rsidR="00D65A36" w:rsidRPr="00640238" w:rsidTr="00D65A36">
        <w:trPr>
          <w:trHeight w:val="467"/>
          <w:tblCellSpacing w:w="0" w:type="dxa"/>
          <w:jc w:val="center"/>
        </w:trPr>
        <w:tc>
          <w:tcPr>
            <w:tcW w:w="0" w:type="auto"/>
            <w:vAlign w:val="center"/>
            <w:hideMark/>
          </w:tcPr>
          <w:p w:rsidR="00D65A36" w:rsidRPr="00640238" w:rsidRDefault="00D65A36" w:rsidP="00D65A36">
            <w:pPr>
              <w:jc w:val="right"/>
              <w:rPr>
                <w:rFonts w:ascii="Palatino Linotype" w:hAnsi="Palatino Linotype"/>
                <w:i/>
                <w:sz w:val="24"/>
                <w:szCs w:val="24"/>
                <w:lang w:eastAsia="es-MX"/>
              </w:rPr>
            </w:pPr>
          </w:p>
        </w:tc>
      </w:tr>
      <w:tr w:rsidR="00D65A36" w:rsidRPr="00640238" w:rsidTr="00D65A36">
        <w:trPr>
          <w:trHeight w:val="87"/>
          <w:tblCellSpacing w:w="0" w:type="dxa"/>
          <w:jc w:val="center"/>
        </w:trPr>
        <w:tc>
          <w:tcPr>
            <w:tcW w:w="0" w:type="auto"/>
            <w:vAlign w:val="center"/>
            <w:hideMark/>
          </w:tcPr>
          <w:p w:rsidR="00D65A36" w:rsidRPr="00640238" w:rsidRDefault="00D65A36" w:rsidP="00D65A36">
            <w:pPr>
              <w:jc w:val="center"/>
              <w:rPr>
                <w:rFonts w:ascii="Palatino Linotype" w:hAnsi="Palatino Linotype"/>
                <w:i/>
                <w:sz w:val="24"/>
                <w:szCs w:val="24"/>
                <w:lang w:eastAsia="es-MX"/>
              </w:rPr>
            </w:pPr>
          </w:p>
        </w:tc>
      </w:tr>
      <w:tr w:rsidR="00D65A36" w:rsidRPr="00640238" w:rsidTr="00D65A36">
        <w:trPr>
          <w:trHeight w:val="389"/>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p>
        </w:tc>
      </w:tr>
      <w:tr w:rsidR="00D65A36" w:rsidRPr="00640238" w:rsidTr="00D65A36">
        <w:trPr>
          <w:trHeight w:val="155"/>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r w:rsidRPr="00640238">
              <w:rPr>
                <w:rFonts w:ascii="Palatino Linotype" w:hAnsi="Palatino Linotype"/>
                <w:i/>
                <w:sz w:val="24"/>
                <w:szCs w:val="24"/>
                <w:lang w:eastAsia="es-MX"/>
              </w:rPr>
              <w:t>Se hace la entrega de la información.</w:t>
            </w:r>
          </w:p>
        </w:tc>
      </w:tr>
      <w:tr w:rsidR="00D65A36" w:rsidRPr="00640238" w:rsidTr="00D65A36">
        <w:trPr>
          <w:trHeight w:val="389"/>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p>
        </w:tc>
      </w:tr>
      <w:tr w:rsidR="00D65A36" w:rsidRPr="00640238" w:rsidTr="00D65A36">
        <w:trPr>
          <w:trHeight w:val="155"/>
          <w:tblCellSpacing w:w="0" w:type="dxa"/>
          <w:jc w:val="center"/>
        </w:trPr>
        <w:tc>
          <w:tcPr>
            <w:tcW w:w="0" w:type="auto"/>
            <w:vAlign w:val="center"/>
            <w:hideMark/>
          </w:tcPr>
          <w:p w:rsidR="00D65A36" w:rsidRPr="00640238" w:rsidRDefault="00D65A36" w:rsidP="00D65A36">
            <w:pPr>
              <w:jc w:val="center"/>
              <w:rPr>
                <w:rFonts w:ascii="Palatino Linotype" w:hAnsi="Palatino Linotype"/>
                <w:i/>
                <w:sz w:val="24"/>
                <w:szCs w:val="24"/>
                <w:lang w:eastAsia="es-MX"/>
              </w:rPr>
            </w:pPr>
          </w:p>
        </w:tc>
      </w:tr>
      <w:tr w:rsidR="00D65A36" w:rsidRPr="00640238" w:rsidTr="00D65A36">
        <w:trPr>
          <w:trHeight w:val="155"/>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p>
        </w:tc>
      </w:tr>
      <w:tr w:rsidR="00D65A36" w:rsidRPr="00640238" w:rsidTr="00D65A36">
        <w:trPr>
          <w:trHeight w:val="155"/>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r w:rsidRPr="00640238">
              <w:rPr>
                <w:rFonts w:ascii="Palatino Linotype" w:hAnsi="Palatino Linotype"/>
                <w:i/>
                <w:sz w:val="24"/>
                <w:szCs w:val="24"/>
                <w:lang w:eastAsia="es-MX"/>
              </w:rPr>
              <w:t>ATENTAMENTE</w:t>
            </w:r>
          </w:p>
        </w:tc>
      </w:tr>
      <w:tr w:rsidR="00D65A36" w:rsidRPr="00640238" w:rsidTr="00D65A36">
        <w:trPr>
          <w:trHeight w:val="233"/>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p>
        </w:tc>
      </w:tr>
      <w:tr w:rsidR="00D65A36" w:rsidRPr="00640238" w:rsidTr="00D65A36">
        <w:trPr>
          <w:trHeight w:val="155"/>
          <w:tblCellSpacing w:w="0" w:type="dxa"/>
          <w:jc w:val="center"/>
        </w:trPr>
        <w:tc>
          <w:tcPr>
            <w:tcW w:w="0" w:type="auto"/>
            <w:vAlign w:val="center"/>
            <w:hideMark/>
          </w:tcPr>
          <w:p w:rsidR="00D65A36" w:rsidRPr="00640238" w:rsidRDefault="00D65A36" w:rsidP="00D65A36">
            <w:pPr>
              <w:rPr>
                <w:rFonts w:ascii="Palatino Linotype" w:hAnsi="Palatino Linotype"/>
                <w:i/>
                <w:sz w:val="24"/>
                <w:szCs w:val="24"/>
                <w:lang w:eastAsia="es-MX"/>
              </w:rPr>
            </w:pPr>
            <w:r w:rsidRPr="00640238">
              <w:rPr>
                <w:rFonts w:ascii="Palatino Linotype" w:hAnsi="Palatino Linotype"/>
                <w:i/>
                <w:sz w:val="24"/>
                <w:szCs w:val="24"/>
                <w:lang w:eastAsia="es-MX"/>
              </w:rPr>
              <w:t>LIC. ESMERALDA SÁNCHEZ CARCAÑO”</w:t>
            </w:r>
          </w:p>
        </w:tc>
      </w:tr>
    </w:tbl>
    <w:p w:rsidR="00D65A36" w:rsidRPr="00640238" w:rsidRDefault="00D65A36" w:rsidP="00D65A3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D65A36" w:rsidRPr="00640238" w:rsidRDefault="00D65A36" w:rsidP="00D65A36">
      <w:pPr>
        <w:pStyle w:val="Prrafodelista"/>
        <w:numPr>
          <w:ilvl w:val="0"/>
          <w:numId w:val="5"/>
        </w:numPr>
        <w:pBdr>
          <w:top w:val="nil"/>
          <w:left w:val="nil"/>
          <w:bottom w:val="nil"/>
          <w:right w:val="nil"/>
          <w:between w:val="nil"/>
        </w:pBdr>
        <w:rPr>
          <w:rFonts w:ascii="Palatino Linotype" w:eastAsia="Palatino Linotype" w:hAnsi="Palatino Linotype" w:cs="Palatino Linotype"/>
          <w:color w:val="000000"/>
          <w:sz w:val="24"/>
        </w:rPr>
      </w:pPr>
      <w:r w:rsidRPr="00640238">
        <w:rPr>
          <w:rFonts w:ascii="Palatino Linotype" w:eastAsia="Palatino Linotype" w:hAnsi="Palatino Linotype" w:cs="Palatino Linotype"/>
          <w:color w:val="000000"/>
          <w:sz w:val="24"/>
        </w:rPr>
        <w:t>A la respuesta, adjuntó los archivos electrónicos que se describen enseguida:</w:t>
      </w:r>
    </w:p>
    <w:p w:rsidR="00D65A36" w:rsidRPr="00640238" w:rsidRDefault="00D65A36" w:rsidP="00D65A36">
      <w:pPr>
        <w:pStyle w:val="Prrafodelista"/>
        <w:pBdr>
          <w:top w:val="nil"/>
          <w:left w:val="nil"/>
          <w:bottom w:val="nil"/>
          <w:right w:val="nil"/>
          <w:between w:val="nil"/>
        </w:pBdr>
        <w:rPr>
          <w:rFonts w:ascii="Palatino Linotype" w:eastAsia="Palatino Linotype" w:hAnsi="Palatino Linotype" w:cs="Palatino Linotype"/>
          <w:color w:val="000000"/>
          <w:sz w:val="24"/>
        </w:rPr>
      </w:pPr>
    </w:p>
    <w:p w:rsidR="00D65A36" w:rsidRPr="00640238" w:rsidRDefault="00F54CEB" w:rsidP="00D65A36">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sz w:val="24"/>
        </w:rPr>
      </w:pPr>
      <w:hyperlink r:id="rId7" w:tgtFrame="_blank" w:history="1">
        <w:r w:rsidR="00D65A36" w:rsidRPr="00640238">
          <w:rPr>
            <w:rStyle w:val="Hipervnculo"/>
            <w:rFonts w:ascii="Palatino Linotype" w:eastAsiaTheme="majorEastAsia" w:hAnsi="Palatino Linotype" w:cs="Arial"/>
            <w:b/>
            <w:bCs/>
            <w:color w:val="auto"/>
            <w:sz w:val="24"/>
          </w:rPr>
          <w:t>_Vigésima primera Sesión.pdf</w:t>
        </w:r>
      </w:hyperlink>
      <w:r w:rsidR="00D65A36" w:rsidRPr="00640238">
        <w:rPr>
          <w:rFonts w:ascii="Palatino Linotype" w:hAnsi="Palatino Linotype"/>
          <w:sz w:val="24"/>
        </w:rPr>
        <w:t>: Acta de la vigésima primera sesión extraordinaria del Comité de Transparencia.</w:t>
      </w:r>
    </w:p>
    <w:p w:rsidR="00980FC7" w:rsidRPr="00640238" w:rsidRDefault="00F54CEB" w:rsidP="00D65A36">
      <w:pPr>
        <w:pStyle w:val="Prrafodelista"/>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sz w:val="24"/>
        </w:rPr>
      </w:pPr>
      <w:hyperlink r:id="rId8" w:tgtFrame="_blank" w:history="1">
        <w:r w:rsidR="00D65A36" w:rsidRPr="00640238">
          <w:rPr>
            <w:rStyle w:val="Hipervnculo"/>
            <w:rFonts w:ascii="Palatino Linotype" w:eastAsiaTheme="majorEastAsia" w:hAnsi="Palatino Linotype" w:cs="Arial"/>
            <w:b/>
            <w:bCs/>
            <w:color w:val="auto"/>
            <w:sz w:val="24"/>
          </w:rPr>
          <w:t>R.SOLICITUD 55.pdf</w:t>
        </w:r>
      </w:hyperlink>
      <w:r w:rsidR="00D65A36" w:rsidRPr="00640238">
        <w:rPr>
          <w:rFonts w:ascii="Palatino Linotype" w:eastAsia="Palatino Linotype" w:hAnsi="Palatino Linotype" w:cs="Palatino Linotype"/>
          <w:sz w:val="24"/>
        </w:rPr>
        <w:t xml:space="preserve">: oficio del Titular de la Unidad de Transparencia en el que señaló que se anexa el acta solicitada. </w:t>
      </w:r>
    </w:p>
    <w:p w:rsidR="00D65A36" w:rsidRPr="00640238" w:rsidRDefault="00D65A36" w:rsidP="00D65A36">
      <w:pPr>
        <w:pBdr>
          <w:top w:val="nil"/>
          <w:left w:val="nil"/>
          <w:bottom w:val="nil"/>
          <w:right w:val="nil"/>
          <w:between w:val="nil"/>
        </w:pBdr>
        <w:rPr>
          <w:rFonts w:ascii="Palatino Linotype" w:eastAsia="Palatino Linotype" w:hAnsi="Palatino Linotype" w:cs="Palatino Linotype"/>
          <w:color w:val="000000"/>
          <w:sz w:val="24"/>
          <w:szCs w:val="24"/>
        </w:rPr>
      </w:pPr>
    </w:p>
    <w:p w:rsidR="00980FC7" w:rsidRPr="00640238" w:rsidRDefault="00980FC7" w:rsidP="00D65A36">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sz w:val="24"/>
          <w:szCs w:val="24"/>
        </w:rPr>
      </w:pPr>
      <w:bookmarkStart w:id="2" w:name="_heading=h.30j0zll" w:colFirst="0" w:colLast="0"/>
      <w:bookmarkEnd w:id="2"/>
      <w:r w:rsidRPr="00640238">
        <w:rPr>
          <w:rFonts w:ascii="Palatino Linotype" w:eastAsia="Palatino Linotype" w:hAnsi="Palatino Linotype" w:cs="Palatino Linotype"/>
          <w:color w:val="000000"/>
          <w:sz w:val="24"/>
          <w:szCs w:val="24"/>
        </w:rPr>
        <w:t xml:space="preserve">El </w:t>
      </w:r>
      <w:r w:rsidR="00D65A36" w:rsidRPr="00640238">
        <w:rPr>
          <w:rFonts w:ascii="Palatino Linotype" w:eastAsia="Palatino Linotype" w:hAnsi="Palatino Linotype" w:cs="Palatino Linotype"/>
          <w:b/>
          <w:color w:val="000000"/>
          <w:sz w:val="24"/>
          <w:szCs w:val="24"/>
        </w:rPr>
        <w:t>once de abril de dos mil veintiséis</w:t>
      </w:r>
      <w:r w:rsidRPr="00640238">
        <w:rPr>
          <w:rFonts w:ascii="Palatino Linotype" w:eastAsia="Palatino Linotype" w:hAnsi="Palatino Linotype" w:cs="Palatino Linotype"/>
          <w:color w:val="000000"/>
          <w:sz w:val="24"/>
          <w:szCs w:val="24"/>
        </w:rPr>
        <w:t xml:space="preserve">, </w:t>
      </w:r>
      <w:r w:rsidRPr="00640238">
        <w:rPr>
          <w:rFonts w:ascii="Palatino Linotype" w:eastAsia="Palatino Linotype" w:hAnsi="Palatino Linotype" w:cs="Palatino Linotype"/>
          <w:b/>
          <w:color w:val="000000"/>
          <w:sz w:val="24"/>
          <w:szCs w:val="24"/>
        </w:rPr>
        <w:t>EL RECURRENTE</w:t>
      </w:r>
      <w:r w:rsidRPr="00640238">
        <w:rPr>
          <w:rFonts w:ascii="Palatino Linotype" w:eastAsia="Palatino Linotype" w:hAnsi="Palatino Linotype" w:cs="Palatino Linotype"/>
          <w:color w:val="000000"/>
          <w:sz w:val="24"/>
          <w:szCs w:val="24"/>
        </w:rPr>
        <w:t xml:space="preserve"> interpuso el recurso de revisión, en contra de la falta de respuesta y, señaló como:</w:t>
      </w:r>
    </w:p>
    <w:p w:rsidR="00980FC7" w:rsidRPr="00640238" w:rsidRDefault="00980FC7" w:rsidP="00980FC7">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980FC7" w:rsidRPr="00640238" w:rsidRDefault="00980FC7" w:rsidP="00640238">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color w:val="000000"/>
          <w:sz w:val="24"/>
        </w:rPr>
      </w:pPr>
      <w:r w:rsidRPr="00640238">
        <w:rPr>
          <w:rFonts w:ascii="Palatino Linotype" w:eastAsia="Palatino Linotype" w:hAnsi="Palatino Linotype" w:cs="Palatino Linotype"/>
          <w:b/>
          <w:color w:val="000000"/>
          <w:sz w:val="24"/>
        </w:rPr>
        <w:t xml:space="preserve">Acto impugnado: </w:t>
      </w:r>
      <w:r w:rsidRPr="00640238">
        <w:rPr>
          <w:rFonts w:ascii="Palatino Linotype" w:eastAsia="Palatino Linotype" w:hAnsi="Palatino Linotype" w:cs="Palatino Linotype"/>
          <w:i/>
          <w:color w:val="000000"/>
          <w:sz w:val="24"/>
        </w:rPr>
        <w:t>“</w:t>
      </w:r>
      <w:r w:rsidR="00D65A36" w:rsidRPr="00640238">
        <w:rPr>
          <w:rFonts w:ascii="Palatino Linotype" w:eastAsia="Palatino Linotype" w:hAnsi="Palatino Linotype" w:cs="Palatino Linotype"/>
          <w:i/>
          <w:color w:val="000000"/>
          <w:sz w:val="24"/>
        </w:rPr>
        <w:t>Respuesta del Sujeto Obligado</w:t>
      </w:r>
      <w:r w:rsidRPr="00640238">
        <w:rPr>
          <w:rFonts w:ascii="Palatino Linotype" w:eastAsia="Palatino Linotype" w:hAnsi="Palatino Linotype" w:cs="Palatino Linotype"/>
          <w:i/>
          <w:color w:val="000000"/>
          <w:sz w:val="24"/>
        </w:rPr>
        <w:t>” (sic) y;</w:t>
      </w:r>
    </w:p>
    <w:p w:rsidR="00980FC7" w:rsidRPr="00640238" w:rsidRDefault="00980FC7" w:rsidP="00980FC7">
      <w:pPr>
        <w:pBdr>
          <w:top w:val="nil"/>
          <w:left w:val="nil"/>
          <w:bottom w:val="nil"/>
          <w:right w:val="nil"/>
          <w:between w:val="nil"/>
        </w:pBdr>
        <w:spacing w:line="360" w:lineRule="auto"/>
        <w:ind w:left="720" w:right="822"/>
        <w:jc w:val="both"/>
        <w:rPr>
          <w:rFonts w:ascii="Palatino Linotype" w:eastAsia="Palatino Linotype" w:hAnsi="Palatino Linotype" w:cs="Palatino Linotype"/>
          <w:i/>
          <w:color w:val="000000"/>
          <w:sz w:val="24"/>
          <w:szCs w:val="24"/>
        </w:rPr>
      </w:pPr>
    </w:p>
    <w:p w:rsidR="00980FC7" w:rsidRPr="00640238" w:rsidRDefault="00980FC7" w:rsidP="00640238">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color w:val="000000"/>
          <w:sz w:val="24"/>
        </w:rPr>
      </w:pPr>
      <w:r w:rsidRPr="00640238">
        <w:rPr>
          <w:rFonts w:ascii="Palatino Linotype" w:eastAsia="Palatino Linotype" w:hAnsi="Palatino Linotype" w:cs="Palatino Linotype"/>
          <w:b/>
          <w:color w:val="000000"/>
          <w:sz w:val="24"/>
        </w:rPr>
        <w:t>Razones o Motivos de Inconformidad: “</w:t>
      </w:r>
      <w:r w:rsidR="00D65A36" w:rsidRPr="00640238">
        <w:rPr>
          <w:rFonts w:ascii="Palatino Linotype" w:eastAsia="Palatino Linotype" w:hAnsi="Palatino Linotype" w:cs="Palatino Linotype"/>
          <w:i/>
          <w:color w:val="000000"/>
          <w:sz w:val="24"/>
        </w:rPr>
        <w:t xml:space="preserve">En su respuesta, el SO hace entrega de un documento que en su encabezado a la letra dice: "[...] ACTA DE LA VIGÉSIMA PRIMERA SESIÓN EXTRAORDINARIA DEL COMITÉ DE TRANSPARENCIA DEL H. AYUNTAMIENTO DE PAPALOTLA 2025-2027, ESTADO DE MÉXICO </w:t>
      </w:r>
      <w:r w:rsidR="00D65A36" w:rsidRPr="00640238">
        <w:rPr>
          <w:rFonts w:ascii="Palatino Linotype" w:eastAsia="Palatino Linotype" w:hAnsi="Palatino Linotype" w:cs="Palatino Linotype"/>
          <w:i/>
          <w:color w:val="000000"/>
          <w:sz w:val="24"/>
        </w:rPr>
        <w:lastRenderedPageBreak/>
        <w:t>[...]" Pues bien, este documento se encuentra incompleto en virtud de que el mismo carece de las firmas autógrafas y sellos oficiales que le dotarían de la validez jurídica propia del mismo. Es importante resaltar que ni la firma autógrafa de las autoridades firmantes, ni los sellos oficiales que corresponden al documento solicitado, pueden ser considerados datos dignos de ser omitidos o testados de acuerdo con la normatividad en la materia. En mérito de lo anterior, se solicita, de manera amable y respetuosa, se haga lo menester a efecto de que el SO haga entrega de lo solicitado de manera completa.</w:t>
      </w:r>
      <w:r w:rsidRPr="00640238">
        <w:rPr>
          <w:rFonts w:ascii="Palatino Linotype" w:eastAsia="Palatino Linotype" w:hAnsi="Palatino Linotype" w:cs="Palatino Linotype"/>
          <w:i/>
          <w:color w:val="000000"/>
          <w:sz w:val="24"/>
        </w:rPr>
        <w:t>” (sic)</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Se registró el recurso de revisión bajo el número de expediente al rubro indicado, asimismo con fundamento en lo dispuesto por el artículo 185 fracción I de la </w:t>
      </w:r>
      <w:r w:rsidRPr="00640238">
        <w:rPr>
          <w:rFonts w:ascii="Palatino Linotype" w:eastAsia="Palatino Linotype" w:hAnsi="Palatino Linotype" w:cs="Palatino Linotype"/>
          <w:b/>
          <w:color w:val="000000"/>
          <w:sz w:val="24"/>
          <w:szCs w:val="24"/>
        </w:rPr>
        <w:t xml:space="preserve">Ley de Transparencia y Acceso a la Información Pública del Estado de México y Municipios </w:t>
      </w:r>
      <w:r w:rsidRPr="00640238">
        <w:rPr>
          <w:rFonts w:ascii="Palatino Linotype" w:eastAsia="Palatino Linotype" w:hAnsi="Palatino Linotype" w:cs="Palatino Linotype"/>
          <w:color w:val="000000"/>
          <w:sz w:val="24"/>
          <w:szCs w:val="24"/>
        </w:rPr>
        <w:t xml:space="preserve">se turnó a la </w:t>
      </w:r>
      <w:r w:rsidRPr="00640238">
        <w:rPr>
          <w:rFonts w:ascii="Palatino Linotype" w:eastAsia="Palatino Linotype" w:hAnsi="Palatino Linotype" w:cs="Palatino Linotype"/>
          <w:b/>
          <w:color w:val="000000"/>
          <w:sz w:val="24"/>
          <w:szCs w:val="24"/>
        </w:rPr>
        <w:t xml:space="preserve">Comisionada María del Rosario Mejía Ayala, </w:t>
      </w:r>
      <w:r w:rsidR="00640238">
        <w:rPr>
          <w:rFonts w:ascii="Palatino Linotype" w:eastAsia="Palatino Linotype" w:hAnsi="Palatino Linotype" w:cs="Palatino Linotype"/>
          <w:color w:val="000000"/>
          <w:sz w:val="24"/>
          <w:szCs w:val="24"/>
        </w:rPr>
        <w:t>para</w:t>
      </w:r>
      <w:r w:rsidRPr="00640238">
        <w:rPr>
          <w:rFonts w:ascii="Palatino Linotype" w:eastAsia="Palatino Linotype" w:hAnsi="Palatino Linotype" w:cs="Palatino Linotype"/>
          <w:color w:val="000000"/>
          <w:sz w:val="24"/>
          <w:szCs w:val="24"/>
        </w:rPr>
        <w:t xml:space="preserve"> su análisis.</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i/>
          <w:color w:val="000000"/>
          <w:sz w:val="24"/>
          <w:szCs w:val="24"/>
        </w:rPr>
      </w:pPr>
      <w:r w:rsidRPr="00640238">
        <w:rPr>
          <w:rFonts w:ascii="Palatino Linotype" w:eastAsia="Palatino Linotype" w:hAnsi="Palatino Linotype" w:cs="Palatino Linotype"/>
          <w:color w:val="000000"/>
          <w:sz w:val="24"/>
          <w:szCs w:val="24"/>
        </w:rPr>
        <w:t>La Comisionada Ponente con fundamento en lo dispuesto por el artículo 185 fracción II de la ley de la materia, a través del acuerdo de admisión del</w:t>
      </w:r>
      <w:r w:rsidRPr="00640238">
        <w:rPr>
          <w:rFonts w:ascii="Palatino Linotype" w:eastAsia="Palatino Linotype" w:hAnsi="Palatino Linotype" w:cs="Palatino Linotype"/>
          <w:b/>
          <w:color w:val="000000"/>
          <w:sz w:val="24"/>
          <w:szCs w:val="24"/>
        </w:rPr>
        <w:t xml:space="preserve"> </w:t>
      </w:r>
      <w:r w:rsidR="00D65A36" w:rsidRPr="00640238">
        <w:rPr>
          <w:rFonts w:ascii="Palatino Linotype" w:eastAsia="Palatino Linotype" w:hAnsi="Palatino Linotype" w:cs="Palatino Linotype"/>
          <w:b/>
          <w:color w:val="000000"/>
          <w:sz w:val="24"/>
          <w:szCs w:val="24"/>
        </w:rPr>
        <w:t>dieciséis de abril de dos mil veintiséis</w:t>
      </w:r>
      <w:r w:rsidRPr="00640238">
        <w:rPr>
          <w:rFonts w:ascii="Palatino Linotype" w:eastAsia="Palatino Linotype" w:hAnsi="Palatino Linotype" w:cs="Palatino Linotype"/>
          <w:color w:val="000000"/>
          <w:sz w:val="24"/>
          <w:szCs w:val="24"/>
        </w:rPr>
        <w:t xml:space="preserve">, puso a disposición de las partes el expediente electrónico vía </w:t>
      </w:r>
      <w:r w:rsidRPr="00640238">
        <w:rPr>
          <w:rFonts w:ascii="Palatino Linotype" w:eastAsia="Palatino Linotype" w:hAnsi="Palatino Linotype" w:cs="Palatino Linotype"/>
          <w:b/>
          <w:color w:val="000000"/>
          <w:sz w:val="24"/>
          <w:szCs w:val="24"/>
        </w:rPr>
        <w:t xml:space="preserve">SAIMEX </w:t>
      </w:r>
      <w:r w:rsidRPr="00640238">
        <w:rPr>
          <w:rFonts w:ascii="Palatino Linotype" w:eastAsia="Palatino Linotype" w:hAnsi="Palatino Linotype" w:cs="Palatino Linotype"/>
          <w:color w:val="000000"/>
          <w:sz w:val="24"/>
          <w:szCs w:val="24"/>
        </w:rPr>
        <w:t xml:space="preserve">a efecto de que en un plazo máximo de siete días manifestaran lo que a derecho convinieran, ofrecieran pruebas y alegatos según corresponda al caso concreto, de esta forma para que el </w:t>
      </w:r>
      <w:r w:rsidRPr="00640238">
        <w:rPr>
          <w:rFonts w:ascii="Palatino Linotype" w:eastAsia="Palatino Linotype" w:hAnsi="Palatino Linotype" w:cs="Palatino Linotype"/>
          <w:b/>
          <w:color w:val="000000"/>
          <w:sz w:val="24"/>
          <w:szCs w:val="24"/>
        </w:rPr>
        <w:t>SUJETO OBLIGADO</w:t>
      </w:r>
      <w:r w:rsidRPr="00640238">
        <w:rPr>
          <w:rFonts w:ascii="Palatino Linotype" w:eastAsia="Palatino Linotype" w:hAnsi="Palatino Linotype" w:cs="Palatino Linotype"/>
          <w:color w:val="000000"/>
          <w:sz w:val="24"/>
          <w:szCs w:val="24"/>
        </w:rPr>
        <w:t xml:space="preserve"> presentara el informe justificado procedente.</w:t>
      </w:r>
    </w:p>
    <w:p w:rsidR="00D72EB1" w:rsidRPr="00640238" w:rsidRDefault="00980FC7" w:rsidP="00D72EB1">
      <w:pPr>
        <w:numPr>
          <w:ilvl w:val="0"/>
          <w:numId w:val="1"/>
        </w:numPr>
        <w:tabs>
          <w:tab w:val="left" w:pos="284"/>
        </w:tabs>
        <w:spacing w:before="240" w:line="360" w:lineRule="auto"/>
        <w:ind w:left="0" w:firstLine="0"/>
        <w:jc w:val="both"/>
        <w:rPr>
          <w:rFonts w:ascii="Palatino Linotype" w:eastAsia="Palatino Linotype" w:hAnsi="Palatino Linotype" w:cs="Palatino Linotype"/>
          <w:b/>
          <w:sz w:val="24"/>
          <w:szCs w:val="24"/>
        </w:rPr>
      </w:pPr>
      <w:r w:rsidRPr="00640238">
        <w:rPr>
          <w:rFonts w:ascii="Palatino Linotype" w:eastAsia="Palatino Linotype" w:hAnsi="Palatino Linotype" w:cs="Palatino Linotype"/>
          <w:sz w:val="24"/>
          <w:szCs w:val="24"/>
        </w:rPr>
        <w:t xml:space="preserve">De las constancias que integran el expediente electrónico, se advierte que el Recurrente no realizó manifestaciones; por su parte, el Sujeto Obligado entregó informe justificado el </w:t>
      </w:r>
      <w:r w:rsidR="00D72EB1" w:rsidRPr="00640238">
        <w:rPr>
          <w:rFonts w:ascii="Palatino Linotype" w:eastAsia="Palatino Linotype" w:hAnsi="Palatino Linotype" w:cs="Palatino Linotype"/>
          <w:b/>
          <w:sz w:val="24"/>
          <w:szCs w:val="24"/>
        </w:rPr>
        <w:t>veintidós de abril</w:t>
      </w:r>
      <w:r w:rsidRPr="00640238">
        <w:rPr>
          <w:rFonts w:ascii="Palatino Linotype" w:eastAsia="Palatino Linotype" w:hAnsi="Palatino Linotype" w:cs="Palatino Linotype"/>
          <w:b/>
          <w:sz w:val="24"/>
          <w:szCs w:val="24"/>
        </w:rPr>
        <w:t xml:space="preserve"> de dos mil veintiséis</w:t>
      </w:r>
      <w:r w:rsidRPr="00640238">
        <w:rPr>
          <w:rFonts w:ascii="Palatino Linotype" w:eastAsia="Palatino Linotype" w:hAnsi="Palatino Linotype" w:cs="Palatino Linotype"/>
          <w:sz w:val="24"/>
          <w:szCs w:val="24"/>
        </w:rPr>
        <w:t xml:space="preserve">, mismo que se puso a la vista del Recurrente el </w:t>
      </w:r>
      <w:r w:rsidR="00D72EB1" w:rsidRPr="00640238">
        <w:rPr>
          <w:rFonts w:ascii="Palatino Linotype" w:eastAsia="Palatino Linotype" w:hAnsi="Palatino Linotype" w:cs="Palatino Linotype"/>
          <w:b/>
          <w:sz w:val="24"/>
          <w:szCs w:val="24"/>
        </w:rPr>
        <w:t>cuatro de junio del mismo año</w:t>
      </w:r>
      <w:r w:rsidRPr="00640238">
        <w:rPr>
          <w:rFonts w:ascii="Palatino Linotype" w:eastAsia="Palatino Linotype" w:hAnsi="Palatino Linotype" w:cs="Palatino Linotype"/>
          <w:sz w:val="24"/>
          <w:szCs w:val="24"/>
        </w:rPr>
        <w:t xml:space="preserve">, a través del archivo electrónico denominado </w:t>
      </w:r>
      <w:hyperlink r:id="rId9" w:history="1">
        <w:r w:rsidR="00D72EB1" w:rsidRPr="00640238">
          <w:rPr>
            <w:rStyle w:val="Hipervnculo"/>
            <w:rFonts w:ascii="Palatino Linotype" w:eastAsia="Palatino Linotype" w:hAnsi="Palatino Linotype" w:cs="Palatino Linotype"/>
            <w:b/>
            <w:bCs/>
            <w:sz w:val="24"/>
            <w:szCs w:val="24"/>
          </w:rPr>
          <w:t xml:space="preserve">Vigésima primera </w:t>
        </w:r>
        <w:r w:rsidR="00D72EB1" w:rsidRPr="00640238">
          <w:rPr>
            <w:rStyle w:val="Hipervnculo"/>
            <w:rFonts w:ascii="Palatino Linotype" w:eastAsia="Palatino Linotype" w:hAnsi="Palatino Linotype" w:cs="Palatino Linotype"/>
            <w:b/>
            <w:bCs/>
            <w:sz w:val="24"/>
            <w:szCs w:val="24"/>
          </w:rPr>
          <w:lastRenderedPageBreak/>
          <w:t>Sesión.pdf</w:t>
        </w:r>
      </w:hyperlink>
      <w:r w:rsidRPr="00640238">
        <w:rPr>
          <w:rFonts w:ascii="Palatino Linotype" w:eastAsia="Palatino Linotype" w:hAnsi="Palatino Linotype" w:cs="Palatino Linotype"/>
          <w:sz w:val="24"/>
          <w:szCs w:val="24"/>
        </w:rPr>
        <w:t xml:space="preserve">, </w:t>
      </w:r>
      <w:r w:rsidR="00D72EB1" w:rsidRPr="00640238">
        <w:rPr>
          <w:rFonts w:ascii="Palatino Linotype" w:eastAsia="Palatino Linotype" w:hAnsi="Palatino Linotype" w:cs="Palatino Linotype"/>
          <w:sz w:val="24"/>
          <w:szCs w:val="24"/>
        </w:rPr>
        <w:t xml:space="preserve">en el que se advierte el Acta de la Vigésima Primera Sesión Extraordinaria del Comités de Transparencia. </w:t>
      </w:r>
    </w:p>
    <w:p w:rsidR="00D72EB1" w:rsidRPr="00640238" w:rsidRDefault="00D72EB1" w:rsidP="00D72EB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El</w:t>
      </w:r>
      <w:r w:rsidRPr="00640238">
        <w:rPr>
          <w:rFonts w:ascii="Palatino Linotype" w:eastAsia="Palatino Linotype" w:hAnsi="Palatino Linotype" w:cs="Palatino Linotype"/>
          <w:b/>
          <w:color w:val="000000"/>
          <w:sz w:val="24"/>
          <w:szCs w:val="24"/>
        </w:rPr>
        <w:t xml:space="preserve"> </w:t>
      </w:r>
      <w:r w:rsidR="00D72EB1" w:rsidRPr="00640238">
        <w:rPr>
          <w:rFonts w:ascii="Palatino Linotype" w:eastAsia="Palatino Linotype" w:hAnsi="Palatino Linotype" w:cs="Palatino Linotype"/>
          <w:b/>
          <w:color w:val="000000"/>
          <w:sz w:val="24"/>
          <w:szCs w:val="24"/>
        </w:rPr>
        <w:t>cuatro de junio</w:t>
      </w:r>
      <w:r w:rsidRPr="00640238">
        <w:rPr>
          <w:rFonts w:ascii="Palatino Linotype" w:eastAsia="Palatino Linotype" w:hAnsi="Palatino Linotype" w:cs="Palatino Linotype"/>
          <w:b/>
          <w:color w:val="000000"/>
          <w:sz w:val="24"/>
          <w:szCs w:val="24"/>
        </w:rPr>
        <w:t xml:space="preserve"> de dos mil veintiséis</w:t>
      </w:r>
      <w:r w:rsidRPr="00640238">
        <w:rPr>
          <w:rFonts w:ascii="Palatino Linotype" w:eastAsia="Palatino Linotype" w:hAnsi="Palatino Linotype" w:cs="Palatino Linotype"/>
          <w:color w:val="000000"/>
          <w:sz w:val="24"/>
          <w:szCs w:val="24"/>
        </w:rPr>
        <w:t>, se notificó el acuerdo mediante el cual se amplió el plazo para emitir resolución.</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El </w:t>
      </w:r>
      <w:r w:rsidR="00D72EB1" w:rsidRPr="00640238">
        <w:rPr>
          <w:rFonts w:ascii="Palatino Linotype" w:eastAsia="Palatino Linotype" w:hAnsi="Palatino Linotype" w:cs="Palatino Linotype"/>
          <w:b/>
          <w:color w:val="000000"/>
          <w:sz w:val="24"/>
          <w:szCs w:val="24"/>
        </w:rPr>
        <w:t>diez de junio</w:t>
      </w:r>
      <w:r w:rsidRPr="00640238">
        <w:rPr>
          <w:rFonts w:ascii="Palatino Linotype" w:eastAsia="Palatino Linotype" w:hAnsi="Palatino Linotype" w:cs="Palatino Linotype"/>
          <w:b/>
          <w:color w:val="000000"/>
          <w:sz w:val="24"/>
          <w:szCs w:val="24"/>
        </w:rPr>
        <w:t xml:space="preserve"> de dos mil veintiséis</w:t>
      </w:r>
      <w:r w:rsidRPr="00640238">
        <w:rPr>
          <w:rFonts w:ascii="Palatino Linotype" w:eastAsia="Palatino Linotype" w:hAnsi="Palatino Linotype" w:cs="Palatino Linotype"/>
          <w:color w:val="000000"/>
          <w:sz w:val="24"/>
          <w:szCs w:val="24"/>
        </w:rPr>
        <w:t>, la Comisionada Ponente notificó el acuerdo mediante el cual se decretó el cierre de instrucción. Por lo que turnó la presente resolución para su aprobación y</w:t>
      </w:r>
    </w:p>
    <w:p w:rsidR="00980FC7" w:rsidRPr="00640238" w:rsidRDefault="00980FC7" w:rsidP="00980FC7">
      <w:pPr>
        <w:pStyle w:val="Ttulo1"/>
        <w:jc w:val="center"/>
        <w:rPr>
          <w:rFonts w:ascii="Palatino Linotype" w:eastAsia="Palatino Linotype" w:hAnsi="Palatino Linotype" w:cs="Palatino Linotype"/>
          <w:b/>
          <w:color w:val="000000"/>
          <w:sz w:val="24"/>
          <w:szCs w:val="24"/>
        </w:rPr>
      </w:pPr>
      <w:bookmarkStart w:id="3" w:name="_heading=h.1fob9te" w:colFirst="0" w:colLast="0"/>
      <w:bookmarkEnd w:id="3"/>
      <w:r w:rsidRPr="00640238">
        <w:rPr>
          <w:rFonts w:ascii="Palatino Linotype" w:eastAsia="Palatino Linotype" w:hAnsi="Palatino Linotype" w:cs="Palatino Linotype"/>
          <w:b/>
          <w:color w:val="000000"/>
          <w:sz w:val="24"/>
          <w:szCs w:val="24"/>
        </w:rPr>
        <w:t>C</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O</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N</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S</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I</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D</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E</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R</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A</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N</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D</w:t>
      </w:r>
      <w:r w:rsidR="00640238">
        <w:rPr>
          <w:rFonts w:ascii="Palatino Linotype" w:eastAsia="Palatino Linotype" w:hAnsi="Palatino Linotype" w:cs="Palatino Linotype"/>
          <w:b/>
          <w:color w:val="000000"/>
          <w:sz w:val="24"/>
          <w:szCs w:val="24"/>
        </w:rPr>
        <w:t xml:space="preserve"> </w:t>
      </w:r>
      <w:r w:rsidRPr="00640238">
        <w:rPr>
          <w:rFonts w:ascii="Palatino Linotype" w:eastAsia="Palatino Linotype" w:hAnsi="Palatino Linotype" w:cs="Palatino Linotype"/>
          <w:b/>
          <w:color w:val="000000"/>
          <w:sz w:val="24"/>
          <w:szCs w:val="24"/>
        </w:rPr>
        <w:t xml:space="preserve">O </w:t>
      </w:r>
    </w:p>
    <w:p w:rsidR="00980FC7" w:rsidRPr="00640238" w:rsidRDefault="00980FC7" w:rsidP="00980FC7">
      <w:pPr>
        <w:rPr>
          <w:rFonts w:eastAsia="Palatino Linotype"/>
          <w:sz w:val="24"/>
          <w:szCs w:val="24"/>
        </w:rPr>
      </w:pPr>
    </w:p>
    <w:p w:rsidR="00980FC7" w:rsidRPr="00640238" w:rsidRDefault="00980FC7" w:rsidP="00980FC7">
      <w:pPr>
        <w:pStyle w:val="Ttulo2"/>
        <w:rPr>
          <w:rFonts w:ascii="Palatino Linotype" w:eastAsia="Palatino Linotype" w:hAnsi="Palatino Linotype" w:cs="Palatino Linotype"/>
          <w:b/>
          <w:color w:val="000000"/>
          <w:sz w:val="24"/>
          <w:szCs w:val="24"/>
        </w:rPr>
      </w:pPr>
      <w:bookmarkStart w:id="4" w:name="_heading=h.3znysh7" w:colFirst="0" w:colLast="0"/>
      <w:bookmarkEnd w:id="4"/>
      <w:r w:rsidRPr="00640238">
        <w:rPr>
          <w:rFonts w:ascii="Palatino Linotype" w:eastAsia="Palatino Linotype" w:hAnsi="Palatino Linotype" w:cs="Palatino Linotype"/>
          <w:b/>
          <w:color w:val="000000"/>
          <w:sz w:val="24"/>
          <w:szCs w:val="24"/>
        </w:rPr>
        <w:t>PRIMERO. De la competencia</w:t>
      </w:r>
    </w:p>
    <w:p w:rsidR="00D72EB1" w:rsidRPr="00640238" w:rsidRDefault="00D72EB1" w:rsidP="00D72EB1">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980FC7" w:rsidRPr="00640238" w:rsidRDefault="00980FC7" w:rsidP="00980FC7">
      <w:pPr>
        <w:pStyle w:val="Ttulo2"/>
        <w:rPr>
          <w:rFonts w:ascii="Palatino Linotype" w:eastAsia="Palatino Linotype" w:hAnsi="Palatino Linotype" w:cs="Palatino Linotype"/>
          <w:b/>
          <w:color w:val="000000"/>
          <w:sz w:val="24"/>
          <w:szCs w:val="24"/>
        </w:rPr>
      </w:pPr>
      <w:bookmarkStart w:id="5" w:name="_heading=h.2et92p0" w:colFirst="0" w:colLast="0"/>
      <w:bookmarkEnd w:id="5"/>
      <w:r w:rsidRPr="00640238">
        <w:rPr>
          <w:rFonts w:ascii="Palatino Linotype" w:eastAsia="Palatino Linotype" w:hAnsi="Palatino Linotype" w:cs="Palatino Linotype"/>
          <w:b/>
          <w:color w:val="000000"/>
          <w:sz w:val="24"/>
          <w:szCs w:val="24"/>
        </w:rPr>
        <w:lastRenderedPageBreak/>
        <w:t>SEGUNDO. De la oportunidad y procedencia.</w:t>
      </w:r>
    </w:p>
    <w:p w:rsidR="00D72EB1" w:rsidRPr="00640238" w:rsidRDefault="00D72EB1" w:rsidP="00D72EB1">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El medio de impugnación fue presentado a través del </w:t>
      </w:r>
      <w:r w:rsidRPr="00640238">
        <w:rPr>
          <w:rFonts w:ascii="Palatino Linotype" w:eastAsia="Palatino Linotype" w:hAnsi="Palatino Linotype" w:cs="Palatino Linotype"/>
          <w:b/>
          <w:bCs/>
          <w:color w:val="000000"/>
          <w:sz w:val="24"/>
          <w:szCs w:val="24"/>
        </w:rPr>
        <w:t>SAIMEX,</w:t>
      </w:r>
      <w:r w:rsidRPr="00640238">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siendo así que el </w:t>
      </w:r>
      <w:r w:rsidRPr="00640238">
        <w:rPr>
          <w:rFonts w:ascii="Palatino Linotype" w:eastAsia="Palatino Linotype" w:hAnsi="Palatino Linotype" w:cs="Palatino Linotype"/>
          <w:b/>
          <w:bCs/>
          <w:color w:val="000000"/>
          <w:sz w:val="24"/>
          <w:szCs w:val="24"/>
        </w:rPr>
        <w:t>SUJETO OBLIGADO</w:t>
      </w:r>
      <w:r w:rsidRPr="00640238">
        <w:rPr>
          <w:rFonts w:ascii="Palatino Linotype" w:eastAsia="Palatino Linotype" w:hAnsi="Palatino Linotype" w:cs="Palatino Linotype"/>
          <w:color w:val="000000"/>
          <w:sz w:val="24"/>
          <w:szCs w:val="24"/>
        </w:rPr>
        <w:t xml:space="preserve"> entregó respuesta a la solicitud el día</w:t>
      </w:r>
      <w:r w:rsidRPr="00640238">
        <w:rPr>
          <w:rFonts w:ascii="Palatino Linotype" w:eastAsia="Palatino Linotype" w:hAnsi="Palatino Linotype" w:cs="Palatino Linotype"/>
          <w:b/>
          <w:bCs/>
          <w:color w:val="000000"/>
          <w:sz w:val="24"/>
          <w:szCs w:val="24"/>
        </w:rPr>
        <w:t xml:space="preserve"> diez de abril de dos mil veintiséis</w:t>
      </w:r>
      <w:r w:rsidRPr="00640238">
        <w:rPr>
          <w:rFonts w:ascii="Palatino Linotype" w:eastAsia="Palatino Linotype" w:hAnsi="Palatino Linotype" w:cs="Palatino Linotype"/>
          <w:color w:val="000000"/>
          <w:sz w:val="24"/>
          <w:szCs w:val="24"/>
        </w:rPr>
        <w:t>, de tal forma que el plazo para interponer el recurso de revisión transcurrió del</w:t>
      </w:r>
      <w:r w:rsidRPr="00640238">
        <w:rPr>
          <w:rFonts w:ascii="Palatino Linotype" w:eastAsia="Palatino Linotype" w:hAnsi="Palatino Linotype" w:cs="Palatino Linotype"/>
          <w:b/>
          <w:bCs/>
          <w:color w:val="000000"/>
          <w:sz w:val="24"/>
          <w:szCs w:val="24"/>
        </w:rPr>
        <w:t xml:space="preserve"> trece de abril al cuatro de mayo de dos mil veintiséis</w:t>
      </w:r>
      <w:r w:rsidRPr="00640238">
        <w:rPr>
          <w:rFonts w:ascii="Palatino Linotype" w:eastAsia="Palatino Linotype" w:hAnsi="Palatino Linotype" w:cs="Palatino Linotype"/>
          <w:color w:val="000000"/>
          <w:sz w:val="24"/>
          <w:szCs w:val="24"/>
        </w:rPr>
        <w:t xml:space="preserve">; en consecuencia, presentó su inconformidad el día </w:t>
      </w:r>
      <w:r w:rsidRPr="00640238">
        <w:rPr>
          <w:rFonts w:ascii="Palatino Linotype" w:eastAsia="Palatino Linotype" w:hAnsi="Palatino Linotype" w:cs="Palatino Linotype"/>
          <w:b/>
          <w:bCs/>
          <w:color w:val="000000"/>
          <w:sz w:val="24"/>
          <w:szCs w:val="24"/>
        </w:rPr>
        <w:t>once de abril de dos mil veintiséis</w:t>
      </w:r>
      <w:r w:rsidRPr="00640238">
        <w:rPr>
          <w:rFonts w:ascii="Palatino Linotype" w:eastAsia="Palatino Linotype" w:hAnsi="Palatino Linotype" w:cs="Palatino Linotype"/>
          <w:color w:val="000000"/>
          <w:sz w:val="24"/>
          <w:szCs w:val="24"/>
        </w:rPr>
        <w:t xml:space="preserve">, por lo que se encuentra dentro de los márgenes temporales previstos en el artículo 178 de la </w:t>
      </w:r>
      <w:r w:rsidRPr="00640238">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sidRPr="00640238">
        <w:rPr>
          <w:rFonts w:ascii="Palatino Linotype" w:eastAsia="Palatino Linotype" w:hAnsi="Palatino Linotype" w:cs="Palatino Linotype"/>
          <w:color w:val="000000"/>
          <w:sz w:val="24"/>
          <w:szCs w:val="24"/>
        </w:rPr>
        <w:t>vigente.</w:t>
      </w:r>
    </w:p>
    <w:p w:rsidR="00D72EB1" w:rsidRPr="00640238" w:rsidRDefault="00D72EB1" w:rsidP="00D72EB1">
      <w:pPr>
        <w:tabs>
          <w:tab w:val="left" w:pos="284"/>
        </w:tabs>
        <w:spacing w:line="360" w:lineRule="auto"/>
        <w:jc w:val="both"/>
        <w:rPr>
          <w:rFonts w:ascii="Palatino Linotype" w:eastAsia="Palatino Linotype" w:hAnsi="Palatino Linotype" w:cs="Palatino Linotype"/>
          <w:color w:val="000000"/>
          <w:sz w:val="24"/>
          <w:szCs w:val="24"/>
        </w:rPr>
      </w:pPr>
    </w:p>
    <w:p w:rsidR="00980FC7" w:rsidRPr="00640238" w:rsidRDefault="00D72EB1" w:rsidP="00D72EB1">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80FC7" w:rsidRPr="00640238" w:rsidRDefault="00980FC7" w:rsidP="00980FC7">
      <w:pPr>
        <w:pStyle w:val="Ttulo1"/>
        <w:spacing w:before="0" w:line="360" w:lineRule="auto"/>
        <w:rPr>
          <w:rFonts w:ascii="Palatino Linotype" w:eastAsia="Palatino Linotype" w:hAnsi="Palatino Linotype" w:cs="Palatino Linotype"/>
          <w:b/>
          <w:color w:val="000000"/>
          <w:sz w:val="24"/>
          <w:szCs w:val="24"/>
        </w:rPr>
      </w:pPr>
      <w:bookmarkStart w:id="6" w:name="_heading=h.3dy6vkm" w:colFirst="0" w:colLast="0"/>
      <w:bookmarkEnd w:id="6"/>
      <w:r w:rsidRPr="00640238">
        <w:rPr>
          <w:rFonts w:ascii="Palatino Linotype" w:eastAsia="Palatino Linotype" w:hAnsi="Palatino Linotype" w:cs="Palatino Linotype"/>
          <w:b/>
          <w:color w:val="000000"/>
          <w:sz w:val="24"/>
          <w:szCs w:val="24"/>
        </w:rPr>
        <w:t>CUARTO. Causales de Sobreseimiento</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rsidR="00980FC7" w:rsidRPr="00640238" w:rsidRDefault="00980FC7" w:rsidP="00980FC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rPr>
        <w:t xml:space="preserve">El recurso de revisión </w:t>
      </w:r>
      <w:r w:rsidRPr="00640238">
        <w:rPr>
          <w:rFonts w:ascii="Palatino Linotype" w:hAnsi="Palatino Linotype" w:cs="Arial"/>
          <w:sz w:val="24"/>
        </w:rPr>
        <w:t xml:space="preserve">tiene como finalidad reparar cualquier posible afectación al derecho de acceso a la información pública en términos del Título Octavo de la Ley de </w:t>
      </w:r>
      <w:r w:rsidRPr="00640238">
        <w:rPr>
          <w:rFonts w:ascii="Palatino Linotype" w:eastAsia="Calibri" w:hAnsi="Palatino Linotype" w:cs="Arial"/>
          <w:sz w:val="24"/>
        </w:rPr>
        <w:t>Transparencia, Acceso a la Información Pública del Estado de México y Municipios</w:t>
      </w:r>
      <w:r w:rsidRPr="00640238">
        <w:rPr>
          <w:rFonts w:ascii="Palatino Linotype" w:hAnsi="Palatino Linotype" w:cs="Arial"/>
          <w:sz w:val="24"/>
        </w:rPr>
        <w:t xml:space="preserve">, y determinar la confirmación; revocación o modificación; desechamiento o </w:t>
      </w:r>
      <w:r w:rsidRPr="00640238">
        <w:rPr>
          <w:rFonts w:ascii="Palatino Linotype" w:hAnsi="Palatino Linotype" w:cs="Arial"/>
          <w:b/>
          <w:sz w:val="24"/>
          <w:u w:val="single"/>
        </w:rPr>
        <w:t>sobreseimiento</w:t>
      </w:r>
      <w:r w:rsidRPr="00640238">
        <w:rPr>
          <w:rFonts w:ascii="Palatino Linotype" w:hAnsi="Palatino Linotype" w:cs="Arial"/>
          <w:sz w:val="24"/>
        </w:rPr>
        <w:t xml:space="preserve">; y en su caso ordenar la entrega de la información con respecto a la respuesta emitida por el </w:t>
      </w:r>
      <w:r w:rsidRPr="00640238">
        <w:rPr>
          <w:rFonts w:ascii="Palatino Linotype" w:hAnsi="Palatino Linotype" w:cs="Arial"/>
          <w:b/>
          <w:sz w:val="24"/>
        </w:rPr>
        <w:t>SUJETO</w:t>
      </w:r>
      <w:r w:rsidRPr="00640238">
        <w:rPr>
          <w:rFonts w:ascii="Palatino Linotype" w:hAnsi="Palatino Linotype" w:cs="Arial"/>
          <w:sz w:val="24"/>
        </w:rPr>
        <w:t xml:space="preserve"> </w:t>
      </w:r>
      <w:r w:rsidRPr="00640238">
        <w:rPr>
          <w:rFonts w:ascii="Palatino Linotype" w:hAnsi="Palatino Linotype" w:cs="Arial"/>
          <w:b/>
          <w:sz w:val="24"/>
        </w:rPr>
        <w:t>OBLIGADO</w:t>
      </w:r>
      <w:r w:rsidRPr="00640238">
        <w:rPr>
          <w:rFonts w:ascii="Palatino Linotype" w:hAnsi="Palatino Linotype" w:cs="Arial"/>
          <w:sz w:val="24"/>
        </w:rPr>
        <w:t>.</w:t>
      </w:r>
    </w:p>
    <w:p w:rsidR="00980FC7" w:rsidRPr="00640238" w:rsidRDefault="00980FC7" w:rsidP="00980FC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rPr>
        <w:lastRenderedPageBreak/>
        <w:t xml:space="preserve">De </w:t>
      </w:r>
      <w:r w:rsidRPr="00640238">
        <w:rPr>
          <w:rFonts w:ascii="Palatino Linotype" w:eastAsia="Calibri" w:hAnsi="Palatino Linotype"/>
          <w:sz w:val="24"/>
        </w:rPr>
        <w:t xml:space="preserve">acuerdo al precepto legal contenido en la fracción III del artículo 192 de la </w:t>
      </w:r>
      <w:r w:rsidRPr="00640238">
        <w:rPr>
          <w:rFonts w:ascii="Palatino Linotype" w:eastAsia="Calibri" w:hAnsi="Palatino Linotype"/>
          <w:b/>
          <w:sz w:val="24"/>
        </w:rPr>
        <w:t>Ley de Transparencia y Acceso a la Información Pública del Estado de México y Municipios</w:t>
      </w:r>
      <w:r w:rsidRPr="00640238">
        <w:rPr>
          <w:rFonts w:ascii="Palatino Linotype" w:eastAsia="Calibri" w:hAnsi="Palatino Linotype"/>
          <w:sz w:val="24"/>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980FC7" w:rsidRPr="00640238" w:rsidRDefault="00980FC7" w:rsidP="00980FC7">
      <w:pPr>
        <w:pStyle w:val="Prrafodelista"/>
        <w:ind w:left="0"/>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t xml:space="preserve">Para </w:t>
      </w:r>
      <w:r w:rsidRPr="00640238">
        <w:rPr>
          <w:rFonts w:ascii="Palatino Linotype" w:eastAsia="Calibri" w:hAnsi="Palatino Linotype"/>
          <w:sz w:val="24"/>
        </w:rPr>
        <w:t xml:space="preserve">los efectos de esta resolución, es oportuno precisar los alcances jurídicos de la fracción III de la disposición legal transcrita. Así, procede el sobreseimiento del recurso de revisión cuando el </w:t>
      </w:r>
      <w:r w:rsidRPr="00640238">
        <w:rPr>
          <w:rFonts w:ascii="Palatino Linotype" w:eastAsia="Calibri" w:hAnsi="Palatino Linotype"/>
          <w:b/>
          <w:sz w:val="24"/>
        </w:rPr>
        <w:t>SUJETO OBLIGADO</w:t>
      </w:r>
      <w:r w:rsidRPr="00640238">
        <w:rPr>
          <w:rFonts w:ascii="Palatino Linotype" w:eastAsia="Calibri" w:hAnsi="Palatino Linotype"/>
          <w:sz w:val="24"/>
        </w:rPr>
        <w:t>:</w:t>
      </w:r>
    </w:p>
    <w:p w:rsidR="00980FC7" w:rsidRPr="00640238" w:rsidRDefault="00980FC7" w:rsidP="00980FC7">
      <w:pPr>
        <w:numPr>
          <w:ilvl w:val="0"/>
          <w:numId w:val="3"/>
        </w:numPr>
        <w:spacing w:line="360" w:lineRule="auto"/>
        <w:ind w:left="567" w:right="616" w:firstLine="0"/>
        <w:contextualSpacing/>
        <w:jc w:val="both"/>
        <w:rPr>
          <w:rFonts w:ascii="Palatino Linotype" w:hAnsi="Palatino Linotype" w:cs="Arial"/>
          <w:sz w:val="24"/>
          <w:szCs w:val="24"/>
        </w:rPr>
      </w:pPr>
      <w:r w:rsidRPr="00640238">
        <w:rPr>
          <w:rFonts w:ascii="Palatino Linotype" w:hAnsi="Palatino Linotype" w:cs="Arial"/>
          <w:b/>
          <w:sz w:val="24"/>
          <w:szCs w:val="24"/>
        </w:rPr>
        <w:t>Modifique el acto impugnado:</w:t>
      </w:r>
      <w:r w:rsidRPr="00640238">
        <w:rPr>
          <w:rFonts w:ascii="Palatino Linotype" w:hAnsi="Palatino Linotype" w:cs="Arial"/>
          <w:sz w:val="24"/>
          <w:szCs w:val="24"/>
        </w:rPr>
        <w:t xml:space="preserve"> Se actualiza cuando el </w:t>
      </w:r>
      <w:r w:rsidRPr="00640238">
        <w:rPr>
          <w:rFonts w:ascii="Palatino Linotype" w:hAnsi="Palatino Linotype" w:cs="Arial"/>
          <w:b/>
          <w:sz w:val="24"/>
          <w:szCs w:val="24"/>
        </w:rPr>
        <w:t>SUJETO OBLIGADO</w:t>
      </w:r>
      <w:r w:rsidRPr="00640238">
        <w:rPr>
          <w:rFonts w:ascii="Palatino Linotype" w:hAnsi="Palatino Linotype" w:cs="Arial"/>
          <w:sz w:val="24"/>
          <w:szCs w:val="24"/>
        </w:rPr>
        <w:t xml:space="preserve"> después de haber otorgado una respuesta y hasta antes de dictada la resolución del recurso de revisión, emite una diversa en la que subsane las deficiencias que hubiera tenido.</w:t>
      </w:r>
    </w:p>
    <w:p w:rsidR="00980FC7" w:rsidRPr="00640238" w:rsidRDefault="00980FC7" w:rsidP="00980FC7">
      <w:pPr>
        <w:numPr>
          <w:ilvl w:val="0"/>
          <w:numId w:val="3"/>
        </w:numPr>
        <w:spacing w:line="360" w:lineRule="auto"/>
        <w:ind w:left="567" w:right="616" w:firstLine="0"/>
        <w:contextualSpacing/>
        <w:jc w:val="both"/>
        <w:rPr>
          <w:rFonts w:ascii="Palatino Linotype" w:hAnsi="Palatino Linotype" w:cs="Arial"/>
          <w:sz w:val="24"/>
          <w:szCs w:val="24"/>
        </w:rPr>
      </w:pPr>
      <w:r w:rsidRPr="00640238">
        <w:rPr>
          <w:rFonts w:ascii="Palatino Linotype" w:hAnsi="Palatino Linotype" w:cs="Arial"/>
          <w:b/>
          <w:sz w:val="24"/>
          <w:szCs w:val="24"/>
        </w:rPr>
        <w:t>Revoque el acto impugnado:</w:t>
      </w:r>
      <w:r w:rsidRPr="00640238">
        <w:rPr>
          <w:rFonts w:ascii="Palatino Linotype" w:hAnsi="Palatino Linotype" w:cs="Arial"/>
          <w:sz w:val="24"/>
          <w:szCs w:val="24"/>
        </w:rPr>
        <w:t xml:space="preserve"> En este supuesto, el </w:t>
      </w:r>
      <w:r w:rsidRPr="00640238">
        <w:rPr>
          <w:rFonts w:ascii="Palatino Linotype" w:hAnsi="Palatino Linotype" w:cs="Arial"/>
          <w:b/>
          <w:sz w:val="24"/>
          <w:szCs w:val="24"/>
        </w:rPr>
        <w:t>SUJETO OBLIGADO</w:t>
      </w:r>
      <w:r w:rsidRPr="00640238">
        <w:rPr>
          <w:rFonts w:ascii="Palatino Linotype" w:hAnsi="Palatino Linotype" w:cs="Arial"/>
          <w:sz w:val="24"/>
          <w:szCs w:val="24"/>
        </w:rPr>
        <w:t xml:space="preserve"> deja sin efectos la primera respuesta y en su lugar emite otra que satisfaga lo solicitado por el Particular en un primer momento.</w:t>
      </w:r>
    </w:p>
    <w:p w:rsidR="00980FC7" w:rsidRPr="00640238" w:rsidRDefault="00980FC7" w:rsidP="00980FC7">
      <w:pPr>
        <w:spacing w:line="360" w:lineRule="auto"/>
        <w:ind w:right="616"/>
        <w:contextualSpacing/>
        <w:jc w:val="both"/>
        <w:rPr>
          <w:rFonts w:ascii="Palatino Linotype" w:hAnsi="Palatino Linotype" w:cs="Arial"/>
          <w:sz w:val="24"/>
          <w:szCs w:val="24"/>
        </w:rPr>
      </w:pPr>
    </w:p>
    <w:p w:rsidR="00980FC7" w:rsidRPr="00640238" w:rsidRDefault="00980FC7" w:rsidP="00980FC7">
      <w:pPr>
        <w:pStyle w:val="Prrafodelista"/>
        <w:numPr>
          <w:ilvl w:val="0"/>
          <w:numId w:val="1"/>
        </w:numPr>
        <w:tabs>
          <w:tab w:val="left" w:pos="284"/>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t xml:space="preserve">Las </w:t>
      </w:r>
      <w:r w:rsidRPr="00640238">
        <w:rPr>
          <w:rFonts w:ascii="Palatino Linotype" w:eastAsia="Calibri" w:hAnsi="Palatino Linotype"/>
          <w:sz w:val="24"/>
        </w:rPr>
        <w:t>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980FC7" w:rsidRPr="00640238" w:rsidRDefault="00980FC7" w:rsidP="00980FC7">
      <w:pPr>
        <w:pStyle w:val="Prrafodelista"/>
        <w:tabs>
          <w:tab w:val="left" w:pos="284"/>
          <w:tab w:val="left" w:pos="567"/>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4F0F39">
      <w:pPr>
        <w:pStyle w:val="Prrafodelista"/>
        <w:numPr>
          <w:ilvl w:val="0"/>
          <w:numId w:val="1"/>
        </w:numPr>
        <w:tabs>
          <w:tab w:val="left" w:pos="284"/>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Palatino Linotype" w:hAnsi="Palatino Linotype" w:cs="Palatino Linotype"/>
          <w:color w:val="000000"/>
          <w:sz w:val="24"/>
        </w:rPr>
        <w:lastRenderedPageBreak/>
        <w:t xml:space="preserve">Recordemos que el </w:t>
      </w:r>
      <w:r w:rsidR="00705F9E" w:rsidRPr="00640238">
        <w:rPr>
          <w:rFonts w:ascii="Palatino Linotype" w:eastAsia="Palatino Linotype" w:hAnsi="Palatino Linotype" w:cs="Palatino Linotype"/>
          <w:color w:val="000000"/>
          <w:sz w:val="24"/>
        </w:rPr>
        <w:t>particular</w:t>
      </w:r>
      <w:r w:rsidRPr="00640238">
        <w:rPr>
          <w:rFonts w:ascii="Palatino Linotype" w:eastAsia="Palatino Linotype" w:hAnsi="Palatino Linotype" w:cs="Palatino Linotype"/>
          <w:color w:val="000000"/>
          <w:sz w:val="24"/>
        </w:rPr>
        <w:t xml:space="preserve"> solicitó </w:t>
      </w:r>
      <w:r w:rsidR="00705F9E" w:rsidRPr="00640238">
        <w:rPr>
          <w:rFonts w:ascii="Palatino Linotype" w:hAnsi="Palatino Linotype"/>
          <w:color w:val="000000"/>
          <w:sz w:val="24"/>
        </w:rPr>
        <w:t>el Acta de la Vigésima Primera Sesión Extraordinaria del Comité de Transparencia, en respuesta, el Sujeto Obligado hizo entrega de la información solicitada, posteriormente, el Recurrente se inconformó por que no contenía firmas de los servidores públicos; al respecto, El Sujeto Obligado</w:t>
      </w:r>
      <w:r w:rsidR="004F0F39" w:rsidRPr="00640238">
        <w:rPr>
          <w:rFonts w:ascii="Palatino Linotype" w:hAnsi="Palatino Linotype"/>
          <w:color w:val="000000"/>
          <w:sz w:val="24"/>
        </w:rPr>
        <w:t>,</w:t>
      </w:r>
      <w:r w:rsidR="00705F9E" w:rsidRPr="00640238">
        <w:rPr>
          <w:rFonts w:ascii="Palatino Linotype" w:hAnsi="Palatino Linotype"/>
          <w:color w:val="000000"/>
          <w:sz w:val="24"/>
        </w:rPr>
        <w:t xml:space="preserve"> en aras de garantizar el derecho de acceso a la información de Recurrente, </w:t>
      </w:r>
      <w:r w:rsidR="004F0F39" w:rsidRPr="00640238">
        <w:rPr>
          <w:rFonts w:ascii="Palatino Linotype" w:hAnsi="Palatino Linotype"/>
          <w:color w:val="000000"/>
          <w:sz w:val="24"/>
        </w:rPr>
        <w:t xml:space="preserve">entregó a través de informe justificado el documento solicitado con las firmas de los integrantes del Comité de Transparencia. </w:t>
      </w:r>
    </w:p>
    <w:p w:rsidR="004F0F39" w:rsidRPr="00640238" w:rsidRDefault="004F0F39" w:rsidP="004F0F39">
      <w:pPr>
        <w:pStyle w:val="Prrafodelista"/>
        <w:tabs>
          <w:tab w:val="left" w:pos="284"/>
          <w:tab w:val="left" w:pos="567"/>
        </w:tabs>
        <w:spacing w:line="360" w:lineRule="auto"/>
        <w:ind w:left="0"/>
        <w:jc w:val="both"/>
        <w:rPr>
          <w:rFonts w:ascii="Palatino Linotype" w:eastAsia="Calibri" w:hAnsi="Palatino Linotype" w:cs="Arial"/>
          <w:color w:val="000000" w:themeColor="text1"/>
          <w:sz w:val="24"/>
          <w:lang w:val="es-ES"/>
        </w:rPr>
      </w:pPr>
    </w:p>
    <w:p w:rsidR="00980FC7" w:rsidRPr="00640238" w:rsidRDefault="004F0F39"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Palatino Linotype" w:hAnsi="Palatino Linotype" w:cs="Palatino Linotype"/>
          <w:color w:val="000000"/>
          <w:sz w:val="24"/>
          <w:szCs w:val="24"/>
        </w:rPr>
        <w:t xml:space="preserve">En ese sentido, se puede advertir que el Sujeto Obligado modificó su respuesta al entregar el Acta de la Vigésima Primera Sesión Extraordinaria del Comité de Transparencia con las firmas de los integrantes, por lo tanto, se puede dar por colmado el derecho del Recurrente. </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Calibri" w:hAnsi="Palatino Linotype" w:cs="Arial"/>
          <w:color w:val="000000" w:themeColor="text1"/>
          <w:sz w:val="24"/>
          <w:szCs w:val="24"/>
          <w:lang w:val="es-ES"/>
        </w:rPr>
        <w:t xml:space="preserve">Así, </w:t>
      </w:r>
      <w:r w:rsidRPr="00640238">
        <w:rPr>
          <w:rFonts w:ascii="Palatino Linotype" w:eastAsia="Calibri" w:hAnsi="Palatino Linotype"/>
          <w:sz w:val="24"/>
          <w:szCs w:val="24"/>
        </w:rPr>
        <w:t xml:space="preserve">este Pleno advierte que el </w:t>
      </w:r>
      <w:r w:rsidRPr="00640238">
        <w:rPr>
          <w:rFonts w:ascii="Palatino Linotype" w:eastAsia="Calibri" w:hAnsi="Palatino Linotype"/>
          <w:b/>
          <w:sz w:val="24"/>
          <w:szCs w:val="24"/>
        </w:rPr>
        <w:t>SUJETO OBLIGADO</w:t>
      </w:r>
      <w:r w:rsidRPr="00640238">
        <w:rPr>
          <w:rFonts w:ascii="Palatino Linotype" w:eastAsia="Calibri" w:hAnsi="Palatino Linotype"/>
          <w:sz w:val="24"/>
          <w:szCs w:val="24"/>
        </w:rPr>
        <w:t xml:space="preserve"> </w:t>
      </w:r>
      <w:r w:rsidRPr="00640238">
        <w:rPr>
          <w:rFonts w:ascii="Palatino Linotype" w:eastAsia="Calibri" w:hAnsi="Palatino Linotype"/>
          <w:b/>
          <w:sz w:val="24"/>
          <w:szCs w:val="24"/>
        </w:rPr>
        <w:t xml:space="preserve">modificó </w:t>
      </w:r>
      <w:r w:rsidRPr="00640238">
        <w:rPr>
          <w:rFonts w:ascii="Palatino Linotype" w:eastAsia="Calibri" w:hAnsi="Palatino Linotype"/>
          <w:sz w:val="24"/>
          <w:szCs w:val="24"/>
        </w:rPr>
        <w:t>el acto que le dio origen a al recurso de revisión y que, a través de informe justificado entregó el organigrama solicitado, lo que trae como consecuencia que el mismo quede sin materia, actualizándose de este modo, la hipótesis jurídica contenida en la fracción III del artículo 192 de la Ley de Transparencia Local.</w:t>
      </w:r>
    </w:p>
    <w:p w:rsidR="00980FC7" w:rsidRPr="00640238" w:rsidRDefault="00980FC7" w:rsidP="00980FC7">
      <w:pPr>
        <w:pStyle w:val="Prrafodelista"/>
        <w:rPr>
          <w:rFonts w:ascii="Palatino Linotype" w:eastAsia="Calibri" w:hAnsi="Palatino Linotype" w:cs="Arial"/>
          <w:color w:val="000000" w:themeColor="text1"/>
          <w:sz w:val="24"/>
          <w:lang w:val="es-ES"/>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Calibri" w:hAnsi="Palatino Linotype" w:cs="Arial"/>
          <w:color w:val="000000" w:themeColor="text1"/>
          <w:sz w:val="24"/>
          <w:szCs w:val="24"/>
          <w:lang w:val="es-ES"/>
        </w:rPr>
        <w:t xml:space="preserve">Ahora bien, </w:t>
      </w:r>
      <w:r w:rsidRPr="00640238">
        <w:rPr>
          <w:rFonts w:ascii="Palatino Linotype" w:eastAsia="Calibri" w:hAnsi="Palatino Linotype"/>
          <w:sz w:val="24"/>
          <w:szCs w:val="24"/>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640238">
        <w:rPr>
          <w:rFonts w:ascii="Palatino Linotype" w:eastAsia="Calibri" w:hAnsi="Palatino Linotype"/>
          <w:b/>
          <w:sz w:val="24"/>
          <w:szCs w:val="24"/>
        </w:rPr>
        <w:t>SUJETOS OBLIGADOS</w:t>
      </w:r>
      <w:r w:rsidRPr="00640238">
        <w:rPr>
          <w:rFonts w:ascii="Palatino Linotype" w:eastAsia="Calibri" w:hAnsi="Palatino Linotype"/>
          <w:sz w:val="24"/>
          <w:szCs w:val="24"/>
        </w:rPr>
        <w:t xml:space="preserve"> o la negativa de entrega de esta, derivada de la solicitud de información pública.</w:t>
      </w:r>
    </w:p>
    <w:p w:rsidR="00980FC7" w:rsidRPr="00640238" w:rsidRDefault="00980FC7" w:rsidP="00980FC7">
      <w:pPr>
        <w:pStyle w:val="Prrafodelista"/>
        <w:rPr>
          <w:rFonts w:ascii="Palatino Linotype" w:eastAsia="Calibri" w:hAnsi="Palatino Linotype" w:cs="Arial"/>
          <w:color w:val="000000" w:themeColor="text1"/>
          <w:sz w:val="24"/>
          <w:lang w:val="es-ES"/>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Calibri" w:hAnsi="Palatino Linotype" w:cs="Arial"/>
          <w:color w:val="000000" w:themeColor="text1"/>
          <w:sz w:val="24"/>
          <w:szCs w:val="24"/>
          <w:lang w:val="es-ES"/>
        </w:rPr>
        <w:t xml:space="preserve">De </w:t>
      </w:r>
      <w:r w:rsidRPr="00640238">
        <w:rPr>
          <w:rFonts w:ascii="Palatino Linotype" w:eastAsia="Calibri" w:hAnsi="Palatino Linotype"/>
          <w:sz w:val="24"/>
          <w:szCs w:val="24"/>
        </w:rPr>
        <w:t xml:space="preserve">este modo, cuando el </w:t>
      </w:r>
      <w:r w:rsidRPr="00640238">
        <w:rPr>
          <w:rFonts w:ascii="Palatino Linotype" w:eastAsia="Calibri" w:hAnsi="Palatino Linotype"/>
          <w:b/>
          <w:sz w:val="24"/>
          <w:szCs w:val="24"/>
        </w:rPr>
        <w:t xml:space="preserve">SUJETO OBLIGADO, </w:t>
      </w:r>
      <w:r w:rsidRPr="00640238">
        <w:rPr>
          <w:rFonts w:ascii="Palatino Linotype" w:eastAsia="Calibri" w:hAnsi="Palatino Linotype"/>
          <w:sz w:val="24"/>
          <w:szCs w:val="24"/>
        </w:rPr>
        <w:t xml:space="preserve">antes de que se dicte resolución definitiva, entrega la información solicitada o completa la información que en un primer </w:t>
      </w:r>
      <w:r w:rsidRPr="00640238">
        <w:rPr>
          <w:rFonts w:ascii="Palatino Linotype" w:eastAsia="Calibri" w:hAnsi="Palatino Linotype"/>
          <w:sz w:val="24"/>
          <w:szCs w:val="24"/>
        </w:rPr>
        <w:lastRenderedPageBreak/>
        <w:t xml:space="preserve">momento fue incompleta o no correspondió con lo solicitado; el recurso de revisión que al efecto se haya interpuesto queda sin materia lo que imposibilita el estudio de fondo de la </w:t>
      </w:r>
      <w:r w:rsidRPr="00640238">
        <w:rPr>
          <w:rFonts w:ascii="Palatino Linotype" w:eastAsia="Calibri" w:hAnsi="Palatino Linotype"/>
          <w:i/>
          <w:sz w:val="24"/>
          <w:szCs w:val="24"/>
        </w:rPr>
        <w:t>litis</w:t>
      </w:r>
      <w:r w:rsidRPr="00640238">
        <w:rPr>
          <w:rFonts w:ascii="Palatino Linotype" w:eastAsia="Calibri" w:hAnsi="Palatino Linotype"/>
          <w:sz w:val="24"/>
          <w:szCs w:val="24"/>
        </w:rPr>
        <w:t xml:space="preserve"> planteada, debido a que la afectación en su esfera de derechos fue restituida por la propia autoridad que emitió el acto motivo de impugnación.</w:t>
      </w:r>
    </w:p>
    <w:p w:rsidR="00980FC7" w:rsidRPr="00640238" w:rsidRDefault="00980FC7" w:rsidP="00980FC7">
      <w:pPr>
        <w:pStyle w:val="Prrafodelista"/>
        <w:rPr>
          <w:rFonts w:ascii="Palatino Linotype" w:eastAsia="Calibri" w:hAnsi="Palatino Linotype" w:cs="Arial"/>
          <w:color w:val="000000" w:themeColor="text1"/>
          <w:sz w:val="24"/>
          <w:lang w:val="es-ES"/>
        </w:rPr>
      </w:pPr>
    </w:p>
    <w:p w:rsidR="00980FC7" w:rsidRPr="00640238" w:rsidRDefault="00980FC7" w:rsidP="00980FC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40238">
        <w:rPr>
          <w:rFonts w:ascii="Palatino Linotype" w:eastAsia="Calibri" w:hAnsi="Palatino Linotype" w:cs="Arial"/>
          <w:color w:val="000000" w:themeColor="text1"/>
          <w:sz w:val="24"/>
          <w:szCs w:val="24"/>
          <w:lang w:val="es-ES"/>
        </w:rPr>
        <w:t xml:space="preserve">Sirve </w:t>
      </w:r>
      <w:r w:rsidRPr="00640238">
        <w:rPr>
          <w:rFonts w:ascii="Palatino Linotype" w:eastAsia="Calibri" w:hAnsi="Palatino Linotype"/>
          <w:sz w:val="24"/>
          <w:szCs w:val="24"/>
        </w:rPr>
        <w:t>de sustento a lo anterior la siguiente jurisprudencia por contradicción, cuyo rubro, texto y datos de identificación son los siguientes:</w:t>
      </w:r>
    </w:p>
    <w:p w:rsidR="00980FC7" w:rsidRPr="00640238" w:rsidRDefault="00980FC7" w:rsidP="00980FC7">
      <w:pPr>
        <w:pStyle w:val="Prrafodelista"/>
        <w:tabs>
          <w:tab w:val="left" w:pos="709"/>
          <w:tab w:val="left" w:pos="851"/>
        </w:tabs>
        <w:spacing w:line="360" w:lineRule="auto"/>
        <w:ind w:left="851" w:right="822"/>
        <w:jc w:val="both"/>
        <w:rPr>
          <w:rFonts w:ascii="Palatino Linotype" w:eastAsia="Calibri" w:hAnsi="Palatino Linotype" w:cs="Arial"/>
          <w:color w:val="000000" w:themeColor="text1"/>
          <w:sz w:val="24"/>
          <w:lang w:val="es-ES"/>
        </w:rPr>
      </w:pPr>
      <w:r w:rsidRPr="00640238">
        <w:rPr>
          <w:rFonts w:ascii="Palatino Linotype" w:eastAsia="Calibri" w:hAnsi="Palatino Linotype"/>
          <w:b/>
          <w:i/>
          <w:sz w:val="24"/>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640238">
        <w:rPr>
          <w:rFonts w:ascii="Palatino Linotype" w:eastAsia="Calibri" w:hAnsi="Palatino Linotype"/>
          <w:i/>
          <w:sz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w:t>
      </w:r>
      <w:r w:rsidRPr="00640238">
        <w:rPr>
          <w:rFonts w:ascii="Palatino Linotype" w:eastAsia="Calibri" w:hAnsi="Palatino Linotype"/>
          <w:i/>
          <w:sz w:val="24"/>
        </w:rPr>
        <w:lastRenderedPageBreak/>
        <w:t>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980FC7" w:rsidRPr="00640238" w:rsidRDefault="00980FC7" w:rsidP="00980FC7">
      <w:pPr>
        <w:pStyle w:val="Prrafodelista"/>
        <w:tabs>
          <w:tab w:val="left" w:pos="284"/>
          <w:tab w:val="left" w:pos="567"/>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284"/>
          <w:tab w:val="left" w:pos="567"/>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t xml:space="preserve">La </w:t>
      </w:r>
      <w:r w:rsidRPr="00640238">
        <w:rPr>
          <w:rFonts w:ascii="Palatino Linotype" w:eastAsia="Calibri" w:hAnsi="Palatino Linotype"/>
          <w:sz w:val="24"/>
        </w:rPr>
        <w:t xml:space="preserve">anterior jurisprudencia resulta aplicable al presente asunto, en dos aspectos: </w:t>
      </w:r>
    </w:p>
    <w:p w:rsidR="00980FC7" w:rsidRPr="00640238" w:rsidRDefault="00980FC7" w:rsidP="00980FC7">
      <w:pPr>
        <w:numPr>
          <w:ilvl w:val="0"/>
          <w:numId w:val="4"/>
        </w:numPr>
        <w:spacing w:line="360" w:lineRule="auto"/>
        <w:ind w:left="567" w:right="616" w:firstLine="0"/>
        <w:contextualSpacing/>
        <w:jc w:val="both"/>
        <w:rPr>
          <w:rFonts w:ascii="Palatino Linotype" w:eastAsia="Calibri" w:hAnsi="Palatino Linotype"/>
          <w:sz w:val="24"/>
          <w:szCs w:val="24"/>
        </w:rPr>
      </w:pPr>
      <w:r w:rsidRPr="00640238">
        <w:rPr>
          <w:rFonts w:ascii="Palatino Linotype" w:eastAsia="Calibri" w:hAnsi="Palatino Linotype"/>
          <w:b/>
          <w:sz w:val="24"/>
          <w:szCs w:val="24"/>
        </w:rPr>
        <w:t>La cesación de los efectos perniciosos del acto de autoridad:</w:t>
      </w:r>
      <w:r w:rsidRPr="00640238">
        <w:rPr>
          <w:rFonts w:ascii="Palatino Linotype" w:eastAsia="Calibri" w:hAnsi="Palatino Linotype"/>
          <w:sz w:val="24"/>
          <w:szCs w:val="24"/>
        </w:rPr>
        <w:t xml:space="preserve"> Al respecto, la Ley de Transparencia contempla la figura jurídica del sobreseimiento cuando el </w:t>
      </w:r>
      <w:r w:rsidRPr="00640238">
        <w:rPr>
          <w:rFonts w:ascii="Palatino Linotype" w:eastAsia="Calibri" w:hAnsi="Palatino Linotype"/>
          <w:b/>
          <w:sz w:val="24"/>
          <w:szCs w:val="24"/>
        </w:rPr>
        <w:t>SUJETO OBLIGADO</w:t>
      </w:r>
      <w:r w:rsidRPr="00640238">
        <w:rPr>
          <w:rFonts w:ascii="Palatino Linotype" w:eastAsia="Calibri" w:hAnsi="Palatino Linotype"/>
          <w:sz w:val="24"/>
          <w:szCs w:val="24"/>
        </w:rPr>
        <w:t xml:space="preserve"> de </w:t>
      </w:r>
      <w:r w:rsidRPr="00640238">
        <w:rPr>
          <w:rFonts w:ascii="Palatino Linotype" w:eastAsia="Calibri" w:hAnsi="Palatino Linotype"/>
          <w:i/>
          <w:sz w:val="24"/>
          <w:szCs w:val="24"/>
        </w:rPr>
        <w:t>motu proprio</w:t>
      </w:r>
      <w:r w:rsidRPr="00640238">
        <w:rPr>
          <w:rFonts w:ascii="Palatino Linotype" w:eastAsia="Calibri" w:hAnsi="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980FC7" w:rsidRPr="00640238" w:rsidRDefault="00980FC7" w:rsidP="00980FC7">
      <w:pPr>
        <w:numPr>
          <w:ilvl w:val="0"/>
          <w:numId w:val="4"/>
        </w:numPr>
        <w:spacing w:line="360" w:lineRule="auto"/>
        <w:ind w:left="567" w:right="616" w:firstLine="0"/>
        <w:contextualSpacing/>
        <w:jc w:val="both"/>
        <w:rPr>
          <w:rFonts w:ascii="Palatino Linotype" w:eastAsia="Calibri" w:hAnsi="Palatino Linotype"/>
          <w:sz w:val="24"/>
          <w:szCs w:val="24"/>
        </w:rPr>
      </w:pPr>
      <w:r w:rsidRPr="00640238">
        <w:rPr>
          <w:rFonts w:ascii="Palatino Linotype" w:eastAsia="Calibri" w:hAnsi="Palatino Linotype"/>
          <w:b/>
          <w:sz w:val="24"/>
          <w:szCs w:val="24"/>
        </w:rPr>
        <w:t>El momento procesal para modificar el acto impugnado:</w:t>
      </w:r>
      <w:r w:rsidRPr="00640238">
        <w:rPr>
          <w:rFonts w:ascii="Palatino Linotype" w:eastAsia="Calibri" w:hAnsi="Palatino Linotype"/>
          <w:sz w:val="24"/>
          <w:szCs w:val="24"/>
        </w:rPr>
        <w:t xml:space="preserve"> Para que se actualice el sobreseimiento de un recurso de revisión, el </w:t>
      </w:r>
      <w:r w:rsidRPr="00640238">
        <w:rPr>
          <w:rFonts w:ascii="Palatino Linotype" w:eastAsia="Calibri" w:hAnsi="Palatino Linotype"/>
          <w:b/>
          <w:sz w:val="24"/>
          <w:szCs w:val="24"/>
        </w:rPr>
        <w:t>SUJETO OBLIGADO</w:t>
      </w:r>
      <w:r w:rsidRPr="00640238">
        <w:rPr>
          <w:rFonts w:ascii="Palatino Linotype" w:eastAsia="Calibri" w:hAnsi="Palatino Linotype"/>
          <w:sz w:val="24"/>
          <w:szCs w:val="24"/>
        </w:rPr>
        <w:t xml:space="preserve"> puede entregar o completar la información al momento de rendir su informe de justificación o </w:t>
      </w:r>
      <w:r w:rsidRPr="00640238">
        <w:rPr>
          <w:rFonts w:ascii="Palatino Linotype" w:eastAsia="Calibri" w:hAnsi="Palatino Linotype"/>
          <w:b/>
          <w:sz w:val="24"/>
          <w:szCs w:val="24"/>
          <w:u w:val="single"/>
        </w:rPr>
        <w:t>posteriormente</w:t>
      </w:r>
      <w:r w:rsidRPr="00640238">
        <w:rPr>
          <w:rFonts w:ascii="Palatino Linotype" w:eastAsia="Calibri" w:hAnsi="Palatino Linotype"/>
          <w:sz w:val="24"/>
          <w:szCs w:val="24"/>
        </w:rPr>
        <w:t xml:space="preserve"> a éste, siempre y cuando el Pleno del Instituto no haya dictado resolución definitiva.</w:t>
      </w:r>
    </w:p>
    <w:p w:rsidR="00980FC7" w:rsidRPr="00640238" w:rsidRDefault="00980FC7" w:rsidP="00980FC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t xml:space="preserve">Eduardo Pallares, </w:t>
      </w:r>
      <w:r w:rsidRPr="00640238">
        <w:rPr>
          <w:rFonts w:ascii="Palatino Linotype" w:eastAsia="Calibri" w:hAnsi="Palatino Linotype"/>
          <w:sz w:val="24"/>
        </w:rPr>
        <w:t xml:space="preserve">en su artículo </w:t>
      </w:r>
      <w:r w:rsidRPr="00640238">
        <w:rPr>
          <w:rFonts w:ascii="Palatino Linotype" w:eastAsia="Calibri" w:hAnsi="Palatino Linotype"/>
          <w:i/>
          <w:sz w:val="24"/>
        </w:rPr>
        <w:t>“La caducidad y el sobreseimiento en el amparo”</w:t>
      </w:r>
      <w:r w:rsidRPr="00640238">
        <w:rPr>
          <w:rFonts w:ascii="Palatino Linotype" w:eastAsia="Calibri" w:hAnsi="Palatino Linotype"/>
          <w:sz w:val="24"/>
        </w:rPr>
        <w:t xml:space="preserve">, cita la definición de Aguilera Paz, aduciendo que se </w:t>
      </w:r>
      <w:r w:rsidRPr="00640238">
        <w:rPr>
          <w:rFonts w:ascii="Palatino Linotype" w:eastAsia="Calibri" w:hAnsi="Palatino Linotype"/>
          <w:i/>
          <w:sz w:val="24"/>
        </w:rPr>
        <w:t>“...entiende por sobreseimiento en el tecnicismo forense, el hecho de cesar en el procedimiento o curso de la causa, por no existir méritos bastantes para entrar en un juicio o para entablar la contienda judicial que debe ser objeto del mismo...”</w:t>
      </w:r>
      <w:r w:rsidRPr="00640238">
        <w:rPr>
          <w:rFonts w:ascii="Palatino Linotype" w:eastAsia="Calibri" w:hAnsi="Palatino Linotype"/>
          <w:sz w:val="24"/>
        </w:rPr>
        <w:t>. Asimismo, señala que existe el sobreseimiento provisional y el definitivo</w:t>
      </w:r>
      <w:r w:rsidRPr="00640238">
        <w:rPr>
          <w:rFonts w:ascii="Palatino Linotype" w:eastAsia="Calibri" w:hAnsi="Palatino Linotype"/>
          <w:i/>
          <w:sz w:val="24"/>
        </w:rPr>
        <w:t xml:space="preserve">: “...el definitivo es una verdadera sentencia que </w:t>
      </w:r>
      <w:r w:rsidRPr="00640238">
        <w:rPr>
          <w:rFonts w:ascii="Palatino Linotype" w:eastAsia="Calibri" w:hAnsi="Palatino Linotype"/>
          <w:i/>
          <w:sz w:val="24"/>
        </w:rPr>
        <w:lastRenderedPageBreak/>
        <w:t>pone fin al juicio, y que una vez dictada, produce cosa juzgada, mientras que el provisorio tiene por efectos suspender la prosecución de la causa...”</w:t>
      </w:r>
    </w:p>
    <w:p w:rsidR="00980FC7" w:rsidRPr="00640238" w:rsidRDefault="00980FC7" w:rsidP="00980FC7">
      <w:pPr>
        <w:pStyle w:val="Prrafodelista"/>
        <w:tabs>
          <w:tab w:val="left" w:pos="284"/>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t xml:space="preserve">Así, </w:t>
      </w:r>
      <w:r w:rsidRPr="00640238">
        <w:rPr>
          <w:rFonts w:ascii="Palatino Linotype" w:eastAsia="Calibri" w:hAnsi="Palatino Linotype"/>
          <w:sz w:val="24"/>
        </w:rPr>
        <w:t xml:space="preserve">para la doctrina el sobreseimiento provoca que un procedimiento se suspenda o se resuelva en definitiva </w:t>
      </w:r>
      <w:r w:rsidRPr="00640238">
        <w:rPr>
          <w:rFonts w:ascii="Palatino Linotype" w:eastAsia="Calibri" w:hAnsi="Palatino Linotype"/>
          <w:b/>
          <w:sz w:val="24"/>
          <w:u w:val="single"/>
        </w:rPr>
        <w:t xml:space="preserve">sin que se entre al estudio de los agravios o motivos de inconformidad. </w:t>
      </w:r>
      <w:r w:rsidRPr="00640238">
        <w:rPr>
          <w:rFonts w:ascii="Palatino Linotype" w:eastAsia="Calibri" w:hAnsi="Palatino Linotype"/>
          <w:sz w:val="24"/>
        </w:rPr>
        <w:t>Este mismo criterio es compartido por el más alto tribunal del país en múltiples jurisprudencias, por lo que a continuación se agrega una de ellas que sirve como orientador en esta resolución:</w:t>
      </w:r>
    </w:p>
    <w:p w:rsidR="00980FC7" w:rsidRPr="00640238" w:rsidRDefault="00980FC7" w:rsidP="00980FC7">
      <w:pPr>
        <w:spacing w:line="360" w:lineRule="auto"/>
        <w:ind w:left="851" w:right="822"/>
        <w:contextualSpacing/>
        <w:jc w:val="both"/>
        <w:rPr>
          <w:rFonts w:ascii="Palatino Linotype" w:eastAsia="Calibri" w:hAnsi="Palatino Linotype"/>
          <w:i/>
          <w:sz w:val="24"/>
          <w:szCs w:val="24"/>
          <w:lang w:val="es-AR"/>
        </w:rPr>
      </w:pPr>
      <w:r w:rsidRPr="00640238">
        <w:rPr>
          <w:rFonts w:ascii="Palatino Linotype" w:eastAsia="Calibri" w:hAnsi="Palatino Linotype"/>
          <w:b/>
          <w:i/>
          <w:sz w:val="24"/>
          <w:szCs w:val="24"/>
          <w:lang w:val="es-AR"/>
        </w:rPr>
        <w:t>SOBRESEIMIENTO EN EL JUICIO DE AMPARO DIRECTO. IMPIDE EL ESTUDIO DE LAS VIOLACIONES PROCESALES PLANTEADAS EN LOS CONCEPTOS DE VIOLACIÓN. El sobreseimiento</w:t>
      </w:r>
      <w:r w:rsidRPr="00640238">
        <w:rPr>
          <w:rFonts w:ascii="Palatino Linotype" w:eastAsia="Calibri" w:hAnsi="Palatino Linotype"/>
          <w:i/>
          <w:sz w:val="24"/>
          <w:szCs w:val="24"/>
          <w:lang w:val="es-AR"/>
        </w:rPr>
        <w:t xml:space="preserve"> en el juicio de amparo directo </w:t>
      </w:r>
      <w:r w:rsidRPr="00640238">
        <w:rPr>
          <w:rFonts w:ascii="Palatino Linotype" w:eastAsia="Calibri" w:hAnsi="Palatino Linotype"/>
          <w:b/>
          <w:i/>
          <w:sz w:val="24"/>
          <w:szCs w:val="24"/>
          <w:lang w:val="es-AR"/>
        </w:rPr>
        <w:t>provoca la terminación de la controversia planteada</w:t>
      </w:r>
      <w:r w:rsidRPr="00640238">
        <w:rPr>
          <w:rFonts w:ascii="Palatino Linotype" w:eastAsia="Calibri" w:hAnsi="Palatino Linotype"/>
          <w:i/>
          <w:sz w:val="24"/>
          <w:szCs w:val="24"/>
          <w:lang w:val="es-AR"/>
        </w:rPr>
        <w:t xml:space="preserve"> por el quejoso en la demanda de amparo</w:t>
      </w:r>
      <w:r w:rsidRPr="00640238">
        <w:rPr>
          <w:rFonts w:ascii="Palatino Linotype" w:eastAsia="Calibri" w:hAnsi="Palatino Linotype"/>
          <w:b/>
          <w:i/>
          <w:sz w:val="24"/>
          <w:szCs w:val="24"/>
          <w:lang w:val="es-AR"/>
        </w:rPr>
        <w:t>, sin hacer un pronunciamiento de fondo sobre la legalidad o ilegalidad de la sentencia reclamada</w:t>
      </w:r>
      <w:r w:rsidRPr="00640238">
        <w:rPr>
          <w:rFonts w:ascii="Palatino Linotype" w:eastAsia="Calibri" w:hAnsi="Palatino Linotype"/>
          <w:i/>
          <w:sz w:val="24"/>
          <w:szCs w:val="24"/>
          <w:lang w:val="es-AR"/>
        </w:rPr>
        <w:t xml:space="preserve">. </w:t>
      </w:r>
      <w:r w:rsidRPr="00640238">
        <w:rPr>
          <w:rFonts w:ascii="Palatino Linotype" w:eastAsia="Calibri" w:hAnsi="Palatino Linotype"/>
          <w:b/>
          <w:i/>
          <w:sz w:val="24"/>
          <w:szCs w:val="24"/>
          <w:lang w:val="es-AR"/>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640238">
        <w:rPr>
          <w:rFonts w:ascii="Palatino Linotype" w:eastAsia="Calibri" w:hAnsi="Palatino Linotype"/>
          <w:i/>
          <w:sz w:val="24"/>
          <w:szCs w:val="24"/>
          <w:lang w:val="es-AR"/>
        </w:rPr>
        <w:t>.</w:t>
      </w:r>
    </w:p>
    <w:p w:rsidR="00980FC7" w:rsidRPr="00640238" w:rsidRDefault="00980FC7" w:rsidP="00980FC7">
      <w:pPr>
        <w:spacing w:line="360" w:lineRule="auto"/>
        <w:ind w:left="851" w:right="822"/>
        <w:contextualSpacing/>
        <w:jc w:val="both"/>
        <w:rPr>
          <w:rFonts w:ascii="Palatino Linotype" w:eastAsia="Calibri" w:hAnsi="Palatino Linotype"/>
          <w:i/>
          <w:sz w:val="24"/>
          <w:szCs w:val="24"/>
          <w:lang w:val="es-AR"/>
        </w:rPr>
      </w:pPr>
      <w:r w:rsidRPr="00640238">
        <w:rPr>
          <w:rFonts w:ascii="Palatino Linotype" w:eastAsia="Calibri" w:hAnsi="Palatino Linotype"/>
          <w:i/>
          <w:sz w:val="24"/>
          <w:szCs w:val="24"/>
          <w:lang w:val="es-AR"/>
        </w:rPr>
        <w:t>SÉPTIMO TRIBUNAL COLEGIADO EN MATERIA CIVIL DEL PRIMER CIRCUITO.</w:t>
      </w:r>
    </w:p>
    <w:p w:rsidR="00980FC7" w:rsidRPr="00640238" w:rsidRDefault="00980FC7" w:rsidP="00980FC7">
      <w:pPr>
        <w:spacing w:line="360" w:lineRule="auto"/>
        <w:ind w:left="851" w:right="822"/>
        <w:contextualSpacing/>
        <w:jc w:val="both"/>
        <w:rPr>
          <w:rFonts w:ascii="Palatino Linotype" w:eastAsia="Calibri" w:hAnsi="Palatino Linotype"/>
          <w:b/>
          <w:i/>
          <w:sz w:val="24"/>
          <w:szCs w:val="24"/>
          <w:lang w:val="es-AR"/>
        </w:rPr>
      </w:pPr>
      <w:r w:rsidRPr="00640238">
        <w:rPr>
          <w:rFonts w:ascii="Palatino Linotype" w:eastAsia="Calibri" w:hAnsi="Palatino Linotype"/>
          <w:i/>
          <w:sz w:val="24"/>
          <w:szCs w:val="24"/>
          <w:lang w:val="es-AR"/>
        </w:rPr>
        <w:t>Amparo directo 699/2008. Mariana Leticia González Steele. 13 de noviembre de 2008. Unanimidad de votos. Ponente: Sara Judith Montalvo Trejo. Secretario: Arnulfo Mateos García.</w:t>
      </w:r>
    </w:p>
    <w:p w:rsidR="00980FC7" w:rsidRPr="00640238" w:rsidRDefault="00980FC7" w:rsidP="00980FC7">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cs="Arial"/>
          <w:color w:val="000000" w:themeColor="text1"/>
          <w:sz w:val="24"/>
          <w:lang w:val="es-ES"/>
        </w:rPr>
        <w:lastRenderedPageBreak/>
        <w:t xml:space="preserve">Consecuentemente, </w:t>
      </w:r>
      <w:r w:rsidRPr="00640238">
        <w:rPr>
          <w:rFonts w:ascii="Palatino Linotype" w:eastAsia="Calibri" w:hAnsi="Palatino Linotype"/>
          <w:sz w:val="24"/>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980FC7" w:rsidRPr="00640238" w:rsidRDefault="00980FC7" w:rsidP="00980FC7">
      <w:pPr>
        <w:pStyle w:val="Prrafodelista"/>
        <w:tabs>
          <w:tab w:val="left" w:pos="284"/>
        </w:tabs>
        <w:spacing w:line="360" w:lineRule="auto"/>
        <w:ind w:left="0"/>
        <w:jc w:val="both"/>
        <w:rPr>
          <w:rFonts w:ascii="Palatino Linotype" w:eastAsia="Calibri" w:hAnsi="Palatino Linotype" w:cs="Arial"/>
          <w:color w:val="000000" w:themeColor="text1"/>
          <w:sz w:val="24"/>
          <w:lang w:val="es-ES"/>
        </w:rPr>
      </w:pPr>
    </w:p>
    <w:p w:rsidR="00980FC7" w:rsidRPr="00640238" w:rsidRDefault="00980FC7" w:rsidP="00980FC7">
      <w:pPr>
        <w:pStyle w:val="Prrafodelista"/>
        <w:numPr>
          <w:ilvl w:val="0"/>
          <w:numId w:val="1"/>
        </w:numPr>
        <w:tabs>
          <w:tab w:val="left" w:pos="284"/>
        </w:tabs>
        <w:spacing w:line="360" w:lineRule="auto"/>
        <w:ind w:left="0" w:firstLine="0"/>
        <w:jc w:val="both"/>
        <w:rPr>
          <w:rFonts w:ascii="Palatino Linotype" w:eastAsia="Calibri" w:hAnsi="Palatino Linotype" w:cs="Arial"/>
          <w:color w:val="000000" w:themeColor="text1"/>
          <w:sz w:val="24"/>
          <w:lang w:val="es-ES"/>
        </w:rPr>
      </w:pPr>
      <w:r w:rsidRPr="00640238">
        <w:rPr>
          <w:rFonts w:ascii="Palatino Linotype" w:eastAsia="Calibri" w:hAnsi="Palatino Linotype"/>
          <w:sz w:val="24"/>
        </w:rPr>
        <w:t xml:space="preserve">Bajo </w:t>
      </w:r>
      <w:r w:rsidRPr="00640238">
        <w:rPr>
          <w:rFonts w:ascii="Palatino Linotype" w:eastAsia="Calibri" w:hAnsi="Palatino Linotype"/>
          <w:sz w:val="24"/>
          <w:lang w:val="es-CO"/>
        </w:rPr>
        <w:t xml:space="preserve">ese tenor y en términos del artículo 186 fracción I este Pleno determina el </w:t>
      </w:r>
      <w:r w:rsidRPr="00640238">
        <w:rPr>
          <w:rFonts w:ascii="Palatino Linotype" w:eastAsia="Calibri" w:hAnsi="Palatino Linotype"/>
          <w:b/>
          <w:sz w:val="24"/>
          <w:lang w:val="es-CO"/>
        </w:rPr>
        <w:t xml:space="preserve">SOBRESEIMIENTO </w:t>
      </w:r>
      <w:r w:rsidRPr="00640238">
        <w:rPr>
          <w:rFonts w:ascii="Palatino Linotype" w:eastAsia="Calibri" w:hAnsi="Palatino Linotype"/>
          <w:sz w:val="24"/>
          <w:lang w:val="es-CO"/>
        </w:rPr>
        <w:t xml:space="preserve">del recurso de revisión </w:t>
      </w:r>
      <w:r w:rsidR="004F0F39" w:rsidRPr="00640238">
        <w:rPr>
          <w:rFonts w:ascii="Palatino Linotype" w:hAnsi="Palatino Linotype" w:cs="Arial"/>
          <w:b/>
          <w:bCs/>
          <w:sz w:val="24"/>
        </w:rPr>
        <w:t>03858</w:t>
      </w:r>
      <w:r w:rsidRPr="00640238">
        <w:rPr>
          <w:rFonts w:ascii="Palatino Linotype" w:hAnsi="Palatino Linotype" w:cs="Arial"/>
          <w:b/>
          <w:bCs/>
          <w:sz w:val="24"/>
        </w:rPr>
        <w:t>/INFOEM</w:t>
      </w:r>
      <w:r w:rsidR="004F0F39" w:rsidRPr="00640238">
        <w:rPr>
          <w:rFonts w:ascii="Palatino Linotype" w:hAnsi="Palatino Linotype" w:cs="Arial"/>
          <w:b/>
          <w:bCs/>
          <w:sz w:val="24"/>
        </w:rPr>
        <w:t>/IP/RR/2026</w:t>
      </w:r>
      <w:r w:rsidRPr="00640238">
        <w:rPr>
          <w:rFonts w:ascii="Palatino Linotype" w:eastAsia="Calibri" w:hAnsi="Palatino Linotype"/>
          <w:sz w:val="24"/>
          <w:lang w:val="es-CO"/>
        </w:rPr>
        <w:t>, toda vez que la afectación al derecho de acceso a la información pública establecido constitucionalmente a favor del Particular ha sido resarcida.</w:t>
      </w:r>
    </w:p>
    <w:p w:rsidR="00980FC7" w:rsidRPr="00640238" w:rsidRDefault="00980FC7" w:rsidP="00980FC7">
      <w:pPr>
        <w:pStyle w:val="Prrafodelista"/>
        <w:shd w:val="clear" w:color="auto" w:fill="FFFFFF"/>
        <w:tabs>
          <w:tab w:val="left" w:pos="284"/>
        </w:tabs>
        <w:spacing w:line="360" w:lineRule="auto"/>
        <w:ind w:left="0"/>
        <w:jc w:val="both"/>
        <w:rPr>
          <w:rFonts w:ascii="Palatino Linotype" w:hAnsi="Palatino Linotype" w:cs="Arial"/>
          <w:sz w:val="24"/>
        </w:rPr>
      </w:pPr>
    </w:p>
    <w:p w:rsidR="00980FC7" w:rsidRPr="00640238" w:rsidRDefault="00980FC7" w:rsidP="00980FC7">
      <w:pPr>
        <w:pStyle w:val="Sinespaciado"/>
        <w:numPr>
          <w:ilvl w:val="0"/>
          <w:numId w:val="1"/>
        </w:numPr>
        <w:tabs>
          <w:tab w:val="left" w:pos="284"/>
        </w:tabs>
        <w:spacing w:line="360" w:lineRule="auto"/>
        <w:ind w:left="0" w:firstLine="0"/>
        <w:contextualSpacing/>
        <w:jc w:val="both"/>
        <w:rPr>
          <w:rFonts w:ascii="Palatino Linotype" w:eastAsia="Calibri" w:hAnsi="Palatino Linotype"/>
        </w:rPr>
      </w:pPr>
      <w:r w:rsidRPr="00640238">
        <w:rPr>
          <w:rFonts w:ascii="Palatino Linotype" w:eastAsia="Calibri" w:hAnsi="Palatino Linotype"/>
        </w:rPr>
        <w:t xml:space="preserve">Por lo anteriormente expuesto y fundado, este </w:t>
      </w:r>
      <w:r w:rsidRPr="00640238">
        <w:rPr>
          <w:rFonts w:ascii="Palatino Linotype" w:eastAsia="Calibri" w:hAnsi="Palatino Linotype"/>
          <w:b/>
          <w:bCs/>
        </w:rPr>
        <w:t>ÓRGANO GARANTE</w:t>
      </w:r>
      <w:r w:rsidRPr="00640238">
        <w:rPr>
          <w:rFonts w:ascii="Palatino Linotype" w:eastAsia="Calibri" w:hAnsi="Palatino Linotype"/>
        </w:rPr>
        <w:t xml:space="preserve"> emite los siguientes:</w:t>
      </w:r>
    </w:p>
    <w:p w:rsidR="00980FC7" w:rsidRPr="00640238" w:rsidRDefault="00980FC7" w:rsidP="00980FC7">
      <w:pPr>
        <w:pStyle w:val="Sinespaciado"/>
        <w:tabs>
          <w:tab w:val="left" w:pos="284"/>
        </w:tabs>
        <w:spacing w:line="360" w:lineRule="auto"/>
        <w:contextualSpacing/>
        <w:jc w:val="both"/>
        <w:rPr>
          <w:rFonts w:ascii="Palatino Linotype" w:eastAsia="Calibri" w:hAnsi="Palatino Linotype"/>
        </w:rPr>
      </w:pPr>
    </w:p>
    <w:p w:rsidR="00980FC7" w:rsidRPr="00640238" w:rsidRDefault="00980FC7" w:rsidP="00980FC7">
      <w:pPr>
        <w:spacing w:line="360" w:lineRule="auto"/>
        <w:jc w:val="center"/>
        <w:rPr>
          <w:rFonts w:ascii="Palatino Linotype" w:hAnsi="Palatino Linotype"/>
          <w:b/>
          <w:sz w:val="24"/>
          <w:szCs w:val="24"/>
          <w:lang w:val="es-ES"/>
        </w:rPr>
      </w:pPr>
      <w:r w:rsidRPr="00640238">
        <w:rPr>
          <w:rFonts w:ascii="Palatino Linotype" w:hAnsi="Palatino Linotype"/>
          <w:b/>
          <w:sz w:val="24"/>
          <w:szCs w:val="24"/>
          <w:lang w:val="es-ES"/>
        </w:rPr>
        <w:t>R E S O L U T I V O S</w:t>
      </w:r>
    </w:p>
    <w:p w:rsidR="00980FC7" w:rsidRPr="00640238" w:rsidRDefault="00980FC7" w:rsidP="00980FC7">
      <w:pPr>
        <w:pStyle w:val="Sinespaciado"/>
        <w:spacing w:line="360" w:lineRule="auto"/>
        <w:jc w:val="both"/>
        <w:rPr>
          <w:rFonts w:ascii="Palatino Linotype" w:hAnsi="Palatino Linotype"/>
        </w:rPr>
      </w:pPr>
    </w:p>
    <w:p w:rsidR="00980FC7" w:rsidRPr="00640238" w:rsidRDefault="00980FC7" w:rsidP="00980FC7">
      <w:pPr>
        <w:spacing w:line="360" w:lineRule="auto"/>
        <w:jc w:val="both"/>
        <w:rPr>
          <w:rFonts w:ascii="Palatino Linotype" w:eastAsiaTheme="minorHAnsi" w:hAnsi="Palatino Linotype" w:cstheme="minorBidi"/>
          <w:sz w:val="24"/>
          <w:szCs w:val="24"/>
          <w:lang w:eastAsia="en-US"/>
        </w:rPr>
      </w:pPr>
      <w:r w:rsidRPr="00640238">
        <w:rPr>
          <w:rFonts w:ascii="Palatino Linotype" w:eastAsiaTheme="minorHAnsi" w:hAnsi="Palatino Linotype" w:cstheme="minorBidi"/>
          <w:b/>
          <w:sz w:val="24"/>
          <w:szCs w:val="24"/>
          <w:lang w:eastAsia="en-US"/>
        </w:rPr>
        <w:t xml:space="preserve">PRIMERO. </w:t>
      </w:r>
      <w:r w:rsidRPr="00640238">
        <w:rPr>
          <w:rFonts w:ascii="Palatino Linotype" w:eastAsia="MS Mincho" w:hAnsi="Palatino Linotype"/>
          <w:sz w:val="24"/>
          <w:szCs w:val="24"/>
          <w:lang w:val="es-ES_tradnl"/>
        </w:rPr>
        <w:t xml:space="preserve">Se </w:t>
      </w:r>
      <w:r w:rsidRPr="00640238">
        <w:rPr>
          <w:rFonts w:ascii="Palatino Linotype" w:eastAsia="MS Mincho" w:hAnsi="Palatino Linotype"/>
          <w:b/>
          <w:sz w:val="24"/>
          <w:szCs w:val="24"/>
          <w:lang w:val="es-ES_tradnl"/>
        </w:rPr>
        <w:t>SOBRESEE</w:t>
      </w:r>
      <w:r w:rsidRPr="00640238">
        <w:rPr>
          <w:rFonts w:ascii="Palatino Linotype" w:eastAsia="MS Mincho" w:hAnsi="Palatino Linotype"/>
          <w:sz w:val="24"/>
          <w:szCs w:val="24"/>
          <w:lang w:val="es-ES_tradnl"/>
        </w:rPr>
        <w:t xml:space="preserve"> el recurso de revisión número </w:t>
      </w:r>
      <w:r w:rsidR="004F0F39" w:rsidRPr="00640238">
        <w:rPr>
          <w:rFonts w:ascii="Palatino Linotype" w:eastAsia="MS Mincho" w:hAnsi="Palatino Linotype"/>
          <w:b/>
          <w:sz w:val="24"/>
          <w:szCs w:val="24"/>
          <w:lang w:val="es-ES_tradnl"/>
        </w:rPr>
        <w:t>03858/INFOEM/IP/RR/2026</w:t>
      </w:r>
      <w:r w:rsidRPr="00640238">
        <w:rPr>
          <w:rFonts w:ascii="Palatino Linotype" w:eastAsia="MS Mincho" w:hAnsi="Palatino Linotype"/>
          <w:b/>
          <w:sz w:val="24"/>
          <w:szCs w:val="24"/>
          <w:lang w:val="es-ES_tradnl"/>
        </w:rPr>
        <w:t xml:space="preserve"> </w:t>
      </w:r>
      <w:r w:rsidRPr="00640238">
        <w:rPr>
          <w:rFonts w:ascii="Palatino Linotype" w:eastAsia="MS Mincho" w:hAnsi="Palatino Linotype"/>
          <w:bCs/>
          <w:sz w:val="24"/>
          <w:szCs w:val="24"/>
          <w:lang w:val="es-ES_tradnl"/>
        </w:rPr>
        <w:t>conforme al artículo 192</w:t>
      </w:r>
      <w:r w:rsidR="00B950C5" w:rsidRPr="00640238">
        <w:rPr>
          <w:rFonts w:ascii="Palatino Linotype" w:eastAsia="MS Mincho" w:hAnsi="Palatino Linotype"/>
          <w:bCs/>
          <w:sz w:val="24"/>
          <w:szCs w:val="24"/>
          <w:lang w:val="es-ES_tradnl"/>
        </w:rPr>
        <w:t>,</w:t>
      </w:r>
      <w:r w:rsidRPr="00640238">
        <w:rPr>
          <w:rFonts w:ascii="Palatino Linotype" w:eastAsia="MS Mincho" w:hAnsi="Palatino Linotype"/>
          <w:bCs/>
          <w:sz w:val="24"/>
          <w:szCs w:val="24"/>
          <w:lang w:val="es-ES_tradnl"/>
        </w:rPr>
        <w:t xml:space="preserve"> fracción III</w:t>
      </w:r>
      <w:r w:rsidR="00B950C5" w:rsidRPr="00640238">
        <w:rPr>
          <w:rFonts w:ascii="Palatino Linotype" w:eastAsia="MS Mincho" w:hAnsi="Palatino Linotype"/>
          <w:bCs/>
          <w:sz w:val="24"/>
          <w:szCs w:val="24"/>
          <w:lang w:val="es-ES_tradnl"/>
        </w:rPr>
        <w:t>,</w:t>
      </w:r>
      <w:r w:rsidRPr="00640238">
        <w:rPr>
          <w:rFonts w:ascii="Palatino Linotype" w:eastAsia="MS Mincho" w:hAnsi="Palatino Linotype"/>
          <w:bCs/>
          <w:sz w:val="24"/>
          <w:szCs w:val="24"/>
          <w:lang w:val="es-ES_tradnl"/>
        </w:rPr>
        <w:t xml:space="preserve"> de la Ley de Transparencia y Acceso a la Información Pública del Estado de México y Municipios,</w:t>
      </w:r>
      <w:r w:rsidRPr="00640238">
        <w:rPr>
          <w:rFonts w:ascii="Palatino Linotype" w:eastAsia="MS Mincho" w:hAnsi="Palatino Linotype"/>
          <w:sz w:val="24"/>
          <w:szCs w:val="24"/>
          <w:lang w:val="es-ES_tradnl"/>
        </w:rPr>
        <w:t xml:space="preserve"> porque al </w:t>
      </w:r>
      <w:r w:rsidRPr="00640238">
        <w:rPr>
          <w:rFonts w:ascii="Palatino Linotype" w:eastAsia="MS Mincho" w:hAnsi="Palatino Linotype"/>
          <w:b/>
          <w:bCs/>
          <w:sz w:val="24"/>
          <w:szCs w:val="24"/>
          <w:lang w:val="es-ES_tradnl"/>
        </w:rPr>
        <w:t>modificar la respuesta a través del informe justificado y atender lo solicitado</w:t>
      </w:r>
      <w:r w:rsidRPr="00640238">
        <w:rPr>
          <w:rFonts w:ascii="Palatino Linotype" w:eastAsia="MS Mincho" w:hAnsi="Palatino Linotype"/>
          <w:sz w:val="24"/>
          <w:szCs w:val="24"/>
          <w:lang w:val="es-ES_tradnl"/>
        </w:rPr>
        <w:t xml:space="preserve">, el recurso de revisión quedó sin materia en términos del Considerando </w:t>
      </w:r>
      <w:r w:rsidRPr="00640238">
        <w:rPr>
          <w:rFonts w:ascii="Palatino Linotype" w:eastAsia="MS Mincho" w:hAnsi="Palatino Linotype"/>
          <w:b/>
          <w:sz w:val="24"/>
          <w:szCs w:val="24"/>
          <w:lang w:val="es-ES_tradnl"/>
        </w:rPr>
        <w:t>TERCERO</w:t>
      </w:r>
      <w:r w:rsidRPr="00640238">
        <w:rPr>
          <w:rFonts w:ascii="Palatino Linotype" w:eastAsia="MS Mincho" w:hAnsi="Palatino Linotype"/>
          <w:sz w:val="24"/>
          <w:szCs w:val="24"/>
          <w:lang w:val="es-ES_tradnl"/>
        </w:rPr>
        <w:t xml:space="preserve"> de la presente resolución.</w:t>
      </w:r>
    </w:p>
    <w:p w:rsidR="00980FC7" w:rsidRPr="00640238" w:rsidRDefault="00980FC7" w:rsidP="00980FC7">
      <w:pPr>
        <w:spacing w:line="360" w:lineRule="auto"/>
        <w:jc w:val="both"/>
        <w:rPr>
          <w:rFonts w:ascii="Palatino Linotype" w:eastAsiaTheme="minorHAnsi" w:hAnsi="Palatino Linotype" w:cstheme="minorBidi"/>
          <w:sz w:val="24"/>
          <w:szCs w:val="24"/>
          <w:lang w:eastAsia="en-US"/>
        </w:rPr>
      </w:pPr>
    </w:p>
    <w:p w:rsidR="00980FC7" w:rsidRPr="00640238" w:rsidRDefault="00B950C5" w:rsidP="00980FC7">
      <w:pPr>
        <w:spacing w:line="360" w:lineRule="auto"/>
        <w:jc w:val="both"/>
        <w:rPr>
          <w:rFonts w:ascii="Palatino Linotype" w:eastAsia="Calibri" w:hAnsi="Palatino Linotype" w:cs="Arial"/>
          <w:b/>
          <w:bCs/>
          <w:sz w:val="24"/>
          <w:szCs w:val="24"/>
          <w:lang w:val="es-ES" w:eastAsia="en-US"/>
        </w:rPr>
      </w:pPr>
      <w:r w:rsidRPr="00640238">
        <w:rPr>
          <w:rFonts w:ascii="Palatino Linotype" w:eastAsia="Calibri" w:hAnsi="Palatino Linotype" w:cs="Arial"/>
          <w:b/>
          <w:bCs/>
          <w:sz w:val="24"/>
          <w:szCs w:val="24"/>
          <w:lang w:val="es-ES" w:eastAsia="en-US"/>
        </w:rPr>
        <w:lastRenderedPageBreak/>
        <w:t>SEGUNDO. Notifíquese</w:t>
      </w:r>
      <w:r w:rsidR="00980FC7" w:rsidRPr="00640238">
        <w:rPr>
          <w:rFonts w:ascii="Palatino Linotype" w:eastAsia="Calibri" w:hAnsi="Palatino Linotype" w:cs="Arial"/>
          <w:b/>
          <w:bCs/>
          <w:sz w:val="24"/>
          <w:szCs w:val="24"/>
          <w:lang w:val="es-ES" w:eastAsia="en-US"/>
        </w:rPr>
        <w:t xml:space="preserve"> </w:t>
      </w:r>
      <w:r w:rsidR="00980FC7" w:rsidRPr="00640238">
        <w:rPr>
          <w:rFonts w:ascii="Palatino Linotype" w:eastAsia="Calibri" w:hAnsi="Palatino Linotype" w:cs="Arial"/>
          <w:bCs/>
          <w:sz w:val="24"/>
          <w:szCs w:val="24"/>
          <w:lang w:val="es-ES" w:eastAsia="en-US"/>
        </w:rPr>
        <w:t xml:space="preserve">a través del Sistema de Acceso a la Información Mexiquense </w:t>
      </w:r>
      <w:r w:rsidR="00980FC7" w:rsidRPr="00640238">
        <w:rPr>
          <w:rFonts w:ascii="Palatino Linotype" w:eastAsia="Calibri" w:hAnsi="Palatino Linotype" w:cs="Arial"/>
          <w:b/>
          <w:bCs/>
          <w:sz w:val="24"/>
          <w:szCs w:val="24"/>
          <w:lang w:val="es-ES" w:eastAsia="en-US"/>
        </w:rPr>
        <w:t xml:space="preserve">(SAIMEX) </w:t>
      </w:r>
      <w:r w:rsidR="00980FC7" w:rsidRPr="00640238">
        <w:rPr>
          <w:rFonts w:ascii="Palatino Linotype" w:eastAsia="Calibri" w:hAnsi="Palatino Linotype" w:cs="Arial"/>
          <w:bCs/>
          <w:sz w:val="24"/>
          <w:szCs w:val="24"/>
          <w:lang w:val="es-ES" w:eastAsia="en-US"/>
        </w:rPr>
        <w:t>la presente resolución al Titular de la Unidad de Transparencia del</w:t>
      </w:r>
      <w:r w:rsidR="00980FC7" w:rsidRPr="00640238">
        <w:rPr>
          <w:rFonts w:ascii="Palatino Linotype" w:eastAsia="Calibri" w:hAnsi="Palatino Linotype" w:cs="Arial"/>
          <w:b/>
          <w:bCs/>
          <w:sz w:val="24"/>
          <w:szCs w:val="24"/>
          <w:lang w:val="es-ES" w:eastAsia="en-US"/>
        </w:rPr>
        <w:t xml:space="preserve"> SUJETO OBLIGADO. </w:t>
      </w:r>
    </w:p>
    <w:p w:rsidR="00980FC7" w:rsidRPr="00640238" w:rsidRDefault="00980FC7" w:rsidP="00980FC7">
      <w:pPr>
        <w:tabs>
          <w:tab w:val="left" w:pos="3263"/>
        </w:tabs>
        <w:spacing w:line="360" w:lineRule="auto"/>
        <w:jc w:val="both"/>
        <w:rPr>
          <w:rFonts w:ascii="Palatino Linotype" w:eastAsia="Palatino Linotype" w:hAnsi="Palatino Linotype" w:cs="Palatino Linotype"/>
          <w:b/>
          <w:sz w:val="24"/>
          <w:szCs w:val="24"/>
          <w:lang w:eastAsia="en-US"/>
        </w:rPr>
      </w:pPr>
      <w:r w:rsidRPr="00640238">
        <w:rPr>
          <w:rFonts w:ascii="Palatino Linotype" w:eastAsia="Palatino Linotype" w:hAnsi="Palatino Linotype" w:cs="Palatino Linotype"/>
          <w:b/>
          <w:sz w:val="24"/>
          <w:szCs w:val="24"/>
          <w:lang w:eastAsia="en-US"/>
        </w:rPr>
        <w:tab/>
      </w:r>
    </w:p>
    <w:p w:rsidR="00980FC7" w:rsidRPr="00640238" w:rsidRDefault="00980FC7" w:rsidP="00980FC7">
      <w:pPr>
        <w:spacing w:line="360" w:lineRule="auto"/>
        <w:jc w:val="both"/>
        <w:rPr>
          <w:rFonts w:ascii="Palatino Linotype" w:hAnsi="Palatino Linotype"/>
          <w:color w:val="222222"/>
          <w:sz w:val="24"/>
          <w:szCs w:val="24"/>
          <w:lang w:val="es-ES"/>
        </w:rPr>
      </w:pPr>
      <w:r w:rsidRPr="00640238">
        <w:rPr>
          <w:rFonts w:ascii="Palatino Linotype" w:hAnsi="Palatino Linotype" w:cs="Arial"/>
          <w:b/>
          <w:sz w:val="24"/>
          <w:szCs w:val="24"/>
          <w:lang w:eastAsia="en-US"/>
        </w:rPr>
        <w:t xml:space="preserve">TERCERO. </w:t>
      </w:r>
      <w:r w:rsidRPr="00640238">
        <w:rPr>
          <w:rFonts w:ascii="Palatino Linotype" w:hAnsi="Palatino Linotype"/>
          <w:b/>
          <w:bCs/>
          <w:sz w:val="24"/>
          <w:szCs w:val="24"/>
          <w:lang w:val="es-ES" w:eastAsia="en-US"/>
        </w:rPr>
        <w:t xml:space="preserve">Notifíquese </w:t>
      </w:r>
      <w:r w:rsidRPr="00640238">
        <w:rPr>
          <w:rFonts w:ascii="Palatino Linotype" w:hAnsi="Palatino Linotype"/>
          <w:bCs/>
          <w:sz w:val="24"/>
          <w:szCs w:val="24"/>
          <w:lang w:val="es-ES" w:eastAsia="en-US"/>
        </w:rPr>
        <w:t xml:space="preserve">al </w:t>
      </w:r>
      <w:r w:rsidRPr="00640238">
        <w:rPr>
          <w:rFonts w:ascii="Palatino Linotype" w:hAnsi="Palatino Linotype"/>
          <w:b/>
          <w:bCs/>
          <w:sz w:val="24"/>
          <w:szCs w:val="24"/>
          <w:lang w:val="es-ES" w:eastAsia="en-US"/>
        </w:rPr>
        <w:t>RECURRENTE</w:t>
      </w:r>
      <w:r w:rsidRPr="00640238">
        <w:rPr>
          <w:rFonts w:ascii="Palatino Linotype" w:eastAsiaTheme="minorHAnsi" w:hAnsi="Palatino Linotype" w:cstheme="minorBidi"/>
          <w:sz w:val="24"/>
          <w:szCs w:val="24"/>
          <w:lang w:eastAsia="en-US"/>
        </w:rPr>
        <w:t xml:space="preserve"> </w:t>
      </w:r>
      <w:r w:rsidRPr="00640238">
        <w:rPr>
          <w:rFonts w:ascii="Palatino Linotype" w:hAnsi="Palatino Linotype"/>
          <w:sz w:val="24"/>
          <w:szCs w:val="24"/>
          <w:lang w:val="es-ES"/>
        </w:rPr>
        <w:t>la presente resolución vía SAIMEX.</w:t>
      </w:r>
    </w:p>
    <w:p w:rsidR="00980FC7" w:rsidRPr="00640238" w:rsidRDefault="00980FC7" w:rsidP="00980FC7">
      <w:pPr>
        <w:spacing w:line="360" w:lineRule="auto"/>
        <w:jc w:val="both"/>
        <w:rPr>
          <w:rFonts w:ascii="Palatino Linotype" w:hAnsi="Palatino Linotype"/>
          <w:color w:val="222222"/>
          <w:sz w:val="24"/>
          <w:szCs w:val="24"/>
          <w:lang w:val="es-ES"/>
        </w:rPr>
      </w:pPr>
    </w:p>
    <w:p w:rsidR="00980FC7" w:rsidRPr="00640238" w:rsidRDefault="00980FC7" w:rsidP="00980FC7">
      <w:pPr>
        <w:spacing w:line="360" w:lineRule="auto"/>
        <w:jc w:val="both"/>
        <w:rPr>
          <w:rFonts w:ascii="Palatino Linotype" w:eastAsia="MS Mincho" w:hAnsi="Palatino Linotype"/>
          <w:sz w:val="24"/>
          <w:szCs w:val="24"/>
          <w:lang w:val="es-ES"/>
        </w:rPr>
      </w:pPr>
      <w:r w:rsidRPr="00640238">
        <w:rPr>
          <w:rFonts w:ascii="Palatino Linotype" w:eastAsia="MS Mincho" w:hAnsi="Palatino Linotype"/>
          <w:b/>
          <w:sz w:val="24"/>
          <w:szCs w:val="24"/>
        </w:rPr>
        <w:t>CUARTO.</w:t>
      </w:r>
      <w:r w:rsidRPr="00640238">
        <w:rPr>
          <w:rFonts w:ascii="Palatino Linotype" w:eastAsia="MS Mincho" w:hAnsi="Palatino Linotype"/>
          <w:sz w:val="24"/>
          <w:szCs w:val="24"/>
        </w:rPr>
        <w:t xml:space="preserve"> </w:t>
      </w:r>
      <w:r w:rsidRPr="00640238">
        <w:rPr>
          <w:rFonts w:ascii="Palatino Linotype" w:eastAsia="MS Mincho" w:hAnsi="Palatino Linotype"/>
          <w:sz w:val="24"/>
          <w:szCs w:val="24"/>
          <w:lang w:val="es-ES"/>
        </w:rPr>
        <w:t xml:space="preserve">Se hace del conocimiento del </w:t>
      </w:r>
      <w:r w:rsidRPr="00640238">
        <w:rPr>
          <w:rFonts w:ascii="Palatino Linotype" w:hAnsi="Palatino Linotype"/>
          <w:b/>
          <w:bCs/>
          <w:sz w:val="24"/>
          <w:szCs w:val="24"/>
          <w:lang w:val="es-ES"/>
        </w:rPr>
        <w:t>RECURRENTE</w:t>
      </w:r>
      <w:r w:rsidRPr="00640238">
        <w:rPr>
          <w:rFonts w:ascii="Palatino Linotype" w:eastAsiaTheme="minorEastAsia" w:hAnsi="Palatino Linotype" w:cstheme="minorBidi"/>
          <w:sz w:val="24"/>
          <w:szCs w:val="24"/>
          <w:lang w:val="es-ES_tradnl"/>
        </w:rPr>
        <w:t xml:space="preserve"> que</w:t>
      </w:r>
      <w:r w:rsidRPr="00640238">
        <w:rPr>
          <w:rFonts w:ascii="Palatino Linotype" w:eastAsia="MS Mincho" w:hAnsi="Palatino Linotype"/>
          <w:sz w:val="24"/>
          <w:szCs w:val="24"/>
          <w:lang w:val="es-ES"/>
        </w:rPr>
        <w:t>, de conformidad con lo establecido en el artículo 196 de la Ley de Transparencia y Acceso a la Información Pública del Estado de México y Municipios, en caso de que considere que la resolución le cause algún perjuicio podrá impugnarla </w:t>
      </w:r>
      <w:r w:rsidRPr="00640238">
        <w:rPr>
          <w:rFonts w:ascii="Palatino Linotype" w:eastAsia="MS Mincho" w:hAnsi="Palatino Linotype"/>
          <w:bCs/>
          <w:sz w:val="24"/>
          <w:szCs w:val="24"/>
          <w:lang w:val="es-ES"/>
        </w:rPr>
        <w:t>vía juicio de amparo</w:t>
      </w:r>
      <w:r w:rsidRPr="00640238">
        <w:rPr>
          <w:rFonts w:ascii="Palatino Linotype" w:eastAsia="MS Mincho" w:hAnsi="Palatino Linotype"/>
          <w:sz w:val="24"/>
          <w:szCs w:val="24"/>
          <w:lang w:val="es-ES"/>
        </w:rPr>
        <w:t> en los términos de las leyes aplicables.</w:t>
      </w:r>
    </w:p>
    <w:p w:rsidR="00980FC7" w:rsidRPr="00640238" w:rsidRDefault="00980FC7" w:rsidP="00980FC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B950C5" w:rsidRPr="00640238" w:rsidRDefault="00B950C5" w:rsidP="00B950C5">
      <w:pPr>
        <w:spacing w:before="240" w:after="240" w:line="360" w:lineRule="auto"/>
        <w:ind w:firstLine="1"/>
        <w:jc w:val="both"/>
        <w:rPr>
          <w:rFonts w:ascii="Palatino Linotype" w:hAnsi="Palatino Linotype"/>
          <w:sz w:val="24"/>
          <w:szCs w:val="24"/>
        </w:rPr>
      </w:pPr>
      <w:bookmarkStart w:id="7" w:name="_Hlk99014733"/>
      <w:r w:rsidRPr="0064023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640238">
        <w:rPr>
          <w:rFonts w:ascii="Palatino Linotype" w:hAnsi="Palatino Linotype" w:cs="Palatino Linotype"/>
          <w:color w:val="000000" w:themeColor="text1"/>
          <w:sz w:val="24"/>
          <w:szCs w:val="24"/>
        </w:rPr>
        <w:t>ALEXIS TAPIA RAMÍREZ.</w:t>
      </w:r>
    </w:p>
    <w:bookmarkEnd w:id="7"/>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spacing w:before="240" w:after="360" w:line="360" w:lineRule="auto"/>
        <w:jc w:val="both"/>
        <w:rPr>
          <w:rFonts w:ascii="Palatino Linotype" w:eastAsia="Palatino Linotype" w:hAnsi="Palatino Linotype" w:cs="Palatino Linotype"/>
          <w:color w:val="222222"/>
          <w:sz w:val="24"/>
          <w:szCs w:val="24"/>
        </w:rPr>
      </w:pPr>
    </w:p>
    <w:p w:rsidR="00980FC7" w:rsidRPr="00640238" w:rsidRDefault="00980FC7" w:rsidP="00980FC7">
      <w:pPr>
        <w:rPr>
          <w:rFonts w:ascii="Palatino Linotype" w:eastAsia="Palatino Linotype" w:hAnsi="Palatino Linotype" w:cs="Palatino Linotype"/>
          <w:sz w:val="24"/>
          <w:szCs w:val="24"/>
        </w:rPr>
      </w:pPr>
    </w:p>
    <w:p w:rsidR="00980FC7" w:rsidRPr="00640238" w:rsidRDefault="00980FC7" w:rsidP="00980FC7">
      <w:pPr>
        <w:rPr>
          <w:sz w:val="24"/>
          <w:szCs w:val="24"/>
        </w:rPr>
      </w:pPr>
    </w:p>
    <w:p w:rsidR="00980FC7" w:rsidRPr="00640238" w:rsidRDefault="00980FC7" w:rsidP="00980FC7">
      <w:pPr>
        <w:rPr>
          <w:sz w:val="24"/>
          <w:szCs w:val="24"/>
        </w:rPr>
      </w:pPr>
    </w:p>
    <w:p w:rsidR="00980FC7" w:rsidRPr="00640238" w:rsidRDefault="00980FC7" w:rsidP="00980FC7">
      <w:pPr>
        <w:rPr>
          <w:sz w:val="24"/>
          <w:szCs w:val="24"/>
        </w:rPr>
      </w:pPr>
    </w:p>
    <w:p w:rsidR="00980FC7" w:rsidRPr="00640238" w:rsidRDefault="00980FC7" w:rsidP="00980FC7">
      <w:pPr>
        <w:rPr>
          <w:sz w:val="24"/>
          <w:szCs w:val="24"/>
        </w:rPr>
      </w:pPr>
    </w:p>
    <w:p w:rsidR="00980FC7" w:rsidRPr="00640238" w:rsidRDefault="00980FC7" w:rsidP="00980FC7">
      <w:pPr>
        <w:rPr>
          <w:sz w:val="24"/>
          <w:szCs w:val="24"/>
        </w:rPr>
      </w:pPr>
      <w:r w:rsidRPr="00640238">
        <w:rPr>
          <w:sz w:val="24"/>
          <w:szCs w:val="24"/>
        </w:rPr>
        <w:t xml:space="preserve"> </w:t>
      </w:r>
    </w:p>
    <w:p w:rsidR="00980FC7" w:rsidRPr="00640238" w:rsidRDefault="00980FC7" w:rsidP="00980FC7">
      <w:pPr>
        <w:rPr>
          <w:sz w:val="24"/>
          <w:szCs w:val="24"/>
        </w:rPr>
      </w:pPr>
    </w:p>
    <w:p w:rsidR="00980FC7" w:rsidRPr="00640238" w:rsidRDefault="00980FC7" w:rsidP="00980FC7">
      <w:pPr>
        <w:rPr>
          <w:sz w:val="24"/>
          <w:szCs w:val="24"/>
        </w:rPr>
      </w:pPr>
    </w:p>
    <w:p w:rsidR="00980FC7" w:rsidRPr="00640238" w:rsidRDefault="00980FC7" w:rsidP="00980FC7">
      <w:pPr>
        <w:rPr>
          <w:sz w:val="24"/>
          <w:szCs w:val="24"/>
        </w:rPr>
      </w:pPr>
    </w:p>
    <w:p w:rsidR="004B5D47" w:rsidRPr="00640238" w:rsidRDefault="004B5D47">
      <w:pPr>
        <w:rPr>
          <w:sz w:val="24"/>
          <w:szCs w:val="24"/>
        </w:rPr>
      </w:pPr>
    </w:p>
    <w:sectPr w:rsidR="004B5D47" w:rsidRPr="00640238" w:rsidSect="00640238">
      <w:headerReference w:type="even" r:id="rId10"/>
      <w:headerReference w:type="default" r:id="rId11"/>
      <w:footerReference w:type="default" r:id="rId12"/>
      <w:headerReference w:type="first" r:id="rId13"/>
      <w:footerReference w:type="first" r:id="rId14"/>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CEB" w:rsidRDefault="00F54CEB" w:rsidP="00980FC7">
      <w:r>
        <w:separator/>
      </w:r>
    </w:p>
  </w:endnote>
  <w:endnote w:type="continuationSeparator" w:id="0">
    <w:p w:rsidR="00F54CEB" w:rsidRDefault="00F54CEB" w:rsidP="009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A36" w:rsidRDefault="00D65A36">
    <w:pPr>
      <w:pBdr>
        <w:top w:val="nil"/>
        <w:left w:val="nil"/>
        <w:bottom w:val="nil"/>
        <w:right w:val="nil"/>
        <w:between w:val="nil"/>
      </w:pBdr>
      <w:tabs>
        <w:tab w:val="center" w:pos="4419"/>
        <w:tab w:val="right" w:pos="8838"/>
      </w:tabs>
      <w:jc w:val="right"/>
      <w:rPr>
        <w:color w:val="000000"/>
      </w:rPr>
    </w:pPr>
  </w:p>
  <w:p w:rsidR="00D65A36" w:rsidRDefault="00D65A36">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77FB1">
      <w:rPr>
        <w:b/>
        <w:noProof/>
        <w:color w:val="000000"/>
        <w:sz w:val="24"/>
        <w:szCs w:val="24"/>
      </w:rPr>
      <w:t>10</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77FB1">
      <w:rPr>
        <w:b/>
        <w:noProof/>
        <w:color w:val="000000"/>
        <w:sz w:val="24"/>
        <w:szCs w:val="24"/>
      </w:rPr>
      <w:t>13</w:t>
    </w:r>
    <w:r>
      <w:rPr>
        <w:b/>
        <w:color w:val="000000"/>
        <w:sz w:val="24"/>
        <w:szCs w:val="24"/>
      </w:rPr>
      <w:fldChar w:fldCharType="end"/>
    </w:r>
  </w:p>
  <w:p w:rsidR="00D65A36" w:rsidRDefault="00D65A36">
    <w:pPr>
      <w:pBdr>
        <w:top w:val="nil"/>
        <w:left w:val="nil"/>
        <w:bottom w:val="nil"/>
        <w:right w:val="nil"/>
        <w:between w:val="nil"/>
      </w:pBdr>
      <w:tabs>
        <w:tab w:val="center" w:pos="4419"/>
        <w:tab w:val="right" w:pos="8838"/>
      </w:tabs>
      <w:rPr>
        <w:color w:val="000000"/>
      </w:rPr>
    </w:pPr>
  </w:p>
  <w:p w:rsidR="00D65A36" w:rsidRDefault="00D65A36"/>
  <w:p w:rsidR="00D65A36" w:rsidRDefault="00D65A36"/>
  <w:p w:rsidR="00D65A36" w:rsidRDefault="00D65A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A36" w:rsidRPr="00640238" w:rsidRDefault="00D65A36">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640238">
      <w:rPr>
        <w:rFonts w:ascii="Palatino Linotype" w:hAnsi="Palatino Linotype"/>
        <w:color w:val="000000"/>
        <w:sz w:val="22"/>
        <w:szCs w:val="22"/>
      </w:rPr>
      <w:t xml:space="preserve">Página </w:t>
    </w:r>
    <w:r w:rsidRPr="00640238">
      <w:rPr>
        <w:rFonts w:ascii="Palatino Linotype" w:hAnsi="Palatino Linotype"/>
        <w:b/>
        <w:color w:val="000000"/>
        <w:sz w:val="22"/>
        <w:szCs w:val="22"/>
      </w:rPr>
      <w:fldChar w:fldCharType="begin"/>
    </w:r>
    <w:r w:rsidRPr="00640238">
      <w:rPr>
        <w:rFonts w:ascii="Palatino Linotype" w:hAnsi="Palatino Linotype"/>
        <w:b/>
        <w:color w:val="000000"/>
        <w:sz w:val="22"/>
        <w:szCs w:val="22"/>
      </w:rPr>
      <w:instrText>PAGE</w:instrText>
    </w:r>
    <w:r w:rsidRPr="00640238">
      <w:rPr>
        <w:rFonts w:ascii="Palatino Linotype" w:hAnsi="Palatino Linotype"/>
        <w:b/>
        <w:color w:val="000000"/>
        <w:sz w:val="22"/>
        <w:szCs w:val="22"/>
      </w:rPr>
      <w:fldChar w:fldCharType="separate"/>
    </w:r>
    <w:r w:rsidR="00077FB1">
      <w:rPr>
        <w:rFonts w:ascii="Palatino Linotype" w:hAnsi="Palatino Linotype"/>
        <w:b/>
        <w:noProof/>
        <w:color w:val="000000"/>
        <w:sz w:val="22"/>
        <w:szCs w:val="22"/>
      </w:rPr>
      <w:t>1</w:t>
    </w:r>
    <w:r w:rsidRPr="00640238">
      <w:rPr>
        <w:rFonts w:ascii="Palatino Linotype" w:hAnsi="Palatino Linotype"/>
        <w:b/>
        <w:color w:val="000000"/>
        <w:sz w:val="22"/>
        <w:szCs w:val="22"/>
      </w:rPr>
      <w:fldChar w:fldCharType="end"/>
    </w:r>
    <w:r w:rsidRPr="00640238">
      <w:rPr>
        <w:rFonts w:ascii="Palatino Linotype" w:hAnsi="Palatino Linotype"/>
        <w:color w:val="000000"/>
        <w:sz w:val="22"/>
        <w:szCs w:val="22"/>
      </w:rPr>
      <w:t xml:space="preserve"> de </w:t>
    </w:r>
    <w:r w:rsidRPr="00640238">
      <w:rPr>
        <w:rFonts w:ascii="Palatino Linotype" w:hAnsi="Palatino Linotype"/>
        <w:b/>
        <w:color w:val="000000"/>
        <w:sz w:val="22"/>
        <w:szCs w:val="22"/>
      </w:rPr>
      <w:fldChar w:fldCharType="begin"/>
    </w:r>
    <w:r w:rsidRPr="00640238">
      <w:rPr>
        <w:rFonts w:ascii="Palatino Linotype" w:hAnsi="Palatino Linotype"/>
        <w:b/>
        <w:color w:val="000000"/>
        <w:sz w:val="22"/>
        <w:szCs w:val="22"/>
      </w:rPr>
      <w:instrText>NUMPAGES</w:instrText>
    </w:r>
    <w:r w:rsidRPr="00640238">
      <w:rPr>
        <w:rFonts w:ascii="Palatino Linotype" w:hAnsi="Palatino Linotype"/>
        <w:b/>
        <w:color w:val="000000"/>
        <w:sz w:val="22"/>
        <w:szCs w:val="22"/>
      </w:rPr>
      <w:fldChar w:fldCharType="separate"/>
    </w:r>
    <w:r w:rsidR="00077FB1">
      <w:rPr>
        <w:rFonts w:ascii="Palatino Linotype" w:hAnsi="Palatino Linotype"/>
        <w:b/>
        <w:noProof/>
        <w:color w:val="000000"/>
        <w:sz w:val="22"/>
        <w:szCs w:val="22"/>
      </w:rPr>
      <w:t>13</w:t>
    </w:r>
    <w:r w:rsidRPr="00640238">
      <w:rPr>
        <w:rFonts w:ascii="Palatino Linotype" w:hAnsi="Palatino Linotype"/>
        <w:b/>
        <w:color w:val="000000"/>
        <w:sz w:val="22"/>
        <w:szCs w:val="22"/>
      </w:rPr>
      <w:fldChar w:fldCharType="end"/>
    </w:r>
  </w:p>
  <w:p w:rsidR="00D65A36" w:rsidRDefault="00D65A36">
    <w:pPr>
      <w:pBdr>
        <w:top w:val="nil"/>
        <w:left w:val="nil"/>
        <w:bottom w:val="nil"/>
        <w:right w:val="nil"/>
        <w:between w:val="nil"/>
      </w:pBdr>
      <w:tabs>
        <w:tab w:val="center" w:pos="4419"/>
        <w:tab w:val="right" w:pos="8838"/>
      </w:tabs>
      <w:rPr>
        <w:color w:val="000000"/>
      </w:rPr>
    </w:pPr>
  </w:p>
  <w:p w:rsidR="00D65A36" w:rsidRDefault="00D65A36"/>
  <w:p w:rsidR="00D65A36" w:rsidRDefault="00D65A36"/>
  <w:p w:rsidR="00D65A36" w:rsidRDefault="00D65A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CEB" w:rsidRDefault="00F54CEB" w:rsidP="00980FC7">
      <w:r>
        <w:separator/>
      </w:r>
    </w:p>
  </w:footnote>
  <w:footnote w:type="continuationSeparator" w:id="0">
    <w:p w:rsidR="00F54CEB" w:rsidRDefault="00F54CEB" w:rsidP="009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A36" w:rsidRDefault="00F54CE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216;mso-position-horizontal:center;mso-position-horizontal-relative:margin;mso-position-vertical:center;mso-position-vertical-relative:margin">
          <v:imagedata r:id="rId1" o:title="image1"/>
          <w10:wrap anchorx="margin" anchory="margin"/>
        </v:shape>
      </w:pict>
    </w:r>
  </w:p>
  <w:p w:rsidR="00D65A36" w:rsidRDefault="00D65A36"/>
  <w:p w:rsidR="00D65A36" w:rsidRDefault="00D65A36"/>
  <w:p w:rsidR="00D65A36" w:rsidRDefault="00D65A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1843"/>
      <w:gridCol w:w="8647"/>
    </w:tblGrid>
    <w:tr w:rsidR="00D65A36" w:rsidTr="00640238">
      <w:trPr>
        <w:trHeight w:val="1435"/>
      </w:trPr>
      <w:tc>
        <w:tcPr>
          <w:tcW w:w="1843" w:type="dxa"/>
          <w:shd w:val="clear" w:color="auto" w:fill="auto"/>
        </w:tcPr>
        <w:p w:rsidR="00D65A36" w:rsidRDefault="00D65A36">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647" w:type="dxa"/>
          <w:shd w:val="clear" w:color="auto" w:fill="auto"/>
        </w:tcPr>
        <w:tbl>
          <w:tblPr>
            <w:tblW w:w="7378" w:type="dxa"/>
            <w:tblInd w:w="1594" w:type="dxa"/>
            <w:tblBorders>
              <w:top w:val="nil"/>
              <w:left w:val="nil"/>
              <w:bottom w:val="nil"/>
              <w:right w:val="nil"/>
              <w:insideH w:val="nil"/>
              <w:insideV w:val="nil"/>
            </w:tblBorders>
            <w:tblLayout w:type="fixed"/>
            <w:tblLook w:val="0400" w:firstRow="0" w:lastRow="0" w:firstColumn="0" w:lastColumn="0" w:noHBand="0" w:noVBand="1"/>
          </w:tblPr>
          <w:tblGrid>
            <w:gridCol w:w="2834"/>
            <w:gridCol w:w="4544"/>
          </w:tblGrid>
          <w:tr w:rsidR="00D65A36" w:rsidTr="00640238">
            <w:trPr>
              <w:trHeight w:val="338"/>
            </w:trPr>
            <w:tc>
              <w:tcPr>
                <w:tcW w:w="2834" w:type="dxa"/>
              </w:tcPr>
              <w:p w:rsidR="00D65A36" w:rsidRPr="00640238" w:rsidRDefault="00D65A36">
                <w:pPr>
                  <w:tabs>
                    <w:tab w:val="right" w:pos="8838"/>
                  </w:tabs>
                  <w:ind w:right="-105"/>
                  <w:rPr>
                    <w:rFonts w:ascii="Palatino Linotype" w:eastAsia="Palatino Linotype" w:hAnsi="Palatino Linotype" w:cs="Palatino Linotype"/>
                    <w:b/>
                    <w:sz w:val="24"/>
                    <w:szCs w:val="24"/>
                  </w:rPr>
                </w:pPr>
                <w:r w:rsidRPr="00640238">
                  <w:rPr>
                    <w:rFonts w:ascii="Palatino Linotype" w:eastAsia="Palatino Linotype" w:hAnsi="Palatino Linotype" w:cs="Palatino Linotype"/>
                    <w:b/>
                    <w:sz w:val="24"/>
                    <w:szCs w:val="24"/>
                  </w:rPr>
                  <w:t>Recurso de Revisión:</w:t>
                </w:r>
              </w:p>
            </w:tc>
            <w:tc>
              <w:tcPr>
                <w:tcW w:w="4544" w:type="dxa"/>
              </w:tcPr>
              <w:p w:rsidR="00D65A36" w:rsidRPr="00640238" w:rsidRDefault="00D65A36">
                <w:pPr>
                  <w:tabs>
                    <w:tab w:val="right" w:pos="8838"/>
                  </w:tabs>
                  <w:ind w:right="-105" w:hanging="101"/>
                  <w:jc w:val="both"/>
                  <w:rPr>
                    <w:rFonts w:ascii="Palatino Linotype" w:eastAsia="Palatino Linotype" w:hAnsi="Palatino Linotype" w:cs="Palatino Linotype"/>
                    <w:sz w:val="24"/>
                    <w:szCs w:val="24"/>
                  </w:rPr>
                </w:pPr>
                <w:r w:rsidRPr="00640238">
                  <w:rPr>
                    <w:rFonts w:ascii="Palatino Linotype" w:eastAsia="Palatino Linotype" w:hAnsi="Palatino Linotype" w:cs="Palatino Linotype"/>
                    <w:sz w:val="24"/>
                    <w:szCs w:val="24"/>
                  </w:rPr>
                  <w:t>03858/INFOEM/IP/RR/2026</w:t>
                </w:r>
              </w:p>
            </w:tc>
          </w:tr>
          <w:tr w:rsidR="00D65A36" w:rsidTr="00640238">
            <w:trPr>
              <w:trHeight w:val="283"/>
            </w:trPr>
            <w:tc>
              <w:tcPr>
                <w:tcW w:w="2834" w:type="dxa"/>
              </w:tcPr>
              <w:p w:rsidR="00D65A36" w:rsidRPr="00640238" w:rsidRDefault="00D65A36">
                <w:pPr>
                  <w:tabs>
                    <w:tab w:val="right" w:pos="8838"/>
                  </w:tabs>
                  <w:ind w:right="-105"/>
                  <w:rPr>
                    <w:rFonts w:ascii="Palatino Linotype" w:eastAsia="Palatino Linotype" w:hAnsi="Palatino Linotype" w:cs="Palatino Linotype"/>
                    <w:b/>
                    <w:sz w:val="24"/>
                    <w:szCs w:val="24"/>
                  </w:rPr>
                </w:pPr>
                <w:bookmarkStart w:id="8" w:name="_heading=h.3rdcrjn" w:colFirst="0" w:colLast="0"/>
                <w:bookmarkEnd w:id="8"/>
                <w:r w:rsidRPr="00640238">
                  <w:rPr>
                    <w:rFonts w:ascii="Palatino Linotype" w:eastAsia="Palatino Linotype" w:hAnsi="Palatino Linotype" w:cs="Palatino Linotype"/>
                    <w:b/>
                    <w:sz w:val="24"/>
                    <w:szCs w:val="24"/>
                  </w:rPr>
                  <w:t>Sujeto Obligado:</w:t>
                </w:r>
              </w:p>
            </w:tc>
            <w:tc>
              <w:tcPr>
                <w:tcW w:w="4544" w:type="dxa"/>
              </w:tcPr>
              <w:p w:rsidR="00D65A36" w:rsidRPr="00640238" w:rsidRDefault="00D65A36" w:rsidP="00640238">
                <w:pPr>
                  <w:tabs>
                    <w:tab w:val="right" w:pos="8838"/>
                  </w:tabs>
                  <w:ind w:left="-113" w:right="325"/>
                  <w:jc w:val="both"/>
                  <w:rPr>
                    <w:rFonts w:ascii="Palatino Linotype" w:eastAsia="Palatino Linotype" w:hAnsi="Palatino Linotype" w:cs="Palatino Linotype"/>
                    <w:sz w:val="24"/>
                    <w:szCs w:val="24"/>
                  </w:rPr>
                </w:pPr>
                <w:r w:rsidRPr="00640238">
                  <w:rPr>
                    <w:rFonts w:ascii="Palatino Linotype" w:eastAsia="Palatino Linotype" w:hAnsi="Palatino Linotype" w:cs="Palatino Linotype"/>
                    <w:bCs/>
                    <w:sz w:val="24"/>
                    <w:szCs w:val="24"/>
                  </w:rPr>
                  <w:t>Ayuntamiento de Papalotla</w:t>
                </w:r>
              </w:p>
            </w:tc>
          </w:tr>
          <w:tr w:rsidR="00D65A36" w:rsidTr="00640238">
            <w:trPr>
              <w:trHeight w:val="283"/>
            </w:trPr>
            <w:tc>
              <w:tcPr>
                <w:tcW w:w="2834" w:type="dxa"/>
              </w:tcPr>
              <w:p w:rsidR="00D65A36" w:rsidRPr="00640238" w:rsidRDefault="00D65A36">
                <w:pPr>
                  <w:tabs>
                    <w:tab w:val="right" w:pos="8838"/>
                  </w:tabs>
                  <w:ind w:right="-105"/>
                  <w:rPr>
                    <w:rFonts w:ascii="Palatino Linotype" w:eastAsia="Palatino Linotype" w:hAnsi="Palatino Linotype" w:cs="Palatino Linotype"/>
                    <w:b/>
                    <w:sz w:val="24"/>
                    <w:szCs w:val="24"/>
                  </w:rPr>
                </w:pPr>
                <w:r w:rsidRPr="00640238">
                  <w:rPr>
                    <w:rFonts w:ascii="Palatino Linotype" w:eastAsia="Palatino Linotype" w:hAnsi="Palatino Linotype" w:cs="Palatino Linotype"/>
                    <w:b/>
                    <w:sz w:val="24"/>
                    <w:szCs w:val="24"/>
                  </w:rPr>
                  <w:t>Comisionada Ponente:</w:t>
                </w:r>
              </w:p>
            </w:tc>
            <w:tc>
              <w:tcPr>
                <w:tcW w:w="4544" w:type="dxa"/>
              </w:tcPr>
              <w:p w:rsidR="00D65A36" w:rsidRPr="00640238" w:rsidRDefault="00D65A36">
                <w:pPr>
                  <w:tabs>
                    <w:tab w:val="right" w:pos="8838"/>
                  </w:tabs>
                  <w:ind w:left="-113" w:right="-105"/>
                  <w:jc w:val="both"/>
                  <w:rPr>
                    <w:rFonts w:ascii="Palatino Linotype" w:eastAsia="Palatino Linotype" w:hAnsi="Palatino Linotype" w:cs="Palatino Linotype"/>
                    <w:sz w:val="24"/>
                    <w:szCs w:val="24"/>
                  </w:rPr>
                </w:pPr>
                <w:r w:rsidRPr="00640238">
                  <w:rPr>
                    <w:rFonts w:ascii="Palatino Linotype" w:eastAsia="Palatino Linotype" w:hAnsi="Palatino Linotype" w:cs="Palatino Linotype"/>
                    <w:sz w:val="24"/>
                    <w:szCs w:val="24"/>
                  </w:rPr>
                  <w:t>María del Rosario Mejía Ayala</w:t>
                </w:r>
              </w:p>
            </w:tc>
          </w:tr>
        </w:tbl>
        <w:p w:rsidR="00D65A36" w:rsidRDefault="00D65A36">
          <w:pPr>
            <w:tabs>
              <w:tab w:val="right" w:pos="8838"/>
            </w:tabs>
            <w:ind w:left="-28"/>
            <w:jc w:val="both"/>
            <w:rPr>
              <w:rFonts w:ascii="Arial" w:eastAsia="Arial" w:hAnsi="Arial" w:cs="Arial"/>
              <w:b/>
              <w:sz w:val="22"/>
              <w:szCs w:val="22"/>
            </w:rPr>
          </w:pPr>
        </w:p>
      </w:tc>
    </w:tr>
  </w:tbl>
  <w:p w:rsidR="00D65A36" w:rsidRPr="00640238" w:rsidRDefault="00F54CEB" w:rsidP="00640238">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5.95pt;margin-top:-133.8pt;width:663.5pt;height:12in;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Layout w:type="fixed"/>
      <w:tblLook w:val="0400" w:firstRow="0" w:lastRow="0" w:firstColumn="0" w:lastColumn="0" w:noHBand="0" w:noVBand="1"/>
    </w:tblPr>
    <w:tblGrid>
      <w:gridCol w:w="1560"/>
      <w:gridCol w:w="9213"/>
    </w:tblGrid>
    <w:tr w:rsidR="00D65A36" w:rsidTr="00640238">
      <w:trPr>
        <w:trHeight w:val="1435"/>
      </w:trPr>
      <w:tc>
        <w:tcPr>
          <w:tcW w:w="1560" w:type="dxa"/>
          <w:shd w:val="clear" w:color="auto" w:fill="auto"/>
        </w:tcPr>
        <w:p w:rsidR="00D65A36" w:rsidRDefault="00D65A36">
          <w:pPr>
            <w:tabs>
              <w:tab w:val="right" w:pos="4273"/>
            </w:tabs>
            <w:rPr>
              <w:rFonts w:ascii="Garamond" w:eastAsia="Garamond" w:hAnsi="Garamond" w:cs="Garamond"/>
              <w:sz w:val="22"/>
              <w:szCs w:val="22"/>
            </w:rPr>
          </w:pPr>
        </w:p>
      </w:tc>
      <w:tc>
        <w:tcPr>
          <w:tcW w:w="9213" w:type="dxa"/>
          <w:shd w:val="clear" w:color="auto" w:fill="auto"/>
        </w:tcPr>
        <w:tbl>
          <w:tblPr>
            <w:tblW w:w="6896"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549"/>
            <w:gridCol w:w="4111"/>
            <w:gridCol w:w="236"/>
          </w:tblGrid>
          <w:tr w:rsidR="00D65A36" w:rsidTr="00640238">
            <w:trPr>
              <w:trHeight w:val="144"/>
            </w:trPr>
            <w:tc>
              <w:tcPr>
                <w:tcW w:w="2549" w:type="dxa"/>
              </w:tcPr>
              <w:p w:rsidR="00D65A36" w:rsidRPr="00640238" w:rsidRDefault="00D65A36">
                <w:pPr>
                  <w:tabs>
                    <w:tab w:val="right" w:pos="8838"/>
                  </w:tabs>
                  <w:ind w:left="-74" w:right="-105"/>
                  <w:rPr>
                    <w:rFonts w:ascii="Palatino Linotype" w:eastAsia="Palatino Linotype" w:hAnsi="Palatino Linotype" w:cs="Palatino Linotype"/>
                    <w:b/>
                    <w:sz w:val="24"/>
                    <w:szCs w:val="24"/>
                  </w:rPr>
                </w:pPr>
                <w:bookmarkStart w:id="9" w:name="_heading=h.26in1rg" w:colFirst="0" w:colLast="0"/>
                <w:bookmarkEnd w:id="9"/>
                <w:r w:rsidRPr="00640238">
                  <w:rPr>
                    <w:rFonts w:ascii="Palatino Linotype" w:eastAsia="Palatino Linotype" w:hAnsi="Palatino Linotype" w:cs="Palatino Linotype"/>
                    <w:b/>
                    <w:sz w:val="24"/>
                    <w:szCs w:val="24"/>
                  </w:rPr>
                  <w:t>Recurso de Revisión:</w:t>
                </w:r>
              </w:p>
            </w:tc>
            <w:tc>
              <w:tcPr>
                <w:tcW w:w="4111" w:type="dxa"/>
              </w:tcPr>
              <w:p w:rsidR="00D65A36" w:rsidRPr="00640238" w:rsidRDefault="00D65A36" w:rsidP="00640238">
                <w:pPr>
                  <w:tabs>
                    <w:tab w:val="right" w:pos="8838"/>
                  </w:tabs>
                  <w:ind w:left="-3" w:right="-105"/>
                  <w:rPr>
                    <w:rFonts w:ascii="Palatino Linotype" w:eastAsia="Palatino Linotype" w:hAnsi="Palatino Linotype" w:cs="Palatino Linotype"/>
                    <w:sz w:val="24"/>
                    <w:szCs w:val="24"/>
                  </w:rPr>
                </w:pPr>
                <w:r w:rsidRPr="00640238">
                  <w:rPr>
                    <w:rFonts w:ascii="Palatino Linotype" w:eastAsia="Palatino Linotype" w:hAnsi="Palatino Linotype" w:cs="Palatino Linotype"/>
                    <w:sz w:val="24"/>
                    <w:szCs w:val="24"/>
                  </w:rPr>
                  <w:t>03858/INFOEM/IP/RR/2026</w:t>
                </w:r>
              </w:p>
            </w:tc>
            <w:tc>
              <w:tcPr>
                <w:tcW w:w="236" w:type="dxa"/>
              </w:tcPr>
              <w:p w:rsidR="00D65A36" w:rsidRDefault="00D65A36">
                <w:pPr>
                  <w:tabs>
                    <w:tab w:val="right" w:pos="8838"/>
                  </w:tabs>
                  <w:ind w:left="-74" w:right="-105"/>
                  <w:jc w:val="both"/>
                  <w:rPr>
                    <w:rFonts w:ascii="Palatino Linotype" w:eastAsia="Palatino Linotype" w:hAnsi="Palatino Linotype" w:cs="Palatino Linotype"/>
                    <w:sz w:val="22"/>
                    <w:szCs w:val="22"/>
                  </w:rPr>
                </w:pPr>
              </w:p>
            </w:tc>
          </w:tr>
          <w:tr w:rsidR="00D65A36" w:rsidTr="00640238">
            <w:trPr>
              <w:trHeight w:val="144"/>
            </w:trPr>
            <w:tc>
              <w:tcPr>
                <w:tcW w:w="2549" w:type="dxa"/>
              </w:tcPr>
              <w:p w:rsidR="00D65A36" w:rsidRPr="00640238" w:rsidRDefault="00D65A36">
                <w:pPr>
                  <w:tabs>
                    <w:tab w:val="right" w:pos="8838"/>
                  </w:tabs>
                  <w:ind w:left="-74" w:right="-105"/>
                  <w:rPr>
                    <w:rFonts w:ascii="Palatino Linotype" w:eastAsia="Palatino Linotype" w:hAnsi="Palatino Linotype" w:cs="Palatino Linotype"/>
                    <w:b/>
                    <w:sz w:val="24"/>
                    <w:szCs w:val="24"/>
                  </w:rPr>
                </w:pPr>
                <w:bookmarkStart w:id="10" w:name="_heading=h.lnxbz9" w:colFirst="0" w:colLast="0"/>
                <w:bookmarkEnd w:id="10"/>
                <w:r w:rsidRPr="00640238">
                  <w:rPr>
                    <w:rFonts w:ascii="Palatino Linotype" w:eastAsia="Palatino Linotype" w:hAnsi="Palatino Linotype" w:cs="Palatino Linotype"/>
                    <w:b/>
                    <w:sz w:val="24"/>
                    <w:szCs w:val="24"/>
                  </w:rPr>
                  <w:t>Recurrente:</w:t>
                </w:r>
              </w:p>
            </w:tc>
            <w:tc>
              <w:tcPr>
                <w:tcW w:w="4111" w:type="dxa"/>
              </w:tcPr>
              <w:p w:rsidR="00D65A36" w:rsidRPr="00640238" w:rsidRDefault="00077FB1" w:rsidP="00640238">
                <w:pPr>
                  <w:tabs>
                    <w:tab w:val="right" w:pos="8838"/>
                  </w:tabs>
                  <w:ind w:right="-249"/>
                  <w:rPr>
                    <w:rFonts w:ascii="Palatino Linotype" w:eastAsia="Palatino Linotype" w:hAnsi="Palatino Linotype" w:cs="Palatino Linotype"/>
                    <w:sz w:val="24"/>
                    <w:szCs w:val="24"/>
                  </w:rPr>
                </w:pPr>
                <w:r>
                  <w:rPr>
                    <w:rFonts w:ascii="Palatino Linotype" w:eastAsia="Palatino Linotype" w:hAnsi="Palatino Linotype" w:cs="Palatino Linotype"/>
                    <w:bCs/>
                    <w:sz w:val="24"/>
                    <w:szCs w:val="24"/>
                  </w:rPr>
                  <w:t>XXXX</w:t>
                </w:r>
              </w:p>
            </w:tc>
            <w:tc>
              <w:tcPr>
                <w:tcW w:w="236" w:type="dxa"/>
              </w:tcPr>
              <w:p w:rsidR="00D65A36" w:rsidRDefault="00D65A36">
                <w:pPr>
                  <w:tabs>
                    <w:tab w:val="left" w:pos="3122"/>
                    <w:tab w:val="right" w:pos="8838"/>
                  </w:tabs>
                  <w:ind w:right="-105"/>
                  <w:jc w:val="both"/>
                  <w:rPr>
                    <w:rFonts w:ascii="Palatino Linotype" w:eastAsia="Palatino Linotype" w:hAnsi="Palatino Linotype" w:cs="Palatino Linotype"/>
                    <w:sz w:val="22"/>
                    <w:szCs w:val="22"/>
                  </w:rPr>
                </w:pPr>
              </w:p>
            </w:tc>
          </w:tr>
          <w:tr w:rsidR="00D65A36" w:rsidTr="00640238">
            <w:trPr>
              <w:trHeight w:val="283"/>
            </w:trPr>
            <w:tc>
              <w:tcPr>
                <w:tcW w:w="2549" w:type="dxa"/>
              </w:tcPr>
              <w:p w:rsidR="00D65A36" w:rsidRPr="00640238" w:rsidRDefault="00D65A36">
                <w:pPr>
                  <w:tabs>
                    <w:tab w:val="right" w:pos="8838"/>
                  </w:tabs>
                  <w:ind w:left="-74" w:right="-105"/>
                  <w:rPr>
                    <w:rFonts w:ascii="Palatino Linotype" w:eastAsia="Palatino Linotype" w:hAnsi="Palatino Linotype" w:cs="Palatino Linotype"/>
                    <w:b/>
                    <w:sz w:val="24"/>
                    <w:szCs w:val="24"/>
                  </w:rPr>
                </w:pPr>
                <w:r w:rsidRPr="00640238">
                  <w:rPr>
                    <w:rFonts w:ascii="Palatino Linotype" w:eastAsia="Palatino Linotype" w:hAnsi="Palatino Linotype" w:cs="Palatino Linotype"/>
                    <w:b/>
                    <w:sz w:val="24"/>
                    <w:szCs w:val="24"/>
                  </w:rPr>
                  <w:t>Sujeto Obligado:</w:t>
                </w:r>
              </w:p>
            </w:tc>
            <w:tc>
              <w:tcPr>
                <w:tcW w:w="4111" w:type="dxa"/>
              </w:tcPr>
              <w:p w:rsidR="00D65A36" w:rsidRPr="00640238" w:rsidRDefault="00640238" w:rsidP="00640238">
                <w:pPr>
                  <w:tabs>
                    <w:tab w:val="right" w:pos="8838"/>
                  </w:tabs>
                  <w:ind w:left="-3" w:right="-107"/>
                  <w:rPr>
                    <w:rFonts w:ascii="Palatino Linotype" w:eastAsia="Palatino Linotype" w:hAnsi="Palatino Linotype" w:cs="Palatino Linotype"/>
                    <w:sz w:val="24"/>
                    <w:szCs w:val="24"/>
                  </w:rPr>
                </w:pPr>
                <w:r>
                  <w:rPr>
                    <w:rFonts w:ascii="Palatino Linotype" w:eastAsia="Palatino Linotype" w:hAnsi="Palatino Linotype" w:cs="Palatino Linotype"/>
                    <w:bCs/>
                    <w:sz w:val="24"/>
                    <w:szCs w:val="24"/>
                  </w:rPr>
                  <w:t xml:space="preserve">Ayuntamiento de </w:t>
                </w:r>
                <w:r w:rsidR="00D65A36" w:rsidRPr="00640238">
                  <w:rPr>
                    <w:rFonts w:ascii="Palatino Linotype" w:eastAsia="Palatino Linotype" w:hAnsi="Palatino Linotype" w:cs="Palatino Linotype"/>
                    <w:bCs/>
                    <w:sz w:val="24"/>
                    <w:szCs w:val="24"/>
                  </w:rPr>
                  <w:t xml:space="preserve">Papalotla </w:t>
                </w:r>
              </w:p>
            </w:tc>
            <w:tc>
              <w:tcPr>
                <w:tcW w:w="236" w:type="dxa"/>
              </w:tcPr>
              <w:p w:rsidR="00D65A36" w:rsidRDefault="00D65A36">
                <w:pPr>
                  <w:tabs>
                    <w:tab w:val="left" w:pos="2834"/>
                    <w:tab w:val="right" w:pos="8838"/>
                  </w:tabs>
                  <w:ind w:left="-74" w:right="-105"/>
                  <w:jc w:val="both"/>
                  <w:rPr>
                    <w:rFonts w:ascii="Palatino Linotype" w:eastAsia="Palatino Linotype" w:hAnsi="Palatino Linotype" w:cs="Palatino Linotype"/>
                    <w:sz w:val="22"/>
                    <w:szCs w:val="22"/>
                  </w:rPr>
                </w:pPr>
              </w:p>
            </w:tc>
          </w:tr>
          <w:tr w:rsidR="00D65A36" w:rsidTr="00640238">
            <w:trPr>
              <w:trHeight w:val="283"/>
            </w:trPr>
            <w:tc>
              <w:tcPr>
                <w:tcW w:w="2549" w:type="dxa"/>
              </w:tcPr>
              <w:p w:rsidR="00D65A36" w:rsidRPr="00640238" w:rsidRDefault="00D65A36">
                <w:pPr>
                  <w:tabs>
                    <w:tab w:val="right" w:pos="8838"/>
                  </w:tabs>
                  <w:ind w:left="-74" w:right="-105"/>
                  <w:rPr>
                    <w:rFonts w:ascii="Palatino Linotype" w:eastAsia="Palatino Linotype" w:hAnsi="Palatino Linotype" w:cs="Palatino Linotype"/>
                    <w:b/>
                    <w:sz w:val="24"/>
                    <w:szCs w:val="24"/>
                  </w:rPr>
                </w:pPr>
                <w:r w:rsidRPr="00640238">
                  <w:rPr>
                    <w:rFonts w:ascii="Palatino Linotype" w:eastAsia="Palatino Linotype" w:hAnsi="Palatino Linotype" w:cs="Palatino Linotype"/>
                    <w:b/>
                    <w:sz w:val="24"/>
                    <w:szCs w:val="24"/>
                  </w:rPr>
                  <w:t>Comisionada Ponente:</w:t>
                </w:r>
              </w:p>
            </w:tc>
            <w:tc>
              <w:tcPr>
                <w:tcW w:w="4111" w:type="dxa"/>
              </w:tcPr>
              <w:p w:rsidR="00D65A36" w:rsidRPr="00640238" w:rsidRDefault="00D65A36" w:rsidP="00640238">
                <w:pPr>
                  <w:tabs>
                    <w:tab w:val="right" w:pos="8838"/>
                  </w:tabs>
                  <w:ind w:left="-3" w:right="-105"/>
                  <w:rPr>
                    <w:rFonts w:ascii="Palatino Linotype" w:eastAsia="Palatino Linotype" w:hAnsi="Palatino Linotype" w:cs="Palatino Linotype"/>
                    <w:sz w:val="24"/>
                    <w:szCs w:val="24"/>
                  </w:rPr>
                </w:pPr>
                <w:r w:rsidRPr="00640238">
                  <w:rPr>
                    <w:rFonts w:ascii="Palatino Linotype" w:eastAsia="Palatino Linotype" w:hAnsi="Palatino Linotype" w:cs="Palatino Linotype"/>
                    <w:sz w:val="24"/>
                    <w:szCs w:val="24"/>
                  </w:rPr>
                  <w:t>María del Rosario Mejía Ayala</w:t>
                </w:r>
              </w:p>
            </w:tc>
            <w:tc>
              <w:tcPr>
                <w:tcW w:w="236" w:type="dxa"/>
              </w:tcPr>
              <w:p w:rsidR="00D65A36" w:rsidRDefault="00D65A36">
                <w:pPr>
                  <w:tabs>
                    <w:tab w:val="right" w:pos="8838"/>
                  </w:tabs>
                  <w:ind w:left="-74" w:right="-105"/>
                  <w:jc w:val="both"/>
                  <w:rPr>
                    <w:rFonts w:ascii="Palatino Linotype" w:eastAsia="Palatino Linotype" w:hAnsi="Palatino Linotype" w:cs="Palatino Linotype"/>
                    <w:sz w:val="22"/>
                    <w:szCs w:val="22"/>
                  </w:rPr>
                </w:pPr>
              </w:p>
            </w:tc>
          </w:tr>
        </w:tbl>
        <w:p w:rsidR="00D65A36" w:rsidRDefault="00D65A36">
          <w:pPr>
            <w:tabs>
              <w:tab w:val="right" w:pos="8838"/>
            </w:tabs>
            <w:ind w:left="-28"/>
            <w:jc w:val="both"/>
            <w:rPr>
              <w:rFonts w:ascii="Arial" w:eastAsia="Arial" w:hAnsi="Arial" w:cs="Arial"/>
              <w:b/>
              <w:sz w:val="22"/>
              <w:szCs w:val="22"/>
            </w:rPr>
          </w:pPr>
        </w:p>
      </w:tc>
    </w:tr>
  </w:tbl>
  <w:p w:rsidR="00D65A36" w:rsidRPr="00640238" w:rsidRDefault="00F54CEB" w:rsidP="00640238">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5.8pt;margin-top:-134.3pt;width:663.5pt;height:12in;z-index:-25165516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87C6C"/>
    <w:multiLevelType w:val="multilevel"/>
    <w:tmpl w:val="0F94174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D21923"/>
    <w:multiLevelType w:val="hybridMultilevel"/>
    <w:tmpl w:val="13C86742"/>
    <w:lvl w:ilvl="0" w:tplc="0E4AAF5C">
      <w:numFmt w:val="bullet"/>
      <w:lvlText w:val="-"/>
      <w:lvlJc w:val="left"/>
      <w:pPr>
        <w:ind w:left="720" w:hanging="360"/>
      </w:pPr>
      <w:rPr>
        <w:rFonts w:ascii="Palatino Linotype" w:eastAsia="Palatino Linotype" w:hAnsi="Palatino Linotype" w:cs="Palatino Linotype" w:hint="default"/>
        <w:b w:val="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1C4333"/>
    <w:multiLevelType w:val="hybridMultilevel"/>
    <w:tmpl w:val="8BDC1E80"/>
    <w:lvl w:ilvl="0" w:tplc="E56A91F2">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94046A8"/>
    <w:multiLevelType w:val="multilevel"/>
    <w:tmpl w:val="9C4C8BD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57261F1A"/>
    <w:multiLevelType w:val="hybridMultilevel"/>
    <w:tmpl w:val="BE7E7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CBA354C"/>
    <w:multiLevelType w:val="hybridMultilevel"/>
    <w:tmpl w:val="CCEC28A2"/>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4"/>
  </w:num>
  <w:num w:numId="2">
    <w:abstractNumId w:val="2"/>
  </w:num>
  <w:num w:numId="3">
    <w:abstractNumId w:val="7"/>
  </w:num>
  <w:num w:numId="4">
    <w:abstractNumId w:val="5"/>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FC7"/>
    <w:rsid w:val="00077FB1"/>
    <w:rsid w:val="0015045C"/>
    <w:rsid w:val="004B5D47"/>
    <w:rsid w:val="004F0F39"/>
    <w:rsid w:val="00640238"/>
    <w:rsid w:val="00697C5A"/>
    <w:rsid w:val="006E149D"/>
    <w:rsid w:val="00705F9E"/>
    <w:rsid w:val="007B5E27"/>
    <w:rsid w:val="00980FC7"/>
    <w:rsid w:val="009F2FAC"/>
    <w:rsid w:val="00B950C5"/>
    <w:rsid w:val="00D65A36"/>
    <w:rsid w:val="00D72EB1"/>
    <w:rsid w:val="00F54C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0CBB6F2-79D5-4A5E-8D7E-E0370C5F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FC7"/>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980F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80FC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0FC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980FC7"/>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80FC7"/>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980FC7"/>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980FC7"/>
    <w:rPr>
      <w:color w:val="0563C1" w:themeColor="hyperlink"/>
      <w:u w:val="single"/>
    </w:rPr>
  </w:style>
  <w:style w:type="paragraph" w:styleId="Sinespaciado">
    <w:name w:val="No Spacing"/>
    <w:aliases w:val="Francesa,INAI"/>
    <w:link w:val="SinespaciadoCar"/>
    <w:uiPriority w:val="1"/>
    <w:qFormat/>
    <w:rsid w:val="00980FC7"/>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980FC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80FC7"/>
    <w:pPr>
      <w:tabs>
        <w:tab w:val="center" w:pos="4419"/>
        <w:tab w:val="right" w:pos="8838"/>
      </w:tabs>
    </w:pPr>
  </w:style>
  <w:style w:type="character" w:customStyle="1" w:styleId="PiedepginaCar">
    <w:name w:val="Pie de página Car"/>
    <w:basedOn w:val="Fuentedeprrafopredeter"/>
    <w:link w:val="Piedepgina"/>
    <w:uiPriority w:val="99"/>
    <w:rsid w:val="00980FC7"/>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4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35687.pag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735686.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imex.org.mx/saimex/solicitud/downloadAttach/2746758.pag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13</Pages>
  <Words>2728</Words>
  <Characters>15010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2026-06-12T17:05:00Z</cp:lastPrinted>
  <dcterms:created xsi:type="dcterms:W3CDTF">2026-06-04T18:34:00Z</dcterms:created>
  <dcterms:modified xsi:type="dcterms:W3CDTF">2026-06-16T22:52:00Z</dcterms:modified>
</cp:coreProperties>
</file>