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2676" w:rsidRPr="00A72110" w:rsidRDefault="003F0206">
      <w:pPr>
        <w:shd w:val="clear" w:color="auto" w:fill="FFFFFF"/>
        <w:spacing w:after="0" w:line="360" w:lineRule="auto"/>
        <w:ind w:right="-269"/>
        <w:jc w:val="both"/>
        <w:rPr>
          <w:rFonts w:ascii="Palatino Linotype" w:eastAsia="Palatino Linotype" w:hAnsi="Palatino Linotype" w:cs="Palatino Linotype"/>
          <w:b/>
          <w:bCs/>
          <w:color w:val="000000"/>
          <w:sz w:val="24"/>
          <w:szCs w:val="24"/>
        </w:rPr>
      </w:pPr>
      <w:r w:rsidRPr="00A72110">
        <w:rPr>
          <w:rFonts w:ascii="Palatino Linotype" w:eastAsia="Palatino Linotype" w:hAnsi="Palatino Linotype" w:cs="Palatino Linotype"/>
          <w:color w:val="000000"/>
          <w:sz w:val="24"/>
          <w:szCs w:val="24"/>
        </w:rPr>
        <w:t xml:space="preserve">Resolución del Pleno del Instituto de Transparencia, Acceso a Información Pública y Protección de Datos Personales del Estado de México y Municipios, con domicilio en Metepec, Estado de México, de </w:t>
      </w:r>
      <w:r w:rsidR="00211F7D" w:rsidRPr="00A72110">
        <w:rPr>
          <w:rFonts w:ascii="Palatino Linotype" w:eastAsia="Palatino Linotype" w:hAnsi="Palatino Linotype" w:cs="Palatino Linotype"/>
          <w:bCs/>
          <w:color w:val="000000"/>
          <w:sz w:val="24"/>
          <w:szCs w:val="24"/>
        </w:rPr>
        <w:t>fecha</w:t>
      </w:r>
      <w:r w:rsidR="00211F7D" w:rsidRPr="00A72110">
        <w:rPr>
          <w:rFonts w:ascii="Palatino Linotype" w:eastAsia="Palatino Linotype" w:hAnsi="Palatino Linotype" w:cs="Palatino Linotype"/>
          <w:b/>
          <w:bCs/>
          <w:color w:val="000000"/>
          <w:sz w:val="24"/>
          <w:szCs w:val="24"/>
        </w:rPr>
        <w:t xml:space="preserve"> veinticinco</w:t>
      </w:r>
      <w:r w:rsidR="00A72110">
        <w:rPr>
          <w:rFonts w:ascii="Palatino Linotype" w:eastAsia="Palatino Linotype" w:hAnsi="Palatino Linotype" w:cs="Palatino Linotype"/>
          <w:b/>
          <w:bCs/>
          <w:color w:val="000000"/>
          <w:sz w:val="24"/>
          <w:szCs w:val="24"/>
        </w:rPr>
        <w:t xml:space="preserve"> (25)</w:t>
      </w:r>
      <w:r w:rsidR="00211F7D" w:rsidRPr="00A72110">
        <w:rPr>
          <w:rFonts w:ascii="Palatino Linotype" w:eastAsia="Palatino Linotype" w:hAnsi="Palatino Linotype" w:cs="Palatino Linotype"/>
          <w:b/>
          <w:bCs/>
          <w:color w:val="000000"/>
          <w:sz w:val="24"/>
          <w:szCs w:val="24"/>
        </w:rPr>
        <w:t xml:space="preserve"> </w:t>
      </w:r>
      <w:r w:rsidRPr="00A72110">
        <w:rPr>
          <w:rFonts w:ascii="Palatino Linotype" w:eastAsia="Palatino Linotype" w:hAnsi="Palatino Linotype" w:cs="Palatino Linotype"/>
          <w:b/>
          <w:bCs/>
          <w:color w:val="000000"/>
          <w:sz w:val="24"/>
          <w:szCs w:val="24"/>
        </w:rPr>
        <w:t xml:space="preserve">de junio de dos mil veintiséis. </w:t>
      </w:r>
    </w:p>
    <w:p w:rsidR="00202676" w:rsidRPr="00A72110" w:rsidRDefault="00202676">
      <w:pPr>
        <w:shd w:val="clear" w:color="auto" w:fill="FFFFFF"/>
        <w:spacing w:after="0" w:line="360" w:lineRule="auto"/>
        <w:ind w:right="-269"/>
        <w:jc w:val="both"/>
        <w:rPr>
          <w:rFonts w:ascii="Palatino Linotype" w:eastAsia="Palatino Linotype" w:hAnsi="Palatino Linotype" w:cs="Palatino Linotype"/>
          <w:color w:val="000000"/>
          <w:sz w:val="24"/>
          <w:szCs w:val="24"/>
        </w:rPr>
      </w:pPr>
    </w:p>
    <w:p w:rsidR="00202676" w:rsidRPr="00A72110" w:rsidRDefault="003F0206">
      <w:pPr>
        <w:spacing w:after="0" w:line="360" w:lineRule="auto"/>
        <w:ind w:right="-269"/>
        <w:jc w:val="both"/>
        <w:rPr>
          <w:rFonts w:ascii="Palatino Linotype" w:eastAsia="Palatino Linotype" w:hAnsi="Palatino Linotype" w:cs="Palatino Linotype"/>
          <w:sz w:val="24"/>
          <w:szCs w:val="24"/>
        </w:rPr>
      </w:pPr>
      <w:r w:rsidRPr="00A72110">
        <w:rPr>
          <w:rFonts w:ascii="Palatino Linotype" w:eastAsia="Palatino Linotype" w:hAnsi="Palatino Linotype" w:cs="Palatino Linotype"/>
          <w:b/>
          <w:bCs/>
          <w:sz w:val="24"/>
          <w:szCs w:val="24"/>
        </w:rPr>
        <w:t>VISTO</w:t>
      </w:r>
      <w:r w:rsidRPr="00A72110">
        <w:rPr>
          <w:rFonts w:ascii="Palatino Linotype" w:eastAsia="Palatino Linotype" w:hAnsi="Palatino Linotype" w:cs="Palatino Linotype"/>
          <w:sz w:val="24"/>
          <w:szCs w:val="24"/>
        </w:rPr>
        <w:t xml:space="preserve"> el expediente electrónico formado con motivo del recurso de revisión número </w:t>
      </w:r>
      <w:r w:rsidRPr="00A72110">
        <w:rPr>
          <w:rFonts w:ascii="Palatino Linotype" w:eastAsia="Palatino Linotype" w:hAnsi="Palatino Linotype" w:cs="Palatino Linotype"/>
          <w:b/>
          <w:bCs/>
          <w:sz w:val="24"/>
          <w:szCs w:val="24"/>
        </w:rPr>
        <w:t xml:space="preserve">00908/INFOEM/IP/RR/2026, </w:t>
      </w:r>
      <w:r w:rsidRPr="00A72110">
        <w:rPr>
          <w:rFonts w:ascii="Palatino Linotype" w:eastAsia="Palatino Linotype" w:hAnsi="Palatino Linotype" w:cs="Palatino Linotype"/>
          <w:sz w:val="24"/>
          <w:szCs w:val="24"/>
        </w:rPr>
        <w:t xml:space="preserve">interpuesto por </w:t>
      </w:r>
      <w:r w:rsidR="00507DA8">
        <w:rPr>
          <w:rFonts w:ascii="Palatino Linotype" w:eastAsia="Palatino Linotype" w:hAnsi="Palatino Linotype" w:cs="Palatino Linotype"/>
          <w:b/>
          <w:sz w:val="24"/>
          <w:szCs w:val="24"/>
        </w:rPr>
        <w:t>XXXX</w:t>
      </w:r>
      <w:r w:rsidRPr="00A72110">
        <w:rPr>
          <w:rFonts w:ascii="Palatino Linotype" w:eastAsia="Palatino Linotype" w:hAnsi="Palatino Linotype" w:cs="Palatino Linotype"/>
          <w:sz w:val="24"/>
          <w:szCs w:val="24"/>
        </w:rPr>
        <w:t xml:space="preserve">, a quien en lo sucesivo se le denominará </w:t>
      </w:r>
      <w:r w:rsidR="00211F7D" w:rsidRPr="00A72110">
        <w:rPr>
          <w:rFonts w:ascii="Palatino Linotype" w:eastAsia="Palatino Linotype" w:hAnsi="Palatino Linotype" w:cs="Palatino Linotype"/>
          <w:b/>
          <w:bCs/>
          <w:sz w:val="24"/>
          <w:szCs w:val="24"/>
        </w:rPr>
        <w:t>LA</w:t>
      </w:r>
      <w:r w:rsidRPr="00A72110">
        <w:rPr>
          <w:rFonts w:ascii="Palatino Linotype" w:eastAsia="Palatino Linotype" w:hAnsi="Palatino Linotype" w:cs="Palatino Linotype"/>
          <w:b/>
          <w:bCs/>
          <w:sz w:val="24"/>
          <w:szCs w:val="24"/>
        </w:rPr>
        <w:t xml:space="preserve"> RECURRENTE, </w:t>
      </w:r>
      <w:r w:rsidRPr="00A72110">
        <w:rPr>
          <w:rFonts w:ascii="Palatino Linotype" w:eastAsia="Palatino Linotype" w:hAnsi="Palatino Linotype" w:cs="Palatino Linotype"/>
          <w:sz w:val="24"/>
          <w:szCs w:val="24"/>
        </w:rPr>
        <w:t xml:space="preserve">en contra de la falta de respuesta del </w:t>
      </w:r>
      <w:r w:rsidRPr="00A72110">
        <w:rPr>
          <w:rFonts w:ascii="Palatino Linotype" w:eastAsia="Palatino Linotype" w:hAnsi="Palatino Linotype" w:cs="Palatino Linotype"/>
          <w:b/>
          <w:bCs/>
          <w:color w:val="000000"/>
          <w:sz w:val="24"/>
          <w:szCs w:val="24"/>
        </w:rPr>
        <w:t>Ayuntamiento de Tecámac</w:t>
      </w:r>
      <w:r w:rsidRPr="00A72110">
        <w:rPr>
          <w:rFonts w:ascii="Palatino Linotype" w:eastAsia="Palatino Linotype" w:hAnsi="Palatino Linotype" w:cs="Palatino Linotype"/>
          <w:b/>
          <w:bCs/>
          <w:sz w:val="24"/>
          <w:szCs w:val="24"/>
        </w:rPr>
        <w:t xml:space="preserve">, </w:t>
      </w:r>
      <w:r w:rsidRPr="00A72110">
        <w:rPr>
          <w:rFonts w:ascii="Palatino Linotype" w:eastAsia="Palatino Linotype" w:hAnsi="Palatino Linotype" w:cs="Palatino Linotype"/>
          <w:sz w:val="24"/>
          <w:szCs w:val="24"/>
        </w:rPr>
        <w:t xml:space="preserve">en adelante </w:t>
      </w:r>
      <w:r w:rsidRPr="00A72110">
        <w:rPr>
          <w:rFonts w:ascii="Palatino Linotype" w:eastAsia="Palatino Linotype" w:hAnsi="Palatino Linotype" w:cs="Palatino Linotype"/>
          <w:b/>
          <w:bCs/>
          <w:sz w:val="24"/>
          <w:szCs w:val="24"/>
        </w:rPr>
        <w:t xml:space="preserve">EL SUJETO OBLIGADO, </w:t>
      </w:r>
      <w:r w:rsidRPr="00A72110">
        <w:rPr>
          <w:rFonts w:ascii="Palatino Linotype" w:eastAsia="Palatino Linotype" w:hAnsi="Palatino Linotype" w:cs="Palatino Linotype"/>
          <w:sz w:val="24"/>
          <w:szCs w:val="24"/>
        </w:rPr>
        <w:t xml:space="preserve">en lo conducente se procede a dictar la presente resolución: </w:t>
      </w:r>
    </w:p>
    <w:p w:rsidR="00202676" w:rsidRPr="00A72110" w:rsidRDefault="00202676">
      <w:pPr>
        <w:spacing w:after="0" w:line="360" w:lineRule="auto"/>
        <w:ind w:right="-269"/>
        <w:jc w:val="both"/>
        <w:rPr>
          <w:rFonts w:ascii="Palatino Linotype" w:eastAsia="Palatino Linotype" w:hAnsi="Palatino Linotype" w:cs="Palatino Linotype"/>
          <w:sz w:val="24"/>
          <w:szCs w:val="24"/>
        </w:rPr>
      </w:pPr>
    </w:p>
    <w:p w:rsidR="00202676" w:rsidRPr="00A72110" w:rsidRDefault="003F0206">
      <w:pPr>
        <w:spacing w:after="0" w:line="360" w:lineRule="auto"/>
        <w:ind w:right="-269"/>
        <w:jc w:val="center"/>
        <w:rPr>
          <w:rFonts w:ascii="Palatino Linotype" w:eastAsia="Palatino Linotype" w:hAnsi="Palatino Linotype" w:cs="Palatino Linotype"/>
          <w:b/>
          <w:bCs/>
          <w:sz w:val="24"/>
          <w:szCs w:val="24"/>
        </w:rPr>
      </w:pPr>
      <w:r w:rsidRPr="00A72110">
        <w:rPr>
          <w:rFonts w:ascii="Palatino Linotype" w:eastAsia="Palatino Linotype" w:hAnsi="Palatino Linotype" w:cs="Palatino Linotype"/>
          <w:b/>
          <w:bCs/>
          <w:sz w:val="24"/>
          <w:szCs w:val="24"/>
        </w:rPr>
        <w:t>A N T E C E D E N T E S</w:t>
      </w:r>
    </w:p>
    <w:p w:rsidR="00202676" w:rsidRPr="00A72110" w:rsidRDefault="00202676">
      <w:pPr>
        <w:spacing w:after="0" w:line="360" w:lineRule="auto"/>
        <w:ind w:right="-269"/>
        <w:rPr>
          <w:rFonts w:ascii="Palatino Linotype" w:eastAsia="Palatino Linotype" w:hAnsi="Palatino Linotype" w:cs="Palatino Linotype"/>
          <w:b/>
          <w:bCs/>
          <w:sz w:val="24"/>
          <w:szCs w:val="24"/>
        </w:rPr>
      </w:pPr>
    </w:p>
    <w:p w:rsidR="00202676" w:rsidRPr="00A72110" w:rsidRDefault="003F0206">
      <w:pPr>
        <w:numPr>
          <w:ilvl w:val="0"/>
          <w:numId w:val="4"/>
        </w:numPr>
        <w:pBdr>
          <w:top w:val="nil"/>
          <w:left w:val="nil"/>
          <w:bottom w:val="nil"/>
          <w:right w:val="nil"/>
          <w:between w:val="nil"/>
        </w:pBdr>
        <w:spacing w:after="0" w:line="360" w:lineRule="auto"/>
        <w:ind w:left="0" w:right="-269" w:firstLine="0"/>
        <w:jc w:val="both"/>
        <w:rPr>
          <w:color w:val="000000"/>
          <w:sz w:val="24"/>
          <w:szCs w:val="24"/>
        </w:rPr>
      </w:pPr>
      <w:r w:rsidRPr="00A72110">
        <w:rPr>
          <w:rFonts w:ascii="Palatino Linotype" w:eastAsia="Palatino Linotype" w:hAnsi="Palatino Linotype" w:cs="Palatino Linotype"/>
          <w:color w:val="000000"/>
          <w:sz w:val="24"/>
          <w:szCs w:val="24"/>
        </w:rPr>
        <w:t xml:space="preserve">El </w:t>
      </w:r>
      <w:r w:rsidRPr="00A72110">
        <w:rPr>
          <w:rFonts w:ascii="Palatino Linotype" w:eastAsia="Palatino Linotype" w:hAnsi="Palatino Linotype" w:cs="Palatino Linotype"/>
          <w:b/>
          <w:bCs/>
          <w:color w:val="000000"/>
          <w:sz w:val="24"/>
          <w:szCs w:val="24"/>
        </w:rPr>
        <w:t xml:space="preserve">nueve de diciembre de dos mil veinticinco, EL RECURRENTE, </w:t>
      </w:r>
      <w:r w:rsidRPr="00A72110">
        <w:rPr>
          <w:rFonts w:ascii="Palatino Linotype" w:eastAsia="Palatino Linotype" w:hAnsi="Palatino Linotype" w:cs="Palatino Linotype"/>
          <w:color w:val="000000"/>
          <w:sz w:val="24"/>
          <w:szCs w:val="24"/>
        </w:rPr>
        <w:t xml:space="preserve">presentó a través del Sistema de Acceso a la Información Mexiquense (SAIMEX), la solicitud de acceso a la información pública, con número de folio </w:t>
      </w:r>
      <w:r w:rsidRPr="00A72110">
        <w:rPr>
          <w:rFonts w:ascii="Palatino Linotype" w:eastAsia="Palatino Linotype" w:hAnsi="Palatino Linotype" w:cs="Palatino Linotype"/>
          <w:b/>
          <w:bCs/>
          <w:color w:val="000000"/>
          <w:sz w:val="24"/>
          <w:szCs w:val="24"/>
        </w:rPr>
        <w:t xml:space="preserve"> 00289/TECAMAC/IP/2025</w:t>
      </w:r>
      <w:r w:rsidRPr="00A72110">
        <w:rPr>
          <w:rFonts w:ascii="Palatino Linotype" w:eastAsia="Palatino Linotype" w:hAnsi="Palatino Linotype" w:cs="Palatino Linotype"/>
          <w:color w:val="000000"/>
          <w:sz w:val="24"/>
          <w:szCs w:val="24"/>
        </w:rPr>
        <w:t>, en la que solicitó</w:t>
      </w:r>
      <w:r w:rsidRPr="00A72110">
        <w:rPr>
          <w:rFonts w:ascii="Palatino Linotype" w:eastAsia="Palatino Linotype" w:hAnsi="Palatino Linotype" w:cs="Palatino Linotype"/>
          <w:b/>
          <w:bCs/>
          <w:color w:val="000000"/>
          <w:sz w:val="24"/>
          <w:szCs w:val="24"/>
        </w:rPr>
        <w:t xml:space="preserve"> </w:t>
      </w:r>
      <w:r w:rsidRPr="00A72110">
        <w:rPr>
          <w:rFonts w:ascii="Palatino Linotype" w:eastAsia="Palatino Linotype" w:hAnsi="Palatino Linotype" w:cs="Palatino Linotype"/>
          <w:color w:val="000000"/>
          <w:sz w:val="24"/>
          <w:szCs w:val="24"/>
        </w:rPr>
        <w:t xml:space="preserve">lo siguiente: </w:t>
      </w:r>
    </w:p>
    <w:p w:rsidR="00202676" w:rsidRPr="00A72110" w:rsidRDefault="00202676">
      <w:pPr>
        <w:pBdr>
          <w:top w:val="nil"/>
          <w:left w:val="nil"/>
          <w:bottom w:val="nil"/>
          <w:right w:val="nil"/>
          <w:between w:val="nil"/>
        </w:pBdr>
        <w:spacing w:after="0" w:line="360" w:lineRule="auto"/>
        <w:ind w:right="-269"/>
        <w:jc w:val="both"/>
        <w:rPr>
          <w:rFonts w:ascii="Palatino Linotype" w:eastAsia="Palatino Linotype" w:hAnsi="Palatino Linotype" w:cs="Palatino Linotype"/>
          <w:color w:val="000000"/>
          <w:sz w:val="24"/>
          <w:szCs w:val="24"/>
        </w:rPr>
      </w:pPr>
    </w:p>
    <w:p w:rsidR="00202676" w:rsidRPr="00A72110" w:rsidRDefault="003F0206">
      <w:pPr>
        <w:pBdr>
          <w:top w:val="nil"/>
          <w:left w:val="nil"/>
          <w:bottom w:val="nil"/>
          <w:right w:val="nil"/>
          <w:between w:val="nil"/>
        </w:pBdr>
        <w:spacing w:after="0" w:line="360" w:lineRule="auto"/>
        <w:ind w:left="426" w:right="-269"/>
        <w:jc w:val="both"/>
        <w:rPr>
          <w:rFonts w:ascii="Palatino Linotype" w:eastAsia="Palatino Linotype" w:hAnsi="Palatino Linotype" w:cs="Palatino Linotype"/>
          <w:i/>
          <w:iCs/>
          <w:color w:val="000000"/>
          <w:sz w:val="24"/>
          <w:szCs w:val="24"/>
        </w:rPr>
      </w:pPr>
      <w:r w:rsidRPr="00A72110">
        <w:rPr>
          <w:rFonts w:ascii="Palatino Linotype" w:eastAsia="Palatino Linotype" w:hAnsi="Palatino Linotype" w:cs="Palatino Linotype"/>
          <w:i/>
          <w:iCs/>
          <w:color w:val="000000"/>
          <w:sz w:val="24"/>
          <w:szCs w:val="24"/>
        </w:rPr>
        <w:t>“Requiero los contratos celebrados en 2025, incluyendo anexos, terminos de referencia y condiviones 8del imdeporte y de la administración centralizada del ayuntamiento de tecamac,” (Sic)</w:t>
      </w:r>
    </w:p>
    <w:p w:rsidR="00202676" w:rsidRPr="00A72110" w:rsidRDefault="00202676">
      <w:pPr>
        <w:pBdr>
          <w:top w:val="nil"/>
          <w:left w:val="nil"/>
          <w:bottom w:val="nil"/>
          <w:right w:val="nil"/>
          <w:between w:val="nil"/>
        </w:pBdr>
        <w:spacing w:after="0" w:line="360" w:lineRule="auto"/>
        <w:ind w:right="-269"/>
        <w:jc w:val="both"/>
        <w:rPr>
          <w:rFonts w:ascii="Palatino Linotype" w:eastAsia="Palatino Linotype" w:hAnsi="Palatino Linotype" w:cs="Palatino Linotype"/>
          <w:color w:val="000000"/>
          <w:sz w:val="24"/>
          <w:szCs w:val="24"/>
        </w:rPr>
      </w:pPr>
    </w:p>
    <w:p w:rsidR="00202676" w:rsidRDefault="003F0206">
      <w:pPr>
        <w:spacing w:line="360" w:lineRule="auto"/>
        <w:ind w:right="-269" w:firstLine="426"/>
        <w:jc w:val="both"/>
        <w:rPr>
          <w:rFonts w:ascii="Palatino Linotype" w:eastAsia="Palatino Linotype" w:hAnsi="Palatino Linotype" w:cs="Palatino Linotype"/>
          <w:b/>
          <w:bCs/>
          <w:sz w:val="24"/>
          <w:szCs w:val="24"/>
        </w:rPr>
      </w:pPr>
      <w:r w:rsidRPr="00A72110">
        <w:rPr>
          <w:rFonts w:ascii="Palatino Linotype" w:eastAsia="Palatino Linotype" w:hAnsi="Palatino Linotype" w:cs="Palatino Linotype"/>
          <w:b/>
          <w:bCs/>
          <w:sz w:val="24"/>
          <w:szCs w:val="24"/>
        </w:rPr>
        <w:t>Modalidad de entrega</w:t>
      </w:r>
      <w:r w:rsidRPr="00A72110">
        <w:rPr>
          <w:rFonts w:ascii="Palatino Linotype" w:eastAsia="Palatino Linotype" w:hAnsi="Palatino Linotype" w:cs="Palatino Linotype"/>
          <w:sz w:val="24"/>
          <w:szCs w:val="24"/>
        </w:rPr>
        <w:t xml:space="preserve">: a través del </w:t>
      </w:r>
      <w:r w:rsidRPr="00A72110">
        <w:rPr>
          <w:rFonts w:ascii="Palatino Linotype" w:eastAsia="Palatino Linotype" w:hAnsi="Palatino Linotype" w:cs="Palatino Linotype"/>
          <w:b/>
          <w:bCs/>
          <w:sz w:val="24"/>
          <w:szCs w:val="24"/>
        </w:rPr>
        <w:t>SAIMEX.</w:t>
      </w:r>
    </w:p>
    <w:p w:rsidR="00A72110" w:rsidRPr="00A72110" w:rsidRDefault="00A72110">
      <w:pPr>
        <w:spacing w:line="360" w:lineRule="auto"/>
        <w:ind w:right="-269" w:firstLine="426"/>
        <w:jc w:val="both"/>
        <w:rPr>
          <w:rFonts w:ascii="Palatino Linotype" w:eastAsia="Palatino Linotype" w:hAnsi="Palatino Linotype" w:cs="Palatino Linotype"/>
          <w:b/>
          <w:bCs/>
          <w:sz w:val="24"/>
          <w:szCs w:val="24"/>
        </w:rPr>
      </w:pPr>
    </w:p>
    <w:p w:rsidR="00202676" w:rsidRPr="00A72110" w:rsidRDefault="003F0206">
      <w:pPr>
        <w:numPr>
          <w:ilvl w:val="0"/>
          <w:numId w:val="4"/>
        </w:numPr>
        <w:pBdr>
          <w:top w:val="nil"/>
          <w:left w:val="nil"/>
          <w:bottom w:val="nil"/>
          <w:right w:val="nil"/>
          <w:between w:val="nil"/>
        </w:pBdr>
        <w:spacing w:after="0" w:line="360" w:lineRule="auto"/>
        <w:ind w:left="0" w:right="-269" w:firstLine="0"/>
        <w:jc w:val="both"/>
        <w:rPr>
          <w:rFonts w:ascii="Palatino Linotype" w:eastAsia="Palatino Linotype" w:hAnsi="Palatino Linotype" w:cs="Palatino Linotype"/>
          <w:b/>
          <w:bCs/>
          <w:color w:val="000000"/>
          <w:sz w:val="24"/>
          <w:szCs w:val="24"/>
        </w:rPr>
      </w:pPr>
      <w:r w:rsidRPr="00A72110">
        <w:rPr>
          <w:rFonts w:ascii="Palatino Linotype" w:eastAsia="Palatino Linotype" w:hAnsi="Palatino Linotype" w:cs="Palatino Linotype"/>
          <w:b/>
          <w:bCs/>
          <w:color w:val="000000"/>
          <w:sz w:val="24"/>
          <w:szCs w:val="24"/>
        </w:rPr>
        <w:lastRenderedPageBreak/>
        <w:t xml:space="preserve">El nueve de diciembre de dos mil veinticinco, </w:t>
      </w:r>
      <w:r w:rsidRPr="00A72110">
        <w:rPr>
          <w:rFonts w:ascii="Palatino Linotype" w:eastAsia="Palatino Linotype" w:hAnsi="Palatino Linotype" w:cs="Palatino Linotype"/>
          <w:color w:val="000000"/>
          <w:sz w:val="24"/>
          <w:szCs w:val="24"/>
        </w:rPr>
        <w:t>el Sujeto Obligado realizó una solicitud de aclaración en el siguiente sentido:</w:t>
      </w:r>
    </w:p>
    <w:tbl>
      <w:tblPr>
        <w:tblStyle w:val="a"/>
        <w:tblW w:w="8231" w:type="dxa"/>
        <w:jc w:val="center"/>
        <w:tblInd w:w="0" w:type="dxa"/>
        <w:tblLayout w:type="fixed"/>
        <w:tblLook w:val="0400" w:firstRow="0" w:lastRow="0" w:firstColumn="0" w:lastColumn="0" w:noHBand="0" w:noVBand="1"/>
      </w:tblPr>
      <w:tblGrid>
        <w:gridCol w:w="8231"/>
      </w:tblGrid>
      <w:tr w:rsidR="00202676" w:rsidRPr="00A72110">
        <w:trPr>
          <w:trHeight w:val="295"/>
          <w:jc w:val="center"/>
        </w:trPr>
        <w:tc>
          <w:tcPr>
            <w:tcW w:w="8231" w:type="dxa"/>
            <w:vAlign w:val="center"/>
          </w:tcPr>
          <w:p w:rsidR="00202676" w:rsidRPr="00A72110" w:rsidRDefault="003F0206" w:rsidP="00507DA8">
            <w:pPr>
              <w:spacing w:after="0" w:line="240" w:lineRule="auto"/>
              <w:ind w:right="284"/>
              <w:jc w:val="right"/>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t>“Tecámac, México a 09 de Diciembre de 2025</w:t>
            </w:r>
          </w:p>
        </w:tc>
      </w:tr>
      <w:tr w:rsidR="00202676" w:rsidRPr="00A72110">
        <w:trPr>
          <w:trHeight w:val="295"/>
          <w:jc w:val="center"/>
        </w:trPr>
        <w:tc>
          <w:tcPr>
            <w:tcW w:w="8231" w:type="dxa"/>
            <w:vAlign w:val="center"/>
          </w:tcPr>
          <w:p w:rsidR="00202676" w:rsidRPr="00A72110" w:rsidRDefault="003F0206" w:rsidP="00507DA8">
            <w:pPr>
              <w:spacing w:after="0" w:line="240" w:lineRule="auto"/>
              <w:ind w:right="284"/>
              <w:jc w:val="right"/>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t>Nombre del solicitante: C. Solicitante</w:t>
            </w:r>
          </w:p>
        </w:tc>
      </w:tr>
      <w:tr w:rsidR="00202676" w:rsidRPr="00A72110">
        <w:trPr>
          <w:trHeight w:val="295"/>
          <w:jc w:val="center"/>
        </w:trPr>
        <w:tc>
          <w:tcPr>
            <w:tcW w:w="8231" w:type="dxa"/>
            <w:vAlign w:val="center"/>
          </w:tcPr>
          <w:p w:rsidR="00202676" w:rsidRPr="00A72110" w:rsidRDefault="003F0206" w:rsidP="00507DA8">
            <w:pPr>
              <w:spacing w:after="0" w:line="240" w:lineRule="auto"/>
              <w:ind w:right="284"/>
              <w:jc w:val="right"/>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t>Folio de la solicitud: 00289/TECAMAC/IP/2025</w:t>
            </w:r>
          </w:p>
        </w:tc>
      </w:tr>
      <w:tr w:rsidR="00202676" w:rsidRPr="00A72110">
        <w:trPr>
          <w:trHeight w:val="443"/>
          <w:jc w:val="center"/>
        </w:trPr>
        <w:tc>
          <w:tcPr>
            <w:tcW w:w="8231" w:type="dxa"/>
            <w:vAlign w:val="center"/>
          </w:tcPr>
          <w:p w:rsidR="00202676" w:rsidRPr="00A72110" w:rsidRDefault="00202676" w:rsidP="00507DA8">
            <w:pPr>
              <w:spacing w:after="0" w:line="240" w:lineRule="auto"/>
              <w:ind w:right="284"/>
              <w:jc w:val="right"/>
              <w:rPr>
                <w:rFonts w:ascii="Palatino Linotype" w:eastAsia="Palatino Linotype" w:hAnsi="Palatino Linotype" w:cs="Palatino Linotype"/>
                <w:i/>
                <w:iCs/>
                <w:sz w:val="24"/>
                <w:szCs w:val="24"/>
              </w:rPr>
            </w:pPr>
          </w:p>
        </w:tc>
      </w:tr>
      <w:tr w:rsidR="00202676" w:rsidRPr="00A72110">
        <w:trPr>
          <w:trHeight w:val="147"/>
          <w:jc w:val="center"/>
        </w:trPr>
        <w:tc>
          <w:tcPr>
            <w:tcW w:w="8231" w:type="dxa"/>
            <w:vAlign w:val="center"/>
          </w:tcPr>
          <w:p w:rsidR="00202676" w:rsidRPr="00A72110" w:rsidRDefault="003F0206" w:rsidP="00507DA8">
            <w:pPr>
              <w:spacing w:after="0" w:line="240" w:lineRule="auto"/>
              <w:ind w:right="284"/>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t>Con fundamento en el articulo 159 de la Ley de Transparencia y Acceso a la Información Pública del Estado de México y Municipios, se le requiere para que dentro del plazo de diez días hábiles realice lo siguiente:</w:t>
            </w:r>
          </w:p>
        </w:tc>
      </w:tr>
      <w:tr w:rsidR="00202676" w:rsidRPr="00A72110">
        <w:trPr>
          <w:trHeight w:val="369"/>
          <w:jc w:val="center"/>
        </w:trPr>
        <w:tc>
          <w:tcPr>
            <w:tcW w:w="8231" w:type="dxa"/>
            <w:vAlign w:val="center"/>
          </w:tcPr>
          <w:p w:rsidR="00202676" w:rsidRPr="00A72110" w:rsidRDefault="00202676" w:rsidP="00507DA8">
            <w:pPr>
              <w:spacing w:after="0" w:line="240" w:lineRule="auto"/>
              <w:ind w:right="284"/>
              <w:rPr>
                <w:rFonts w:ascii="Palatino Linotype" w:eastAsia="Palatino Linotype" w:hAnsi="Palatino Linotype" w:cs="Palatino Linotype"/>
                <w:i/>
                <w:iCs/>
                <w:sz w:val="24"/>
                <w:szCs w:val="24"/>
              </w:rPr>
            </w:pPr>
          </w:p>
        </w:tc>
      </w:tr>
      <w:tr w:rsidR="00202676" w:rsidRPr="00A72110">
        <w:trPr>
          <w:trHeight w:val="147"/>
          <w:jc w:val="center"/>
        </w:trPr>
        <w:tc>
          <w:tcPr>
            <w:tcW w:w="8231" w:type="dxa"/>
            <w:vAlign w:val="center"/>
          </w:tcPr>
          <w:p w:rsidR="00202676" w:rsidRPr="00A72110" w:rsidRDefault="003F0206" w:rsidP="00507DA8">
            <w:pPr>
              <w:spacing w:after="0" w:line="240" w:lineRule="auto"/>
              <w:ind w:right="284"/>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t>Se requiere complementación de datos, particularmente en lo relativo al tipo de contratos solicitados</w:t>
            </w:r>
          </w:p>
        </w:tc>
      </w:tr>
      <w:tr w:rsidR="00202676" w:rsidRPr="00A72110">
        <w:trPr>
          <w:trHeight w:val="369"/>
          <w:jc w:val="center"/>
        </w:trPr>
        <w:tc>
          <w:tcPr>
            <w:tcW w:w="8231" w:type="dxa"/>
            <w:vAlign w:val="center"/>
          </w:tcPr>
          <w:p w:rsidR="00202676" w:rsidRPr="00A72110" w:rsidRDefault="00202676" w:rsidP="00507DA8">
            <w:pPr>
              <w:spacing w:after="0" w:line="240" w:lineRule="auto"/>
              <w:ind w:right="284"/>
              <w:rPr>
                <w:rFonts w:ascii="Palatino Linotype" w:eastAsia="Palatino Linotype" w:hAnsi="Palatino Linotype" w:cs="Palatino Linotype"/>
                <w:i/>
                <w:iCs/>
                <w:sz w:val="24"/>
                <w:szCs w:val="24"/>
              </w:rPr>
            </w:pPr>
          </w:p>
        </w:tc>
      </w:tr>
      <w:tr w:rsidR="00202676" w:rsidRPr="00A72110">
        <w:trPr>
          <w:trHeight w:val="147"/>
          <w:jc w:val="center"/>
        </w:trPr>
        <w:tc>
          <w:tcPr>
            <w:tcW w:w="8231" w:type="dxa"/>
            <w:vAlign w:val="center"/>
          </w:tcPr>
          <w:p w:rsidR="00202676" w:rsidRPr="00A72110" w:rsidRDefault="003F0206" w:rsidP="00507DA8">
            <w:pPr>
              <w:spacing w:after="0" w:line="240" w:lineRule="auto"/>
              <w:ind w:right="284"/>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tc>
      </w:tr>
      <w:tr w:rsidR="00202676" w:rsidRPr="00A72110">
        <w:trPr>
          <w:trHeight w:val="178"/>
          <w:jc w:val="center"/>
        </w:trPr>
        <w:tc>
          <w:tcPr>
            <w:tcW w:w="8231" w:type="dxa"/>
            <w:vAlign w:val="center"/>
          </w:tcPr>
          <w:p w:rsidR="00202676" w:rsidRPr="00A72110" w:rsidRDefault="00202676" w:rsidP="00507DA8">
            <w:pPr>
              <w:spacing w:after="0" w:line="240" w:lineRule="auto"/>
              <w:ind w:right="284"/>
              <w:rPr>
                <w:rFonts w:ascii="Palatino Linotype" w:eastAsia="Palatino Linotype" w:hAnsi="Palatino Linotype" w:cs="Palatino Linotype"/>
                <w:i/>
                <w:iCs/>
                <w:sz w:val="24"/>
                <w:szCs w:val="24"/>
              </w:rPr>
            </w:pPr>
          </w:p>
        </w:tc>
      </w:tr>
      <w:tr w:rsidR="00202676" w:rsidRPr="00A72110">
        <w:trPr>
          <w:trHeight w:val="147"/>
          <w:jc w:val="center"/>
        </w:trPr>
        <w:tc>
          <w:tcPr>
            <w:tcW w:w="8231" w:type="dxa"/>
            <w:vAlign w:val="center"/>
          </w:tcPr>
          <w:p w:rsidR="00202676" w:rsidRPr="00A72110" w:rsidRDefault="003F0206" w:rsidP="00507DA8">
            <w:pPr>
              <w:spacing w:after="0" w:line="240" w:lineRule="auto"/>
              <w:ind w:right="284"/>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t>ATENTAMENTE”</w:t>
            </w:r>
          </w:p>
        </w:tc>
      </w:tr>
      <w:tr w:rsidR="00202676" w:rsidRPr="00A72110">
        <w:trPr>
          <w:trHeight w:val="221"/>
          <w:jc w:val="center"/>
        </w:trPr>
        <w:tc>
          <w:tcPr>
            <w:tcW w:w="8231" w:type="dxa"/>
            <w:vAlign w:val="center"/>
          </w:tcPr>
          <w:p w:rsidR="00202676" w:rsidRPr="00A72110" w:rsidRDefault="00202676" w:rsidP="00507DA8">
            <w:pPr>
              <w:spacing w:after="0" w:line="240" w:lineRule="auto"/>
              <w:ind w:right="284"/>
              <w:rPr>
                <w:rFonts w:ascii="Palatino Linotype" w:eastAsia="Palatino Linotype" w:hAnsi="Palatino Linotype" w:cs="Palatino Linotype"/>
                <w:i/>
                <w:iCs/>
                <w:sz w:val="24"/>
                <w:szCs w:val="24"/>
              </w:rPr>
            </w:pPr>
          </w:p>
        </w:tc>
      </w:tr>
      <w:tr w:rsidR="00202676" w:rsidRPr="00A72110">
        <w:trPr>
          <w:trHeight w:val="147"/>
          <w:jc w:val="center"/>
        </w:trPr>
        <w:tc>
          <w:tcPr>
            <w:tcW w:w="8231" w:type="dxa"/>
            <w:vAlign w:val="center"/>
          </w:tcPr>
          <w:p w:rsidR="00202676" w:rsidRPr="00A72110" w:rsidRDefault="00202676" w:rsidP="00507DA8">
            <w:pPr>
              <w:spacing w:after="0" w:line="240" w:lineRule="auto"/>
              <w:ind w:right="284"/>
              <w:rPr>
                <w:rFonts w:ascii="Palatino Linotype" w:eastAsia="Palatino Linotype" w:hAnsi="Palatino Linotype" w:cs="Palatino Linotype"/>
                <w:i/>
                <w:iCs/>
                <w:sz w:val="24"/>
                <w:szCs w:val="24"/>
              </w:rPr>
            </w:pPr>
          </w:p>
        </w:tc>
      </w:tr>
    </w:tbl>
    <w:p w:rsidR="00202676" w:rsidRPr="00A72110" w:rsidRDefault="003F0206">
      <w:pPr>
        <w:numPr>
          <w:ilvl w:val="0"/>
          <w:numId w:val="3"/>
        </w:numPr>
        <w:pBdr>
          <w:top w:val="nil"/>
          <w:left w:val="nil"/>
          <w:bottom w:val="nil"/>
          <w:right w:val="nil"/>
          <w:between w:val="nil"/>
        </w:pBdr>
        <w:spacing w:after="0" w:line="360" w:lineRule="auto"/>
        <w:ind w:right="-269"/>
        <w:jc w:val="both"/>
        <w:rPr>
          <w:rFonts w:ascii="Palatino Linotype" w:eastAsia="Palatino Linotype" w:hAnsi="Palatino Linotype" w:cs="Palatino Linotype"/>
          <w:color w:val="000000"/>
          <w:sz w:val="24"/>
          <w:szCs w:val="24"/>
        </w:rPr>
      </w:pPr>
      <w:r w:rsidRPr="00A72110">
        <w:rPr>
          <w:rFonts w:ascii="Palatino Linotype" w:eastAsia="Palatino Linotype" w:hAnsi="Palatino Linotype" w:cs="Palatino Linotype"/>
          <w:color w:val="000000"/>
          <w:sz w:val="24"/>
          <w:szCs w:val="24"/>
        </w:rPr>
        <w:t xml:space="preserve">A la aclaración adjuntó el archivo electrónico denominado </w:t>
      </w:r>
      <w:hyperlink r:id="rId8">
        <w:r w:rsidRPr="00A72110">
          <w:rPr>
            <w:rFonts w:ascii="Palatino Linotype" w:eastAsia="Palatino Linotype" w:hAnsi="Palatino Linotype" w:cs="Palatino Linotype"/>
            <w:b/>
            <w:bCs/>
            <w:color w:val="0000FF"/>
            <w:sz w:val="24"/>
            <w:szCs w:val="24"/>
            <w:u w:val="single"/>
          </w:rPr>
          <w:t>SOLICITUD 289.pdf</w:t>
        </w:r>
      </w:hyperlink>
      <w:r w:rsidRPr="00A72110">
        <w:rPr>
          <w:rFonts w:ascii="Palatino Linotype" w:eastAsia="Palatino Linotype" w:hAnsi="Palatino Linotype" w:cs="Palatino Linotype"/>
          <w:color w:val="000000"/>
          <w:sz w:val="24"/>
          <w:szCs w:val="24"/>
        </w:rPr>
        <w:t xml:space="preserve">, en el que señaló: </w:t>
      </w:r>
      <w:bookmarkStart w:id="0" w:name="_GoBack"/>
      <w:bookmarkEnd w:id="0"/>
    </w:p>
    <w:p w:rsidR="00202676" w:rsidRPr="00A72110" w:rsidRDefault="00202676">
      <w:pPr>
        <w:pBdr>
          <w:top w:val="nil"/>
          <w:left w:val="nil"/>
          <w:bottom w:val="nil"/>
          <w:right w:val="nil"/>
          <w:between w:val="nil"/>
        </w:pBdr>
        <w:spacing w:after="0" w:line="360" w:lineRule="auto"/>
        <w:ind w:left="720" w:right="-269"/>
        <w:jc w:val="both"/>
        <w:rPr>
          <w:rFonts w:ascii="Palatino Linotype" w:eastAsia="Palatino Linotype" w:hAnsi="Palatino Linotype" w:cs="Palatino Linotype"/>
          <w:color w:val="000000"/>
          <w:sz w:val="24"/>
          <w:szCs w:val="24"/>
        </w:rPr>
      </w:pPr>
    </w:p>
    <w:p w:rsidR="00202676" w:rsidRPr="00A72110" w:rsidRDefault="003F0206">
      <w:pPr>
        <w:pBdr>
          <w:top w:val="nil"/>
          <w:left w:val="nil"/>
          <w:bottom w:val="nil"/>
          <w:right w:val="nil"/>
          <w:between w:val="nil"/>
        </w:pBdr>
        <w:spacing w:after="0" w:line="360" w:lineRule="auto"/>
        <w:ind w:left="851" w:right="-269"/>
        <w:jc w:val="both"/>
        <w:rPr>
          <w:rFonts w:ascii="Palatino Linotype" w:eastAsia="Palatino Linotype" w:hAnsi="Palatino Linotype" w:cs="Palatino Linotype"/>
          <w:i/>
          <w:iCs/>
          <w:color w:val="000000"/>
          <w:sz w:val="24"/>
          <w:szCs w:val="24"/>
        </w:rPr>
      </w:pPr>
      <w:r w:rsidRPr="00A72110">
        <w:rPr>
          <w:rFonts w:ascii="Palatino Linotype" w:eastAsia="Palatino Linotype" w:hAnsi="Palatino Linotype" w:cs="Palatino Linotype"/>
          <w:color w:val="000000"/>
          <w:sz w:val="24"/>
          <w:szCs w:val="24"/>
        </w:rPr>
        <w:t>“</w:t>
      </w:r>
      <w:r w:rsidRPr="00A72110">
        <w:rPr>
          <w:rFonts w:ascii="Palatino Linotype" w:eastAsia="Palatino Linotype" w:hAnsi="Palatino Linotype" w:cs="Palatino Linotype"/>
          <w:i/>
          <w:iCs/>
          <w:color w:val="000000"/>
          <w:sz w:val="24"/>
          <w:szCs w:val="24"/>
        </w:rPr>
        <w:t xml:space="preserve">Al respecto, una vez que ha sido analizada su solicitud de información, esta Unidad de Transparencia le informa que resulta necesario proporcione y/o complemente ciertos datos para estar en posibilidad de darle el debido seguimiento, toda vez que los elementos señalados en su petición resultan ambiguos, particularmente en lo relativo al tipo de contrato solicitado. </w:t>
      </w:r>
    </w:p>
    <w:p w:rsidR="00202676" w:rsidRPr="00A72110" w:rsidRDefault="003F0206">
      <w:pPr>
        <w:pBdr>
          <w:top w:val="nil"/>
          <w:left w:val="nil"/>
          <w:bottom w:val="nil"/>
          <w:right w:val="nil"/>
          <w:between w:val="nil"/>
        </w:pBdr>
        <w:spacing w:after="0" w:line="360" w:lineRule="auto"/>
        <w:ind w:left="851" w:right="-269"/>
        <w:jc w:val="both"/>
        <w:rPr>
          <w:rFonts w:ascii="Palatino Linotype" w:eastAsia="Palatino Linotype" w:hAnsi="Palatino Linotype" w:cs="Palatino Linotype"/>
          <w:i/>
          <w:iCs/>
          <w:color w:val="000000"/>
          <w:sz w:val="24"/>
          <w:szCs w:val="24"/>
        </w:rPr>
      </w:pPr>
      <w:r w:rsidRPr="00A72110">
        <w:rPr>
          <w:rFonts w:ascii="Palatino Linotype" w:eastAsia="Palatino Linotype" w:hAnsi="Palatino Linotype" w:cs="Palatino Linotype"/>
          <w:i/>
          <w:iCs/>
          <w:color w:val="000000"/>
          <w:sz w:val="24"/>
          <w:szCs w:val="24"/>
        </w:rPr>
        <w:t>…</w:t>
      </w:r>
    </w:p>
    <w:p w:rsidR="00202676" w:rsidRPr="00A72110" w:rsidRDefault="003F0206">
      <w:pPr>
        <w:pBdr>
          <w:top w:val="nil"/>
          <w:left w:val="nil"/>
          <w:bottom w:val="nil"/>
          <w:right w:val="nil"/>
          <w:between w:val="nil"/>
        </w:pBdr>
        <w:spacing w:after="0" w:line="360" w:lineRule="auto"/>
        <w:ind w:left="851" w:right="-269"/>
        <w:jc w:val="both"/>
        <w:rPr>
          <w:rFonts w:ascii="Palatino Linotype" w:eastAsia="Palatino Linotype" w:hAnsi="Palatino Linotype" w:cs="Palatino Linotype"/>
          <w:color w:val="000000"/>
          <w:sz w:val="24"/>
          <w:szCs w:val="24"/>
        </w:rPr>
      </w:pPr>
      <w:r w:rsidRPr="00A72110">
        <w:rPr>
          <w:rFonts w:ascii="Palatino Linotype" w:eastAsia="Palatino Linotype" w:hAnsi="Palatino Linotype" w:cs="Palatino Linotype"/>
          <w:i/>
          <w:iCs/>
          <w:color w:val="000000"/>
          <w:sz w:val="24"/>
          <w:szCs w:val="24"/>
        </w:rPr>
        <w:t xml:space="preserve">Asimismo, se le informa que </w:t>
      </w:r>
      <w:r w:rsidRPr="00A72110">
        <w:rPr>
          <w:rFonts w:ascii="Palatino Linotype" w:eastAsia="Palatino Linotype" w:hAnsi="Palatino Linotype" w:cs="Palatino Linotype"/>
          <w:b/>
          <w:bCs/>
          <w:i/>
          <w:iCs/>
          <w:color w:val="000000"/>
          <w:sz w:val="24"/>
          <w:szCs w:val="24"/>
        </w:rPr>
        <w:t xml:space="preserve">la información relativa al organismo descentralizado “imdepcrte” a la que usted hace referencia no obra en los archivos de esta </w:t>
      </w:r>
      <w:r w:rsidRPr="00A72110">
        <w:rPr>
          <w:rFonts w:ascii="Palatino Linotype" w:eastAsia="Palatino Linotype" w:hAnsi="Palatino Linotype" w:cs="Palatino Linotype"/>
          <w:b/>
          <w:bCs/>
          <w:i/>
          <w:iCs/>
          <w:color w:val="000000"/>
          <w:sz w:val="24"/>
          <w:szCs w:val="24"/>
        </w:rPr>
        <w:lastRenderedPageBreak/>
        <w:t>dependencia, ni es generada, administrada o resguardada por la misma, por lo que esta Unidad de Transparencia no resulta competente para atender su petició</w:t>
      </w:r>
      <w:r w:rsidRPr="00A72110">
        <w:rPr>
          <w:rFonts w:ascii="Palatino Linotype" w:eastAsia="Palatino Linotype" w:hAnsi="Palatino Linotype" w:cs="Palatino Linotype"/>
          <w:b/>
          <w:bCs/>
          <w:color w:val="000000"/>
          <w:sz w:val="24"/>
          <w:szCs w:val="24"/>
        </w:rPr>
        <w:t>n</w:t>
      </w:r>
      <w:r w:rsidRPr="00A72110">
        <w:rPr>
          <w:rFonts w:ascii="Palatino Linotype" w:eastAsia="Palatino Linotype" w:hAnsi="Palatino Linotype" w:cs="Palatino Linotype"/>
          <w:color w:val="000000"/>
          <w:sz w:val="24"/>
          <w:szCs w:val="24"/>
        </w:rPr>
        <w:t xml:space="preserve">”. </w:t>
      </w:r>
    </w:p>
    <w:p w:rsidR="00202676" w:rsidRPr="00A72110" w:rsidRDefault="00202676">
      <w:pPr>
        <w:pBdr>
          <w:top w:val="nil"/>
          <w:left w:val="nil"/>
          <w:bottom w:val="nil"/>
          <w:right w:val="nil"/>
          <w:between w:val="nil"/>
        </w:pBdr>
        <w:spacing w:after="0" w:line="360" w:lineRule="auto"/>
        <w:ind w:left="851" w:right="-269"/>
        <w:jc w:val="both"/>
        <w:rPr>
          <w:rFonts w:ascii="Palatino Linotype" w:eastAsia="Palatino Linotype" w:hAnsi="Palatino Linotype" w:cs="Palatino Linotype"/>
          <w:color w:val="000000"/>
          <w:sz w:val="24"/>
          <w:szCs w:val="24"/>
        </w:rPr>
      </w:pPr>
    </w:p>
    <w:p w:rsidR="00202676" w:rsidRPr="00A72110" w:rsidRDefault="003F0206">
      <w:pPr>
        <w:pBdr>
          <w:top w:val="nil"/>
          <w:left w:val="nil"/>
          <w:bottom w:val="nil"/>
          <w:right w:val="nil"/>
          <w:between w:val="nil"/>
        </w:pBdr>
        <w:spacing w:after="0" w:line="360" w:lineRule="auto"/>
        <w:ind w:left="851" w:right="-269"/>
        <w:jc w:val="both"/>
        <w:rPr>
          <w:rFonts w:ascii="Palatino Linotype" w:eastAsia="Palatino Linotype" w:hAnsi="Palatino Linotype" w:cs="Palatino Linotype"/>
          <w:color w:val="000000"/>
          <w:sz w:val="24"/>
          <w:szCs w:val="24"/>
        </w:rPr>
      </w:pPr>
      <w:r w:rsidRPr="00A72110">
        <w:rPr>
          <w:rFonts w:ascii="Palatino Linotype" w:eastAsia="Palatino Linotype" w:hAnsi="Palatino Linotype" w:cs="Palatino Linotype"/>
          <w:color w:val="000000"/>
          <w:sz w:val="24"/>
          <w:szCs w:val="24"/>
        </w:rPr>
        <w:t xml:space="preserve">Asimismo, señaló que en su caso deberá dirigir su solicitud al organismo descentralizado correspondiente a través de la Plataforma Nacional de Transparencia o un link que adjuntó. </w:t>
      </w:r>
    </w:p>
    <w:p w:rsidR="00202676" w:rsidRPr="00A72110" w:rsidRDefault="00202676">
      <w:pPr>
        <w:pBdr>
          <w:top w:val="nil"/>
          <w:left w:val="nil"/>
          <w:bottom w:val="nil"/>
          <w:right w:val="nil"/>
          <w:between w:val="nil"/>
        </w:pBdr>
        <w:spacing w:after="0" w:line="360" w:lineRule="auto"/>
        <w:ind w:left="720" w:right="-269"/>
        <w:jc w:val="both"/>
        <w:rPr>
          <w:rFonts w:ascii="Palatino Linotype" w:eastAsia="Palatino Linotype" w:hAnsi="Palatino Linotype" w:cs="Palatino Linotype"/>
          <w:color w:val="000000"/>
          <w:sz w:val="24"/>
          <w:szCs w:val="24"/>
        </w:rPr>
      </w:pPr>
    </w:p>
    <w:p w:rsidR="00202676" w:rsidRPr="00A72110" w:rsidRDefault="003F0206">
      <w:pPr>
        <w:numPr>
          <w:ilvl w:val="0"/>
          <w:numId w:val="4"/>
        </w:numPr>
        <w:pBdr>
          <w:top w:val="nil"/>
          <w:left w:val="nil"/>
          <w:bottom w:val="nil"/>
          <w:right w:val="nil"/>
          <w:between w:val="nil"/>
        </w:pBdr>
        <w:spacing w:after="0" w:line="360" w:lineRule="auto"/>
        <w:ind w:left="0" w:right="-269" w:firstLine="0"/>
        <w:jc w:val="both"/>
        <w:rPr>
          <w:rFonts w:ascii="Palatino Linotype" w:eastAsia="Palatino Linotype" w:hAnsi="Palatino Linotype" w:cs="Palatino Linotype"/>
          <w:b/>
          <w:bCs/>
          <w:color w:val="000000"/>
          <w:sz w:val="24"/>
          <w:szCs w:val="24"/>
        </w:rPr>
      </w:pPr>
      <w:r w:rsidRPr="00A72110">
        <w:rPr>
          <w:rFonts w:ascii="Palatino Linotype" w:eastAsia="Palatino Linotype" w:hAnsi="Palatino Linotype" w:cs="Palatino Linotype"/>
          <w:b/>
          <w:bCs/>
          <w:color w:val="000000"/>
          <w:sz w:val="24"/>
          <w:szCs w:val="24"/>
        </w:rPr>
        <w:t xml:space="preserve">El veinte de enero de dos mil veintiséis, </w:t>
      </w:r>
      <w:r w:rsidRPr="00A72110">
        <w:rPr>
          <w:rFonts w:ascii="Palatino Linotype" w:eastAsia="Palatino Linotype" w:hAnsi="Palatino Linotype" w:cs="Palatino Linotype"/>
          <w:color w:val="000000"/>
          <w:sz w:val="24"/>
          <w:szCs w:val="24"/>
        </w:rPr>
        <w:t>el Sujeto Obligado señaló que no se presentó aclaración, en el siguiente sentido:</w:t>
      </w:r>
    </w:p>
    <w:tbl>
      <w:tblPr>
        <w:tblStyle w:val="a0"/>
        <w:tblW w:w="7800" w:type="dxa"/>
        <w:jc w:val="center"/>
        <w:tblInd w:w="0" w:type="dxa"/>
        <w:tblLayout w:type="fixed"/>
        <w:tblLook w:val="0400" w:firstRow="0" w:lastRow="0" w:firstColumn="0" w:lastColumn="0" w:noHBand="0" w:noVBand="1"/>
      </w:tblPr>
      <w:tblGrid>
        <w:gridCol w:w="7800"/>
      </w:tblGrid>
      <w:tr w:rsidR="00202676" w:rsidRPr="00A72110">
        <w:trPr>
          <w:trHeight w:val="290"/>
          <w:jc w:val="center"/>
        </w:trPr>
        <w:tc>
          <w:tcPr>
            <w:tcW w:w="7800" w:type="dxa"/>
            <w:vAlign w:val="center"/>
          </w:tcPr>
          <w:p w:rsidR="00202676" w:rsidRPr="00A72110" w:rsidRDefault="003F0206">
            <w:pPr>
              <w:spacing w:after="0" w:line="240" w:lineRule="auto"/>
              <w:ind w:right="-269"/>
              <w:jc w:val="right"/>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t>“Tecámac, México a 20 de Enero de 2026</w:t>
            </w:r>
          </w:p>
        </w:tc>
      </w:tr>
      <w:tr w:rsidR="00202676" w:rsidRPr="00A72110">
        <w:trPr>
          <w:trHeight w:val="290"/>
          <w:jc w:val="center"/>
        </w:trPr>
        <w:tc>
          <w:tcPr>
            <w:tcW w:w="7800" w:type="dxa"/>
            <w:vAlign w:val="center"/>
          </w:tcPr>
          <w:p w:rsidR="00202676" w:rsidRPr="00A72110" w:rsidRDefault="003F0206">
            <w:pPr>
              <w:spacing w:after="0" w:line="240" w:lineRule="auto"/>
              <w:ind w:right="-269"/>
              <w:jc w:val="right"/>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t>Nombre del solicitante: C. Solicitante</w:t>
            </w:r>
          </w:p>
        </w:tc>
      </w:tr>
      <w:tr w:rsidR="00202676" w:rsidRPr="00A72110">
        <w:trPr>
          <w:trHeight w:val="290"/>
          <w:jc w:val="center"/>
        </w:trPr>
        <w:tc>
          <w:tcPr>
            <w:tcW w:w="7800" w:type="dxa"/>
            <w:vAlign w:val="center"/>
          </w:tcPr>
          <w:p w:rsidR="00202676" w:rsidRPr="00A72110" w:rsidRDefault="003F0206">
            <w:pPr>
              <w:spacing w:after="0" w:line="240" w:lineRule="auto"/>
              <w:ind w:right="-269"/>
              <w:jc w:val="right"/>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t>Folio de la solicitud: 00289/TECAMAC/IP/2025</w:t>
            </w:r>
          </w:p>
        </w:tc>
      </w:tr>
      <w:tr w:rsidR="00202676" w:rsidRPr="00A72110">
        <w:trPr>
          <w:trHeight w:val="435"/>
          <w:jc w:val="center"/>
        </w:trPr>
        <w:tc>
          <w:tcPr>
            <w:tcW w:w="7800" w:type="dxa"/>
            <w:vAlign w:val="center"/>
          </w:tcPr>
          <w:p w:rsidR="00202676" w:rsidRPr="00A72110" w:rsidRDefault="00202676">
            <w:pPr>
              <w:spacing w:after="0" w:line="240" w:lineRule="auto"/>
              <w:ind w:right="-269"/>
              <w:jc w:val="right"/>
              <w:rPr>
                <w:rFonts w:ascii="Palatino Linotype" w:eastAsia="Palatino Linotype" w:hAnsi="Palatino Linotype" w:cs="Palatino Linotype"/>
                <w:i/>
                <w:iCs/>
                <w:sz w:val="24"/>
                <w:szCs w:val="24"/>
              </w:rPr>
            </w:pPr>
          </w:p>
        </w:tc>
      </w:tr>
      <w:tr w:rsidR="00202676" w:rsidRPr="00A72110">
        <w:trPr>
          <w:trHeight w:val="145"/>
          <w:jc w:val="center"/>
        </w:trPr>
        <w:tc>
          <w:tcPr>
            <w:tcW w:w="7800" w:type="dxa"/>
            <w:vAlign w:val="center"/>
          </w:tcPr>
          <w:p w:rsidR="00202676" w:rsidRPr="00A72110" w:rsidRDefault="003F0206">
            <w:pPr>
              <w:spacing w:after="0" w:line="240" w:lineRule="auto"/>
              <w:ind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t>Con fundamento en el articulo 159, tercer párrafo de la Ley de Transparencia y Acceso a la Información Pública del Estado de México y Municipios, se le hace de su conocimiento que se tiene por no presentada la solicitud de aclaración citada al rubro, en virtud de que</w:t>
            </w:r>
          </w:p>
        </w:tc>
      </w:tr>
      <w:tr w:rsidR="00202676" w:rsidRPr="00A72110">
        <w:trPr>
          <w:trHeight w:val="362"/>
          <w:jc w:val="center"/>
        </w:trPr>
        <w:tc>
          <w:tcPr>
            <w:tcW w:w="7800" w:type="dxa"/>
            <w:vAlign w:val="center"/>
          </w:tcPr>
          <w:p w:rsidR="00202676" w:rsidRPr="00A72110" w:rsidRDefault="00202676">
            <w:pPr>
              <w:spacing w:after="0" w:line="240" w:lineRule="auto"/>
              <w:ind w:right="-269"/>
              <w:jc w:val="both"/>
              <w:rPr>
                <w:rFonts w:ascii="Palatino Linotype" w:eastAsia="Palatino Linotype" w:hAnsi="Palatino Linotype" w:cs="Palatino Linotype"/>
                <w:i/>
                <w:iCs/>
                <w:sz w:val="24"/>
                <w:szCs w:val="24"/>
              </w:rPr>
            </w:pPr>
          </w:p>
        </w:tc>
      </w:tr>
      <w:tr w:rsidR="00202676" w:rsidRPr="00A72110">
        <w:trPr>
          <w:trHeight w:val="145"/>
          <w:jc w:val="center"/>
        </w:trPr>
        <w:tc>
          <w:tcPr>
            <w:tcW w:w="7800" w:type="dxa"/>
            <w:vAlign w:val="center"/>
          </w:tcPr>
          <w:p w:rsidR="00202676" w:rsidRPr="00A72110" w:rsidRDefault="003F0206">
            <w:pPr>
              <w:spacing w:after="0" w:line="240" w:lineRule="auto"/>
              <w:ind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t>El solicitante no presentó aclaración</w:t>
            </w:r>
          </w:p>
        </w:tc>
      </w:tr>
      <w:tr w:rsidR="00202676" w:rsidRPr="00A72110">
        <w:trPr>
          <w:trHeight w:val="362"/>
          <w:jc w:val="center"/>
        </w:trPr>
        <w:tc>
          <w:tcPr>
            <w:tcW w:w="7800" w:type="dxa"/>
            <w:vAlign w:val="center"/>
          </w:tcPr>
          <w:p w:rsidR="00202676" w:rsidRPr="00A72110" w:rsidRDefault="00202676">
            <w:pPr>
              <w:spacing w:after="0" w:line="240" w:lineRule="auto"/>
              <w:ind w:right="-269"/>
              <w:jc w:val="both"/>
              <w:rPr>
                <w:rFonts w:ascii="Palatino Linotype" w:eastAsia="Palatino Linotype" w:hAnsi="Palatino Linotype" w:cs="Palatino Linotype"/>
                <w:i/>
                <w:iCs/>
                <w:sz w:val="24"/>
                <w:szCs w:val="24"/>
              </w:rPr>
            </w:pPr>
          </w:p>
        </w:tc>
      </w:tr>
      <w:tr w:rsidR="00202676" w:rsidRPr="00A72110">
        <w:trPr>
          <w:trHeight w:val="145"/>
          <w:jc w:val="center"/>
        </w:trPr>
        <w:tc>
          <w:tcPr>
            <w:tcW w:w="7800" w:type="dxa"/>
            <w:vAlign w:val="center"/>
          </w:tcPr>
          <w:p w:rsidR="00202676" w:rsidRPr="00A72110" w:rsidRDefault="003F0206">
            <w:pPr>
              <w:spacing w:after="0" w:line="240" w:lineRule="auto"/>
              <w:ind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t>Quedando a salvo sus derechos para volverla a presentar. En virtud de lo anterior, se archiva la presente solicitud como concluida Se hace de su conocimiento que tiene derecho de interponer recurso de revisión dentro del plazo de 15 días hábiles contados a partir de la fecha en que se realice la notificación vía electrónica, a través del SAIMEX.</w:t>
            </w:r>
          </w:p>
        </w:tc>
      </w:tr>
      <w:tr w:rsidR="00202676" w:rsidRPr="00A72110">
        <w:trPr>
          <w:trHeight w:val="145"/>
          <w:jc w:val="center"/>
        </w:trPr>
        <w:tc>
          <w:tcPr>
            <w:tcW w:w="7800" w:type="dxa"/>
            <w:vAlign w:val="center"/>
          </w:tcPr>
          <w:p w:rsidR="00202676" w:rsidRPr="00A72110" w:rsidRDefault="00202676">
            <w:pPr>
              <w:spacing w:after="0" w:line="240" w:lineRule="auto"/>
              <w:ind w:right="-269"/>
              <w:jc w:val="both"/>
              <w:rPr>
                <w:rFonts w:ascii="Palatino Linotype" w:eastAsia="Palatino Linotype" w:hAnsi="Palatino Linotype" w:cs="Palatino Linotype"/>
                <w:i/>
                <w:iCs/>
                <w:sz w:val="24"/>
                <w:szCs w:val="24"/>
              </w:rPr>
            </w:pPr>
          </w:p>
        </w:tc>
      </w:tr>
      <w:tr w:rsidR="00202676" w:rsidRPr="00A72110">
        <w:trPr>
          <w:trHeight w:val="145"/>
          <w:jc w:val="center"/>
        </w:trPr>
        <w:tc>
          <w:tcPr>
            <w:tcW w:w="7800" w:type="dxa"/>
            <w:vAlign w:val="center"/>
          </w:tcPr>
          <w:p w:rsidR="00202676" w:rsidRPr="00A72110" w:rsidRDefault="003F0206">
            <w:pPr>
              <w:spacing w:after="0" w:line="240" w:lineRule="auto"/>
              <w:ind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t>ATENTAMENTE</w:t>
            </w:r>
          </w:p>
        </w:tc>
      </w:tr>
      <w:tr w:rsidR="00202676" w:rsidRPr="00A72110">
        <w:trPr>
          <w:trHeight w:val="217"/>
          <w:jc w:val="center"/>
        </w:trPr>
        <w:tc>
          <w:tcPr>
            <w:tcW w:w="7800" w:type="dxa"/>
            <w:vAlign w:val="center"/>
          </w:tcPr>
          <w:p w:rsidR="00202676" w:rsidRPr="00A72110" w:rsidRDefault="00202676">
            <w:pPr>
              <w:spacing w:after="0" w:line="240" w:lineRule="auto"/>
              <w:ind w:right="-269"/>
              <w:rPr>
                <w:rFonts w:ascii="Palatino Linotype" w:eastAsia="Palatino Linotype" w:hAnsi="Palatino Linotype" w:cs="Palatino Linotype"/>
                <w:i/>
                <w:iCs/>
                <w:sz w:val="24"/>
                <w:szCs w:val="24"/>
              </w:rPr>
            </w:pPr>
          </w:p>
        </w:tc>
      </w:tr>
      <w:tr w:rsidR="00202676" w:rsidRPr="00A72110">
        <w:trPr>
          <w:trHeight w:val="145"/>
          <w:jc w:val="center"/>
        </w:trPr>
        <w:tc>
          <w:tcPr>
            <w:tcW w:w="7800" w:type="dxa"/>
            <w:vAlign w:val="center"/>
          </w:tcPr>
          <w:p w:rsidR="00202676" w:rsidRPr="00A72110" w:rsidRDefault="003F0206">
            <w:pPr>
              <w:spacing w:after="0" w:line="240" w:lineRule="auto"/>
              <w:ind w:right="-269"/>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t>LIC. CARLOS ALONSO HERNÁNDEZ PELÁEZ”</w:t>
            </w:r>
          </w:p>
        </w:tc>
      </w:tr>
    </w:tbl>
    <w:p w:rsidR="00202676" w:rsidRPr="00A72110" w:rsidRDefault="00202676">
      <w:pPr>
        <w:pBdr>
          <w:top w:val="nil"/>
          <w:left w:val="nil"/>
          <w:bottom w:val="nil"/>
          <w:right w:val="nil"/>
          <w:between w:val="nil"/>
        </w:pBdr>
        <w:spacing w:after="0" w:line="360" w:lineRule="auto"/>
        <w:ind w:right="-269"/>
        <w:jc w:val="both"/>
        <w:rPr>
          <w:rFonts w:ascii="Palatino Linotype" w:eastAsia="Palatino Linotype" w:hAnsi="Palatino Linotype" w:cs="Palatino Linotype"/>
          <w:b/>
          <w:bCs/>
          <w:color w:val="000000"/>
          <w:sz w:val="24"/>
          <w:szCs w:val="24"/>
        </w:rPr>
      </w:pPr>
    </w:p>
    <w:p w:rsidR="00202676" w:rsidRPr="00A72110" w:rsidRDefault="003F0206">
      <w:pPr>
        <w:numPr>
          <w:ilvl w:val="0"/>
          <w:numId w:val="3"/>
        </w:numPr>
        <w:pBdr>
          <w:top w:val="nil"/>
          <w:left w:val="nil"/>
          <w:bottom w:val="nil"/>
          <w:right w:val="nil"/>
          <w:between w:val="nil"/>
        </w:pBdr>
        <w:spacing w:after="0" w:line="360" w:lineRule="auto"/>
        <w:ind w:right="-269"/>
        <w:rPr>
          <w:rFonts w:ascii="Palatino Linotype" w:eastAsia="Palatino Linotype" w:hAnsi="Palatino Linotype" w:cs="Palatino Linotype"/>
          <w:color w:val="000000"/>
          <w:sz w:val="24"/>
          <w:szCs w:val="24"/>
        </w:rPr>
      </w:pPr>
      <w:r w:rsidRPr="00A72110">
        <w:rPr>
          <w:rFonts w:ascii="Palatino Linotype" w:eastAsia="Palatino Linotype" w:hAnsi="Palatino Linotype" w:cs="Palatino Linotype"/>
          <w:color w:val="000000"/>
          <w:sz w:val="24"/>
          <w:szCs w:val="24"/>
        </w:rPr>
        <w:lastRenderedPageBreak/>
        <w:t xml:space="preserve">Asimismo, adjuntó el archivo electrónico denominado </w:t>
      </w:r>
      <w:hyperlink r:id="rId9">
        <w:r w:rsidRPr="00A72110">
          <w:rPr>
            <w:rFonts w:ascii="Palatino Linotype" w:eastAsia="Palatino Linotype" w:hAnsi="Palatino Linotype" w:cs="Palatino Linotype"/>
            <w:b/>
            <w:bCs/>
            <w:color w:val="0000FF"/>
            <w:sz w:val="24"/>
            <w:szCs w:val="24"/>
            <w:u w:val="single"/>
          </w:rPr>
          <w:t>SOLICITUD 289.pdf</w:t>
        </w:r>
      </w:hyperlink>
      <w:r w:rsidRPr="00A72110">
        <w:rPr>
          <w:rFonts w:ascii="Palatino Linotype" w:eastAsia="Palatino Linotype" w:hAnsi="Palatino Linotype" w:cs="Palatino Linotype"/>
          <w:color w:val="000000"/>
          <w:sz w:val="24"/>
          <w:szCs w:val="24"/>
        </w:rPr>
        <w:t xml:space="preserve">, en el que señaló que no se presentó aclaración. </w:t>
      </w:r>
    </w:p>
    <w:p w:rsidR="00202676" w:rsidRPr="00A72110" w:rsidRDefault="00202676">
      <w:pPr>
        <w:pBdr>
          <w:top w:val="nil"/>
          <w:left w:val="nil"/>
          <w:bottom w:val="nil"/>
          <w:right w:val="nil"/>
          <w:between w:val="nil"/>
        </w:pBdr>
        <w:spacing w:after="0" w:line="240" w:lineRule="auto"/>
        <w:ind w:left="720" w:right="-269"/>
        <w:rPr>
          <w:rFonts w:ascii="Palatino Linotype" w:eastAsia="Palatino Linotype" w:hAnsi="Palatino Linotype" w:cs="Palatino Linotype"/>
          <w:color w:val="000000"/>
          <w:sz w:val="24"/>
          <w:szCs w:val="24"/>
        </w:rPr>
      </w:pPr>
    </w:p>
    <w:p w:rsidR="00202676" w:rsidRPr="00A72110" w:rsidRDefault="003F0206">
      <w:pPr>
        <w:numPr>
          <w:ilvl w:val="0"/>
          <w:numId w:val="4"/>
        </w:numPr>
        <w:pBdr>
          <w:top w:val="nil"/>
          <w:left w:val="nil"/>
          <w:bottom w:val="nil"/>
          <w:right w:val="nil"/>
          <w:between w:val="nil"/>
        </w:pBdr>
        <w:spacing w:after="0" w:line="360" w:lineRule="auto"/>
        <w:ind w:left="0" w:right="-269" w:firstLine="0"/>
        <w:jc w:val="both"/>
        <w:rPr>
          <w:color w:val="000000"/>
          <w:sz w:val="24"/>
          <w:szCs w:val="24"/>
        </w:rPr>
      </w:pPr>
      <w:r w:rsidRPr="00A72110">
        <w:rPr>
          <w:rFonts w:ascii="Palatino Linotype" w:eastAsia="Palatino Linotype" w:hAnsi="Palatino Linotype" w:cs="Palatino Linotype"/>
          <w:color w:val="000000"/>
          <w:sz w:val="24"/>
          <w:szCs w:val="24"/>
        </w:rPr>
        <w:t xml:space="preserve">El </w:t>
      </w:r>
      <w:r w:rsidRPr="00A72110">
        <w:rPr>
          <w:rFonts w:ascii="Palatino Linotype" w:eastAsia="Palatino Linotype" w:hAnsi="Palatino Linotype" w:cs="Palatino Linotype"/>
          <w:b/>
          <w:bCs/>
          <w:color w:val="000000"/>
          <w:sz w:val="24"/>
          <w:szCs w:val="24"/>
        </w:rPr>
        <w:t>veintidós de enero de dos mil veintiséis,</w:t>
      </w:r>
      <w:r w:rsidRPr="00A72110">
        <w:rPr>
          <w:rFonts w:ascii="Palatino Linotype" w:eastAsia="Palatino Linotype" w:hAnsi="Palatino Linotype" w:cs="Palatino Linotype"/>
          <w:color w:val="000000"/>
          <w:sz w:val="24"/>
          <w:szCs w:val="24"/>
        </w:rPr>
        <w:t xml:space="preserve"> el Recurrente interpuso recurso de revisión en el que señaló:</w:t>
      </w:r>
    </w:p>
    <w:p w:rsidR="00202676" w:rsidRPr="00A72110" w:rsidRDefault="00202676">
      <w:pPr>
        <w:pBdr>
          <w:top w:val="nil"/>
          <w:left w:val="nil"/>
          <w:bottom w:val="nil"/>
          <w:right w:val="nil"/>
          <w:between w:val="nil"/>
        </w:pBdr>
        <w:spacing w:after="0" w:line="360" w:lineRule="auto"/>
        <w:ind w:left="993" w:right="-269"/>
        <w:jc w:val="both"/>
        <w:rPr>
          <w:rFonts w:ascii="Palatino Linotype" w:eastAsia="Palatino Linotype" w:hAnsi="Palatino Linotype" w:cs="Palatino Linotype"/>
          <w:color w:val="000000"/>
          <w:sz w:val="24"/>
          <w:szCs w:val="24"/>
        </w:rPr>
      </w:pPr>
    </w:p>
    <w:p w:rsidR="00202676" w:rsidRPr="00A72110" w:rsidRDefault="003F0206">
      <w:pPr>
        <w:numPr>
          <w:ilvl w:val="0"/>
          <w:numId w:val="2"/>
        </w:numPr>
        <w:spacing w:after="0" w:line="360" w:lineRule="auto"/>
        <w:ind w:right="-269"/>
        <w:jc w:val="both"/>
        <w:rPr>
          <w:rFonts w:ascii="Palatino Linotype" w:eastAsia="Palatino Linotype" w:hAnsi="Palatino Linotype" w:cs="Palatino Linotype"/>
          <w:b/>
          <w:bCs/>
          <w:sz w:val="24"/>
          <w:szCs w:val="24"/>
        </w:rPr>
      </w:pPr>
      <w:r w:rsidRPr="00A72110">
        <w:rPr>
          <w:rFonts w:ascii="Palatino Linotype" w:eastAsia="Palatino Linotype" w:hAnsi="Palatino Linotype" w:cs="Palatino Linotype"/>
          <w:b/>
          <w:bCs/>
          <w:sz w:val="24"/>
          <w:szCs w:val="24"/>
        </w:rPr>
        <w:t xml:space="preserve">Acto Impugnado: </w:t>
      </w:r>
    </w:p>
    <w:p w:rsidR="00202676" w:rsidRPr="00A72110" w:rsidRDefault="003F0206">
      <w:pPr>
        <w:spacing w:line="360" w:lineRule="auto"/>
        <w:ind w:left="851"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color w:val="000000"/>
          <w:sz w:val="24"/>
          <w:szCs w:val="24"/>
        </w:rPr>
        <w:t>“Un link no es la respuesta requerida, se requieren evidencias documentales si es necesario testadas para poder conocer los contratos celebrados de adquisiciones” (Sic).</w:t>
      </w:r>
    </w:p>
    <w:p w:rsidR="00202676" w:rsidRPr="00A72110" w:rsidRDefault="00202676">
      <w:pPr>
        <w:spacing w:after="0" w:line="360" w:lineRule="auto"/>
        <w:ind w:left="851" w:right="-269"/>
        <w:jc w:val="both"/>
        <w:rPr>
          <w:rFonts w:ascii="Palatino Linotype" w:eastAsia="Palatino Linotype" w:hAnsi="Palatino Linotype" w:cs="Palatino Linotype"/>
          <w:i/>
          <w:iCs/>
          <w:color w:val="000000"/>
          <w:sz w:val="24"/>
          <w:szCs w:val="24"/>
        </w:rPr>
      </w:pPr>
    </w:p>
    <w:p w:rsidR="00202676" w:rsidRPr="00A72110" w:rsidRDefault="003F0206">
      <w:pPr>
        <w:numPr>
          <w:ilvl w:val="0"/>
          <w:numId w:val="1"/>
        </w:numPr>
        <w:pBdr>
          <w:top w:val="nil"/>
          <w:left w:val="nil"/>
          <w:bottom w:val="nil"/>
          <w:right w:val="nil"/>
          <w:between w:val="nil"/>
        </w:pBdr>
        <w:spacing w:after="0" w:line="360" w:lineRule="auto"/>
        <w:ind w:right="-269"/>
        <w:jc w:val="both"/>
        <w:rPr>
          <w:rFonts w:ascii="Palatino Linotype" w:eastAsia="Palatino Linotype" w:hAnsi="Palatino Linotype" w:cs="Palatino Linotype"/>
          <w:color w:val="000000"/>
          <w:sz w:val="24"/>
          <w:szCs w:val="24"/>
        </w:rPr>
      </w:pPr>
      <w:r w:rsidRPr="00A72110">
        <w:rPr>
          <w:rFonts w:ascii="Palatino Linotype" w:eastAsia="Palatino Linotype" w:hAnsi="Palatino Linotype" w:cs="Palatino Linotype"/>
          <w:b/>
          <w:bCs/>
          <w:color w:val="000000"/>
          <w:sz w:val="24"/>
          <w:szCs w:val="24"/>
        </w:rPr>
        <w:t>Razones o Motivos de Inconformidad</w:t>
      </w:r>
      <w:r w:rsidRPr="00A72110">
        <w:rPr>
          <w:rFonts w:ascii="Palatino Linotype" w:eastAsia="Palatino Linotype" w:hAnsi="Palatino Linotype" w:cs="Palatino Linotype"/>
          <w:color w:val="000000"/>
          <w:sz w:val="24"/>
          <w:szCs w:val="24"/>
        </w:rPr>
        <w:t xml:space="preserve">: </w:t>
      </w:r>
    </w:p>
    <w:p w:rsidR="00202676" w:rsidRPr="00A72110" w:rsidRDefault="003F0206">
      <w:pPr>
        <w:pBdr>
          <w:top w:val="nil"/>
          <w:left w:val="nil"/>
          <w:bottom w:val="nil"/>
          <w:right w:val="nil"/>
          <w:between w:val="nil"/>
        </w:pBdr>
        <w:spacing w:after="0" w:line="360" w:lineRule="auto"/>
        <w:ind w:left="851" w:right="-269"/>
        <w:jc w:val="both"/>
        <w:rPr>
          <w:rFonts w:ascii="Palatino Linotype" w:eastAsia="Palatino Linotype" w:hAnsi="Palatino Linotype" w:cs="Palatino Linotype"/>
          <w:i/>
          <w:iCs/>
          <w:color w:val="000000"/>
          <w:sz w:val="24"/>
          <w:szCs w:val="24"/>
        </w:rPr>
      </w:pPr>
      <w:r w:rsidRPr="00A72110">
        <w:rPr>
          <w:rFonts w:ascii="Palatino Linotype" w:eastAsia="Palatino Linotype" w:hAnsi="Palatino Linotype" w:cs="Palatino Linotype"/>
          <w:i/>
          <w:iCs/>
          <w:color w:val="000000"/>
          <w:sz w:val="24"/>
          <w:szCs w:val="24"/>
        </w:rPr>
        <w:t>“La información es pública y es obligación mostrarla y derecho del ciudadano conoce los contratos del uso del dinero público” (Sic).</w:t>
      </w:r>
    </w:p>
    <w:p w:rsidR="00202676" w:rsidRPr="00A72110" w:rsidRDefault="00202676">
      <w:pPr>
        <w:spacing w:after="0" w:line="360" w:lineRule="auto"/>
        <w:ind w:left="851" w:right="-269"/>
        <w:jc w:val="both"/>
        <w:rPr>
          <w:rFonts w:ascii="Palatino Linotype" w:eastAsia="Palatino Linotype" w:hAnsi="Palatino Linotype" w:cs="Palatino Linotype"/>
          <w:sz w:val="24"/>
          <w:szCs w:val="24"/>
        </w:rPr>
      </w:pPr>
    </w:p>
    <w:p w:rsidR="00202676" w:rsidRPr="00A72110" w:rsidRDefault="003F0206">
      <w:pPr>
        <w:numPr>
          <w:ilvl w:val="0"/>
          <w:numId w:val="4"/>
        </w:numPr>
        <w:pBdr>
          <w:top w:val="nil"/>
          <w:left w:val="nil"/>
          <w:bottom w:val="nil"/>
          <w:right w:val="nil"/>
          <w:between w:val="nil"/>
        </w:pBdr>
        <w:spacing w:after="0" w:line="360" w:lineRule="auto"/>
        <w:ind w:left="0" w:right="-269" w:firstLine="0"/>
        <w:jc w:val="both"/>
        <w:rPr>
          <w:color w:val="000000"/>
          <w:sz w:val="24"/>
          <w:szCs w:val="24"/>
        </w:rPr>
      </w:pPr>
      <w:r w:rsidRPr="00A72110">
        <w:rPr>
          <w:rFonts w:ascii="Palatino Linotype" w:eastAsia="Palatino Linotype" w:hAnsi="Palatino Linotype" w:cs="Palatino Linotype"/>
          <w:color w:val="000000"/>
          <w:sz w:val="24"/>
          <w:szCs w:val="24"/>
        </w:rPr>
        <w:t xml:space="preserve">Medio de impugnación que le fue turnado por medio del sistema electrónico a la Comisionada María del Rosario Mejía Ayala, en términos del arábigo 185, fracción I, de la Ley de Transparencia y Acceso a la información Pública del Estado de México y Municipios, al cual recayó el acuerdo de admisión de fecha </w:t>
      </w:r>
      <w:r w:rsidRPr="00A72110">
        <w:rPr>
          <w:rFonts w:ascii="Palatino Linotype" w:eastAsia="Palatino Linotype" w:hAnsi="Palatino Linotype" w:cs="Palatino Linotype"/>
          <w:b/>
          <w:bCs/>
          <w:color w:val="000000"/>
          <w:sz w:val="24"/>
          <w:szCs w:val="24"/>
        </w:rPr>
        <w:t xml:space="preserve">veintiséis de enero de dos mil veintiséis, </w:t>
      </w:r>
      <w:r w:rsidRPr="00A72110">
        <w:rPr>
          <w:rFonts w:ascii="Palatino Linotype" w:eastAsia="Palatino Linotype" w:hAnsi="Palatino Linotype" w:cs="Palatino Linotype"/>
          <w:sz w:val="24"/>
          <w:szCs w:val="24"/>
        </w:rPr>
        <w:t>determinando</w:t>
      </w:r>
      <w:r w:rsidRPr="00A72110">
        <w:rPr>
          <w:rFonts w:ascii="Palatino Linotype" w:eastAsia="Palatino Linotype" w:hAnsi="Palatino Linotype" w:cs="Palatino Linotype"/>
          <w:color w:val="000000"/>
          <w:sz w:val="24"/>
          <w:szCs w:val="24"/>
        </w:rPr>
        <w:t xml:space="preserve"> un plazo de siete días para que las partes </w:t>
      </w:r>
      <w:r w:rsidRPr="00A72110">
        <w:rPr>
          <w:rFonts w:ascii="Palatino Linotype" w:eastAsia="Palatino Linotype" w:hAnsi="Palatino Linotype" w:cs="Palatino Linotype"/>
          <w:sz w:val="24"/>
          <w:szCs w:val="24"/>
        </w:rPr>
        <w:t xml:space="preserve">manifestaran </w:t>
      </w:r>
      <w:r w:rsidRPr="00A72110">
        <w:rPr>
          <w:rFonts w:ascii="Palatino Linotype" w:eastAsia="Palatino Linotype" w:hAnsi="Palatino Linotype" w:cs="Palatino Linotype"/>
          <w:color w:val="000000"/>
          <w:sz w:val="24"/>
          <w:szCs w:val="24"/>
        </w:rPr>
        <w:t xml:space="preserve">lo que a su derecho corresponda en términos de los numerales ya citados. </w:t>
      </w:r>
    </w:p>
    <w:p w:rsidR="00202676" w:rsidRPr="00A72110" w:rsidRDefault="00202676">
      <w:pPr>
        <w:pBdr>
          <w:top w:val="nil"/>
          <w:left w:val="nil"/>
          <w:bottom w:val="nil"/>
          <w:right w:val="nil"/>
          <w:between w:val="nil"/>
        </w:pBdr>
        <w:spacing w:after="0" w:line="360" w:lineRule="auto"/>
        <w:ind w:right="-269"/>
        <w:jc w:val="both"/>
        <w:rPr>
          <w:rFonts w:ascii="Palatino Linotype" w:eastAsia="Palatino Linotype" w:hAnsi="Palatino Linotype" w:cs="Palatino Linotype"/>
          <w:color w:val="000000"/>
          <w:sz w:val="24"/>
          <w:szCs w:val="24"/>
        </w:rPr>
      </w:pPr>
    </w:p>
    <w:p w:rsidR="00202676" w:rsidRPr="00A72110" w:rsidRDefault="003F0206">
      <w:pPr>
        <w:numPr>
          <w:ilvl w:val="0"/>
          <w:numId w:val="4"/>
        </w:numPr>
        <w:pBdr>
          <w:top w:val="nil"/>
          <w:left w:val="nil"/>
          <w:bottom w:val="nil"/>
          <w:right w:val="nil"/>
          <w:between w:val="nil"/>
        </w:pBdr>
        <w:spacing w:after="0" w:line="360" w:lineRule="auto"/>
        <w:ind w:left="0" w:right="-269" w:firstLine="0"/>
        <w:jc w:val="both"/>
        <w:rPr>
          <w:color w:val="000000"/>
          <w:sz w:val="24"/>
          <w:szCs w:val="24"/>
        </w:rPr>
      </w:pPr>
      <w:r w:rsidRPr="00A72110">
        <w:rPr>
          <w:rFonts w:ascii="Palatino Linotype" w:eastAsia="Palatino Linotype" w:hAnsi="Palatino Linotype" w:cs="Palatino Linotype"/>
          <w:b/>
          <w:bCs/>
          <w:color w:val="000000"/>
          <w:sz w:val="24"/>
          <w:szCs w:val="24"/>
        </w:rPr>
        <w:t>EL SUJETO OBLIGADO</w:t>
      </w:r>
      <w:r w:rsidRPr="00A72110">
        <w:rPr>
          <w:rFonts w:ascii="Palatino Linotype" w:eastAsia="Palatino Linotype" w:hAnsi="Palatino Linotype" w:cs="Palatino Linotype"/>
          <w:color w:val="000000"/>
          <w:sz w:val="24"/>
          <w:szCs w:val="24"/>
        </w:rPr>
        <w:t xml:space="preserve"> fue omiso en rendir el Informe Justificado; a su vez, </w:t>
      </w:r>
      <w:r w:rsidRPr="00A72110">
        <w:rPr>
          <w:rFonts w:ascii="Palatino Linotype" w:eastAsia="Palatino Linotype" w:hAnsi="Palatino Linotype" w:cs="Palatino Linotype"/>
          <w:b/>
          <w:bCs/>
          <w:color w:val="000000"/>
          <w:sz w:val="24"/>
          <w:szCs w:val="24"/>
        </w:rPr>
        <w:t>EL RECURRENTE</w:t>
      </w:r>
      <w:r w:rsidRPr="00A72110">
        <w:rPr>
          <w:rFonts w:ascii="Palatino Linotype" w:eastAsia="Palatino Linotype" w:hAnsi="Palatino Linotype" w:cs="Palatino Linotype"/>
          <w:color w:val="000000"/>
          <w:sz w:val="24"/>
          <w:szCs w:val="24"/>
        </w:rPr>
        <w:t xml:space="preserve">, no realizó manifestaciones que a su derecho </w:t>
      </w:r>
      <w:r w:rsidRPr="00A72110">
        <w:rPr>
          <w:rFonts w:ascii="Palatino Linotype" w:eastAsia="Palatino Linotype" w:hAnsi="Palatino Linotype" w:cs="Palatino Linotype"/>
          <w:sz w:val="24"/>
          <w:szCs w:val="24"/>
        </w:rPr>
        <w:t>conviniera</w:t>
      </w:r>
      <w:r w:rsidRPr="00A72110">
        <w:rPr>
          <w:rFonts w:ascii="Palatino Linotype" w:eastAsia="Palatino Linotype" w:hAnsi="Palatino Linotype" w:cs="Palatino Linotype"/>
          <w:color w:val="000000"/>
          <w:sz w:val="24"/>
          <w:szCs w:val="24"/>
        </w:rPr>
        <w:t xml:space="preserve">. </w:t>
      </w:r>
    </w:p>
    <w:p w:rsidR="00202676" w:rsidRPr="00A72110" w:rsidRDefault="00202676">
      <w:pPr>
        <w:pBdr>
          <w:top w:val="nil"/>
          <w:left w:val="nil"/>
          <w:bottom w:val="nil"/>
          <w:right w:val="nil"/>
          <w:between w:val="nil"/>
        </w:pBdr>
        <w:spacing w:after="0" w:line="360" w:lineRule="auto"/>
        <w:ind w:right="-269"/>
        <w:jc w:val="both"/>
        <w:rPr>
          <w:rFonts w:ascii="Palatino Linotype" w:eastAsia="Palatino Linotype" w:hAnsi="Palatino Linotype" w:cs="Palatino Linotype"/>
          <w:color w:val="000000"/>
          <w:sz w:val="24"/>
          <w:szCs w:val="24"/>
        </w:rPr>
      </w:pPr>
    </w:p>
    <w:p w:rsidR="00202676" w:rsidRPr="00A72110" w:rsidRDefault="003F0206">
      <w:pPr>
        <w:numPr>
          <w:ilvl w:val="0"/>
          <w:numId w:val="4"/>
        </w:numPr>
        <w:pBdr>
          <w:top w:val="nil"/>
          <w:left w:val="nil"/>
          <w:bottom w:val="nil"/>
          <w:right w:val="nil"/>
          <w:between w:val="nil"/>
        </w:pBdr>
        <w:spacing w:after="0" w:line="360" w:lineRule="auto"/>
        <w:ind w:left="0" w:right="-269" w:firstLine="0"/>
        <w:jc w:val="both"/>
        <w:rPr>
          <w:color w:val="000000"/>
          <w:sz w:val="24"/>
          <w:szCs w:val="24"/>
        </w:rPr>
      </w:pPr>
      <w:r w:rsidRPr="00A72110">
        <w:rPr>
          <w:rFonts w:ascii="Palatino Linotype" w:eastAsia="Palatino Linotype" w:hAnsi="Palatino Linotype" w:cs="Palatino Linotype"/>
          <w:color w:val="000000"/>
          <w:sz w:val="24"/>
          <w:szCs w:val="24"/>
        </w:rPr>
        <w:lastRenderedPageBreak/>
        <w:t>El</w:t>
      </w:r>
      <w:r w:rsidRPr="00A72110">
        <w:rPr>
          <w:rFonts w:ascii="Palatino Linotype" w:eastAsia="Palatino Linotype" w:hAnsi="Palatino Linotype" w:cs="Palatino Linotype"/>
          <w:b/>
          <w:bCs/>
          <w:color w:val="000000"/>
          <w:sz w:val="24"/>
          <w:szCs w:val="24"/>
        </w:rPr>
        <w:t xml:space="preserve"> cuatro de junio de dos mil veintiséis, </w:t>
      </w:r>
      <w:r w:rsidRPr="00A72110">
        <w:rPr>
          <w:rFonts w:ascii="Palatino Linotype" w:eastAsia="Palatino Linotype" w:hAnsi="Palatino Linotype" w:cs="Palatino Linotype"/>
          <w:color w:val="000000"/>
          <w:sz w:val="24"/>
          <w:szCs w:val="24"/>
        </w:rPr>
        <w:t xml:space="preserve">se notificó el acuerdo mediante el cual se aprobó la ampliación de plazo para emitir resolución y mediante el cual se decretó el cierre de instrucción, y se ordenó la Resolución que conforme a Derecho proceda, de acuerdo con los siguientes: </w:t>
      </w:r>
    </w:p>
    <w:p w:rsidR="00202676" w:rsidRPr="00A72110" w:rsidRDefault="00202676">
      <w:pPr>
        <w:spacing w:after="0" w:line="360" w:lineRule="auto"/>
        <w:ind w:right="-269"/>
        <w:jc w:val="center"/>
        <w:rPr>
          <w:rFonts w:ascii="Palatino Linotype" w:eastAsia="Palatino Linotype" w:hAnsi="Palatino Linotype" w:cs="Palatino Linotype"/>
          <w:b/>
          <w:bCs/>
          <w:sz w:val="24"/>
          <w:szCs w:val="24"/>
        </w:rPr>
      </w:pPr>
    </w:p>
    <w:p w:rsidR="00202676" w:rsidRPr="00A72110" w:rsidRDefault="003F0206">
      <w:pPr>
        <w:spacing w:after="0" w:line="360" w:lineRule="auto"/>
        <w:ind w:right="-269"/>
        <w:jc w:val="center"/>
        <w:rPr>
          <w:rFonts w:ascii="Palatino Linotype" w:eastAsia="Palatino Linotype" w:hAnsi="Palatino Linotype" w:cs="Palatino Linotype"/>
          <w:sz w:val="24"/>
          <w:szCs w:val="24"/>
        </w:rPr>
      </w:pPr>
      <w:r w:rsidRPr="00A72110">
        <w:rPr>
          <w:rFonts w:ascii="Palatino Linotype" w:eastAsia="Palatino Linotype" w:hAnsi="Palatino Linotype" w:cs="Palatino Linotype"/>
          <w:b/>
          <w:bCs/>
          <w:sz w:val="24"/>
          <w:szCs w:val="24"/>
        </w:rPr>
        <w:t xml:space="preserve">C O N S I D E R A N D O </w:t>
      </w:r>
    </w:p>
    <w:p w:rsidR="00202676" w:rsidRPr="00A72110" w:rsidRDefault="00202676">
      <w:pPr>
        <w:spacing w:after="0" w:line="360" w:lineRule="auto"/>
        <w:ind w:right="-269"/>
        <w:jc w:val="both"/>
        <w:rPr>
          <w:rFonts w:ascii="Palatino Linotype" w:eastAsia="Palatino Linotype" w:hAnsi="Palatino Linotype" w:cs="Palatino Linotype"/>
          <w:sz w:val="24"/>
          <w:szCs w:val="24"/>
        </w:rPr>
      </w:pPr>
    </w:p>
    <w:p w:rsidR="00202676" w:rsidRPr="00A72110" w:rsidRDefault="003F0206">
      <w:pPr>
        <w:spacing w:after="0" w:line="360" w:lineRule="auto"/>
        <w:ind w:right="-269"/>
        <w:jc w:val="both"/>
        <w:rPr>
          <w:rFonts w:ascii="Palatino Linotype" w:eastAsia="Palatino Linotype" w:hAnsi="Palatino Linotype" w:cs="Palatino Linotype"/>
          <w:sz w:val="24"/>
          <w:szCs w:val="24"/>
        </w:rPr>
      </w:pPr>
      <w:r w:rsidRPr="00A72110">
        <w:rPr>
          <w:rFonts w:ascii="Palatino Linotype" w:eastAsia="Palatino Linotype" w:hAnsi="Palatino Linotype" w:cs="Palatino Linotype"/>
          <w:b/>
          <w:bCs/>
          <w:sz w:val="24"/>
          <w:szCs w:val="24"/>
        </w:rPr>
        <w:t>PRIMERO. De la competencia</w:t>
      </w:r>
      <w:r w:rsidRPr="00A72110">
        <w:rPr>
          <w:rFonts w:ascii="Palatino Linotype" w:eastAsia="Palatino Linotype" w:hAnsi="Palatino Linotype" w:cs="Palatino Linotype"/>
          <w:sz w:val="24"/>
          <w:szCs w:val="24"/>
        </w:rPr>
        <w:t>.</w:t>
      </w:r>
    </w:p>
    <w:p w:rsidR="00202676" w:rsidRPr="00A72110" w:rsidRDefault="003F0206">
      <w:pPr>
        <w:numPr>
          <w:ilvl w:val="0"/>
          <w:numId w:val="4"/>
        </w:numPr>
        <w:pBdr>
          <w:top w:val="nil"/>
          <w:left w:val="nil"/>
          <w:bottom w:val="nil"/>
          <w:right w:val="nil"/>
          <w:between w:val="nil"/>
        </w:pBdr>
        <w:spacing w:after="0" w:line="360" w:lineRule="auto"/>
        <w:ind w:left="0" w:right="-269" w:firstLine="0"/>
        <w:jc w:val="both"/>
        <w:rPr>
          <w:color w:val="000000"/>
          <w:sz w:val="24"/>
          <w:szCs w:val="24"/>
        </w:rPr>
      </w:pPr>
      <w:r w:rsidRPr="00A72110">
        <w:rPr>
          <w:rFonts w:ascii="Palatino Linotype" w:eastAsia="Palatino Linotype" w:hAnsi="Palatino Linotype" w:cs="Palatino Linotype"/>
          <w:color w:val="000000"/>
          <w:sz w:val="24"/>
          <w:szCs w:val="24"/>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cuadragésimo cuarto, cuadragésimo quinto y cuadragésimo sexto,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 </w:t>
      </w:r>
    </w:p>
    <w:p w:rsidR="00202676" w:rsidRPr="00A72110" w:rsidRDefault="00202676">
      <w:pPr>
        <w:spacing w:after="0" w:line="360" w:lineRule="auto"/>
        <w:ind w:right="-269"/>
        <w:jc w:val="both"/>
        <w:rPr>
          <w:rFonts w:ascii="Palatino Linotype" w:eastAsia="Palatino Linotype" w:hAnsi="Palatino Linotype" w:cs="Palatino Linotype"/>
          <w:sz w:val="24"/>
          <w:szCs w:val="24"/>
        </w:rPr>
      </w:pPr>
    </w:p>
    <w:p w:rsidR="00202676" w:rsidRPr="00A72110" w:rsidRDefault="003F0206">
      <w:pPr>
        <w:spacing w:after="0" w:line="360" w:lineRule="auto"/>
        <w:ind w:right="-269"/>
        <w:jc w:val="both"/>
        <w:rPr>
          <w:rFonts w:ascii="Palatino Linotype" w:eastAsia="Palatino Linotype" w:hAnsi="Palatino Linotype" w:cs="Palatino Linotype"/>
          <w:sz w:val="24"/>
          <w:szCs w:val="24"/>
        </w:rPr>
      </w:pPr>
      <w:r w:rsidRPr="00A72110">
        <w:rPr>
          <w:rFonts w:ascii="Palatino Linotype" w:eastAsia="Palatino Linotype" w:hAnsi="Palatino Linotype" w:cs="Palatino Linotype"/>
          <w:b/>
          <w:bCs/>
          <w:sz w:val="24"/>
          <w:szCs w:val="24"/>
        </w:rPr>
        <w:t>SEGUNDO. De la Oportunidad y Procedencia del Recurso de Revisión</w:t>
      </w:r>
      <w:r w:rsidRPr="00A72110">
        <w:rPr>
          <w:rFonts w:ascii="Palatino Linotype" w:eastAsia="Palatino Linotype" w:hAnsi="Palatino Linotype" w:cs="Palatino Linotype"/>
          <w:sz w:val="24"/>
          <w:szCs w:val="24"/>
        </w:rPr>
        <w:t>.</w:t>
      </w:r>
    </w:p>
    <w:p w:rsidR="00202676" w:rsidRPr="00A72110" w:rsidRDefault="003F0206">
      <w:pPr>
        <w:numPr>
          <w:ilvl w:val="0"/>
          <w:numId w:val="4"/>
        </w:numPr>
        <w:pBdr>
          <w:top w:val="nil"/>
          <w:left w:val="nil"/>
          <w:bottom w:val="nil"/>
          <w:right w:val="nil"/>
          <w:between w:val="nil"/>
        </w:pBdr>
        <w:spacing w:after="0" w:line="360" w:lineRule="auto"/>
        <w:ind w:left="0" w:right="-269" w:firstLine="0"/>
        <w:jc w:val="both"/>
        <w:rPr>
          <w:rFonts w:ascii="Palatino Linotype" w:eastAsia="Palatino Linotype" w:hAnsi="Palatino Linotype" w:cs="Palatino Linotype"/>
          <w:b/>
          <w:bCs/>
          <w:color w:val="000000"/>
          <w:sz w:val="24"/>
          <w:szCs w:val="24"/>
        </w:rPr>
      </w:pPr>
      <w:r w:rsidRPr="00A72110">
        <w:rPr>
          <w:rFonts w:ascii="Palatino Linotype" w:eastAsia="Palatino Linotype" w:hAnsi="Palatino Linotype" w:cs="Palatino Linotype"/>
          <w:color w:val="000000"/>
          <w:sz w:val="24"/>
          <w:szCs w:val="24"/>
        </w:rPr>
        <w:t xml:space="preserve">El artículo 178, de la Ley de Transparencia y Acceso a la Información Pública del Estado de México y Municipios establece que el solicitante podrá́ interponer, por sí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y que ante </w:t>
      </w:r>
      <w:r w:rsidRPr="00A72110">
        <w:rPr>
          <w:rFonts w:ascii="Palatino Linotype" w:eastAsia="Palatino Linotype" w:hAnsi="Palatino Linotype" w:cs="Palatino Linotype"/>
          <w:color w:val="000000"/>
          <w:sz w:val="24"/>
          <w:szCs w:val="24"/>
        </w:rPr>
        <w:lastRenderedPageBreak/>
        <w:t>la falta de respuesta del</w:t>
      </w:r>
      <w:r w:rsidRPr="00A72110">
        <w:rPr>
          <w:rFonts w:ascii="Palatino Linotype" w:eastAsia="Palatino Linotype" w:hAnsi="Palatino Linotype" w:cs="Palatino Linotype"/>
          <w:b/>
          <w:bCs/>
          <w:color w:val="000000"/>
          <w:sz w:val="24"/>
          <w:szCs w:val="24"/>
        </w:rPr>
        <w:t xml:space="preserve"> SUJETO OBLIGADO</w:t>
      </w:r>
      <w:r w:rsidRPr="00A72110">
        <w:rPr>
          <w:rFonts w:ascii="Palatino Linotype" w:eastAsia="Palatino Linotype" w:hAnsi="Palatino Linotype" w:cs="Palatino Linotype"/>
          <w:color w:val="000000"/>
          <w:sz w:val="24"/>
          <w:szCs w:val="24"/>
        </w:rPr>
        <w:t>, dentro de los plazos establecidos en la Ley de Transparencia Local, a una solicitud de acceso a la información pública, el recurso podrá ser interpuesto en cualquier momento, por lo que la interposición del presente recurso de revisión resulta oportuna.</w:t>
      </w:r>
    </w:p>
    <w:p w:rsidR="00202676" w:rsidRPr="00A72110" w:rsidRDefault="00202676">
      <w:pPr>
        <w:spacing w:after="0" w:line="360" w:lineRule="auto"/>
        <w:ind w:right="-269"/>
        <w:jc w:val="both"/>
        <w:rPr>
          <w:rFonts w:ascii="Palatino Linotype" w:eastAsia="Palatino Linotype" w:hAnsi="Palatino Linotype" w:cs="Palatino Linotype"/>
          <w:sz w:val="24"/>
          <w:szCs w:val="24"/>
        </w:rPr>
      </w:pPr>
    </w:p>
    <w:p w:rsidR="00202676" w:rsidRPr="00A72110" w:rsidRDefault="003F0206">
      <w:pPr>
        <w:numPr>
          <w:ilvl w:val="0"/>
          <w:numId w:val="4"/>
        </w:numPr>
        <w:pBdr>
          <w:top w:val="nil"/>
          <w:left w:val="nil"/>
          <w:bottom w:val="nil"/>
          <w:right w:val="nil"/>
          <w:between w:val="nil"/>
        </w:pBdr>
        <w:spacing w:after="0" w:line="360" w:lineRule="auto"/>
        <w:ind w:left="0" w:right="-269" w:firstLine="0"/>
        <w:jc w:val="both"/>
        <w:rPr>
          <w:color w:val="000000"/>
          <w:sz w:val="24"/>
          <w:szCs w:val="24"/>
        </w:rPr>
      </w:pPr>
      <w:r w:rsidRPr="00A72110">
        <w:rPr>
          <w:rFonts w:ascii="Palatino Linotype" w:eastAsia="Palatino Linotype" w:hAnsi="Palatino Linotype" w:cs="Palatino Linotype"/>
          <w:color w:val="000000"/>
          <w:sz w:val="24"/>
          <w:szCs w:val="24"/>
        </w:rPr>
        <w:t xml:space="preserve">El artículo 179, fracción VII, de la Ley de Transparencia y Acceso a la Información Pública del Estado de México y Municipios establece como supuesto de procedencia del recurso de revisión, la falta de respuesta a una solicitud de información por </w:t>
      </w:r>
      <w:r w:rsidRPr="00A72110">
        <w:rPr>
          <w:rFonts w:ascii="Palatino Linotype" w:eastAsia="Palatino Linotype" w:hAnsi="Palatino Linotype" w:cs="Palatino Linotype"/>
          <w:b/>
          <w:bCs/>
          <w:color w:val="000000"/>
          <w:sz w:val="24"/>
          <w:szCs w:val="24"/>
        </w:rPr>
        <w:t>EL SUJETO OBLIGADO</w:t>
      </w:r>
      <w:r w:rsidRPr="00A72110">
        <w:rPr>
          <w:rFonts w:ascii="Palatino Linotype" w:eastAsia="Palatino Linotype" w:hAnsi="Palatino Linotype" w:cs="Palatino Linotype"/>
          <w:color w:val="000000"/>
          <w:sz w:val="24"/>
          <w:szCs w:val="24"/>
        </w:rPr>
        <w:t xml:space="preserve">, hipótesis jurídica que se actualiza en este caso, aunado a que la parte </w:t>
      </w:r>
      <w:r w:rsidRPr="00A72110">
        <w:rPr>
          <w:rFonts w:ascii="Palatino Linotype" w:eastAsia="Palatino Linotype" w:hAnsi="Palatino Linotype" w:cs="Palatino Linotype"/>
          <w:b/>
          <w:bCs/>
          <w:color w:val="000000"/>
          <w:sz w:val="24"/>
          <w:szCs w:val="24"/>
        </w:rPr>
        <w:t>Recurrente</w:t>
      </w:r>
      <w:r w:rsidRPr="00A72110">
        <w:rPr>
          <w:rFonts w:ascii="Palatino Linotype" w:eastAsia="Palatino Linotype" w:hAnsi="Palatino Linotype" w:cs="Palatino Linotype"/>
          <w:color w:val="000000"/>
          <w:sz w:val="24"/>
          <w:szCs w:val="24"/>
        </w:rPr>
        <w:t xml:space="preserve"> combate la falta de trámite por </w:t>
      </w:r>
      <w:r w:rsidRPr="00A72110">
        <w:rPr>
          <w:rFonts w:ascii="Palatino Linotype" w:eastAsia="Palatino Linotype" w:hAnsi="Palatino Linotype" w:cs="Palatino Linotype"/>
          <w:b/>
          <w:bCs/>
          <w:color w:val="000000"/>
          <w:sz w:val="24"/>
          <w:szCs w:val="24"/>
        </w:rPr>
        <w:t>EL SUJETO OBLIGADO</w:t>
      </w:r>
      <w:r w:rsidRPr="00A72110">
        <w:rPr>
          <w:rFonts w:ascii="Palatino Linotype" w:eastAsia="Palatino Linotype" w:hAnsi="Palatino Linotype" w:cs="Palatino Linotype"/>
          <w:color w:val="000000"/>
          <w:sz w:val="24"/>
          <w:szCs w:val="24"/>
        </w:rPr>
        <w:t xml:space="preserve"> y expresa motivos de inconformidad en contra de dicha circunstancia.</w:t>
      </w:r>
    </w:p>
    <w:p w:rsidR="00A72110" w:rsidRPr="00A72110" w:rsidRDefault="00A72110" w:rsidP="00A72110">
      <w:pPr>
        <w:pBdr>
          <w:top w:val="nil"/>
          <w:left w:val="nil"/>
          <w:bottom w:val="nil"/>
          <w:right w:val="nil"/>
          <w:between w:val="nil"/>
        </w:pBdr>
        <w:spacing w:after="0" w:line="360" w:lineRule="auto"/>
        <w:ind w:right="-269"/>
        <w:jc w:val="both"/>
        <w:rPr>
          <w:color w:val="000000"/>
          <w:sz w:val="24"/>
          <w:szCs w:val="24"/>
        </w:rPr>
      </w:pPr>
    </w:p>
    <w:p w:rsidR="00202676" w:rsidRPr="00A72110" w:rsidRDefault="003F0206">
      <w:pPr>
        <w:numPr>
          <w:ilvl w:val="0"/>
          <w:numId w:val="4"/>
        </w:numPr>
        <w:pBdr>
          <w:top w:val="nil"/>
          <w:left w:val="nil"/>
          <w:bottom w:val="nil"/>
          <w:right w:val="nil"/>
          <w:between w:val="nil"/>
        </w:pBdr>
        <w:spacing w:after="0" w:line="360" w:lineRule="auto"/>
        <w:ind w:left="0" w:right="-269" w:firstLine="0"/>
        <w:jc w:val="both"/>
        <w:rPr>
          <w:color w:val="000000"/>
          <w:sz w:val="24"/>
          <w:szCs w:val="24"/>
        </w:rPr>
      </w:pPr>
      <w:r w:rsidRPr="00A72110">
        <w:rPr>
          <w:rFonts w:ascii="Palatino Linotype" w:eastAsia="Palatino Linotype" w:hAnsi="Palatino Linotype" w:cs="Palatino Linotype"/>
          <w:color w:val="000000"/>
          <w:sz w:val="24"/>
          <w:szCs w:val="24"/>
        </w:rPr>
        <w:t>Asimismo,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procedimentales para atender el fondo del asunto, en los términos del considerando posterior.</w:t>
      </w:r>
    </w:p>
    <w:p w:rsidR="00202676" w:rsidRPr="00A72110" w:rsidRDefault="003F0206">
      <w:pPr>
        <w:pStyle w:val="Ttulo1"/>
        <w:ind w:right="-269"/>
        <w:rPr>
          <w:rFonts w:ascii="Palatino Linotype" w:eastAsia="Palatino Linotype" w:hAnsi="Palatino Linotype" w:cs="Palatino Linotype"/>
          <w:b w:val="0"/>
          <w:bCs w:val="0"/>
          <w:color w:val="000000"/>
          <w:sz w:val="24"/>
          <w:szCs w:val="24"/>
        </w:rPr>
      </w:pPr>
      <w:r w:rsidRPr="00A72110">
        <w:rPr>
          <w:rFonts w:ascii="Palatino Linotype" w:eastAsia="Palatino Linotype" w:hAnsi="Palatino Linotype" w:cs="Palatino Linotype"/>
          <w:color w:val="000000"/>
          <w:sz w:val="24"/>
          <w:szCs w:val="24"/>
        </w:rPr>
        <w:t xml:space="preserve">TERCERO. Planteamiento de la Litis </w:t>
      </w:r>
    </w:p>
    <w:p w:rsidR="00202676" w:rsidRPr="00A72110" w:rsidRDefault="003F0206">
      <w:pPr>
        <w:numPr>
          <w:ilvl w:val="0"/>
          <w:numId w:val="4"/>
        </w:numPr>
        <w:pBdr>
          <w:top w:val="nil"/>
          <w:left w:val="nil"/>
          <w:bottom w:val="nil"/>
          <w:right w:val="nil"/>
          <w:between w:val="nil"/>
        </w:pBdr>
        <w:spacing w:before="240" w:after="0" w:line="360" w:lineRule="auto"/>
        <w:ind w:left="0" w:right="-269" w:firstLine="0"/>
        <w:jc w:val="both"/>
        <w:rPr>
          <w:color w:val="000000"/>
          <w:sz w:val="24"/>
          <w:szCs w:val="24"/>
        </w:rPr>
      </w:pPr>
      <w:r w:rsidRPr="00A72110">
        <w:rPr>
          <w:rFonts w:ascii="Palatino Linotype" w:eastAsia="Palatino Linotype" w:hAnsi="Palatino Linotype" w:cs="Palatino Linotype"/>
          <w:color w:val="000000"/>
          <w:sz w:val="24"/>
          <w:szCs w:val="24"/>
        </w:rPr>
        <w:t xml:space="preserve">El recurrente solicitó los contratos celebrados durante el ejercicio fiscal 2025 en el que se incluyan los anexos, términos de referencia y condiciones del Instituto Municipal del Deporte y de la administración centralizada del Ayuntamiento de Tecámac. </w:t>
      </w:r>
    </w:p>
    <w:p w:rsidR="00202676" w:rsidRPr="00A72110" w:rsidRDefault="00202676">
      <w:pPr>
        <w:pBdr>
          <w:top w:val="nil"/>
          <w:left w:val="nil"/>
          <w:bottom w:val="nil"/>
          <w:right w:val="nil"/>
          <w:between w:val="nil"/>
        </w:pBdr>
        <w:spacing w:before="240" w:after="0" w:line="360" w:lineRule="auto"/>
        <w:ind w:right="-269"/>
        <w:jc w:val="both"/>
        <w:rPr>
          <w:rFonts w:ascii="Palatino Linotype" w:eastAsia="Palatino Linotype" w:hAnsi="Palatino Linotype" w:cs="Palatino Linotype"/>
          <w:i/>
          <w:iCs/>
          <w:color w:val="000000"/>
          <w:sz w:val="24"/>
          <w:szCs w:val="24"/>
        </w:rPr>
      </w:pPr>
    </w:p>
    <w:p w:rsidR="00202676" w:rsidRPr="00A72110" w:rsidRDefault="003F0206">
      <w:pPr>
        <w:numPr>
          <w:ilvl w:val="0"/>
          <w:numId w:val="4"/>
        </w:numPr>
        <w:pBdr>
          <w:top w:val="nil"/>
          <w:left w:val="nil"/>
          <w:bottom w:val="nil"/>
          <w:right w:val="nil"/>
          <w:between w:val="nil"/>
        </w:pBdr>
        <w:spacing w:after="240" w:line="360" w:lineRule="auto"/>
        <w:ind w:left="0" w:right="-269" w:firstLine="0"/>
        <w:jc w:val="both"/>
        <w:rPr>
          <w:color w:val="000000"/>
          <w:sz w:val="24"/>
          <w:szCs w:val="24"/>
        </w:rPr>
      </w:pPr>
      <w:r w:rsidRPr="00A72110">
        <w:rPr>
          <w:rFonts w:ascii="Palatino Linotype" w:eastAsia="Palatino Linotype" w:hAnsi="Palatino Linotype" w:cs="Palatino Linotype"/>
          <w:color w:val="000000"/>
          <w:sz w:val="24"/>
          <w:szCs w:val="24"/>
        </w:rPr>
        <w:lastRenderedPageBreak/>
        <w:t>El Sujeto Obligado no entregó respuesta a la solicitud, motivo de inconformidad el recurrente.</w:t>
      </w:r>
    </w:p>
    <w:p w:rsidR="00202676" w:rsidRPr="00A72110" w:rsidRDefault="003F0206">
      <w:pPr>
        <w:numPr>
          <w:ilvl w:val="0"/>
          <w:numId w:val="4"/>
        </w:numPr>
        <w:tabs>
          <w:tab w:val="left" w:pos="284"/>
        </w:tabs>
        <w:spacing w:before="240" w:after="240" w:line="360" w:lineRule="auto"/>
        <w:ind w:left="0" w:right="-269" w:firstLine="0"/>
        <w:jc w:val="both"/>
        <w:rPr>
          <w:sz w:val="24"/>
          <w:szCs w:val="24"/>
        </w:rPr>
      </w:pPr>
      <w:r w:rsidRPr="00A72110">
        <w:rPr>
          <w:rFonts w:ascii="Palatino Linotype" w:eastAsia="Palatino Linotype" w:hAnsi="Palatino Linotype" w:cs="Palatino Linotype"/>
          <w:sz w:val="24"/>
          <w:szCs w:val="24"/>
        </w:rPr>
        <w:t>Por lo tanto, el presente recurso de revisión se circunscribe en determinar si se actualiza las causales de procedencia</w:t>
      </w:r>
      <w:r w:rsidRPr="00A72110">
        <w:rPr>
          <w:rFonts w:ascii="Palatino Linotype" w:eastAsia="Palatino Linotype" w:hAnsi="Palatino Linotype" w:cs="Palatino Linotype"/>
          <w:b/>
          <w:bCs/>
          <w:sz w:val="24"/>
          <w:szCs w:val="24"/>
        </w:rPr>
        <w:t xml:space="preserve"> </w:t>
      </w:r>
      <w:r w:rsidRPr="00A72110">
        <w:rPr>
          <w:rFonts w:ascii="Palatino Linotype" w:eastAsia="Palatino Linotype" w:hAnsi="Palatino Linotype" w:cs="Palatino Linotype"/>
          <w:sz w:val="24"/>
          <w:szCs w:val="24"/>
        </w:rPr>
        <w:t xml:space="preserve">contenidas en el artículo 179 fracciones I y VII de la </w:t>
      </w:r>
      <w:r w:rsidRPr="00A72110">
        <w:rPr>
          <w:rFonts w:ascii="Palatino Linotype" w:eastAsia="Palatino Linotype" w:hAnsi="Palatino Linotype" w:cs="Palatino Linotype"/>
          <w:b/>
          <w:bCs/>
          <w:sz w:val="24"/>
          <w:szCs w:val="24"/>
        </w:rPr>
        <w:t>Ley de Transparencia y Acceso a la Información Pública del Estado de México y Municipios</w:t>
      </w:r>
      <w:r w:rsidRPr="00A72110">
        <w:rPr>
          <w:rFonts w:ascii="Palatino Linotype" w:eastAsia="Palatino Linotype" w:hAnsi="Palatino Linotype" w:cs="Palatino Linotype"/>
          <w:sz w:val="24"/>
          <w:szCs w:val="24"/>
        </w:rPr>
        <w:t xml:space="preserve">, que refieren la negativa de la información solicitada y la falta de respuesta a una solicitud de acceso a la información. </w:t>
      </w:r>
    </w:p>
    <w:p w:rsidR="00202676" w:rsidRPr="00A72110" w:rsidRDefault="003F0206">
      <w:pPr>
        <w:pStyle w:val="Ttulo1"/>
        <w:spacing w:before="0" w:line="360" w:lineRule="auto"/>
        <w:ind w:right="-269"/>
        <w:rPr>
          <w:rFonts w:ascii="Palatino Linotype" w:eastAsia="Palatino Linotype" w:hAnsi="Palatino Linotype" w:cs="Palatino Linotype"/>
          <w:b w:val="0"/>
          <w:bCs w:val="0"/>
          <w:color w:val="000000"/>
          <w:sz w:val="24"/>
          <w:szCs w:val="24"/>
        </w:rPr>
      </w:pPr>
      <w:bookmarkStart w:id="1" w:name="_heading=h.3dy6vkm" w:colFirst="0" w:colLast="0"/>
      <w:bookmarkEnd w:id="1"/>
      <w:r w:rsidRPr="00A72110">
        <w:rPr>
          <w:rFonts w:ascii="Palatino Linotype" w:eastAsia="Palatino Linotype" w:hAnsi="Palatino Linotype" w:cs="Palatino Linotype"/>
          <w:color w:val="000000"/>
          <w:sz w:val="24"/>
          <w:szCs w:val="24"/>
        </w:rPr>
        <w:t>CUARTO. Estudio y resolución del asunto</w:t>
      </w:r>
    </w:p>
    <w:p w:rsidR="00202676" w:rsidRPr="00A72110" w:rsidRDefault="003F0206">
      <w:pPr>
        <w:numPr>
          <w:ilvl w:val="0"/>
          <w:numId w:val="4"/>
        </w:numPr>
        <w:spacing w:after="0" w:line="360" w:lineRule="auto"/>
        <w:ind w:left="0" w:right="-269" w:firstLine="0"/>
        <w:jc w:val="both"/>
        <w:rPr>
          <w:sz w:val="24"/>
          <w:szCs w:val="24"/>
        </w:rPr>
      </w:pPr>
      <w:r w:rsidRPr="00A72110">
        <w:rPr>
          <w:rFonts w:ascii="Palatino Linotype" w:eastAsia="Palatino Linotype" w:hAnsi="Palatino Linotype" w:cs="Palatino Linotype"/>
          <w:sz w:val="24"/>
          <w:szCs w:val="24"/>
        </w:rPr>
        <w:t>Se procede analizar el contenido íntegro de las actuaciones que obran en el expediente electrónico, y así este Órgano Garante dicte la resolución correspondiente, apegándose en todo momento al principio de máxima publicidad de acuerdo con lo establecido en el artículo 8 de la Ley de Transparencia y Acceso a la Información Pública del Estado de México y Municipios.</w:t>
      </w:r>
    </w:p>
    <w:p w:rsidR="00202676" w:rsidRPr="00A72110" w:rsidRDefault="00202676">
      <w:pPr>
        <w:pBdr>
          <w:top w:val="nil"/>
          <w:left w:val="nil"/>
          <w:bottom w:val="nil"/>
          <w:right w:val="nil"/>
          <w:between w:val="nil"/>
        </w:pBdr>
        <w:spacing w:line="360" w:lineRule="auto"/>
        <w:ind w:right="-269"/>
        <w:jc w:val="both"/>
        <w:rPr>
          <w:rFonts w:ascii="Palatino Linotype" w:eastAsia="Palatino Linotype" w:hAnsi="Palatino Linotype" w:cs="Palatino Linotype"/>
          <w:b/>
          <w:bCs/>
          <w:color w:val="000000"/>
          <w:sz w:val="24"/>
          <w:szCs w:val="24"/>
        </w:rPr>
      </w:pPr>
    </w:p>
    <w:p w:rsidR="00202676" w:rsidRPr="00A72110" w:rsidRDefault="003F0206">
      <w:pPr>
        <w:numPr>
          <w:ilvl w:val="0"/>
          <w:numId w:val="4"/>
        </w:numPr>
        <w:pBdr>
          <w:top w:val="nil"/>
          <w:left w:val="nil"/>
          <w:bottom w:val="nil"/>
          <w:right w:val="nil"/>
          <w:between w:val="nil"/>
        </w:pBdr>
        <w:spacing w:after="0" w:line="360" w:lineRule="auto"/>
        <w:ind w:left="0" w:right="-269" w:firstLine="0"/>
        <w:jc w:val="both"/>
        <w:rPr>
          <w:color w:val="000000"/>
          <w:sz w:val="24"/>
          <w:szCs w:val="24"/>
        </w:rPr>
      </w:pPr>
      <w:r w:rsidRPr="00A72110">
        <w:rPr>
          <w:rFonts w:ascii="Palatino Linotype" w:eastAsia="Palatino Linotype" w:hAnsi="Palatino Linotype" w:cs="Palatino Linotype"/>
          <w:color w:val="000000"/>
          <w:sz w:val="24"/>
          <w:szCs w:val="24"/>
        </w:rPr>
        <w:t>Recordemos que el Recurrente solicitó los contratos celebrados durante el ejercicio fiscal 2025 en el que se incluyan los anexos, términos de referencia y condiciones, del Instituto Municipal del Deporte y de la administración centralizada del Ayuntamiento de Tecámac.</w:t>
      </w:r>
    </w:p>
    <w:p w:rsidR="00202676" w:rsidRPr="00A72110" w:rsidRDefault="00202676">
      <w:pPr>
        <w:pBdr>
          <w:top w:val="nil"/>
          <w:left w:val="nil"/>
          <w:bottom w:val="nil"/>
          <w:right w:val="nil"/>
          <w:between w:val="nil"/>
        </w:pBdr>
        <w:spacing w:after="0" w:line="240" w:lineRule="auto"/>
        <w:ind w:left="708" w:right="-269"/>
        <w:rPr>
          <w:rFonts w:ascii="Palatino Linotype" w:eastAsia="Palatino Linotype" w:hAnsi="Palatino Linotype" w:cs="Palatino Linotype"/>
          <w:color w:val="000000"/>
          <w:sz w:val="24"/>
          <w:szCs w:val="24"/>
        </w:rPr>
      </w:pPr>
    </w:p>
    <w:p w:rsidR="00202676" w:rsidRPr="00A72110" w:rsidRDefault="003F0206">
      <w:pPr>
        <w:numPr>
          <w:ilvl w:val="0"/>
          <w:numId w:val="4"/>
        </w:numPr>
        <w:pBdr>
          <w:top w:val="nil"/>
          <w:left w:val="nil"/>
          <w:bottom w:val="nil"/>
          <w:right w:val="nil"/>
          <w:between w:val="nil"/>
        </w:pBdr>
        <w:spacing w:after="0" w:line="360" w:lineRule="auto"/>
        <w:ind w:left="0" w:right="-269" w:firstLine="0"/>
        <w:jc w:val="both"/>
        <w:rPr>
          <w:color w:val="000000"/>
          <w:sz w:val="24"/>
          <w:szCs w:val="24"/>
        </w:rPr>
      </w:pPr>
      <w:r w:rsidRPr="00A72110">
        <w:rPr>
          <w:rFonts w:ascii="Palatino Linotype" w:eastAsia="Palatino Linotype" w:hAnsi="Palatino Linotype" w:cs="Palatino Linotype"/>
          <w:sz w:val="24"/>
          <w:szCs w:val="24"/>
        </w:rPr>
        <w:t xml:space="preserve">Al respecto, es indispensable traer a contexto lo dispuesto en la Ley de la Contratación Pública del Estado de México y Municipios, la cual tiene por objeto regular los actos relativos a la planeación, programación, presupuestación, ejecución y control de </w:t>
      </w:r>
      <w:r w:rsidRPr="00A72110">
        <w:rPr>
          <w:rFonts w:ascii="Palatino Linotype" w:eastAsia="Palatino Linotype" w:hAnsi="Palatino Linotype" w:cs="Palatino Linotype"/>
          <w:b/>
          <w:bCs/>
          <w:sz w:val="24"/>
          <w:szCs w:val="24"/>
        </w:rPr>
        <w:t>la adquisición, enajenación y arrendamiento de bienes, y la contratación de servicios de cualquier naturaleza</w:t>
      </w:r>
      <w:r w:rsidRPr="00A72110">
        <w:rPr>
          <w:rFonts w:ascii="Palatino Linotype" w:eastAsia="Palatino Linotype" w:hAnsi="Palatino Linotype" w:cs="Palatino Linotype"/>
          <w:sz w:val="24"/>
          <w:szCs w:val="24"/>
        </w:rPr>
        <w:t xml:space="preserve">, que realicen los Ayuntamientos del Estado; los cuales se adjudicará a través de licitaciones públicas, invitación restringida o adjudicación directa, mediante convocatoria </w:t>
      </w:r>
      <w:r w:rsidRPr="00A72110">
        <w:rPr>
          <w:rFonts w:ascii="Palatino Linotype" w:eastAsia="Palatino Linotype" w:hAnsi="Palatino Linotype" w:cs="Palatino Linotype"/>
          <w:sz w:val="24"/>
          <w:szCs w:val="24"/>
        </w:rPr>
        <w:lastRenderedPageBreak/>
        <w:t xml:space="preserve">pública, tal y como lo establecen los artículos 4, 26 y 27 de dicha Ley, los cuales son del tenor siguiente: </w:t>
      </w:r>
    </w:p>
    <w:p w:rsidR="00202676" w:rsidRPr="00A72110" w:rsidRDefault="003F0206">
      <w:pPr>
        <w:spacing w:line="276" w:lineRule="auto"/>
        <w:ind w:left="851"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t>“</w:t>
      </w:r>
      <w:r w:rsidRPr="00A72110">
        <w:rPr>
          <w:rFonts w:ascii="Palatino Linotype" w:eastAsia="Palatino Linotype" w:hAnsi="Palatino Linotype" w:cs="Palatino Linotype"/>
          <w:b/>
          <w:bCs/>
          <w:i/>
          <w:iCs/>
          <w:sz w:val="24"/>
          <w:szCs w:val="24"/>
        </w:rPr>
        <w:t>Artículo 4.-</w:t>
      </w:r>
      <w:r w:rsidRPr="00A72110">
        <w:rPr>
          <w:rFonts w:ascii="Palatino Linotype" w:eastAsia="Palatino Linotype" w:hAnsi="Palatino Linotype" w:cs="Palatino Linotype"/>
          <w:i/>
          <w:iCs/>
          <w:sz w:val="24"/>
          <w:szCs w:val="24"/>
        </w:rPr>
        <w:t xml:space="preserve"> Para los efectos de esta Ley, en las adquisiciones, enajenaciones, arrendamientos y servicios, quedan comprendidos: </w:t>
      </w:r>
    </w:p>
    <w:p w:rsidR="00202676" w:rsidRPr="00A72110" w:rsidRDefault="003F0206">
      <w:pPr>
        <w:spacing w:line="276" w:lineRule="auto"/>
        <w:ind w:left="851"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t xml:space="preserve">I. La adquisición de bienes muebles. </w:t>
      </w:r>
    </w:p>
    <w:p w:rsidR="00202676" w:rsidRPr="00A72110" w:rsidRDefault="003F0206">
      <w:pPr>
        <w:spacing w:line="276" w:lineRule="auto"/>
        <w:ind w:left="851"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t xml:space="preserve">II. La adquisición de bienes inmuebles, a través de compraventa. </w:t>
      </w:r>
    </w:p>
    <w:p w:rsidR="00202676" w:rsidRPr="00A72110" w:rsidRDefault="003F0206">
      <w:pPr>
        <w:spacing w:line="276" w:lineRule="auto"/>
        <w:ind w:left="851"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t xml:space="preserve">III. La enajenación de bienes muebles e inmuebles. </w:t>
      </w:r>
    </w:p>
    <w:p w:rsidR="00202676" w:rsidRPr="00A72110" w:rsidRDefault="003F0206">
      <w:pPr>
        <w:spacing w:line="276" w:lineRule="auto"/>
        <w:ind w:left="851"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t xml:space="preserve">IV. El arrendamiento de bienes muebles e inmuebles. </w:t>
      </w:r>
    </w:p>
    <w:p w:rsidR="00202676" w:rsidRPr="00A72110" w:rsidRDefault="003F0206">
      <w:pPr>
        <w:spacing w:line="276" w:lineRule="auto"/>
        <w:ind w:left="851"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t xml:space="preserve">V. La contratación de los servicios, relacionados con bienes muebles que se encuentran incorporados o adheridos a bienes inmuebles, cuya instalación o mantenimiento no implique modificación al bien inmueble. </w:t>
      </w:r>
    </w:p>
    <w:p w:rsidR="00202676" w:rsidRPr="00A72110" w:rsidRDefault="003F0206">
      <w:pPr>
        <w:spacing w:line="276" w:lineRule="auto"/>
        <w:ind w:left="851"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t xml:space="preserve">VI. La contratación de los servicios de reconstrucción y mantenimiento de bienes muebles. </w:t>
      </w:r>
    </w:p>
    <w:p w:rsidR="00202676" w:rsidRPr="00A72110" w:rsidRDefault="003F0206">
      <w:pPr>
        <w:spacing w:line="276" w:lineRule="auto"/>
        <w:ind w:left="851"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t>VII. La contratación de los servicios de maquila, seguros y transportación, así como de los de limpieza y vigilancia de bienes inmuebles</w:t>
      </w:r>
    </w:p>
    <w:p w:rsidR="00202676" w:rsidRPr="00A72110" w:rsidRDefault="003F0206">
      <w:pPr>
        <w:spacing w:line="276" w:lineRule="auto"/>
        <w:ind w:left="851"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t xml:space="preserve">VIII. La prestación de servicios profesionales, la contratación de consultorías, asesorías y estudios e investigaciones, excepto la contratación de servicios personales de personas físicas bajo el régimen de honorarios. </w:t>
      </w:r>
    </w:p>
    <w:p w:rsidR="00202676" w:rsidRPr="00A72110" w:rsidRDefault="003F0206">
      <w:pPr>
        <w:spacing w:line="276" w:lineRule="auto"/>
        <w:ind w:left="851"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t>En general, otros actos que impliquen la contratación de servicios de cualquier naturaleza.</w:t>
      </w:r>
    </w:p>
    <w:p w:rsidR="00202676" w:rsidRPr="00A72110" w:rsidRDefault="003F0206">
      <w:pPr>
        <w:spacing w:line="276" w:lineRule="auto"/>
        <w:ind w:left="851"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t>Artículo 26.- Las adquisiciones, arrendamientos y servicios se adjudicarán a través de licitaciones públicas, mediante convocatoria pública.</w:t>
      </w:r>
    </w:p>
    <w:p w:rsidR="00202676" w:rsidRPr="00A72110" w:rsidRDefault="00202676">
      <w:pPr>
        <w:spacing w:line="276" w:lineRule="auto"/>
        <w:ind w:left="851" w:right="-269"/>
        <w:jc w:val="both"/>
        <w:rPr>
          <w:rFonts w:ascii="Palatino Linotype" w:eastAsia="Palatino Linotype" w:hAnsi="Palatino Linotype" w:cs="Palatino Linotype"/>
          <w:b/>
          <w:bCs/>
          <w:i/>
          <w:iCs/>
          <w:sz w:val="24"/>
          <w:szCs w:val="24"/>
        </w:rPr>
      </w:pPr>
    </w:p>
    <w:p w:rsidR="00202676" w:rsidRPr="00A72110" w:rsidRDefault="003F0206">
      <w:pPr>
        <w:spacing w:line="276" w:lineRule="auto"/>
        <w:ind w:left="851"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b/>
          <w:bCs/>
          <w:i/>
          <w:iCs/>
          <w:sz w:val="24"/>
          <w:szCs w:val="24"/>
        </w:rPr>
        <w:t xml:space="preserve">Artículo 27.- </w:t>
      </w:r>
      <w:r w:rsidRPr="00A72110">
        <w:rPr>
          <w:rFonts w:ascii="Palatino Linotype" w:eastAsia="Palatino Linotype" w:hAnsi="Palatino Linotype" w:cs="Palatino Linotype"/>
          <w:i/>
          <w:iCs/>
          <w:sz w:val="24"/>
          <w:szCs w:val="24"/>
        </w:rPr>
        <w:t xml:space="preserve">La Secretaría, las entidades, los tribunales administrativos y los ayuntamientos podrán adjudicar adquisiciones, arrendamientos y servicios, mediante las excepciones al procedimiento de licitación que a continuación se señalan: </w:t>
      </w:r>
    </w:p>
    <w:p w:rsidR="00202676" w:rsidRPr="00A72110" w:rsidRDefault="003F0206">
      <w:pPr>
        <w:spacing w:line="276" w:lineRule="auto"/>
        <w:ind w:left="851" w:right="-269"/>
        <w:jc w:val="both"/>
        <w:rPr>
          <w:rFonts w:ascii="Palatino Linotype" w:eastAsia="Palatino Linotype" w:hAnsi="Palatino Linotype" w:cs="Palatino Linotype"/>
          <w:b/>
          <w:bCs/>
          <w:i/>
          <w:iCs/>
          <w:sz w:val="24"/>
          <w:szCs w:val="24"/>
        </w:rPr>
      </w:pPr>
      <w:r w:rsidRPr="00A72110">
        <w:rPr>
          <w:rFonts w:ascii="Palatino Linotype" w:eastAsia="Palatino Linotype" w:hAnsi="Palatino Linotype" w:cs="Palatino Linotype"/>
          <w:b/>
          <w:bCs/>
          <w:i/>
          <w:iCs/>
          <w:sz w:val="24"/>
          <w:szCs w:val="24"/>
        </w:rPr>
        <w:t xml:space="preserve">I. Invitación restringida. </w:t>
      </w:r>
    </w:p>
    <w:p w:rsidR="00202676" w:rsidRPr="00A72110" w:rsidRDefault="003F0206">
      <w:pPr>
        <w:spacing w:line="276" w:lineRule="auto"/>
        <w:ind w:left="851" w:right="-269"/>
        <w:jc w:val="both"/>
        <w:rPr>
          <w:rFonts w:ascii="Palatino Linotype" w:eastAsia="Palatino Linotype" w:hAnsi="Palatino Linotype" w:cs="Palatino Linotype"/>
          <w:b/>
          <w:bCs/>
          <w:i/>
          <w:iCs/>
          <w:sz w:val="24"/>
          <w:szCs w:val="24"/>
        </w:rPr>
      </w:pPr>
      <w:r w:rsidRPr="00A72110">
        <w:rPr>
          <w:rFonts w:ascii="Palatino Linotype" w:eastAsia="Palatino Linotype" w:hAnsi="Palatino Linotype" w:cs="Palatino Linotype"/>
          <w:b/>
          <w:bCs/>
          <w:i/>
          <w:iCs/>
          <w:sz w:val="24"/>
          <w:szCs w:val="24"/>
        </w:rPr>
        <w:t>II. Adjudicación directa.”</w:t>
      </w:r>
    </w:p>
    <w:p w:rsidR="00202676" w:rsidRPr="00A72110" w:rsidRDefault="003F0206">
      <w:pPr>
        <w:spacing w:line="360" w:lineRule="auto"/>
        <w:ind w:left="567" w:right="-269"/>
        <w:jc w:val="right"/>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lastRenderedPageBreak/>
        <w:t xml:space="preserve">(Énfasis añadido) </w:t>
      </w:r>
    </w:p>
    <w:p w:rsidR="00202676" w:rsidRPr="00A72110" w:rsidRDefault="003F0206">
      <w:pPr>
        <w:numPr>
          <w:ilvl w:val="0"/>
          <w:numId w:val="4"/>
        </w:numPr>
        <w:pBdr>
          <w:top w:val="nil"/>
          <w:left w:val="nil"/>
          <w:bottom w:val="nil"/>
          <w:right w:val="nil"/>
          <w:between w:val="nil"/>
        </w:pBdr>
        <w:spacing w:after="0" w:line="360" w:lineRule="auto"/>
        <w:ind w:left="0" w:right="-269" w:firstLine="0"/>
        <w:jc w:val="both"/>
        <w:rPr>
          <w:sz w:val="24"/>
          <w:szCs w:val="24"/>
        </w:rPr>
      </w:pPr>
      <w:r w:rsidRPr="00A72110">
        <w:rPr>
          <w:rFonts w:ascii="Palatino Linotype" w:eastAsia="Palatino Linotype" w:hAnsi="Palatino Linotype" w:cs="Palatino Linotype"/>
          <w:sz w:val="24"/>
          <w:szCs w:val="24"/>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rsidR="00202676" w:rsidRPr="00A72110" w:rsidRDefault="00202676">
      <w:pPr>
        <w:pBdr>
          <w:top w:val="nil"/>
          <w:left w:val="nil"/>
          <w:bottom w:val="nil"/>
          <w:right w:val="nil"/>
          <w:between w:val="nil"/>
        </w:pBdr>
        <w:spacing w:line="360" w:lineRule="auto"/>
        <w:ind w:right="-269"/>
        <w:jc w:val="both"/>
        <w:rPr>
          <w:rFonts w:ascii="Palatino Linotype" w:eastAsia="Palatino Linotype" w:hAnsi="Palatino Linotype" w:cs="Palatino Linotype"/>
          <w:sz w:val="24"/>
          <w:szCs w:val="24"/>
        </w:rPr>
      </w:pPr>
    </w:p>
    <w:p w:rsidR="00202676" w:rsidRPr="00A72110" w:rsidRDefault="003F0206">
      <w:pPr>
        <w:numPr>
          <w:ilvl w:val="0"/>
          <w:numId w:val="4"/>
        </w:numPr>
        <w:pBdr>
          <w:top w:val="nil"/>
          <w:left w:val="nil"/>
          <w:bottom w:val="nil"/>
          <w:right w:val="nil"/>
          <w:between w:val="nil"/>
        </w:pBdr>
        <w:spacing w:after="0" w:line="360" w:lineRule="auto"/>
        <w:ind w:left="0" w:right="-269" w:firstLine="0"/>
        <w:jc w:val="both"/>
        <w:rPr>
          <w:sz w:val="24"/>
          <w:szCs w:val="24"/>
        </w:rPr>
      </w:pPr>
      <w:r w:rsidRPr="00A72110">
        <w:rPr>
          <w:rFonts w:ascii="Palatino Linotype" w:eastAsia="Palatino Linotype" w:hAnsi="Palatino Linotype" w:cs="Palatino Linotype"/>
          <w:sz w:val="24"/>
          <w:szCs w:val="24"/>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rsidR="00202676" w:rsidRPr="00A72110" w:rsidRDefault="00202676">
      <w:pPr>
        <w:pBdr>
          <w:top w:val="nil"/>
          <w:left w:val="nil"/>
          <w:bottom w:val="nil"/>
          <w:right w:val="nil"/>
          <w:between w:val="nil"/>
        </w:pBdr>
        <w:spacing w:line="360" w:lineRule="auto"/>
        <w:ind w:right="-269"/>
        <w:rPr>
          <w:rFonts w:ascii="Palatino Linotype" w:eastAsia="Palatino Linotype" w:hAnsi="Palatino Linotype" w:cs="Palatino Linotype"/>
          <w:sz w:val="24"/>
          <w:szCs w:val="24"/>
        </w:rPr>
      </w:pPr>
    </w:p>
    <w:p w:rsidR="00202676" w:rsidRPr="00A72110" w:rsidRDefault="003F0206">
      <w:pPr>
        <w:numPr>
          <w:ilvl w:val="0"/>
          <w:numId w:val="4"/>
        </w:numPr>
        <w:pBdr>
          <w:top w:val="nil"/>
          <w:left w:val="nil"/>
          <w:bottom w:val="nil"/>
          <w:right w:val="nil"/>
          <w:between w:val="nil"/>
        </w:pBdr>
        <w:spacing w:after="0" w:line="360" w:lineRule="auto"/>
        <w:ind w:left="0" w:right="-269" w:firstLine="0"/>
        <w:jc w:val="both"/>
        <w:rPr>
          <w:sz w:val="24"/>
          <w:szCs w:val="24"/>
        </w:rPr>
      </w:pPr>
      <w:r w:rsidRPr="00A72110">
        <w:rPr>
          <w:rFonts w:ascii="Palatino Linotype" w:eastAsia="Palatino Linotype" w:hAnsi="Palatino Linotype" w:cs="Palatino Linotype"/>
          <w:sz w:val="24"/>
          <w:szCs w:val="24"/>
        </w:rPr>
        <w:t>Por lo que, en las licitaciones se debe seguir el procedimiento marcado en el artículo 35 del precitado ordenamiento, que literalmente establece:</w:t>
      </w:r>
    </w:p>
    <w:p w:rsidR="00202676" w:rsidRPr="00A72110" w:rsidRDefault="003F0206">
      <w:pPr>
        <w:spacing w:line="276" w:lineRule="auto"/>
        <w:ind w:left="567"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b/>
          <w:bCs/>
          <w:i/>
          <w:iCs/>
          <w:sz w:val="24"/>
          <w:szCs w:val="24"/>
        </w:rPr>
        <w:t>“Artículo 35</w:t>
      </w:r>
      <w:r w:rsidRPr="00A72110">
        <w:rPr>
          <w:rFonts w:ascii="Palatino Linotype" w:eastAsia="Palatino Linotype" w:hAnsi="Palatino Linotype" w:cs="Palatino Linotype"/>
          <w:i/>
          <w:iCs/>
          <w:sz w:val="24"/>
          <w:szCs w:val="24"/>
        </w:rPr>
        <w:t>.- En los procedimientos de licitación pública se observará lo siguiente:</w:t>
      </w:r>
    </w:p>
    <w:p w:rsidR="00202676" w:rsidRPr="00A72110" w:rsidRDefault="003F0206">
      <w:pPr>
        <w:spacing w:line="276" w:lineRule="auto"/>
        <w:ind w:left="567"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t>I. El acto de presentación y apertura de propuestas se llevará a cabo por el servidor público que designe la convocante, conforme al procedimiento que se establezca en el reglamento de esta Ley.</w:t>
      </w:r>
    </w:p>
    <w:p w:rsidR="00202676" w:rsidRPr="00A72110" w:rsidRDefault="003F0206">
      <w:pPr>
        <w:spacing w:line="276" w:lineRule="auto"/>
        <w:ind w:left="567"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t>II. El comité de adquisiciones y servicios evaluará y analizará las propuestas técnicas y económicas presentadas por los licitantes en el ámbito de las respectivas competencias de sus integrantes, y emitirá el dictamen de adjudicación.</w:t>
      </w:r>
    </w:p>
    <w:p w:rsidR="00202676" w:rsidRPr="00A72110" w:rsidRDefault="003F0206">
      <w:pPr>
        <w:spacing w:line="276" w:lineRule="auto"/>
        <w:ind w:left="567"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t>III. Las bases de licitación se pondrán a la venta a partir de la fecha de publicación de la convocatoria y hasta el día hábil anterior a la fecha de celebración de la junta de aclaraciones o, en su defecto, del acto de presentación y apertura de propuestas.</w:t>
      </w:r>
    </w:p>
    <w:p w:rsidR="00202676" w:rsidRPr="00A72110" w:rsidRDefault="003F0206">
      <w:pPr>
        <w:spacing w:line="276" w:lineRule="auto"/>
        <w:ind w:left="567"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lastRenderedPageBreak/>
        <w:t>IV. Las convocantes podrán modificar los plazos y términos establecidos en la convocatoria o en las bases de licitación, hasta cinco días hábiles anteriores a la fecha de la celebración del acto de presentación y apertura de propuestas.</w:t>
      </w:r>
    </w:p>
    <w:p w:rsidR="00202676" w:rsidRPr="00A72110" w:rsidRDefault="003F0206">
      <w:pPr>
        <w:spacing w:line="276" w:lineRule="auto"/>
        <w:ind w:left="567"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t>V. Las modificaciones no podrán limitar el número de licitantes, sustituir o variar sustancialmente los bienes o servicios convocados originalmente, ni adicionar otros  distintos.</w:t>
      </w:r>
    </w:p>
    <w:p w:rsidR="00202676" w:rsidRPr="00A72110" w:rsidRDefault="003F0206">
      <w:pPr>
        <w:spacing w:line="276" w:lineRule="auto"/>
        <w:ind w:left="567"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t>VI. Las modificaciones a la convocatoria o a las bases se harán del conocimiento de los interesados hasta tres días hábiles antes de la fecha señalada para el acto de presentación y apertura de propuestas.</w:t>
      </w:r>
    </w:p>
    <w:p w:rsidR="00202676" w:rsidRPr="00A72110" w:rsidRDefault="003F0206">
      <w:pPr>
        <w:spacing w:line="276" w:lineRule="auto"/>
        <w:ind w:left="567"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t>VII. Se emitirá el fallo dentro de los 15 días hábiles siguientes a la publicación de la convocatoria.</w:t>
      </w:r>
    </w:p>
    <w:p w:rsidR="00202676" w:rsidRPr="00A72110" w:rsidRDefault="003F0206">
      <w:pPr>
        <w:spacing w:line="276" w:lineRule="auto"/>
        <w:ind w:left="567"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t>VIII. Los licitantes se podrán registrar hasta el día y la hora fijados para el acto de presentación y apertura de propuestas.</w:t>
      </w:r>
      <w:r w:rsidRPr="00A72110">
        <w:rPr>
          <w:rFonts w:ascii="Palatino Linotype" w:eastAsia="Palatino Linotype" w:hAnsi="Palatino Linotype" w:cs="Palatino Linotype"/>
          <w:b/>
          <w:bCs/>
          <w:i/>
          <w:iCs/>
          <w:sz w:val="24"/>
          <w:szCs w:val="24"/>
        </w:rPr>
        <w:t>”</w:t>
      </w:r>
    </w:p>
    <w:p w:rsidR="00202676" w:rsidRPr="00A72110" w:rsidRDefault="003F0206">
      <w:pPr>
        <w:spacing w:line="276" w:lineRule="auto"/>
        <w:ind w:left="567" w:right="-269"/>
        <w:jc w:val="right"/>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t>(Énfasis añadido)</w:t>
      </w:r>
    </w:p>
    <w:p w:rsidR="00202676" w:rsidRPr="00A72110" w:rsidRDefault="00202676">
      <w:pPr>
        <w:spacing w:line="360" w:lineRule="auto"/>
        <w:ind w:left="567" w:right="-269"/>
        <w:jc w:val="right"/>
        <w:rPr>
          <w:rFonts w:ascii="Palatino Linotype" w:eastAsia="Palatino Linotype" w:hAnsi="Palatino Linotype" w:cs="Palatino Linotype"/>
          <w:i/>
          <w:iCs/>
          <w:sz w:val="24"/>
          <w:szCs w:val="24"/>
        </w:rPr>
      </w:pPr>
    </w:p>
    <w:p w:rsidR="00202676" w:rsidRPr="00A72110" w:rsidRDefault="003F0206">
      <w:pPr>
        <w:numPr>
          <w:ilvl w:val="0"/>
          <w:numId w:val="4"/>
        </w:numPr>
        <w:pBdr>
          <w:top w:val="nil"/>
          <w:left w:val="nil"/>
          <w:bottom w:val="nil"/>
          <w:right w:val="nil"/>
          <w:between w:val="nil"/>
        </w:pBdr>
        <w:spacing w:after="0" w:line="360" w:lineRule="auto"/>
        <w:ind w:left="0" w:right="-269" w:firstLine="0"/>
        <w:jc w:val="both"/>
        <w:rPr>
          <w:sz w:val="24"/>
          <w:szCs w:val="24"/>
        </w:rPr>
      </w:pPr>
      <w:r w:rsidRPr="00A72110">
        <w:rPr>
          <w:rFonts w:ascii="Palatino Linotype" w:eastAsia="Palatino Linotype" w:hAnsi="Palatino Linotype" w:cs="Palatino Linotype"/>
          <w:sz w:val="24"/>
          <w:szCs w:val="24"/>
        </w:rPr>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rsidR="00202676" w:rsidRPr="00A72110" w:rsidRDefault="00202676">
      <w:pPr>
        <w:pBdr>
          <w:top w:val="nil"/>
          <w:left w:val="nil"/>
          <w:bottom w:val="nil"/>
          <w:right w:val="nil"/>
          <w:between w:val="nil"/>
        </w:pBdr>
        <w:spacing w:line="360" w:lineRule="auto"/>
        <w:ind w:right="-269"/>
        <w:jc w:val="both"/>
        <w:rPr>
          <w:rFonts w:ascii="Palatino Linotype" w:eastAsia="Palatino Linotype" w:hAnsi="Palatino Linotype" w:cs="Palatino Linotype"/>
          <w:sz w:val="24"/>
          <w:szCs w:val="24"/>
        </w:rPr>
      </w:pPr>
    </w:p>
    <w:p w:rsidR="00202676" w:rsidRPr="00A72110" w:rsidRDefault="003F0206">
      <w:pPr>
        <w:numPr>
          <w:ilvl w:val="0"/>
          <w:numId w:val="4"/>
        </w:numPr>
        <w:pBdr>
          <w:top w:val="nil"/>
          <w:left w:val="nil"/>
          <w:bottom w:val="nil"/>
          <w:right w:val="nil"/>
          <w:between w:val="nil"/>
        </w:pBdr>
        <w:spacing w:after="0" w:line="360" w:lineRule="auto"/>
        <w:ind w:left="0" w:right="-269" w:firstLine="0"/>
        <w:jc w:val="both"/>
        <w:rPr>
          <w:sz w:val="24"/>
          <w:szCs w:val="24"/>
        </w:rPr>
      </w:pPr>
      <w:r w:rsidRPr="00A72110">
        <w:rPr>
          <w:rFonts w:ascii="Palatino Linotype" w:eastAsia="Palatino Linotype" w:hAnsi="Palatino Linotype" w:cs="Palatino Linotype"/>
          <w:sz w:val="24"/>
          <w:szCs w:val="24"/>
        </w:rPr>
        <w:t>Además, respecto al dictamen y el fallo de la adjudicación, es de señalar que la Ley en mención indica lo siguiente:</w:t>
      </w:r>
    </w:p>
    <w:p w:rsidR="00202676" w:rsidRPr="00A72110" w:rsidRDefault="003F0206">
      <w:pPr>
        <w:spacing w:line="276" w:lineRule="auto"/>
        <w:ind w:left="851"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b/>
          <w:bCs/>
          <w:i/>
          <w:iCs/>
          <w:sz w:val="24"/>
          <w:szCs w:val="24"/>
        </w:rPr>
        <w:t>“Artículo 37.-</w:t>
      </w:r>
      <w:r w:rsidRPr="00A72110">
        <w:rPr>
          <w:rFonts w:ascii="Palatino Linotype" w:eastAsia="Palatino Linotype" w:hAnsi="Palatino Linotype" w:cs="Palatino Linotype"/>
          <w:i/>
          <w:iCs/>
          <w:sz w:val="24"/>
          <w:szCs w:val="24"/>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w:t>
      </w:r>
      <w:r w:rsidRPr="00A72110">
        <w:rPr>
          <w:rFonts w:ascii="Palatino Linotype" w:eastAsia="Palatino Linotype" w:hAnsi="Palatino Linotype" w:cs="Palatino Linotype"/>
          <w:i/>
          <w:iCs/>
          <w:sz w:val="24"/>
          <w:szCs w:val="24"/>
        </w:rPr>
        <w:lastRenderedPageBreak/>
        <w:t>todo momento la obtención de las mejores condiciones en cuanto a precio, calidad, financiamiento, oportunidad y demás circunstancias pertinentes.</w:t>
      </w:r>
    </w:p>
    <w:p w:rsidR="00202676" w:rsidRPr="00A72110" w:rsidRDefault="003F0206">
      <w:pPr>
        <w:spacing w:line="276" w:lineRule="auto"/>
        <w:ind w:left="851"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b/>
          <w:bCs/>
          <w:i/>
          <w:iCs/>
          <w:sz w:val="24"/>
          <w:szCs w:val="24"/>
        </w:rPr>
        <w:t>Artículo 38.-</w:t>
      </w:r>
      <w:r w:rsidRPr="00A72110">
        <w:rPr>
          <w:rFonts w:ascii="Palatino Linotype" w:eastAsia="Palatino Linotype" w:hAnsi="Palatino Linotype" w:cs="Palatino Linotype"/>
          <w:i/>
          <w:iCs/>
          <w:sz w:val="24"/>
          <w:szCs w:val="24"/>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rsidR="00202676" w:rsidRPr="00A72110" w:rsidRDefault="003F0206">
      <w:pPr>
        <w:spacing w:line="276" w:lineRule="auto"/>
        <w:ind w:left="851"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sidRPr="00A72110">
        <w:rPr>
          <w:rFonts w:ascii="Palatino Linotype" w:eastAsia="Palatino Linotype" w:hAnsi="Palatino Linotype" w:cs="Palatino Linotype"/>
          <w:b/>
          <w:bCs/>
          <w:i/>
          <w:iCs/>
          <w:sz w:val="24"/>
          <w:szCs w:val="24"/>
        </w:rPr>
        <w:t>”</w:t>
      </w:r>
      <w:r w:rsidRPr="00A72110">
        <w:rPr>
          <w:rFonts w:ascii="Palatino Linotype" w:eastAsia="Palatino Linotype" w:hAnsi="Palatino Linotype" w:cs="Palatino Linotype"/>
          <w:i/>
          <w:iCs/>
          <w:sz w:val="24"/>
          <w:szCs w:val="24"/>
        </w:rPr>
        <w:t xml:space="preserve"> </w:t>
      </w:r>
    </w:p>
    <w:p w:rsidR="00202676" w:rsidRPr="00A72110" w:rsidRDefault="00202676">
      <w:pPr>
        <w:spacing w:line="276" w:lineRule="auto"/>
        <w:ind w:right="-269"/>
        <w:jc w:val="both"/>
        <w:rPr>
          <w:rFonts w:ascii="Palatino Linotype" w:eastAsia="Palatino Linotype" w:hAnsi="Palatino Linotype" w:cs="Palatino Linotype"/>
          <w:i/>
          <w:iCs/>
          <w:sz w:val="24"/>
          <w:szCs w:val="24"/>
        </w:rPr>
      </w:pPr>
    </w:p>
    <w:p w:rsidR="00202676" w:rsidRPr="00A72110" w:rsidRDefault="003F0206">
      <w:pPr>
        <w:numPr>
          <w:ilvl w:val="0"/>
          <w:numId w:val="4"/>
        </w:numPr>
        <w:pBdr>
          <w:top w:val="nil"/>
          <w:left w:val="nil"/>
          <w:bottom w:val="nil"/>
          <w:right w:val="nil"/>
          <w:between w:val="nil"/>
        </w:pBdr>
        <w:spacing w:after="0" w:line="360" w:lineRule="auto"/>
        <w:ind w:left="0" w:right="-269" w:firstLine="0"/>
        <w:jc w:val="both"/>
        <w:rPr>
          <w:sz w:val="24"/>
          <w:szCs w:val="24"/>
        </w:rPr>
      </w:pPr>
      <w:r w:rsidRPr="00A72110">
        <w:rPr>
          <w:rFonts w:ascii="Palatino Linotype" w:eastAsia="Palatino Linotype" w:hAnsi="Palatino Linotype" w:cs="Palatino Linotype"/>
          <w:sz w:val="24"/>
          <w:szCs w:val="24"/>
        </w:rPr>
        <w:t xml:space="preserve">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rsidR="00202676" w:rsidRPr="00A72110" w:rsidRDefault="00202676">
      <w:pPr>
        <w:pBdr>
          <w:top w:val="nil"/>
          <w:left w:val="nil"/>
          <w:bottom w:val="nil"/>
          <w:right w:val="nil"/>
          <w:between w:val="nil"/>
        </w:pBdr>
        <w:spacing w:line="360" w:lineRule="auto"/>
        <w:ind w:right="-269"/>
        <w:jc w:val="both"/>
        <w:rPr>
          <w:rFonts w:ascii="Palatino Linotype" w:eastAsia="Palatino Linotype" w:hAnsi="Palatino Linotype" w:cs="Palatino Linotype"/>
          <w:sz w:val="24"/>
          <w:szCs w:val="24"/>
        </w:rPr>
      </w:pPr>
    </w:p>
    <w:p w:rsidR="00202676" w:rsidRPr="00A72110" w:rsidRDefault="003F0206">
      <w:pPr>
        <w:numPr>
          <w:ilvl w:val="0"/>
          <w:numId w:val="4"/>
        </w:numPr>
        <w:pBdr>
          <w:top w:val="nil"/>
          <w:left w:val="nil"/>
          <w:bottom w:val="nil"/>
          <w:right w:val="nil"/>
          <w:between w:val="nil"/>
        </w:pBdr>
        <w:spacing w:after="0" w:line="360" w:lineRule="auto"/>
        <w:ind w:left="0" w:right="-269" w:firstLine="0"/>
        <w:jc w:val="both"/>
        <w:rPr>
          <w:sz w:val="24"/>
          <w:szCs w:val="24"/>
        </w:rPr>
      </w:pPr>
      <w:r w:rsidRPr="00A72110">
        <w:rPr>
          <w:rFonts w:ascii="Palatino Linotype" w:eastAsia="Palatino Linotype" w:hAnsi="Palatino Linotype" w:cs="Palatino Linotype"/>
          <w:sz w:val="24"/>
          <w:szCs w:val="24"/>
        </w:rPr>
        <w:t>Además, es oportuno señalar que, las disposiciones respecto a las bases, dictámenes, fallos y fianzas, se realizan con similitud al procedimiento de licitación pública, tal como lo señalan los artículos 46 y 90 de la misma Ley, que literalmente establecen:</w:t>
      </w:r>
    </w:p>
    <w:p w:rsidR="00202676" w:rsidRPr="00A72110" w:rsidRDefault="003F0206">
      <w:pPr>
        <w:spacing w:line="276" w:lineRule="auto"/>
        <w:ind w:left="851"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b/>
          <w:bCs/>
          <w:i/>
          <w:iCs/>
          <w:sz w:val="24"/>
          <w:szCs w:val="24"/>
        </w:rPr>
        <w:t>“Artículo 46.-</w:t>
      </w:r>
      <w:r w:rsidRPr="00A72110">
        <w:rPr>
          <w:rFonts w:ascii="Palatino Linotype" w:eastAsia="Palatino Linotype" w:hAnsi="Palatino Linotype" w:cs="Palatino Linotype"/>
          <w:i/>
          <w:iCs/>
          <w:sz w:val="24"/>
          <w:szCs w:val="24"/>
        </w:rPr>
        <w:t xml:space="preserve"> El procedimiento de invitación restringida se desarrollará en los términos de la licitación pública, a excepción de la publicación de la convocatoria.” (Sic)</w:t>
      </w:r>
    </w:p>
    <w:p w:rsidR="00202676" w:rsidRPr="00A72110" w:rsidRDefault="003F0206">
      <w:pPr>
        <w:spacing w:line="276" w:lineRule="auto"/>
        <w:ind w:left="851"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t>Por ello, el Reglamento de la Ley en comento, en su artículo 90, indica cuales lo son los supuestos que deberán observarse para llevar a cabo dicho procedimiento:</w:t>
      </w:r>
    </w:p>
    <w:p w:rsidR="00202676" w:rsidRPr="00A72110" w:rsidRDefault="003F0206">
      <w:pPr>
        <w:spacing w:line="276" w:lineRule="auto"/>
        <w:ind w:left="851"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b/>
          <w:bCs/>
          <w:i/>
          <w:iCs/>
          <w:sz w:val="24"/>
          <w:szCs w:val="24"/>
        </w:rPr>
        <w:t>Artículo 90.-</w:t>
      </w:r>
      <w:r w:rsidRPr="00A72110">
        <w:rPr>
          <w:rFonts w:ascii="Palatino Linotype" w:eastAsia="Palatino Linotype" w:hAnsi="Palatino Linotype" w:cs="Palatino Linotype"/>
          <w:i/>
          <w:iCs/>
          <w:sz w:val="24"/>
          <w:szCs w:val="24"/>
        </w:rPr>
        <w:t xml:space="preserve"> En el procedimiento de invitación restringida se deberá observar lo siguiente:</w:t>
      </w:r>
    </w:p>
    <w:p w:rsidR="00202676" w:rsidRPr="00A72110" w:rsidRDefault="003F0206">
      <w:pPr>
        <w:spacing w:line="276" w:lineRule="auto"/>
        <w:ind w:left="851"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t>I. Se invitará a un mínimo de tres personas seleccionadas de entre las que se encuentren inscritas en el catálogo de proveedores y de prestadores de servicios.</w:t>
      </w:r>
    </w:p>
    <w:p w:rsidR="00202676" w:rsidRPr="00A72110" w:rsidRDefault="003F0206">
      <w:pPr>
        <w:spacing w:line="276" w:lineRule="auto"/>
        <w:ind w:left="851"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lastRenderedPageBreak/>
        <w:t>Se podrá invitar a personas que no se encuentren inscritas, cuando en el giro correspondiente del catálogo de proveedores y prestadores de servicios no exista el registro mínimo de personas requeridas para tal modalidad;</w:t>
      </w:r>
    </w:p>
    <w:p w:rsidR="00202676" w:rsidRPr="00A72110" w:rsidRDefault="003F0206">
      <w:pPr>
        <w:spacing w:line="276" w:lineRule="auto"/>
        <w:ind w:left="851"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t>II. Las bases de la invitación restringida indicarán los aspectos de la adquisición o contratación; y</w:t>
      </w:r>
    </w:p>
    <w:p w:rsidR="00202676" w:rsidRPr="00A72110" w:rsidRDefault="003F0206">
      <w:pPr>
        <w:spacing w:line="276" w:lineRule="auto"/>
        <w:ind w:left="851" w:right="-269"/>
        <w:jc w:val="both"/>
        <w:rPr>
          <w:rFonts w:ascii="Palatino Linotype" w:eastAsia="Palatino Linotype" w:hAnsi="Palatino Linotype" w:cs="Palatino Linotype"/>
          <w:b/>
          <w:bCs/>
          <w:i/>
          <w:iCs/>
          <w:sz w:val="24"/>
          <w:szCs w:val="24"/>
        </w:rPr>
      </w:pPr>
      <w:r w:rsidRPr="00A72110">
        <w:rPr>
          <w:rFonts w:ascii="Palatino Linotype" w:eastAsia="Palatino Linotype" w:hAnsi="Palatino Linotype" w:cs="Palatino Linotype"/>
          <w:i/>
          <w:iCs/>
          <w:sz w:val="24"/>
          <w:szCs w:val="24"/>
        </w:rPr>
        <w:t>III. Serán aplicables, en lo conducente, las disposiciones de la licitación pública.</w:t>
      </w:r>
      <w:r w:rsidRPr="00A72110">
        <w:rPr>
          <w:rFonts w:ascii="Palatino Linotype" w:eastAsia="Palatino Linotype" w:hAnsi="Palatino Linotype" w:cs="Palatino Linotype"/>
          <w:b/>
          <w:bCs/>
          <w:i/>
          <w:iCs/>
          <w:sz w:val="24"/>
          <w:szCs w:val="24"/>
        </w:rPr>
        <w:t>”</w:t>
      </w:r>
    </w:p>
    <w:p w:rsidR="00202676" w:rsidRPr="00A72110" w:rsidRDefault="00202676">
      <w:pPr>
        <w:spacing w:line="360" w:lineRule="auto"/>
        <w:ind w:left="709" w:right="-269"/>
        <w:jc w:val="both"/>
        <w:rPr>
          <w:rFonts w:ascii="Palatino Linotype" w:eastAsia="Palatino Linotype" w:hAnsi="Palatino Linotype" w:cs="Palatino Linotype"/>
          <w:i/>
          <w:iCs/>
          <w:sz w:val="24"/>
          <w:szCs w:val="24"/>
        </w:rPr>
      </w:pPr>
    </w:p>
    <w:p w:rsidR="00202676" w:rsidRPr="00A72110" w:rsidRDefault="003F0206">
      <w:pPr>
        <w:numPr>
          <w:ilvl w:val="0"/>
          <w:numId w:val="4"/>
        </w:numPr>
        <w:pBdr>
          <w:top w:val="nil"/>
          <w:left w:val="nil"/>
          <w:bottom w:val="nil"/>
          <w:right w:val="nil"/>
          <w:between w:val="nil"/>
        </w:pBdr>
        <w:spacing w:after="0" w:line="360" w:lineRule="auto"/>
        <w:ind w:left="0" w:right="-269" w:firstLine="0"/>
        <w:jc w:val="both"/>
        <w:rPr>
          <w:sz w:val="24"/>
          <w:szCs w:val="24"/>
        </w:rPr>
      </w:pPr>
      <w:r w:rsidRPr="00A72110">
        <w:rPr>
          <w:rFonts w:ascii="Palatino Linotype" w:eastAsia="Palatino Linotype" w:hAnsi="Palatino Linotype" w:cs="Palatino Linotype"/>
          <w:sz w:val="24"/>
          <w:szCs w:val="24"/>
        </w:rPr>
        <w:t>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p>
    <w:p w:rsidR="00202676" w:rsidRPr="00A72110" w:rsidRDefault="00202676">
      <w:pPr>
        <w:pBdr>
          <w:top w:val="nil"/>
          <w:left w:val="nil"/>
          <w:bottom w:val="nil"/>
          <w:right w:val="nil"/>
          <w:between w:val="nil"/>
        </w:pBdr>
        <w:spacing w:line="360" w:lineRule="auto"/>
        <w:ind w:right="-269"/>
        <w:jc w:val="both"/>
        <w:rPr>
          <w:sz w:val="24"/>
          <w:szCs w:val="24"/>
        </w:rPr>
      </w:pPr>
    </w:p>
    <w:p w:rsidR="00202676" w:rsidRPr="00A72110" w:rsidRDefault="003F0206">
      <w:pPr>
        <w:numPr>
          <w:ilvl w:val="0"/>
          <w:numId w:val="4"/>
        </w:numPr>
        <w:pBdr>
          <w:top w:val="nil"/>
          <w:left w:val="nil"/>
          <w:bottom w:val="nil"/>
          <w:right w:val="nil"/>
          <w:between w:val="nil"/>
        </w:pBdr>
        <w:spacing w:after="0" w:line="360" w:lineRule="auto"/>
        <w:ind w:left="0" w:right="-269" w:firstLine="0"/>
        <w:jc w:val="both"/>
        <w:rPr>
          <w:sz w:val="24"/>
          <w:szCs w:val="24"/>
        </w:rPr>
      </w:pPr>
      <w:r w:rsidRPr="00A72110">
        <w:rPr>
          <w:rFonts w:ascii="Palatino Linotype" w:eastAsia="Palatino Linotype" w:hAnsi="Palatino Linotype" w:cs="Palatino Linotype"/>
          <w:sz w:val="24"/>
          <w:szCs w:val="24"/>
        </w:rPr>
        <w:t>Por último, y en cuanto hace a la adjudicación directa, el artículo 48 de la Ley de la Contratación Pública del Estado de México y Municipios y 91 del Reglamento de dicha Ley, indican en qué supuestos puede llevarse a cabo este procedimiento.</w:t>
      </w:r>
    </w:p>
    <w:p w:rsidR="00202676" w:rsidRPr="00A72110" w:rsidRDefault="00202676">
      <w:pPr>
        <w:pBdr>
          <w:top w:val="nil"/>
          <w:left w:val="nil"/>
          <w:bottom w:val="nil"/>
          <w:right w:val="nil"/>
          <w:between w:val="nil"/>
        </w:pBdr>
        <w:spacing w:after="0" w:line="360" w:lineRule="auto"/>
        <w:ind w:left="720" w:right="-269"/>
        <w:jc w:val="both"/>
        <w:rPr>
          <w:rFonts w:ascii="Palatino Linotype" w:eastAsia="Palatino Linotype" w:hAnsi="Palatino Linotype" w:cs="Palatino Linotype"/>
          <w:sz w:val="24"/>
          <w:szCs w:val="24"/>
        </w:rPr>
      </w:pPr>
    </w:p>
    <w:p w:rsidR="00202676" w:rsidRPr="00A72110" w:rsidRDefault="003F0206">
      <w:pPr>
        <w:numPr>
          <w:ilvl w:val="0"/>
          <w:numId w:val="4"/>
        </w:numPr>
        <w:pBdr>
          <w:top w:val="nil"/>
          <w:left w:val="nil"/>
          <w:bottom w:val="nil"/>
          <w:right w:val="nil"/>
          <w:between w:val="nil"/>
        </w:pBdr>
        <w:spacing w:after="0" w:line="360" w:lineRule="auto"/>
        <w:ind w:left="0" w:right="-269" w:firstLine="0"/>
        <w:jc w:val="both"/>
        <w:rPr>
          <w:sz w:val="24"/>
          <w:szCs w:val="24"/>
        </w:rPr>
      </w:pPr>
      <w:r w:rsidRPr="00A72110">
        <w:rPr>
          <w:rFonts w:ascii="Palatino Linotype" w:eastAsia="Palatino Linotype" w:hAnsi="Palatino Linotype" w:cs="Palatino Linotype"/>
          <w:sz w:val="24"/>
          <w:szCs w:val="24"/>
        </w:rPr>
        <w:t xml:space="preserve">En este sentido, el convocante debe solicitar a su comité el dictamen correspondiente del procedimiento de adjudicación directa, en el que se acredite previamente la descripción general de los bienes a adquirir; </w:t>
      </w:r>
      <w:r w:rsidRPr="00A72110">
        <w:rPr>
          <w:rFonts w:ascii="Palatino Linotype" w:eastAsia="Palatino Linotype" w:hAnsi="Palatino Linotype" w:cs="Palatino Linotype"/>
          <w:b/>
          <w:bCs/>
          <w:sz w:val="24"/>
          <w:szCs w:val="24"/>
        </w:rPr>
        <w:t>la justificación o conveniencia de llevar a cabo la adjudicación directa</w:t>
      </w:r>
      <w:r w:rsidRPr="00A72110">
        <w:rPr>
          <w:rFonts w:ascii="Palatino Linotype" w:eastAsia="Palatino Linotype" w:hAnsi="Palatino Linotype" w:cs="Palatino Linotype"/>
          <w:sz w:val="24"/>
          <w:szCs w:val="24"/>
        </w:rPr>
        <w:t>; y la certificación de suficiencia presupuestaria.</w:t>
      </w:r>
    </w:p>
    <w:p w:rsidR="00202676" w:rsidRPr="00A72110" w:rsidRDefault="00202676">
      <w:pPr>
        <w:pBdr>
          <w:top w:val="nil"/>
          <w:left w:val="nil"/>
          <w:bottom w:val="nil"/>
          <w:right w:val="nil"/>
          <w:between w:val="nil"/>
        </w:pBdr>
        <w:spacing w:line="360" w:lineRule="auto"/>
        <w:ind w:right="-269"/>
        <w:rPr>
          <w:rFonts w:ascii="Palatino Linotype" w:eastAsia="Palatino Linotype" w:hAnsi="Palatino Linotype" w:cs="Palatino Linotype"/>
          <w:sz w:val="24"/>
          <w:szCs w:val="24"/>
        </w:rPr>
      </w:pPr>
    </w:p>
    <w:p w:rsidR="00202676" w:rsidRPr="00A72110" w:rsidRDefault="003F0206">
      <w:pPr>
        <w:numPr>
          <w:ilvl w:val="0"/>
          <w:numId w:val="4"/>
        </w:numPr>
        <w:pBdr>
          <w:top w:val="nil"/>
          <w:left w:val="nil"/>
          <w:bottom w:val="nil"/>
          <w:right w:val="nil"/>
          <w:between w:val="nil"/>
        </w:pBdr>
        <w:spacing w:after="0" w:line="360" w:lineRule="auto"/>
        <w:ind w:left="0" w:right="-269" w:firstLine="0"/>
        <w:jc w:val="both"/>
        <w:rPr>
          <w:sz w:val="24"/>
          <w:szCs w:val="24"/>
        </w:rPr>
      </w:pPr>
      <w:r w:rsidRPr="00A72110">
        <w:rPr>
          <w:rFonts w:ascii="Palatino Linotype" w:eastAsia="Palatino Linotype" w:hAnsi="Palatino Linotype" w:cs="Palatino Linotype"/>
          <w:sz w:val="24"/>
          <w:szCs w:val="24"/>
        </w:rPr>
        <w:t xml:space="preserve">En este sentido, debe decirse que los </w:t>
      </w:r>
      <w:r w:rsidRPr="00A72110">
        <w:rPr>
          <w:rFonts w:ascii="Palatino Linotype" w:eastAsia="Palatino Linotype" w:hAnsi="Palatino Linotype" w:cs="Palatino Linotype"/>
          <w:b/>
          <w:bCs/>
          <w:sz w:val="24"/>
          <w:szCs w:val="24"/>
          <w:u w:val="single"/>
        </w:rPr>
        <w:t>expedientes de las adquisiciones, arrendamientos, enajenaciones y servicios</w:t>
      </w:r>
      <w:r w:rsidRPr="00A72110">
        <w:rPr>
          <w:rFonts w:ascii="Palatino Linotype" w:eastAsia="Palatino Linotype" w:hAnsi="Palatino Linotype" w:cs="Palatino Linotype"/>
          <w:sz w:val="24"/>
          <w:szCs w:val="24"/>
        </w:rPr>
        <w:t xml:space="preserve">, se encuentra considerada como una de las obligaciones de transparencias común que los Sujetos Obligados tienen el deber de poner a disposición del público de manera permanente y actualizada de forma sencilla, precisa y </w:t>
      </w:r>
      <w:r w:rsidRPr="00A72110">
        <w:rPr>
          <w:rFonts w:ascii="Palatino Linotype" w:eastAsia="Palatino Linotype" w:hAnsi="Palatino Linotype" w:cs="Palatino Linotype"/>
          <w:sz w:val="24"/>
          <w:szCs w:val="24"/>
        </w:rPr>
        <w:lastRenderedPageBreak/>
        <w:t>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rsidR="00202676" w:rsidRPr="00A72110" w:rsidRDefault="00202676">
      <w:pPr>
        <w:pBdr>
          <w:top w:val="nil"/>
          <w:left w:val="nil"/>
          <w:bottom w:val="nil"/>
          <w:right w:val="nil"/>
          <w:between w:val="nil"/>
        </w:pBdr>
        <w:spacing w:after="0" w:line="240" w:lineRule="auto"/>
        <w:ind w:left="708" w:right="-269"/>
        <w:rPr>
          <w:rFonts w:ascii="Times New Roman" w:eastAsia="Times New Roman" w:hAnsi="Times New Roman" w:cs="Times New Roman"/>
          <w:color w:val="000000"/>
          <w:sz w:val="24"/>
          <w:szCs w:val="24"/>
        </w:rPr>
      </w:pPr>
    </w:p>
    <w:p w:rsidR="00202676" w:rsidRPr="00A72110" w:rsidRDefault="003F0206">
      <w:pPr>
        <w:spacing w:line="276" w:lineRule="auto"/>
        <w:ind w:left="851" w:right="-269"/>
        <w:jc w:val="both"/>
        <w:rPr>
          <w:rFonts w:ascii="Palatino Linotype" w:eastAsia="Palatino Linotype" w:hAnsi="Palatino Linotype" w:cs="Palatino Linotype"/>
          <w:sz w:val="24"/>
          <w:szCs w:val="24"/>
        </w:rPr>
      </w:pPr>
      <w:r w:rsidRPr="00A72110">
        <w:rPr>
          <w:rFonts w:ascii="Palatino Linotype" w:eastAsia="Palatino Linotype" w:hAnsi="Palatino Linotype" w:cs="Palatino Linotype"/>
          <w:b/>
          <w:bCs/>
          <w:i/>
          <w:iCs/>
          <w:sz w:val="24"/>
          <w:szCs w:val="24"/>
        </w:rPr>
        <w:t>“Artículo 92. </w:t>
      </w:r>
      <w:r w:rsidRPr="00A72110">
        <w:rPr>
          <w:rFonts w:ascii="Palatino Linotype" w:eastAsia="Palatino Linotype" w:hAnsi="Palatino Linotype" w:cs="Palatino Linotype"/>
          <w:i/>
          <w:iCs/>
          <w:sz w:val="24"/>
          <w:szCs w:val="24"/>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02676" w:rsidRPr="00A72110" w:rsidRDefault="003F0206">
      <w:pPr>
        <w:spacing w:line="276" w:lineRule="auto"/>
        <w:ind w:left="851" w:right="-269"/>
        <w:jc w:val="both"/>
        <w:rPr>
          <w:rFonts w:ascii="Palatino Linotype" w:eastAsia="Palatino Linotype" w:hAnsi="Palatino Linotype" w:cs="Palatino Linotype"/>
          <w:sz w:val="24"/>
          <w:szCs w:val="24"/>
        </w:rPr>
      </w:pPr>
      <w:r w:rsidRPr="00A72110">
        <w:rPr>
          <w:rFonts w:ascii="Palatino Linotype" w:eastAsia="Palatino Linotype" w:hAnsi="Palatino Linotype" w:cs="Palatino Linotype"/>
          <w:i/>
          <w:iCs/>
          <w:sz w:val="24"/>
          <w:szCs w:val="24"/>
        </w:rPr>
        <w:t>(…)</w:t>
      </w:r>
    </w:p>
    <w:p w:rsidR="00202676" w:rsidRPr="00A72110" w:rsidRDefault="003F0206">
      <w:pPr>
        <w:spacing w:line="276" w:lineRule="auto"/>
        <w:ind w:left="851" w:right="-269"/>
        <w:jc w:val="both"/>
        <w:rPr>
          <w:rFonts w:ascii="Palatino Linotype" w:eastAsia="Palatino Linotype" w:hAnsi="Palatino Linotype" w:cs="Palatino Linotype"/>
          <w:sz w:val="24"/>
          <w:szCs w:val="24"/>
        </w:rPr>
      </w:pPr>
      <w:r w:rsidRPr="00A72110">
        <w:rPr>
          <w:rFonts w:ascii="Palatino Linotype" w:eastAsia="Palatino Linotype" w:hAnsi="Palatino Linotype" w:cs="Palatino Linotype"/>
          <w:b/>
          <w:bCs/>
          <w:i/>
          <w:iCs/>
          <w:sz w:val="24"/>
          <w:szCs w:val="24"/>
        </w:rPr>
        <w:t>XXIX. </w:t>
      </w:r>
      <w:r w:rsidRPr="00A72110">
        <w:rPr>
          <w:rFonts w:ascii="Palatino Linotype" w:eastAsia="Palatino Linotype" w:hAnsi="Palatino Linotype" w:cs="Palatino Linotype"/>
          <w:i/>
          <w:iCs/>
          <w:sz w:val="24"/>
          <w:szCs w:val="24"/>
        </w:rPr>
        <w:t>La información sobre los procesos y resultados sobre procedimientos de adjudicación directa, invitación restringida y licitación de cualquier naturaleza, </w:t>
      </w:r>
      <w:r w:rsidRPr="00A72110">
        <w:rPr>
          <w:rFonts w:ascii="Palatino Linotype" w:eastAsia="Palatino Linotype" w:hAnsi="Palatino Linotype" w:cs="Palatino Linotype"/>
          <w:b/>
          <w:bCs/>
          <w:i/>
          <w:iCs/>
          <w:sz w:val="24"/>
          <w:szCs w:val="24"/>
          <w:u w:val="single"/>
        </w:rPr>
        <w:t>incluyendo la versión pública del expediente respectivo y de los contratos</w:t>
      </w:r>
      <w:r w:rsidRPr="00A72110">
        <w:rPr>
          <w:rFonts w:ascii="Palatino Linotype" w:eastAsia="Palatino Linotype" w:hAnsi="Palatino Linotype" w:cs="Palatino Linotype"/>
          <w:i/>
          <w:iCs/>
          <w:sz w:val="24"/>
          <w:szCs w:val="24"/>
        </w:rPr>
        <w:t> celebrados, que deberán contener, por los menos, lo siguiente:</w:t>
      </w:r>
    </w:p>
    <w:p w:rsidR="00202676" w:rsidRPr="00A72110" w:rsidRDefault="003F0206">
      <w:pPr>
        <w:spacing w:line="276" w:lineRule="auto"/>
        <w:ind w:left="851" w:right="-269"/>
        <w:jc w:val="both"/>
        <w:rPr>
          <w:rFonts w:ascii="Palatino Linotype" w:eastAsia="Palatino Linotype" w:hAnsi="Palatino Linotype" w:cs="Palatino Linotype"/>
          <w:sz w:val="24"/>
          <w:szCs w:val="24"/>
        </w:rPr>
      </w:pPr>
      <w:r w:rsidRPr="00A72110">
        <w:rPr>
          <w:rFonts w:ascii="Palatino Linotype" w:eastAsia="Palatino Linotype" w:hAnsi="Palatino Linotype" w:cs="Palatino Linotype"/>
          <w:b/>
          <w:bCs/>
          <w:i/>
          <w:iCs/>
          <w:sz w:val="24"/>
          <w:szCs w:val="24"/>
        </w:rPr>
        <w:t>a) </w:t>
      </w:r>
      <w:r w:rsidRPr="00A72110">
        <w:rPr>
          <w:rFonts w:ascii="Palatino Linotype" w:eastAsia="Palatino Linotype" w:hAnsi="Palatino Linotype" w:cs="Palatino Linotype"/>
          <w:i/>
          <w:iCs/>
          <w:sz w:val="24"/>
          <w:szCs w:val="24"/>
        </w:rPr>
        <w:t>De licitaciones públicas o procedimientos de invitación restringida:</w:t>
      </w:r>
    </w:p>
    <w:p w:rsidR="00202676" w:rsidRPr="00A72110" w:rsidRDefault="003F0206">
      <w:pPr>
        <w:spacing w:line="276" w:lineRule="auto"/>
        <w:ind w:left="851" w:right="-269"/>
        <w:jc w:val="both"/>
        <w:rPr>
          <w:rFonts w:ascii="Palatino Linotype" w:eastAsia="Palatino Linotype" w:hAnsi="Palatino Linotype" w:cs="Palatino Linotype"/>
          <w:sz w:val="24"/>
          <w:szCs w:val="24"/>
        </w:rPr>
      </w:pPr>
      <w:r w:rsidRPr="00A72110">
        <w:rPr>
          <w:rFonts w:ascii="Palatino Linotype" w:eastAsia="Palatino Linotype" w:hAnsi="Palatino Linotype" w:cs="Palatino Linotype"/>
          <w:b/>
          <w:bCs/>
          <w:i/>
          <w:iCs/>
          <w:sz w:val="24"/>
          <w:szCs w:val="24"/>
        </w:rPr>
        <w:t>1)</w:t>
      </w:r>
      <w:r w:rsidRPr="00A72110">
        <w:rPr>
          <w:rFonts w:ascii="Palatino Linotype" w:eastAsia="Palatino Linotype" w:hAnsi="Palatino Linotype" w:cs="Palatino Linotype"/>
          <w:i/>
          <w:iCs/>
          <w:sz w:val="24"/>
          <w:szCs w:val="24"/>
        </w:rPr>
        <w:t> La convocatoria o invitación emitida, así como los fundamentos legales aplicados para llevarla a cabo;</w:t>
      </w:r>
    </w:p>
    <w:p w:rsidR="00202676" w:rsidRPr="00A72110" w:rsidRDefault="003F0206">
      <w:pPr>
        <w:spacing w:line="276" w:lineRule="auto"/>
        <w:ind w:left="851" w:right="-269"/>
        <w:jc w:val="both"/>
        <w:rPr>
          <w:rFonts w:ascii="Palatino Linotype" w:eastAsia="Palatino Linotype" w:hAnsi="Palatino Linotype" w:cs="Palatino Linotype"/>
          <w:sz w:val="24"/>
          <w:szCs w:val="24"/>
        </w:rPr>
      </w:pPr>
      <w:r w:rsidRPr="00A72110">
        <w:rPr>
          <w:rFonts w:ascii="Palatino Linotype" w:eastAsia="Palatino Linotype" w:hAnsi="Palatino Linotype" w:cs="Palatino Linotype"/>
          <w:i/>
          <w:iCs/>
          <w:sz w:val="24"/>
          <w:szCs w:val="24"/>
        </w:rPr>
        <w:t>2) Los nombres de los participantes o invitados;</w:t>
      </w:r>
    </w:p>
    <w:p w:rsidR="00202676" w:rsidRPr="00A72110" w:rsidRDefault="003F0206">
      <w:pPr>
        <w:spacing w:line="276" w:lineRule="auto"/>
        <w:ind w:left="851" w:right="-269"/>
        <w:jc w:val="both"/>
        <w:rPr>
          <w:rFonts w:ascii="Palatino Linotype" w:eastAsia="Palatino Linotype" w:hAnsi="Palatino Linotype" w:cs="Palatino Linotype"/>
          <w:sz w:val="24"/>
          <w:szCs w:val="24"/>
        </w:rPr>
      </w:pPr>
      <w:r w:rsidRPr="00A72110">
        <w:rPr>
          <w:rFonts w:ascii="Palatino Linotype" w:eastAsia="Palatino Linotype" w:hAnsi="Palatino Linotype" w:cs="Palatino Linotype"/>
          <w:i/>
          <w:iCs/>
          <w:sz w:val="24"/>
          <w:szCs w:val="24"/>
        </w:rPr>
        <w:t>3) El nombre del ganador y las razones que lo justifican;</w:t>
      </w:r>
    </w:p>
    <w:p w:rsidR="00202676" w:rsidRPr="00A72110" w:rsidRDefault="003F0206">
      <w:pPr>
        <w:spacing w:line="276" w:lineRule="auto"/>
        <w:ind w:left="851" w:right="-269"/>
        <w:jc w:val="both"/>
        <w:rPr>
          <w:rFonts w:ascii="Palatino Linotype" w:eastAsia="Palatino Linotype" w:hAnsi="Palatino Linotype" w:cs="Palatino Linotype"/>
          <w:sz w:val="24"/>
          <w:szCs w:val="24"/>
        </w:rPr>
      </w:pPr>
      <w:r w:rsidRPr="00A72110">
        <w:rPr>
          <w:rFonts w:ascii="Palatino Linotype" w:eastAsia="Palatino Linotype" w:hAnsi="Palatino Linotype" w:cs="Palatino Linotype"/>
          <w:b/>
          <w:bCs/>
          <w:i/>
          <w:iCs/>
          <w:sz w:val="24"/>
          <w:szCs w:val="24"/>
        </w:rPr>
        <w:t>4) </w:t>
      </w:r>
      <w:r w:rsidRPr="00A72110">
        <w:rPr>
          <w:rFonts w:ascii="Palatino Linotype" w:eastAsia="Palatino Linotype" w:hAnsi="Palatino Linotype" w:cs="Palatino Linotype"/>
          <w:i/>
          <w:iCs/>
          <w:sz w:val="24"/>
          <w:szCs w:val="24"/>
        </w:rPr>
        <w:t>El área solicitante y la responsable de su ejecución;</w:t>
      </w:r>
    </w:p>
    <w:p w:rsidR="00202676" w:rsidRPr="00A72110" w:rsidRDefault="003F0206">
      <w:pPr>
        <w:spacing w:line="276" w:lineRule="auto"/>
        <w:ind w:left="851" w:right="-269"/>
        <w:jc w:val="both"/>
        <w:rPr>
          <w:rFonts w:ascii="Palatino Linotype" w:eastAsia="Palatino Linotype" w:hAnsi="Palatino Linotype" w:cs="Palatino Linotype"/>
          <w:sz w:val="24"/>
          <w:szCs w:val="24"/>
        </w:rPr>
      </w:pPr>
      <w:r w:rsidRPr="00A72110">
        <w:rPr>
          <w:rFonts w:ascii="Palatino Linotype" w:eastAsia="Palatino Linotype" w:hAnsi="Palatino Linotype" w:cs="Palatino Linotype"/>
          <w:b/>
          <w:bCs/>
          <w:i/>
          <w:iCs/>
          <w:sz w:val="24"/>
          <w:szCs w:val="24"/>
        </w:rPr>
        <w:t>5) </w:t>
      </w:r>
      <w:r w:rsidRPr="00A72110">
        <w:rPr>
          <w:rFonts w:ascii="Palatino Linotype" w:eastAsia="Palatino Linotype" w:hAnsi="Palatino Linotype" w:cs="Palatino Linotype"/>
          <w:i/>
          <w:iCs/>
          <w:sz w:val="24"/>
          <w:szCs w:val="24"/>
        </w:rPr>
        <w:t>Las convocatorias e invitaciones emitidas;</w:t>
      </w:r>
    </w:p>
    <w:p w:rsidR="00202676" w:rsidRPr="00A72110" w:rsidRDefault="003F0206">
      <w:pPr>
        <w:spacing w:line="276" w:lineRule="auto"/>
        <w:ind w:left="851"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t>6) Los dictámenes y fallo de adjudicación;</w:t>
      </w:r>
    </w:p>
    <w:p w:rsidR="00202676" w:rsidRPr="00A72110" w:rsidRDefault="003F0206">
      <w:pPr>
        <w:spacing w:line="276" w:lineRule="auto"/>
        <w:ind w:left="851" w:right="-269"/>
        <w:jc w:val="both"/>
        <w:rPr>
          <w:rFonts w:ascii="Palatino Linotype" w:eastAsia="Palatino Linotype" w:hAnsi="Palatino Linotype" w:cs="Palatino Linotype"/>
          <w:b/>
          <w:bCs/>
          <w:i/>
          <w:iCs/>
          <w:sz w:val="24"/>
          <w:szCs w:val="24"/>
        </w:rPr>
      </w:pPr>
      <w:r w:rsidRPr="00A72110">
        <w:rPr>
          <w:rFonts w:ascii="Palatino Linotype" w:eastAsia="Palatino Linotype" w:hAnsi="Palatino Linotype" w:cs="Palatino Linotype"/>
          <w:b/>
          <w:bCs/>
          <w:i/>
          <w:iCs/>
          <w:sz w:val="24"/>
          <w:szCs w:val="24"/>
          <w:u w:val="single"/>
        </w:rPr>
        <w:t>7) El contrato y, en su caso, sus anexos</w:t>
      </w:r>
      <w:r w:rsidRPr="00A72110">
        <w:rPr>
          <w:rFonts w:ascii="Palatino Linotype" w:eastAsia="Palatino Linotype" w:hAnsi="Palatino Linotype" w:cs="Palatino Linotype"/>
          <w:b/>
          <w:bCs/>
          <w:i/>
          <w:iCs/>
          <w:sz w:val="24"/>
          <w:szCs w:val="24"/>
        </w:rPr>
        <w:t>;</w:t>
      </w:r>
    </w:p>
    <w:p w:rsidR="00202676" w:rsidRPr="00A72110" w:rsidRDefault="003F0206">
      <w:pPr>
        <w:spacing w:line="276" w:lineRule="auto"/>
        <w:ind w:left="851"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t>8) Los mecanismos de vigilancia y supervisión, incluyendo en su caso, los estudios de impacto urbano y ambiental, según corresponda;</w:t>
      </w:r>
    </w:p>
    <w:p w:rsidR="00202676" w:rsidRPr="00A72110" w:rsidRDefault="003F0206">
      <w:pPr>
        <w:spacing w:line="276" w:lineRule="auto"/>
        <w:ind w:left="851" w:right="-269"/>
        <w:jc w:val="both"/>
        <w:rPr>
          <w:rFonts w:ascii="Palatino Linotype" w:eastAsia="Palatino Linotype" w:hAnsi="Palatino Linotype" w:cs="Palatino Linotype"/>
          <w:sz w:val="24"/>
          <w:szCs w:val="24"/>
        </w:rPr>
      </w:pPr>
      <w:r w:rsidRPr="00A72110">
        <w:rPr>
          <w:rFonts w:ascii="Palatino Linotype" w:eastAsia="Palatino Linotype" w:hAnsi="Palatino Linotype" w:cs="Palatino Linotype"/>
          <w:b/>
          <w:bCs/>
          <w:i/>
          <w:iCs/>
          <w:sz w:val="24"/>
          <w:szCs w:val="24"/>
        </w:rPr>
        <w:lastRenderedPageBreak/>
        <w:t>9) </w:t>
      </w:r>
      <w:r w:rsidRPr="00A72110">
        <w:rPr>
          <w:rFonts w:ascii="Palatino Linotype" w:eastAsia="Palatino Linotype" w:hAnsi="Palatino Linotype" w:cs="Palatino Linotype"/>
          <w:i/>
          <w:iCs/>
          <w:sz w:val="24"/>
          <w:szCs w:val="24"/>
        </w:rPr>
        <w:t>La partida presupuestal, de conformidad con el clasificador por objeto del gasto, en el caso de ser aplicable;</w:t>
      </w:r>
    </w:p>
    <w:p w:rsidR="00202676" w:rsidRPr="00A72110" w:rsidRDefault="003F0206">
      <w:pPr>
        <w:spacing w:line="276" w:lineRule="auto"/>
        <w:ind w:left="851" w:right="-269"/>
        <w:jc w:val="both"/>
        <w:rPr>
          <w:rFonts w:ascii="Palatino Linotype" w:eastAsia="Palatino Linotype" w:hAnsi="Palatino Linotype" w:cs="Palatino Linotype"/>
          <w:sz w:val="24"/>
          <w:szCs w:val="24"/>
        </w:rPr>
      </w:pPr>
      <w:r w:rsidRPr="00A72110">
        <w:rPr>
          <w:rFonts w:ascii="Palatino Linotype" w:eastAsia="Palatino Linotype" w:hAnsi="Palatino Linotype" w:cs="Palatino Linotype"/>
          <w:i/>
          <w:iCs/>
          <w:sz w:val="24"/>
          <w:szCs w:val="24"/>
        </w:rPr>
        <w:t>10) Origen de los recursos especificando si son federales, estatales o municipales, así como el tipo de fondo de participación o aportación respectiva;</w:t>
      </w:r>
    </w:p>
    <w:p w:rsidR="00202676" w:rsidRPr="00A72110" w:rsidRDefault="003F0206">
      <w:pPr>
        <w:spacing w:line="276" w:lineRule="auto"/>
        <w:ind w:left="851" w:right="-269"/>
        <w:jc w:val="both"/>
        <w:rPr>
          <w:rFonts w:ascii="Palatino Linotype" w:eastAsia="Palatino Linotype" w:hAnsi="Palatino Linotype" w:cs="Palatino Linotype"/>
          <w:sz w:val="24"/>
          <w:szCs w:val="24"/>
        </w:rPr>
      </w:pPr>
      <w:r w:rsidRPr="00A72110">
        <w:rPr>
          <w:rFonts w:ascii="Palatino Linotype" w:eastAsia="Palatino Linotype" w:hAnsi="Palatino Linotype" w:cs="Palatino Linotype"/>
          <w:i/>
          <w:iCs/>
          <w:sz w:val="24"/>
          <w:szCs w:val="24"/>
        </w:rPr>
        <w:t>11) Los convenios modificatorios que, en su caso, sean firmados, precisando el objeto y la fecha de celebración;</w:t>
      </w:r>
    </w:p>
    <w:p w:rsidR="00202676" w:rsidRPr="00A72110" w:rsidRDefault="003F0206">
      <w:pPr>
        <w:spacing w:line="276" w:lineRule="auto"/>
        <w:ind w:left="851" w:right="-269"/>
        <w:jc w:val="both"/>
        <w:rPr>
          <w:rFonts w:ascii="Palatino Linotype" w:eastAsia="Palatino Linotype" w:hAnsi="Palatino Linotype" w:cs="Palatino Linotype"/>
          <w:sz w:val="24"/>
          <w:szCs w:val="24"/>
        </w:rPr>
      </w:pPr>
      <w:r w:rsidRPr="00A72110">
        <w:rPr>
          <w:rFonts w:ascii="Palatino Linotype" w:eastAsia="Palatino Linotype" w:hAnsi="Palatino Linotype" w:cs="Palatino Linotype"/>
          <w:b/>
          <w:bCs/>
          <w:i/>
          <w:iCs/>
          <w:sz w:val="24"/>
          <w:szCs w:val="24"/>
        </w:rPr>
        <w:t>12) </w:t>
      </w:r>
      <w:r w:rsidRPr="00A72110">
        <w:rPr>
          <w:rFonts w:ascii="Palatino Linotype" w:eastAsia="Palatino Linotype" w:hAnsi="Palatino Linotype" w:cs="Palatino Linotype"/>
          <w:i/>
          <w:iCs/>
          <w:sz w:val="24"/>
          <w:szCs w:val="24"/>
        </w:rPr>
        <w:t>Los informes de avance físico y financiero sobre las obras o servicios contratados;</w:t>
      </w:r>
    </w:p>
    <w:p w:rsidR="00202676" w:rsidRPr="00A72110" w:rsidRDefault="003F0206">
      <w:pPr>
        <w:spacing w:line="276" w:lineRule="auto"/>
        <w:ind w:left="851" w:right="-269"/>
        <w:jc w:val="both"/>
        <w:rPr>
          <w:rFonts w:ascii="Palatino Linotype" w:eastAsia="Palatino Linotype" w:hAnsi="Palatino Linotype" w:cs="Palatino Linotype"/>
          <w:sz w:val="24"/>
          <w:szCs w:val="24"/>
        </w:rPr>
      </w:pPr>
      <w:r w:rsidRPr="00A72110">
        <w:rPr>
          <w:rFonts w:ascii="Palatino Linotype" w:eastAsia="Palatino Linotype" w:hAnsi="Palatino Linotype" w:cs="Palatino Linotype"/>
          <w:b/>
          <w:bCs/>
          <w:i/>
          <w:iCs/>
          <w:sz w:val="24"/>
          <w:szCs w:val="24"/>
        </w:rPr>
        <w:t>13) </w:t>
      </w:r>
      <w:r w:rsidRPr="00A72110">
        <w:rPr>
          <w:rFonts w:ascii="Palatino Linotype" w:eastAsia="Palatino Linotype" w:hAnsi="Palatino Linotype" w:cs="Palatino Linotype"/>
          <w:i/>
          <w:iCs/>
          <w:sz w:val="24"/>
          <w:szCs w:val="24"/>
        </w:rPr>
        <w:t>El convenio de terminación; y</w:t>
      </w:r>
    </w:p>
    <w:p w:rsidR="00202676" w:rsidRPr="00A72110" w:rsidRDefault="003F0206">
      <w:pPr>
        <w:spacing w:line="276" w:lineRule="auto"/>
        <w:ind w:left="851" w:right="-269"/>
        <w:jc w:val="both"/>
        <w:rPr>
          <w:rFonts w:ascii="Palatino Linotype" w:eastAsia="Palatino Linotype" w:hAnsi="Palatino Linotype" w:cs="Palatino Linotype"/>
          <w:sz w:val="24"/>
          <w:szCs w:val="24"/>
        </w:rPr>
      </w:pPr>
      <w:r w:rsidRPr="00A72110">
        <w:rPr>
          <w:rFonts w:ascii="Palatino Linotype" w:eastAsia="Palatino Linotype" w:hAnsi="Palatino Linotype" w:cs="Palatino Linotype"/>
          <w:b/>
          <w:bCs/>
          <w:i/>
          <w:iCs/>
          <w:sz w:val="24"/>
          <w:szCs w:val="24"/>
        </w:rPr>
        <w:t>14) </w:t>
      </w:r>
      <w:r w:rsidRPr="00A72110">
        <w:rPr>
          <w:rFonts w:ascii="Palatino Linotype" w:eastAsia="Palatino Linotype" w:hAnsi="Palatino Linotype" w:cs="Palatino Linotype"/>
          <w:i/>
          <w:iCs/>
          <w:sz w:val="24"/>
          <w:szCs w:val="24"/>
        </w:rPr>
        <w:t>El finiquito.</w:t>
      </w:r>
    </w:p>
    <w:p w:rsidR="00202676" w:rsidRPr="00A72110" w:rsidRDefault="003F0206">
      <w:pPr>
        <w:spacing w:line="276" w:lineRule="auto"/>
        <w:ind w:left="851" w:right="-269"/>
        <w:jc w:val="both"/>
        <w:rPr>
          <w:rFonts w:ascii="Palatino Linotype" w:eastAsia="Palatino Linotype" w:hAnsi="Palatino Linotype" w:cs="Palatino Linotype"/>
          <w:sz w:val="24"/>
          <w:szCs w:val="24"/>
        </w:rPr>
      </w:pPr>
      <w:r w:rsidRPr="00A72110">
        <w:rPr>
          <w:rFonts w:ascii="Palatino Linotype" w:eastAsia="Palatino Linotype" w:hAnsi="Palatino Linotype" w:cs="Palatino Linotype"/>
          <w:i/>
          <w:iCs/>
          <w:sz w:val="24"/>
          <w:szCs w:val="24"/>
        </w:rPr>
        <w:t>b) De las adjudicaciones directas:</w:t>
      </w:r>
    </w:p>
    <w:p w:rsidR="00202676" w:rsidRPr="00A72110" w:rsidRDefault="003F0206">
      <w:pPr>
        <w:spacing w:line="276" w:lineRule="auto"/>
        <w:ind w:left="851" w:right="-269"/>
        <w:jc w:val="both"/>
        <w:rPr>
          <w:rFonts w:ascii="Palatino Linotype" w:eastAsia="Palatino Linotype" w:hAnsi="Palatino Linotype" w:cs="Palatino Linotype"/>
          <w:sz w:val="24"/>
          <w:szCs w:val="24"/>
        </w:rPr>
      </w:pPr>
      <w:r w:rsidRPr="00A72110">
        <w:rPr>
          <w:rFonts w:ascii="Palatino Linotype" w:eastAsia="Palatino Linotype" w:hAnsi="Palatino Linotype" w:cs="Palatino Linotype"/>
          <w:i/>
          <w:iCs/>
          <w:sz w:val="24"/>
          <w:szCs w:val="24"/>
        </w:rPr>
        <w:t>1) La propuesta enviada por el participante;</w:t>
      </w:r>
    </w:p>
    <w:p w:rsidR="00202676" w:rsidRPr="00A72110" w:rsidRDefault="003F0206">
      <w:pPr>
        <w:spacing w:line="276" w:lineRule="auto"/>
        <w:ind w:left="851" w:right="-269"/>
        <w:jc w:val="both"/>
        <w:rPr>
          <w:rFonts w:ascii="Palatino Linotype" w:eastAsia="Palatino Linotype" w:hAnsi="Palatino Linotype" w:cs="Palatino Linotype"/>
          <w:sz w:val="24"/>
          <w:szCs w:val="24"/>
        </w:rPr>
      </w:pPr>
      <w:r w:rsidRPr="00A72110">
        <w:rPr>
          <w:rFonts w:ascii="Palatino Linotype" w:eastAsia="Palatino Linotype" w:hAnsi="Palatino Linotype" w:cs="Palatino Linotype"/>
          <w:i/>
          <w:iCs/>
          <w:sz w:val="24"/>
          <w:szCs w:val="24"/>
        </w:rPr>
        <w:t>2) Los motivos y fundamentos legales aplicados para llevarla a cabo;</w:t>
      </w:r>
    </w:p>
    <w:p w:rsidR="00202676" w:rsidRPr="00A72110" w:rsidRDefault="003F0206">
      <w:pPr>
        <w:spacing w:line="276" w:lineRule="auto"/>
        <w:ind w:left="851" w:right="-269"/>
        <w:jc w:val="both"/>
        <w:rPr>
          <w:rFonts w:ascii="Palatino Linotype" w:eastAsia="Palatino Linotype" w:hAnsi="Palatino Linotype" w:cs="Palatino Linotype"/>
          <w:sz w:val="24"/>
          <w:szCs w:val="24"/>
        </w:rPr>
      </w:pPr>
      <w:r w:rsidRPr="00A72110">
        <w:rPr>
          <w:rFonts w:ascii="Palatino Linotype" w:eastAsia="Palatino Linotype" w:hAnsi="Palatino Linotype" w:cs="Palatino Linotype"/>
          <w:i/>
          <w:iCs/>
          <w:sz w:val="24"/>
          <w:szCs w:val="24"/>
        </w:rPr>
        <w:t>3) La autorización del ejercicio de la opción;</w:t>
      </w:r>
    </w:p>
    <w:p w:rsidR="00202676" w:rsidRPr="00A72110" w:rsidRDefault="003F0206">
      <w:pPr>
        <w:spacing w:line="276" w:lineRule="auto"/>
        <w:ind w:left="851" w:right="-269"/>
        <w:jc w:val="both"/>
        <w:rPr>
          <w:rFonts w:ascii="Palatino Linotype" w:eastAsia="Palatino Linotype" w:hAnsi="Palatino Linotype" w:cs="Palatino Linotype"/>
          <w:sz w:val="24"/>
          <w:szCs w:val="24"/>
        </w:rPr>
      </w:pPr>
      <w:r w:rsidRPr="00A72110">
        <w:rPr>
          <w:rFonts w:ascii="Palatino Linotype" w:eastAsia="Palatino Linotype" w:hAnsi="Palatino Linotype" w:cs="Palatino Linotype"/>
          <w:i/>
          <w:iCs/>
          <w:sz w:val="24"/>
          <w:szCs w:val="24"/>
        </w:rPr>
        <w:t>4) En su caso, las cotizaciones consideradas, especificando los nombres de los proveedores y sus montos;</w:t>
      </w:r>
    </w:p>
    <w:p w:rsidR="00202676" w:rsidRPr="00A72110" w:rsidRDefault="003F0206">
      <w:pPr>
        <w:spacing w:line="276" w:lineRule="auto"/>
        <w:ind w:left="851" w:right="-269"/>
        <w:jc w:val="both"/>
        <w:rPr>
          <w:rFonts w:ascii="Palatino Linotype" w:eastAsia="Palatino Linotype" w:hAnsi="Palatino Linotype" w:cs="Palatino Linotype"/>
          <w:sz w:val="24"/>
          <w:szCs w:val="24"/>
        </w:rPr>
      </w:pPr>
      <w:r w:rsidRPr="00A72110">
        <w:rPr>
          <w:rFonts w:ascii="Palatino Linotype" w:eastAsia="Palatino Linotype" w:hAnsi="Palatino Linotype" w:cs="Palatino Linotype"/>
          <w:i/>
          <w:iCs/>
          <w:sz w:val="24"/>
          <w:szCs w:val="24"/>
        </w:rPr>
        <w:t>5) El nombre de la persona física o jurídica colectiva adjudicada;</w:t>
      </w:r>
    </w:p>
    <w:p w:rsidR="00202676" w:rsidRPr="00A72110" w:rsidRDefault="003F0206">
      <w:pPr>
        <w:spacing w:line="276" w:lineRule="auto"/>
        <w:ind w:left="851" w:right="-269"/>
        <w:jc w:val="both"/>
        <w:rPr>
          <w:rFonts w:ascii="Palatino Linotype" w:eastAsia="Palatino Linotype" w:hAnsi="Palatino Linotype" w:cs="Palatino Linotype"/>
          <w:sz w:val="24"/>
          <w:szCs w:val="24"/>
        </w:rPr>
      </w:pPr>
      <w:r w:rsidRPr="00A72110">
        <w:rPr>
          <w:rFonts w:ascii="Palatino Linotype" w:eastAsia="Palatino Linotype" w:hAnsi="Palatino Linotype" w:cs="Palatino Linotype"/>
          <w:i/>
          <w:iCs/>
          <w:sz w:val="24"/>
          <w:szCs w:val="24"/>
        </w:rPr>
        <w:t>6) La unidad administrativa solicitante y la responsable de su ejecución;</w:t>
      </w:r>
    </w:p>
    <w:p w:rsidR="00202676" w:rsidRPr="00A72110" w:rsidRDefault="003F0206">
      <w:pPr>
        <w:spacing w:line="276" w:lineRule="auto"/>
        <w:ind w:left="851" w:right="-269"/>
        <w:jc w:val="both"/>
        <w:rPr>
          <w:rFonts w:ascii="Palatino Linotype" w:eastAsia="Palatino Linotype" w:hAnsi="Palatino Linotype" w:cs="Palatino Linotype"/>
          <w:sz w:val="24"/>
          <w:szCs w:val="24"/>
        </w:rPr>
      </w:pPr>
      <w:r w:rsidRPr="00A72110">
        <w:rPr>
          <w:rFonts w:ascii="Palatino Linotype" w:eastAsia="Palatino Linotype" w:hAnsi="Palatino Linotype" w:cs="Palatino Linotype"/>
          <w:i/>
          <w:iCs/>
          <w:sz w:val="24"/>
          <w:szCs w:val="24"/>
        </w:rPr>
        <w:t>7) El número, fecha, el monto del contrato y el plazo de entrega o de ejecución de los servicios u obra;</w:t>
      </w:r>
    </w:p>
    <w:p w:rsidR="00202676" w:rsidRPr="00A72110" w:rsidRDefault="003F0206">
      <w:pPr>
        <w:spacing w:line="276" w:lineRule="auto"/>
        <w:ind w:left="851" w:right="-269"/>
        <w:jc w:val="both"/>
        <w:rPr>
          <w:rFonts w:ascii="Palatino Linotype" w:eastAsia="Palatino Linotype" w:hAnsi="Palatino Linotype" w:cs="Palatino Linotype"/>
          <w:sz w:val="24"/>
          <w:szCs w:val="24"/>
        </w:rPr>
      </w:pPr>
      <w:r w:rsidRPr="00A72110">
        <w:rPr>
          <w:rFonts w:ascii="Palatino Linotype" w:eastAsia="Palatino Linotype" w:hAnsi="Palatino Linotype" w:cs="Palatino Linotype"/>
          <w:b/>
          <w:bCs/>
          <w:i/>
          <w:iCs/>
          <w:sz w:val="24"/>
          <w:szCs w:val="24"/>
        </w:rPr>
        <w:t>8) </w:t>
      </w:r>
      <w:r w:rsidRPr="00A72110">
        <w:rPr>
          <w:rFonts w:ascii="Palatino Linotype" w:eastAsia="Palatino Linotype" w:hAnsi="Palatino Linotype" w:cs="Palatino Linotype"/>
          <w:i/>
          <w:iCs/>
          <w:sz w:val="24"/>
          <w:szCs w:val="24"/>
        </w:rPr>
        <w:t>Los mecanismos de vigilancia y supervisión, incluyendo, en su caso, los estudios de impacto urbano y ambiental, según corresponda;</w:t>
      </w:r>
    </w:p>
    <w:p w:rsidR="00202676" w:rsidRPr="00A72110" w:rsidRDefault="003F0206">
      <w:pPr>
        <w:spacing w:line="276" w:lineRule="auto"/>
        <w:ind w:left="851" w:right="-269"/>
        <w:jc w:val="both"/>
        <w:rPr>
          <w:rFonts w:ascii="Palatino Linotype" w:eastAsia="Palatino Linotype" w:hAnsi="Palatino Linotype" w:cs="Palatino Linotype"/>
          <w:sz w:val="24"/>
          <w:szCs w:val="24"/>
        </w:rPr>
      </w:pPr>
      <w:r w:rsidRPr="00A72110">
        <w:rPr>
          <w:rFonts w:ascii="Palatino Linotype" w:eastAsia="Palatino Linotype" w:hAnsi="Palatino Linotype" w:cs="Palatino Linotype"/>
          <w:b/>
          <w:bCs/>
          <w:i/>
          <w:iCs/>
          <w:sz w:val="24"/>
          <w:szCs w:val="24"/>
        </w:rPr>
        <w:t>9) </w:t>
      </w:r>
      <w:r w:rsidRPr="00A72110">
        <w:rPr>
          <w:rFonts w:ascii="Palatino Linotype" w:eastAsia="Palatino Linotype" w:hAnsi="Palatino Linotype" w:cs="Palatino Linotype"/>
          <w:i/>
          <w:iCs/>
          <w:sz w:val="24"/>
          <w:szCs w:val="24"/>
        </w:rPr>
        <w:t>Los informes de avance sobre las obras o servicios contratados;</w:t>
      </w:r>
    </w:p>
    <w:p w:rsidR="00202676" w:rsidRPr="00A72110" w:rsidRDefault="003F0206">
      <w:pPr>
        <w:spacing w:line="276" w:lineRule="auto"/>
        <w:ind w:left="851" w:right="-269"/>
        <w:jc w:val="both"/>
        <w:rPr>
          <w:rFonts w:ascii="Palatino Linotype" w:eastAsia="Palatino Linotype" w:hAnsi="Palatino Linotype" w:cs="Palatino Linotype"/>
          <w:sz w:val="24"/>
          <w:szCs w:val="24"/>
        </w:rPr>
      </w:pPr>
      <w:r w:rsidRPr="00A72110">
        <w:rPr>
          <w:rFonts w:ascii="Palatino Linotype" w:eastAsia="Palatino Linotype" w:hAnsi="Palatino Linotype" w:cs="Palatino Linotype"/>
          <w:b/>
          <w:bCs/>
          <w:i/>
          <w:iCs/>
          <w:sz w:val="24"/>
          <w:szCs w:val="24"/>
        </w:rPr>
        <w:t>10) </w:t>
      </w:r>
      <w:r w:rsidRPr="00A72110">
        <w:rPr>
          <w:rFonts w:ascii="Palatino Linotype" w:eastAsia="Palatino Linotype" w:hAnsi="Palatino Linotype" w:cs="Palatino Linotype"/>
          <w:i/>
          <w:iCs/>
          <w:sz w:val="24"/>
          <w:szCs w:val="24"/>
        </w:rPr>
        <w:t>El convenio de terminación; y</w:t>
      </w:r>
    </w:p>
    <w:p w:rsidR="00202676" w:rsidRPr="00A72110" w:rsidRDefault="003F0206">
      <w:pPr>
        <w:spacing w:line="276" w:lineRule="auto"/>
        <w:ind w:left="851" w:right="-269"/>
        <w:jc w:val="both"/>
        <w:rPr>
          <w:rFonts w:ascii="Palatino Linotype" w:eastAsia="Palatino Linotype" w:hAnsi="Palatino Linotype" w:cs="Palatino Linotype"/>
          <w:b/>
          <w:bCs/>
          <w:i/>
          <w:iCs/>
          <w:sz w:val="24"/>
          <w:szCs w:val="24"/>
        </w:rPr>
      </w:pPr>
      <w:r w:rsidRPr="00A72110">
        <w:rPr>
          <w:rFonts w:ascii="Palatino Linotype" w:eastAsia="Palatino Linotype" w:hAnsi="Palatino Linotype" w:cs="Palatino Linotype"/>
          <w:b/>
          <w:bCs/>
          <w:i/>
          <w:iCs/>
          <w:sz w:val="24"/>
          <w:szCs w:val="24"/>
        </w:rPr>
        <w:t>11) </w:t>
      </w:r>
      <w:r w:rsidRPr="00A72110">
        <w:rPr>
          <w:rFonts w:ascii="Palatino Linotype" w:eastAsia="Palatino Linotype" w:hAnsi="Palatino Linotype" w:cs="Palatino Linotype"/>
          <w:i/>
          <w:iCs/>
          <w:sz w:val="24"/>
          <w:szCs w:val="24"/>
        </w:rPr>
        <w:t>El finiquito.</w:t>
      </w:r>
      <w:r w:rsidRPr="00A72110">
        <w:rPr>
          <w:rFonts w:ascii="Palatino Linotype" w:eastAsia="Palatino Linotype" w:hAnsi="Palatino Linotype" w:cs="Palatino Linotype"/>
          <w:b/>
          <w:bCs/>
          <w:i/>
          <w:iCs/>
          <w:sz w:val="24"/>
          <w:szCs w:val="24"/>
        </w:rPr>
        <w:t>”</w:t>
      </w:r>
    </w:p>
    <w:p w:rsidR="00202676" w:rsidRPr="00A72110" w:rsidRDefault="00202676">
      <w:pPr>
        <w:pBdr>
          <w:top w:val="nil"/>
          <w:left w:val="nil"/>
          <w:bottom w:val="nil"/>
          <w:right w:val="nil"/>
          <w:between w:val="nil"/>
        </w:pBdr>
        <w:spacing w:after="0" w:line="360" w:lineRule="auto"/>
        <w:ind w:right="-269"/>
        <w:jc w:val="both"/>
        <w:rPr>
          <w:rFonts w:ascii="Palatino Linotype" w:eastAsia="Palatino Linotype" w:hAnsi="Palatino Linotype" w:cs="Palatino Linotype"/>
          <w:color w:val="000000"/>
          <w:sz w:val="24"/>
          <w:szCs w:val="24"/>
        </w:rPr>
      </w:pPr>
    </w:p>
    <w:p w:rsidR="00202676" w:rsidRPr="00A72110" w:rsidRDefault="003F0206">
      <w:pPr>
        <w:numPr>
          <w:ilvl w:val="0"/>
          <w:numId w:val="4"/>
        </w:numPr>
        <w:pBdr>
          <w:top w:val="nil"/>
          <w:left w:val="nil"/>
          <w:bottom w:val="nil"/>
          <w:right w:val="nil"/>
          <w:between w:val="nil"/>
        </w:pBdr>
        <w:spacing w:after="0" w:line="360" w:lineRule="auto"/>
        <w:ind w:left="0" w:right="-269" w:firstLine="0"/>
        <w:jc w:val="both"/>
        <w:rPr>
          <w:color w:val="000000"/>
          <w:sz w:val="24"/>
          <w:szCs w:val="24"/>
        </w:rPr>
      </w:pPr>
      <w:r w:rsidRPr="00A72110">
        <w:rPr>
          <w:rFonts w:ascii="Palatino Linotype" w:eastAsia="Palatino Linotype" w:hAnsi="Palatino Linotype" w:cs="Palatino Linotype"/>
          <w:color w:val="000000"/>
          <w:sz w:val="24"/>
          <w:szCs w:val="24"/>
        </w:rPr>
        <w:lastRenderedPageBreak/>
        <w:t xml:space="preserve">Asimismo, resulta necesario referir que, el </w:t>
      </w:r>
      <w:r w:rsidRPr="00A72110">
        <w:rPr>
          <w:rFonts w:ascii="Palatino Linotype" w:eastAsia="Palatino Linotype" w:hAnsi="Palatino Linotype" w:cs="Palatino Linotype"/>
          <w:sz w:val="24"/>
          <w:szCs w:val="24"/>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A72110">
        <w:rPr>
          <w:rFonts w:ascii="Palatino Linotype" w:eastAsia="Palatino Linotype" w:hAnsi="Palatino Linotype" w:cs="Palatino Linotype"/>
          <w:b/>
          <w:bCs/>
          <w:sz w:val="24"/>
          <w:szCs w:val="24"/>
        </w:rPr>
        <w:t>los Sujetos Obligados deberán documentar todo acto que se derive del ejercicio de sus facultades, competencias o funciones,</w:t>
      </w:r>
      <w:r w:rsidRPr="00A72110">
        <w:rPr>
          <w:rFonts w:ascii="Palatino Linotype" w:eastAsia="Palatino Linotype" w:hAnsi="Palatino Linotype" w:cs="Palatino Linotype"/>
          <w:sz w:val="24"/>
          <w:szCs w:val="24"/>
        </w:rPr>
        <w:t xml:space="preserve"> considerando desde su origen la eventual publicidad y reutilización de la información que generen, posean o administren.</w:t>
      </w:r>
    </w:p>
    <w:p w:rsidR="00202676" w:rsidRPr="00A72110" w:rsidRDefault="00202676">
      <w:pPr>
        <w:pBdr>
          <w:top w:val="nil"/>
          <w:left w:val="nil"/>
          <w:bottom w:val="nil"/>
          <w:right w:val="nil"/>
          <w:between w:val="nil"/>
        </w:pBdr>
        <w:spacing w:after="0" w:line="240" w:lineRule="auto"/>
        <w:ind w:left="708" w:right="-269"/>
        <w:rPr>
          <w:rFonts w:ascii="Palatino Linotype" w:eastAsia="Palatino Linotype" w:hAnsi="Palatino Linotype" w:cs="Palatino Linotype"/>
          <w:color w:val="000000"/>
          <w:sz w:val="24"/>
          <w:szCs w:val="24"/>
        </w:rPr>
      </w:pPr>
    </w:p>
    <w:p w:rsidR="00202676" w:rsidRPr="00A72110" w:rsidRDefault="003F0206">
      <w:pPr>
        <w:numPr>
          <w:ilvl w:val="0"/>
          <w:numId w:val="4"/>
        </w:numPr>
        <w:pBdr>
          <w:top w:val="nil"/>
          <w:left w:val="nil"/>
          <w:bottom w:val="nil"/>
          <w:right w:val="nil"/>
          <w:between w:val="nil"/>
        </w:pBdr>
        <w:spacing w:after="0" w:line="360" w:lineRule="auto"/>
        <w:ind w:left="0" w:right="-269" w:firstLine="0"/>
        <w:jc w:val="both"/>
        <w:rPr>
          <w:color w:val="000000"/>
          <w:sz w:val="24"/>
          <w:szCs w:val="24"/>
        </w:rPr>
      </w:pPr>
      <w:r w:rsidRPr="00A72110">
        <w:rPr>
          <w:rFonts w:ascii="Palatino Linotype" w:eastAsia="Palatino Linotype" w:hAnsi="Palatino Linotype" w:cs="Palatino Linotype"/>
          <w:color w:val="000000"/>
          <w:sz w:val="24"/>
          <w:szCs w:val="24"/>
        </w:rPr>
        <w:t>Además, debemos tomar en cuenta los artículos 4 y 12, de la Ley de Transparencia y Acceso a la Información Pública del Estado de México y Municipios, los cuales establecen lo siguiente:</w:t>
      </w:r>
    </w:p>
    <w:p w:rsidR="00202676" w:rsidRPr="00A72110" w:rsidRDefault="003F0206">
      <w:pPr>
        <w:spacing w:line="276" w:lineRule="auto"/>
        <w:ind w:left="567"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b/>
          <w:bCs/>
          <w:i/>
          <w:iCs/>
          <w:sz w:val="24"/>
          <w:szCs w:val="24"/>
        </w:rPr>
        <w:t xml:space="preserve">Artículo 4. </w:t>
      </w:r>
      <w:r w:rsidRPr="00A72110">
        <w:rPr>
          <w:rFonts w:ascii="Palatino Linotype" w:eastAsia="Palatino Linotype" w:hAnsi="Palatino Linotype" w:cs="Palatino Linotype"/>
          <w:i/>
          <w:iCs/>
          <w:sz w:val="24"/>
          <w:szCs w:val="24"/>
        </w:rPr>
        <w:t>El derecho humano de acceso a la información pública es la prerrogativa de las personas para buscar, difundir, investigar, recabar, recibir y solicitar información pública, sin necesidad de acreditar personalidad ni interés jurídico.</w:t>
      </w:r>
    </w:p>
    <w:p w:rsidR="00202676" w:rsidRPr="00A72110" w:rsidRDefault="003F0206">
      <w:pPr>
        <w:spacing w:line="276" w:lineRule="auto"/>
        <w:ind w:left="567"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02676" w:rsidRPr="00A72110" w:rsidRDefault="003F0206">
      <w:pPr>
        <w:spacing w:line="276" w:lineRule="auto"/>
        <w:ind w:left="567"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t>Los sujetos obligados deben poner en práctica, políticas y programas de acceso a la información que se apeguen a criterios de publicidad, veracidad, oportunidad, precisión y suficiencia en beneficio de los solicitantes.</w:t>
      </w:r>
    </w:p>
    <w:p w:rsidR="00202676" w:rsidRPr="00A72110" w:rsidRDefault="003F0206">
      <w:pPr>
        <w:spacing w:line="276" w:lineRule="auto"/>
        <w:ind w:left="567"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b/>
          <w:bCs/>
          <w:i/>
          <w:iCs/>
          <w:sz w:val="24"/>
          <w:szCs w:val="24"/>
        </w:rPr>
        <w:t xml:space="preserve">Artículo 12. </w:t>
      </w:r>
      <w:r w:rsidRPr="00A72110">
        <w:rPr>
          <w:rFonts w:ascii="Palatino Linotype" w:eastAsia="Palatino Linotype" w:hAnsi="Palatino Linotype" w:cs="Palatino Linotype"/>
          <w:i/>
          <w:iCs/>
          <w:sz w:val="24"/>
          <w:szCs w:val="24"/>
        </w:rPr>
        <w:t xml:space="preserve">Quienes generen, recopilen, administren, manejen, procesen, archiven o conserven información pública serán responsables de la misma en los términos de las disposiciones jurídicas aplicables. </w:t>
      </w:r>
    </w:p>
    <w:p w:rsidR="00202676" w:rsidRPr="00A72110" w:rsidRDefault="003F0206">
      <w:pPr>
        <w:spacing w:line="276" w:lineRule="auto"/>
        <w:ind w:left="567"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i/>
          <w:iCs/>
          <w:sz w:val="24"/>
          <w:szCs w:val="24"/>
        </w:rPr>
        <w:lastRenderedPageBreak/>
        <w:t xml:space="preserve">Los sujetos obligados sólo proporcionarán la información pública que se les requiera y que obre en sus archivos y en el estado en que ésta se encuentre. </w:t>
      </w:r>
      <w:r w:rsidRPr="00A72110">
        <w:rPr>
          <w:rFonts w:ascii="Palatino Linotype" w:eastAsia="Palatino Linotype" w:hAnsi="Palatino Linotype" w:cs="Palatino Linotype"/>
          <w:b/>
          <w:bCs/>
          <w:i/>
          <w:iCs/>
          <w:sz w:val="24"/>
          <w:szCs w:val="24"/>
        </w:rPr>
        <w:t>La obligación de proporcionar información no comprende el procesamiento de la misma, ni el presentarla conforme al interés del solicitante; no estarán obligados a generarla, resumirla, efectuar cálculos o practicar investigaciones.</w:t>
      </w:r>
    </w:p>
    <w:p w:rsidR="00202676" w:rsidRPr="00A72110" w:rsidRDefault="00202676">
      <w:pPr>
        <w:spacing w:line="276" w:lineRule="auto"/>
        <w:ind w:left="567" w:right="-269"/>
        <w:jc w:val="both"/>
        <w:rPr>
          <w:rFonts w:ascii="Palatino Linotype" w:eastAsia="Palatino Linotype" w:hAnsi="Palatino Linotype" w:cs="Palatino Linotype"/>
          <w:i/>
          <w:iCs/>
          <w:sz w:val="24"/>
          <w:szCs w:val="24"/>
        </w:rPr>
      </w:pPr>
    </w:p>
    <w:p w:rsidR="00202676" w:rsidRPr="00A72110" w:rsidRDefault="003F0206">
      <w:pPr>
        <w:numPr>
          <w:ilvl w:val="0"/>
          <w:numId w:val="4"/>
        </w:numPr>
        <w:pBdr>
          <w:top w:val="nil"/>
          <w:left w:val="nil"/>
          <w:bottom w:val="nil"/>
          <w:right w:val="nil"/>
          <w:between w:val="nil"/>
        </w:pBdr>
        <w:tabs>
          <w:tab w:val="left" w:pos="851"/>
        </w:tabs>
        <w:spacing w:after="0" w:line="360" w:lineRule="auto"/>
        <w:ind w:left="0" w:right="-269" w:firstLine="0"/>
        <w:jc w:val="both"/>
        <w:rPr>
          <w:color w:val="000000"/>
          <w:sz w:val="24"/>
          <w:szCs w:val="24"/>
        </w:rPr>
      </w:pPr>
      <w:r w:rsidRPr="00A72110">
        <w:rPr>
          <w:rFonts w:ascii="Palatino Linotype" w:eastAsia="Palatino Linotype" w:hAnsi="Palatino Linotype" w:cs="Palatino Linotype"/>
          <w:color w:val="000000"/>
          <w:sz w:val="24"/>
          <w:szCs w:val="24"/>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A72110">
        <w:rPr>
          <w:rFonts w:ascii="Palatino Linotype" w:eastAsia="Palatino Linotype" w:hAnsi="Palatino Linotype" w:cs="Palatino Linotype"/>
          <w:color w:val="000000"/>
          <w:sz w:val="24"/>
          <w:szCs w:val="24"/>
          <w:vertAlign w:val="superscript"/>
        </w:rPr>
        <w:footnoteReference w:id="1"/>
      </w:r>
      <w:r w:rsidRPr="00A72110">
        <w:rPr>
          <w:rFonts w:ascii="Palatino Linotype" w:eastAsia="Palatino Linotype" w:hAnsi="Palatino Linotype" w:cs="Palatino Linotype"/>
          <w:color w:val="000000"/>
          <w:sz w:val="24"/>
          <w:szCs w:val="24"/>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202676" w:rsidRPr="00A72110" w:rsidRDefault="00202676">
      <w:pPr>
        <w:pBdr>
          <w:top w:val="nil"/>
          <w:left w:val="nil"/>
          <w:bottom w:val="nil"/>
          <w:right w:val="nil"/>
          <w:between w:val="nil"/>
        </w:pBdr>
        <w:tabs>
          <w:tab w:val="left" w:pos="851"/>
        </w:tabs>
        <w:spacing w:after="0" w:line="360" w:lineRule="auto"/>
        <w:ind w:right="-269"/>
        <w:jc w:val="both"/>
        <w:rPr>
          <w:rFonts w:ascii="Palatino Linotype" w:eastAsia="Palatino Linotype" w:hAnsi="Palatino Linotype" w:cs="Palatino Linotype"/>
          <w:color w:val="000000"/>
          <w:sz w:val="24"/>
          <w:szCs w:val="24"/>
        </w:rPr>
      </w:pPr>
    </w:p>
    <w:p w:rsidR="00202676" w:rsidRPr="00A72110" w:rsidRDefault="003F0206">
      <w:pPr>
        <w:numPr>
          <w:ilvl w:val="0"/>
          <w:numId w:val="4"/>
        </w:numPr>
        <w:pBdr>
          <w:top w:val="nil"/>
          <w:left w:val="nil"/>
          <w:bottom w:val="nil"/>
          <w:right w:val="nil"/>
          <w:between w:val="nil"/>
        </w:pBdr>
        <w:tabs>
          <w:tab w:val="left" w:pos="851"/>
        </w:tabs>
        <w:spacing w:after="0" w:line="360" w:lineRule="auto"/>
        <w:ind w:left="0" w:right="-269" w:firstLine="0"/>
        <w:jc w:val="both"/>
        <w:rPr>
          <w:color w:val="000000"/>
          <w:sz w:val="24"/>
          <w:szCs w:val="24"/>
        </w:rPr>
      </w:pPr>
      <w:r w:rsidRPr="00A72110">
        <w:rPr>
          <w:rFonts w:ascii="Palatino Linotype" w:eastAsia="Palatino Linotype" w:hAnsi="Palatino Linotype" w:cs="Palatino Linotype"/>
          <w:color w:val="000000"/>
          <w:sz w:val="24"/>
          <w:szCs w:val="24"/>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202676" w:rsidRPr="00A72110" w:rsidRDefault="003F0206">
      <w:pPr>
        <w:pBdr>
          <w:top w:val="nil"/>
          <w:left w:val="nil"/>
          <w:bottom w:val="nil"/>
          <w:right w:val="nil"/>
          <w:between w:val="nil"/>
        </w:pBdr>
        <w:tabs>
          <w:tab w:val="left" w:pos="851"/>
        </w:tabs>
        <w:spacing w:after="0" w:line="276" w:lineRule="auto"/>
        <w:ind w:left="567" w:right="-269"/>
        <w:jc w:val="both"/>
        <w:rPr>
          <w:rFonts w:ascii="Palatino Linotype" w:eastAsia="Palatino Linotype" w:hAnsi="Palatino Linotype" w:cs="Palatino Linotype"/>
          <w:i/>
          <w:iCs/>
          <w:color w:val="000000"/>
          <w:sz w:val="24"/>
          <w:szCs w:val="24"/>
        </w:rPr>
      </w:pPr>
      <w:r w:rsidRPr="00A72110">
        <w:rPr>
          <w:rFonts w:ascii="Palatino Linotype" w:eastAsia="Palatino Linotype" w:hAnsi="Palatino Linotype" w:cs="Palatino Linotype"/>
          <w:b/>
          <w:bCs/>
          <w:i/>
          <w:iCs/>
          <w:color w:val="000000"/>
          <w:sz w:val="24"/>
          <w:szCs w:val="24"/>
        </w:rPr>
        <w:t>ACCESO A LA INFORMACIÓN. IMPLICACIÓN DEL PRINCIPIO DE MÁXIMA PUBLICIDAD EN EL DERECHO FUNDAMENTAL RELATIVO.</w:t>
      </w:r>
      <w:r w:rsidRPr="00A72110">
        <w:rPr>
          <w:rFonts w:ascii="Palatino Linotype" w:eastAsia="Palatino Linotype" w:hAnsi="Palatino Linotype" w:cs="Palatino Linotype"/>
          <w:i/>
          <w:iCs/>
          <w:color w:val="000000"/>
          <w:sz w:val="24"/>
          <w:szCs w:val="24"/>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w:t>
      </w:r>
      <w:r w:rsidRPr="00A72110">
        <w:rPr>
          <w:rFonts w:ascii="Palatino Linotype" w:eastAsia="Palatino Linotype" w:hAnsi="Palatino Linotype" w:cs="Palatino Linotype"/>
          <w:i/>
          <w:iCs/>
          <w:color w:val="000000"/>
          <w:sz w:val="24"/>
          <w:szCs w:val="24"/>
        </w:rPr>
        <w:lastRenderedPageBreak/>
        <w:t xml:space="preserve">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202676" w:rsidRPr="00A72110" w:rsidRDefault="00202676">
      <w:pPr>
        <w:pBdr>
          <w:top w:val="nil"/>
          <w:left w:val="nil"/>
          <w:bottom w:val="nil"/>
          <w:right w:val="nil"/>
          <w:between w:val="nil"/>
        </w:pBdr>
        <w:tabs>
          <w:tab w:val="left" w:pos="851"/>
        </w:tabs>
        <w:spacing w:after="0" w:line="276" w:lineRule="auto"/>
        <w:ind w:left="567" w:right="-269"/>
        <w:jc w:val="both"/>
        <w:rPr>
          <w:rFonts w:ascii="Palatino Linotype" w:eastAsia="Palatino Linotype" w:hAnsi="Palatino Linotype" w:cs="Palatino Linotype"/>
          <w:i/>
          <w:iCs/>
          <w:color w:val="000000"/>
          <w:sz w:val="24"/>
          <w:szCs w:val="24"/>
        </w:rPr>
      </w:pPr>
    </w:p>
    <w:p w:rsidR="00202676" w:rsidRPr="00A72110" w:rsidRDefault="003F0206">
      <w:pPr>
        <w:pBdr>
          <w:top w:val="nil"/>
          <w:left w:val="nil"/>
          <w:bottom w:val="nil"/>
          <w:right w:val="nil"/>
          <w:between w:val="nil"/>
        </w:pBdr>
        <w:tabs>
          <w:tab w:val="left" w:pos="851"/>
        </w:tabs>
        <w:spacing w:after="0" w:line="276" w:lineRule="auto"/>
        <w:ind w:left="567" w:right="-269"/>
        <w:jc w:val="both"/>
        <w:rPr>
          <w:rFonts w:ascii="Palatino Linotype" w:eastAsia="Palatino Linotype" w:hAnsi="Palatino Linotype" w:cs="Palatino Linotype"/>
          <w:i/>
          <w:iCs/>
          <w:color w:val="000000"/>
          <w:sz w:val="24"/>
          <w:szCs w:val="24"/>
        </w:rPr>
      </w:pPr>
      <w:r w:rsidRPr="00A72110">
        <w:rPr>
          <w:rFonts w:ascii="Palatino Linotype" w:eastAsia="Palatino Linotype" w:hAnsi="Palatino Linotype" w:cs="Palatino Linotype"/>
          <w:i/>
          <w:iCs/>
          <w:color w:val="000000"/>
          <w:sz w:val="24"/>
          <w:szCs w:val="24"/>
        </w:rPr>
        <w:t xml:space="preserve">CUARTO TRIBUNAL COLEGIADO EN MATERIA ADMINISTRATIVA DEL PRIMER CIRCUITO. </w:t>
      </w:r>
    </w:p>
    <w:p w:rsidR="00202676" w:rsidRPr="00A72110" w:rsidRDefault="00202676">
      <w:pPr>
        <w:pBdr>
          <w:top w:val="nil"/>
          <w:left w:val="nil"/>
          <w:bottom w:val="nil"/>
          <w:right w:val="nil"/>
          <w:between w:val="nil"/>
        </w:pBdr>
        <w:tabs>
          <w:tab w:val="left" w:pos="851"/>
        </w:tabs>
        <w:spacing w:after="0" w:line="276" w:lineRule="auto"/>
        <w:ind w:left="567" w:right="-269"/>
        <w:jc w:val="both"/>
        <w:rPr>
          <w:rFonts w:ascii="Palatino Linotype" w:eastAsia="Palatino Linotype" w:hAnsi="Palatino Linotype" w:cs="Palatino Linotype"/>
          <w:i/>
          <w:iCs/>
          <w:color w:val="000000"/>
          <w:sz w:val="24"/>
          <w:szCs w:val="24"/>
        </w:rPr>
      </w:pPr>
    </w:p>
    <w:p w:rsidR="00202676" w:rsidRPr="00A72110" w:rsidRDefault="003F0206">
      <w:pPr>
        <w:pBdr>
          <w:top w:val="nil"/>
          <w:left w:val="nil"/>
          <w:bottom w:val="nil"/>
          <w:right w:val="nil"/>
          <w:between w:val="nil"/>
        </w:pBdr>
        <w:tabs>
          <w:tab w:val="left" w:pos="851"/>
        </w:tabs>
        <w:spacing w:after="0" w:line="276" w:lineRule="auto"/>
        <w:ind w:left="567" w:right="-269"/>
        <w:jc w:val="both"/>
        <w:rPr>
          <w:rFonts w:ascii="Palatino Linotype" w:eastAsia="Palatino Linotype" w:hAnsi="Palatino Linotype" w:cs="Palatino Linotype"/>
          <w:i/>
          <w:iCs/>
          <w:color w:val="000000"/>
          <w:sz w:val="24"/>
          <w:szCs w:val="24"/>
        </w:rPr>
      </w:pPr>
      <w:r w:rsidRPr="00A72110">
        <w:rPr>
          <w:rFonts w:ascii="Palatino Linotype" w:eastAsia="Palatino Linotype" w:hAnsi="Palatino Linotype" w:cs="Palatino Linotype"/>
          <w:i/>
          <w:iCs/>
          <w:color w:val="000000"/>
          <w:sz w:val="24"/>
          <w:szCs w:val="24"/>
        </w:rPr>
        <w:t>Amparo en revisión 257/2012. Ruth Corona Muñoz. 6 de diciembre de 2012. Unanimidad de votos. Ponente: Jean Claude Tron Petit. Secretaria: Mayra Susana Martínez López.</w:t>
      </w:r>
    </w:p>
    <w:p w:rsidR="00202676" w:rsidRPr="00A72110" w:rsidRDefault="00202676">
      <w:pPr>
        <w:pBdr>
          <w:top w:val="nil"/>
          <w:left w:val="nil"/>
          <w:bottom w:val="nil"/>
          <w:right w:val="nil"/>
          <w:between w:val="nil"/>
        </w:pBdr>
        <w:spacing w:after="0" w:line="360" w:lineRule="auto"/>
        <w:ind w:left="708" w:right="-269"/>
        <w:rPr>
          <w:rFonts w:ascii="Palatino Linotype" w:eastAsia="Palatino Linotype" w:hAnsi="Palatino Linotype" w:cs="Palatino Linotype"/>
          <w:color w:val="000000"/>
          <w:sz w:val="24"/>
          <w:szCs w:val="24"/>
        </w:rPr>
      </w:pPr>
    </w:p>
    <w:p w:rsidR="00202676" w:rsidRPr="00A72110" w:rsidRDefault="003F0206">
      <w:pPr>
        <w:numPr>
          <w:ilvl w:val="0"/>
          <w:numId w:val="4"/>
        </w:numPr>
        <w:pBdr>
          <w:top w:val="nil"/>
          <w:left w:val="nil"/>
          <w:bottom w:val="nil"/>
          <w:right w:val="nil"/>
          <w:between w:val="nil"/>
        </w:pBdr>
        <w:tabs>
          <w:tab w:val="left" w:pos="851"/>
        </w:tabs>
        <w:spacing w:after="240" w:line="360" w:lineRule="auto"/>
        <w:ind w:left="0" w:right="-269" w:firstLine="0"/>
        <w:jc w:val="both"/>
        <w:rPr>
          <w:color w:val="000000"/>
          <w:sz w:val="24"/>
          <w:szCs w:val="24"/>
        </w:rPr>
      </w:pPr>
      <w:r w:rsidRPr="00A72110">
        <w:rPr>
          <w:rFonts w:ascii="Palatino Linotype" w:eastAsia="Palatino Linotype" w:hAnsi="Palatino Linotype" w:cs="Palatino Linotype"/>
          <w:color w:val="000000"/>
          <w:sz w:val="24"/>
          <w:szCs w:val="24"/>
        </w:rPr>
        <w:t>El derecho de acceso a la información encuentra su materia elemental en los documentos, y la Ley de Transparencia local  nos brinda el siguiente concepto, para darnos un mejor panorama:</w:t>
      </w:r>
    </w:p>
    <w:p w:rsidR="00202676" w:rsidRPr="00A72110" w:rsidRDefault="003F0206">
      <w:pPr>
        <w:spacing w:line="276" w:lineRule="auto"/>
        <w:ind w:left="567"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b/>
          <w:bCs/>
          <w:i/>
          <w:iCs/>
          <w:sz w:val="24"/>
          <w:szCs w:val="24"/>
        </w:rPr>
        <w:t xml:space="preserve">“XI. Documento: </w:t>
      </w:r>
      <w:r w:rsidRPr="00A72110">
        <w:rPr>
          <w:rFonts w:ascii="Palatino Linotype" w:eastAsia="Palatino Linotype" w:hAnsi="Palatino Linotype" w:cs="Palatino Linotype"/>
          <w:i/>
          <w:iCs/>
          <w:sz w:val="24"/>
          <w:szCs w:val="24"/>
        </w:rPr>
        <w:t xml:space="preserve">Los expedientes, reportes, estudios, actas, resoluciones, oficios, correspondencia, acuerdos, directivas, directrices, circulares, contratos, convenios, instructivos, notas, memorandos, estadísticas o bien, </w:t>
      </w:r>
      <w:r w:rsidRPr="00A72110">
        <w:rPr>
          <w:rFonts w:ascii="Palatino Linotype" w:eastAsia="Palatino Linotype" w:hAnsi="Palatino Linotype" w:cs="Palatino Linotype"/>
          <w:b/>
          <w:bCs/>
          <w:i/>
          <w:iCs/>
          <w:sz w:val="24"/>
          <w:szCs w:val="24"/>
        </w:rPr>
        <w:t>cualquier otro registro</w:t>
      </w:r>
      <w:r w:rsidRPr="00A72110">
        <w:rPr>
          <w:rFonts w:ascii="Palatino Linotype" w:eastAsia="Palatino Linotype" w:hAnsi="Palatino Linotype" w:cs="Palatino Linotype"/>
          <w:i/>
          <w:iCs/>
          <w:sz w:val="24"/>
          <w:szCs w:val="24"/>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02676" w:rsidRPr="00A72110" w:rsidRDefault="003F0206">
      <w:pPr>
        <w:spacing w:line="276" w:lineRule="auto"/>
        <w:ind w:left="567"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b/>
          <w:bCs/>
          <w:i/>
          <w:iCs/>
          <w:sz w:val="24"/>
          <w:szCs w:val="24"/>
        </w:rPr>
        <w:t>…</w:t>
      </w:r>
      <w:r w:rsidRPr="00A72110">
        <w:rPr>
          <w:rFonts w:ascii="Palatino Linotype" w:eastAsia="Palatino Linotype" w:hAnsi="Palatino Linotype" w:cs="Palatino Linotype"/>
          <w:i/>
          <w:iCs/>
          <w:sz w:val="24"/>
          <w:szCs w:val="24"/>
        </w:rPr>
        <w:t>”</w:t>
      </w:r>
    </w:p>
    <w:p w:rsidR="00202676" w:rsidRPr="00A72110" w:rsidRDefault="00202676">
      <w:pPr>
        <w:pBdr>
          <w:top w:val="nil"/>
          <w:left w:val="nil"/>
          <w:bottom w:val="nil"/>
          <w:right w:val="nil"/>
          <w:between w:val="nil"/>
        </w:pBdr>
        <w:tabs>
          <w:tab w:val="left" w:pos="851"/>
        </w:tabs>
        <w:spacing w:after="0" w:line="360" w:lineRule="auto"/>
        <w:ind w:right="-269"/>
        <w:jc w:val="both"/>
        <w:rPr>
          <w:rFonts w:ascii="Palatino Linotype" w:eastAsia="Palatino Linotype" w:hAnsi="Palatino Linotype" w:cs="Palatino Linotype"/>
          <w:color w:val="000000"/>
          <w:sz w:val="24"/>
          <w:szCs w:val="24"/>
        </w:rPr>
      </w:pPr>
    </w:p>
    <w:p w:rsidR="00202676" w:rsidRPr="00A72110" w:rsidRDefault="003F0206">
      <w:pPr>
        <w:numPr>
          <w:ilvl w:val="0"/>
          <w:numId w:val="4"/>
        </w:numPr>
        <w:pBdr>
          <w:top w:val="nil"/>
          <w:left w:val="nil"/>
          <w:bottom w:val="nil"/>
          <w:right w:val="nil"/>
          <w:between w:val="nil"/>
        </w:pBdr>
        <w:tabs>
          <w:tab w:val="left" w:pos="851"/>
        </w:tabs>
        <w:spacing w:after="0" w:line="360" w:lineRule="auto"/>
        <w:ind w:left="0" w:right="-269" w:firstLine="0"/>
        <w:jc w:val="both"/>
        <w:rPr>
          <w:color w:val="000000"/>
          <w:sz w:val="24"/>
          <w:szCs w:val="24"/>
        </w:rPr>
      </w:pPr>
      <w:r w:rsidRPr="00A72110">
        <w:rPr>
          <w:rFonts w:ascii="Palatino Linotype" w:eastAsia="Palatino Linotype" w:hAnsi="Palatino Linotype" w:cs="Palatino Linotype"/>
          <w:color w:val="000000"/>
          <w:sz w:val="24"/>
          <w:szCs w:val="24"/>
        </w:rPr>
        <w:lastRenderedPageBreak/>
        <w:t>Es así que, todos los actos de autoridad que realicen los Sujetos Obligados deben estar documentados y, bajo el más alto estándar de transparencia deberán poner toda la información que se encuentre en su posesión, a disposición de los particulares que la soliciten. En consecuencia, se advierten facultades del Sujeto Obligado para generar, poseer o administrar la información solicitada.</w:t>
      </w:r>
    </w:p>
    <w:p w:rsidR="00202676" w:rsidRPr="00A72110" w:rsidRDefault="00202676">
      <w:pPr>
        <w:pBdr>
          <w:top w:val="nil"/>
          <w:left w:val="nil"/>
          <w:bottom w:val="nil"/>
          <w:right w:val="nil"/>
          <w:between w:val="nil"/>
        </w:pBdr>
        <w:tabs>
          <w:tab w:val="left" w:pos="851"/>
        </w:tabs>
        <w:spacing w:after="0" w:line="360" w:lineRule="auto"/>
        <w:ind w:right="-269"/>
        <w:jc w:val="both"/>
        <w:rPr>
          <w:rFonts w:ascii="Palatino Linotype" w:eastAsia="Palatino Linotype" w:hAnsi="Palatino Linotype" w:cs="Palatino Linotype"/>
          <w:color w:val="000000"/>
          <w:sz w:val="24"/>
          <w:szCs w:val="24"/>
        </w:rPr>
      </w:pPr>
    </w:p>
    <w:p w:rsidR="00202676" w:rsidRPr="00A72110" w:rsidRDefault="003F0206">
      <w:pPr>
        <w:numPr>
          <w:ilvl w:val="0"/>
          <w:numId w:val="4"/>
        </w:numPr>
        <w:pBdr>
          <w:top w:val="nil"/>
          <w:left w:val="nil"/>
          <w:bottom w:val="nil"/>
          <w:right w:val="nil"/>
          <w:between w:val="nil"/>
        </w:pBdr>
        <w:spacing w:after="0" w:line="360" w:lineRule="auto"/>
        <w:ind w:left="0" w:right="-269" w:firstLine="0"/>
        <w:jc w:val="both"/>
        <w:rPr>
          <w:color w:val="000000"/>
          <w:sz w:val="24"/>
          <w:szCs w:val="24"/>
        </w:rPr>
      </w:pPr>
      <w:r w:rsidRPr="00A72110">
        <w:rPr>
          <w:rFonts w:ascii="Palatino Linotype" w:eastAsia="Palatino Linotype" w:hAnsi="Palatino Linotype" w:cs="Palatino Linotype"/>
          <w:color w:val="000000"/>
          <w:sz w:val="24"/>
          <w:szCs w:val="24"/>
        </w:rPr>
        <w:t>Ahora bien, recordemos que el Recurrente también solicitó información del Instituto Municipal de Cultura Física y Deporte de Tecámac, por lo que conviene traer a contexto</w:t>
      </w:r>
      <w:r w:rsidRPr="00A72110">
        <w:rPr>
          <w:rFonts w:ascii="Palatino Linotype" w:eastAsia="Palatino Linotype" w:hAnsi="Palatino Linotype" w:cs="Palatino Linotype"/>
          <w:sz w:val="24"/>
          <w:szCs w:val="24"/>
        </w:rPr>
        <w:t xml:space="preserve"> el artículo 167 de la Ley de Transparencia y Acceso a la Información Pública del Estado de México y Municipios, el cual establece lo siguiente:</w:t>
      </w:r>
    </w:p>
    <w:p w:rsidR="00202676" w:rsidRPr="00A72110" w:rsidRDefault="003F0206">
      <w:pPr>
        <w:spacing w:line="360" w:lineRule="auto"/>
        <w:ind w:left="851" w:right="-269"/>
        <w:jc w:val="both"/>
        <w:rPr>
          <w:rFonts w:ascii="Palatino Linotype" w:eastAsia="Palatino Linotype" w:hAnsi="Palatino Linotype" w:cs="Palatino Linotype"/>
          <w:i/>
          <w:iCs/>
          <w:sz w:val="24"/>
          <w:szCs w:val="24"/>
        </w:rPr>
      </w:pPr>
      <w:r w:rsidRPr="00A72110">
        <w:rPr>
          <w:rFonts w:ascii="Palatino Linotype" w:eastAsia="Palatino Linotype" w:hAnsi="Palatino Linotype" w:cs="Palatino Linotype"/>
          <w:b/>
          <w:bCs/>
          <w:i/>
          <w:iCs/>
          <w:sz w:val="24"/>
          <w:szCs w:val="24"/>
        </w:rPr>
        <w:t xml:space="preserve">Artículo 167. </w:t>
      </w:r>
      <w:r w:rsidRPr="00A72110">
        <w:rPr>
          <w:rFonts w:ascii="Palatino Linotype" w:eastAsia="Palatino Linotype" w:hAnsi="Palatino Linotype" w:cs="Palatino Linotype"/>
          <w:i/>
          <w:iCs/>
          <w:sz w:val="24"/>
          <w:szCs w:val="24"/>
        </w:rPr>
        <w:t xml:space="preserve">Cuando las </w:t>
      </w:r>
      <w:r w:rsidRPr="00A72110">
        <w:rPr>
          <w:rFonts w:ascii="Palatino Linotype" w:eastAsia="Palatino Linotype" w:hAnsi="Palatino Linotype" w:cs="Palatino Linotype"/>
          <w:b/>
          <w:bCs/>
          <w:i/>
          <w:iCs/>
          <w:sz w:val="24"/>
          <w:szCs w:val="24"/>
        </w:rPr>
        <w:t>unidades de transparencia determinen la notoria incompetencia por parte de los sujetos obligado</w:t>
      </w:r>
      <w:r w:rsidRPr="00A72110">
        <w:rPr>
          <w:rFonts w:ascii="Palatino Linotype" w:eastAsia="Palatino Linotype" w:hAnsi="Palatino Linotype" w:cs="Palatino Linotype"/>
          <w:i/>
          <w:iCs/>
          <w:sz w:val="24"/>
          <w:szCs w:val="24"/>
        </w:rPr>
        <w:t xml:space="preserve">s, dentro del ámbito de aplicación, para atender la solicitud de acceso a la información, deberán comunicarlo al solicitante, dentro de los </w:t>
      </w:r>
      <w:r w:rsidRPr="00A72110">
        <w:rPr>
          <w:rFonts w:ascii="Palatino Linotype" w:eastAsia="Palatino Linotype" w:hAnsi="Palatino Linotype" w:cs="Palatino Linotype"/>
          <w:b/>
          <w:bCs/>
          <w:i/>
          <w:iCs/>
          <w:sz w:val="24"/>
          <w:szCs w:val="24"/>
        </w:rPr>
        <w:t>tres días hábiles posteriores a la recepción de la solicitud</w:t>
      </w:r>
      <w:r w:rsidRPr="00A72110">
        <w:rPr>
          <w:rFonts w:ascii="Palatino Linotype" w:eastAsia="Palatino Linotype" w:hAnsi="Palatino Linotype" w:cs="Palatino Linotype"/>
          <w:i/>
          <w:iCs/>
          <w:sz w:val="24"/>
          <w:szCs w:val="24"/>
        </w:rPr>
        <w:t xml:space="preserve"> y, en su caso orientar al solicitante, el o los sujetos obligados competentes. </w:t>
      </w:r>
    </w:p>
    <w:p w:rsidR="00202676" w:rsidRPr="00A72110" w:rsidRDefault="003F0206">
      <w:pPr>
        <w:numPr>
          <w:ilvl w:val="0"/>
          <w:numId w:val="4"/>
        </w:numPr>
        <w:pBdr>
          <w:top w:val="nil"/>
          <w:left w:val="nil"/>
          <w:bottom w:val="nil"/>
          <w:right w:val="nil"/>
          <w:between w:val="nil"/>
        </w:pBdr>
        <w:spacing w:before="280" w:after="0" w:line="360" w:lineRule="auto"/>
        <w:ind w:left="0" w:right="-269" w:firstLine="0"/>
        <w:jc w:val="both"/>
        <w:rPr>
          <w:color w:val="000000"/>
          <w:sz w:val="24"/>
          <w:szCs w:val="24"/>
        </w:rPr>
      </w:pPr>
      <w:r w:rsidRPr="00A72110">
        <w:rPr>
          <w:rFonts w:ascii="Palatino Linotype" w:eastAsia="Palatino Linotype" w:hAnsi="Palatino Linotype" w:cs="Palatino Linotype"/>
          <w:color w:val="000000"/>
          <w:sz w:val="24"/>
          <w:szCs w:val="24"/>
        </w:rPr>
        <w:t xml:space="preserve">Tal y como se aprecia, los Sujetos Obligados al detectar qué una solicitud de acceso a la información </w:t>
      </w:r>
      <w:r w:rsidRPr="00A72110">
        <w:rPr>
          <w:rFonts w:ascii="Palatino Linotype" w:eastAsia="Palatino Linotype" w:hAnsi="Palatino Linotype" w:cs="Palatino Linotype"/>
          <w:b/>
          <w:bCs/>
          <w:color w:val="000000"/>
          <w:sz w:val="24"/>
          <w:szCs w:val="24"/>
        </w:rPr>
        <w:t>NO</w:t>
      </w:r>
      <w:r w:rsidRPr="00A72110">
        <w:rPr>
          <w:rFonts w:ascii="Palatino Linotype" w:eastAsia="Palatino Linotype" w:hAnsi="Palatino Linotype" w:cs="Palatino Linotype"/>
          <w:color w:val="000000"/>
          <w:sz w:val="24"/>
          <w:szCs w:val="24"/>
        </w:rPr>
        <w:t xml:space="preserve"> es de su competencia, dentro de los 3 días posteriores a su recepción, deberán de comunicar tal situación al Recurrente y, en su caso orientarlo al Sujeto Obligado correspondiente; en este caso, este órgano Garante advierte que el Sujeto Obligado es incompetente para conocer de la información referente al Instituto Municipal de Cultura Física y Deporte de acuerdo al Padrón de Sujeto Obligados en Materia de Transparencia y Acceso a la Información Pública del Estado de México y Municipios, en el que se establece que el Ayuntamiento de Tecámac y el Instituto de Cultura Física y de Deporte de Tecámac, son Sujeto Obligados diversos, por ello, resulta improcedente ordenar los contratos celebrados por el Instituto. </w:t>
      </w:r>
    </w:p>
    <w:p w:rsidR="00202676" w:rsidRPr="00A72110" w:rsidRDefault="003F0206">
      <w:pPr>
        <w:numPr>
          <w:ilvl w:val="0"/>
          <w:numId w:val="4"/>
        </w:numPr>
        <w:pBdr>
          <w:top w:val="nil"/>
          <w:left w:val="nil"/>
          <w:bottom w:val="nil"/>
          <w:right w:val="nil"/>
          <w:between w:val="nil"/>
        </w:pBdr>
        <w:spacing w:after="0" w:line="360" w:lineRule="auto"/>
        <w:ind w:left="0" w:right="-269" w:firstLine="0"/>
        <w:jc w:val="both"/>
        <w:rPr>
          <w:color w:val="000000"/>
          <w:sz w:val="24"/>
          <w:szCs w:val="24"/>
        </w:rPr>
      </w:pPr>
      <w:r w:rsidRPr="00A72110">
        <w:rPr>
          <w:rFonts w:ascii="Palatino Linotype" w:eastAsia="Palatino Linotype" w:hAnsi="Palatino Linotype" w:cs="Palatino Linotype"/>
          <w:sz w:val="24"/>
          <w:szCs w:val="24"/>
        </w:rPr>
        <w:lastRenderedPageBreak/>
        <w:t xml:space="preserve">Derivado de lo anteriormente señalado, se concluye que resultan fundadas las razones o motivos de inconformidad hechos valer por el </w:t>
      </w:r>
      <w:r w:rsidRPr="00A72110">
        <w:rPr>
          <w:rFonts w:ascii="Palatino Linotype" w:eastAsia="Palatino Linotype" w:hAnsi="Palatino Linotype" w:cs="Palatino Linotype"/>
          <w:b/>
          <w:bCs/>
          <w:sz w:val="24"/>
          <w:szCs w:val="24"/>
        </w:rPr>
        <w:t>RECURRENTE</w:t>
      </w:r>
      <w:r w:rsidRPr="00A72110">
        <w:rPr>
          <w:rFonts w:ascii="Palatino Linotype" w:eastAsia="Palatino Linotype" w:hAnsi="Palatino Linotype" w:cs="Palatino Linotype"/>
          <w:sz w:val="24"/>
          <w:szCs w:val="24"/>
        </w:rPr>
        <w:t xml:space="preserve"> dentro del recurso de revisión </w:t>
      </w:r>
      <w:r w:rsidRPr="00A72110">
        <w:rPr>
          <w:rFonts w:ascii="Palatino Linotype" w:eastAsia="Palatino Linotype" w:hAnsi="Palatino Linotype" w:cs="Palatino Linotype"/>
          <w:b/>
          <w:bCs/>
          <w:sz w:val="24"/>
          <w:szCs w:val="24"/>
        </w:rPr>
        <w:t>00908/INFOEM/IP/RR/2026</w:t>
      </w:r>
      <w:r w:rsidRPr="00A72110">
        <w:rPr>
          <w:rFonts w:ascii="Palatino Linotype" w:eastAsia="Palatino Linotype" w:hAnsi="Palatino Linotype" w:cs="Palatino Linotype"/>
          <w:sz w:val="24"/>
          <w:szCs w:val="24"/>
        </w:rPr>
        <w:t xml:space="preserve">; por ello, es procedente </w:t>
      </w:r>
      <w:r w:rsidRPr="00A72110">
        <w:rPr>
          <w:rFonts w:ascii="Palatino Linotype" w:eastAsia="Palatino Linotype" w:hAnsi="Palatino Linotype" w:cs="Palatino Linotype"/>
          <w:b/>
          <w:bCs/>
          <w:sz w:val="24"/>
          <w:szCs w:val="24"/>
        </w:rPr>
        <w:t>ORDENAR</w:t>
      </w:r>
      <w:r w:rsidRPr="00A72110">
        <w:rPr>
          <w:rFonts w:ascii="Palatino Linotype" w:eastAsia="Palatino Linotype" w:hAnsi="Palatino Linotype" w:cs="Palatino Linotype"/>
          <w:sz w:val="24"/>
          <w:szCs w:val="24"/>
        </w:rPr>
        <w:t xml:space="preserve"> al </w:t>
      </w:r>
      <w:r w:rsidRPr="00A72110">
        <w:rPr>
          <w:rFonts w:ascii="Palatino Linotype" w:eastAsia="Palatino Linotype" w:hAnsi="Palatino Linotype" w:cs="Palatino Linotype"/>
          <w:b/>
          <w:bCs/>
          <w:sz w:val="24"/>
          <w:szCs w:val="24"/>
        </w:rPr>
        <w:t>SUJETO OBLIGADO</w:t>
      </w:r>
      <w:r w:rsidRPr="00A72110">
        <w:rPr>
          <w:rFonts w:ascii="Palatino Linotype" w:eastAsia="Palatino Linotype" w:hAnsi="Palatino Linotype" w:cs="Palatino Linotype"/>
          <w:sz w:val="24"/>
          <w:szCs w:val="24"/>
        </w:rPr>
        <w:t>, de ser procedente en versión pública, la entrega de lo siguiente:</w:t>
      </w:r>
    </w:p>
    <w:p w:rsidR="00202676" w:rsidRPr="00A72110" w:rsidRDefault="003F0206">
      <w:pPr>
        <w:numPr>
          <w:ilvl w:val="1"/>
          <w:numId w:val="4"/>
        </w:numPr>
        <w:pBdr>
          <w:top w:val="nil"/>
          <w:left w:val="nil"/>
          <w:bottom w:val="nil"/>
          <w:right w:val="nil"/>
          <w:between w:val="nil"/>
        </w:pBdr>
        <w:spacing w:after="0" w:line="360" w:lineRule="auto"/>
        <w:ind w:right="-269"/>
        <w:jc w:val="both"/>
        <w:rPr>
          <w:rFonts w:ascii="Palatino Linotype" w:eastAsia="Palatino Linotype" w:hAnsi="Palatino Linotype" w:cs="Palatino Linotype"/>
          <w:color w:val="000000"/>
          <w:sz w:val="24"/>
          <w:szCs w:val="24"/>
        </w:rPr>
      </w:pPr>
      <w:r w:rsidRPr="00A72110">
        <w:rPr>
          <w:rFonts w:ascii="Palatino Linotype" w:eastAsia="Palatino Linotype" w:hAnsi="Palatino Linotype" w:cs="Palatino Linotype"/>
          <w:b/>
          <w:bCs/>
          <w:color w:val="000000"/>
          <w:sz w:val="24"/>
          <w:szCs w:val="24"/>
        </w:rPr>
        <w:t xml:space="preserve">Contratos celebrados por el Sujeto Obligado durante el ejercicio fiscal 2025, en el que se incluyan sus anexos. </w:t>
      </w:r>
    </w:p>
    <w:p w:rsidR="00202676" w:rsidRPr="00A72110" w:rsidRDefault="00202676">
      <w:pPr>
        <w:pBdr>
          <w:top w:val="nil"/>
          <w:left w:val="nil"/>
          <w:bottom w:val="nil"/>
          <w:right w:val="nil"/>
          <w:between w:val="nil"/>
        </w:pBdr>
        <w:spacing w:after="0" w:line="360" w:lineRule="auto"/>
        <w:ind w:left="1211" w:right="-269"/>
        <w:jc w:val="both"/>
        <w:rPr>
          <w:rFonts w:ascii="Palatino Linotype" w:eastAsia="Palatino Linotype" w:hAnsi="Palatino Linotype" w:cs="Palatino Linotype"/>
          <w:color w:val="000000"/>
          <w:sz w:val="24"/>
          <w:szCs w:val="24"/>
        </w:rPr>
      </w:pPr>
    </w:p>
    <w:p w:rsidR="00202676" w:rsidRPr="00A72110" w:rsidRDefault="003F0206">
      <w:pPr>
        <w:numPr>
          <w:ilvl w:val="0"/>
          <w:numId w:val="4"/>
        </w:numPr>
        <w:pBdr>
          <w:top w:val="nil"/>
          <w:left w:val="nil"/>
          <w:bottom w:val="nil"/>
          <w:right w:val="nil"/>
          <w:between w:val="nil"/>
        </w:pBdr>
        <w:spacing w:after="0" w:line="360" w:lineRule="auto"/>
        <w:ind w:left="0" w:right="-269" w:firstLine="0"/>
        <w:jc w:val="both"/>
        <w:rPr>
          <w:color w:val="000000"/>
          <w:sz w:val="24"/>
          <w:szCs w:val="24"/>
        </w:rPr>
      </w:pPr>
      <w:r w:rsidRPr="00A72110">
        <w:rPr>
          <w:rFonts w:ascii="Palatino Linotype" w:eastAsia="Palatino Linotype" w:hAnsi="Palatino Linotype" w:cs="Palatino Linotype"/>
          <w:color w:val="000000"/>
          <w:sz w:val="24"/>
          <w:szCs w:val="24"/>
        </w:rPr>
        <w:t xml:space="preserve">Asimismo, es indispensable destacar que la información que se está ordenando puede contener información clasificada, para ello se deberá realizar una versión pública y atender a lo establecido en el siguiente considerando. </w:t>
      </w:r>
    </w:p>
    <w:p w:rsidR="00202676" w:rsidRPr="00A72110" w:rsidRDefault="00202676">
      <w:pPr>
        <w:pBdr>
          <w:top w:val="nil"/>
          <w:left w:val="nil"/>
          <w:bottom w:val="nil"/>
          <w:right w:val="nil"/>
          <w:between w:val="nil"/>
        </w:pBdr>
        <w:spacing w:line="360" w:lineRule="auto"/>
        <w:ind w:left="851" w:right="-269"/>
        <w:jc w:val="both"/>
        <w:rPr>
          <w:rFonts w:ascii="Palatino Linotype" w:eastAsia="Palatino Linotype" w:hAnsi="Palatino Linotype" w:cs="Palatino Linotype"/>
          <w:color w:val="000000"/>
          <w:sz w:val="24"/>
          <w:szCs w:val="24"/>
        </w:rPr>
      </w:pPr>
    </w:p>
    <w:p w:rsidR="00202676" w:rsidRPr="00A72110" w:rsidRDefault="003F0206">
      <w:pPr>
        <w:keepNext/>
        <w:keepLines/>
        <w:spacing w:line="256" w:lineRule="auto"/>
        <w:ind w:right="-269"/>
        <w:rPr>
          <w:rFonts w:ascii="Palatino Linotype" w:eastAsia="Palatino Linotype" w:hAnsi="Palatino Linotype" w:cs="Palatino Linotype"/>
          <w:b/>
          <w:bCs/>
          <w:sz w:val="24"/>
          <w:szCs w:val="24"/>
        </w:rPr>
      </w:pPr>
      <w:bookmarkStart w:id="2" w:name="_heading=h.1t3h5sf" w:colFirst="0" w:colLast="0"/>
      <w:bookmarkEnd w:id="2"/>
      <w:r w:rsidRPr="00A72110">
        <w:rPr>
          <w:rFonts w:ascii="Palatino Linotype" w:eastAsia="Palatino Linotype" w:hAnsi="Palatino Linotype" w:cs="Palatino Linotype"/>
          <w:b/>
          <w:bCs/>
          <w:sz w:val="24"/>
          <w:szCs w:val="24"/>
        </w:rPr>
        <w:t>QUINTO. DE LA VERSIÓN PÚBLICA.</w:t>
      </w:r>
    </w:p>
    <w:p w:rsidR="00202676" w:rsidRPr="00A72110" w:rsidRDefault="003F0206">
      <w:pPr>
        <w:numPr>
          <w:ilvl w:val="0"/>
          <w:numId w:val="4"/>
        </w:numPr>
        <w:pBdr>
          <w:top w:val="nil"/>
          <w:left w:val="nil"/>
          <w:bottom w:val="nil"/>
          <w:right w:val="nil"/>
          <w:between w:val="nil"/>
        </w:pBdr>
        <w:tabs>
          <w:tab w:val="left" w:pos="426"/>
          <w:tab w:val="left" w:pos="567"/>
        </w:tabs>
        <w:spacing w:after="0" w:line="360" w:lineRule="auto"/>
        <w:ind w:left="0" w:right="-269" w:firstLine="0"/>
        <w:jc w:val="both"/>
        <w:rPr>
          <w:color w:val="000000"/>
          <w:sz w:val="24"/>
          <w:szCs w:val="24"/>
        </w:rPr>
      </w:pPr>
      <w:r w:rsidRPr="00A72110">
        <w:rPr>
          <w:rFonts w:ascii="Palatino Linotype" w:eastAsia="Palatino Linotype" w:hAnsi="Palatino Linotype" w:cs="Palatino Linotype"/>
          <w:color w:val="000000"/>
          <w:sz w:val="24"/>
          <w:szCs w:val="24"/>
        </w:rPr>
        <w:t>Debe destacarse que, debido a la naturaleza de la información solicitada</w:t>
      </w:r>
      <w:r w:rsidRPr="00A72110">
        <w:rPr>
          <w:rFonts w:ascii="Palatino Linotype" w:eastAsia="Palatino Linotype" w:hAnsi="Palatino Linotype" w:cs="Palatino Linotype"/>
          <w:b/>
          <w:bCs/>
          <w:color w:val="000000"/>
          <w:sz w:val="24"/>
          <w:szCs w:val="24"/>
        </w:rPr>
        <w:t xml:space="preserve">, </w:t>
      </w:r>
      <w:r w:rsidRPr="00A72110">
        <w:rPr>
          <w:rFonts w:ascii="Palatino Linotype" w:eastAsia="Palatino Linotype" w:hAnsi="Palatino Linotype" w:cs="Palatino Linotype"/>
          <w:color w:val="000000"/>
          <w:sz w:val="24"/>
          <w:szCs w:val="24"/>
        </w:rPr>
        <w:t xml:space="preserve">eventualmente pudiera obrar datos personales susceptibles de protegerse, así como información susceptible de clasificarse como reservada, el </w:t>
      </w:r>
      <w:r w:rsidRPr="00A72110">
        <w:rPr>
          <w:rFonts w:ascii="Palatino Linotype" w:eastAsia="Palatino Linotype" w:hAnsi="Palatino Linotype" w:cs="Palatino Linotype"/>
          <w:b/>
          <w:bCs/>
          <w:color w:val="000000"/>
          <w:sz w:val="24"/>
          <w:szCs w:val="24"/>
        </w:rPr>
        <w:t xml:space="preserve">Sujeto Obligado </w:t>
      </w:r>
      <w:r w:rsidRPr="00A72110">
        <w:rPr>
          <w:rFonts w:ascii="Palatino Linotype" w:eastAsia="Palatino Linotype" w:hAnsi="Palatino Linotype" w:cs="Palatino Linotype"/>
          <w:color w:val="000000"/>
          <w:sz w:val="24"/>
          <w:szCs w:val="24"/>
        </w:rPr>
        <w:t>deberá de hacer la adecuada versión pública, protegiendo los datos que no son susceptibles de ser proporcionados.</w:t>
      </w:r>
    </w:p>
    <w:p w:rsidR="00202676" w:rsidRPr="00A72110" w:rsidRDefault="00202676">
      <w:pPr>
        <w:pBdr>
          <w:top w:val="nil"/>
          <w:left w:val="nil"/>
          <w:bottom w:val="nil"/>
          <w:right w:val="nil"/>
          <w:between w:val="nil"/>
        </w:pBdr>
        <w:tabs>
          <w:tab w:val="left" w:pos="426"/>
          <w:tab w:val="left" w:pos="567"/>
        </w:tabs>
        <w:spacing w:line="360" w:lineRule="auto"/>
        <w:ind w:right="-269"/>
        <w:jc w:val="both"/>
        <w:rPr>
          <w:rFonts w:ascii="Palatino Linotype" w:eastAsia="Palatino Linotype" w:hAnsi="Palatino Linotype" w:cs="Palatino Linotype"/>
          <w:color w:val="000000"/>
          <w:sz w:val="24"/>
          <w:szCs w:val="24"/>
        </w:rPr>
      </w:pPr>
    </w:p>
    <w:tbl>
      <w:tblPr>
        <w:tblStyle w:val="a1"/>
        <w:tblW w:w="9855"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35"/>
        <w:gridCol w:w="6720"/>
      </w:tblGrid>
      <w:tr w:rsidR="00202676" w:rsidRPr="00A72110">
        <w:tc>
          <w:tcPr>
            <w:tcW w:w="3135" w:type="dxa"/>
            <w:tcBorders>
              <w:top w:val="single" w:sz="4" w:space="0" w:color="BFBFBF"/>
              <w:left w:val="single" w:sz="4" w:space="0" w:color="BFBFBF"/>
              <w:bottom w:val="single" w:sz="4" w:space="0" w:color="BFBFBF"/>
              <w:right w:val="single" w:sz="4" w:space="0" w:color="BFBFBF"/>
            </w:tcBorders>
          </w:tcPr>
          <w:p w:rsidR="00202676" w:rsidRPr="00A72110" w:rsidRDefault="003F0206">
            <w:pPr>
              <w:spacing w:line="360" w:lineRule="auto"/>
              <w:ind w:right="-127"/>
              <w:rPr>
                <w:rFonts w:ascii="Palatino Linotype" w:eastAsia="Palatino Linotype" w:hAnsi="Palatino Linotype" w:cs="Palatino Linotype"/>
                <w:sz w:val="24"/>
                <w:szCs w:val="24"/>
              </w:rPr>
            </w:pPr>
            <w:r w:rsidRPr="00A72110">
              <w:rPr>
                <w:rFonts w:ascii="Palatino Linotype" w:eastAsia="Palatino Linotype" w:hAnsi="Palatino Linotype" w:cs="Palatino Linotype"/>
                <w:sz w:val="24"/>
                <w:szCs w:val="24"/>
              </w:rPr>
              <w:t>a) Requisitos previos.</w:t>
            </w:r>
          </w:p>
        </w:tc>
        <w:tc>
          <w:tcPr>
            <w:tcW w:w="6720" w:type="dxa"/>
            <w:tcBorders>
              <w:top w:val="single" w:sz="4" w:space="0" w:color="BFBFBF"/>
              <w:left w:val="single" w:sz="4" w:space="0" w:color="BFBFBF"/>
              <w:bottom w:val="single" w:sz="4" w:space="0" w:color="BFBFBF"/>
              <w:right w:val="single" w:sz="4" w:space="0" w:color="BFBFBF"/>
            </w:tcBorders>
          </w:tcPr>
          <w:p w:rsidR="00202676" w:rsidRPr="00A72110" w:rsidRDefault="003F0206">
            <w:pPr>
              <w:spacing w:line="360" w:lineRule="auto"/>
              <w:ind w:right="-127"/>
              <w:jc w:val="both"/>
              <w:rPr>
                <w:rFonts w:ascii="Palatino Linotype" w:eastAsia="Palatino Linotype" w:hAnsi="Palatino Linotype" w:cs="Palatino Linotype"/>
                <w:color w:val="000000"/>
                <w:sz w:val="24"/>
                <w:szCs w:val="24"/>
              </w:rPr>
            </w:pPr>
            <w:r w:rsidRPr="00A72110">
              <w:rPr>
                <w:rFonts w:ascii="Palatino Linotype" w:eastAsia="Palatino Linotype" w:hAnsi="Palatino Linotype" w:cs="Palatino Linotype"/>
                <w:color w:val="000000"/>
                <w:sz w:val="24"/>
                <w:szCs w:val="24"/>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202676" w:rsidRPr="00A72110" w:rsidRDefault="003F0206">
            <w:pPr>
              <w:spacing w:line="360" w:lineRule="auto"/>
              <w:ind w:right="-127"/>
              <w:jc w:val="both"/>
              <w:rPr>
                <w:rFonts w:ascii="Palatino Linotype" w:eastAsia="Palatino Linotype" w:hAnsi="Palatino Linotype" w:cs="Palatino Linotype"/>
                <w:color w:val="000000"/>
                <w:sz w:val="24"/>
                <w:szCs w:val="24"/>
              </w:rPr>
            </w:pPr>
            <w:r w:rsidRPr="00A72110">
              <w:rPr>
                <w:rFonts w:ascii="Palatino Linotype" w:eastAsia="Palatino Linotype" w:hAnsi="Palatino Linotype" w:cs="Palatino Linotype"/>
                <w:color w:val="000000"/>
                <w:sz w:val="24"/>
                <w:szCs w:val="24"/>
              </w:rPr>
              <w:lastRenderedPageBreak/>
              <w:t>Al hacerlo tienen que precisar de qué información se trata, señalando el supuesto de clasificación (confidencialidad o reserva).</w:t>
            </w:r>
          </w:p>
          <w:p w:rsidR="00202676" w:rsidRPr="00A72110" w:rsidRDefault="003F0206">
            <w:pPr>
              <w:spacing w:line="360" w:lineRule="auto"/>
              <w:ind w:right="-127"/>
              <w:jc w:val="both"/>
              <w:rPr>
                <w:rFonts w:ascii="Palatino Linotype" w:eastAsia="Palatino Linotype" w:hAnsi="Palatino Linotype" w:cs="Palatino Linotype"/>
                <w:color w:val="000000"/>
                <w:sz w:val="24"/>
                <w:szCs w:val="24"/>
              </w:rPr>
            </w:pPr>
            <w:r w:rsidRPr="00A72110">
              <w:rPr>
                <w:rFonts w:ascii="Palatino Linotype" w:eastAsia="Palatino Linotype" w:hAnsi="Palatino Linotype" w:cs="Palatino Linotype"/>
                <w:color w:val="000000"/>
                <w:sz w:val="24"/>
                <w:szCs w:val="24"/>
              </w:rPr>
              <w:t>Además, se debe señalar el procedimiento, de los tres que establecen los artículos 132 y 106 de la Ley Estatal y General, respectivamente.</w:t>
            </w:r>
          </w:p>
          <w:p w:rsidR="00202676" w:rsidRPr="00A72110" w:rsidRDefault="003F0206">
            <w:pPr>
              <w:spacing w:line="360" w:lineRule="auto"/>
              <w:ind w:right="-127"/>
              <w:jc w:val="both"/>
              <w:rPr>
                <w:rFonts w:ascii="Palatino Linotype" w:eastAsia="Palatino Linotype" w:hAnsi="Palatino Linotype" w:cs="Palatino Linotype"/>
                <w:sz w:val="24"/>
                <w:szCs w:val="24"/>
              </w:rPr>
            </w:pPr>
            <w:r w:rsidRPr="00A72110">
              <w:rPr>
                <w:rFonts w:ascii="Palatino Linotype" w:eastAsia="Palatino Linotype" w:hAnsi="Palatino Linotype" w:cs="Palatino Linotype"/>
                <w:color w:val="000000"/>
                <w:sz w:val="24"/>
                <w:szCs w:val="24"/>
              </w:rPr>
              <w:t xml:space="preserve">El último de estos requisitos previos consiste en que no se pueden emitir acuerdos de carácter general ni particular, esto es, </w:t>
            </w:r>
            <w:r w:rsidRPr="00A72110">
              <w:rPr>
                <w:rFonts w:ascii="Palatino Linotype" w:eastAsia="Palatino Linotype" w:hAnsi="Palatino Linotype" w:cs="Palatino Linotype"/>
                <w:color w:val="000000"/>
                <w:sz w:val="24"/>
                <w:szCs w:val="24"/>
                <w:u w:val="single"/>
              </w:rPr>
              <w:t>no se puede hacer un acuerdo para clasificar de manera general todos los documentos de un expediente o área, sin</w:t>
            </w:r>
            <w:r w:rsidRPr="00A72110">
              <w:rPr>
                <w:rFonts w:ascii="Palatino Linotype" w:eastAsia="Palatino Linotype" w:hAnsi="Palatino Linotype" w:cs="Palatino Linotype"/>
                <w:color w:val="000000"/>
                <w:sz w:val="24"/>
                <w:szCs w:val="24"/>
              </w:rPr>
              <w:t xml:space="preserve"> individualizar su análisis y tampoco se puede hacer un acuerdo por cada dato que se vaya a clasificar dentro de un documento con diez datos, por ejemplo, susceptibles de ser clasificados.</w:t>
            </w:r>
          </w:p>
        </w:tc>
      </w:tr>
      <w:tr w:rsidR="00202676" w:rsidRPr="00A72110">
        <w:tc>
          <w:tcPr>
            <w:tcW w:w="3135" w:type="dxa"/>
            <w:tcBorders>
              <w:top w:val="single" w:sz="4" w:space="0" w:color="BFBFBF"/>
              <w:left w:val="single" w:sz="4" w:space="0" w:color="BFBFBF"/>
              <w:bottom w:val="single" w:sz="4" w:space="0" w:color="BFBFBF"/>
              <w:right w:val="single" w:sz="4" w:space="0" w:color="BFBFBF"/>
            </w:tcBorders>
          </w:tcPr>
          <w:p w:rsidR="00202676" w:rsidRPr="00A72110" w:rsidRDefault="003F0206">
            <w:pPr>
              <w:spacing w:line="360" w:lineRule="auto"/>
              <w:ind w:right="-127"/>
              <w:rPr>
                <w:rFonts w:ascii="Palatino Linotype" w:eastAsia="Palatino Linotype" w:hAnsi="Palatino Linotype" w:cs="Palatino Linotype"/>
                <w:sz w:val="24"/>
                <w:szCs w:val="24"/>
              </w:rPr>
            </w:pPr>
            <w:r w:rsidRPr="00A72110">
              <w:rPr>
                <w:rFonts w:ascii="Palatino Linotype" w:eastAsia="Palatino Linotype" w:hAnsi="Palatino Linotype" w:cs="Palatino Linotype"/>
                <w:sz w:val="24"/>
                <w:szCs w:val="24"/>
              </w:rPr>
              <w:lastRenderedPageBreak/>
              <w:t>b) Supuestos de clasificación.</w:t>
            </w:r>
          </w:p>
        </w:tc>
        <w:tc>
          <w:tcPr>
            <w:tcW w:w="6720" w:type="dxa"/>
            <w:tcBorders>
              <w:top w:val="single" w:sz="4" w:space="0" w:color="BFBFBF"/>
              <w:left w:val="single" w:sz="4" w:space="0" w:color="BFBFBF"/>
              <w:bottom w:val="single" w:sz="4" w:space="0" w:color="BFBFBF"/>
              <w:right w:val="single" w:sz="4" w:space="0" w:color="BFBFBF"/>
            </w:tcBorders>
          </w:tcPr>
          <w:p w:rsidR="00202676" w:rsidRPr="00A72110" w:rsidRDefault="003F0206">
            <w:pPr>
              <w:spacing w:line="360" w:lineRule="auto"/>
              <w:ind w:right="-127"/>
              <w:jc w:val="both"/>
              <w:rPr>
                <w:rFonts w:ascii="Palatino Linotype" w:eastAsia="Palatino Linotype" w:hAnsi="Palatino Linotype" w:cs="Palatino Linotype"/>
                <w:color w:val="000000"/>
                <w:sz w:val="24"/>
                <w:szCs w:val="24"/>
              </w:rPr>
            </w:pPr>
            <w:r w:rsidRPr="00A72110">
              <w:rPr>
                <w:rFonts w:ascii="Palatino Linotype" w:eastAsia="Palatino Linotype" w:hAnsi="Palatino Linotype" w:cs="Palatino Linotype"/>
                <w:color w:val="000000"/>
                <w:sz w:val="24"/>
                <w:szCs w:val="24"/>
              </w:rPr>
              <w:t>Las disposiciones constitucionales y legales en la materia establecen los dos supuestos generales para clasificar la información: por reserva y por confidencialidad.</w:t>
            </w:r>
          </w:p>
          <w:p w:rsidR="00202676" w:rsidRPr="00A72110" w:rsidRDefault="003F0206">
            <w:pPr>
              <w:spacing w:line="360" w:lineRule="auto"/>
              <w:ind w:right="-127"/>
              <w:jc w:val="both"/>
              <w:rPr>
                <w:rFonts w:ascii="Palatino Linotype" w:eastAsia="Palatino Linotype" w:hAnsi="Palatino Linotype" w:cs="Palatino Linotype"/>
                <w:color w:val="000000"/>
                <w:sz w:val="24"/>
                <w:szCs w:val="24"/>
              </w:rPr>
            </w:pPr>
            <w:r w:rsidRPr="00A72110">
              <w:rPr>
                <w:rFonts w:ascii="Palatino Linotype" w:eastAsia="Palatino Linotype" w:hAnsi="Palatino Linotype" w:cs="Palatino Linotype"/>
                <w:color w:val="000000"/>
                <w:sz w:val="24"/>
                <w:szCs w:val="24"/>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w:t>
            </w:r>
            <w:r w:rsidRPr="00A72110">
              <w:rPr>
                <w:rFonts w:ascii="Palatino Linotype" w:eastAsia="Palatino Linotype" w:hAnsi="Palatino Linotype" w:cs="Palatino Linotype"/>
                <w:color w:val="000000"/>
                <w:sz w:val="24"/>
                <w:szCs w:val="24"/>
              </w:rPr>
              <w:lastRenderedPageBreak/>
              <w:t>pueden ampliar las excepciones o supuestos de clasificación aduciendo analogía o mayoría de razón.</w:t>
            </w:r>
          </w:p>
          <w:p w:rsidR="00202676" w:rsidRPr="00A72110" w:rsidRDefault="003F0206">
            <w:pPr>
              <w:spacing w:line="360" w:lineRule="auto"/>
              <w:ind w:right="-127"/>
              <w:jc w:val="both"/>
              <w:rPr>
                <w:rFonts w:ascii="Palatino Linotype" w:eastAsia="Palatino Linotype" w:hAnsi="Palatino Linotype" w:cs="Palatino Linotype"/>
                <w:sz w:val="24"/>
                <w:szCs w:val="24"/>
              </w:rPr>
            </w:pPr>
            <w:r w:rsidRPr="00A72110">
              <w:rPr>
                <w:rFonts w:ascii="Palatino Linotype" w:eastAsia="Palatino Linotype" w:hAnsi="Palatino Linotype" w:cs="Palatino Linotype"/>
                <w:color w:val="000000"/>
                <w:sz w:val="24"/>
                <w:szCs w:val="24"/>
              </w:rPr>
              <w:t>El Sujeto Obligado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202676" w:rsidRPr="00A72110">
        <w:tc>
          <w:tcPr>
            <w:tcW w:w="3135" w:type="dxa"/>
            <w:tcBorders>
              <w:top w:val="single" w:sz="4" w:space="0" w:color="BFBFBF"/>
              <w:left w:val="single" w:sz="4" w:space="0" w:color="BFBFBF"/>
              <w:bottom w:val="single" w:sz="4" w:space="0" w:color="BFBFBF"/>
              <w:right w:val="single" w:sz="4" w:space="0" w:color="BFBFBF"/>
            </w:tcBorders>
          </w:tcPr>
          <w:p w:rsidR="00202676" w:rsidRPr="00A72110" w:rsidRDefault="003F0206">
            <w:pPr>
              <w:spacing w:line="360" w:lineRule="auto"/>
              <w:ind w:right="-127"/>
              <w:rPr>
                <w:rFonts w:ascii="Palatino Linotype" w:eastAsia="Palatino Linotype" w:hAnsi="Palatino Linotype" w:cs="Palatino Linotype"/>
                <w:sz w:val="24"/>
                <w:szCs w:val="24"/>
              </w:rPr>
            </w:pPr>
            <w:r w:rsidRPr="00A72110">
              <w:rPr>
                <w:rFonts w:ascii="Palatino Linotype" w:eastAsia="Palatino Linotype" w:hAnsi="Palatino Linotype" w:cs="Palatino Linotype"/>
                <w:sz w:val="24"/>
                <w:szCs w:val="24"/>
              </w:rPr>
              <w:lastRenderedPageBreak/>
              <w:t>c) Formalidades para emitir el acuerdo de clasificación.</w:t>
            </w:r>
          </w:p>
        </w:tc>
        <w:tc>
          <w:tcPr>
            <w:tcW w:w="6720" w:type="dxa"/>
            <w:tcBorders>
              <w:top w:val="single" w:sz="4" w:space="0" w:color="BFBFBF"/>
              <w:left w:val="single" w:sz="4" w:space="0" w:color="BFBFBF"/>
              <w:bottom w:val="single" w:sz="4" w:space="0" w:color="BFBFBF"/>
              <w:right w:val="single" w:sz="4" w:space="0" w:color="BFBFBF"/>
            </w:tcBorders>
          </w:tcPr>
          <w:p w:rsidR="00202676" w:rsidRPr="00A72110" w:rsidRDefault="003F0206">
            <w:pPr>
              <w:spacing w:line="360" w:lineRule="auto"/>
              <w:ind w:right="-127"/>
              <w:jc w:val="both"/>
              <w:rPr>
                <w:rFonts w:ascii="Palatino Linotype" w:eastAsia="Palatino Linotype" w:hAnsi="Palatino Linotype" w:cs="Palatino Linotype"/>
                <w:color w:val="000000"/>
                <w:sz w:val="24"/>
                <w:szCs w:val="24"/>
              </w:rPr>
            </w:pPr>
            <w:r w:rsidRPr="00A72110">
              <w:rPr>
                <w:rFonts w:ascii="Palatino Linotype" w:eastAsia="Palatino Linotype" w:hAnsi="Palatino Linotype" w:cs="Palatino Linotype"/>
                <w:color w:val="000000"/>
                <w:sz w:val="24"/>
                <w:szCs w:val="24"/>
              </w:rPr>
              <w:t xml:space="preserve">El Comité de Transparencia, según lo dispuesto en los artículos cuenta con las facultades para aprobar, modificar o revocar la clasificación de la información que haya propuesto. </w:t>
            </w:r>
          </w:p>
          <w:p w:rsidR="00202676" w:rsidRPr="00A72110" w:rsidRDefault="003F0206">
            <w:pPr>
              <w:spacing w:line="360" w:lineRule="auto"/>
              <w:ind w:right="-127"/>
              <w:jc w:val="both"/>
              <w:rPr>
                <w:rFonts w:ascii="Palatino Linotype" w:eastAsia="Palatino Linotype" w:hAnsi="Palatino Linotype" w:cs="Palatino Linotype"/>
                <w:color w:val="000000"/>
                <w:sz w:val="24"/>
                <w:szCs w:val="24"/>
              </w:rPr>
            </w:pPr>
            <w:r w:rsidRPr="00A72110">
              <w:rPr>
                <w:rFonts w:ascii="Palatino Linotype" w:eastAsia="Palatino Linotype" w:hAnsi="Palatino Linotype" w:cs="Palatino Linotype"/>
                <w:color w:val="000000"/>
                <w:sz w:val="24"/>
                <w:szCs w:val="24"/>
              </w:rPr>
              <w:t xml:space="preserve">Es necesario que </w:t>
            </w:r>
            <w:r w:rsidRPr="00A72110">
              <w:rPr>
                <w:rFonts w:ascii="Palatino Linotype" w:eastAsia="Palatino Linotype" w:hAnsi="Palatino Linotype" w:cs="Palatino Linotype"/>
                <w:color w:val="000000"/>
                <w:sz w:val="24"/>
                <w:szCs w:val="24"/>
                <w:u w:val="single"/>
              </w:rPr>
              <w:t>el acto reúna con los requisitos elementales</w:t>
            </w:r>
            <w:r w:rsidRPr="00A72110">
              <w:rPr>
                <w:rFonts w:ascii="Palatino Linotype" w:eastAsia="Palatino Linotype" w:hAnsi="Palatino Linotype" w:cs="Palatino Linotype"/>
                <w:color w:val="000000"/>
                <w:sz w:val="24"/>
                <w:szCs w:val="24"/>
              </w:rPr>
              <w:t>, entre ellos, que la autoridad que va a emitir el acto de autoridad sea la legalmente facultada para ello.</w:t>
            </w:r>
          </w:p>
          <w:p w:rsidR="00202676" w:rsidRPr="00A72110" w:rsidRDefault="003F0206">
            <w:pPr>
              <w:spacing w:line="360" w:lineRule="auto"/>
              <w:ind w:right="-127"/>
              <w:jc w:val="both"/>
              <w:rPr>
                <w:rFonts w:ascii="Palatino Linotype" w:eastAsia="Palatino Linotype" w:hAnsi="Palatino Linotype" w:cs="Palatino Linotype"/>
                <w:sz w:val="24"/>
                <w:szCs w:val="24"/>
              </w:rPr>
            </w:pPr>
            <w:r w:rsidRPr="00A72110">
              <w:rPr>
                <w:rFonts w:ascii="Palatino Linotype" w:eastAsia="Palatino Linotype" w:hAnsi="Palatino Linotype" w:cs="Palatino Linotype"/>
                <w:color w:val="000000"/>
                <w:sz w:val="24"/>
                <w:szCs w:val="24"/>
              </w:rPr>
              <w:t xml:space="preserve">La decisión de aprobar, modificar o revocar la clasificación deberá de asentarse en un documento que registre la determinación a la que se llegue después de un análisis minucioso a partir de lo propuesto por el Titular del I. </w:t>
            </w:r>
            <w:r w:rsidRPr="00A72110">
              <w:rPr>
                <w:rFonts w:ascii="Palatino Linotype" w:eastAsia="Palatino Linotype" w:hAnsi="Palatino Linotype" w:cs="Palatino Linotype"/>
                <w:sz w:val="24"/>
                <w:szCs w:val="24"/>
              </w:rPr>
              <w:t>El área</w:t>
            </w:r>
            <w:r w:rsidRPr="00A72110">
              <w:rPr>
                <w:rFonts w:ascii="Palatino Linotype" w:eastAsia="Palatino Linotype" w:hAnsi="Palatino Linotype" w:cs="Palatino Linotype"/>
                <w:color w:val="000000"/>
                <w:sz w:val="24"/>
                <w:szCs w:val="24"/>
              </w:rPr>
              <w:t xml:space="preserve">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202676" w:rsidRPr="00A72110">
        <w:tc>
          <w:tcPr>
            <w:tcW w:w="3135" w:type="dxa"/>
            <w:tcBorders>
              <w:top w:val="single" w:sz="4" w:space="0" w:color="BFBFBF"/>
              <w:left w:val="single" w:sz="4" w:space="0" w:color="BFBFBF"/>
              <w:bottom w:val="single" w:sz="4" w:space="0" w:color="BFBFBF"/>
              <w:right w:val="single" w:sz="4" w:space="0" w:color="BFBFBF"/>
            </w:tcBorders>
          </w:tcPr>
          <w:p w:rsidR="00202676" w:rsidRPr="00A72110" w:rsidRDefault="00202676">
            <w:pPr>
              <w:spacing w:line="360" w:lineRule="auto"/>
              <w:ind w:right="-127"/>
              <w:rPr>
                <w:rFonts w:ascii="Palatino Linotype" w:eastAsia="Palatino Linotype" w:hAnsi="Palatino Linotype" w:cs="Palatino Linotype"/>
                <w:sz w:val="24"/>
                <w:szCs w:val="24"/>
              </w:rPr>
            </w:pPr>
          </w:p>
          <w:p w:rsidR="00202676" w:rsidRPr="00A72110" w:rsidRDefault="003F0206">
            <w:pPr>
              <w:spacing w:line="360" w:lineRule="auto"/>
              <w:ind w:right="-127"/>
              <w:jc w:val="both"/>
              <w:rPr>
                <w:rFonts w:ascii="Palatino Linotype" w:eastAsia="Palatino Linotype" w:hAnsi="Palatino Linotype" w:cs="Palatino Linotype"/>
                <w:sz w:val="24"/>
                <w:szCs w:val="24"/>
              </w:rPr>
            </w:pPr>
            <w:r w:rsidRPr="00A72110">
              <w:rPr>
                <w:rFonts w:ascii="Palatino Linotype" w:eastAsia="Palatino Linotype" w:hAnsi="Palatino Linotype" w:cs="Palatino Linotype"/>
                <w:color w:val="000000"/>
                <w:sz w:val="24"/>
                <w:szCs w:val="24"/>
              </w:rPr>
              <w:t xml:space="preserve">d) Requisitos de fondo del acuerdo de clasificación. </w:t>
            </w:r>
          </w:p>
        </w:tc>
        <w:tc>
          <w:tcPr>
            <w:tcW w:w="6720" w:type="dxa"/>
            <w:tcBorders>
              <w:top w:val="single" w:sz="4" w:space="0" w:color="BFBFBF"/>
              <w:left w:val="single" w:sz="4" w:space="0" w:color="BFBFBF"/>
              <w:bottom w:val="single" w:sz="4" w:space="0" w:color="BFBFBF"/>
              <w:right w:val="single" w:sz="4" w:space="0" w:color="BFBFBF"/>
            </w:tcBorders>
          </w:tcPr>
          <w:p w:rsidR="00202676" w:rsidRPr="00A72110" w:rsidRDefault="003F0206">
            <w:pPr>
              <w:spacing w:line="360" w:lineRule="auto"/>
              <w:ind w:right="-127"/>
              <w:jc w:val="both"/>
              <w:rPr>
                <w:rFonts w:ascii="Palatino Linotype" w:eastAsia="Palatino Linotype" w:hAnsi="Palatino Linotype" w:cs="Palatino Linotype"/>
                <w:color w:val="000000"/>
                <w:sz w:val="24"/>
                <w:szCs w:val="24"/>
              </w:rPr>
            </w:pPr>
            <w:r w:rsidRPr="00A72110">
              <w:rPr>
                <w:rFonts w:ascii="Palatino Linotype" w:eastAsia="Palatino Linotype" w:hAnsi="Palatino Linotype" w:cs="Palatino Linotype"/>
                <w:color w:val="000000"/>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Sujetos Obligados, por lo que deberán fundar y motivar debidamente la clasificación. </w:t>
            </w:r>
          </w:p>
          <w:p w:rsidR="00202676" w:rsidRPr="00A72110" w:rsidRDefault="003F0206">
            <w:pPr>
              <w:spacing w:line="360" w:lineRule="auto"/>
              <w:ind w:right="-127"/>
              <w:jc w:val="both"/>
              <w:rPr>
                <w:rFonts w:ascii="Palatino Linotype" w:eastAsia="Palatino Linotype" w:hAnsi="Palatino Linotype" w:cs="Palatino Linotype"/>
                <w:color w:val="000000"/>
                <w:sz w:val="24"/>
                <w:szCs w:val="24"/>
              </w:rPr>
            </w:pPr>
            <w:r w:rsidRPr="00A72110">
              <w:rPr>
                <w:rFonts w:ascii="Palatino Linotype" w:eastAsia="Palatino Linotype" w:hAnsi="Palatino Linotype" w:cs="Palatino Linotype"/>
                <w:color w:val="000000"/>
                <w:sz w:val="24"/>
                <w:szCs w:val="24"/>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02676" w:rsidRPr="00A72110" w:rsidRDefault="003F0206">
            <w:pPr>
              <w:spacing w:line="360" w:lineRule="auto"/>
              <w:ind w:right="-127"/>
              <w:jc w:val="both"/>
              <w:rPr>
                <w:rFonts w:ascii="Palatino Linotype" w:eastAsia="Palatino Linotype" w:hAnsi="Palatino Linotype" w:cs="Palatino Linotype"/>
                <w:color w:val="000000"/>
                <w:sz w:val="24"/>
                <w:szCs w:val="24"/>
              </w:rPr>
            </w:pPr>
            <w:r w:rsidRPr="00A72110">
              <w:rPr>
                <w:rFonts w:ascii="Palatino Linotype" w:eastAsia="Palatino Linotype" w:hAnsi="Palatino Linotype" w:cs="Palatino Linotype"/>
                <w:color w:val="000000"/>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202676" w:rsidRPr="00A72110" w:rsidRDefault="003F0206">
            <w:pPr>
              <w:spacing w:line="360" w:lineRule="auto"/>
              <w:ind w:right="-127"/>
              <w:jc w:val="both"/>
              <w:rPr>
                <w:rFonts w:ascii="Palatino Linotype" w:eastAsia="Palatino Linotype" w:hAnsi="Palatino Linotype" w:cs="Palatino Linotype"/>
                <w:color w:val="000000"/>
                <w:sz w:val="24"/>
                <w:szCs w:val="24"/>
              </w:rPr>
            </w:pPr>
            <w:r w:rsidRPr="00A72110">
              <w:rPr>
                <w:rFonts w:ascii="Palatino Linotype" w:eastAsia="Palatino Linotype" w:hAnsi="Palatino Linotype" w:cs="Palatino Linotype"/>
                <w:color w:val="000000"/>
                <w:sz w:val="24"/>
                <w:szCs w:val="24"/>
              </w:rPr>
              <w:lastRenderedPageBreak/>
              <w:t>En ese mismo sentido, el numeral trigésimo tercero fracción V de los Lineamientos Generales, precisa que para motivar la clasificación se deben acreditar las circunstancias de tiempo, modo y lugar.</w:t>
            </w:r>
          </w:p>
          <w:p w:rsidR="00202676" w:rsidRPr="00A72110" w:rsidRDefault="003F0206">
            <w:pPr>
              <w:spacing w:line="360" w:lineRule="auto"/>
              <w:ind w:right="-127"/>
              <w:jc w:val="both"/>
              <w:rPr>
                <w:rFonts w:ascii="Palatino Linotype" w:eastAsia="Palatino Linotype" w:hAnsi="Palatino Linotype" w:cs="Palatino Linotype"/>
                <w:color w:val="000000"/>
                <w:sz w:val="24"/>
                <w:szCs w:val="24"/>
              </w:rPr>
            </w:pPr>
            <w:r w:rsidRPr="00A72110">
              <w:rPr>
                <w:rFonts w:ascii="Palatino Linotype" w:eastAsia="Palatino Linotype" w:hAnsi="Palatino Linotype" w:cs="Palatino Linotype"/>
                <w:color w:val="000000"/>
                <w:sz w:val="24"/>
                <w:szCs w:val="24"/>
              </w:rPr>
              <w:t xml:space="preserve">Ahora bien, </w:t>
            </w:r>
            <w:r w:rsidRPr="00A72110">
              <w:rPr>
                <w:rFonts w:ascii="Palatino Linotype" w:eastAsia="Palatino Linotype" w:hAnsi="Palatino Linotype" w:cs="Palatino Linotype"/>
                <w:color w:val="000000"/>
                <w:sz w:val="24"/>
                <w:szCs w:val="24"/>
                <w:u w:val="single"/>
              </w:rPr>
              <w:t>para cada caso además de fundar y motivar</w:t>
            </w:r>
            <w:r w:rsidRPr="00A72110">
              <w:rPr>
                <w:rFonts w:ascii="Palatino Linotype" w:eastAsia="Palatino Linotype" w:hAnsi="Palatino Linotype" w:cs="Palatino Linotype"/>
                <w:color w:val="000000"/>
                <w:sz w:val="24"/>
                <w:szCs w:val="24"/>
              </w:rPr>
              <w:t xml:space="preserve">, se debe identificar con claridad </w:t>
            </w:r>
            <w:r w:rsidRPr="00A72110">
              <w:rPr>
                <w:rFonts w:ascii="Palatino Linotype" w:eastAsia="Palatino Linotype" w:hAnsi="Palatino Linotype" w:cs="Palatino Linotype"/>
                <w:sz w:val="24"/>
                <w:szCs w:val="24"/>
              </w:rPr>
              <w:t>qué</w:t>
            </w:r>
            <w:r w:rsidRPr="00A72110">
              <w:rPr>
                <w:rFonts w:ascii="Palatino Linotype" w:eastAsia="Palatino Linotype" w:hAnsi="Palatino Linotype" w:cs="Palatino Linotype"/>
                <w:color w:val="000000"/>
                <w:sz w:val="24"/>
                <w:szCs w:val="24"/>
              </w:rPr>
              <w:t xml:space="preserv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202676" w:rsidRPr="00A72110">
        <w:tc>
          <w:tcPr>
            <w:tcW w:w="3135" w:type="dxa"/>
            <w:tcBorders>
              <w:top w:val="single" w:sz="4" w:space="0" w:color="BFBFBF"/>
              <w:left w:val="single" w:sz="4" w:space="0" w:color="BFBFBF"/>
              <w:bottom w:val="single" w:sz="4" w:space="0" w:color="BFBFBF"/>
              <w:right w:val="single" w:sz="4" w:space="0" w:color="BFBFBF"/>
            </w:tcBorders>
          </w:tcPr>
          <w:p w:rsidR="00202676" w:rsidRPr="00A72110" w:rsidRDefault="003F0206">
            <w:pPr>
              <w:spacing w:line="360" w:lineRule="auto"/>
              <w:ind w:right="-127"/>
              <w:jc w:val="both"/>
              <w:rPr>
                <w:rFonts w:ascii="Palatino Linotype" w:eastAsia="Palatino Linotype" w:hAnsi="Palatino Linotype" w:cs="Palatino Linotype"/>
                <w:sz w:val="24"/>
                <w:szCs w:val="24"/>
              </w:rPr>
            </w:pPr>
            <w:r w:rsidRPr="00A72110">
              <w:rPr>
                <w:rFonts w:ascii="Palatino Linotype" w:eastAsia="Palatino Linotype" w:hAnsi="Palatino Linotype" w:cs="Palatino Linotype"/>
                <w:sz w:val="24"/>
                <w:szCs w:val="24"/>
              </w:rPr>
              <w:lastRenderedPageBreak/>
              <w:t xml:space="preserve">e) Condiciones especiales de la clasificación de la información como confidencial. </w:t>
            </w:r>
          </w:p>
        </w:tc>
        <w:tc>
          <w:tcPr>
            <w:tcW w:w="6720" w:type="dxa"/>
            <w:tcBorders>
              <w:top w:val="single" w:sz="4" w:space="0" w:color="BFBFBF"/>
              <w:left w:val="single" w:sz="4" w:space="0" w:color="BFBFBF"/>
              <w:bottom w:val="single" w:sz="4" w:space="0" w:color="BFBFBF"/>
              <w:right w:val="single" w:sz="4" w:space="0" w:color="BFBFBF"/>
            </w:tcBorders>
          </w:tcPr>
          <w:p w:rsidR="00202676" w:rsidRPr="00A72110" w:rsidRDefault="003F0206">
            <w:pPr>
              <w:spacing w:line="360" w:lineRule="auto"/>
              <w:ind w:right="-127"/>
              <w:jc w:val="both"/>
              <w:rPr>
                <w:rFonts w:ascii="Palatino Linotype" w:eastAsia="Palatino Linotype" w:hAnsi="Palatino Linotype" w:cs="Palatino Linotype"/>
                <w:color w:val="000000"/>
                <w:sz w:val="24"/>
                <w:szCs w:val="24"/>
              </w:rPr>
            </w:pPr>
            <w:r w:rsidRPr="00A72110">
              <w:rPr>
                <w:rFonts w:ascii="Palatino Linotype" w:eastAsia="Palatino Linotype" w:hAnsi="Palatino Linotype" w:cs="Palatino Linotype"/>
                <w:color w:val="000000"/>
                <w:sz w:val="24"/>
                <w:szCs w:val="24"/>
              </w:rPr>
              <w:t xml:space="preserve">Los artículos 148 y 120 de la Ley Estatal y de la Ley General, respectivamente, establecen que aun tratándose de datos personales, se podrán proporcionar, incluso sin solicitar el consentimiento de su titular. </w:t>
            </w:r>
          </w:p>
          <w:p w:rsidR="00202676" w:rsidRPr="00A72110" w:rsidRDefault="003F0206">
            <w:pPr>
              <w:spacing w:line="360" w:lineRule="auto"/>
              <w:ind w:right="-127"/>
              <w:jc w:val="both"/>
              <w:rPr>
                <w:rFonts w:ascii="Palatino Linotype" w:eastAsia="Palatino Linotype" w:hAnsi="Palatino Linotype" w:cs="Palatino Linotype"/>
                <w:color w:val="000000"/>
                <w:sz w:val="24"/>
                <w:szCs w:val="24"/>
              </w:rPr>
            </w:pPr>
            <w:r w:rsidRPr="00A72110">
              <w:rPr>
                <w:rFonts w:ascii="Palatino Linotype" w:eastAsia="Palatino Linotype" w:hAnsi="Palatino Linotype" w:cs="Palatino Linotype"/>
                <w:color w:val="000000"/>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02676" w:rsidRPr="00A72110" w:rsidRDefault="003F0206">
            <w:pPr>
              <w:spacing w:line="360" w:lineRule="auto"/>
              <w:ind w:right="-127"/>
              <w:rPr>
                <w:rFonts w:ascii="Palatino Linotype" w:eastAsia="Palatino Linotype" w:hAnsi="Palatino Linotype" w:cs="Palatino Linotype"/>
                <w:sz w:val="24"/>
                <w:szCs w:val="24"/>
              </w:rPr>
            </w:pPr>
            <w:r w:rsidRPr="00A72110">
              <w:rPr>
                <w:rFonts w:ascii="Palatino Linotype" w:eastAsia="Palatino Linotype" w:hAnsi="Palatino Linotype" w:cs="Palatino Linotype"/>
                <w:color w:val="000000"/>
                <w:sz w:val="24"/>
                <w:szCs w:val="24"/>
              </w:rPr>
              <w:t xml:space="preserve">Pero si la información que se pretende clasificar como confidencial no se encuentra en los supuestos de los artículos señalados y es posible, se deberá consultar al titular de los </w:t>
            </w:r>
            <w:r w:rsidRPr="00A72110">
              <w:rPr>
                <w:rFonts w:ascii="Palatino Linotype" w:eastAsia="Palatino Linotype" w:hAnsi="Palatino Linotype" w:cs="Palatino Linotype"/>
                <w:color w:val="000000"/>
                <w:sz w:val="24"/>
                <w:szCs w:val="24"/>
              </w:rPr>
              <w:lastRenderedPageBreak/>
              <w:t>datos si permite o no el acceso. De no ser posible, la realización de la consulta, procede, fundando y motivando, la clasificación.</w:t>
            </w:r>
          </w:p>
        </w:tc>
      </w:tr>
    </w:tbl>
    <w:p w:rsidR="00202676" w:rsidRPr="00A72110" w:rsidRDefault="00202676">
      <w:pPr>
        <w:pBdr>
          <w:top w:val="nil"/>
          <w:left w:val="nil"/>
          <w:bottom w:val="nil"/>
          <w:right w:val="nil"/>
          <w:between w:val="nil"/>
        </w:pBdr>
        <w:tabs>
          <w:tab w:val="left" w:pos="426"/>
          <w:tab w:val="left" w:pos="567"/>
        </w:tabs>
        <w:spacing w:line="360" w:lineRule="auto"/>
        <w:ind w:right="-269"/>
        <w:jc w:val="both"/>
        <w:rPr>
          <w:rFonts w:ascii="Palatino Linotype" w:eastAsia="Palatino Linotype" w:hAnsi="Palatino Linotype" w:cs="Palatino Linotype"/>
          <w:color w:val="000000"/>
          <w:sz w:val="24"/>
          <w:szCs w:val="24"/>
        </w:rPr>
      </w:pPr>
    </w:p>
    <w:p w:rsidR="00202676" w:rsidRPr="00A72110" w:rsidRDefault="003F0206">
      <w:pPr>
        <w:numPr>
          <w:ilvl w:val="0"/>
          <w:numId w:val="4"/>
        </w:numPr>
        <w:pBdr>
          <w:top w:val="nil"/>
          <w:left w:val="nil"/>
          <w:bottom w:val="nil"/>
          <w:right w:val="nil"/>
          <w:between w:val="nil"/>
        </w:pBdr>
        <w:tabs>
          <w:tab w:val="left" w:pos="426"/>
          <w:tab w:val="left" w:pos="567"/>
        </w:tabs>
        <w:spacing w:after="0" w:line="360" w:lineRule="auto"/>
        <w:ind w:left="0" w:right="-269" w:firstLine="0"/>
        <w:jc w:val="both"/>
        <w:rPr>
          <w:color w:val="000000"/>
          <w:sz w:val="24"/>
          <w:szCs w:val="24"/>
        </w:rPr>
      </w:pPr>
      <w:bookmarkStart w:id="3" w:name="_heading=h.4d34og8" w:colFirst="0" w:colLast="0"/>
      <w:bookmarkEnd w:id="3"/>
      <w:r w:rsidRPr="00A72110">
        <w:rPr>
          <w:rFonts w:ascii="Palatino Linotype" w:eastAsia="Palatino Linotype" w:hAnsi="Palatino Linotype" w:cs="Palatino Linotype"/>
          <w:color w:val="000000"/>
          <w:sz w:val="24"/>
          <w:szCs w:val="24"/>
        </w:rPr>
        <w:t xml:space="preserve">Por lo anteriormente expuesto y fundado, este </w:t>
      </w:r>
      <w:r w:rsidRPr="00A72110">
        <w:rPr>
          <w:rFonts w:ascii="Palatino Linotype" w:eastAsia="Palatino Linotype" w:hAnsi="Palatino Linotype" w:cs="Palatino Linotype"/>
          <w:b/>
          <w:bCs/>
          <w:color w:val="000000"/>
          <w:sz w:val="24"/>
          <w:szCs w:val="24"/>
        </w:rPr>
        <w:t>ÓRGANO GARANTE</w:t>
      </w:r>
      <w:r w:rsidRPr="00A72110">
        <w:rPr>
          <w:rFonts w:ascii="Palatino Linotype" w:eastAsia="Palatino Linotype" w:hAnsi="Palatino Linotype" w:cs="Palatino Linotype"/>
          <w:color w:val="000000"/>
          <w:sz w:val="24"/>
          <w:szCs w:val="24"/>
        </w:rPr>
        <w:t xml:space="preserve"> emite los siguientes:</w:t>
      </w:r>
    </w:p>
    <w:p w:rsidR="00202676" w:rsidRPr="00A72110" w:rsidRDefault="00202676">
      <w:pPr>
        <w:pBdr>
          <w:top w:val="nil"/>
          <w:left w:val="nil"/>
          <w:bottom w:val="nil"/>
          <w:right w:val="nil"/>
          <w:between w:val="nil"/>
        </w:pBdr>
        <w:tabs>
          <w:tab w:val="left" w:pos="426"/>
          <w:tab w:val="left" w:pos="567"/>
        </w:tabs>
        <w:spacing w:after="0" w:line="360" w:lineRule="auto"/>
        <w:ind w:right="-269"/>
        <w:jc w:val="both"/>
        <w:rPr>
          <w:rFonts w:ascii="Palatino Linotype" w:eastAsia="Palatino Linotype" w:hAnsi="Palatino Linotype" w:cs="Palatino Linotype"/>
          <w:color w:val="000000"/>
          <w:sz w:val="24"/>
          <w:szCs w:val="24"/>
        </w:rPr>
      </w:pPr>
      <w:bookmarkStart w:id="4" w:name="_heading=h.ak3r84kaecan" w:colFirst="0" w:colLast="0"/>
      <w:bookmarkEnd w:id="4"/>
    </w:p>
    <w:p w:rsidR="00202676" w:rsidRPr="00A72110" w:rsidRDefault="003F0206">
      <w:pPr>
        <w:pStyle w:val="Ttulo1"/>
        <w:spacing w:before="0" w:line="360" w:lineRule="auto"/>
        <w:ind w:right="-269"/>
        <w:jc w:val="center"/>
        <w:rPr>
          <w:rFonts w:ascii="Palatino Linotype" w:eastAsia="Palatino Linotype" w:hAnsi="Palatino Linotype" w:cs="Palatino Linotype"/>
          <w:b w:val="0"/>
          <w:bCs w:val="0"/>
          <w:color w:val="000000"/>
          <w:sz w:val="24"/>
          <w:szCs w:val="24"/>
        </w:rPr>
      </w:pPr>
      <w:bookmarkStart w:id="5" w:name="_heading=h.2s8eyo1" w:colFirst="0" w:colLast="0"/>
      <w:bookmarkEnd w:id="5"/>
      <w:r w:rsidRPr="00A72110">
        <w:rPr>
          <w:rFonts w:ascii="Palatino Linotype" w:eastAsia="Palatino Linotype" w:hAnsi="Palatino Linotype" w:cs="Palatino Linotype"/>
          <w:color w:val="000000"/>
          <w:sz w:val="24"/>
          <w:szCs w:val="24"/>
        </w:rPr>
        <w:t>R E S O L U T I V O S</w:t>
      </w:r>
    </w:p>
    <w:p w:rsidR="00202676" w:rsidRPr="00A72110" w:rsidRDefault="00202676">
      <w:pPr>
        <w:ind w:right="-269"/>
        <w:rPr>
          <w:rFonts w:ascii="Palatino Linotype" w:eastAsia="Palatino Linotype" w:hAnsi="Palatino Linotype" w:cs="Palatino Linotype"/>
          <w:sz w:val="24"/>
          <w:szCs w:val="24"/>
        </w:rPr>
      </w:pPr>
    </w:p>
    <w:p w:rsidR="00202676" w:rsidRPr="00A72110" w:rsidRDefault="003F0206">
      <w:pPr>
        <w:spacing w:line="360" w:lineRule="auto"/>
        <w:ind w:right="-269"/>
        <w:jc w:val="both"/>
        <w:rPr>
          <w:rFonts w:ascii="Palatino Linotype" w:eastAsia="Palatino Linotype" w:hAnsi="Palatino Linotype" w:cs="Palatino Linotype"/>
          <w:sz w:val="24"/>
          <w:szCs w:val="24"/>
        </w:rPr>
      </w:pPr>
      <w:r w:rsidRPr="00A72110">
        <w:rPr>
          <w:rFonts w:ascii="Palatino Linotype" w:eastAsia="Palatino Linotype" w:hAnsi="Palatino Linotype" w:cs="Palatino Linotype"/>
          <w:b/>
          <w:bCs/>
          <w:sz w:val="24"/>
          <w:szCs w:val="24"/>
        </w:rPr>
        <w:t xml:space="preserve">PRIMERO. </w:t>
      </w:r>
      <w:r w:rsidRPr="00A72110">
        <w:rPr>
          <w:rFonts w:ascii="Palatino Linotype" w:eastAsia="Palatino Linotype" w:hAnsi="Palatino Linotype" w:cs="Palatino Linotype"/>
          <w:sz w:val="24"/>
          <w:szCs w:val="24"/>
        </w:rPr>
        <w:t>Resultan fundadas las</w:t>
      </w:r>
      <w:r w:rsidRPr="00A72110">
        <w:rPr>
          <w:rFonts w:ascii="Palatino Linotype" w:eastAsia="Palatino Linotype" w:hAnsi="Palatino Linotype" w:cs="Palatino Linotype"/>
          <w:b/>
          <w:bCs/>
          <w:sz w:val="24"/>
          <w:szCs w:val="24"/>
        </w:rPr>
        <w:t xml:space="preserve"> </w:t>
      </w:r>
      <w:r w:rsidRPr="00A72110">
        <w:rPr>
          <w:rFonts w:ascii="Palatino Linotype" w:eastAsia="Palatino Linotype" w:hAnsi="Palatino Linotype" w:cs="Palatino Linotype"/>
          <w:sz w:val="24"/>
          <w:szCs w:val="24"/>
        </w:rPr>
        <w:t>razones o motivos de inconformidad hechos valer en el recurso de revisión</w:t>
      </w:r>
      <w:r w:rsidRPr="00A72110">
        <w:rPr>
          <w:rFonts w:ascii="Palatino Linotype" w:eastAsia="Palatino Linotype" w:hAnsi="Palatino Linotype" w:cs="Palatino Linotype"/>
          <w:b/>
          <w:bCs/>
          <w:sz w:val="24"/>
          <w:szCs w:val="24"/>
        </w:rPr>
        <w:t xml:space="preserve"> 00908/INFOEM/IP/RR/2026 </w:t>
      </w:r>
      <w:r w:rsidRPr="00A72110">
        <w:rPr>
          <w:rFonts w:ascii="Palatino Linotype" w:eastAsia="Palatino Linotype" w:hAnsi="Palatino Linotype" w:cs="Palatino Linotype"/>
          <w:sz w:val="24"/>
          <w:szCs w:val="24"/>
        </w:rPr>
        <w:t xml:space="preserve">en términos del </w:t>
      </w:r>
      <w:r w:rsidRPr="00A72110">
        <w:rPr>
          <w:rFonts w:ascii="Palatino Linotype" w:eastAsia="Palatino Linotype" w:hAnsi="Palatino Linotype" w:cs="Palatino Linotype"/>
          <w:b/>
          <w:bCs/>
          <w:sz w:val="24"/>
          <w:szCs w:val="24"/>
        </w:rPr>
        <w:t xml:space="preserve">Considerando CUARTO y QUINTO </w:t>
      </w:r>
      <w:r w:rsidRPr="00A72110">
        <w:rPr>
          <w:rFonts w:ascii="Palatino Linotype" w:eastAsia="Palatino Linotype" w:hAnsi="Palatino Linotype" w:cs="Palatino Linotype"/>
          <w:sz w:val="24"/>
          <w:szCs w:val="24"/>
        </w:rPr>
        <w:t>de la presente resolución.</w:t>
      </w:r>
    </w:p>
    <w:p w:rsidR="00202676" w:rsidRPr="00A72110" w:rsidRDefault="00202676">
      <w:pPr>
        <w:spacing w:line="360" w:lineRule="auto"/>
        <w:ind w:right="-269"/>
        <w:jc w:val="both"/>
        <w:rPr>
          <w:rFonts w:ascii="Palatino Linotype" w:eastAsia="Palatino Linotype" w:hAnsi="Palatino Linotype" w:cs="Palatino Linotype"/>
          <w:b/>
          <w:bCs/>
          <w:sz w:val="24"/>
          <w:szCs w:val="24"/>
        </w:rPr>
      </w:pPr>
    </w:p>
    <w:p w:rsidR="00202676" w:rsidRPr="00A72110" w:rsidRDefault="003F0206">
      <w:pPr>
        <w:spacing w:line="360" w:lineRule="auto"/>
        <w:ind w:right="-269"/>
        <w:jc w:val="both"/>
        <w:rPr>
          <w:rFonts w:ascii="Palatino Linotype" w:eastAsia="Palatino Linotype" w:hAnsi="Palatino Linotype" w:cs="Palatino Linotype"/>
          <w:sz w:val="24"/>
          <w:szCs w:val="24"/>
        </w:rPr>
      </w:pPr>
      <w:bookmarkStart w:id="6" w:name="_heading=h.17dp8vu" w:colFirst="0" w:colLast="0"/>
      <w:bookmarkEnd w:id="6"/>
      <w:r w:rsidRPr="00A72110">
        <w:rPr>
          <w:rFonts w:ascii="Palatino Linotype" w:eastAsia="Palatino Linotype" w:hAnsi="Palatino Linotype" w:cs="Palatino Linotype"/>
          <w:b/>
          <w:bCs/>
          <w:sz w:val="24"/>
          <w:szCs w:val="24"/>
        </w:rPr>
        <w:t>SEGUNDO.</w:t>
      </w:r>
      <w:r w:rsidRPr="00A72110">
        <w:rPr>
          <w:rFonts w:ascii="Palatino Linotype" w:eastAsia="Palatino Linotype" w:hAnsi="Palatino Linotype" w:cs="Palatino Linotype"/>
          <w:color w:val="2F5496"/>
          <w:sz w:val="24"/>
          <w:szCs w:val="24"/>
        </w:rPr>
        <w:t xml:space="preserve"> </w:t>
      </w:r>
      <w:r w:rsidRPr="00A72110">
        <w:rPr>
          <w:rFonts w:ascii="Palatino Linotype" w:eastAsia="Palatino Linotype" w:hAnsi="Palatino Linotype" w:cs="Palatino Linotype"/>
          <w:sz w:val="24"/>
          <w:szCs w:val="24"/>
        </w:rPr>
        <w:t>Se</w:t>
      </w:r>
      <w:r w:rsidRPr="00A72110">
        <w:rPr>
          <w:rFonts w:ascii="Palatino Linotype" w:eastAsia="Palatino Linotype" w:hAnsi="Palatino Linotype" w:cs="Palatino Linotype"/>
          <w:b/>
          <w:bCs/>
          <w:sz w:val="24"/>
          <w:szCs w:val="24"/>
        </w:rPr>
        <w:t xml:space="preserve"> ORDENA </w:t>
      </w:r>
      <w:r w:rsidRPr="00A72110">
        <w:rPr>
          <w:rFonts w:ascii="Palatino Linotype" w:eastAsia="Palatino Linotype" w:hAnsi="Palatino Linotype" w:cs="Palatino Linotype"/>
          <w:sz w:val="24"/>
          <w:szCs w:val="24"/>
        </w:rPr>
        <w:t xml:space="preserve">al </w:t>
      </w:r>
      <w:r w:rsidRPr="00A72110">
        <w:rPr>
          <w:rFonts w:ascii="Palatino Linotype" w:eastAsia="Palatino Linotype" w:hAnsi="Palatino Linotype" w:cs="Palatino Linotype"/>
          <w:b/>
          <w:bCs/>
          <w:sz w:val="24"/>
          <w:szCs w:val="24"/>
        </w:rPr>
        <w:t xml:space="preserve">Ayuntamiento de Tecámac, </w:t>
      </w:r>
      <w:r w:rsidRPr="00A72110">
        <w:rPr>
          <w:rFonts w:ascii="Palatino Linotype" w:eastAsia="Palatino Linotype" w:hAnsi="Palatino Linotype" w:cs="Palatino Linotype"/>
          <w:sz w:val="24"/>
          <w:szCs w:val="24"/>
        </w:rPr>
        <w:t xml:space="preserve">dar atención a la solicitud de información </w:t>
      </w:r>
      <w:r w:rsidRPr="00A72110">
        <w:rPr>
          <w:rFonts w:ascii="Palatino Linotype" w:eastAsia="Palatino Linotype" w:hAnsi="Palatino Linotype" w:cs="Palatino Linotype"/>
          <w:b/>
          <w:bCs/>
          <w:sz w:val="24"/>
          <w:szCs w:val="24"/>
        </w:rPr>
        <w:t xml:space="preserve">00289/TECAMAC/IP/2025, </w:t>
      </w:r>
      <w:r w:rsidRPr="00A72110">
        <w:rPr>
          <w:rFonts w:ascii="Palatino Linotype" w:eastAsia="Palatino Linotype" w:hAnsi="Palatino Linotype" w:cs="Palatino Linotype"/>
          <w:sz w:val="24"/>
          <w:szCs w:val="24"/>
        </w:rPr>
        <w:t xml:space="preserve">y entregar vía Sistema de Acceso a la Información Mexiquense </w:t>
      </w:r>
      <w:r w:rsidRPr="00A72110">
        <w:rPr>
          <w:rFonts w:ascii="Palatino Linotype" w:eastAsia="Palatino Linotype" w:hAnsi="Palatino Linotype" w:cs="Palatino Linotype"/>
          <w:b/>
          <w:bCs/>
          <w:sz w:val="24"/>
          <w:szCs w:val="24"/>
        </w:rPr>
        <w:t xml:space="preserve">(SAIMEX), </w:t>
      </w:r>
      <w:r w:rsidRPr="00A72110">
        <w:rPr>
          <w:rFonts w:ascii="Palatino Linotype" w:eastAsia="Palatino Linotype" w:hAnsi="Palatino Linotype" w:cs="Palatino Linotype"/>
          <w:sz w:val="24"/>
          <w:szCs w:val="24"/>
        </w:rPr>
        <w:t>de ser procedente en versión pública, la siguiente información:</w:t>
      </w:r>
    </w:p>
    <w:p w:rsidR="00202676" w:rsidRPr="00A72110" w:rsidRDefault="003F0206">
      <w:pPr>
        <w:numPr>
          <w:ilvl w:val="1"/>
          <w:numId w:val="4"/>
        </w:numPr>
        <w:pBdr>
          <w:top w:val="nil"/>
          <w:left w:val="nil"/>
          <w:bottom w:val="nil"/>
          <w:right w:val="nil"/>
          <w:between w:val="nil"/>
        </w:pBdr>
        <w:spacing w:after="0" w:line="360" w:lineRule="auto"/>
        <w:ind w:right="-269"/>
        <w:jc w:val="both"/>
        <w:rPr>
          <w:rFonts w:ascii="Palatino Linotype" w:eastAsia="Palatino Linotype" w:hAnsi="Palatino Linotype" w:cs="Palatino Linotype"/>
          <w:color w:val="000000"/>
          <w:sz w:val="24"/>
          <w:szCs w:val="24"/>
        </w:rPr>
      </w:pPr>
      <w:r w:rsidRPr="00A72110">
        <w:rPr>
          <w:rFonts w:ascii="Palatino Linotype" w:eastAsia="Palatino Linotype" w:hAnsi="Palatino Linotype" w:cs="Palatino Linotype"/>
          <w:b/>
          <w:bCs/>
          <w:color w:val="000000"/>
          <w:sz w:val="24"/>
          <w:szCs w:val="24"/>
        </w:rPr>
        <w:t xml:space="preserve">Contratos celebrados por el Sujeto Obligado durante el ejercicio fiscal 2025, en el que se incluyan sus anexos. </w:t>
      </w:r>
    </w:p>
    <w:p w:rsidR="00202676" w:rsidRPr="00A72110" w:rsidRDefault="00202676">
      <w:pPr>
        <w:pBdr>
          <w:top w:val="nil"/>
          <w:left w:val="nil"/>
          <w:bottom w:val="nil"/>
          <w:right w:val="nil"/>
          <w:between w:val="nil"/>
        </w:pBdr>
        <w:spacing w:after="0" w:line="360" w:lineRule="auto"/>
        <w:ind w:left="1440" w:right="-269"/>
        <w:jc w:val="both"/>
        <w:rPr>
          <w:rFonts w:ascii="Palatino Linotype" w:eastAsia="Palatino Linotype" w:hAnsi="Palatino Linotype" w:cs="Palatino Linotype"/>
          <w:color w:val="000000"/>
          <w:sz w:val="24"/>
          <w:szCs w:val="24"/>
        </w:rPr>
      </w:pPr>
    </w:p>
    <w:p w:rsidR="00202676" w:rsidRPr="00A72110" w:rsidRDefault="003F0206">
      <w:pPr>
        <w:spacing w:line="360" w:lineRule="auto"/>
        <w:ind w:right="-269"/>
        <w:jc w:val="both"/>
        <w:rPr>
          <w:rFonts w:ascii="Palatino Linotype" w:eastAsia="Palatino Linotype" w:hAnsi="Palatino Linotype" w:cs="Palatino Linotype"/>
          <w:sz w:val="24"/>
          <w:szCs w:val="24"/>
        </w:rPr>
      </w:pPr>
      <w:r w:rsidRPr="00A72110">
        <w:rPr>
          <w:rFonts w:ascii="Palatino Linotype" w:eastAsia="Palatino Linotype" w:hAnsi="Palatino Linotype" w:cs="Palatino Linotype"/>
          <w:sz w:val="24"/>
          <w:szCs w:val="24"/>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w:t>
      </w:r>
      <w:r w:rsidRPr="00A72110">
        <w:rPr>
          <w:rFonts w:ascii="Palatino Linotype" w:eastAsia="Palatino Linotype" w:hAnsi="Palatino Linotype" w:cs="Palatino Linotype"/>
          <w:sz w:val="24"/>
          <w:szCs w:val="24"/>
        </w:rPr>
        <w:lastRenderedPageBreak/>
        <w:t>razones sobre los datos que se supriman o eliminen dentro del soporte documental respectivo objeto de las versiones públicas que se formulen y se ponga a disposición del recurrente.</w:t>
      </w:r>
    </w:p>
    <w:p w:rsidR="00202676" w:rsidRPr="00A72110" w:rsidRDefault="00202676">
      <w:pPr>
        <w:spacing w:line="360" w:lineRule="auto"/>
        <w:ind w:right="-269"/>
        <w:jc w:val="both"/>
        <w:rPr>
          <w:rFonts w:ascii="Palatino Linotype" w:eastAsia="Palatino Linotype" w:hAnsi="Palatino Linotype" w:cs="Palatino Linotype"/>
          <w:sz w:val="24"/>
          <w:szCs w:val="24"/>
        </w:rPr>
      </w:pPr>
    </w:p>
    <w:p w:rsidR="00202676" w:rsidRPr="00A72110" w:rsidRDefault="003F0206">
      <w:pPr>
        <w:tabs>
          <w:tab w:val="left" w:pos="8080"/>
        </w:tabs>
        <w:spacing w:line="360" w:lineRule="auto"/>
        <w:ind w:right="-269"/>
        <w:jc w:val="both"/>
        <w:rPr>
          <w:rFonts w:ascii="Palatino Linotype" w:eastAsia="Palatino Linotype" w:hAnsi="Palatino Linotype" w:cs="Palatino Linotype"/>
          <w:sz w:val="24"/>
          <w:szCs w:val="24"/>
        </w:rPr>
      </w:pPr>
      <w:r w:rsidRPr="00A72110">
        <w:rPr>
          <w:rFonts w:ascii="Palatino Linotype" w:eastAsia="Palatino Linotype" w:hAnsi="Palatino Linotype" w:cs="Palatino Linotype"/>
          <w:b/>
          <w:bCs/>
          <w:sz w:val="24"/>
          <w:szCs w:val="24"/>
        </w:rPr>
        <w:t xml:space="preserve">TERCERO. </w:t>
      </w:r>
      <w:r w:rsidRPr="00A72110">
        <w:rPr>
          <w:rFonts w:ascii="Palatino Linotype" w:eastAsia="Palatino Linotype" w:hAnsi="Palatino Linotype" w:cs="Palatino Linotype"/>
          <w:b/>
          <w:bCs/>
          <w:color w:val="000000"/>
          <w:sz w:val="24"/>
          <w:szCs w:val="24"/>
        </w:rPr>
        <w:t>Notifíquese</w:t>
      </w:r>
      <w:r w:rsidRPr="00A72110">
        <w:rPr>
          <w:rFonts w:ascii="Palatino Linotype" w:eastAsia="Palatino Linotype" w:hAnsi="Palatino Linotype" w:cs="Palatino Linotype"/>
          <w:color w:val="000000"/>
          <w:sz w:val="24"/>
          <w:szCs w:val="24"/>
        </w:rPr>
        <w:t xml:space="preserve"> al </w:t>
      </w:r>
      <w:r w:rsidRPr="00A72110">
        <w:rPr>
          <w:rFonts w:ascii="Palatino Linotype" w:eastAsia="Palatino Linotype" w:hAnsi="Palatino Linotype" w:cs="Palatino Linotype"/>
          <w:color w:val="222222"/>
          <w:sz w:val="24"/>
          <w:szCs w:val="24"/>
        </w:rPr>
        <w:t xml:space="preserve">Titular de la Unidad de Transparencia del </w:t>
      </w:r>
      <w:r w:rsidRPr="00A72110">
        <w:rPr>
          <w:rFonts w:ascii="Palatino Linotype" w:eastAsia="Palatino Linotype" w:hAnsi="Palatino Linotype" w:cs="Palatino Linotype"/>
          <w:b/>
          <w:bCs/>
          <w:color w:val="222222"/>
          <w:sz w:val="24"/>
          <w:szCs w:val="24"/>
        </w:rPr>
        <w:t>SUJETO OBLIGADO</w:t>
      </w:r>
      <w:r w:rsidRPr="00A72110">
        <w:rPr>
          <w:rFonts w:ascii="Palatino Linotype" w:eastAsia="Palatino Linotype" w:hAnsi="Palatino Linotype" w:cs="Palatino Linotype"/>
          <w:color w:val="222222"/>
          <w:sz w:val="24"/>
          <w:szCs w:val="24"/>
        </w:rPr>
        <w:t xml:space="preserve">, vía SAIMEX, la presente resolución, para que conforme al artículo 186 último párrafo, 189 segundo párrafo y 194 de la Ley de Transparencia y Acceso a la Información Pública del Estado de México y Municipios </w:t>
      </w:r>
      <w:r w:rsidRPr="00A72110">
        <w:rPr>
          <w:rFonts w:ascii="Palatino Linotype" w:eastAsia="Palatino Linotype" w:hAnsi="Palatino Linotype" w:cs="Palatino Linotype"/>
          <w:b/>
          <w:bCs/>
          <w:color w:val="222222"/>
          <w:sz w:val="24"/>
          <w:szCs w:val="24"/>
        </w:rPr>
        <w:t>dé cumplimiento a lo ordenado dentro del plazo de diez días hábiles</w:t>
      </w:r>
      <w:r w:rsidRPr="00A72110">
        <w:rPr>
          <w:rFonts w:ascii="Palatino Linotype" w:eastAsia="Palatino Linotype" w:hAnsi="Palatino Linotype" w:cs="Palatino Linotype"/>
          <w:color w:val="222222"/>
          <w:sz w:val="24"/>
          <w:szCs w:val="24"/>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A72110">
        <w:rPr>
          <w:rFonts w:ascii="Palatino Linotype" w:eastAsia="Palatino Linotype" w:hAnsi="Palatino Linotype" w:cs="Palatino Linotype"/>
          <w:sz w:val="24"/>
          <w:szCs w:val="24"/>
        </w:rPr>
        <w:t>.</w:t>
      </w:r>
    </w:p>
    <w:p w:rsidR="00211F7D" w:rsidRPr="00A72110" w:rsidRDefault="00211F7D">
      <w:pPr>
        <w:tabs>
          <w:tab w:val="left" w:pos="8080"/>
        </w:tabs>
        <w:spacing w:line="360" w:lineRule="auto"/>
        <w:ind w:right="-269"/>
        <w:jc w:val="both"/>
        <w:rPr>
          <w:rFonts w:ascii="Palatino Linotype" w:eastAsia="Palatino Linotype" w:hAnsi="Palatino Linotype" w:cs="Palatino Linotype"/>
          <w:b/>
          <w:bCs/>
          <w:sz w:val="24"/>
          <w:szCs w:val="24"/>
        </w:rPr>
      </w:pPr>
    </w:p>
    <w:p w:rsidR="00202676" w:rsidRPr="00A72110" w:rsidRDefault="003F0206">
      <w:pPr>
        <w:shd w:val="clear" w:color="auto" w:fill="FFFFFF"/>
        <w:spacing w:line="360" w:lineRule="auto"/>
        <w:ind w:right="-269"/>
        <w:jc w:val="both"/>
        <w:rPr>
          <w:rFonts w:ascii="Palatino Linotype" w:eastAsia="Palatino Linotype" w:hAnsi="Palatino Linotype" w:cs="Palatino Linotype"/>
          <w:sz w:val="24"/>
          <w:szCs w:val="24"/>
        </w:rPr>
      </w:pPr>
      <w:r w:rsidRPr="00A72110">
        <w:rPr>
          <w:rFonts w:ascii="Palatino Linotype" w:eastAsia="Palatino Linotype" w:hAnsi="Palatino Linotype" w:cs="Palatino Linotype"/>
          <w:b/>
          <w:bCs/>
          <w:sz w:val="24"/>
          <w:szCs w:val="24"/>
        </w:rPr>
        <w:t xml:space="preserve">CUARTO. </w:t>
      </w:r>
      <w:r w:rsidRPr="00A72110">
        <w:rPr>
          <w:rFonts w:ascii="Palatino Linotype" w:eastAsia="Palatino Linotype" w:hAnsi="Palatino Linotype" w:cs="Palatino Linotype"/>
          <w:sz w:val="24"/>
          <w:szCs w:val="24"/>
        </w:rPr>
        <w:t>Notifíquese a</w:t>
      </w:r>
      <w:r w:rsidR="00211F7D" w:rsidRPr="00A72110">
        <w:rPr>
          <w:rFonts w:ascii="Palatino Linotype" w:eastAsia="Palatino Linotype" w:hAnsi="Palatino Linotype" w:cs="Palatino Linotype"/>
          <w:sz w:val="24"/>
          <w:szCs w:val="24"/>
        </w:rPr>
        <w:t xml:space="preserve"> </w:t>
      </w:r>
      <w:r w:rsidRPr="00A72110">
        <w:rPr>
          <w:rFonts w:ascii="Palatino Linotype" w:eastAsia="Palatino Linotype" w:hAnsi="Palatino Linotype" w:cs="Palatino Linotype"/>
          <w:sz w:val="24"/>
          <w:szCs w:val="24"/>
        </w:rPr>
        <w:t>l</w:t>
      </w:r>
      <w:r w:rsidR="00211F7D" w:rsidRPr="00A72110">
        <w:rPr>
          <w:rFonts w:ascii="Palatino Linotype" w:eastAsia="Palatino Linotype" w:hAnsi="Palatino Linotype" w:cs="Palatino Linotype"/>
          <w:sz w:val="24"/>
          <w:szCs w:val="24"/>
        </w:rPr>
        <w:t>a</w:t>
      </w:r>
      <w:r w:rsidRPr="00A72110">
        <w:rPr>
          <w:rFonts w:ascii="Palatino Linotype" w:eastAsia="Palatino Linotype" w:hAnsi="Palatino Linotype" w:cs="Palatino Linotype"/>
          <w:sz w:val="24"/>
          <w:szCs w:val="24"/>
        </w:rPr>
        <w:t xml:space="preserve"> </w:t>
      </w:r>
      <w:r w:rsidRPr="00A72110">
        <w:rPr>
          <w:rFonts w:ascii="Palatino Linotype" w:eastAsia="Palatino Linotype" w:hAnsi="Palatino Linotype" w:cs="Palatino Linotype"/>
          <w:b/>
          <w:bCs/>
          <w:sz w:val="24"/>
          <w:szCs w:val="24"/>
        </w:rPr>
        <w:t xml:space="preserve">RECURRENTE </w:t>
      </w:r>
      <w:r w:rsidRPr="00A72110">
        <w:rPr>
          <w:rFonts w:ascii="Palatino Linotype" w:eastAsia="Palatino Linotype" w:hAnsi="Palatino Linotype" w:cs="Palatino Linotype"/>
          <w:sz w:val="24"/>
          <w:szCs w:val="24"/>
        </w:rPr>
        <w:t>la presente resolución vía Sistema de Acceso a Información Mexiquense (SAIMEX).</w:t>
      </w:r>
    </w:p>
    <w:p w:rsidR="00211F7D" w:rsidRPr="00A72110" w:rsidRDefault="00211F7D">
      <w:pPr>
        <w:shd w:val="clear" w:color="auto" w:fill="FFFFFF"/>
        <w:spacing w:line="360" w:lineRule="auto"/>
        <w:ind w:right="-269"/>
        <w:jc w:val="both"/>
        <w:rPr>
          <w:rFonts w:ascii="Palatino Linotype" w:eastAsia="Palatino Linotype" w:hAnsi="Palatino Linotype" w:cs="Palatino Linotype"/>
          <w:sz w:val="24"/>
          <w:szCs w:val="24"/>
        </w:rPr>
      </w:pPr>
    </w:p>
    <w:p w:rsidR="00202676" w:rsidRPr="00A72110" w:rsidRDefault="003F0206">
      <w:pPr>
        <w:shd w:val="clear" w:color="auto" w:fill="FFFFFF"/>
        <w:spacing w:line="360" w:lineRule="auto"/>
        <w:ind w:right="-269"/>
        <w:jc w:val="both"/>
        <w:rPr>
          <w:rFonts w:ascii="Palatino Linotype" w:eastAsia="Palatino Linotype" w:hAnsi="Palatino Linotype" w:cs="Palatino Linotype"/>
          <w:sz w:val="24"/>
          <w:szCs w:val="24"/>
        </w:rPr>
      </w:pPr>
      <w:r w:rsidRPr="00A72110">
        <w:rPr>
          <w:rFonts w:ascii="Palatino Linotype" w:eastAsia="Palatino Linotype" w:hAnsi="Palatino Linotype" w:cs="Palatino Linotype"/>
          <w:b/>
          <w:bCs/>
          <w:sz w:val="24"/>
          <w:szCs w:val="24"/>
        </w:rPr>
        <w:t>QUINTO.</w:t>
      </w:r>
      <w:r w:rsidRPr="00A72110">
        <w:rPr>
          <w:rFonts w:ascii="Palatino Linotype" w:eastAsia="Palatino Linotype" w:hAnsi="Palatino Linotype" w:cs="Palatino Linotype"/>
          <w:sz w:val="24"/>
          <w:szCs w:val="24"/>
        </w:rPr>
        <w:t xml:space="preserve"> Se hace del conocimiento de</w:t>
      </w:r>
      <w:r w:rsidR="00211F7D" w:rsidRPr="00A72110">
        <w:rPr>
          <w:rFonts w:ascii="Palatino Linotype" w:eastAsia="Palatino Linotype" w:hAnsi="Palatino Linotype" w:cs="Palatino Linotype"/>
          <w:sz w:val="24"/>
          <w:szCs w:val="24"/>
        </w:rPr>
        <w:t xml:space="preserve"> </w:t>
      </w:r>
      <w:r w:rsidRPr="00A72110">
        <w:rPr>
          <w:rFonts w:ascii="Palatino Linotype" w:eastAsia="Palatino Linotype" w:hAnsi="Palatino Linotype" w:cs="Palatino Linotype"/>
          <w:sz w:val="24"/>
          <w:szCs w:val="24"/>
        </w:rPr>
        <w:t>l</w:t>
      </w:r>
      <w:r w:rsidR="00211F7D" w:rsidRPr="00A72110">
        <w:rPr>
          <w:rFonts w:ascii="Palatino Linotype" w:eastAsia="Palatino Linotype" w:hAnsi="Palatino Linotype" w:cs="Palatino Linotype"/>
          <w:sz w:val="24"/>
          <w:szCs w:val="24"/>
        </w:rPr>
        <w:t>a</w:t>
      </w:r>
      <w:r w:rsidRPr="00A72110">
        <w:rPr>
          <w:rFonts w:ascii="Palatino Linotype" w:eastAsia="Palatino Linotype" w:hAnsi="Palatino Linotype" w:cs="Palatino Linotype"/>
          <w:sz w:val="24"/>
          <w:szCs w:val="24"/>
        </w:rPr>
        <w:t xml:space="preserve"> </w:t>
      </w:r>
      <w:r w:rsidRPr="00A72110">
        <w:rPr>
          <w:rFonts w:ascii="Palatino Linotype" w:eastAsia="Palatino Linotype" w:hAnsi="Palatino Linotype" w:cs="Palatino Linotype"/>
          <w:b/>
          <w:bCs/>
          <w:sz w:val="24"/>
          <w:szCs w:val="24"/>
        </w:rPr>
        <w:t xml:space="preserve">RECURRENTE </w:t>
      </w:r>
      <w:r w:rsidRPr="00A72110">
        <w:rPr>
          <w:rFonts w:ascii="Palatino Linotype" w:eastAsia="Palatino Linotype" w:hAnsi="Palatino Linotype" w:cs="Palatino Linotype"/>
          <w:sz w:val="24"/>
          <w:szCs w:val="24"/>
        </w:rPr>
        <w:t>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211F7D" w:rsidRPr="00A72110" w:rsidRDefault="00211F7D">
      <w:pPr>
        <w:shd w:val="clear" w:color="auto" w:fill="FFFFFF"/>
        <w:spacing w:line="360" w:lineRule="auto"/>
        <w:ind w:right="-269"/>
        <w:jc w:val="both"/>
        <w:rPr>
          <w:rFonts w:ascii="Palatino Linotype" w:eastAsia="Palatino Linotype" w:hAnsi="Palatino Linotype" w:cs="Palatino Linotype"/>
          <w:sz w:val="24"/>
          <w:szCs w:val="24"/>
        </w:rPr>
      </w:pPr>
    </w:p>
    <w:p w:rsidR="00202676" w:rsidRPr="00A72110" w:rsidRDefault="003F0206">
      <w:pPr>
        <w:spacing w:line="360" w:lineRule="auto"/>
        <w:ind w:right="-269"/>
        <w:jc w:val="both"/>
        <w:rPr>
          <w:rFonts w:ascii="Palatino Linotype" w:eastAsia="Palatino Linotype" w:hAnsi="Palatino Linotype" w:cs="Palatino Linotype"/>
          <w:sz w:val="24"/>
          <w:szCs w:val="24"/>
        </w:rPr>
      </w:pPr>
      <w:r w:rsidRPr="00A72110">
        <w:rPr>
          <w:rFonts w:ascii="Palatino Linotype" w:eastAsia="Palatino Linotype" w:hAnsi="Palatino Linotype" w:cs="Palatino Linotype"/>
          <w:b/>
          <w:bCs/>
          <w:sz w:val="24"/>
          <w:szCs w:val="24"/>
        </w:rPr>
        <w:t xml:space="preserve">SEXTO. </w:t>
      </w:r>
      <w:r w:rsidRPr="00A72110">
        <w:rPr>
          <w:rFonts w:ascii="Palatino Linotype" w:eastAsia="Palatino Linotype" w:hAnsi="Palatino Linotype" w:cs="Palatino Linotype"/>
          <w:sz w:val="24"/>
          <w:szCs w:val="24"/>
        </w:rPr>
        <w:t>Hágase del conocimiento del</w:t>
      </w:r>
      <w:r w:rsidRPr="00A72110">
        <w:rPr>
          <w:rFonts w:ascii="Palatino Linotype" w:eastAsia="Palatino Linotype" w:hAnsi="Palatino Linotype" w:cs="Palatino Linotype"/>
          <w:b/>
          <w:bCs/>
          <w:sz w:val="24"/>
          <w:szCs w:val="24"/>
        </w:rPr>
        <w:t xml:space="preserve"> RECURRENTE</w:t>
      </w:r>
      <w:r w:rsidRPr="00A72110">
        <w:rPr>
          <w:rFonts w:ascii="Palatino Linotype" w:eastAsia="Palatino Linotype" w:hAnsi="Palatino Linotype" w:cs="Palatino Linotype"/>
          <w:sz w:val="24"/>
          <w:szCs w:val="24"/>
        </w:rPr>
        <w:t xml:space="preserve"> que la respuesta que dé el</w:t>
      </w:r>
      <w:r w:rsidRPr="00A72110">
        <w:rPr>
          <w:rFonts w:ascii="Palatino Linotype" w:eastAsia="Palatino Linotype" w:hAnsi="Palatino Linotype" w:cs="Palatino Linotype"/>
          <w:b/>
          <w:bCs/>
          <w:sz w:val="24"/>
          <w:szCs w:val="24"/>
        </w:rPr>
        <w:t xml:space="preserve"> SUJETO OBLIGADO</w:t>
      </w:r>
      <w:r w:rsidRPr="00A72110">
        <w:rPr>
          <w:rFonts w:ascii="Palatino Linotype" w:eastAsia="Palatino Linotype" w:hAnsi="Palatino Linotype" w:cs="Palatino Linotype"/>
          <w:sz w:val="24"/>
          <w:szCs w:val="24"/>
        </w:rPr>
        <w:t xml:space="preserve"> derivada de la presente resolución es susceptible de ser impugnada </w:t>
      </w:r>
      <w:r w:rsidRPr="00A72110">
        <w:rPr>
          <w:rFonts w:ascii="Palatino Linotype" w:eastAsia="Palatino Linotype" w:hAnsi="Palatino Linotype" w:cs="Palatino Linotype"/>
          <w:sz w:val="24"/>
          <w:szCs w:val="24"/>
        </w:rPr>
        <w:lastRenderedPageBreak/>
        <w:t>nuevamente, mediante recurso de revisión, ante el Instituto, en términos del artículo 179, último párrafo de la Ley de Transparencia y Acceso a la Información Pública del Estado de México y Municipios.</w:t>
      </w:r>
    </w:p>
    <w:p w:rsidR="00211F7D" w:rsidRPr="00A72110" w:rsidRDefault="00211F7D">
      <w:pPr>
        <w:spacing w:line="360" w:lineRule="auto"/>
        <w:ind w:right="-269"/>
        <w:jc w:val="both"/>
        <w:rPr>
          <w:rFonts w:ascii="Palatino Linotype" w:eastAsia="Palatino Linotype" w:hAnsi="Palatino Linotype" w:cs="Palatino Linotype"/>
          <w:sz w:val="24"/>
          <w:szCs w:val="24"/>
        </w:rPr>
      </w:pPr>
    </w:p>
    <w:p w:rsidR="00211F7D" w:rsidRPr="00A72110" w:rsidRDefault="00211F7D" w:rsidP="00211F7D">
      <w:pPr>
        <w:spacing w:before="240" w:after="240" w:line="360" w:lineRule="auto"/>
        <w:ind w:right="-283" w:firstLine="1"/>
        <w:jc w:val="both"/>
        <w:rPr>
          <w:rFonts w:ascii="Palatino Linotype" w:hAnsi="Palatino Linotype"/>
          <w:sz w:val="24"/>
          <w:szCs w:val="24"/>
        </w:rPr>
      </w:pPr>
      <w:bookmarkStart w:id="7" w:name="_heading=h.pzp2xn3dw93s" w:colFirst="0" w:colLast="0"/>
      <w:bookmarkStart w:id="8" w:name="_Hlk99014733"/>
      <w:bookmarkEnd w:id="7"/>
      <w:r w:rsidRPr="00A72110">
        <w:rPr>
          <w:rFonts w:ascii="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TERCERA SESIÓN ORDINARIA, CELEBRADA EL VEINTICINCO (25) DE JUNIO DE DOS MIL VEINTISÉIS, ANTE EL SECRETARIO TÉCNICO DEL PLENO </w:t>
      </w:r>
      <w:r w:rsidRPr="00A72110">
        <w:rPr>
          <w:rFonts w:ascii="Palatino Linotype" w:hAnsi="Palatino Linotype" w:cs="Palatino Linotype"/>
          <w:color w:val="000000" w:themeColor="text1"/>
          <w:sz w:val="24"/>
          <w:szCs w:val="24"/>
        </w:rPr>
        <w:t>ALEXIS TAPIA RAMÍREZ.</w:t>
      </w:r>
    </w:p>
    <w:bookmarkEnd w:id="8"/>
    <w:p w:rsidR="00202676" w:rsidRPr="00A72110" w:rsidRDefault="00202676" w:rsidP="00211F7D">
      <w:pPr>
        <w:spacing w:after="0"/>
        <w:ind w:right="-283"/>
        <w:rPr>
          <w:rFonts w:ascii="Palatino Linotype" w:eastAsia="Palatino Linotype" w:hAnsi="Palatino Linotype" w:cs="Palatino Linotype"/>
          <w:sz w:val="24"/>
          <w:szCs w:val="24"/>
        </w:rPr>
      </w:pPr>
    </w:p>
    <w:p w:rsidR="00202676" w:rsidRPr="00A72110" w:rsidRDefault="00202676">
      <w:pPr>
        <w:spacing w:after="0"/>
        <w:ind w:right="-269"/>
        <w:rPr>
          <w:rFonts w:ascii="Palatino Linotype" w:eastAsia="Palatino Linotype" w:hAnsi="Palatino Linotype" w:cs="Palatino Linotype"/>
          <w:sz w:val="24"/>
          <w:szCs w:val="24"/>
        </w:rPr>
      </w:pPr>
    </w:p>
    <w:p w:rsidR="00202676" w:rsidRPr="00A72110" w:rsidRDefault="00202676">
      <w:pPr>
        <w:spacing w:after="0"/>
        <w:ind w:right="-269"/>
        <w:rPr>
          <w:rFonts w:ascii="Palatino Linotype" w:eastAsia="Palatino Linotype" w:hAnsi="Palatino Linotype" w:cs="Palatino Linotype"/>
          <w:sz w:val="24"/>
          <w:szCs w:val="24"/>
        </w:rPr>
      </w:pPr>
    </w:p>
    <w:p w:rsidR="00202676" w:rsidRPr="00A72110" w:rsidRDefault="00202676">
      <w:pPr>
        <w:spacing w:after="0"/>
        <w:ind w:right="-269"/>
        <w:rPr>
          <w:rFonts w:ascii="Palatino Linotype" w:eastAsia="Palatino Linotype" w:hAnsi="Palatino Linotype" w:cs="Palatino Linotype"/>
          <w:sz w:val="24"/>
          <w:szCs w:val="24"/>
        </w:rPr>
      </w:pPr>
    </w:p>
    <w:p w:rsidR="00202676" w:rsidRPr="00A72110" w:rsidRDefault="00202676">
      <w:pPr>
        <w:spacing w:after="0"/>
        <w:ind w:right="-269"/>
        <w:rPr>
          <w:rFonts w:ascii="Palatino Linotype" w:eastAsia="Palatino Linotype" w:hAnsi="Palatino Linotype" w:cs="Palatino Linotype"/>
          <w:sz w:val="24"/>
          <w:szCs w:val="24"/>
        </w:rPr>
      </w:pPr>
    </w:p>
    <w:p w:rsidR="00202676" w:rsidRPr="00A72110" w:rsidRDefault="00202676">
      <w:pPr>
        <w:spacing w:after="0"/>
        <w:ind w:right="-269"/>
        <w:rPr>
          <w:rFonts w:ascii="Palatino Linotype" w:eastAsia="Palatino Linotype" w:hAnsi="Palatino Linotype" w:cs="Palatino Linotype"/>
          <w:sz w:val="24"/>
          <w:szCs w:val="24"/>
        </w:rPr>
      </w:pPr>
    </w:p>
    <w:p w:rsidR="00202676" w:rsidRPr="00A72110" w:rsidRDefault="00202676">
      <w:pPr>
        <w:spacing w:after="0"/>
        <w:ind w:right="-269"/>
        <w:rPr>
          <w:rFonts w:ascii="Palatino Linotype" w:eastAsia="Palatino Linotype" w:hAnsi="Palatino Linotype" w:cs="Palatino Linotype"/>
          <w:sz w:val="24"/>
          <w:szCs w:val="24"/>
        </w:rPr>
      </w:pPr>
    </w:p>
    <w:p w:rsidR="00202676" w:rsidRPr="00A72110" w:rsidRDefault="00202676">
      <w:pPr>
        <w:spacing w:after="0"/>
        <w:ind w:right="-269"/>
        <w:rPr>
          <w:rFonts w:ascii="Palatino Linotype" w:eastAsia="Palatino Linotype" w:hAnsi="Palatino Linotype" w:cs="Palatino Linotype"/>
          <w:sz w:val="24"/>
          <w:szCs w:val="24"/>
        </w:rPr>
      </w:pPr>
    </w:p>
    <w:p w:rsidR="00202676" w:rsidRPr="00A72110" w:rsidRDefault="00202676">
      <w:pPr>
        <w:spacing w:after="0"/>
        <w:ind w:right="-269"/>
        <w:rPr>
          <w:rFonts w:ascii="Palatino Linotype" w:eastAsia="Palatino Linotype" w:hAnsi="Palatino Linotype" w:cs="Palatino Linotype"/>
          <w:sz w:val="24"/>
          <w:szCs w:val="24"/>
        </w:rPr>
      </w:pPr>
    </w:p>
    <w:p w:rsidR="00202676" w:rsidRPr="00A72110" w:rsidRDefault="00202676">
      <w:pPr>
        <w:spacing w:after="0"/>
        <w:ind w:right="-269"/>
        <w:rPr>
          <w:rFonts w:ascii="Palatino Linotype" w:eastAsia="Palatino Linotype" w:hAnsi="Palatino Linotype" w:cs="Palatino Linotype"/>
          <w:sz w:val="24"/>
          <w:szCs w:val="24"/>
        </w:rPr>
      </w:pPr>
    </w:p>
    <w:p w:rsidR="00202676" w:rsidRPr="00A72110" w:rsidRDefault="00202676">
      <w:pPr>
        <w:spacing w:after="0"/>
        <w:ind w:right="-269"/>
        <w:rPr>
          <w:rFonts w:ascii="Palatino Linotype" w:eastAsia="Palatino Linotype" w:hAnsi="Palatino Linotype" w:cs="Palatino Linotype"/>
          <w:sz w:val="24"/>
          <w:szCs w:val="24"/>
        </w:rPr>
      </w:pPr>
    </w:p>
    <w:p w:rsidR="00202676" w:rsidRPr="00A72110" w:rsidRDefault="00202676">
      <w:pPr>
        <w:spacing w:after="0"/>
        <w:ind w:right="-269"/>
        <w:rPr>
          <w:rFonts w:ascii="Palatino Linotype" w:eastAsia="Palatino Linotype" w:hAnsi="Palatino Linotype" w:cs="Palatino Linotype"/>
          <w:sz w:val="24"/>
          <w:szCs w:val="24"/>
        </w:rPr>
      </w:pPr>
    </w:p>
    <w:p w:rsidR="00202676" w:rsidRPr="00A72110" w:rsidRDefault="00202676">
      <w:pPr>
        <w:spacing w:after="0"/>
        <w:ind w:right="-269"/>
        <w:rPr>
          <w:rFonts w:ascii="Palatino Linotype" w:eastAsia="Palatino Linotype" w:hAnsi="Palatino Linotype" w:cs="Palatino Linotype"/>
          <w:sz w:val="24"/>
          <w:szCs w:val="24"/>
        </w:rPr>
      </w:pPr>
    </w:p>
    <w:p w:rsidR="00202676" w:rsidRPr="00A72110" w:rsidRDefault="00202676">
      <w:pPr>
        <w:spacing w:after="0"/>
        <w:ind w:right="-269"/>
        <w:rPr>
          <w:rFonts w:ascii="Palatino Linotype" w:eastAsia="Palatino Linotype" w:hAnsi="Palatino Linotype" w:cs="Palatino Linotype"/>
          <w:sz w:val="24"/>
          <w:szCs w:val="24"/>
        </w:rPr>
      </w:pPr>
    </w:p>
    <w:p w:rsidR="00202676" w:rsidRPr="00A72110" w:rsidRDefault="00202676">
      <w:pPr>
        <w:spacing w:after="0"/>
        <w:ind w:right="-269"/>
        <w:rPr>
          <w:rFonts w:ascii="Palatino Linotype" w:eastAsia="Palatino Linotype" w:hAnsi="Palatino Linotype" w:cs="Palatino Linotype"/>
          <w:sz w:val="24"/>
          <w:szCs w:val="24"/>
        </w:rPr>
      </w:pPr>
    </w:p>
    <w:p w:rsidR="00202676" w:rsidRPr="00A72110" w:rsidRDefault="00202676">
      <w:pPr>
        <w:spacing w:after="0"/>
        <w:ind w:right="-269"/>
        <w:rPr>
          <w:rFonts w:ascii="Palatino Linotype" w:eastAsia="Palatino Linotype" w:hAnsi="Palatino Linotype" w:cs="Palatino Linotype"/>
          <w:sz w:val="24"/>
          <w:szCs w:val="24"/>
        </w:rPr>
      </w:pPr>
    </w:p>
    <w:p w:rsidR="00202676" w:rsidRPr="00A72110" w:rsidRDefault="00202676">
      <w:pPr>
        <w:spacing w:after="0"/>
        <w:ind w:right="-269"/>
        <w:rPr>
          <w:rFonts w:ascii="Palatino Linotype" w:eastAsia="Palatino Linotype" w:hAnsi="Palatino Linotype" w:cs="Palatino Linotype"/>
          <w:sz w:val="24"/>
          <w:szCs w:val="24"/>
        </w:rPr>
      </w:pPr>
    </w:p>
    <w:p w:rsidR="00202676" w:rsidRPr="00A72110" w:rsidRDefault="00202676">
      <w:pPr>
        <w:spacing w:after="0"/>
        <w:ind w:right="-269"/>
        <w:rPr>
          <w:rFonts w:ascii="Palatino Linotype" w:eastAsia="Palatino Linotype" w:hAnsi="Palatino Linotype" w:cs="Palatino Linotype"/>
          <w:sz w:val="24"/>
          <w:szCs w:val="24"/>
        </w:rPr>
      </w:pPr>
    </w:p>
    <w:p w:rsidR="00202676" w:rsidRPr="00A72110" w:rsidRDefault="00202676">
      <w:pPr>
        <w:spacing w:after="0"/>
        <w:ind w:right="-269"/>
        <w:rPr>
          <w:rFonts w:ascii="Palatino Linotype" w:eastAsia="Palatino Linotype" w:hAnsi="Palatino Linotype" w:cs="Palatino Linotype"/>
          <w:sz w:val="24"/>
          <w:szCs w:val="24"/>
        </w:rPr>
      </w:pPr>
    </w:p>
    <w:p w:rsidR="00202676" w:rsidRPr="00A72110" w:rsidRDefault="00202676">
      <w:pPr>
        <w:spacing w:after="0"/>
        <w:ind w:right="-269"/>
        <w:rPr>
          <w:rFonts w:ascii="Palatino Linotype" w:eastAsia="Palatino Linotype" w:hAnsi="Palatino Linotype" w:cs="Palatino Linotype"/>
          <w:sz w:val="24"/>
          <w:szCs w:val="24"/>
        </w:rPr>
      </w:pPr>
    </w:p>
    <w:p w:rsidR="00202676" w:rsidRPr="00A72110" w:rsidRDefault="00202676">
      <w:pPr>
        <w:spacing w:after="0"/>
        <w:ind w:right="-269"/>
        <w:rPr>
          <w:rFonts w:ascii="Palatino Linotype" w:eastAsia="Palatino Linotype" w:hAnsi="Palatino Linotype" w:cs="Palatino Linotype"/>
          <w:sz w:val="24"/>
          <w:szCs w:val="24"/>
        </w:rPr>
      </w:pPr>
    </w:p>
    <w:p w:rsidR="00202676" w:rsidRPr="00A72110" w:rsidRDefault="00202676">
      <w:pPr>
        <w:spacing w:after="0"/>
        <w:ind w:right="-269"/>
        <w:rPr>
          <w:rFonts w:ascii="Palatino Linotype" w:eastAsia="Palatino Linotype" w:hAnsi="Palatino Linotype" w:cs="Palatino Linotype"/>
          <w:sz w:val="24"/>
          <w:szCs w:val="24"/>
        </w:rPr>
      </w:pPr>
    </w:p>
    <w:p w:rsidR="00202676" w:rsidRPr="00A72110" w:rsidRDefault="00202676">
      <w:pPr>
        <w:spacing w:after="0"/>
        <w:ind w:right="-269"/>
        <w:rPr>
          <w:rFonts w:ascii="Palatino Linotype" w:eastAsia="Palatino Linotype" w:hAnsi="Palatino Linotype" w:cs="Palatino Linotype"/>
          <w:sz w:val="24"/>
          <w:szCs w:val="24"/>
        </w:rPr>
      </w:pPr>
    </w:p>
    <w:p w:rsidR="00202676" w:rsidRPr="00A72110" w:rsidRDefault="00202676">
      <w:pPr>
        <w:spacing w:after="0"/>
        <w:ind w:right="-269"/>
        <w:rPr>
          <w:rFonts w:ascii="Palatino Linotype" w:eastAsia="Palatino Linotype" w:hAnsi="Palatino Linotype" w:cs="Palatino Linotype"/>
          <w:sz w:val="24"/>
          <w:szCs w:val="24"/>
        </w:rPr>
      </w:pPr>
    </w:p>
    <w:p w:rsidR="00202676" w:rsidRPr="00A72110" w:rsidRDefault="00202676">
      <w:pPr>
        <w:spacing w:after="0"/>
        <w:ind w:right="-269"/>
        <w:rPr>
          <w:rFonts w:ascii="Palatino Linotype" w:eastAsia="Palatino Linotype" w:hAnsi="Palatino Linotype" w:cs="Palatino Linotype"/>
          <w:sz w:val="24"/>
          <w:szCs w:val="24"/>
        </w:rPr>
      </w:pPr>
    </w:p>
    <w:p w:rsidR="00202676" w:rsidRPr="00A72110" w:rsidRDefault="00202676">
      <w:pPr>
        <w:spacing w:after="0"/>
        <w:ind w:right="-269"/>
        <w:rPr>
          <w:rFonts w:ascii="Palatino Linotype" w:eastAsia="Palatino Linotype" w:hAnsi="Palatino Linotype" w:cs="Palatino Linotype"/>
          <w:sz w:val="24"/>
          <w:szCs w:val="24"/>
        </w:rPr>
      </w:pPr>
    </w:p>
    <w:p w:rsidR="00202676" w:rsidRPr="00A72110" w:rsidRDefault="00202676">
      <w:pPr>
        <w:spacing w:after="0"/>
        <w:ind w:right="-269"/>
        <w:rPr>
          <w:rFonts w:ascii="Palatino Linotype" w:eastAsia="Palatino Linotype" w:hAnsi="Palatino Linotype" w:cs="Palatino Linotype"/>
          <w:sz w:val="24"/>
          <w:szCs w:val="24"/>
        </w:rPr>
      </w:pPr>
    </w:p>
    <w:p w:rsidR="00202676" w:rsidRPr="00A72110" w:rsidRDefault="00202676">
      <w:pPr>
        <w:spacing w:after="0"/>
        <w:ind w:right="-269"/>
        <w:rPr>
          <w:rFonts w:ascii="Palatino Linotype" w:eastAsia="Palatino Linotype" w:hAnsi="Palatino Linotype" w:cs="Palatino Linotype"/>
          <w:sz w:val="24"/>
          <w:szCs w:val="24"/>
        </w:rPr>
      </w:pPr>
    </w:p>
    <w:p w:rsidR="00202676" w:rsidRPr="00A72110" w:rsidRDefault="00202676">
      <w:pPr>
        <w:spacing w:after="0"/>
        <w:ind w:right="-269"/>
        <w:rPr>
          <w:rFonts w:ascii="Palatino Linotype" w:eastAsia="Palatino Linotype" w:hAnsi="Palatino Linotype" w:cs="Palatino Linotype"/>
          <w:sz w:val="24"/>
          <w:szCs w:val="24"/>
        </w:rPr>
      </w:pPr>
    </w:p>
    <w:p w:rsidR="00202676" w:rsidRPr="00A72110" w:rsidRDefault="00202676">
      <w:pPr>
        <w:ind w:right="-269"/>
        <w:rPr>
          <w:rFonts w:ascii="Palatino Linotype" w:eastAsia="Palatino Linotype" w:hAnsi="Palatino Linotype" w:cs="Palatino Linotype"/>
          <w:sz w:val="24"/>
          <w:szCs w:val="24"/>
        </w:rPr>
      </w:pPr>
      <w:bookmarkStart w:id="9" w:name="_heading=h.gjdgxs" w:colFirst="0" w:colLast="0"/>
      <w:bookmarkEnd w:id="9"/>
    </w:p>
    <w:sectPr w:rsidR="00202676" w:rsidRPr="00A72110" w:rsidSect="00A72110">
      <w:headerReference w:type="default" r:id="rId10"/>
      <w:footerReference w:type="default" r:id="rId11"/>
      <w:headerReference w:type="first" r:id="rId12"/>
      <w:footerReference w:type="first" r:id="rId13"/>
      <w:pgSz w:w="12240" w:h="15840"/>
      <w:pgMar w:top="1985" w:right="104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0D96" w:rsidRDefault="00B80D96">
      <w:pPr>
        <w:spacing w:after="0" w:line="240" w:lineRule="auto"/>
      </w:pPr>
      <w:r>
        <w:separator/>
      </w:r>
    </w:p>
  </w:endnote>
  <w:endnote w:type="continuationSeparator" w:id="0">
    <w:p w:rsidR="00B80D96" w:rsidRDefault="00B80D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458BB6D6-DEBC-4B3A-ADB6-EDBF5CEB0267}"/>
    <w:embedBold r:id="rId2" w:fontKey="{30A06936-F863-473F-AE7B-2BB1E6998C98}"/>
    <w:embedItalic r:id="rId3" w:fontKey="{D5CF23E4-BAAA-4C64-8F18-993A6E4C2001}"/>
    <w:embedBoldItalic r:id="rId4" w:fontKey="{F41C0B55-807A-42ED-AF84-857D2EC7DC1E}"/>
  </w:font>
  <w:font w:name="Noto Sans Symbols">
    <w:altName w:val="Times New Roman"/>
    <w:charset w:val="00"/>
    <w:family w:val="auto"/>
    <w:pitch w:val="default"/>
    <w:embedRegular r:id="rId5" w:fontKey="{1BA8B26A-5342-42B2-867D-0E5600FBF46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D7E3BEE3-27C7-4E77-BB09-20FB15DBF98A}"/>
    <w:embedBold r:id="rId7" w:fontKey="{BF6506A1-1656-4B5F-B713-2EDAECFF2017}"/>
  </w:font>
  <w:font w:name="Georgia">
    <w:panose1 w:val="02040502050405020303"/>
    <w:charset w:val="00"/>
    <w:family w:val="roman"/>
    <w:pitch w:val="variable"/>
    <w:sig w:usb0="00000287" w:usb1="00000000" w:usb2="00000000" w:usb3="00000000" w:csb0="0000009F" w:csb1="00000000"/>
    <w:embedItalic r:id="rId8" w:fontKey="{9BF98564-DBB1-4A2F-8B41-27FC2A37BB07}"/>
  </w:font>
  <w:font w:name="Cambria">
    <w:panose1 w:val="02040503050406030204"/>
    <w:charset w:val="00"/>
    <w:family w:val="roman"/>
    <w:pitch w:val="variable"/>
    <w:sig w:usb0="E00006FF" w:usb1="420024FF" w:usb2="02000000" w:usb3="00000000" w:csb0="0000019F" w:csb1="00000000"/>
    <w:embedRegular r:id="rId9" w:fontKey="{31FC0396-4979-4CF7-BF44-A6714BE284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676" w:rsidRDefault="003F0206">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Página </w:t>
    </w:r>
    <w:r>
      <w:rPr>
        <w:rFonts w:ascii="Palatino Linotype" w:eastAsia="Palatino Linotype" w:hAnsi="Palatino Linotype" w:cs="Palatino Linotype"/>
        <w:color w:val="000000"/>
      </w:rPr>
      <w:fldChar w:fldCharType="begin"/>
    </w:r>
    <w:r>
      <w:rPr>
        <w:rFonts w:ascii="Palatino Linotype" w:eastAsia="Palatino Linotype" w:hAnsi="Palatino Linotype" w:cs="Palatino Linotype"/>
        <w:color w:val="000000"/>
      </w:rPr>
      <w:instrText>PAGE</w:instrText>
    </w:r>
    <w:r>
      <w:rPr>
        <w:rFonts w:ascii="Palatino Linotype" w:eastAsia="Palatino Linotype" w:hAnsi="Palatino Linotype" w:cs="Palatino Linotype"/>
        <w:color w:val="000000"/>
      </w:rPr>
      <w:fldChar w:fldCharType="separate"/>
    </w:r>
    <w:r w:rsidR="00507DA8">
      <w:rPr>
        <w:rFonts w:ascii="Palatino Linotype" w:eastAsia="Palatino Linotype" w:hAnsi="Palatino Linotype" w:cs="Palatino Linotype"/>
        <w:noProof/>
        <w:color w:val="000000"/>
      </w:rPr>
      <w:t>21</w:t>
    </w:r>
    <w:r>
      <w:rPr>
        <w:rFonts w:ascii="Palatino Linotype" w:eastAsia="Palatino Linotype" w:hAnsi="Palatino Linotype" w:cs="Palatino Linotype"/>
        <w:color w:val="000000"/>
      </w:rPr>
      <w:fldChar w:fldCharType="end"/>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color w:val="000000"/>
      </w:rPr>
      <w:fldChar w:fldCharType="begin"/>
    </w:r>
    <w:r>
      <w:rPr>
        <w:rFonts w:ascii="Palatino Linotype" w:eastAsia="Palatino Linotype" w:hAnsi="Palatino Linotype" w:cs="Palatino Linotype"/>
        <w:color w:val="000000"/>
      </w:rPr>
      <w:instrText>NUMPAGES</w:instrText>
    </w:r>
    <w:r>
      <w:rPr>
        <w:rFonts w:ascii="Palatino Linotype" w:eastAsia="Palatino Linotype" w:hAnsi="Palatino Linotype" w:cs="Palatino Linotype"/>
        <w:color w:val="000000"/>
      </w:rPr>
      <w:fldChar w:fldCharType="separate"/>
    </w:r>
    <w:r w:rsidR="00507DA8">
      <w:rPr>
        <w:rFonts w:ascii="Palatino Linotype" w:eastAsia="Palatino Linotype" w:hAnsi="Palatino Linotype" w:cs="Palatino Linotype"/>
        <w:noProof/>
        <w:color w:val="000000"/>
      </w:rPr>
      <w:t>27</w:t>
    </w:r>
    <w:r>
      <w:rPr>
        <w:rFonts w:ascii="Palatino Linotype" w:eastAsia="Palatino Linotype" w:hAnsi="Palatino Linotype" w:cs="Palatino Linotype"/>
        <w:color w:val="000000"/>
      </w:rPr>
      <w:fldChar w:fldCharType="end"/>
    </w:r>
  </w:p>
  <w:p w:rsidR="00202676" w:rsidRDefault="00202676">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676" w:rsidRDefault="003F0206">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Página </w:t>
    </w:r>
    <w:r>
      <w:rPr>
        <w:rFonts w:ascii="Palatino Linotype" w:eastAsia="Palatino Linotype" w:hAnsi="Palatino Linotype" w:cs="Palatino Linotype"/>
        <w:color w:val="000000"/>
      </w:rPr>
      <w:fldChar w:fldCharType="begin"/>
    </w:r>
    <w:r>
      <w:rPr>
        <w:rFonts w:ascii="Palatino Linotype" w:eastAsia="Palatino Linotype" w:hAnsi="Palatino Linotype" w:cs="Palatino Linotype"/>
        <w:color w:val="000000"/>
      </w:rPr>
      <w:instrText>PAGE</w:instrText>
    </w:r>
    <w:r>
      <w:rPr>
        <w:rFonts w:ascii="Palatino Linotype" w:eastAsia="Palatino Linotype" w:hAnsi="Palatino Linotype" w:cs="Palatino Linotype"/>
        <w:color w:val="000000"/>
      </w:rPr>
      <w:fldChar w:fldCharType="separate"/>
    </w:r>
    <w:r w:rsidR="00507DA8">
      <w:rPr>
        <w:rFonts w:ascii="Palatino Linotype" w:eastAsia="Palatino Linotype" w:hAnsi="Palatino Linotype" w:cs="Palatino Linotype"/>
        <w:noProof/>
        <w:color w:val="000000"/>
      </w:rPr>
      <w:t>1</w:t>
    </w:r>
    <w:r>
      <w:rPr>
        <w:rFonts w:ascii="Palatino Linotype" w:eastAsia="Palatino Linotype" w:hAnsi="Palatino Linotype" w:cs="Palatino Linotype"/>
        <w:color w:val="000000"/>
      </w:rPr>
      <w:fldChar w:fldCharType="end"/>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color w:val="000000"/>
      </w:rPr>
      <w:fldChar w:fldCharType="begin"/>
    </w:r>
    <w:r>
      <w:rPr>
        <w:rFonts w:ascii="Palatino Linotype" w:eastAsia="Palatino Linotype" w:hAnsi="Palatino Linotype" w:cs="Palatino Linotype"/>
        <w:color w:val="000000"/>
      </w:rPr>
      <w:instrText>NUMPAGES</w:instrText>
    </w:r>
    <w:r>
      <w:rPr>
        <w:rFonts w:ascii="Palatino Linotype" w:eastAsia="Palatino Linotype" w:hAnsi="Palatino Linotype" w:cs="Palatino Linotype"/>
        <w:color w:val="000000"/>
      </w:rPr>
      <w:fldChar w:fldCharType="separate"/>
    </w:r>
    <w:r w:rsidR="00507DA8">
      <w:rPr>
        <w:rFonts w:ascii="Palatino Linotype" w:eastAsia="Palatino Linotype" w:hAnsi="Palatino Linotype" w:cs="Palatino Linotype"/>
        <w:noProof/>
        <w:color w:val="000000"/>
      </w:rPr>
      <w:t>27</w:t>
    </w:r>
    <w:r>
      <w:rPr>
        <w:rFonts w:ascii="Palatino Linotype" w:eastAsia="Palatino Linotype" w:hAnsi="Palatino Linotype" w:cs="Palatino Linotype"/>
        <w:color w:val="000000"/>
      </w:rPr>
      <w:fldChar w:fldCharType="end"/>
    </w:r>
  </w:p>
  <w:p w:rsidR="00202676" w:rsidRDefault="00202676">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0D96" w:rsidRDefault="00B80D96">
      <w:pPr>
        <w:spacing w:after="0" w:line="240" w:lineRule="auto"/>
      </w:pPr>
      <w:r>
        <w:separator/>
      </w:r>
    </w:p>
  </w:footnote>
  <w:footnote w:type="continuationSeparator" w:id="0">
    <w:p w:rsidR="00B80D96" w:rsidRDefault="00B80D96">
      <w:pPr>
        <w:spacing w:after="0" w:line="240" w:lineRule="auto"/>
      </w:pPr>
      <w:r>
        <w:continuationSeparator/>
      </w:r>
    </w:p>
  </w:footnote>
  <w:footnote w:id="1">
    <w:p w:rsidR="00202676" w:rsidRDefault="003F020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Ley de Transparencia y Acceso a la Información Pública del Estado de México y Municipios. Artículo 9. …</w:t>
      </w:r>
    </w:p>
    <w:p w:rsidR="00202676" w:rsidRDefault="003F0206">
      <w:pPr>
        <w:pBdr>
          <w:top w:val="nil"/>
          <w:left w:val="nil"/>
          <w:bottom w:val="nil"/>
          <w:right w:val="nil"/>
          <w:between w:val="nil"/>
        </w:pBdr>
        <w:spacing w:after="0" w:line="240" w:lineRule="auto"/>
        <w:rPr>
          <w:color w:val="000000"/>
          <w:sz w:val="20"/>
          <w:szCs w:val="20"/>
        </w:rPr>
      </w:pPr>
      <w:r>
        <w:rPr>
          <w:color w:val="000000"/>
          <w:sz w:val="20"/>
          <w:szCs w:val="20"/>
        </w:rPr>
        <w:t>II. Eficacia: Obligación del Instituto para tutelar, de manera efectiva, el derecho de acceso a la información;</w:t>
      </w:r>
    </w:p>
    <w:p w:rsidR="00202676" w:rsidRDefault="003F0206">
      <w:pPr>
        <w:pBdr>
          <w:top w:val="nil"/>
          <w:left w:val="nil"/>
          <w:bottom w:val="nil"/>
          <w:right w:val="nil"/>
          <w:between w:val="nil"/>
        </w:pBdr>
        <w:spacing w:after="0" w:line="240" w:lineRule="auto"/>
        <w:rPr>
          <w:color w:val="000000"/>
          <w:sz w:val="20"/>
          <w:szCs w:val="20"/>
        </w:rPr>
      </w:pPr>
      <w:r>
        <w:rPr>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10065" w:type="dxa"/>
      <w:tblInd w:w="1418" w:type="dxa"/>
      <w:tblLayout w:type="fixed"/>
      <w:tblLook w:val="0400" w:firstRow="0" w:lastRow="0" w:firstColumn="0" w:lastColumn="0" w:noHBand="0" w:noVBand="1"/>
    </w:tblPr>
    <w:tblGrid>
      <w:gridCol w:w="5246"/>
      <w:gridCol w:w="4819"/>
    </w:tblGrid>
    <w:tr w:rsidR="00202676">
      <w:trPr>
        <w:trHeight w:val="227"/>
      </w:trPr>
      <w:tc>
        <w:tcPr>
          <w:tcW w:w="5246" w:type="dxa"/>
        </w:tcPr>
        <w:p w:rsidR="00202676" w:rsidRDefault="003F0206" w:rsidP="00A72110">
          <w:pPr>
            <w:spacing w:after="0" w:line="256" w:lineRule="auto"/>
            <w:ind w:right="204"/>
            <w:jc w:val="right"/>
            <w:rPr>
              <w:rFonts w:ascii="Palatino Linotype" w:eastAsia="Palatino Linotype" w:hAnsi="Palatino Linotype" w:cs="Palatino Linotype"/>
              <w:b/>
              <w:bCs/>
              <w:sz w:val="24"/>
              <w:szCs w:val="24"/>
            </w:rPr>
          </w:pPr>
          <w:r>
            <w:rPr>
              <w:rFonts w:ascii="Palatino Linotype" w:eastAsia="Palatino Linotype" w:hAnsi="Palatino Linotype" w:cs="Palatino Linotype"/>
              <w:b/>
              <w:bCs/>
              <w:sz w:val="24"/>
              <w:szCs w:val="24"/>
            </w:rPr>
            <w:t>Recurso de Revisión:</w:t>
          </w:r>
        </w:p>
      </w:tc>
      <w:tc>
        <w:tcPr>
          <w:tcW w:w="4819" w:type="dxa"/>
        </w:tcPr>
        <w:p w:rsidR="00202676" w:rsidRDefault="003F0206" w:rsidP="00A72110">
          <w:pPr>
            <w:spacing w:after="0" w:line="256" w:lineRule="auto"/>
            <w:ind w:right="214"/>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00908/INFOEM/IP/RR/2026</w:t>
          </w:r>
        </w:p>
      </w:tc>
    </w:tr>
    <w:tr w:rsidR="00202676">
      <w:trPr>
        <w:trHeight w:val="242"/>
      </w:trPr>
      <w:tc>
        <w:tcPr>
          <w:tcW w:w="5246" w:type="dxa"/>
        </w:tcPr>
        <w:p w:rsidR="00202676" w:rsidRDefault="003F0206" w:rsidP="00A72110">
          <w:pPr>
            <w:spacing w:after="0" w:line="256" w:lineRule="auto"/>
            <w:ind w:right="204"/>
            <w:jc w:val="right"/>
            <w:rPr>
              <w:rFonts w:ascii="Palatino Linotype" w:eastAsia="Palatino Linotype" w:hAnsi="Palatino Linotype" w:cs="Palatino Linotype"/>
              <w:b/>
              <w:bCs/>
              <w:sz w:val="24"/>
              <w:szCs w:val="24"/>
            </w:rPr>
          </w:pPr>
          <w:r>
            <w:rPr>
              <w:rFonts w:ascii="Palatino Linotype" w:eastAsia="Palatino Linotype" w:hAnsi="Palatino Linotype" w:cs="Palatino Linotype"/>
              <w:b/>
              <w:bCs/>
              <w:sz w:val="24"/>
              <w:szCs w:val="24"/>
            </w:rPr>
            <w:t>Sujeto Obligado:</w:t>
          </w:r>
        </w:p>
      </w:tc>
      <w:tc>
        <w:tcPr>
          <w:tcW w:w="4819" w:type="dxa"/>
        </w:tcPr>
        <w:p w:rsidR="00202676" w:rsidRDefault="003F0206" w:rsidP="00A72110">
          <w:pPr>
            <w:spacing w:after="0" w:line="256" w:lineRule="auto"/>
            <w:ind w:right="1207"/>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Ayuntamiento de Tecámac</w:t>
          </w:r>
        </w:p>
      </w:tc>
    </w:tr>
    <w:tr w:rsidR="00202676">
      <w:trPr>
        <w:trHeight w:val="342"/>
      </w:trPr>
      <w:tc>
        <w:tcPr>
          <w:tcW w:w="5246" w:type="dxa"/>
        </w:tcPr>
        <w:p w:rsidR="00202676" w:rsidRDefault="00A72110">
          <w:pPr>
            <w:tabs>
              <w:tab w:val="left" w:pos="4892"/>
            </w:tabs>
            <w:spacing w:after="120" w:line="256" w:lineRule="auto"/>
            <w:ind w:right="204"/>
            <w:jc w:val="right"/>
            <w:rPr>
              <w:rFonts w:ascii="Palatino Linotype" w:eastAsia="Palatino Linotype" w:hAnsi="Palatino Linotype" w:cs="Palatino Linotype"/>
              <w:b/>
              <w:bCs/>
              <w:sz w:val="24"/>
              <w:szCs w:val="24"/>
            </w:rPr>
          </w:pPr>
          <w:r>
            <w:rPr>
              <w:rFonts w:ascii="Palatino Linotype" w:eastAsia="Palatino Linotype" w:hAnsi="Palatino Linotype" w:cs="Palatino Linotype"/>
              <w:noProof/>
              <w:color w:val="000000"/>
              <w:lang w:val="es-MX"/>
            </w:rPr>
            <w:drawing>
              <wp:anchor distT="0" distB="0" distL="0" distR="0" simplePos="0" relativeHeight="251658240" behindDoc="1" locked="0" layoutInCell="1" hidden="0" allowOverlap="1">
                <wp:simplePos x="0" y="0"/>
                <wp:positionH relativeFrom="margin">
                  <wp:posOffset>-1861700</wp:posOffset>
                </wp:positionH>
                <wp:positionV relativeFrom="page">
                  <wp:posOffset>-1091062</wp:posOffset>
                </wp:positionV>
                <wp:extent cx="7705725" cy="9987915"/>
                <wp:effectExtent l="0" t="0" r="0" b="0"/>
                <wp:wrapNone/>
                <wp:docPr id="13" name="image1.jpg" descr="logo infoem"/>
                <wp:cNvGraphicFramePr/>
                <a:graphic xmlns:a="http://schemas.openxmlformats.org/drawingml/2006/main">
                  <a:graphicData uri="http://schemas.openxmlformats.org/drawingml/2006/picture">
                    <pic:pic xmlns:pic="http://schemas.openxmlformats.org/drawingml/2006/picture">
                      <pic:nvPicPr>
                        <pic:cNvPr id="0" name="image1.jpg" descr="logo infoem"/>
                        <pic:cNvPicPr preferRelativeResize="0"/>
                      </pic:nvPicPr>
                      <pic:blipFill>
                        <a:blip r:embed="rId1"/>
                        <a:srcRect/>
                        <a:stretch>
                          <a:fillRect/>
                        </a:stretch>
                      </pic:blipFill>
                      <pic:spPr>
                        <a:xfrm>
                          <a:off x="0" y="0"/>
                          <a:ext cx="7705725" cy="9987915"/>
                        </a:xfrm>
                        <a:prstGeom prst="rect">
                          <a:avLst/>
                        </a:prstGeom>
                        <a:ln/>
                      </pic:spPr>
                    </pic:pic>
                  </a:graphicData>
                </a:graphic>
              </wp:anchor>
            </w:drawing>
          </w:r>
          <w:r w:rsidR="003F0206">
            <w:rPr>
              <w:rFonts w:ascii="Palatino Linotype" w:eastAsia="Palatino Linotype" w:hAnsi="Palatino Linotype" w:cs="Palatino Linotype"/>
              <w:b/>
              <w:bCs/>
              <w:sz w:val="24"/>
              <w:szCs w:val="24"/>
            </w:rPr>
            <w:t>Comisionado Ponente:</w:t>
          </w:r>
        </w:p>
      </w:tc>
      <w:tc>
        <w:tcPr>
          <w:tcW w:w="4819" w:type="dxa"/>
        </w:tcPr>
        <w:p w:rsidR="00202676" w:rsidRDefault="003F0206">
          <w:pPr>
            <w:spacing w:after="120" w:line="256" w:lineRule="auto"/>
            <w:ind w:right="214"/>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María del Rosario Mejía Ayala</w:t>
          </w:r>
        </w:p>
      </w:tc>
    </w:tr>
  </w:tbl>
  <w:p w:rsidR="00202676" w:rsidRDefault="00202676">
    <w:pPr>
      <w:pBdr>
        <w:top w:val="nil"/>
        <w:left w:val="nil"/>
        <w:bottom w:val="nil"/>
        <w:right w:val="nil"/>
        <w:between w:val="nil"/>
      </w:pBdr>
      <w:tabs>
        <w:tab w:val="center" w:pos="4419"/>
        <w:tab w:val="right" w:pos="8838"/>
        <w:tab w:val="left" w:pos="6005"/>
      </w:tabs>
      <w:spacing w:after="0" w:line="240" w:lineRule="auto"/>
      <w:rPr>
        <w:rFonts w:ascii="Times New Roman" w:eastAsia="Times New Roman" w:hAnsi="Times New Roman" w:cs="Times New Roman"/>
        <w:color w:val="000000"/>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10598" w:type="dxa"/>
      <w:tblInd w:w="-533" w:type="dxa"/>
      <w:tblLayout w:type="fixed"/>
      <w:tblLook w:val="0400" w:firstRow="0" w:lastRow="0" w:firstColumn="0" w:lastColumn="0" w:noHBand="0" w:noVBand="1"/>
    </w:tblPr>
    <w:tblGrid>
      <w:gridCol w:w="6770"/>
      <w:gridCol w:w="3828"/>
    </w:tblGrid>
    <w:tr w:rsidR="00202676">
      <w:trPr>
        <w:trHeight w:val="227"/>
      </w:trPr>
      <w:tc>
        <w:tcPr>
          <w:tcW w:w="6770" w:type="dxa"/>
        </w:tcPr>
        <w:p w:rsidR="00202676" w:rsidRDefault="003F0206" w:rsidP="00A72110">
          <w:pPr>
            <w:spacing w:after="0" w:line="256" w:lineRule="auto"/>
            <w:ind w:left="2164" w:right="204"/>
            <w:jc w:val="right"/>
            <w:rPr>
              <w:rFonts w:ascii="Palatino Linotype" w:eastAsia="Palatino Linotype" w:hAnsi="Palatino Linotype" w:cs="Palatino Linotype"/>
              <w:b/>
              <w:bCs/>
              <w:sz w:val="24"/>
              <w:szCs w:val="24"/>
            </w:rPr>
          </w:pPr>
          <w:bookmarkStart w:id="10" w:name="_heading=h.30j0zll" w:colFirst="0" w:colLast="0"/>
          <w:bookmarkEnd w:id="10"/>
          <w:r>
            <w:rPr>
              <w:rFonts w:ascii="Palatino Linotype" w:eastAsia="Palatino Linotype" w:hAnsi="Palatino Linotype" w:cs="Palatino Linotype"/>
              <w:b/>
              <w:bCs/>
              <w:sz w:val="24"/>
              <w:szCs w:val="24"/>
            </w:rPr>
            <w:t>Recurso de Revisión:</w:t>
          </w:r>
        </w:p>
      </w:tc>
      <w:tc>
        <w:tcPr>
          <w:tcW w:w="3828" w:type="dxa"/>
        </w:tcPr>
        <w:p w:rsidR="00202676" w:rsidRDefault="003F0206" w:rsidP="00507DA8">
          <w:pPr>
            <w:spacing w:after="0" w:line="256" w:lineRule="auto"/>
            <w:ind w:left="72" w:right="214"/>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00908/INFOEM/IP/RR/2026 </w:t>
          </w:r>
        </w:p>
      </w:tc>
    </w:tr>
    <w:tr w:rsidR="00202676">
      <w:trPr>
        <w:trHeight w:val="242"/>
      </w:trPr>
      <w:tc>
        <w:tcPr>
          <w:tcW w:w="6770" w:type="dxa"/>
        </w:tcPr>
        <w:p w:rsidR="00202676" w:rsidRDefault="003F0206" w:rsidP="00A72110">
          <w:pPr>
            <w:spacing w:after="0" w:line="256" w:lineRule="auto"/>
            <w:ind w:right="204"/>
            <w:jc w:val="right"/>
            <w:rPr>
              <w:rFonts w:ascii="Palatino Linotype" w:eastAsia="Palatino Linotype" w:hAnsi="Palatino Linotype" w:cs="Palatino Linotype"/>
              <w:b/>
              <w:bCs/>
              <w:sz w:val="24"/>
              <w:szCs w:val="24"/>
            </w:rPr>
          </w:pPr>
          <w:r>
            <w:rPr>
              <w:rFonts w:ascii="Palatino Linotype" w:eastAsia="Palatino Linotype" w:hAnsi="Palatino Linotype" w:cs="Palatino Linotype"/>
              <w:b/>
              <w:bCs/>
              <w:sz w:val="24"/>
              <w:szCs w:val="24"/>
            </w:rPr>
            <w:t>Sujeto Obligado:</w:t>
          </w:r>
        </w:p>
      </w:tc>
      <w:tc>
        <w:tcPr>
          <w:tcW w:w="3828" w:type="dxa"/>
        </w:tcPr>
        <w:p w:rsidR="00202676" w:rsidRDefault="00507DA8" w:rsidP="00507DA8">
          <w:pPr>
            <w:spacing w:after="0" w:line="256" w:lineRule="auto"/>
            <w:ind w:left="72" w:right="214"/>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w:t>
          </w:r>
          <w:r w:rsidR="00211F7D">
            <w:rPr>
              <w:rFonts w:ascii="Palatino Linotype" w:eastAsia="Palatino Linotype" w:hAnsi="Palatino Linotype" w:cs="Palatino Linotype"/>
              <w:sz w:val="24"/>
              <w:szCs w:val="24"/>
            </w:rPr>
            <w:t xml:space="preserve"> </w:t>
          </w:r>
        </w:p>
      </w:tc>
    </w:tr>
    <w:tr w:rsidR="00202676">
      <w:trPr>
        <w:trHeight w:val="342"/>
      </w:trPr>
      <w:tc>
        <w:tcPr>
          <w:tcW w:w="6770" w:type="dxa"/>
        </w:tcPr>
        <w:p w:rsidR="00202676" w:rsidRDefault="003F0206" w:rsidP="00A72110">
          <w:pPr>
            <w:tabs>
              <w:tab w:val="left" w:pos="4892"/>
            </w:tabs>
            <w:spacing w:after="0" w:line="256" w:lineRule="auto"/>
            <w:ind w:right="204"/>
            <w:jc w:val="right"/>
            <w:rPr>
              <w:rFonts w:ascii="Palatino Linotype" w:eastAsia="Palatino Linotype" w:hAnsi="Palatino Linotype" w:cs="Palatino Linotype"/>
              <w:b/>
              <w:bCs/>
              <w:sz w:val="24"/>
              <w:szCs w:val="24"/>
            </w:rPr>
          </w:pPr>
          <w:r>
            <w:rPr>
              <w:rFonts w:ascii="Palatino Linotype" w:eastAsia="Palatino Linotype" w:hAnsi="Palatino Linotype" w:cs="Palatino Linotype"/>
              <w:b/>
              <w:bCs/>
              <w:sz w:val="24"/>
              <w:szCs w:val="24"/>
            </w:rPr>
            <w:t>Recurrente:</w:t>
          </w:r>
        </w:p>
      </w:tc>
      <w:tc>
        <w:tcPr>
          <w:tcW w:w="3828" w:type="dxa"/>
        </w:tcPr>
        <w:p w:rsidR="00202676" w:rsidRDefault="003F0206" w:rsidP="00507DA8">
          <w:pPr>
            <w:spacing w:after="0" w:line="256" w:lineRule="auto"/>
            <w:ind w:left="72" w:right="214"/>
            <w:rPr>
              <w:rFonts w:ascii="Palatino Linotype" w:eastAsia="Palatino Linotype" w:hAnsi="Palatino Linotype" w:cs="Palatino Linotype"/>
              <w:sz w:val="26"/>
              <w:szCs w:val="26"/>
            </w:rPr>
          </w:pPr>
          <w:r>
            <w:rPr>
              <w:rFonts w:ascii="Palatino Linotype" w:eastAsia="Palatino Linotype" w:hAnsi="Palatino Linotype" w:cs="Palatino Linotype"/>
              <w:color w:val="000000"/>
              <w:sz w:val="24"/>
              <w:szCs w:val="24"/>
            </w:rPr>
            <w:t>Ayuntamiento de Tecámac</w:t>
          </w:r>
        </w:p>
      </w:tc>
    </w:tr>
    <w:tr w:rsidR="00202676">
      <w:trPr>
        <w:trHeight w:val="342"/>
      </w:trPr>
      <w:tc>
        <w:tcPr>
          <w:tcW w:w="6770" w:type="dxa"/>
        </w:tcPr>
        <w:p w:rsidR="00202676" w:rsidRDefault="00A72110" w:rsidP="00A72110">
          <w:pPr>
            <w:tabs>
              <w:tab w:val="left" w:pos="4892"/>
            </w:tabs>
            <w:spacing w:after="0" w:line="256" w:lineRule="auto"/>
            <w:ind w:right="204"/>
            <w:jc w:val="right"/>
            <w:rPr>
              <w:rFonts w:ascii="Palatino Linotype" w:eastAsia="Palatino Linotype" w:hAnsi="Palatino Linotype" w:cs="Palatino Linotype"/>
              <w:b/>
              <w:bCs/>
              <w:sz w:val="24"/>
              <w:szCs w:val="24"/>
            </w:rPr>
          </w:pPr>
          <w:r>
            <w:rPr>
              <w:rFonts w:ascii="Palatino Linotype" w:eastAsia="Palatino Linotype" w:hAnsi="Palatino Linotype" w:cs="Palatino Linotype"/>
              <w:noProof/>
              <w:color w:val="000000"/>
              <w:lang w:val="es-MX"/>
            </w:rPr>
            <w:drawing>
              <wp:anchor distT="0" distB="0" distL="0" distR="0" simplePos="0" relativeHeight="251659264" behindDoc="1" locked="0" layoutInCell="1" hidden="0" allowOverlap="1">
                <wp:simplePos x="0" y="0"/>
                <wp:positionH relativeFrom="margin">
                  <wp:posOffset>-523049</wp:posOffset>
                </wp:positionH>
                <wp:positionV relativeFrom="page">
                  <wp:posOffset>-1044575</wp:posOffset>
                </wp:positionV>
                <wp:extent cx="7705725" cy="9987915"/>
                <wp:effectExtent l="0" t="0" r="0" b="0"/>
                <wp:wrapNone/>
                <wp:docPr id="14" name="image1.jpg" descr="logo infoem"/>
                <wp:cNvGraphicFramePr/>
                <a:graphic xmlns:a="http://schemas.openxmlformats.org/drawingml/2006/main">
                  <a:graphicData uri="http://schemas.openxmlformats.org/drawingml/2006/picture">
                    <pic:pic xmlns:pic="http://schemas.openxmlformats.org/drawingml/2006/picture">
                      <pic:nvPicPr>
                        <pic:cNvPr id="0" name="image1.jpg" descr="logo infoem"/>
                        <pic:cNvPicPr preferRelativeResize="0"/>
                      </pic:nvPicPr>
                      <pic:blipFill>
                        <a:blip r:embed="rId1"/>
                        <a:srcRect/>
                        <a:stretch>
                          <a:fillRect/>
                        </a:stretch>
                      </pic:blipFill>
                      <pic:spPr>
                        <a:xfrm>
                          <a:off x="0" y="0"/>
                          <a:ext cx="7705725" cy="9987915"/>
                        </a:xfrm>
                        <a:prstGeom prst="rect">
                          <a:avLst/>
                        </a:prstGeom>
                        <a:ln/>
                      </pic:spPr>
                    </pic:pic>
                  </a:graphicData>
                </a:graphic>
              </wp:anchor>
            </w:drawing>
          </w:r>
          <w:r w:rsidR="003F0206">
            <w:rPr>
              <w:rFonts w:ascii="Palatino Linotype" w:eastAsia="Palatino Linotype" w:hAnsi="Palatino Linotype" w:cs="Palatino Linotype"/>
              <w:b/>
              <w:bCs/>
              <w:sz w:val="24"/>
              <w:szCs w:val="24"/>
            </w:rPr>
            <w:t>Comisionado Ponente:</w:t>
          </w:r>
        </w:p>
      </w:tc>
      <w:tc>
        <w:tcPr>
          <w:tcW w:w="3828" w:type="dxa"/>
        </w:tcPr>
        <w:p w:rsidR="00202676" w:rsidRDefault="003F0206" w:rsidP="00507DA8">
          <w:pPr>
            <w:spacing w:after="0" w:line="256" w:lineRule="auto"/>
            <w:ind w:left="72" w:right="214"/>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María del Rosario Mejía Ayala</w:t>
          </w:r>
        </w:p>
      </w:tc>
    </w:tr>
  </w:tbl>
  <w:p w:rsidR="00202676" w:rsidRDefault="00202676">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54ABE"/>
    <w:multiLevelType w:val="multilevel"/>
    <w:tmpl w:val="3206823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42DD4B75"/>
    <w:multiLevelType w:val="multilevel"/>
    <w:tmpl w:val="FF12019E"/>
    <w:lvl w:ilvl="0">
      <w:start w:val="1"/>
      <w:numFmt w:val="decimal"/>
      <w:lvlText w:val="%1."/>
      <w:lvlJc w:val="left"/>
      <w:pPr>
        <w:ind w:left="720" w:hanging="360"/>
      </w:pPr>
      <w:rPr>
        <w:rFonts w:ascii="Palatino Linotype" w:eastAsia="Palatino Linotype" w:hAnsi="Palatino Linotype" w:cs="Palatino Linotype"/>
        <w:b/>
        <w:bCs/>
        <w:i w:val="0"/>
        <w:iCs w:val="0"/>
        <w:sz w:val="24"/>
        <w:szCs w:val="24"/>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BF316C7"/>
    <w:multiLevelType w:val="multilevel"/>
    <w:tmpl w:val="0002AF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D6E73D1"/>
    <w:multiLevelType w:val="multilevel"/>
    <w:tmpl w:val="CBB8CE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676"/>
    <w:rsid w:val="00202676"/>
    <w:rsid w:val="00211F7D"/>
    <w:rsid w:val="003866CF"/>
    <w:rsid w:val="003B4C05"/>
    <w:rsid w:val="003F0206"/>
    <w:rsid w:val="00507DA8"/>
    <w:rsid w:val="00A72110"/>
    <w:rsid w:val="00B80D96"/>
    <w:rsid w:val="00F339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9DA4FF9-D236-4753-B479-8635E3BB0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paragraph" w:styleId="Encabezado">
    <w:name w:val="header"/>
    <w:basedOn w:val="Normal"/>
    <w:link w:val="EncabezadoCar"/>
    <w:uiPriority w:val="99"/>
    <w:unhideWhenUsed/>
    <w:rsid w:val="00211F7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11F7D"/>
  </w:style>
  <w:style w:type="paragraph" w:styleId="Piedepgina">
    <w:name w:val="footer"/>
    <w:basedOn w:val="Normal"/>
    <w:link w:val="PiedepginaCar"/>
    <w:uiPriority w:val="99"/>
    <w:unhideWhenUsed/>
    <w:rsid w:val="00211F7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11F7D"/>
  </w:style>
  <w:style w:type="paragraph" w:styleId="Prrafodelista">
    <w:name w:val="List Paragraph"/>
    <w:basedOn w:val="Normal"/>
    <w:uiPriority w:val="34"/>
    <w:qFormat/>
    <w:rsid w:val="00A721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2642890.pag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aimex.org.mx/saimex/solicitud/downloadAttach/2661409.page"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3/g8kAaCTTT1XLBuTjVh2Thw8g==">CgMxLjAyCWguM2R5NnZrbTIJaC4xdDNoNXNmMgloLjRkMzRvZzgyDmguYWszcjg0a2FlY2FuMgloLjJzOGV5bzEyCWguMTdkcDh2dTIOaC5wenAyeG4zZHc5M3MyCGguZ2pkZ3hzMgloLjMwajB6bGw4AHIhMWg0UWZIQ2JHVkJuaXM1Ulg0YVJaeEtGYzVuS29PVlNy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27</Pages>
  <Words>6259</Words>
  <Characters>34427</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40605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INFOEM574</dc:creator>
  <cp:lastModifiedBy>Cuenta Microsoft</cp:lastModifiedBy>
  <cp:revision>6</cp:revision>
  <cp:lastPrinted>2026-06-29T15:55:00Z</cp:lastPrinted>
  <dcterms:created xsi:type="dcterms:W3CDTF">2026-06-24T16:42:00Z</dcterms:created>
  <dcterms:modified xsi:type="dcterms:W3CDTF">2026-07-02T19:38:00Z</dcterms:modified>
</cp:coreProperties>
</file>