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Palatino Linotype" w:eastAsia="Palatino Linotype" w:hAnsi="Palatino Linotype" w:cs="Palatino Linotype"/>
          <w:color w:val="auto"/>
          <w:sz w:val="22"/>
          <w:szCs w:val="22"/>
          <w:lang w:val="es-ES"/>
        </w:rPr>
        <w:id w:val="1465930929"/>
        <w:docPartObj>
          <w:docPartGallery w:val="Table of Contents"/>
          <w:docPartUnique/>
        </w:docPartObj>
      </w:sdtPr>
      <w:sdtEndPr>
        <w:rPr>
          <w:b/>
          <w:bCs/>
        </w:rPr>
      </w:sdtEndPr>
      <w:sdtContent>
        <w:p w14:paraId="1991F2E1" w14:textId="79ED9D17" w:rsidR="00E363ED" w:rsidRDefault="00E363ED">
          <w:pPr>
            <w:pStyle w:val="TtuloTDC"/>
          </w:pPr>
          <w:r>
            <w:rPr>
              <w:lang w:val="es-ES"/>
            </w:rPr>
            <w:t>Tabla de contenido</w:t>
          </w:r>
        </w:p>
        <w:p w14:paraId="2FC52A55" w14:textId="66C5CDCA" w:rsidR="002B2CDD" w:rsidRDefault="00E363ED">
          <w:pPr>
            <w:pStyle w:val="TDC1"/>
            <w:tabs>
              <w:tab w:val="right" w:leader="dot" w:pos="9204"/>
            </w:tabs>
            <w:rPr>
              <w:rFonts w:asciiTheme="minorHAnsi" w:eastAsiaTheme="minorEastAsia" w:hAnsiTheme="minorHAnsi" w:cstheme="minorBidi"/>
              <w:noProof/>
              <w:kern w:val="2"/>
              <w14:ligatures w14:val="standardContextual"/>
            </w:rPr>
          </w:pPr>
          <w:r>
            <w:rPr>
              <w:b/>
              <w:bCs/>
              <w:lang w:val="es-ES"/>
            </w:rPr>
            <w:fldChar w:fldCharType="begin"/>
          </w:r>
          <w:r>
            <w:rPr>
              <w:b/>
              <w:bCs/>
              <w:lang w:val="es-ES"/>
            </w:rPr>
            <w:instrText xml:space="preserve"> TOC \o "1-3" \h \z \u </w:instrText>
          </w:r>
          <w:r>
            <w:rPr>
              <w:b/>
              <w:bCs/>
              <w:lang w:val="es-ES"/>
            </w:rPr>
            <w:fldChar w:fldCharType="separate"/>
          </w:r>
          <w:hyperlink w:anchor="_Toc221809869" w:history="1">
            <w:r w:rsidR="002B2CDD" w:rsidRPr="007E2E85">
              <w:rPr>
                <w:rStyle w:val="Hipervnculo"/>
                <w:noProof/>
              </w:rPr>
              <w:t>A N T E C E D E N T E S</w:t>
            </w:r>
            <w:r w:rsidR="002B2CDD">
              <w:rPr>
                <w:noProof/>
                <w:webHidden/>
              </w:rPr>
              <w:tab/>
            </w:r>
            <w:r w:rsidR="002B2CDD">
              <w:rPr>
                <w:noProof/>
                <w:webHidden/>
              </w:rPr>
              <w:fldChar w:fldCharType="begin"/>
            </w:r>
            <w:r w:rsidR="002B2CDD">
              <w:rPr>
                <w:noProof/>
                <w:webHidden/>
              </w:rPr>
              <w:instrText xml:space="preserve"> PAGEREF _Toc221809869 \h </w:instrText>
            </w:r>
            <w:r w:rsidR="002B2CDD">
              <w:rPr>
                <w:noProof/>
                <w:webHidden/>
              </w:rPr>
            </w:r>
            <w:r w:rsidR="002B2CDD">
              <w:rPr>
                <w:noProof/>
                <w:webHidden/>
              </w:rPr>
              <w:fldChar w:fldCharType="separate"/>
            </w:r>
            <w:r w:rsidR="00583531">
              <w:rPr>
                <w:noProof/>
                <w:webHidden/>
              </w:rPr>
              <w:t>2</w:t>
            </w:r>
            <w:r w:rsidR="002B2CDD">
              <w:rPr>
                <w:noProof/>
                <w:webHidden/>
              </w:rPr>
              <w:fldChar w:fldCharType="end"/>
            </w:r>
          </w:hyperlink>
        </w:p>
        <w:p w14:paraId="39F5C72F" w14:textId="1AED7230" w:rsidR="002B2CDD" w:rsidRDefault="002B2CDD">
          <w:pPr>
            <w:pStyle w:val="TDC2"/>
            <w:tabs>
              <w:tab w:val="right" w:leader="dot" w:pos="9204"/>
            </w:tabs>
            <w:rPr>
              <w:rFonts w:asciiTheme="minorHAnsi" w:eastAsiaTheme="minorEastAsia" w:hAnsiTheme="minorHAnsi" w:cstheme="minorBidi"/>
              <w:noProof/>
              <w:kern w:val="2"/>
              <w14:ligatures w14:val="standardContextual"/>
            </w:rPr>
          </w:pPr>
          <w:hyperlink w:anchor="_Toc221809870" w:history="1">
            <w:r w:rsidRPr="007E2E85">
              <w:rPr>
                <w:rStyle w:val="Hipervnculo"/>
                <w:noProof/>
              </w:rPr>
              <w:t>I. Presentación de la solicitud de información</w:t>
            </w:r>
            <w:r>
              <w:rPr>
                <w:noProof/>
                <w:webHidden/>
              </w:rPr>
              <w:tab/>
            </w:r>
            <w:r>
              <w:rPr>
                <w:noProof/>
                <w:webHidden/>
              </w:rPr>
              <w:fldChar w:fldCharType="begin"/>
            </w:r>
            <w:r>
              <w:rPr>
                <w:noProof/>
                <w:webHidden/>
              </w:rPr>
              <w:instrText xml:space="preserve"> PAGEREF _Toc221809870 \h </w:instrText>
            </w:r>
            <w:r>
              <w:rPr>
                <w:noProof/>
                <w:webHidden/>
              </w:rPr>
            </w:r>
            <w:r>
              <w:rPr>
                <w:noProof/>
                <w:webHidden/>
              </w:rPr>
              <w:fldChar w:fldCharType="separate"/>
            </w:r>
            <w:r w:rsidR="00583531">
              <w:rPr>
                <w:noProof/>
                <w:webHidden/>
              </w:rPr>
              <w:t>2</w:t>
            </w:r>
            <w:r>
              <w:rPr>
                <w:noProof/>
                <w:webHidden/>
              </w:rPr>
              <w:fldChar w:fldCharType="end"/>
            </w:r>
          </w:hyperlink>
        </w:p>
        <w:p w14:paraId="24E73AC8" w14:textId="37A9114E" w:rsidR="002B2CDD" w:rsidRDefault="002B2CDD">
          <w:pPr>
            <w:pStyle w:val="TDC2"/>
            <w:tabs>
              <w:tab w:val="right" w:leader="dot" w:pos="9204"/>
            </w:tabs>
            <w:rPr>
              <w:rFonts w:asciiTheme="minorHAnsi" w:eastAsiaTheme="minorEastAsia" w:hAnsiTheme="minorHAnsi" w:cstheme="minorBidi"/>
              <w:noProof/>
              <w:kern w:val="2"/>
              <w14:ligatures w14:val="standardContextual"/>
            </w:rPr>
          </w:pPr>
          <w:hyperlink w:anchor="_Toc221809871" w:history="1">
            <w:r w:rsidRPr="007E2E85">
              <w:rPr>
                <w:rStyle w:val="Hipervnculo"/>
                <w:noProof/>
              </w:rPr>
              <w:t>II. Respuesta del Sujeto Obligado</w:t>
            </w:r>
            <w:r>
              <w:rPr>
                <w:noProof/>
                <w:webHidden/>
              </w:rPr>
              <w:tab/>
            </w:r>
            <w:r>
              <w:rPr>
                <w:noProof/>
                <w:webHidden/>
              </w:rPr>
              <w:fldChar w:fldCharType="begin"/>
            </w:r>
            <w:r>
              <w:rPr>
                <w:noProof/>
                <w:webHidden/>
              </w:rPr>
              <w:instrText xml:space="preserve"> PAGEREF _Toc221809871 \h </w:instrText>
            </w:r>
            <w:r>
              <w:rPr>
                <w:noProof/>
                <w:webHidden/>
              </w:rPr>
            </w:r>
            <w:r>
              <w:rPr>
                <w:noProof/>
                <w:webHidden/>
              </w:rPr>
              <w:fldChar w:fldCharType="separate"/>
            </w:r>
            <w:r w:rsidR="00583531">
              <w:rPr>
                <w:noProof/>
                <w:webHidden/>
              </w:rPr>
              <w:t>3</w:t>
            </w:r>
            <w:r>
              <w:rPr>
                <w:noProof/>
                <w:webHidden/>
              </w:rPr>
              <w:fldChar w:fldCharType="end"/>
            </w:r>
          </w:hyperlink>
        </w:p>
        <w:p w14:paraId="55C6C2ED" w14:textId="51EE5AAA" w:rsidR="002B2CDD" w:rsidRDefault="002B2CDD">
          <w:pPr>
            <w:pStyle w:val="TDC2"/>
            <w:tabs>
              <w:tab w:val="right" w:leader="dot" w:pos="9204"/>
            </w:tabs>
            <w:rPr>
              <w:rFonts w:asciiTheme="minorHAnsi" w:eastAsiaTheme="minorEastAsia" w:hAnsiTheme="minorHAnsi" w:cstheme="minorBidi"/>
              <w:noProof/>
              <w:kern w:val="2"/>
              <w14:ligatures w14:val="standardContextual"/>
            </w:rPr>
          </w:pPr>
          <w:hyperlink w:anchor="_Toc221809872" w:history="1">
            <w:r w:rsidRPr="007E2E85">
              <w:rPr>
                <w:rStyle w:val="Hipervnculo"/>
                <w:noProof/>
              </w:rPr>
              <w:t>III. Interposición del Recurso de Revisión</w:t>
            </w:r>
            <w:r>
              <w:rPr>
                <w:noProof/>
                <w:webHidden/>
              </w:rPr>
              <w:tab/>
            </w:r>
            <w:r>
              <w:rPr>
                <w:noProof/>
                <w:webHidden/>
              </w:rPr>
              <w:fldChar w:fldCharType="begin"/>
            </w:r>
            <w:r>
              <w:rPr>
                <w:noProof/>
                <w:webHidden/>
              </w:rPr>
              <w:instrText xml:space="preserve"> PAGEREF _Toc221809872 \h </w:instrText>
            </w:r>
            <w:r>
              <w:rPr>
                <w:noProof/>
                <w:webHidden/>
              </w:rPr>
            </w:r>
            <w:r>
              <w:rPr>
                <w:noProof/>
                <w:webHidden/>
              </w:rPr>
              <w:fldChar w:fldCharType="separate"/>
            </w:r>
            <w:r w:rsidR="00583531">
              <w:rPr>
                <w:noProof/>
                <w:webHidden/>
              </w:rPr>
              <w:t>3</w:t>
            </w:r>
            <w:r>
              <w:rPr>
                <w:noProof/>
                <w:webHidden/>
              </w:rPr>
              <w:fldChar w:fldCharType="end"/>
            </w:r>
          </w:hyperlink>
        </w:p>
        <w:p w14:paraId="4530E7BF" w14:textId="64AD9DBB" w:rsidR="002B2CDD" w:rsidRDefault="002B2CDD">
          <w:pPr>
            <w:pStyle w:val="TDC2"/>
            <w:tabs>
              <w:tab w:val="right" w:leader="dot" w:pos="9204"/>
            </w:tabs>
            <w:rPr>
              <w:rFonts w:asciiTheme="minorHAnsi" w:eastAsiaTheme="minorEastAsia" w:hAnsiTheme="minorHAnsi" w:cstheme="minorBidi"/>
              <w:noProof/>
              <w:kern w:val="2"/>
              <w14:ligatures w14:val="standardContextual"/>
            </w:rPr>
          </w:pPr>
          <w:hyperlink w:anchor="_Toc221809873" w:history="1">
            <w:r w:rsidRPr="007E2E85">
              <w:rPr>
                <w:rStyle w:val="Hipervnculo"/>
                <w:noProof/>
              </w:rPr>
              <w:t>IV. Trámite del Recurso de Revisión ante este Instituto</w:t>
            </w:r>
            <w:r>
              <w:rPr>
                <w:noProof/>
                <w:webHidden/>
              </w:rPr>
              <w:tab/>
            </w:r>
            <w:r>
              <w:rPr>
                <w:noProof/>
                <w:webHidden/>
              </w:rPr>
              <w:fldChar w:fldCharType="begin"/>
            </w:r>
            <w:r>
              <w:rPr>
                <w:noProof/>
                <w:webHidden/>
              </w:rPr>
              <w:instrText xml:space="preserve"> PAGEREF _Toc221809873 \h </w:instrText>
            </w:r>
            <w:r>
              <w:rPr>
                <w:noProof/>
                <w:webHidden/>
              </w:rPr>
            </w:r>
            <w:r>
              <w:rPr>
                <w:noProof/>
                <w:webHidden/>
              </w:rPr>
              <w:fldChar w:fldCharType="separate"/>
            </w:r>
            <w:r w:rsidR="00583531">
              <w:rPr>
                <w:noProof/>
                <w:webHidden/>
              </w:rPr>
              <w:t>4</w:t>
            </w:r>
            <w:r>
              <w:rPr>
                <w:noProof/>
                <w:webHidden/>
              </w:rPr>
              <w:fldChar w:fldCharType="end"/>
            </w:r>
          </w:hyperlink>
        </w:p>
        <w:p w14:paraId="00376893" w14:textId="7682831C" w:rsidR="002B2CDD" w:rsidRDefault="002B2CDD">
          <w:pPr>
            <w:pStyle w:val="TDC1"/>
            <w:tabs>
              <w:tab w:val="right" w:leader="dot" w:pos="9204"/>
            </w:tabs>
            <w:rPr>
              <w:rFonts w:asciiTheme="minorHAnsi" w:eastAsiaTheme="minorEastAsia" w:hAnsiTheme="minorHAnsi" w:cstheme="minorBidi"/>
              <w:noProof/>
              <w:kern w:val="2"/>
              <w14:ligatures w14:val="standardContextual"/>
            </w:rPr>
          </w:pPr>
          <w:hyperlink w:anchor="_Toc221809874" w:history="1">
            <w:r w:rsidRPr="007E2E85">
              <w:rPr>
                <w:rStyle w:val="Hipervnculo"/>
                <w:noProof/>
              </w:rPr>
              <w:t>C O N S I D E R A N D O S</w:t>
            </w:r>
            <w:r>
              <w:rPr>
                <w:noProof/>
                <w:webHidden/>
              </w:rPr>
              <w:tab/>
            </w:r>
            <w:r>
              <w:rPr>
                <w:noProof/>
                <w:webHidden/>
              </w:rPr>
              <w:fldChar w:fldCharType="begin"/>
            </w:r>
            <w:r>
              <w:rPr>
                <w:noProof/>
                <w:webHidden/>
              </w:rPr>
              <w:instrText xml:space="preserve"> PAGEREF _Toc221809874 \h </w:instrText>
            </w:r>
            <w:r>
              <w:rPr>
                <w:noProof/>
                <w:webHidden/>
              </w:rPr>
            </w:r>
            <w:r>
              <w:rPr>
                <w:noProof/>
                <w:webHidden/>
              </w:rPr>
              <w:fldChar w:fldCharType="separate"/>
            </w:r>
            <w:r w:rsidR="00583531">
              <w:rPr>
                <w:noProof/>
                <w:webHidden/>
              </w:rPr>
              <w:t>7</w:t>
            </w:r>
            <w:r>
              <w:rPr>
                <w:noProof/>
                <w:webHidden/>
              </w:rPr>
              <w:fldChar w:fldCharType="end"/>
            </w:r>
          </w:hyperlink>
        </w:p>
        <w:p w14:paraId="68B38F3D" w14:textId="4ACA6ABA" w:rsidR="002B2CDD" w:rsidRDefault="002B2CDD">
          <w:pPr>
            <w:pStyle w:val="TDC2"/>
            <w:tabs>
              <w:tab w:val="right" w:leader="dot" w:pos="9204"/>
            </w:tabs>
            <w:rPr>
              <w:rFonts w:asciiTheme="minorHAnsi" w:eastAsiaTheme="minorEastAsia" w:hAnsiTheme="minorHAnsi" w:cstheme="minorBidi"/>
              <w:noProof/>
              <w:kern w:val="2"/>
              <w14:ligatures w14:val="standardContextual"/>
            </w:rPr>
          </w:pPr>
          <w:hyperlink w:anchor="_Toc221809875" w:history="1">
            <w:r w:rsidRPr="007E2E85">
              <w:rPr>
                <w:rStyle w:val="Hipervnculo"/>
                <w:noProof/>
              </w:rPr>
              <w:t>PRIMERO. Competencia</w:t>
            </w:r>
            <w:r>
              <w:rPr>
                <w:noProof/>
                <w:webHidden/>
              </w:rPr>
              <w:tab/>
            </w:r>
            <w:r>
              <w:rPr>
                <w:noProof/>
                <w:webHidden/>
              </w:rPr>
              <w:fldChar w:fldCharType="begin"/>
            </w:r>
            <w:r>
              <w:rPr>
                <w:noProof/>
                <w:webHidden/>
              </w:rPr>
              <w:instrText xml:space="preserve"> PAGEREF _Toc221809875 \h </w:instrText>
            </w:r>
            <w:r>
              <w:rPr>
                <w:noProof/>
                <w:webHidden/>
              </w:rPr>
            </w:r>
            <w:r>
              <w:rPr>
                <w:noProof/>
                <w:webHidden/>
              </w:rPr>
              <w:fldChar w:fldCharType="separate"/>
            </w:r>
            <w:r w:rsidR="00583531">
              <w:rPr>
                <w:noProof/>
                <w:webHidden/>
              </w:rPr>
              <w:t>7</w:t>
            </w:r>
            <w:r>
              <w:rPr>
                <w:noProof/>
                <w:webHidden/>
              </w:rPr>
              <w:fldChar w:fldCharType="end"/>
            </w:r>
          </w:hyperlink>
        </w:p>
        <w:p w14:paraId="4B8B0E13" w14:textId="6B8AC2F7" w:rsidR="002B2CDD" w:rsidRDefault="002B2CDD">
          <w:pPr>
            <w:pStyle w:val="TDC2"/>
            <w:tabs>
              <w:tab w:val="right" w:leader="dot" w:pos="9204"/>
            </w:tabs>
            <w:rPr>
              <w:rFonts w:asciiTheme="minorHAnsi" w:eastAsiaTheme="minorEastAsia" w:hAnsiTheme="minorHAnsi" w:cstheme="minorBidi"/>
              <w:noProof/>
              <w:kern w:val="2"/>
              <w14:ligatures w14:val="standardContextual"/>
            </w:rPr>
          </w:pPr>
          <w:hyperlink w:anchor="_Toc221809876" w:history="1">
            <w:r w:rsidRPr="007E2E85">
              <w:rPr>
                <w:rStyle w:val="Hipervnculo"/>
                <w:noProof/>
              </w:rPr>
              <w:t>SEGUNDO. Causales de improcedencia y sobreseimiento</w:t>
            </w:r>
            <w:r>
              <w:rPr>
                <w:noProof/>
                <w:webHidden/>
              </w:rPr>
              <w:tab/>
            </w:r>
            <w:r>
              <w:rPr>
                <w:noProof/>
                <w:webHidden/>
              </w:rPr>
              <w:fldChar w:fldCharType="begin"/>
            </w:r>
            <w:r>
              <w:rPr>
                <w:noProof/>
                <w:webHidden/>
              </w:rPr>
              <w:instrText xml:space="preserve"> PAGEREF _Toc221809876 \h </w:instrText>
            </w:r>
            <w:r>
              <w:rPr>
                <w:noProof/>
                <w:webHidden/>
              </w:rPr>
            </w:r>
            <w:r>
              <w:rPr>
                <w:noProof/>
                <w:webHidden/>
              </w:rPr>
              <w:fldChar w:fldCharType="separate"/>
            </w:r>
            <w:r w:rsidR="00583531">
              <w:rPr>
                <w:noProof/>
                <w:webHidden/>
              </w:rPr>
              <w:t>8</w:t>
            </w:r>
            <w:r>
              <w:rPr>
                <w:noProof/>
                <w:webHidden/>
              </w:rPr>
              <w:fldChar w:fldCharType="end"/>
            </w:r>
          </w:hyperlink>
        </w:p>
        <w:p w14:paraId="30A7BAE2" w14:textId="228A8581" w:rsidR="002B2CDD" w:rsidRDefault="002B2CDD">
          <w:pPr>
            <w:pStyle w:val="TDC2"/>
            <w:tabs>
              <w:tab w:val="right" w:leader="dot" w:pos="9204"/>
            </w:tabs>
            <w:rPr>
              <w:rFonts w:asciiTheme="minorHAnsi" w:eastAsiaTheme="minorEastAsia" w:hAnsiTheme="minorHAnsi" w:cstheme="minorBidi"/>
              <w:noProof/>
              <w:kern w:val="2"/>
              <w14:ligatures w14:val="standardContextual"/>
            </w:rPr>
          </w:pPr>
          <w:hyperlink w:anchor="_Toc221809877" w:history="1">
            <w:r w:rsidRPr="007E2E85">
              <w:rPr>
                <w:rStyle w:val="Hipervnculo"/>
                <w:noProof/>
              </w:rPr>
              <w:t>TERCERO. Determinación de la Controversia</w:t>
            </w:r>
            <w:r>
              <w:rPr>
                <w:noProof/>
                <w:webHidden/>
              </w:rPr>
              <w:tab/>
            </w:r>
            <w:r>
              <w:rPr>
                <w:noProof/>
                <w:webHidden/>
              </w:rPr>
              <w:fldChar w:fldCharType="begin"/>
            </w:r>
            <w:r>
              <w:rPr>
                <w:noProof/>
                <w:webHidden/>
              </w:rPr>
              <w:instrText xml:space="preserve"> PAGEREF _Toc221809877 \h </w:instrText>
            </w:r>
            <w:r>
              <w:rPr>
                <w:noProof/>
                <w:webHidden/>
              </w:rPr>
            </w:r>
            <w:r>
              <w:rPr>
                <w:noProof/>
                <w:webHidden/>
              </w:rPr>
              <w:fldChar w:fldCharType="separate"/>
            </w:r>
            <w:r w:rsidR="00583531">
              <w:rPr>
                <w:noProof/>
                <w:webHidden/>
              </w:rPr>
              <w:t>9</w:t>
            </w:r>
            <w:r>
              <w:rPr>
                <w:noProof/>
                <w:webHidden/>
              </w:rPr>
              <w:fldChar w:fldCharType="end"/>
            </w:r>
          </w:hyperlink>
        </w:p>
        <w:p w14:paraId="2DB92A9F" w14:textId="3139925A" w:rsidR="002B2CDD" w:rsidRDefault="002B2CDD">
          <w:pPr>
            <w:pStyle w:val="TDC2"/>
            <w:tabs>
              <w:tab w:val="right" w:leader="dot" w:pos="9204"/>
            </w:tabs>
            <w:rPr>
              <w:rFonts w:asciiTheme="minorHAnsi" w:eastAsiaTheme="minorEastAsia" w:hAnsiTheme="minorHAnsi" w:cstheme="minorBidi"/>
              <w:noProof/>
              <w:kern w:val="2"/>
              <w14:ligatures w14:val="standardContextual"/>
            </w:rPr>
          </w:pPr>
          <w:hyperlink w:anchor="_Toc221809878" w:history="1">
            <w:r w:rsidRPr="007E2E85">
              <w:rPr>
                <w:rStyle w:val="Hipervnculo"/>
                <w:noProof/>
              </w:rPr>
              <w:t>CUARTO. Marco normativo aplicable en materia de transparencia y acceso a la información pública</w:t>
            </w:r>
            <w:r>
              <w:rPr>
                <w:noProof/>
                <w:webHidden/>
              </w:rPr>
              <w:tab/>
            </w:r>
            <w:r>
              <w:rPr>
                <w:noProof/>
                <w:webHidden/>
              </w:rPr>
              <w:fldChar w:fldCharType="begin"/>
            </w:r>
            <w:r>
              <w:rPr>
                <w:noProof/>
                <w:webHidden/>
              </w:rPr>
              <w:instrText xml:space="preserve"> PAGEREF _Toc221809878 \h </w:instrText>
            </w:r>
            <w:r>
              <w:rPr>
                <w:noProof/>
                <w:webHidden/>
              </w:rPr>
            </w:r>
            <w:r>
              <w:rPr>
                <w:noProof/>
                <w:webHidden/>
              </w:rPr>
              <w:fldChar w:fldCharType="separate"/>
            </w:r>
            <w:r w:rsidR="00583531">
              <w:rPr>
                <w:noProof/>
                <w:webHidden/>
              </w:rPr>
              <w:t>10</w:t>
            </w:r>
            <w:r>
              <w:rPr>
                <w:noProof/>
                <w:webHidden/>
              </w:rPr>
              <w:fldChar w:fldCharType="end"/>
            </w:r>
          </w:hyperlink>
        </w:p>
        <w:p w14:paraId="33A4EA48" w14:textId="0782422B" w:rsidR="002B2CDD" w:rsidRDefault="002B2CDD">
          <w:pPr>
            <w:pStyle w:val="TDC2"/>
            <w:tabs>
              <w:tab w:val="right" w:leader="dot" w:pos="9204"/>
            </w:tabs>
            <w:rPr>
              <w:rFonts w:asciiTheme="minorHAnsi" w:eastAsiaTheme="minorEastAsia" w:hAnsiTheme="minorHAnsi" w:cstheme="minorBidi"/>
              <w:noProof/>
              <w:kern w:val="2"/>
              <w14:ligatures w14:val="standardContextual"/>
            </w:rPr>
          </w:pPr>
          <w:hyperlink w:anchor="_Toc221809879" w:history="1">
            <w:r w:rsidRPr="007E2E85">
              <w:rPr>
                <w:rStyle w:val="Hipervnculo"/>
                <w:smallCaps/>
                <w:noProof/>
              </w:rPr>
              <w:t>QUINTO.</w:t>
            </w:r>
            <w:r w:rsidRPr="007E2E85">
              <w:rPr>
                <w:rStyle w:val="Hipervnculo"/>
                <w:noProof/>
              </w:rPr>
              <w:t xml:space="preserve"> Estudio de Fondo</w:t>
            </w:r>
            <w:r>
              <w:rPr>
                <w:noProof/>
                <w:webHidden/>
              </w:rPr>
              <w:tab/>
            </w:r>
            <w:r>
              <w:rPr>
                <w:noProof/>
                <w:webHidden/>
              </w:rPr>
              <w:fldChar w:fldCharType="begin"/>
            </w:r>
            <w:r>
              <w:rPr>
                <w:noProof/>
                <w:webHidden/>
              </w:rPr>
              <w:instrText xml:space="preserve"> PAGEREF _Toc221809879 \h </w:instrText>
            </w:r>
            <w:r>
              <w:rPr>
                <w:noProof/>
                <w:webHidden/>
              </w:rPr>
            </w:r>
            <w:r>
              <w:rPr>
                <w:noProof/>
                <w:webHidden/>
              </w:rPr>
              <w:fldChar w:fldCharType="separate"/>
            </w:r>
            <w:r w:rsidR="00583531">
              <w:rPr>
                <w:noProof/>
                <w:webHidden/>
              </w:rPr>
              <w:t>11</w:t>
            </w:r>
            <w:r>
              <w:rPr>
                <w:noProof/>
                <w:webHidden/>
              </w:rPr>
              <w:fldChar w:fldCharType="end"/>
            </w:r>
          </w:hyperlink>
        </w:p>
        <w:p w14:paraId="58BCA1CC" w14:textId="5D687F20" w:rsidR="002B2CDD" w:rsidRDefault="002B2CDD">
          <w:pPr>
            <w:pStyle w:val="TDC2"/>
            <w:tabs>
              <w:tab w:val="right" w:leader="dot" w:pos="9204"/>
            </w:tabs>
            <w:rPr>
              <w:rFonts w:asciiTheme="minorHAnsi" w:eastAsiaTheme="minorEastAsia" w:hAnsiTheme="minorHAnsi" w:cstheme="minorBidi"/>
              <w:noProof/>
              <w:kern w:val="2"/>
              <w14:ligatures w14:val="standardContextual"/>
            </w:rPr>
          </w:pPr>
          <w:hyperlink w:anchor="_Toc221809880" w:history="1">
            <w:r w:rsidRPr="007E2E85">
              <w:rPr>
                <w:rStyle w:val="Hipervnculo"/>
                <w:noProof/>
              </w:rPr>
              <w:t>SEXTO. Decisión</w:t>
            </w:r>
            <w:r>
              <w:rPr>
                <w:noProof/>
                <w:webHidden/>
              </w:rPr>
              <w:tab/>
            </w:r>
            <w:r>
              <w:rPr>
                <w:noProof/>
                <w:webHidden/>
              </w:rPr>
              <w:fldChar w:fldCharType="begin"/>
            </w:r>
            <w:r>
              <w:rPr>
                <w:noProof/>
                <w:webHidden/>
              </w:rPr>
              <w:instrText xml:space="preserve"> PAGEREF _Toc221809880 \h </w:instrText>
            </w:r>
            <w:r>
              <w:rPr>
                <w:noProof/>
                <w:webHidden/>
              </w:rPr>
            </w:r>
            <w:r>
              <w:rPr>
                <w:noProof/>
                <w:webHidden/>
              </w:rPr>
              <w:fldChar w:fldCharType="separate"/>
            </w:r>
            <w:r w:rsidR="00583531">
              <w:rPr>
                <w:noProof/>
                <w:webHidden/>
              </w:rPr>
              <w:t>40</w:t>
            </w:r>
            <w:r>
              <w:rPr>
                <w:noProof/>
                <w:webHidden/>
              </w:rPr>
              <w:fldChar w:fldCharType="end"/>
            </w:r>
          </w:hyperlink>
        </w:p>
        <w:p w14:paraId="5798008D" w14:textId="1F13D566" w:rsidR="002B2CDD" w:rsidRDefault="002B2CDD">
          <w:pPr>
            <w:pStyle w:val="TDC1"/>
            <w:tabs>
              <w:tab w:val="right" w:leader="dot" w:pos="9204"/>
            </w:tabs>
            <w:rPr>
              <w:rFonts w:asciiTheme="minorHAnsi" w:eastAsiaTheme="minorEastAsia" w:hAnsiTheme="minorHAnsi" w:cstheme="minorBidi"/>
              <w:noProof/>
              <w:kern w:val="2"/>
              <w14:ligatures w14:val="standardContextual"/>
            </w:rPr>
          </w:pPr>
          <w:hyperlink w:anchor="_Toc221809881" w:history="1">
            <w:r w:rsidRPr="007E2E85">
              <w:rPr>
                <w:rStyle w:val="Hipervnculo"/>
                <w:noProof/>
              </w:rPr>
              <w:t>R E S U E L V E</w:t>
            </w:r>
            <w:r>
              <w:rPr>
                <w:noProof/>
                <w:webHidden/>
              </w:rPr>
              <w:tab/>
            </w:r>
            <w:r>
              <w:rPr>
                <w:noProof/>
                <w:webHidden/>
              </w:rPr>
              <w:fldChar w:fldCharType="begin"/>
            </w:r>
            <w:r>
              <w:rPr>
                <w:noProof/>
                <w:webHidden/>
              </w:rPr>
              <w:instrText xml:space="preserve"> PAGEREF _Toc221809881 \h </w:instrText>
            </w:r>
            <w:r>
              <w:rPr>
                <w:noProof/>
                <w:webHidden/>
              </w:rPr>
            </w:r>
            <w:r>
              <w:rPr>
                <w:noProof/>
                <w:webHidden/>
              </w:rPr>
              <w:fldChar w:fldCharType="separate"/>
            </w:r>
            <w:r w:rsidR="00583531">
              <w:rPr>
                <w:noProof/>
                <w:webHidden/>
              </w:rPr>
              <w:t>41</w:t>
            </w:r>
            <w:r>
              <w:rPr>
                <w:noProof/>
                <w:webHidden/>
              </w:rPr>
              <w:fldChar w:fldCharType="end"/>
            </w:r>
          </w:hyperlink>
        </w:p>
        <w:p w14:paraId="0F1F5EBC" w14:textId="7D59FB35" w:rsidR="00E363ED" w:rsidRDefault="00E363ED">
          <w:r>
            <w:rPr>
              <w:b/>
              <w:bCs/>
              <w:lang w:val="es-ES"/>
            </w:rPr>
            <w:fldChar w:fldCharType="end"/>
          </w:r>
        </w:p>
      </w:sdtContent>
    </w:sdt>
    <w:p w14:paraId="326A9923" w14:textId="77777777" w:rsidR="006D0EE4" w:rsidRPr="00D772D2" w:rsidRDefault="00E363ED">
      <w:pPr>
        <w:spacing w:after="0" w:line="360" w:lineRule="auto"/>
      </w:pPr>
      <w:r w:rsidRPr="00D772D2">
        <w:br w:type="page"/>
      </w:r>
    </w:p>
    <w:p w14:paraId="3E81ADA1" w14:textId="77777777" w:rsidR="006D0EE4" w:rsidRPr="00D772D2" w:rsidRDefault="00E363ED">
      <w:pPr>
        <w:spacing w:after="0" w:line="360" w:lineRule="auto"/>
      </w:pPr>
      <w:r w:rsidRPr="00D772D2">
        <w:lastRenderedPageBreak/>
        <w:t>Resolución del Pleno del Instituto de Transparencia, Acceso a la Información Pública y Protección de Datos Personales del Estado de México y Municipios, con domicilio en Metepec, Estado de México, de fecha once de febrero de dos mil veintiséis.</w:t>
      </w:r>
    </w:p>
    <w:p w14:paraId="0FEED222" w14:textId="77777777" w:rsidR="006D0EE4" w:rsidRPr="00D772D2" w:rsidRDefault="006D0EE4">
      <w:pPr>
        <w:spacing w:after="0" w:line="360" w:lineRule="auto"/>
        <w:rPr>
          <w:b/>
          <w:bCs/>
        </w:rPr>
      </w:pPr>
    </w:p>
    <w:p w14:paraId="58001141" w14:textId="5D1B5BC6" w:rsidR="006D0EE4" w:rsidRPr="00D772D2" w:rsidRDefault="00E363ED">
      <w:pPr>
        <w:spacing w:after="0" w:line="360" w:lineRule="auto"/>
      </w:pPr>
      <w:r w:rsidRPr="00D772D2">
        <w:rPr>
          <w:b/>
          <w:bCs/>
        </w:rPr>
        <w:t>VISTO</w:t>
      </w:r>
      <w:r w:rsidRPr="00D772D2">
        <w:t xml:space="preserve"> el expediente conformado con motivo del Recurso de Revisión </w:t>
      </w:r>
      <w:r w:rsidRPr="00D772D2">
        <w:rPr>
          <w:b/>
          <w:bCs/>
        </w:rPr>
        <w:t>13326/INFOEM/IP/RR/2025</w:t>
      </w:r>
      <w:r w:rsidRPr="00D772D2">
        <w:t xml:space="preserve">, interpuesto por </w:t>
      </w:r>
      <w:r w:rsidR="0089793E" w:rsidRPr="0089793E">
        <w:rPr>
          <w:b/>
          <w:bCs/>
          <w:highlight w:val="black"/>
        </w:rPr>
        <w:t>XXXXXXXXXXXXXXXXXXX</w:t>
      </w:r>
      <w:r w:rsidRPr="00D772D2">
        <w:t xml:space="preserve">, en lo sucesivo, la persona Recurrente o Particular, en contra de la respuesta del Sujeto Obligado, </w:t>
      </w:r>
      <w:r w:rsidRPr="00516B3A">
        <w:rPr>
          <w:b/>
        </w:rPr>
        <w:t xml:space="preserve">Ayuntamiento de Ecatepec de Morelos, </w:t>
      </w:r>
      <w:r w:rsidRPr="00D772D2">
        <w:t>se emite la presente Resolución, con base en los antecedentes y considerandos que se exponen a continuación:</w:t>
      </w:r>
    </w:p>
    <w:p w14:paraId="15A2DF94" w14:textId="77777777" w:rsidR="006D0EE4" w:rsidRPr="00D772D2" w:rsidRDefault="006D0EE4">
      <w:pPr>
        <w:spacing w:after="0" w:line="360" w:lineRule="auto"/>
      </w:pPr>
    </w:p>
    <w:p w14:paraId="2467F900" w14:textId="77777777" w:rsidR="006D0EE4" w:rsidRPr="00D772D2" w:rsidRDefault="00E363ED">
      <w:pPr>
        <w:pStyle w:val="Ttulo1"/>
        <w:spacing w:before="0" w:after="0"/>
        <w:rPr>
          <w:sz w:val="22"/>
          <w:szCs w:val="22"/>
        </w:rPr>
      </w:pPr>
      <w:bookmarkStart w:id="0" w:name="_heading=h.dinhbbwywkes" w:colFirst="0" w:colLast="0"/>
      <w:bookmarkStart w:id="1" w:name="_Toc221809869"/>
      <w:bookmarkEnd w:id="0"/>
      <w:r w:rsidRPr="00D772D2">
        <w:rPr>
          <w:sz w:val="22"/>
          <w:szCs w:val="22"/>
        </w:rPr>
        <w:t>A N T E C E D E N T E S</w:t>
      </w:r>
      <w:bookmarkEnd w:id="1"/>
    </w:p>
    <w:p w14:paraId="43C82C5F" w14:textId="77777777" w:rsidR="006D0EE4" w:rsidRPr="00D772D2" w:rsidRDefault="006D0EE4">
      <w:pPr>
        <w:spacing w:after="0" w:line="360" w:lineRule="auto"/>
      </w:pPr>
      <w:bookmarkStart w:id="2" w:name="_heading=h.gjdgxs" w:colFirst="0" w:colLast="0"/>
      <w:bookmarkEnd w:id="2"/>
    </w:p>
    <w:p w14:paraId="715B1B44" w14:textId="77777777" w:rsidR="006D0EE4" w:rsidRPr="00D772D2" w:rsidRDefault="00E363ED">
      <w:pPr>
        <w:pStyle w:val="Ttulo2"/>
        <w:spacing w:before="0" w:after="0"/>
      </w:pPr>
      <w:bookmarkStart w:id="3" w:name="_heading=h.ld0ten4fhtzu" w:colFirst="0" w:colLast="0"/>
      <w:bookmarkStart w:id="4" w:name="_Toc221809870"/>
      <w:bookmarkEnd w:id="3"/>
      <w:r w:rsidRPr="00D772D2">
        <w:t>I. Presentación de la solicitud de información</w:t>
      </w:r>
      <w:bookmarkEnd w:id="4"/>
    </w:p>
    <w:p w14:paraId="4F31E8FA" w14:textId="77777777" w:rsidR="006D0EE4" w:rsidRPr="00D772D2" w:rsidRDefault="006D0EE4">
      <w:pPr>
        <w:tabs>
          <w:tab w:val="left" w:pos="567"/>
        </w:tabs>
        <w:spacing w:after="0" w:line="360" w:lineRule="auto"/>
      </w:pPr>
    </w:p>
    <w:p w14:paraId="48C3A09A" w14:textId="77777777" w:rsidR="006D0EE4" w:rsidRPr="00D772D2" w:rsidRDefault="00E363ED">
      <w:pPr>
        <w:spacing w:after="0" w:line="360" w:lineRule="auto"/>
      </w:pPr>
      <w:bookmarkStart w:id="5" w:name="_heading=h.7z2hm1dstc2n" w:colFirst="0" w:colLast="0"/>
      <w:bookmarkEnd w:id="5"/>
      <w:r w:rsidRPr="00D772D2">
        <w:t>Con fecha seis de noviembre de dos mil veinticinco, la parte Solicitante presentó una solicitud de acceso a la información pública, a través del Sistema de Acceso a la Información Mexiquense, en lo sucesivo el SAIMEX; ante el Ayuntamiento de Ecatepec de Morelos, en la que requirió lo siguiente:</w:t>
      </w:r>
    </w:p>
    <w:p w14:paraId="13F50F5C" w14:textId="77777777" w:rsidR="006D0EE4" w:rsidRPr="00D772D2" w:rsidRDefault="006D0EE4">
      <w:pPr>
        <w:spacing w:after="0" w:line="360" w:lineRule="auto"/>
      </w:pPr>
    </w:p>
    <w:p w14:paraId="3B5B06FA" w14:textId="77777777" w:rsidR="006D0EE4" w:rsidRPr="00D772D2" w:rsidRDefault="00E363ED">
      <w:pPr>
        <w:tabs>
          <w:tab w:val="left" w:pos="567"/>
        </w:tabs>
        <w:spacing w:after="0" w:line="360" w:lineRule="auto"/>
        <w:ind w:left="567" w:right="709"/>
        <w:rPr>
          <w:b/>
          <w:bCs/>
          <w:sz w:val="20"/>
          <w:szCs w:val="20"/>
        </w:rPr>
      </w:pPr>
      <w:r w:rsidRPr="00D772D2">
        <w:rPr>
          <w:b/>
          <w:bCs/>
          <w:sz w:val="20"/>
          <w:szCs w:val="20"/>
        </w:rPr>
        <w:t>Folio de la solicitud: 00890/ECATEPEC/IP/2025</w:t>
      </w:r>
    </w:p>
    <w:p w14:paraId="2E277465" w14:textId="77777777" w:rsidR="006D0EE4" w:rsidRPr="00D772D2" w:rsidRDefault="00E363ED">
      <w:pPr>
        <w:tabs>
          <w:tab w:val="left" w:pos="567"/>
        </w:tabs>
        <w:spacing w:after="0" w:line="360" w:lineRule="auto"/>
        <w:ind w:left="567" w:right="709"/>
        <w:rPr>
          <w:b/>
          <w:bCs/>
          <w:sz w:val="20"/>
          <w:szCs w:val="20"/>
        </w:rPr>
      </w:pPr>
      <w:r w:rsidRPr="00D772D2">
        <w:rPr>
          <w:b/>
          <w:bCs/>
          <w:sz w:val="20"/>
          <w:szCs w:val="20"/>
        </w:rPr>
        <w:t>DESCRIPCIÓN CLARA Y PRECISA DE LA INFORMACIÓN SOLICITADA</w:t>
      </w:r>
    </w:p>
    <w:p w14:paraId="3AA91CC9" w14:textId="77777777" w:rsidR="006D0EE4" w:rsidRPr="00D772D2" w:rsidRDefault="00E363ED">
      <w:pPr>
        <w:tabs>
          <w:tab w:val="left" w:pos="4667"/>
        </w:tabs>
        <w:spacing w:after="0" w:line="360" w:lineRule="auto"/>
        <w:ind w:left="567" w:right="709"/>
        <w:rPr>
          <w:i/>
          <w:iCs/>
          <w:sz w:val="20"/>
          <w:szCs w:val="20"/>
        </w:rPr>
      </w:pPr>
      <w:r w:rsidRPr="00D772D2">
        <w:rPr>
          <w:i/>
          <w:iCs/>
          <w:sz w:val="20"/>
          <w:szCs w:val="20"/>
        </w:rPr>
        <w:t xml:space="preserve">“SOLICITO LOS NOMBRES DE LOS SERVIDORES PÚBLICOS QUE CAUSARON ALTA Y BAJA DELA NOMINA DE PERSONAL DEL AYUNTAMIENTO EN LOS PERIODOS CORRESPONDIENTES A: PRIMERA QUINCENA DEL MES DE SEPTIEMBRE DE 2025 SEGUNDA QUINCENA DEL MES DE SEPTIEMBRE DE 2025 PRIMERA QUINCENA DEL MES DE OCTUBRE DE 2025 SEGUNDA QUINCENA DEL MES DE OCTUBRE DE 2025” </w:t>
      </w:r>
    </w:p>
    <w:p w14:paraId="04C2198C" w14:textId="77777777" w:rsidR="006D0EE4" w:rsidRPr="00D772D2" w:rsidRDefault="006D0EE4">
      <w:pPr>
        <w:tabs>
          <w:tab w:val="left" w:pos="4667"/>
        </w:tabs>
        <w:spacing w:after="0" w:line="360" w:lineRule="auto"/>
        <w:ind w:left="567" w:right="709"/>
        <w:rPr>
          <w:b/>
          <w:bCs/>
          <w:sz w:val="20"/>
          <w:szCs w:val="20"/>
        </w:rPr>
      </w:pPr>
    </w:p>
    <w:p w14:paraId="255AD120" w14:textId="77777777" w:rsidR="006D0EE4" w:rsidRPr="00D772D2" w:rsidRDefault="00E363ED">
      <w:pPr>
        <w:tabs>
          <w:tab w:val="left" w:pos="4667"/>
        </w:tabs>
        <w:spacing w:after="0" w:line="360" w:lineRule="auto"/>
        <w:ind w:left="567" w:right="709"/>
        <w:rPr>
          <w:i/>
          <w:iCs/>
        </w:rPr>
      </w:pPr>
      <w:r w:rsidRPr="00D772D2">
        <w:rPr>
          <w:b/>
          <w:bCs/>
          <w:sz w:val="20"/>
          <w:szCs w:val="20"/>
        </w:rPr>
        <w:lastRenderedPageBreak/>
        <w:t xml:space="preserve">MODALIDAD DE ENTREGA </w:t>
      </w:r>
      <w:r w:rsidRPr="00D772D2">
        <w:rPr>
          <w:i/>
          <w:iCs/>
          <w:sz w:val="20"/>
          <w:szCs w:val="20"/>
        </w:rPr>
        <w:t>“A través del SAIMEX.”</w:t>
      </w:r>
    </w:p>
    <w:p w14:paraId="2815741F" w14:textId="77777777" w:rsidR="006D0EE4" w:rsidRPr="00D772D2" w:rsidRDefault="006D0EE4">
      <w:pPr>
        <w:pStyle w:val="Ttulo2"/>
        <w:spacing w:before="0" w:after="0"/>
      </w:pPr>
      <w:bookmarkStart w:id="6" w:name="_heading=h.35nkun2" w:colFirst="0" w:colLast="0"/>
      <w:bookmarkEnd w:id="6"/>
    </w:p>
    <w:p w14:paraId="5A148547" w14:textId="77777777" w:rsidR="006D0EE4" w:rsidRPr="00D772D2" w:rsidRDefault="00E363ED">
      <w:pPr>
        <w:pStyle w:val="Ttulo2"/>
        <w:spacing w:before="0" w:after="0"/>
      </w:pPr>
      <w:bookmarkStart w:id="7" w:name="_heading=h.mnhpxz43h3bz" w:colFirst="0" w:colLast="0"/>
      <w:bookmarkStart w:id="8" w:name="_Toc221809871"/>
      <w:bookmarkEnd w:id="7"/>
      <w:r w:rsidRPr="00D772D2">
        <w:t>II. Respuesta del Sujeto Obligado</w:t>
      </w:r>
      <w:bookmarkEnd w:id="8"/>
      <w:r w:rsidRPr="00D772D2">
        <w:t xml:space="preserve"> </w:t>
      </w:r>
    </w:p>
    <w:p w14:paraId="6049E196" w14:textId="77777777" w:rsidR="006D0EE4" w:rsidRPr="00D772D2" w:rsidRDefault="006D0EE4">
      <w:pPr>
        <w:spacing w:after="0" w:line="360" w:lineRule="auto"/>
      </w:pPr>
    </w:p>
    <w:p w14:paraId="0D602DCF" w14:textId="77777777" w:rsidR="006D0EE4" w:rsidRPr="00D772D2" w:rsidRDefault="00E363ED">
      <w:pPr>
        <w:spacing w:after="0" w:line="360" w:lineRule="auto"/>
      </w:pPr>
      <w:r w:rsidRPr="00D772D2">
        <w:t>El veintiocho de noviembre de dos mil veinticinco, el Sujeto Obligado a través de SAIMEX, dio respuesta mediante los siguientes archivos:</w:t>
      </w:r>
    </w:p>
    <w:p w14:paraId="3DCA0A68" w14:textId="77777777" w:rsidR="006D0EE4" w:rsidRPr="00D772D2" w:rsidRDefault="006D0EE4">
      <w:pPr>
        <w:spacing w:after="0" w:line="360" w:lineRule="auto"/>
      </w:pPr>
    </w:p>
    <w:p w14:paraId="0AFE1811" w14:textId="77777777" w:rsidR="006D0EE4" w:rsidRPr="00D772D2" w:rsidRDefault="00E363ED">
      <w:pPr>
        <w:numPr>
          <w:ilvl w:val="0"/>
          <w:numId w:val="6"/>
        </w:numPr>
        <w:pBdr>
          <w:top w:val="nil"/>
          <w:left w:val="nil"/>
          <w:bottom w:val="nil"/>
          <w:right w:val="nil"/>
          <w:between w:val="nil"/>
        </w:pBdr>
        <w:spacing w:after="0" w:line="360" w:lineRule="auto"/>
        <w:rPr>
          <w:b/>
          <w:bCs/>
          <w:i/>
          <w:iCs/>
          <w:color w:val="000000"/>
        </w:rPr>
      </w:pPr>
      <w:r w:rsidRPr="00D772D2">
        <w:rPr>
          <w:b/>
          <w:bCs/>
          <w:i/>
          <w:iCs/>
          <w:color w:val="000000"/>
        </w:rPr>
        <w:t xml:space="preserve">bajas y altas de septiembre y octubre 2025.pdf; </w:t>
      </w:r>
      <w:r w:rsidRPr="00D772D2">
        <w:rPr>
          <w:color w:val="000000"/>
        </w:rPr>
        <w:t>del que se desprende únicamente lo siguiente:</w:t>
      </w:r>
    </w:p>
    <w:p w14:paraId="50EE0750" w14:textId="77777777" w:rsidR="006D0EE4" w:rsidRPr="00D772D2" w:rsidRDefault="00E363ED">
      <w:pPr>
        <w:spacing w:after="0" w:line="360" w:lineRule="auto"/>
        <w:jc w:val="center"/>
        <w:rPr>
          <w:i/>
          <w:iCs/>
        </w:rPr>
      </w:pPr>
      <w:r w:rsidRPr="00D772D2">
        <w:rPr>
          <w:i/>
          <w:iCs/>
          <w:noProof/>
        </w:rPr>
        <w:drawing>
          <wp:inline distT="0" distB="0" distL="0" distR="0" wp14:anchorId="0BB421A5" wp14:editId="187B65C6">
            <wp:extent cx="3639058" cy="3839111"/>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639058" cy="3839111"/>
                    </a:xfrm>
                    <a:prstGeom prst="rect">
                      <a:avLst/>
                    </a:prstGeom>
                    <a:ln/>
                  </pic:spPr>
                </pic:pic>
              </a:graphicData>
            </a:graphic>
          </wp:inline>
        </w:drawing>
      </w:r>
    </w:p>
    <w:p w14:paraId="569B584F" w14:textId="77777777" w:rsidR="006D0EE4" w:rsidRPr="00D772D2" w:rsidRDefault="006D0EE4">
      <w:pPr>
        <w:spacing w:after="0" w:line="360" w:lineRule="auto"/>
        <w:ind w:left="567" w:right="709"/>
        <w:rPr>
          <w:b/>
          <w:bCs/>
          <w:i/>
          <w:iCs/>
        </w:rPr>
      </w:pPr>
    </w:p>
    <w:p w14:paraId="2097BD25" w14:textId="77777777" w:rsidR="006D0EE4" w:rsidRPr="00D772D2" w:rsidRDefault="00E363ED">
      <w:pPr>
        <w:pStyle w:val="Ttulo2"/>
        <w:spacing w:before="0" w:after="0"/>
      </w:pPr>
      <w:bookmarkStart w:id="9" w:name="_heading=h.m6m2hndgh5r8" w:colFirst="0" w:colLast="0"/>
      <w:bookmarkStart w:id="10" w:name="_Toc221809872"/>
      <w:bookmarkEnd w:id="9"/>
      <w:r w:rsidRPr="00D772D2">
        <w:t>III. Interposición del Recurso de Revisión</w:t>
      </w:r>
      <w:bookmarkEnd w:id="10"/>
    </w:p>
    <w:p w14:paraId="7840043D" w14:textId="77777777" w:rsidR="006D0EE4" w:rsidRPr="00D772D2" w:rsidRDefault="006D0EE4">
      <w:pPr>
        <w:spacing w:after="0" w:line="360" w:lineRule="auto"/>
        <w:rPr>
          <w:b/>
          <w:bCs/>
        </w:rPr>
      </w:pPr>
    </w:p>
    <w:p w14:paraId="4AEF8328" w14:textId="77777777" w:rsidR="006D0EE4" w:rsidRPr="00D772D2" w:rsidRDefault="00E363ED">
      <w:pPr>
        <w:spacing w:after="0" w:line="360" w:lineRule="auto"/>
      </w:pPr>
      <w:bookmarkStart w:id="11" w:name="_heading=h.2et92p0" w:colFirst="0" w:colLast="0"/>
      <w:bookmarkEnd w:id="11"/>
      <w:r w:rsidRPr="00D772D2">
        <w:lastRenderedPageBreak/>
        <w:t>Con fecha veintinueve de noviembre de dos mil veinticinco, se recibió a través del SAIMEX, el Recurso de Revisión interpuesto por la persona Recurrente; la cual se radicó en fecha primero de diciembre de dos mil veinticinco al tratarse del siguiente día hábil de conformidad con el calendario emitido para tales efectos; en los siguientes términos:</w:t>
      </w:r>
    </w:p>
    <w:p w14:paraId="61877E0E" w14:textId="77777777" w:rsidR="006D0EE4" w:rsidRPr="00D772D2" w:rsidRDefault="006D0EE4">
      <w:pPr>
        <w:spacing w:after="0" w:line="360" w:lineRule="auto"/>
      </w:pPr>
    </w:p>
    <w:p w14:paraId="25FBC7D6" w14:textId="77777777" w:rsidR="006D0EE4" w:rsidRPr="00D772D2" w:rsidRDefault="00E363ED">
      <w:pPr>
        <w:spacing w:after="0" w:line="360" w:lineRule="auto"/>
        <w:ind w:left="567" w:right="709"/>
        <w:rPr>
          <w:b/>
          <w:bCs/>
          <w:sz w:val="20"/>
          <w:szCs w:val="20"/>
        </w:rPr>
      </w:pPr>
      <w:r w:rsidRPr="00D772D2">
        <w:rPr>
          <w:b/>
          <w:bCs/>
          <w:sz w:val="20"/>
          <w:szCs w:val="20"/>
        </w:rPr>
        <w:t>ACTO IMPUGNADO</w:t>
      </w:r>
      <w:r w:rsidRPr="00D772D2">
        <w:rPr>
          <w:b/>
          <w:bCs/>
          <w:sz w:val="20"/>
          <w:szCs w:val="20"/>
        </w:rPr>
        <w:tab/>
      </w:r>
    </w:p>
    <w:p w14:paraId="472E3409" w14:textId="77777777" w:rsidR="006D0EE4" w:rsidRPr="00D772D2" w:rsidRDefault="00E363ED">
      <w:pPr>
        <w:spacing w:after="0" w:line="360" w:lineRule="auto"/>
        <w:ind w:left="567" w:right="709"/>
        <w:rPr>
          <w:b/>
          <w:bCs/>
          <w:sz w:val="20"/>
          <w:szCs w:val="20"/>
        </w:rPr>
      </w:pPr>
      <w:r w:rsidRPr="00D772D2">
        <w:rPr>
          <w:i/>
          <w:iCs/>
          <w:sz w:val="20"/>
          <w:szCs w:val="20"/>
        </w:rPr>
        <w:t>“RESPUESTA A LA SOLICITUD 00890/ECATEPEC/IP/2025” (Sic.)</w:t>
      </w:r>
    </w:p>
    <w:p w14:paraId="528F0832" w14:textId="77777777" w:rsidR="006D0EE4" w:rsidRPr="00D772D2" w:rsidRDefault="006D0EE4">
      <w:pPr>
        <w:spacing w:after="0" w:line="360" w:lineRule="auto"/>
        <w:ind w:left="567" w:right="709"/>
        <w:rPr>
          <w:sz w:val="20"/>
          <w:szCs w:val="20"/>
        </w:rPr>
      </w:pPr>
    </w:p>
    <w:p w14:paraId="543A5894" w14:textId="77777777" w:rsidR="006D0EE4" w:rsidRPr="00D772D2" w:rsidRDefault="00E363ED">
      <w:pPr>
        <w:spacing w:after="0" w:line="360" w:lineRule="auto"/>
        <w:ind w:left="567" w:right="709"/>
        <w:rPr>
          <w:b/>
          <w:bCs/>
          <w:sz w:val="20"/>
          <w:szCs w:val="20"/>
        </w:rPr>
      </w:pPr>
      <w:r w:rsidRPr="00D772D2">
        <w:rPr>
          <w:b/>
          <w:bCs/>
          <w:sz w:val="20"/>
          <w:szCs w:val="20"/>
        </w:rPr>
        <w:t>RAZONES O MOTIVOS DE LA INCONFORMIDAD</w:t>
      </w:r>
      <w:r w:rsidRPr="00D772D2">
        <w:rPr>
          <w:b/>
          <w:bCs/>
          <w:sz w:val="20"/>
          <w:szCs w:val="20"/>
        </w:rPr>
        <w:tab/>
      </w:r>
    </w:p>
    <w:p w14:paraId="5D650D9D" w14:textId="77777777" w:rsidR="006D0EE4" w:rsidRPr="00D772D2" w:rsidRDefault="00E363ED">
      <w:pPr>
        <w:tabs>
          <w:tab w:val="left" w:pos="4667"/>
        </w:tabs>
        <w:spacing w:after="0" w:line="360" w:lineRule="auto"/>
        <w:ind w:left="567" w:right="709"/>
        <w:rPr>
          <w:i/>
          <w:iCs/>
          <w:sz w:val="20"/>
          <w:szCs w:val="20"/>
        </w:rPr>
      </w:pPr>
      <w:r w:rsidRPr="00D772D2">
        <w:rPr>
          <w:i/>
          <w:iCs/>
          <w:sz w:val="20"/>
          <w:szCs w:val="20"/>
        </w:rPr>
        <w:t>“LA INFORMACION ENTREGADA NO CORRESPONDE A LA SOLICITADA, POR LO QUE SOLICITO SE REVOQUE LA RESPUESTA Y SE ORDENE LA ENTREGA DE LA INFORMACION INDICADA EN LA SOLICITUD.” (Sic.)</w:t>
      </w:r>
    </w:p>
    <w:p w14:paraId="08C836CD" w14:textId="77777777" w:rsidR="006D0EE4" w:rsidRPr="00D772D2" w:rsidRDefault="006D0EE4">
      <w:pPr>
        <w:tabs>
          <w:tab w:val="left" w:pos="4667"/>
        </w:tabs>
        <w:spacing w:after="0" w:line="360" w:lineRule="auto"/>
      </w:pPr>
    </w:p>
    <w:p w14:paraId="03EB0622" w14:textId="77777777" w:rsidR="006D0EE4" w:rsidRPr="00D772D2" w:rsidRDefault="00E363ED">
      <w:pPr>
        <w:pStyle w:val="Ttulo2"/>
        <w:spacing w:before="0" w:after="0"/>
      </w:pPr>
      <w:bookmarkStart w:id="12" w:name="_heading=h.ihva3e6wl4km" w:colFirst="0" w:colLast="0"/>
      <w:bookmarkStart w:id="13" w:name="_Toc221809873"/>
      <w:bookmarkEnd w:id="12"/>
      <w:r w:rsidRPr="00D772D2">
        <w:t>IV. Trámite del Recurso de Revisión ante este Instituto</w:t>
      </w:r>
      <w:bookmarkEnd w:id="13"/>
    </w:p>
    <w:p w14:paraId="6A56E78B" w14:textId="77777777" w:rsidR="006D0EE4" w:rsidRPr="00D772D2" w:rsidRDefault="006D0EE4">
      <w:pPr>
        <w:spacing w:after="0" w:line="360" w:lineRule="auto"/>
        <w:rPr>
          <w:b/>
          <w:bCs/>
        </w:rPr>
      </w:pPr>
    </w:p>
    <w:p w14:paraId="22FDAB3F" w14:textId="77777777" w:rsidR="006D0EE4" w:rsidRPr="00D772D2" w:rsidRDefault="00E363ED">
      <w:pPr>
        <w:spacing w:after="0" w:line="360" w:lineRule="auto"/>
      </w:pPr>
      <w:r w:rsidRPr="00D772D2">
        <w:rPr>
          <w:b/>
          <w:bCs/>
        </w:rPr>
        <w:t>a) Turno del Medio de Impugnación.</w:t>
      </w:r>
      <w:r w:rsidRPr="00D772D2">
        <w:t xml:space="preserve"> El veintinueve de noviembre de dos mil veinticinco, el SAIMEX, asignó el número de expediente</w:t>
      </w:r>
      <w:r w:rsidRPr="00D772D2">
        <w:rPr>
          <w:b/>
          <w:bCs/>
        </w:rPr>
        <w:t xml:space="preserve"> 13326/INFOEM/IP/RR/2025, </w:t>
      </w:r>
      <w:r w:rsidRPr="00D772D2">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789F4B01" w14:textId="77777777" w:rsidR="006D0EE4" w:rsidRPr="00D772D2" w:rsidRDefault="006D0EE4">
      <w:pPr>
        <w:spacing w:after="0" w:line="360" w:lineRule="auto"/>
      </w:pPr>
    </w:p>
    <w:p w14:paraId="120D4B45" w14:textId="77777777" w:rsidR="006D0EE4" w:rsidRPr="00D772D2" w:rsidRDefault="00E363ED">
      <w:pPr>
        <w:spacing w:after="0" w:line="360" w:lineRule="auto"/>
      </w:pPr>
      <w:r w:rsidRPr="00D772D2">
        <w:rPr>
          <w:b/>
          <w:bCs/>
        </w:rPr>
        <w:t>b) Admisión del Recurso de Revisión.</w:t>
      </w:r>
      <w:r w:rsidRPr="00D772D2">
        <w:t xml:space="preserve"> El cuatro de diciembre de dos mil veinticinco, se notificó vía SAIMEX el acuerdo de la admisión del Recurso de Revisión interpuesto por la persona Recurrente en contra del Sujeto Obligado, en términos del artículo 185, fracciones I y II de la Ley de Transparencia y Acceso a la Información Pública del Estado de México y Municipios, en el </w:t>
      </w:r>
      <w:r w:rsidRPr="00D772D2">
        <w:lastRenderedPageBreak/>
        <w:t>que se les otorgó un plazo de siete días hábiles posteriores a la misma, para que manifestara lo que a su derecho conviniera y formularán alegatos.</w:t>
      </w:r>
    </w:p>
    <w:p w14:paraId="230D4ABE" w14:textId="77777777" w:rsidR="006D0EE4" w:rsidRPr="00D772D2" w:rsidRDefault="006D0EE4">
      <w:pPr>
        <w:spacing w:after="0" w:line="360" w:lineRule="auto"/>
        <w:rPr>
          <w:color w:val="000000"/>
        </w:rPr>
      </w:pPr>
    </w:p>
    <w:p w14:paraId="4FF92919" w14:textId="77777777" w:rsidR="006D0EE4" w:rsidRPr="00D772D2" w:rsidRDefault="00E363ED">
      <w:pPr>
        <w:spacing w:after="0" w:line="360" w:lineRule="auto"/>
        <w:rPr>
          <w:color w:val="000000"/>
        </w:rPr>
      </w:pPr>
      <w:r w:rsidRPr="00D772D2">
        <w:rPr>
          <w:b/>
          <w:bCs/>
        </w:rPr>
        <w:t xml:space="preserve">c) </w:t>
      </w:r>
      <w:r w:rsidRPr="00D772D2">
        <w:rPr>
          <w:b/>
          <w:bCs/>
          <w:color w:val="000000"/>
        </w:rPr>
        <w:t xml:space="preserve">Informe Justificado. </w:t>
      </w:r>
      <w:r w:rsidRPr="00D772D2">
        <w:rPr>
          <w:color w:val="000000"/>
        </w:rPr>
        <w:t>En fechas ocho de diciembre de dos mil veinticinco y dieciséis de enero de dos mil veintiséis, se recibió en este Instituto, a través del Sistema de Acceso a la Información Mexiquense (SAIMEX), el Informe Justificado, por parte del Sujeto Obligado, en los siguientes términos:</w:t>
      </w:r>
    </w:p>
    <w:p w14:paraId="24AA8843" w14:textId="77777777" w:rsidR="006D0EE4" w:rsidRPr="00D772D2" w:rsidRDefault="006D0EE4">
      <w:pPr>
        <w:spacing w:after="0" w:line="360" w:lineRule="auto"/>
        <w:rPr>
          <w:color w:val="000000"/>
        </w:rPr>
      </w:pPr>
    </w:p>
    <w:p w14:paraId="3D3A468F" w14:textId="77777777" w:rsidR="006D0EE4" w:rsidRPr="00D772D2" w:rsidRDefault="00E363ED">
      <w:pPr>
        <w:numPr>
          <w:ilvl w:val="0"/>
          <w:numId w:val="7"/>
        </w:numPr>
        <w:pBdr>
          <w:top w:val="nil"/>
          <w:left w:val="nil"/>
          <w:bottom w:val="nil"/>
          <w:right w:val="nil"/>
          <w:between w:val="nil"/>
        </w:pBdr>
        <w:spacing w:after="0" w:line="360" w:lineRule="auto"/>
        <w:rPr>
          <w:b/>
          <w:bCs/>
          <w:i/>
          <w:iCs/>
          <w:color w:val="000000"/>
        </w:rPr>
      </w:pPr>
      <w:r w:rsidRPr="00D772D2">
        <w:rPr>
          <w:b/>
          <w:bCs/>
          <w:i/>
          <w:iCs/>
          <w:color w:val="000000"/>
        </w:rPr>
        <w:t xml:space="preserve">CT_UT_ECA_1340_2025 informe justificado RR13326.pdf; </w:t>
      </w:r>
      <w:r w:rsidRPr="00D772D2">
        <w:rPr>
          <w:color w:val="000000"/>
        </w:rPr>
        <w:t>del que se desprenden los siguientes:</w:t>
      </w:r>
    </w:p>
    <w:p w14:paraId="7FB1BC14" w14:textId="77777777" w:rsidR="006D0EE4" w:rsidRPr="00D772D2" w:rsidRDefault="00E363ED">
      <w:pPr>
        <w:numPr>
          <w:ilvl w:val="1"/>
          <w:numId w:val="7"/>
        </w:numPr>
        <w:pBdr>
          <w:top w:val="nil"/>
          <w:left w:val="nil"/>
          <w:bottom w:val="nil"/>
          <w:right w:val="nil"/>
          <w:between w:val="nil"/>
        </w:pBdr>
        <w:spacing w:after="0" w:line="360" w:lineRule="auto"/>
        <w:rPr>
          <w:i/>
          <w:iCs/>
          <w:color w:val="000000"/>
        </w:rPr>
      </w:pPr>
      <w:r w:rsidRPr="00D772D2">
        <w:rPr>
          <w:color w:val="000000"/>
        </w:rPr>
        <w:t>Oficio suscrito por la Titular de la Unidad de Transparencia y Acceso a la Información Pública, en el que medularmente ratificó la respuesta inicial.</w:t>
      </w:r>
    </w:p>
    <w:p w14:paraId="60894D31" w14:textId="77777777" w:rsidR="006D0EE4" w:rsidRPr="00D772D2" w:rsidRDefault="00E363ED">
      <w:pPr>
        <w:numPr>
          <w:ilvl w:val="1"/>
          <w:numId w:val="7"/>
        </w:numPr>
        <w:pBdr>
          <w:top w:val="nil"/>
          <w:left w:val="nil"/>
          <w:bottom w:val="nil"/>
          <w:right w:val="nil"/>
          <w:between w:val="nil"/>
        </w:pBdr>
        <w:spacing w:after="0" w:line="360" w:lineRule="auto"/>
        <w:rPr>
          <w:b/>
          <w:bCs/>
          <w:i/>
          <w:iCs/>
          <w:color w:val="000000"/>
        </w:rPr>
      </w:pPr>
      <w:r w:rsidRPr="00D772D2">
        <w:rPr>
          <w:b/>
          <w:bCs/>
          <w:color w:val="000000"/>
        </w:rPr>
        <w:t xml:space="preserve"> </w:t>
      </w:r>
      <w:r w:rsidRPr="00D772D2">
        <w:rPr>
          <w:b/>
          <w:bCs/>
          <w:i/>
          <w:iCs/>
          <w:color w:val="000000"/>
        </w:rPr>
        <w:t xml:space="preserve"> </w:t>
      </w:r>
      <w:r w:rsidRPr="00D772D2">
        <w:rPr>
          <w:color w:val="000000"/>
        </w:rPr>
        <w:t>Oficio suscrito por la Directora de Administración en el que informó que remite los nombres de los servidores públicos que causaron alta durante la primera y segunda quincena de septiembre y de octubre de 2025 y señaló que tiene 4 bajas de dicho periodo pero que se encuentran en proceso, por lo que reservó la información.</w:t>
      </w:r>
    </w:p>
    <w:p w14:paraId="0E632972" w14:textId="77777777" w:rsidR="006D0EE4" w:rsidRPr="00D772D2" w:rsidRDefault="00E363ED">
      <w:pPr>
        <w:numPr>
          <w:ilvl w:val="1"/>
          <w:numId w:val="7"/>
        </w:numPr>
        <w:pBdr>
          <w:top w:val="nil"/>
          <w:left w:val="nil"/>
          <w:bottom w:val="nil"/>
          <w:right w:val="nil"/>
          <w:between w:val="nil"/>
        </w:pBdr>
        <w:spacing w:after="0" w:line="360" w:lineRule="auto"/>
        <w:rPr>
          <w:b/>
          <w:bCs/>
          <w:i/>
          <w:iCs/>
          <w:color w:val="000000"/>
        </w:rPr>
      </w:pPr>
      <w:r w:rsidRPr="00D772D2">
        <w:rPr>
          <w:color w:val="000000"/>
        </w:rPr>
        <w:t>Listado con número de empleado, nombre y fecha de alta de diversas personas servidoras públicas</w:t>
      </w:r>
    </w:p>
    <w:p w14:paraId="0D39A953" w14:textId="77777777" w:rsidR="006D0EE4" w:rsidRPr="00D772D2" w:rsidRDefault="006D0EE4">
      <w:pPr>
        <w:pBdr>
          <w:top w:val="nil"/>
          <w:left w:val="nil"/>
          <w:bottom w:val="nil"/>
          <w:right w:val="nil"/>
          <w:between w:val="nil"/>
        </w:pBdr>
        <w:spacing w:after="0" w:line="360" w:lineRule="auto"/>
        <w:ind w:left="1440"/>
        <w:rPr>
          <w:b/>
          <w:bCs/>
          <w:i/>
          <w:iCs/>
          <w:color w:val="000000"/>
        </w:rPr>
      </w:pPr>
    </w:p>
    <w:p w14:paraId="78217D63" w14:textId="77777777" w:rsidR="006D0EE4" w:rsidRPr="00D772D2" w:rsidRDefault="00E363ED">
      <w:pPr>
        <w:numPr>
          <w:ilvl w:val="0"/>
          <w:numId w:val="7"/>
        </w:numPr>
        <w:pBdr>
          <w:top w:val="nil"/>
          <w:left w:val="nil"/>
          <w:bottom w:val="nil"/>
          <w:right w:val="nil"/>
          <w:between w:val="nil"/>
        </w:pBdr>
        <w:spacing w:after="0" w:line="360" w:lineRule="auto"/>
        <w:rPr>
          <w:b/>
          <w:bCs/>
          <w:i/>
          <w:iCs/>
          <w:color w:val="000000"/>
        </w:rPr>
      </w:pPr>
      <w:r w:rsidRPr="00D772D2">
        <w:rPr>
          <w:b/>
          <w:bCs/>
          <w:i/>
          <w:iCs/>
          <w:color w:val="000000"/>
        </w:rPr>
        <w:t xml:space="preserve">34 ACTA TRIGÉSIMA CUARTA SESIÓN EXTRAORDINARIA.pdf; </w:t>
      </w:r>
      <w:r w:rsidRPr="00D772D2">
        <w:rPr>
          <w:color w:val="000000"/>
        </w:rPr>
        <w:t>del que se advierte el acta de la Trigésima Cuarta Sesión Extraordinaria del Comité de Transparencia en el que, en su punto 8 se determinó la clasificación de reserva de los nombres del personal que causo alta y baja de la nómina por considerar que se actualizó el supuesto previsto en el artículo 140 fracción X de la Ley de Transparencia y Acceso a la Información Pública del Estado de México y Municipios, en los siguientes términos:</w:t>
      </w:r>
    </w:p>
    <w:p w14:paraId="37D42D8F" w14:textId="77777777" w:rsidR="006D0EE4" w:rsidRPr="00D772D2" w:rsidRDefault="006D0EE4">
      <w:pPr>
        <w:pBdr>
          <w:top w:val="nil"/>
          <w:left w:val="nil"/>
          <w:bottom w:val="nil"/>
          <w:right w:val="nil"/>
          <w:between w:val="nil"/>
        </w:pBdr>
        <w:spacing w:after="0" w:line="360" w:lineRule="auto"/>
        <w:ind w:left="720"/>
        <w:rPr>
          <w:b/>
          <w:bCs/>
          <w:i/>
          <w:iCs/>
          <w:color w:val="000000"/>
        </w:rPr>
      </w:pPr>
    </w:p>
    <w:p w14:paraId="61E4A4AF" w14:textId="77777777" w:rsidR="006D0EE4" w:rsidRPr="00D772D2" w:rsidRDefault="00E363ED">
      <w:pPr>
        <w:pBdr>
          <w:top w:val="nil"/>
          <w:left w:val="nil"/>
          <w:bottom w:val="nil"/>
          <w:right w:val="nil"/>
          <w:between w:val="nil"/>
        </w:pBdr>
        <w:spacing w:after="0" w:line="360" w:lineRule="auto"/>
        <w:ind w:left="720"/>
        <w:rPr>
          <w:b/>
          <w:bCs/>
          <w:i/>
          <w:iCs/>
          <w:color w:val="000000"/>
          <w:sz w:val="20"/>
          <w:szCs w:val="20"/>
        </w:rPr>
      </w:pPr>
      <w:r w:rsidRPr="00D772D2">
        <w:rPr>
          <w:i/>
          <w:iCs/>
          <w:color w:val="000000"/>
          <w:sz w:val="20"/>
          <w:szCs w:val="20"/>
        </w:rPr>
        <w:t>“ACT/ECA/CT/EXT/34°/2025/SÉPTIMO ÚNICO. - Se aprueba por unanimidad la RESERVA de información requerida por la Dirección de Administración, de la información de los nombres de los servidores públicos que causaron alta y baja dela nómina de personal del ayuntamiento en los periodos correspondientes a la primera quincena del mes de septiembre de 2025 segunda quincena del mes de septiembre de 2025 primera quincena del mes de octubre de 2025 segunda quincena del mes de octubre de 2025; en relación a la solicitud con número 00890/ECATEPEC/IP/2025.”</w:t>
      </w:r>
    </w:p>
    <w:p w14:paraId="1B8EB055" w14:textId="77777777" w:rsidR="006D0EE4" w:rsidRPr="00D772D2" w:rsidRDefault="00E363ED">
      <w:pPr>
        <w:pBdr>
          <w:top w:val="nil"/>
          <w:left w:val="nil"/>
          <w:bottom w:val="nil"/>
          <w:right w:val="nil"/>
          <w:between w:val="nil"/>
        </w:pBdr>
        <w:spacing w:after="0" w:line="360" w:lineRule="auto"/>
        <w:ind w:left="567" w:right="709"/>
        <w:rPr>
          <w:i/>
          <w:iCs/>
          <w:color w:val="000000"/>
        </w:rPr>
      </w:pPr>
      <w:r w:rsidRPr="00D772D2">
        <w:rPr>
          <w:color w:val="000000"/>
        </w:rPr>
        <w:t xml:space="preserve"> </w:t>
      </w:r>
    </w:p>
    <w:p w14:paraId="4C0F6FCA" w14:textId="77777777" w:rsidR="006D0EE4" w:rsidRPr="00D772D2" w:rsidRDefault="00E363ED">
      <w:pPr>
        <w:spacing w:after="0" w:line="360" w:lineRule="auto"/>
        <w:rPr>
          <w:color w:val="000000"/>
        </w:rPr>
      </w:pPr>
      <w:r w:rsidRPr="00D772D2">
        <w:rPr>
          <w:b/>
          <w:bCs/>
          <w:color w:val="000000"/>
        </w:rPr>
        <w:t xml:space="preserve">d) Vista de Informe Justificado. </w:t>
      </w:r>
      <w:r w:rsidRPr="00D772D2">
        <w:rPr>
          <w:color w:val="000000"/>
        </w:rPr>
        <w:t xml:space="preserve">El cinco de febrero de dos mil veintiséis, se notificó a través del SAIMEX, el acuerdo mediante el cual se puso a la vista de la parte Recurrente el Informe Justificado, únicamente por cuanto hace al archivo denominado </w:t>
      </w:r>
      <w:r w:rsidRPr="00D772D2">
        <w:rPr>
          <w:b/>
          <w:bCs/>
          <w:i/>
          <w:iCs/>
          <w:color w:val="000000"/>
        </w:rPr>
        <w:t>34 ACTA TRIGÉSIMA CUARTA SESIÓN EXTRAORDINARIA.pdf</w:t>
      </w:r>
      <w:r w:rsidRPr="00D772D2">
        <w:rPr>
          <w:color w:val="000000"/>
        </w:rPr>
        <w:t>, proveído por el cual se le otorgó a este último, un término de tres días hábiles contados a partir del día siguiente a la notificación, para que emitiera las manifestaciones que conforme a sus intereses convenga.</w:t>
      </w:r>
    </w:p>
    <w:p w14:paraId="07407A18" w14:textId="77777777" w:rsidR="006D0EE4" w:rsidRPr="00D772D2" w:rsidRDefault="006D0EE4">
      <w:pPr>
        <w:widowControl w:val="0"/>
        <w:spacing w:after="0" w:line="360" w:lineRule="auto"/>
        <w:rPr>
          <w:b/>
          <w:bCs/>
        </w:rPr>
      </w:pPr>
    </w:p>
    <w:p w14:paraId="4F9898CD" w14:textId="77777777" w:rsidR="006D0EE4" w:rsidRPr="00D772D2" w:rsidRDefault="00E363ED">
      <w:pPr>
        <w:widowControl w:val="0"/>
        <w:spacing w:after="0" w:line="360" w:lineRule="auto"/>
        <w:rPr>
          <w:color w:val="000000"/>
        </w:rPr>
      </w:pPr>
      <w:r w:rsidRPr="00D772D2">
        <w:rPr>
          <w:b/>
          <w:bCs/>
        </w:rPr>
        <w:t xml:space="preserve">Cabe señalar que el archivo </w:t>
      </w:r>
      <w:r w:rsidRPr="00D772D2">
        <w:rPr>
          <w:b/>
          <w:bCs/>
          <w:i/>
          <w:iCs/>
          <w:color w:val="000000"/>
        </w:rPr>
        <w:t xml:space="preserve">CT_UT_ECA_1340_2025 informe justificado RR13326.pdf; </w:t>
      </w:r>
      <w:r w:rsidRPr="00D772D2">
        <w:rPr>
          <w:color w:val="000000"/>
        </w:rPr>
        <w:t xml:space="preserve">no se puso a la vista de la parte Recurrente en virtud de que pueden constar nombres de servidores públicos que sean policías operativos. </w:t>
      </w:r>
    </w:p>
    <w:p w14:paraId="2C2ABF26" w14:textId="77777777" w:rsidR="006D0EE4" w:rsidRPr="00D772D2" w:rsidRDefault="006D0EE4">
      <w:pPr>
        <w:widowControl w:val="0"/>
        <w:spacing w:after="0" w:line="360" w:lineRule="auto"/>
      </w:pPr>
    </w:p>
    <w:p w14:paraId="7EF3E400" w14:textId="77777777" w:rsidR="006D0EE4" w:rsidRPr="00D772D2" w:rsidRDefault="00E363ED">
      <w:pPr>
        <w:spacing w:after="0" w:line="360" w:lineRule="auto"/>
        <w:rPr>
          <w:b/>
          <w:bCs/>
        </w:rPr>
      </w:pPr>
      <w:r w:rsidRPr="00D772D2">
        <w:rPr>
          <w:b/>
          <w:bCs/>
        </w:rPr>
        <w:t xml:space="preserve">e) Manifestaciones de la parte Recurrente. </w:t>
      </w:r>
      <w:r w:rsidRPr="00D772D2">
        <w:t>De las constancias que integran el expediente se advierte que la parte Recurrente no añadió manifestaciones.</w:t>
      </w:r>
    </w:p>
    <w:p w14:paraId="6D7ED3FA" w14:textId="77777777" w:rsidR="006D0EE4" w:rsidRPr="00D772D2" w:rsidRDefault="006D0EE4">
      <w:pPr>
        <w:spacing w:after="0" w:line="360" w:lineRule="auto"/>
        <w:rPr>
          <w:b/>
          <w:bCs/>
        </w:rPr>
      </w:pPr>
    </w:p>
    <w:p w14:paraId="359700F4" w14:textId="77777777" w:rsidR="006D0EE4" w:rsidRPr="00D772D2" w:rsidRDefault="00E363ED">
      <w:pPr>
        <w:spacing w:after="0" w:line="360" w:lineRule="auto"/>
        <w:rPr>
          <w:b/>
          <w:bCs/>
        </w:rPr>
      </w:pPr>
      <w:bookmarkStart w:id="14" w:name="_heading=h.ywvdtrkvmk4w" w:colFirst="0" w:colLast="0"/>
      <w:bookmarkEnd w:id="14"/>
      <w:r w:rsidRPr="00D772D2">
        <w:rPr>
          <w:b/>
          <w:bCs/>
        </w:rPr>
        <w:t xml:space="preserve">f) Ampliación de plazo para resolver. </w:t>
      </w:r>
      <w:r w:rsidRPr="00D772D2">
        <w:t xml:space="preserve">El cinco de febrero de dos mil veintiséis, el Comisionado Ponente, con fundamento en lo dispuesto por el artículo 181, párrafo tercero, de la Ley de Transparencia y Acceso a la Información Pública del Estado de México y Municipios, acordó </w:t>
      </w:r>
      <w:r w:rsidRPr="00D772D2">
        <w:lastRenderedPageBreak/>
        <w:t>ampliar por un periodo razonable, el plazo para resolver el Recurso de Revisión que nos ocupa; acto que fue notificado a las partes el mismo día mediante el SAIMEX.</w:t>
      </w:r>
    </w:p>
    <w:p w14:paraId="7D0C501A" w14:textId="77777777" w:rsidR="006D0EE4" w:rsidRPr="00D772D2" w:rsidRDefault="006D0EE4">
      <w:pPr>
        <w:spacing w:after="0" w:line="360" w:lineRule="auto"/>
        <w:rPr>
          <w:b/>
          <w:bCs/>
        </w:rPr>
      </w:pPr>
    </w:p>
    <w:p w14:paraId="5C69EFE0" w14:textId="77777777" w:rsidR="006D0EE4" w:rsidRPr="00D772D2" w:rsidRDefault="00E363ED">
      <w:pPr>
        <w:spacing w:after="0" w:line="360" w:lineRule="auto"/>
      </w:pPr>
      <w:r w:rsidRPr="00D772D2">
        <w:rPr>
          <w:b/>
          <w:bCs/>
        </w:rPr>
        <w:t>g) Cierre de instrucción.</w:t>
      </w:r>
      <w:r w:rsidRPr="00D772D2">
        <w:t xml:space="preserve"> El once de febrero de dos mil veintiséis, fue notificado a las partes mediante SAIMEX, en el que se señaló que,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w:t>
      </w:r>
    </w:p>
    <w:p w14:paraId="67245D15" w14:textId="77777777" w:rsidR="006D0EE4" w:rsidRPr="00D772D2" w:rsidRDefault="006D0EE4">
      <w:pPr>
        <w:spacing w:after="0" w:line="360" w:lineRule="auto"/>
      </w:pPr>
    </w:p>
    <w:p w14:paraId="7913E05E" w14:textId="77777777" w:rsidR="006D0EE4" w:rsidRPr="00D772D2" w:rsidRDefault="00E363ED">
      <w:pPr>
        <w:spacing w:after="0" w:line="360" w:lineRule="auto"/>
      </w:pPr>
      <w:r w:rsidRPr="00D772D2">
        <w:t xml:space="preserve">En razón de que fue debidamente sustanciado e integrado el expediente electrónico y no existir diligencia pendiente de desahogo, se emite la resolución que conforme a Derecho proceda, de acuerdo a los siguientes: </w:t>
      </w:r>
    </w:p>
    <w:p w14:paraId="0A936C04" w14:textId="77777777" w:rsidR="006D0EE4" w:rsidRPr="00D772D2" w:rsidRDefault="006D0EE4">
      <w:pPr>
        <w:spacing w:after="0" w:line="360" w:lineRule="auto"/>
      </w:pPr>
    </w:p>
    <w:p w14:paraId="54A37E4A" w14:textId="77777777" w:rsidR="006D0EE4" w:rsidRPr="00D772D2" w:rsidRDefault="00E363ED">
      <w:pPr>
        <w:pStyle w:val="Ttulo1"/>
        <w:spacing w:before="0" w:after="0"/>
        <w:rPr>
          <w:sz w:val="22"/>
          <w:szCs w:val="22"/>
        </w:rPr>
      </w:pPr>
      <w:bookmarkStart w:id="15" w:name="_heading=h.tzejehgwfbvy" w:colFirst="0" w:colLast="0"/>
      <w:bookmarkStart w:id="16" w:name="_Toc221809874"/>
      <w:bookmarkEnd w:id="15"/>
      <w:r w:rsidRPr="00D772D2">
        <w:rPr>
          <w:sz w:val="22"/>
          <w:szCs w:val="22"/>
        </w:rPr>
        <w:t>C O N S I D E R A N D O S</w:t>
      </w:r>
      <w:bookmarkEnd w:id="16"/>
    </w:p>
    <w:p w14:paraId="1F30B680" w14:textId="77777777" w:rsidR="006D0EE4" w:rsidRPr="00D772D2" w:rsidRDefault="006D0EE4">
      <w:pPr>
        <w:spacing w:after="0" w:line="360" w:lineRule="auto"/>
        <w:rPr>
          <w:b/>
          <w:bCs/>
        </w:rPr>
      </w:pPr>
    </w:p>
    <w:p w14:paraId="2AD60945" w14:textId="77777777" w:rsidR="006D0EE4" w:rsidRPr="00D772D2" w:rsidRDefault="00E363ED">
      <w:pPr>
        <w:pStyle w:val="Ttulo2"/>
        <w:spacing w:before="0" w:after="0"/>
      </w:pPr>
      <w:bookmarkStart w:id="17" w:name="_heading=h.o3n43kx7tpbr" w:colFirst="0" w:colLast="0"/>
      <w:bookmarkStart w:id="18" w:name="_Toc221809875"/>
      <w:bookmarkEnd w:id="17"/>
      <w:r w:rsidRPr="00D772D2">
        <w:t>PRIMERO. Competencia</w:t>
      </w:r>
      <w:bookmarkEnd w:id="18"/>
    </w:p>
    <w:p w14:paraId="702E5B74" w14:textId="77777777" w:rsidR="006D0EE4" w:rsidRPr="00D772D2" w:rsidRDefault="006D0EE4">
      <w:pPr>
        <w:spacing w:after="0" w:line="360" w:lineRule="auto"/>
      </w:pPr>
    </w:p>
    <w:p w14:paraId="3D77649B" w14:textId="570C06E2" w:rsidR="006D0EE4" w:rsidRPr="00D772D2" w:rsidRDefault="00D772D2">
      <w:pPr>
        <w:spacing w:after="0" w:line="360" w:lineRule="auto"/>
      </w:pPr>
      <w:r w:rsidRPr="00D772D2">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w:t>
      </w:r>
      <w:r w:rsidRPr="00D772D2">
        <w:lastRenderedPageBreak/>
        <w:t>9°, fracciones I y XXIII y 11 del Reglamento Interior del Instituto de Transparencia, Acceso a la Información Pública y Protección de Datos Personales del Estado de México y Municipios</w:t>
      </w:r>
      <w:r w:rsidR="00E363ED" w:rsidRPr="00D772D2">
        <w:t>.</w:t>
      </w:r>
    </w:p>
    <w:p w14:paraId="285B64B4" w14:textId="77777777" w:rsidR="006D0EE4" w:rsidRPr="00D772D2" w:rsidRDefault="006D0EE4">
      <w:pPr>
        <w:spacing w:after="0" w:line="360" w:lineRule="auto"/>
      </w:pPr>
    </w:p>
    <w:p w14:paraId="5533116D" w14:textId="77777777" w:rsidR="006D0EE4" w:rsidRPr="00D772D2" w:rsidRDefault="00E363ED">
      <w:pPr>
        <w:pStyle w:val="Ttulo2"/>
        <w:spacing w:before="0" w:after="0"/>
      </w:pPr>
      <w:bookmarkStart w:id="19" w:name="_heading=h.2guyw9tv6gk5" w:colFirst="0" w:colLast="0"/>
      <w:bookmarkStart w:id="20" w:name="_Toc221809876"/>
      <w:bookmarkEnd w:id="19"/>
      <w:r w:rsidRPr="00D772D2">
        <w:t>SEGUNDO. Causales de improcedencia y sobreseimiento</w:t>
      </w:r>
      <w:bookmarkEnd w:id="20"/>
    </w:p>
    <w:p w14:paraId="233059BE" w14:textId="77777777" w:rsidR="006D0EE4" w:rsidRPr="00D772D2" w:rsidRDefault="006D0EE4">
      <w:pPr>
        <w:spacing w:after="0" w:line="360" w:lineRule="auto"/>
      </w:pPr>
    </w:p>
    <w:p w14:paraId="10EF8B05" w14:textId="77777777" w:rsidR="006D0EE4" w:rsidRPr="00D772D2" w:rsidRDefault="00E363ED">
      <w:pPr>
        <w:spacing w:after="0" w:line="360" w:lineRule="auto"/>
      </w:pPr>
      <w:r w:rsidRPr="00D772D2">
        <w:t xml:space="preserve">De las constancias que forman parte del Recurso de Revisión que se analiza, se advierte que previo al estudio del fondo de la </w:t>
      </w:r>
      <w:r w:rsidRPr="00D772D2">
        <w:rPr>
          <w:i/>
          <w:iCs/>
        </w:rPr>
        <w:t>litis</w:t>
      </w:r>
      <w:r w:rsidRPr="00D772D2">
        <w:t>, es necesario estudiar las causales de improcedencia y sobreseimiento que se adviertan, para determinar lo que en Derecho proceda.</w:t>
      </w:r>
    </w:p>
    <w:p w14:paraId="50B4ECBF" w14:textId="77777777" w:rsidR="006D0EE4" w:rsidRPr="00D772D2" w:rsidRDefault="006D0EE4">
      <w:pPr>
        <w:spacing w:after="0" w:line="360" w:lineRule="auto"/>
      </w:pPr>
    </w:p>
    <w:p w14:paraId="47EB427D" w14:textId="77777777" w:rsidR="006D0EE4" w:rsidRPr="00D772D2" w:rsidRDefault="00E363ED">
      <w:pPr>
        <w:spacing w:after="0" w:line="360" w:lineRule="auto"/>
        <w:rPr>
          <w:b/>
          <w:bCs/>
        </w:rPr>
      </w:pPr>
      <w:r w:rsidRPr="00D772D2">
        <w:rPr>
          <w:b/>
          <w:bCs/>
        </w:rPr>
        <w:t>Causales de improcedencia</w:t>
      </w:r>
    </w:p>
    <w:p w14:paraId="27628CDA" w14:textId="77777777" w:rsidR="006D0EE4" w:rsidRPr="00D772D2" w:rsidRDefault="006D0EE4">
      <w:pPr>
        <w:spacing w:after="0" w:line="360" w:lineRule="auto"/>
      </w:pPr>
    </w:p>
    <w:p w14:paraId="0AC26010" w14:textId="77777777" w:rsidR="006D0EE4" w:rsidRPr="00D772D2" w:rsidRDefault="00E363ED">
      <w:pPr>
        <w:spacing w:after="0" w:line="360" w:lineRule="auto"/>
      </w:pPr>
      <w:r w:rsidRPr="00D772D2">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D772D2">
        <w:rPr>
          <w:b/>
          <w:bCs/>
        </w:rPr>
        <w:t xml:space="preserve"> </w:t>
      </w:r>
      <w:r w:rsidRPr="00D772D2">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5DEC099F" w14:textId="77777777" w:rsidR="006D0EE4" w:rsidRPr="00D772D2" w:rsidRDefault="006D0EE4">
      <w:pPr>
        <w:spacing w:after="0" w:line="360" w:lineRule="auto"/>
      </w:pPr>
    </w:p>
    <w:p w14:paraId="433A015D" w14:textId="77777777" w:rsidR="006D0EE4" w:rsidRPr="00D772D2" w:rsidRDefault="00E363ED">
      <w:pPr>
        <w:spacing w:after="0" w:line="360" w:lineRule="auto"/>
      </w:pPr>
      <w:r w:rsidRPr="00D772D2">
        <w:t xml:space="preserve">En el presente caso, </w:t>
      </w:r>
      <w:r w:rsidRPr="00D772D2">
        <w:rPr>
          <w:b/>
          <w:bCs/>
        </w:rPr>
        <w:t>no se actualiza ninguna de las causales de improcedencia</w:t>
      </w:r>
      <w:r w:rsidRPr="00D772D2">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23531624" w14:textId="77777777" w:rsidR="006D0EE4" w:rsidRPr="00D772D2" w:rsidRDefault="006D0EE4">
      <w:pPr>
        <w:spacing w:after="0" w:line="360" w:lineRule="auto"/>
        <w:rPr>
          <w:b/>
          <w:bCs/>
        </w:rPr>
      </w:pPr>
    </w:p>
    <w:p w14:paraId="45853640" w14:textId="77777777" w:rsidR="006D0EE4" w:rsidRPr="00D772D2" w:rsidRDefault="00E363ED">
      <w:pPr>
        <w:spacing w:after="0" w:line="360" w:lineRule="auto"/>
        <w:ind w:right="-28"/>
        <w:rPr>
          <w:b/>
          <w:bCs/>
        </w:rPr>
      </w:pPr>
      <w:r w:rsidRPr="00D772D2">
        <w:rPr>
          <w:b/>
          <w:bCs/>
        </w:rPr>
        <w:t>Causales de sobreseimiento</w:t>
      </w:r>
    </w:p>
    <w:p w14:paraId="227F008E" w14:textId="77777777" w:rsidR="006D0EE4" w:rsidRPr="00D772D2" w:rsidRDefault="006D0EE4">
      <w:pPr>
        <w:spacing w:after="0" w:line="360" w:lineRule="auto"/>
        <w:ind w:right="-28"/>
      </w:pPr>
    </w:p>
    <w:p w14:paraId="7D45101D" w14:textId="77777777" w:rsidR="006D0EE4" w:rsidRPr="00D772D2" w:rsidRDefault="00E363ED">
      <w:pPr>
        <w:spacing w:after="0" w:line="360" w:lineRule="auto"/>
      </w:pPr>
      <w:r w:rsidRPr="00D772D2">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D772D2">
        <w:rPr>
          <w:b/>
          <w:bCs/>
        </w:rPr>
        <w:t xml:space="preserve"> </w:t>
      </w:r>
      <w:r w:rsidRPr="00D772D2">
        <w:t>toda vez que no hay constancias en el expediente en que se actúa, de que la persona Recurrente se haya desistido, fallecido, que el Sujeto Obligado hubiese modificado o revocado el acto impugnado o bien, que admitido una vez admitido el Recurso de Revisión, aparezca alguna causal de improcedencia o haya quedado sin materia.</w:t>
      </w:r>
    </w:p>
    <w:p w14:paraId="5D882224" w14:textId="77777777" w:rsidR="006D0EE4" w:rsidRPr="00D772D2" w:rsidRDefault="006D0EE4">
      <w:pPr>
        <w:spacing w:after="0" w:line="360" w:lineRule="auto"/>
      </w:pPr>
    </w:p>
    <w:p w14:paraId="4A92B7CA" w14:textId="77777777" w:rsidR="006D0EE4" w:rsidRPr="00D772D2" w:rsidRDefault="00E363ED">
      <w:pPr>
        <w:pStyle w:val="Ttulo2"/>
        <w:spacing w:before="0" w:after="0"/>
      </w:pPr>
      <w:bookmarkStart w:id="21" w:name="_heading=h.wemnpfjxmdke" w:colFirst="0" w:colLast="0"/>
      <w:bookmarkStart w:id="22" w:name="_Toc221809877"/>
      <w:bookmarkEnd w:id="21"/>
      <w:r w:rsidRPr="00D772D2">
        <w:t>TERCERO. Determinación de la Controversia</w:t>
      </w:r>
      <w:bookmarkEnd w:id="22"/>
    </w:p>
    <w:p w14:paraId="79A18BC2" w14:textId="77777777" w:rsidR="006D0EE4" w:rsidRPr="00D772D2" w:rsidRDefault="006D0EE4">
      <w:pPr>
        <w:spacing w:after="0" w:line="360" w:lineRule="auto"/>
      </w:pPr>
    </w:p>
    <w:p w14:paraId="43472F73" w14:textId="7F5391BE" w:rsidR="006D0EE4" w:rsidRPr="00D772D2" w:rsidRDefault="00E363ED" w:rsidP="008972B8">
      <w:pPr>
        <w:spacing w:after="0" w:line="360" w:lineRule="auto"/>
        <w:rPr>
          <w:b/>
          <w:bCs/>
          <w:color w:val="000000"/>
        </w:rPr>
      </w:pPr>
      <w:r w:rsidRPr="00D772D2">
        <w:t xml:space="preserve">Así, se realizará la relatoría de las actuaciones efectuadas por las partes durante el procedimiento de acceso a la información pública con el propósito de dar claridad en el tratamiento del tema en estudio; por lo que en primer término tenemos que la parte Recurrente solicitó la entrega </w:t>
      </w:r>
      <w:r w:rsidR="008972B8" w:rsidRPr="00D772D2">
        <w:t>el n</w:t>
      </w:r>
      <w:r w:rsidRPr="00D772D2">
        <w:rPr>
          <w:color w:val="000000"/>
        </w:rPr>
        <w:t>ombre de las personas servidoras públicas que causaron alta y baja de la nómina durante la primera y segunda quincena de septiembre y octubre de 2025.</w:t>
      </w:r>
    </w:p>
    <w:p w14:paraId="1CF431E9" w14:textId="77777777" w:rsidR="006D0EE4" w:rsidRPr="00D772D2" w:rsidRDefault="006D0EE4">
      <w:pPr>
        <w:spacing w:after="0" w:line="360" w:lineRule="auto"/>
        <w:ind w:right="142"/>
        <w:rPr>
          <w:color w:val="000000"/>
        </w:rPr>
      </w:pPr>
    </w:p>
    <w:p w14:paraId="5F2B7708" w14:textId="77777777" w:rsidR="006D0EE4" w:rsidRPr="00D772D2" w:rsidRDefault="00E363ED">
      <w:pPr>
        <w:spacing w:after="0" w:line="360" w:lineRule="auto"/>
        <w:ind w:right="142"/>
        <w:rPr>
          <w:color w:val="000000"/>
        </w:rPr>
      </w:pPr>
      <w:r w:rsidRPr="00D772D2">
        <w:rPr>
          <w:color w:val="000000"/>
        </w:rPr>
        <w:t xml:space="preserve">En respuesta, el Sujeto Obligado remitió un listado del número de altas y bajas durante las quincenas solicitadas. Derivado de la respuesta la parte Recurrente se inconformó y señaló que la información entregada no corresponde con lo solicitado. Durante la sustanciación del Recurso de Revisión el Sujeto Obligado remitió a través de la Directora de Administración el nombre de los servidores públicos que causaron alta durante la temporalidad solicitada y </w:t>
      </w:r>
      <w:r w:rsidRPr="00D772D2">
        <w:t>señaló</w:t>
      </w:r>
      <w:r w:rsidRPr="00D772D2">
        <w:rPr>
          <w:color w:val="000000"/>
        </w:rPr>
        <w:t xml:space="preserve"> que se tienen 4 bajas pero que se encuentran en trámite, asimismo se remitió un acta </w:t>
      </w:r>
      <w:r w:rsidRPr="00D772D2">
        <w:rPr>
          <w:color w:val="000000"/>
        </w:rPr>
        <w:lastRenderedPageBreak/>
        <w:t xml:space="preserve">del Comité de Transparencia en el que se reservó el nombre del personal que </w:t>
      </w:r>
      <w:r w:rsidRPr="00D772D2">
        <w:t>causó</w:t>
      </w:r>
      <w:r w:rsidRPr="00D772D2">
        <w:rPr>
          <w:color w:val="000000"/>
        </w:rPr>
        <w:t xml:space="preserve"> alta y baja; así pues, se puso a la vista de la parte Recurrente únicamente el acta del Comité, dado que la información de altas y bajas se clasificó y no se tiene certeza si en la lista aparece algún policía operativo.  Por su parte, la persona Recurrente no añadió manifestaciones adicionales. </w:t>
      </w:r>
    </w:p>
    <w:p w14:paraId="2182615F" w14:textId="77777777" w:rsidR="006D0EE4" w:rsidRPr="00D772D2" w:rsidRDefault="006D0EE4">
      <w:pPr>
        <w:tabs>
          <w:tab w:val="left" w:pos="4962"/>
        </w:tabs>
        <w:spacing w:after="0" w:line="360" w:lineRule="auto"/>
        <w:rPr>
          <w:color w:val="000000"/>
        </w:rPr>
      </w:pPr>
    </w:p>
    <w:p w14:paraId="21DE4FD5" w14:textId="77777777" w:rsidR="006D0EE4" w:rsidRPr="00D772D2" w:rsidRDefault="00E363ED">
      <w:pPr>
        <w:tabs>
          <w:tab w:val="left" w:pos="4962"/>
        </w:tabs>
        <w:spacing w:after="0" w:line="360" w:lineRule="auto"/>
      </w:pPr>
      <w:r w:rsidRPr="00D772D2">
        <w:t xml:space="preserve">Así pues, de las constancias que integran el expediente, se advierte que en el asunto que nos ocupa se actualiza la causal de procedencia señalada en el artículo 179, fracción VI de la Ley de la materia; por la entrega de información que no corresponde con lo solicitado. </w:t>
      </w:r>
    </w:p>
    <w:p w14:paraId="68A95B71" w14:textId="77777777" w:rsidR="006D0EE4" w:rsidRPr="00D772D2" w:rsidRDefault="006D0EE4">
      <w:pPr>
        <w:tabs>
          <w:tab w:val="left" w:pos="4962"/>
        </w:tabs>
        <w:spacing w:after="0" w:line="360" w:lineRule="auto"/>
      </w:pPr>
    </w:p>
    <w:p w14:paraId="4425FFAD" w14:textId="77777777" w:rsidR="006D0EE4" w:rsidRPr="00D772D2" w:rsidRDefault="00E363ED">
      <w:pPr>
        <w:tabs>
          <w:tab w:val="left" w:pos="4962"/>
        </w:tabs>
        <w:spacing w:after="0" w:line="360" w:lineRule="auto"/>
      </w:pPr>
      <w:r w:rsidRPr="00D772D2">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00CE72D5" w14:textId="77777777" w:rsidR="006D0EE4" w:rsidRPr="00D772D2" w:rsidRDefault="006D0EE4">
      <w:pPr>
        <w:spacing w:after="0" w:line="360" w:lineRule="auto"/>
      </w:pPr>
    </w:p>
    <w:p w14:paraId="0B1806D6" w14:textId="77777777" w:rsidR="006D0EE4" w:rsidRPr="00D772D2" w:rsidRDefault="00E363ED">
      <w:pPr>
        <w:pStyle w:val="Ttulo2"/>
        <w:spacing w:before="0" w:after="0"/>
      </w:pPr>
      <w:bookmarkStart w:id="23" w:name="_heading=h.a6rjndnmqt8" w:colFirst="0" w:colLast="0"/>
      <w:bookmarkStart w:id="24" w:name="_Toc221809878"/>
      <w:bookmarkEnd w:id="23"/>
      <w:r w:rsidRPr="00D772D2">
        <w:t>CUARTO. Marco normativo aplicable en materia de transparencia y acceso a la información pública</w:t>
      </w:r>
      <w:bookmarkEnd w:id="24"/>
    </w:p>
    <w:p w14:paraId="33CAEEB9" w14:textId="77777777" w:rsidR="006D0EE4" w:rsidRPr="00D772D2" w:rsidRDefault="006D0EE4">
      <w:pPr>
        <w:spacing w:after="0" w:line="360" w:lineRule="auto"/>
      </w:pPr>
    </w:p>
    <w:p w14:paraId="0B351048" w14:textId="77777777" w:rsidR="006D0EE4" w:rsidRPr="00D772D2" w:rsidRDefault="00E363ED">
      <w:pPr>
        <w:spacing w:after="0" w:line="360" w:lineRule="auto"/>
      </w:pPr>
      <w:r w:rsidRPr="00D772D2">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DBE468E" w14:textId="77777777" w:rsidR="006D0EE4" w:rsidRPr="00D772D2" w:rsidRDefault="006D0EE4">
      <w:pPr>
        <w:spacing w:after="0" w:line="360" w:lineRule="auto"/>
      </w:pPr>
    </w:p>
    <w:p w14:paraId="57A56DBE" w14:textId="77777777" w:rsidR="006D0EE4" w:rsidRPr="00D772D2" w:rsidRDefault="00E363ED">
      <w:pPr>
        <w:spacing w:after="0" w:line="360" w:lineRule="auto"/>
      </w:pPr>
      <w:r w:rsidRPr="00D772D2">
        <w:t>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0700468" w14:textId="77777777" w:rsidR="006D0EE4" w:rsidRPr="00D772D2" w:rsidRDefault="006D0EE4">
      <w:pPr>
        <w:spacing w:after="0" w:line="360" w:lineRule="auto"/>
      </w:pPr>
    </w:p>
    <w:p w14:paraId="6465B4A3" w14:textId="77777777" w:rsidR="006D0EE4" w:rsidRPr="00D772D2" w:rsidRDefault="00E363ED">
      <w:pPr>
        <w:spacing w:after="0" w:line="360" w:lineRule="auto"/>
      </w:pPr>
      <w:r w:rsidRPr="00D772D2">
        <w:t>Por su parte, la Ley de Transparencia y Acceso a la Información Pública del Estado de México y Municipios (Reglamentaria del artículo 5° de la Constitución Local), establece lo siguiente:</w:t>
      </w:r>
    </w:p>
    <w:p w14:paraId="2CCFCD86" w14:textId="77777777" w:rsidR="006D0EE4" w:rsidRPr="00D772D2" w:rsidRDefault="006D0EE4">
      <w:pPr>
        <w:spacing w:after="0" w:line="360" w:lineRule="auto"/>
      </w:pPr>
    </w:p>
    <w:p w14:paraId="3B0C59BC" w14:textId="77777777" w:rsidR="006D0EE4" w:rsidRPr="00D772D2" w:rsidRDefault="00E363ED">
      <w:pPr>
        <w:spacing w:after="0" w:line="360" w:lineRule="auto"/>
      </w:pPr>
      <w:r w:rsidRPr="00D772D2">
        <w:t>El artículo 12 dice que, quienes generen, recopilen, administren, manejen, procesen, archiven o conserven información pública serán responsables de la misma.</w:t>
      </w:r>
    </w:p>
    <w:p w14:paraId="63DB42C8" w14:textId="77777777" w:rsidR="006D0EE4" w:rsidRPr="00D772D2" w:rsidRDefault="006D0EE4">
      <w:pPr>
        <w:spacing w:after="0" w:line="360" w:lineRule="auto"/>
      </w:pPr>
    </w:p>
    <w:p w14:paraId="6D9DE96A" w14:textId="77777777" w:rsidR="006D0EE4" w:rsidRPr="00D772D2" w:rsidRDefault="00E363ED">
      <w:pPr>
        <w:spacing w:after="0" w:line="360" w:lineRule="auto"/>
      </w:pPr>
      <w:r w:rsidRPr="00D772D2">
        <w:t>El artículo 18, que, los Sujetos Obligados deberán documentar todo acto que derive del ejercicio de sus facultades, competencias o funciones, considerando desde su origen la eventual publicidad y reutilización de la información que generen.</w:t>
      </w:r>
    </w:p>
    <w:p w14:paraId="5E1083E3" w14:textId="77777777" w:rsidR="006D0EE4" w:rsidRPr="00D772D2" w:rsidRDefault="006D0EE4">
      <w:pPr>
        <w:spacing w:after="0" w:line="360" w:lineRule="auto"/>
      </w:pPr>
    </w:p>
    <w:p w14:paraId="3AA08963" w14:textId="77777777" w:rsidR="006D0EE4" w:rsidRPr="00D772D2" w:rsidRDefault="00E363ED">
      <w:pPr>
        <w:spacing w:after="0" w:line="360" w:lineRule="auto"/>
      </w:pPr>
      <w:r w:rsidRPr="00D772D2">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BC36059" w14:textId="77777777" w:rsidR="006D0EE4" w:rsidRPr="00D772D2" w:rsidRDefault="006D0EE4">
      <w:pPr>
        <w:pStyle w:val="Ttulo2"/>
        <w:spacing w:before="0" w:after="0"/>
        <w:rPr>
          <w:smallCaps/>
        </w:rPr>
      </w:pPr>
    </w:p>
    <w:p w14:paraId="515417D0" w14:textId="77777777" w:rsidR="006D0EE4" w:rsidRPr="00D772D2" w:rsidRDefault="00E363ED">
      <w:pPr>
        <w:pStyle w:val="Ttulo2"/>
        <w:spacing w:before="0" w:after="0"/>
      </w:pPr>
      <w:bookmarkStart w:id="25" w:name="_heading=h.n2s5i8f16m1r" w:colFirst="0" w:colLast="0"/>
      <w:bookmarkStart w:id="26" w:name="_Toc221809879"/>
      <w:bookmarkEnd w:id="25"/>
      <w:r w:rsidRPr="00D772D2">
        <w:rPr>
          <w:smallCaps/>
        </w:rPr>
        <w:t>QUINTO.</w:t>
      </w:r>
      <w:r w:rsidRPr="00D772D2">
        <w:t xml:space="preserve"> Estudio de Fondo</w:t>
      </w:r>
      <w:bookmarkEnd w:id="26"/>
    </w:p>
    <w:p w14:paraId="22226C78" w14:textId="77777777" w:rsidR="006D0EE4" w:rsidRPr="00D772D2" w:rsidRDefault="006D0EE4">
      <w:pPr>
        <w:spacing w:after="0" w:line="360" w:lineRule="auto"/>
      </w:pPr>
    </w:p>
    <w:p w14:paraId="1DA7EC45" w14:textId="77777777" w:rsidR="006D0EE4" w:rsidRPr="00D772D2" w:rsidRDefault="00E363ED">
      <w:pPr>
        <w:spacing w:after="0" w:line="360" w:lineRule="auto"/>
      </w:pPr>
      <w:r w:rsidRPr="00D772D2">
        <w:t>Una vez expuesto lo anterior, es menester contextualizar la solicitud de información, la cual versa sobre diversos requerimientos en torno al Sujeto Obligado, que serán analizados conforme a lo siguiente:</w:t>
      </w:r>
    </w:p>
    <w:p w14:paraId="4E1FE124" w14:textId="77777777" w:rsidR="006D0EE4" w:rsidRPr="00D772D2" w:rsidRDefault="006D0EE4">
      <w:pPr>
        <w:spacing w:after="0" w:line="360" w:lineRule="auto"/>
        <w:rPr>
          <w:b/>
          <w:bCs/>
        </w:rPr>
      </w:pPr>
    </w:p>
    <w:p w14:paraId="380D0642" w14:textId="77777777" w:rsidR="006D0EE4" w:rsidRPr="00D772D2" w:rsidRDefault="00E363ED">
      <w:pPr>
        <w:spacing w:after="0" w:line="360" w:lineRule="auto"/>
      </w:pPr>
      <w:r w:rsidRPr="00D772D2">
        <w:t xml:space="preserve">Al respecto, el artículo 108 de la Constitución Política de los Estados Unidos Mexicanos, con relación al diverso 130 de la Constitución Política del Estado Libre y Soberano de México, establecen que se considera como servidor público a toda persona que desempeñe un empleo, cargo o comisión en alguno de los poderes del Estado, organismos autónomos, en los </w:t>
      </w:r>
      <w:r w:rsidRPr="00D772D2">
        <w:lastRenderedPageBreak/>
        <w:t xml:space="preserve">municipios y organismos auxiliares, así como los titulares o quienes hagan sus veces en empresas de participación estatal o municipal, sociedades o asociaciones asimiladas a éstas y en los fideicomisos públicos. </w:t>
      </w:r>
    </w:p>
    <w:p w14:paraId="66B5E632" w14:textId="77777777" w:rsidR="006D0EE4" w:rsidRPr="00D772D2" w:rsidRDefault="006D0EE4">
      <w:pPr>
        <w:spacing w:after="0" w:line="360" w:lineRule="auto"/>
      </w:pPr>
    </w:p>
    <w:p w14:paraId="6B4CEC4B" w14:textId="77777777" w:rsidR="006D0EE4" w:rsidRPr="00D772D2" w:rsidRDefault="00E363ED">
      <w:pPr>
        <w:spacing w:after="0" w:line="360" w:lineRule="auto"/>
      </w:pPr>
      <w:r w:rsidRPr="00D772D2">
        <w:t>En principio, el artículo 4°, fracción VI, de la Ley del Trabajo de los Servidores Públicos del Estado y Municipios, establece que un servidor público es toda persona física que preste a una institución pública un trabajo personal subordinado de carácter material o intelectual, o de ambos géneros, mediante el pago de un sueldo.</w:t>
      </w:r>
    </w:p>
    <w:p w14:paraId="0111FB2D" w14:textId="77777777" w:rsidR="006D0EE4" w:rsidRPr="00D772D2" w:rsidRDefault="006D0EE4">
      <w:pPr>
        <w:spacing w:after="0" w:line="360" w:lineRule="auto"/>
        <w:rPr>
          <w:b/>
          <w:bCs/>
        </w:rPr>
      </w:pPr>
    </w:p>
    <w:p w14:paraId="29DD9FA0" w14:textId="77777777" w:rsidR="006D0EE4" w:rsidRPr="00D772D2" w:rsidRDefault="00E363ED">
      <w:pPr>
        <w:spacing w:after="0" w:line="360" w:lineRule="auto"/>
      </w:pPr>
      <w:r w:rsidRPr="00D772D2">
        <w:t xml:space="preserve">Al respecto, se debe tener en cuenta que la Ley del Trabajo de los Servidores Públicos del Estado y Municipios, prevé en sus artículos 5, 45, 48, 49 y 53; que la relación de trabajo entre las instituciones públicas y sus servidores públicos se entiende establecida mediante nombramiento, formato único de movimiento de personal, contrato o cualquier otro, en el que se establece la prestación personal subordinada y la percepción de un sueldo, además, los servidores públicos prestarán los servicios conforme a dicho contrato o </w:t>
      </w:r>
      <w:r w:rsidRPr="00D772D2">
        <w:rPr>
          <w:b/>
          <w:bCs/>
        </w:rPr>
        <w:t>formato único de movimientos de personal,</w:t>
      </w:r>
      <w:r w:rsidRPr="00D772D2">
        <w:t xml:space="preserve"> y es un requisito para iniciar la prestación de servicios; además dichos documentos deben contener el nombre del servidor público, el cargo, la fecha de inicios, el lugar de adscripción, el carácter del nombramiento, la temporalidad, la remuneración, la jornada de trabajo y la firma de autorización. Aunado a ello, para el caso de la baja del personal, se debe emitir dicho formato; </w:t>
      </w:r>
      <w:r w:rsidRPr="00D772D2">
        <w:rPr>
          <w:b/>
          <w:bCs/>
        </w:rPr>
        <w:t>cabe precisar que tanto en el alta como baja del personal se emite dicho formato único de movimiento de personal, por lo que puede corresponder a los documentos solicitados.</w:t>
      </w:r>
    </w:p>
    <w:p w14:paraId="36419265" w14:textId="77777777" w:rsidR="006D0EE4" w:rsidRPr="00D772D2" w:rsidRDefault="006D0EE4">
      <w:pPr>
        <w:spacing w:after="0" w:line="360" w:lineRule="auto"/>
      </w:pPr>
    </w:p>
    <w:p w14:paraId="0C9A06CC" w14:textId="77777777" w:rsidR="006D0EE4" w:rsidRPr="00D772D2" w:rsidRDefault="00E363ED">
      <w:pPr>
        <w:spacing w:after="0" w:line="360" w:lineRule="auto"/>
        <w:rPr>
          <w:b/>
          <w:bCs/>
        </w:rPr>
      </w:pPr>
      <w:r w:rsidRPr="00D772D2">
        <w:t xml:space="preserve">Por su parte, el artículo 220 K, fracción I, de la misma Ley del Trabajo de los Servidores Públicos del Estado y Municipios, señala que es obligación de la institución pública de conservar los </w:t>
      </w:r>
      <w:r w:rsidRPr="00D772D2">
        <w:lastRenderedPageBreak/>
        <w:t>contratos, nombramientos o formatos únicos de movimiento de personal; por tanto, se advierte que el Sujeto Obligado puede conocer de la información solicitada.</w:t>
      </w:r>
    </w:p>
    <w:p w14:paraId="0C0370AB" w14:textId="77777777" w:rsidR="006D0EE4" w:rsidRPr="00D772D2" w:rsidRDefault="006D0EE4">
      <w:pPr>
        <w:spacing w:after="0" w:line="360" w:lineRule="auto"/>
        <w:rPr>
          <w:b/>
          <w:bCs/>
        </w:rPr>
      </w:pPr>
    </w:p>
    <w:p w14:paraId="7B05F834" w14:textId="77777777" w:rsidR="006D0EE4" w:rsidRPr="00D772D2" w:rsidRDefault="00E363ED">
      <w:pPr>
        <w:spacing w:after="0" w:line="360" w:lineRule="auto"/>
      </w:pPr>
      <w:r w:rsidRPr="00D772D2">
        <w:t xml:space="preserve">Cabe señalar que de conformidad con lo dispuesto en los artículos 33 y 34 del Reglamento Interno de la Administración Pública Municipal del Sujeto Obligado, señala que la Dirección de Administración es la encargada de proveer y administrar a los recursos humanos y por tanto, tiene dentro de sus atribuciones las de asignar a diversas áreas de la administración el personal que se requiera para sus funciones, elaborar la nómina y llevar el control y registro de los nombramientos, remociones, renuncias, cambios de adscripción, promociones, incapacidades, vacaciones y demás incidencias relacionadas con los servidores públicos municipales; </w:t>
      </w:r>
      <w:r w:rsidRPr="00D772D2">
        <w:rPr>
          <w:b/>
          <w:bCs/>
        </w:rPr>
        <w:t xml:space="preserve"> por tanto, se trata del área que puede conocer de la información solicitada. </w:t>
      </w:r>
      <w:r w:rsidRPr="00D772D2">
        <w:t xml:space="preserve"> </w:t>
      </w:r>
    </w:p>
    <w:p w14:paraId="2F0FE9EA" w14:textId="77777777" w:rsidR="006D0EE4" w:rsidRPr="00D772D2" w:rsidRDefault="006D0EE4">
      <w:pPr>
        <w:spacing w:after="0" w:line="360" w:lineRule="auto"/>
        <w:rPr>
          <w:b/>
          <w:bCs/>
        </w:rPr>
      </w:pPr>
    </w:p>
    <w:p w14:paraId="108D75C6" w14:textId="77777777" w:rsidR="006D0EE4" w:rsidRPr="00D772D2" w:rsidRDefault="00E363ED">
      <w:pPr>
        <w:spacing w:after="0" w:line="360" w:lineRule="auto"/>
        <w:rPr>
          <w:b/>
          <w:bCs/>
        </w:rPr>
      </w:pPr>
      <w:r w:rsidRPr="00D772D2">
        <w:t>En ese contexto, el artículo 92, fracciones VII y VIII, de la Ley de Transparencia y Acceso a la Información Pública del Estado de México y Municipios, establece que los Sujetos Obligados deberán poner a disposición del público de manera permanente y actualizada, la información de los servidores públicos, tales como, nombre, cargo, adscripción, fecha de alta y remuneraciones. Por lo que dicha información tiene el carácter de pública y forma parte de las obligaciones comunes en materia de transparencia, por lo que el Sujeto Obligado debe conocer de la información requerida.</w:t>
      </w:r>
    </w:p>
    <w:p w14:paraId="1DEBF683" w14:textId="77777777" w:rsidR="006D0EE4" w:rsidRPr="00D772D2" w:rsidRDefault="006D0EE4">
      <w:pPr>
        <w:spacing w:after="0" w:line="360" w:lineRule="auto"/>
      </w:pPr>
    </w:p>
    <w:p w14:paraId="28359761" w14:textId="7182207A" w:rsidR="006D0EE4" w:rsidRPr="00D772D2" w:rsidRDefault="00E363ED" w:rsidP="008972B8">
      <w:pPr>
        <w:spacing w:after="0" w:line="360" w:lineRule="auto"/>
        <w:rPr>
          <w:b/>
          <w:bCs/>
          <w:color w:val="000000"/>
        </w:rPr>
      </w:pPr>
      <w:r w:rsidRPr="00D772D2">
        <w:t xml:space="preserve">Conforme a lo anterior, se logra advertir que la persona Recurrente pretende conocer </w:t>
      </w:r>
      <w:r w:rsidR="008972B8" w:rsidRPr="00D772D2">
        <w:t xml:space="preserve">el nombre de las </w:t>
      </w:r>
      <w:r w:rsidRPr="00D772D2">
        <w:rPr>
          <w:color w:val="000000"/>
        </w:rPr>
        <w:t xml:space="preserve">personas servidoras públicas que causaron alta y baja de la nómina </w:t>
      </w:r>
      <w:r w:rsidR="008972B8" w:rsidRPr="00D772D2">
        <w:rPr>
          <w:color w:val="000000"/>
        </w:rPr>
        <w:t>de</w:t>
      </w:r>
      <w:r w:rsidRPr="00D772D2">
        <w:rPr>
          <w:color w:val="000000"/>
        </w:rPr>
        <w:t xml:space="preserve"> la primera quincena de septiembre </w:t>
      </w:r>
      <w:r w:rsidR="008972B8" w:rsidRPr="00D772D2">
        <w:rPr>
          <w:color w:val="000000"/>
        </w:rPr>
        <w:t xml:space="preserve">a la segunda de </w:t>
      </w:r>
      <w:r w:rsidRPr="00D772D2">
        <w:rPr>
          <w:color w:val="000000"/>
        </w:rPr>
        <w:t>octubre de 2025.</w:t>
      </w:r>
    </w:p>
    <w:p w14:paraId="4C8BE1BE" w14:textId="77777777" w:rsidR="006D0EE4" w:rsidRPr="00D772D2" w:rsidRDefault="006D0EE4">
      <w:pPr>
        <w:spacing w:after="0" w:line="360" w:lineRule="auto"/>
        <w:rPr>
          <w:color w:val="000000"/>
        </w:rPr>
      </w:pPr>
    </w:p>
    <w:p w14:paraId="2D6024C5" w14:textId="77777777" w:rsidR="006D0EE4" w:rsidRPr="00D772D2" w:rsidRDefault="00E363ED">
      <w:pPr>
        <w:spacing w:after="0" w:line="360" w:lineRule="auto"/>
        <w:rPr>
          <w:color w:val="000000"/>
        </w:rPr>
      </w:pPr>
      <w:r w:rsidRPr="00D772D2">
        <w:rPr>
          <w:color w:val="000000"/>
        </w:rPr>
        <w:t xml:space="preserve">Ante dicha circunstancia, es necesario precisar que de las constancias que obran en el expediente electrónico en SAIMEX, se logra advertir que el Sujeto Obligado dio respuesta sin señalar el área </w:t>
      </w:r>
      <w:r w:rsidRPr="00D772D2">
        <w:rPr>
          <w:color w:val="000000"/>
        </w:rPr>
        <w:lastRenderedPageBreak/>
        <w:t xml:space="preserve">que la emitió, pero rindió informe justificado a través de la Directora de Administración, por lo que, resulta necesario hacer referencia al </w:t>
      </w:r>
      <w:r w:rsidRPr="00D772D2">
        <w:rPr>
          <w:b/>
          <w:bCs/>
          <w:color w:val="000000"/>
        </w:rPr>
        <w:t>procedimiento de búsqueda que deben seguir los Sujetos Obligados para localizar la información,</w:t>
      </w:r>
      <w:r w:rsidRPr="00D772D2">
        <w:rPr>
          <w:color w:val="000000"/>
        </w:rPr>
        <w:t xml:space="preserve">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5C6F5EE0" w14:textId="77777777" w:rsidR="006D0EE4" w:rsidRPr="00D772D2" w:rsidRDefault="006D0EE4">
      <w:pPr>
        <w:spacing w:after="0" w:line="360" w:lineRule="auto"/>
        <w:rPr>
          <w:color w:val="FF0000"/>
        </w:rPr>
      </w:pPr>
    </w:p>
    <w:p w14:paraId="379791E4" w14:textId="77777777" w:rsidR="006D0EE4" w:rsidRPr="00D772D2" w:rsidRDefault="00E363ED">
      <w:pPr>
        <w:spacing w:after="0" w:line="360" w:lineRule="auto"/>
        <w:rPr>
          <w:b/>
          <w:bCs/>
          <w:color w:val="000000"/>
        </w:rPr>
      </w:pPr>
      <w:bookmarkStart w:id="27" w:name="_heading=h.2b8zdt7vox7" w:colFirst="0" w:colLast="0"/>
      <w:bookmarkEnd w:id="27"/>
      <w:r w:rsidRPr="00D772D2">
        <w:rPr>
          <w:color w:val="000000"/>
        </w:rPr>
        <w:t xml:space="preserve">Así, con la finalidad de determinar si el Sujeto Obligado </w:t>
      </w:r>
      <w:r w:rsidRPr="00D772D2">
        <w:rPr>
          <w:b/>
          <w:bCs/>
          <w:color w:val="000000"/>
        </w:rPr>
        <w:t>cumplió con el procedimiento de turnar al área competente</w:t>
      </w:r>
      <w:r w:rsidRPr="00D772D2">
        <w:rPr>
          <w:color w:val="000000"/>
        </w:rPr>
        <w:t xml:space="preserve"> previsto en el artículo 162 de la Ley de Transparencia y Acceso a la Información Pública del Estado de México y Municipio; </w:t>
      </w:r>
      <w:r w:rsidRPr="00D772D2">
        <w:rPr>
          <w:b/>
          <w:bCs/>
          <w:color w:val="000000"/>
        </w:rPr>
        <w:t xml:space="preserve"> dado que </w:t>
      </w:r>
      <w:r w:rsidRPr="00D772D2">
        <w:rPr>
          <w:b/>
          <w:bCs/>
        </w:rPr>
        <w:t>turnar</w:t>
      </w:r>
      <w:r w:rsidRPr="00D772D2">
        <w:rPr>
          <w:b/>
          <w:bCs/>
          <w:color w:val="000000"/>
        </w:rPr>
        <w:t xml:space="preserve"> la solicitud de información al área competente.</w:t>
      </w:r>
    </w:p>
    <w:p w14:paraId="4CC49B7D" w14:textId="77777777" w:rsidR="006D0EE4" w:rsidRPr="00D772D2" w:rsidRDefault="006D0EE4">
      <w:pPr>
        <w:spacing w:after="0" w:line="360" w:lineRule="auto"/>
        <w:rPr>
          <w:color w:val="000000"/>
        </w:rPr>
      </w:pPr>
    </w:p>
    <w:p w14:paraId="2D8DE513" w14:textId="77777777" w:rsidR="006D0EE4" w:rsidRPr="00D772D2" w:rsidRDefault="00E363ED">
      <w:pPr>
        <w:spacing w:after="0" w:line="360" w:lineRule="auto"/>
        <w:rPr>
          <w:color w:val="000000"/>
        </w:rPr>
      </w:pPr>
      <w:r w:rsidRPr="00D772D2">
        <w:rPr>
          <w:color w:val="000000"/>
        </w:rPr>
        <w:t>Ahora bien, cabe precisar que en respuesta refirió únicamente un número de altas y bajas en los siguientes términos:</w:t>
      </w:r>
    </w:p>
    <w:p w14:paraId="2D633AEC" w14:textId="77777777" w:rsidR="008972B8" w:rsidRPr="00D772D2" w:rsidRDefault="008972B8">
      <w:pPr>
        <w:spacing w:after="0" w:line="360" w:lineRule="auto"/>
        <w:rPr>
          <w:color w:val="000000"/>
        </w:rPr>
      </w:pPr>
    </w:p>
    <w:p w14:paraId="1DFFC456" w14:textId="64A095D3" w:rsidR="008972B8" w:rsidRPr="00D772D2" w:rsidRDefault="00E363ED">
      <w:pPr>
        <w:spacing w:after="0" w:line="360" w:lineRule="auto"/>
        <w:jc w:val="center"/>
        <w:rPr>
          <w:color w:val="000000"/>
        </w:rPr>
      </w:pPr>
      <w:r w:rsidRPr="00D772D2">
        <w:rPr>
          <w:i/>
          <w:iCs/>
          <w:noProof/>
        </w:rPr>
        <w:drawing>
          <wp:inline distT="0" distB="0" distL="0" distR="0" wp14:anchorId="50FC248F" wp14:editId="5A46AE7B">
            <wp:extent cx="2905125" cy="1057275"/>
            <wp:effectExtent l="0" t="0" r="9525" b="9525"/>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9"/>
                    <a:srcRect t="9677" r="11256" b="60298"/>
                    <a:stretch/>
                  </pic:blipFill>
                  <pic:spPr bwMode="auto">
                    <a:xfrm>
                      <a:off x="0" y="0"/>
                      <a:ext cx="2905532" cy="1057423"/>
                    </a:xfrm>
                    <a:prstGeom prst="rect">
                      <a:avLst/>
                    </a:prstGeom>
                    <a:ln>
                      <a:noFill/>
                    </a:ln>
                    <a:extLst>
                      <a:ext uri="{53640926-AAD7-44D8-BBD7-CCE9431645EC}">
                        <a14:shadowObscured xmlns:a14="http://schemas.microsoft.com/office/drawing/2010/main"/>
                      </a:ext>
                    </a:extLst>
                  </pic:spPr>
                </pic:pic>
              </a:graphicData>
            </a:graphic>
          </wp:inline>
        </w:drawing>
      </w:r>
      <w:r w:rsidR="008972B8" w:rsidRPr="00D772D2">
        <w:rPr>
          <w:i/>
          <w:iCs/>
          <w:noProof/>
        </w:rPr>
        <w:drawing>
          <wp:inline distT="0" distB="0" distL="0" distR="0" wp14:anchorId="60BABE4B" wp14:editId="2CE5B227">
            <wp:extent cx="2924175" cy="1066800"/>
            <wp:effectExtent l="0" t="0" r="9525" b="0"/>
            <wp:docPr id="18605328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9"/>
                    <a:srcRect t="43673" r="10471" b="20348"/>
                    <a:stretch/>
                  </pic:blipFill>
                  <pic:spPr bwMode="auto">
                    <a:xfrm>
                      <a:off x="0" y="0"/>
                      <a:ext cx="2924589" cy="1066951"/>
                    </a:xfrm>
                    <a:prstGeom prst="rect">
                      <a:avLst/>
                    </a:prstGeom>
                    <a:ln>
                      <a:noFill/>
                    </a:ln>
                    <a:extLst>
                      <a:ext uri="{53640926-AAD7-44D8-BBD7-CCE9431645EC}">
                        <a14:shadowObscured xmlns:a14="http://schemas.microsoft.com/office/drawing/2010/main"/>
                      </a:ext>
                    </a:extLst>
                  </pic:spPr>
                </pic:pic>
              </a:graphicData>
            </a:graphic>
          </wp:inline>
        </w:drawing>
      </w:r>
    </w:p>
    <w:p w14:paraId="57D6039E" w14:textId="77777777" w:rsidR="008972B8" w:rsidRPr="00D772D2" w:rsidRDefault="008972B8">
      <w:pPr>
        <w:spacing w:after="0" w:line="360" w:lineRule="auto"/>
        <w:ind w:right="142"/>
      </w:pPr>
    </w:p>
    <w:p w14:paraId="24868FEC" w14:textId="02F04D66" w:rsidR="006D0EE4" w:rsidRPr="00D772D2" w:rsidRDefault="00E363ED">
      <w:pPr>
        <w:spacing w:after="0" w:line="360" w:lineRule="auto"/>
        <w:ind w:right="142"/>
      </w:pPr>
      <w:r w:rsidRPr="00D772D2">
        <w:t>Al respecto, tal y como lo señaló la persona Recurrente en el Recurso de Revisión, se solicitó la entrega de los nombres del personal que causó baja y alta, no así las cantidades, por tanto, la respuesta no concuerda con lo solicitado.</w:t>
      </w:r>
    </w:p>
    <w:p w14:paraId="58EAA801" w14:textId="48559BC4" w:rsidR="006D0EE4" w:rsidRPr="00D772D2" w:rsidRDefault="00E363ED">
      <w:pPr>
        <w:spacing w:after="0" w:line="360" w:lineRule="auto"/>
        <w:ind w:right="142"/>
      </w:pPr>
      <w:r w:rsidRPr="00D772D2">
        <w:lastRenderedPageBreak/>
        <w:t xml:space="preserve">Durante la sustanciación del Recurso de Revisión el Sujeto Obligado modificó su respuesta inicial y remitió un listado del personal que </w:t>
      </w:r>
      <w:r w:rsidRPr="00D772D2">
        <w:rPr>
          <w:b/>
          <w:bCs/>
        </w:rPr>
        <w:t>causó alta</w:t>
      </w:r>
      <w:r w:rsidRPr="00D772D2">
        <w:t xml:space="preserve"> durante el período solicitado; sin embargo, cabe precisar que se desprende un listado con las siguientes cifras:</w:t>
      </w:r>
    </w:p>
    <w:p w14:paraId="3D3C243A" w14:textId="77777777" w:rsidR="006D0EE4" w:rsidRPr="00D772D2" w:rsidRDefault="006D0EE4">
      <w:pPr>
        <w:spacing w:after="0" w:line="360" w:lineRule="auto"/>
        <w:ind w:right="142"/>
      </w:pPr>
    </w:p>
    <w:p w14:paraId="47469432" w14:textId="77777777" w:rsidR="006D0EE4" w:rsidRPr="00D772D2" w:rsidRDefault="00E363ED">
      <w:pPr>
        <w:numPr>
          <w:ilvl w:val="0"/>
          <w:numId w:val="8"/>
        </w:numPr>
        <w:pBdr>
          <w:top w:val="nil"/>
          <w:left w:val="nil"/>
          <w:bottom w:val="nil"/>
          <w:right w:val="nil"/>
          <w:between w:val="nil"/>
        </w:pBdr>
        <w:spacing w:after="0" w:line="360" w:lineRule="auto"/>
        <w:ind w:right="142"/>
        <w:rPr>
          <w:color w:val="000000"/>
        </w:rPr>
      </w:pPr>
      <w:r w:rsidRPr="00D772D2">
        <w:rPr>
          <w:color w:val="000000"/>
        </w:rPr>
        <w:t>01/09/2025- 16 personas</w:t>
      </w:r>
    </w:p>
    <w:p w14:paraId="79B014CF" w14:textId="77777777" w:rsidR="006D0EE4" w:rsidRPr="00D772D2" w:rsidRDefault="00E363ED">
      <w:pPr>
        <w:numPr>
          <w:ilvl w:val="0"/>
          <w:numId w:val="8"/>
        </w:numPr>
        <w:pBdr>
          <w:top w:val="nil"/>
          <w:left w:val="nil"/>
          <w:bottom w:val="nil"/>
          <w:right w:val="nil"/>
          <w:between w:val="nil"/>
        </w:pBdr>
        <w:spacing w:after="0" w:line="360" w:lineRule="auto"/>
        <w:ind w:right="142"/>
        <w:rPr>
          <w:color w:val="000000"/>
        </w:rPr>
      </w:pPr>
      <w:r w:rsidRPr="00D772D2">
        <w:rPr>
          <w:color w:val="000000"/>
        </w:rPr>
        <w:t>16/09/2025-19 personas</w:t>
      </w:r>
    </w:p>
    <w:p w14:paraId="731B3073" w14:textId="77777777" w:rsidR="006D0EE4" w:rsidRPr="00D772D2" w:rsidRDefault="00E363ED">
      <w:pPr>
        <w:numPr>
          <w:ilvl w:val="0"/>
          <w:numId w:val="8"/>
        </w:numPr>
        <w:pBdr>
          <w:top w:val="nil"/>
          <w:left w:val="nil"/>
          <w:bottom w:val="nil"/>
          <w:right w:val="nil"/>
          <w:between w:val="nil"/>
        </w:pBdr>
        <w:spacing w:after="0" w:line="360" w:lineRule="auto"/>
        <w:ind w:right="142"/>
        <w:rPr>
          <w:color w:val="000000"/>
        </w:rPr>
      </w:pPr>
      <w:r w:rsidRPr="00D772D2">
        <w:rPr>
          <w:color w:val="000000"/>
        </w:rPr>
        <w:t xml:space="preserve">01/10/2025-17 personas </w:t>
      </w:r>
    </w:p>
    <w:p w14:paraId="751E914D" w14:textId="77777777" w:rsidR="006D0EE4" w:rsidRPr="00D772D2" w:rsidRDefault="00E363ED">
      <w:pPr>
        <w:numPr>
          <w:ilvl w:val="0"/>
          <w:numId w:val="8"/>
        </w:numPr>
        <w:pBdr>
          <w:top w:val="nil"/>
          <w:left w:val="nil"/>
          <w:bottom w:val="nil"/>
          <w:right w:val="nil"/>
          <w:between w:val="nil"/>
        </w:pBdr>
        <w:spacing w:after="0" w:line="360" w:lineRule="auto"/>
        <w:ind w:right="142"/>
        <w:rPr>
          <w:color w:val="000000"/>
        </w:rPr>
      </w:pPr>
      <w:r w:rsidRPr="00D772D2">
        <w:rPr>
          <w:color w:val="000000"/>
        </w:rPr>
        <w:t xml:space="preserve">16/10/2025- 14 personas </w:t>
      </w:r>
    </w:p>
    <w:p w14:paraId="63C2A5AC" w14:textId="77777777" w:rsidR="008972B8" w:rsidRPr="00D772D2" w:rsidRDefault="008972B8">
      <w:pPr>
        <w:spacing w:after="0" w:line="360" w:lineRule="auto"/>
        <w:ind w:right="142"/>
      </w:pPr>
    </w:p>
    <w:p w14:paraId="30B93BF9" w14:textId="13678363" w:rsidR="006D0EE4" w:rsidRPr="00D772D2" w:rsidRDefault="00E363ED">
      <w:pPr>
        <w:spacing w:after="0" w:line="360" w:lineRule="auto"/>
        <w:ind w:right="142"/>
      </w:pPr>
      <w:r w:rsidRPr="00D772D2">
        <w:t>Así pues, se advierte que no existe congruencia entre el número de personas que causaron alta en el mes de septiembre que fue informado en respuesta</w:t>
      </w:r>
      <w:r w:rsidR="008972B8" w:rsidRPr="00D772D2">
        <w:t>,</w:t>
      </w:r>
      <w:r w:rsidRPr="00D772D2">
        <w:t xml:space="preserve"> con aquel listado entregado en informe justificado, así </w:t>
      </w:r>
      <w:r w:rsidR="008972B8" w:rsidRPr="00D772D2">
        <w:t>pues,</w:t>
      </w:r>
      <w:r w:rsidRPr="00D772D2">
        <w:t xml:space="preserve"> se advierte que la </w:t>
      </w:r>
      <w:r w:rsidRPr="00D772D2">
        <w:rPr>
          <w:b/>
          <w:bCs/>
        </w:rPr>
        <w:t>información puede ser incompleta</w:t>
      </w:r>
      <w:r w:rsidRPr="00D772D2">
        <w:t>.</w:t>
      </w:r>
    </w:p>
    <w:p w14:paraId="4D3E82D1" w14:textId="77777777" w:rsidR="006D0EE4" w:rsidRPr="00D772D2" w:rsidRDefault="006D0EE4">
      <w:pPr>
        <w:spacing w:after="0" w:line="360" w:lineRule="auto"/>
        <w:ind w:right="142"/>
      </w:pPr>
    </w:p>
    <w:p w14:paraId="722D7114" w14:textId="77777777" w:rsidR="006D0EE4" w:rsidRPr="00D772D2" w:rsidRDefault="00E363ED">
      <w:pPr>
        <w:spacing w:after="0" w:line="360" w:lineRule="auto"/>
        <w:ind w:right="142"/>
      </w:pPr>
      <w:r w:rsidRPr="00D772D2">
        <w:t xml:space="preserve">Cabe destacar que el listado entregado en informe justificado </w:t>
      </w:r>
      <w:r w:rsidRPr="00D772D2">
        <w:rPr>
          <w:b/>
          <w:bCs/>
        </w:rPr>
        <w:t>no se puso a la vista de la parte Recurrente, en virtud de que no se tiene constancia o certeza sobre que alguno de los enlistados corresponda a personal de la policía municipal</w:t>
      </w:r>
      <w:r w:rsidRPr="00D772D2">
        <w:t xml:space="preserve"> </w:t>
      </w:r>
      <w:r w:rsidRPr="00D772D2">
        <w:rPr>
          <w:b/>
          <w:bCs/>
        </w:rPr>
        <w:t>que realice funciones operativas</w:t>
      </w:r>
      <w:r w:rsidRPr="00D772D2">
        <w:t xml:space="preserve">; cabe precisar que el listado se acompañó de un acuerdo de clasificación en el que se reservó la información de altas y bajas, es decir de toda la información, por tanto, ante la posible existencia de una reserva se intentó validar que el personal que se enlisto, no correspondiera a policías operativos, en este sentido este Organismo Garante intentó contrastar la información con lo publicado en el Sitio de Información Pública de Oficio Mexiquense (IPOMEX); sin embargo, los registros son de fechas anteriores a aquellas en las que causaron altas y por tanto dicha información no pudo validarse, en consecuencia, a fin de no poner en riesgo información que pueda ser clasificada no se puso a la vista de la parte Recurrente dicho documento.   </w:t>
      </w:r>
    </w:p>
    <w:p w14:paraId="5457EE59" w14:textId="77777777" w:rsidR="006D0EE4" w:rsidRPr="00D772D2" w:rsidRDefault="006D0EE4">
      <w:pPr>
        <w:spacing w:after="0" w:line="360" w:lineRule="auto"/>
        <w:ind w:right="142"/>
      </w:pPr>
    </w:p>
    <w:p w14:paraId="4C5F9D54" w14:textId="10BF9696" w:rsidR="006D0EE4" w:rsidRPr="00D772D2" w:rsidRDefault="00E363ED">
      <w:pPr>
        <w:tabs>
          <w:tab w:val="left" w:pos="4962"/>
        </w:tabs>
        <w:spacing w:after="0" w:line="360" w:lineRule="auto"/>
      </w:pPr>
      <w:r w:rsidRPr="00D772D2">
        <w:lastRenderedPageBreak/>
        <w:t xml:space="preserve">En este sentido es importante mencionar que el artículo 140, fracción IV, de la Ley de Transparencia y Acceso a la Información Pública del Estado de México y Municipios, prevé lo siguiente: </w:t>
      </w:r>
    </w:p>
    <w:p w14:paraId="0B2386EC" w14:textId="77777777" w:rsidR="006D0EE4" w:rsidRPr="00D772D2" w:rsidRDefault="006D0EE4">
      <w:pPr>
        <w:tabs>
          <w:tab w:val="left" w:pos="4962"/>
        </w:tabs>
        <w:spacing w:after="0" w:line="360" w:lineRule="auto"/>
      </w:pPr>
    </w:p>
    <w:p w14:paraId="6CFBB252" w14:textId="77777777" w:rsidR="006D0EE4" w:rsidRPr="00D772D2" w:rsidRDefault="00E363ED">
      <w:pPr>
        <w:tabs>
          <w:tab w:val="left" w:pos="4962"/>
        </w:tabs>
        <w:spacing w:after="0" w:line="360" w:lineRule="auto"/>
        <w:ind w:left="567" w:right="709"/>
        <w:rPr>
          <w:i/>
          <w:iCs/>
          <w:sz w:val="20"/>
          <w:szCs w:val="20"/>
        </w:rPr>
      </w:pPr>
      <w:r w:rsidRPr="00D772D2">
        <w:rPr>
          <w:i/>
          <w:iCs/>
          <w:sz w:val="20"/>
          <w:szCs w:val="20"/>
        </w:rPr>
        <w:t xml:space="preserve">“Artículo 140. El acceso a la información pública será restringido excepcionalmente, cuando por razones de interés público, ésta sea clasificada como reservada, conforme a los criterios siguientes: </w:t>
      </w:r>
    </w:p>
    <w:p w14:paraId="6F6E80D9" w14:textId="77777777" w:rsidR="008972B8" w:rsidRPr="00D772D2" w:rsidRDefault="008972B8">
      <w:pPr>
        <w:tabs>
          <w:tab w:val="left" w:pos="4962"/>
        </w:tabs>
        <w:spacing w:after="0" w:line="360" w:lineRule="auto"/>
        <w:ind w:left="567" w:right="709"/>
        <w:rPr>
          <w:i/>
          <w:iCs/>
          <w:sz w:val="20"/>
          <w:szCs w:val="20"/>
        </w:rPr>
      </w:pPr>
    </w:p>
    <w:p w14:paraId="0EF4E289" w14:textId="7D5208B4" w:rsidR="006D0EE4" w:rsidRPr="00D772D2" w:rsidRDefault="00E363ED">
      <w:pPr>
        <w:tabs>
          <w:tab w:val="left" w:pos="4962"/>
        </w:tabs>
        <w:spacing w:after="0" w:line="360" w:lineRule="auto"/>
        <w:ind w:left="567" w:right="709"/>
        <w:rPr>
          <w:i/>
          <w:iCs/>
          <w:sz w:val="20"/>
          <w:szCs w:val="20"/>
        </w:rPr>
      </w:pPr>
      <w:r w:rsidRPr="00D772D2">
        <w:rPr>
          <w:i/>
          <w:iCs/>
          <w:sz w:val="20"/>
          <w:szCs w:val="20"/>
        </w:rPr>
        <w:t xml:space="preserve"> IV. Ponga en riesgo la vida, la seguridad o la salud de una persona física;</w:t>
      </w:r>
    </w:p>
    <w:p w14:paraId="63A3673A" w14:textId="77777777" w:rsidR="006D0EE4" w:rsidRPr="00D772D2" w:rsidRDefault="00E363ED">
      <w:pPr>
        <w:tabs>
          <w:tab w:val="left" w:pos="4962"/>
        </w:tabs>
        <w:spacing w:after="0" w:line="360" w:lineRule="auto"/>
        <w:ind w:left="567" w:right="709"/>
        <w:rPr>
          <w:i/>
          <w:iCs/>
          <w:sz w:val="20"/>
          <w:szCs w:val="20"/>
        </w:rPr>
      </w:pPr>
      <w:r w:rsidRPr="00D772D2">
        <w:rPr>
          <w:i/>
          <w:iCs/>
          <w:sz w:val="20"/>
          <w:szCs w:val="20"/>
        </w:rPr>
        <w:t xml:space="preserve"> …” </w:t>
      </w:r>
    </w:p>
    <w:p w14:paraId="0EBC0486" w14:textId="77777777" w:rsidR="006D0EE4" w:rsidRPr="00D772D2" w:rsidRDefault="006D0EE4">
      <w:pPr>
        <w:tabs>
          <w:tab w:val="left" w:pos="4962"/>
        </w:tabs>
        <w:spacing w:after="0" w:line="360" w:lineRule="auto"/>
        <w:ind w:left="567" w:right="709"/>
        <w:rPr>
          <w:i/>
          <w:iCs/>
        </w:rPr>
      </w:pPr>
    </w:p>
    <w:p w14:paraId="5E064419" w14:textId="77777777" w:rsidR="006D0EE4" w:rsidRPr="00D772D2" w:rsidRDefault="00E363ED">
      <w:pPr>
        <w:tabs>
          <w:tab w:val="left" w:pos="4962"/>
        </w:tabs>
        <w:spacing w:after="0" w:line="360" w:lineRule="auto"/>
      </w:pPr>
      <w:r w:rsidRPr="00D772D2">
        <w:t xml:space="preserve">Del precepto legal anteriormente citado se desprende que como información reservada podrá clasificarse aquella cuya publicación pueda poner en riesgo la vida, seguridad o salud de una persona física; para acreditar lo anterior, los Lineamientos Generales, establecen lo siguiente: </w:t>
      </w:r>
    </w:p>
    <w:p w14:paraId="316F4E7F" w14:textId="77777777" w:rsidR="006D0EE4" w:rsidRPr="00D772D2" w:rsidRDefault="006D0EE4">
      <w:pPr>
        <w:tabs>
          <w:tab w:val="left" w:pos="4962"/>
        </w:tabs>
        <w:spacing w:after="0" w:line="360" w:lineRule="auto"/>
      </w:pPr>
    </w:p>
    <w:p w14:paraId="162328B1" w14:textId="77777777" w:rsidR="006D0EE4" w:rsidRPr="00D772D2" w:rsidRDefault="00E363ED">
      <w:pPr>
        <w:tabs>
          <w:tab w:val="left" w:pos="4962"/>
        </w:tabs>
        <w:spacing w:after="0" w:line="360" w:lineRule="auto"/>
        <w:ind w:left="567" w:right="709"/>
        <w:rPr>
          <w:i/>
          <w:iCs/>
          <w:sz w:val="20"/>
          <w:szCs w:val="20"/>
        </w:rPr>
      </w:pPr>
      <w:r w:rsidRPr="00D772D2">
        <w:rPr>
          <w:i/>
          <w:iCs/>
          <w:sz w:val="20"/>
          <w:szCs w:val="20"/>
        </w:rPr>
        <w:t>“Vigésimo tercero. Para clasificar la información como reservada, de conformidad con el artículo 113, fracción V de la Ley General, será necesario acreditar un vínculo, entre una o varias personas físicas y la información que pueda poner en riesgo su vida, seguridad o salud; especificando cuál de estos bienes jurídicos será afectado, así como el potencial daño o riesgo que causaría su difusión”</w:t>
      </w:r>
    </w:p>
    <w:p w14:paraId="5DDCDDE0" w14:textId="77777777" w:rsidR="006D0EE4" w:rsidRPr="00D772D2" w:rsidRDefault="006D0EE4">
      <w:pPr>
        <w:spacing w:after="0" w:line="360" w:lineRule="auto"/>
        <w:rPr>
          <w:i/>
          <w:iCs/>
        </w:rPr>
      </w:pPr>
    </w:p>
    <w:p w14:paraId="7D38B077" w14:textId="77777777" w:rsidR="006D0EE4" w:rsidRPr="00D772D2" w:rsidRDefault="00E363ED">
      <w:pPr>
        <w:spacing w:after="0" w:line="360" w:lineRule="auto"/>
      </w:pPr>
      <w:r w:rsidRPr="00D772D2">
        <w:t>Del Lineamiento referido, se desprende que para clasificar la información como reservada, será necesario acreditar un vínculo, entre la persona física y la información que pueda poner en riesgo su vida, seguridad o salud, es decir, se deben señalar el bien jurídico específico afectado y el potencial de daño o riesgo que causaría su difusión. Además, el artículo 81, fracción III, de la Ley de Seguridad del Estado de México, establece lo siguiente:</w:t>
      </w:r>
    </w:p>
    <w:p w14:paraId="02D6BA1F" w14:textId="77777777" w:rsidR="006D0EE4" w:rsidRPr="00D772D2" w:rsidRDefault="006D0EE4">
      <w:pPr>
        <w:spacing w:after="0" w:line="360" w:lineRule="auto"/>
      </w:pPr>
    </w:p>
    <w:p w14:paraId="02AEF887" w14:textId="77777777" w:rsidR="006D0EE4" w:rsidRPr="00D772D2" w:rsidRDefault="00E363ED">
      <w:pPr>
        <w:spacing w:after="0" w:line="360" w:lineRule="auto"/>
        <w:ind w:left="567" w:right="709"/>
        <w:rPr>
          <w:i/>
          <w:iCs/>
          <w:sz w:val="20"/>
          <w:szCs w:val="20"/>
        </w:rPr>
      </w:pPr>
      <w:r w:rsidRPr="00D772D2">
        <w:rPr>
          <w:i/>
          <w:iCs/>
          <w:sz w:val="20"/>
          <w:szCs w:val="20"/>
        </w:rPr>
        <w:t xml:space="preserve">“Artículo 81.- Toda información para la seguridad pública generada o en poder de Instituciones de Seguridad Pública o de cualquier instancia del Sistema Estatal debe registrarse, clasificarse y </w:t>
      </w:r>
      <w:r w:rsidRPr="00D772D2">
        <w:rPr>
          <w:i/>
          <w:iCs/>
          <w:sz w:val="20"/>
          <w:szCs w:val="20"/>
        </w:rPr>
        <w:lastRenderedPageBreak/>
        <w:t xml:space="preserve">tratarse de conformidad con las disposiciones aplicables. No obstante lo anterior, esta información se considerará reservada en los casos siguientes: … </w:t>
      </w:r>
    </w:p>
    <w:p w14:paraId="31FA58F5" w14:textId="77777777" w:rsidR="008972B8" w:rsidRPr="00D772D2" w:rsidRDefault="008972B8">
      <w:pPr>
        <w:spacing w:after="0" w:line="360" w:lineRule="auto"/>
        <w:ind w:left="567" w:right="709"/>
        <w:rPr>
          <w:i/>
          <w:iCs/>
          <w:sz w:val="20"/>
          <w:szCs w:val="20"/>
        </w:rPr>
      </w:pPr>
    </w:p>
    <w:p w14:paraId="0D810E8B" w14:textId="77777777" w:rsidR="006D0EE4" w:rsidRPr="00D772D2" w:rsidRDefault="00E363ED">
      <w:pPr>
        <w:spacing w:after="0" w:line="360" w:lineRule="auto"/>
        <w:ind w:left="567" w:right="709"/>
        <w:rPr>
          <w:i/>
          <w:iCs/>
          <w:sz w:val="20"/>
          <w:szCs w:val="20"/>
        </w:rPr>
      </w:pPr>
      <w:r w:rsidRPr="00D772D2">
        <w:rPr>
          <w:i/>
          <w:iCs/>
          <w:sz w:val="20"/>
          <w:szCs w:val="20"/>
        </w:rPr>
        <w:t>III. La relativa a los servidores públicos integrantes de las instituciones de seguridad pública, cuya revelación pueda poner en riesgo su vida e integridad física con motivo de sus funciones;…”</w:t>
      </w:r>
    </w:p>
    <w:p w14:paraId="2B179726" w14:textId="77777777" w:rsidR="006D0EE4" w:rsidRPr="00D772D2" w:rsidRDefault="006D0EE4">
      <w:pPr>
        <w:spacing w:after="0" w:line="360" w:lineRule="auto"/>
      </w:pPr>
    </w:p>
    <w:p w14:paraId="430E68E9" w14:textId="77777777" w:rsidR="006D0EE4" w:rsidRPr="00D772D2" w:rsidRDefault="00E363ED">
      <w:pPr>
        <w:spacing w:after="0" w:line="360" w:lineRule="auto"/>
      </w:pPr>
      <w:r w:rsidRPr="00D772D2">
        <w:t xml:space="preserve">Conforme al citado artículo, se desprende que es reservada toda aquella información de los servidores públicos integrantes de las instituciones de seguridad pública, cuya revelación pueda poner en riesgo su vida e integridad física con motivo de sus funciones. </w:t>
      </w:r>
    </w:p>
    <w:p w14:paraId="1ADB8DAF" w14:textId="77777777" w:rsidR="006D0EE4" w:rsidRPr="00D772D2" w:rsidRDefault="006D0EE4">
      <w:pPr>
        <w:spacing w:after="0" w:line="360" w:lineRule="auto"/>
      </w:pPr>
    </w:p>
    <w:p w14:paraId="73D740A6" w14:textId="77777777" w:rsidR="006D0EE4" w:rsidRPr="00D772D2" w:rsidRDefault="00E363ED">
      <w:pPr>
        <w:spacing w:after="0" w:line="360" w:lineRule="auto"/>
      </w:pPr>
      <w:r w:rsidRPr="00D772D2">
        <w:t>En ese contexto, es de señalar que los datos de servidores públicos, entre los que se encuentran el nombre y fotografía de los trabajadores, por regla general, son de naturaleza pública, de conformidad con el 92, fracción VII, de la Ley de Transparencia y Acceso a la Información Pública del Estado de México y Municipios.</w:t>
      </w:r>
    </w:p>
    <w:p w14:paraId="23D8047C" w14:textId="77777777" w:rsidR="006D0EE4" w:rsidRPr="00D772D2" w:rsidRDefault="006D0EE4">
      <w:pPr>
        <w:spacing w:after="0" w:line="360" w:lineRule="auto"/>
      </w:pPr>
    </w:p>
    <w:p w14:paraId="3130DD58" w14:textId="77777777" w:rsidR="006D0EE4" w:rsidRPr="00D772D2" w:rsidRDefault="00E363ED">
      <w:pPr>
        <w:spacing w:after="0" w:line="360" w:lineRule="auto"/>
      </w:pPr>
      <w:r w:rsidRPr="00D772D2">
        <w:t>No obstante, resulta necesario traer a colación por analogía, el Criterio de interpretación, con número de registro SO/006/2009, de la Primera Época, emitido por el entonces Instituto Federal de Acceso a la Información y Protección de Datos ahora Instituto Nacional de Transparencia, Acceso a la Información y Protección de Datos Personales, que establece lo siguiente:</w:t>
      </w:r>
    </w:p>
    <w:p w14:paraId="3AA839B5" w14:textId="77777777" w:rsidR="006D0EE4" w:rsidRPr="00D772D2" w:rsidRDefault="006D0EE4">
      <w:pPr>
        <w:spacing w:after="0" w:line="360" w:lineRule="auto"/>
      </w:pPr>
    </w:p>
    <w:p w14:paraId="62BAAC32" w14:textId="77777777" w:rsidR="006D0EE4" w:rsidRPr="00D772D2" w:rsidRDefault="00E363ED">
      <w:pPr>
        <w:spacing w:after="0" w:line="360" w:lineRule="auto"/>
        <w:ind w:left="567" w:right="709"/>
        <w:rPr>
          <w:i/>
          <w:iCs/>
          <w:sz w:val="20"/>
          <w:szCs w:val="20"/>
        </w:rPr>
      </w:pPr>
      <w:r w:rsidRPr="00D772D2">
        <w:rPr>
          <w:i/>
          <w:iCs/>
          <w:sz w:val="20"/>
          <w:szCs w:val="20"/>
        </w:rPr>
        <w:t xml:space="preserve">“Nombres de servidores públicos dedicados a actividades en materia de seguridad, por excepción pueden considerarse información reservada.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w:t>
      </w:r>
      <w:r w:rsidRPr="00D772D2">
        <w:rPr>
          <w:i/>
          <w:iCs/>
          <w:sz w:val="20"/>
          <w:szCs w:val="20"/>
        </w:rPr>
        <w:lastRenderedPageBreak/>
        <w:t>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2E6CD308" w14:textId="77777777" w:rsidR="006D0EE4" w:rsidRPr="00D772D2" w:rsidRDefault="006D0EE4">
      <w:pPr>
        <w:spacing w:after="0" w:line="360" w:lineRule="auto"/>
      </w:pPr>
    </w:p>
    <w:p w14:paraId="1FE89DB8" w14:textId="77777777" w:rsidR="006D0EE4" w:rsidRPr="00D772D2" w:rsidRDefault="00E363ED">
      <w:pPr>
        <w:spacing w:after="0" w:line="360" w:lineRule="auto"/>
      </w:pPr>
      <w:r w:rsidRPr="00D772D2">
        <w:t xml:space="preserve">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 </w:t>
      </w:r>
    </w:p>
    <w:p w14:paraId="39F75E15" w14:textId="77777777" w:rsidR="006D0EE4" w:rsidRPr="00D772D2" w:rsidRDefault="006D0EE4">
      <w:pPr>
        <w:spacing w:after="0" w:line="360" w:lineRule="auto"/>
      </w:pPr>
    </w:p>
    <w:p w14:paraId="61E114FB" w14:textId="77777777" w:rsidR="006D0EE4" w:rsidRPr="00D772D2" w:rsidRDefault="00E363ED">
      <w:pPr>
        <w:spacing w:after="0" w:line="360" w:lineRule="auto"/>
      </w:pPr>
      <w:r w:rsidRPr="00D772D2">
        <w:t xml:space="preserve">En ese orden de ideas, si bien por regla general los nombres de los trabajadores gubernamentales son información pública de oficio, existe una excepción relativa a aquellos que realicen actividades operativas en materia de seguridad, como es el caso de los elementos operativos y la policía municipal. </w:t>
      </w:r>
    </w:p>
    <w:p w14:paraId="12EEDAB8" w14:textId="77777777" w:rsidR="006D0EE4" w:rsidRPr="00D772D2" w:rsidRDefault="006D0EE4">
      <w:pPr>
        <w:spacing w:after="0" w:line="360" w:lineRule="auto"/>
      </w:pPr>
    </w:p>
    <w:p w14:paraId="70499025" w14:textId="77777777" w:rsidR="006D0EE4" w:rsidRPr="00D772D2" w:rsidRDefault="00E363ED">
      <w:pPr>
        <w:spacing w:after="0" w:line="360" w:lineRule="auto"/>
      </w:pPr>
      <w:r w:rsidRPr="00D772D2">
        <w:t xml:space="preserve">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w:t>
      </w:r>
      <w:r w:rsidRPr="00D772D2">
        <w:lastRenderedPageBreak/>
        <w:t xml:space="preserve">y ejecución de sentencias, de las autoridades competentes en materia de justicia para adolescentes, de las instancias encargadas de aplicar las infracción administrativas, y de las demás autoridades de las instancias encargadas de aplicar las infracciones administrativas. </w:t>
      </w:r>
    </w:p>
    <w:p w14:paraId="512BCA56" w14:textId="77777777" w:rsidR="006D0EE4" w:rsidRPr="00D772D2" w:rsidRDefault="006D0EE4">
      <w:pPr>
        <w:spacing w:after="0" w:line="360" w:lineRule="auto"/>
      </w:pPr>
    </w:p>
    <w:p w14:paraId="17FE187E" w14:textId="77777777" w:rsidR="006D0EE4" w:rsidRPr="00D772D2" w:rsidRDefault="00E363ED">
      <w:pPr>
        <w:spacing w:after="0" w:line="360" w:lineRule="auto"/>
      </w:pPr>
      <w:r w:rsidRPr="00D772D2">
        <w:t>En ese contexto, el artículo 6°, fracciones XI y XII de dicho ordenamiento jurídico, establece los siguientes conceptos:</w:t>
      </w:r>
    </w:p>
    <w:p w14:paraId="09FE45AF" w14:textId="77777777" w:rsidR="006D0EE4" w:rsidRPr="00D772D2" w:rsidRDefault="006D0EE4">
      <w:pPr>
        <w:spacing w:after="0" w:line="360" w:lineRule="auto"/>
      </w:pPr>
    </w:p>
    <w:p w14:paraId="7AC40EFB" w14:textId="77777777" w:rsidR="006D0EE4" w:rsidRPr="00D772D2" w:rsidRDefault="00E363ED">
      <w:pPr>
        <w:numPr>
          <w:ilvl w:val="0"/>
          <w:numId w:val="10"/>
        </w:numPr>
        <w:pBdr>
          <w:top w:val="nil"/>
          <w:left w:val="nil"/>
          <w:bottom w:val="nil"/>
          <w:right w:val="nil"/>
          <w:between w:val="nil"/>
        </w:pBdr>
        <w:spacing w:after="0" w:line="360" w:lineRule="auto"/>
      </w:pPr>
      <w:r w:rsidRPr="00D772D2">
        <w:rPr>
          <w:color w:val="000000"/>
        </w:rPr>
        <w:t xml:space="preserve">Instituciones Policiales: Son los cuerpos de policía, de vigilancia y custodia de los establecimientos penitenciarios, detención preventiva, centros de arraigo y en general, todas las dependencias encargadas de la seguridad pública a nivel estatal y municipal.  </w:t>
      </w:r>
    </w:p>
    <w:p w14:paraId="4E7FAD2B" w14:textId="77777777" w:rsidR="006D0EE4" w:rsidRPr="00D772D2" w:rsidRDefault="00E363ED">
      <w:pPr>
        <w:numPr>
          <w:ilvl w:val="0"/>
          <w:numId w:val="10"/>
        </w:numPr>
        <w:pBdr>
          <w:top w:val="nil"/>
          <w:left w:val="nil"/>
          <w:bottom w:val="nil"/>
          <w:right w:val="nil"/>
          <w:between w:val="nil"/>
        </w:pBdr>
        <w:spacing w:after="0" w:line="360" w:lineRule="auto"/>
      </w:pPr>
      <w:r w:rsidRPr="00D772D2">
        <w:rPr>
          <w:color w:val="000000"/>
        </w:rPr>
        <w:t>Instituciones de Seguridad Pública: Instituciones Policiales, Procuración de Justicia, Sistema Penitenciario y dependencias encargadas de la seguridad pública a nivel estatal y municipal.</w:t>
      </w:r>
    </w:p>
    <w:p w14:paraId="13231960" w14:textId="77777777" w:rsidR="006D0EE4" w:rsidRPr="00D772D2" w:rsidRDefault="006D0EE4">
      <w:pPr>
        <w:spacing w:after="0" w:line="360" w:lineRule="auto"/>
      </w:pPr>
    </w:p>
    <w:p w14:paraId="449127AE" w14:textId="77777777" w:rsidR="006D0EE4" w:rsidRPr="00D772D2" w:rsidRDefault="00E363ED">
      <w:pPr>
        <w:spacing w:after="0" w:line="360" w:lineRule="auto"/>
      </w:pPr>
      <w:r w:rsidRPr="00D772D2">
        <w:t xml:space="preserve">Conforme a lo anterior, se puede deducir que el área de seguridad pública municipal, es una institución de seguridad pública, pues tiene como atribución principal, la prevención de delitos y proteger a las personas, sus propiedades, posesiones y derechos. </w:t>
      </w:r>
    </w:p>
    <w:p w14:paraId="0FAC13B5" w14:textId="77777777" w:rsidR="006D0EE4" w:rsidRPr="00D772D2" w:rsidRDefault="006D0EE4">
      <w:pPr>
        <w:spacing w:after="0" w:line="360" w:lineRule="auto"/>
      </w:pPr>
    </w:p>
    <w:p w14:paraId="577CC3E5" w14:textId="77777777" w:rsidR="006D0EE4" w:rsidRPr="00D772D2" w:rsidRDefault="00E363ED">
      <w:pPr>
        <w:spacing w:after="0" w:line="360" w:lineRule="auto"/>
      </w:pPr>
      <w:r w:rsidRPr="00D772D2">
        <w:t>Además, el Instructivo de llenado del Formato “Personal de Seguridad Pública”, del Secretariado Ejecutivo del Sistema Nacional de Seguridad Pública (consultado el quince de junio de dos mil veintitrés, en la liga electrónica http://secretariadoejecutivo.gob.mx/work/models/SecretariadoEjecutivo/Resource/328/1/ima ges/instructivo_final_edo_fuerza(1).pdf), establece que los elementos operativos de seguridad pública, son aquellos que desempeñan funciones de campo (policiacas, especializadas o equivalentes y que no desempeña funciones de mando), entre los cuales, se encuentra la Policía Municipal.</w:t>
      </w:r>
    </w:p>
    <w:p w14:paraId="46C0B018" w14:textId="77777777" w:rsidR="006D0EE4" w:rsidRPr="00D772D2" w:rsidRDefault="00E363ED">
      <w:pPr>
        <w:spacing w:after="0" w:line="360" w:lineRule="auto"/>
      </w:pPr>
      <w:r w:rsidRPr="00D772D2">
        <w:lastRenderedPageBreak/>
        <w:t>Además, se advierte que las Instituciones Policiales, se conforman del personal administrativo, que son los trabajadores de apoyo (chofer, personal de mantenimiento, servicios generales y área secretaría); así como, el personal de mando (alto, medio y superior), que es aquel que realiza funciones de dirección, coordinación y supervisión, por lo cual, corresponde a aquel que tenga trabajadores a su cargo.</w:t>
      </w:r>
    </w:p>
    <w:p w14:paraId="693060E8" w14:textId="77777777" w:rsidR="006D0EE4" w:rsidRPr="00D772D2" w:rsidRDefault="006D0EE4">
      <w:pPr>
        <w:spacing w:after="0" w:line="360" w:lineRule="auto"/>
      </w:pPr>
    </w:p>
    <w:p w14:paraId="00029C78" w14:textId="77777777" w:rsidR="006D0EE4" w:rsidRPr="00D772D2" w:rsidRDefault="00E363ED">
      <w:pPr>
        <w:spacing w:after="0" w:line="360" w:lineRule="auto"/>
      </w:pPr>
      <w:r w:rsidRPr="00D772D2">
        <w:t>Así, dar a conocer el nombre, vinculado con el hecho que son policías,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7F39688E" w14:textId="77777777" w:rsidR="006D0EE4" w:rsidRPr="00D772D2" w:rsidRDefault="006D0EE4">
      <w:pPr>
        <w:spacing w:after="0" w:line="360" w:lineRule="auto"/>
      </w:pPr>
    </w:p>
    <w:p w14:paraId="586CFBEF" w14:textId="77777777" w:rsidR="006D0EE4" w:rsidRPr="00D772D2" w:rsidRDefault="00E363ED">
      <w:pPr>
        <w:spacing w:after="0" w:line="360" w:lineRule="auto"/>
      </w:pPr>
      <w:r w:rsidRPr="00D772D2">
        <w:t xml:space="preserve">Sin embargo, por lo que hace al </w:t>
      </w:r>
      <w:r w:rsidRPr="00D772D2">
        <w:rPr>
          <w:b/>
          <w:bCs/>
        </w:rPr>
        <w:t>personal administrativo y los mandos medios y superiores</w:t>
      </w:r>
      <w:r w:rsidRPr="00D772D2">
        <w:t xml:space="preserve">, se advierte que estos no realizan funciones operativas, sino únicamente realizan actividades de apoyo y dirección respectivamente, por lo que, </w:t>
      </w:r>
      <w:r w:rsidRPr="00D772D2">
        <w:rPr>
          <w:b/>
          <w:bCs/>
        </w:rPr>
        <w:t>no procede la causal de reserva</w:t>
      </w:r>
      <w:r w:rsidRPr="00D772D2">
        <w:t xml:space="preserve"> establecida en el artículo 140, fracción IV, de la Ley de la materia, pues por el tipo de funciones que realizan, no se pone en peligro su vida, seguridad o salud de este tipo de trabajadores.</w:t>
      </w:r>
    </w:p>
    <w:p w14:paraId="6809DA43" w14:textId="77777777" w:rsidR="006D0EE4" w:rsidRPr="00D772D2" w:rsidRDefault="006D0EE4">
      <w:pPr>
        <w:spacing w:after="0" w:line="360" w:lineRule="auto"/>
      </w:pPr>
    </w:p>
    <w:p w14:paraId="5D071F65" w14:textId="77777777" w:rsidR="006D0EE4" w:rsidRPr="00D772D2" w:rsidRDefault="00E363ED">
      <w:pPr>
        <w:spacing w:after="0" w:line="360" w:lineRule="auto"/>
      </w:pPr>
      <w:r w:rsidRPr="00D772D2">
        <w:t xml:space="preserve">De tal situación, se considera que dar a conocer el nombre de los policías municipales, puede poner en riesgo la vida, seguridad y salud de estos, de sus familias e incluso su entorno social, pues al hacerlos identificables, los hacen blancos de los agentes delincuenciales o inclusive a la </w:t>
      </w:r>
      <w:r w:rsidRPr="00D772D2">
        <w:lastRenderedPageBreak/>
        <w:t>delincuencia organizada, los cuales podrían amenazar o causarles algún daño, con el fin de entorpecer o disminuir la seguridad pública y aumentar la comisión de actos ilícitos.</w:t>
      </w:r>
    </w:p>
    <w:p w14:paraId="754C4479" w14:textId="77777777" w:rsidR="006D0EE4" w:rsidRPr="00D772D2" w:rsidRDefault="006D0EE4">
      <w:pPr>
        <w:spacing w:after="0" w:line="360" w:lineRule="auto"/>
      </w:pPr>
    </w:p>
    <w:p w14:paraId="09EBCD8C" w14:textId="77777777" w:rsidR="006D0EE4" w:rsidRPr="00D772D2" w:rsidRDefault="00E363ED">
      <w:pPr>
        <w:spacing w:after="0" w:line="360" w:lineRule="auto"/>
      </w:pPr>
      <w:r w:rsidRPr="00D772D2">
        <w:t>Lo anterior toma relevancia pues los individuos con pretensiones delictivas pudieran promover algún vínculo o relación directa con los elementos operativos, que incluye a la policía municipal o bien, someterla a extorsión o amenazas con el fin de obtener información sensible sobre el modus operandi de dicha área, lo cual se traduciría en un detrimento al combate a la delincuencia y un perjuicio a la seguridad pública, vulnerando así, el interés general.</w:t>
      </w:r>
    </w:p>
    <w:p w14:paraId="36392371" w14:textId="77777777" w:rsidR="006D0EE4" w:rsidRPr="00D772D2" w:rsidRDefault="006D0EE4">
      <w:pPr>
        <w:spacing w:after="0" w:line="360" w:lineRule="auto"/>
      </w:pPr>
    </w:p>
    <w:p w14:paraId="491166A4" w14:textId="4ED61E2F" w:rsidR="006D0EE4" w:rsidRPr="00D772D2" w:rsidRDefault="00E363ED">
      <w:pPr>
        <w:spacing w:after="0" w:line="360" w:lineRule="auto"/>
      </w:pPr>
      <w:r w:rsidRPr="00D772D2">
        <w:t xml:space="preserve">Por tales consideraciones, </w:t>
      </w:r>
      <w:r w:rsidRPr="00D772D2">
        <w:rPr>
          <w:b/>
          <w:bCs/>
        </w:rPr>
        <w:t>resulta procedente la reserva del nombre de los elementos operativos adscritos a la Dirección General de Seguridad Ciudadana y Tránsito Municipal</w:t>
      </w:r>
      <w:r w:rsidR="003060BB" w:rsidRPr="00D772D2">
        <w:rPr>
          <w:b/>
          <w:bCs/>
        </w:rPr>
        <w:t>, que a la fecha de la solicitud estuvieran en funciones</w:t>
      </w:r>
      <w:r w:rsidRPr="00D772D2">
        <w:t xml:space="preserve">, en </w:t>
      </w:r>
      <w:r w:rsidRPr="00D772D2">
        <w:rPr>
          <w:b/>
          <w:bCs/>
        </w:rPr>
        <w:t>términos del artículo 140, fracción IV, de la Ley de Transparencia y Acceso a la Información Pública del Estado de México y Municipios</w:t>
      </w:r>
      <w:r w:rsidR="003060BB" w:rsidRPr="00D772D2">
        <w:t>; para el caso de que hayan sido dados de baja, ya no aplicaría la reserva al no estar realizando funciones operativas.</w:t>
      </w:r>
    </w:p>
    <w:p w14:paraId="3B9B6B15" w14:textId="77777777" w:rsidR="006D0EE4" w:rsidRPr="00D772D2" w:rsidRDefault="006D0EE4">
      <w:pPr>
        <w:spacing w:after="0" w:line="360" w:lineRule="auto"/>
      </w:pPr>
    </w:p>
    <w:p w14:paraId="5467E5BC" w14:textId="77777777" w:rsidR="006D0EE4" w:rsidRPr="00D772D2" w:rsidRDefault="00E363ED">
      <w:pPr>
        <w:spacing w:after="0" w:line="360" w:lineRule="auto"/>
      </w:pPr>
      <w:r w:rsidRPr="00D772D2">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30E546B9" w14:textId="77777777" w:rsidR="006D0EE4" w:rsidRPr="00D772D2" w:rsidRDefault="006D0EE4">
      <w:pPr>
        <w:spacing w:after="0" w:line="360" w:lineRule="auto"/>
      </w:pPr>
    </w:p>
    <w:p w14:paraId="66D6F07C" w14:textId="77777777" w:rsidR="006D0EE4" w:rsidRPr="00D772D2" w:rsidRDefault="00E363ED">
      <w:pPr>
        <w:numPr>
          <w:ilvl w:val="0"/>
          <w:numId w:val="9"/>
        </w:numPr>
        <w:pBdr>
          <w:top w:val="nil"/>
          <w:left w:val="nil"/>
          <w:bottom w:val="nil"/>
          <w:right w:val="nil"/>
          <w:between w:val="nil"/>
        </w:pBdr>
        <w:spacing w:after="0" w:line="360" w:lineRule="auto"/>
        <w:rPr>
          <w:color w:val="000000"/>
        </w:rPr>
      </w:pPr>
      <w:r w:rsidRPr="00D772D2">
        <w:rPr>
          <w:color w:val="000000"/>
        </w:rPr>
        <w:t>La divulgación de la información representa un riesgo real, demostrable e identificable de perjuicio significativo al interés público o a la seguridad nacional.</w:t>
      </w:r>
    </w:p>
    <w:p w14:paraId="5ED4B79C" w14:textId="77777777" w:rsidR="006D0EE4" w:rsidRPr="00D772D2" w:rsidRDefault="006D0EE4">
      <w:pPr>
        <w:spacing w:after="0" w:line="360" w:lineRule="auto"/>
      </w:pPr>
    </w:p>
    <w:p w14:paraId="2194D176" w14:textId="77777777" w:rsidR="006D0EE4" w:rsidRPr="00D772D2" w:rsidRDefault="00E363ED">
      <w:pPr>
        <w:numPr>
          <w:ilvl w:val="0"/>
          <w:numId w:val="9"/>
        </w:numPr>
        <w:pBdr>
          <w:top w:val="nil"/>
          <w:left w:val="nil"/>
          <w:bottom w:val="nil"/>
          <w:right w:val="nil"/>
          <w:between w:val="nil"/>
        </w:pBdr>
        <w:spacing w:after="0" w:line="360" w:lineRule="auto"/>
        <w:rPr>
          <w:color w:val="000000"/>
        </w:rPr>
      </w:pPr>
      <w:r w:rsidRPr="00D772D2">
        <w:rPr>
          <w:color w:val="000000"/>
        </w:rPr>
        <w:t>El riesgo de perjuicio supera el interés público general de que se difunda.</w:t>
      </w:r>
    </w:p>
    <w:p w14:paraId="65346405" w14:textId="77777777" w:rsidR="006D0EE4" w:rsidRPr="00D772D2" w:rsidRDefault="006D0EE4">
      <w:pPr>
        <w:spacing w:after="0" w:line="360" w:lineRule="auto"/>
      </w:pPr>
    </w:p>
    <w:p w14:paraId="25EE10F3" w14:textId="77777777" w:rsidR="006D0EE4" w:rsidRPr="00D772D2" w:rsidRDefault="00E363ED">
      <w:pPr>
        <w:numPr>
          <w:ilvl w:val="0"/>
          <w:numId w:val="9"/>
        </w:numPr>
        <w:pBdr>
          <w:top w:val="nil"/>
          <w:left w:val="nil"/>
          <w:bottom w:val="nil"/>
          <w:right w:val="nil"/>
          <w:between w:val="nil"/>
        </w:pBdr>
        <w:spacing w:after="0" w:line="360" w:lineRule="auto"/>
        <w:rPr>
          <w:color w:val="000000"/>
        </w:rPr>
      </w:pPr>
      <w:r w:rsidRPr="00D772D2">
        <w:rPr>
          <w:color w:val="000000"/>
        </w:rPr>
        <w:lastRenderedPageBreak/>
        <w:t>Que la limitación se adecua al principio de proporcionalidad y representa el medio menos restrictivo disponible para evitar el perjuicio.</w:t>
      </w:r>
    </w:p>
    <w:p w14:paraId="390CFACB" w14:textId="77777777" w:rsidR="006D0EE4" w:rsidRPr="00D772D2" w:rsidRDefault="006D0EE4">
      <w:pPr>
        <w:spacing w:after="0" w:line="360" w:lineRule="auto"/>
      </w:pPr>
    </w:p>
    <w:p w14:paraId="41FE0048" w14:textId="77777777" w:rsidR="006D0EE4" w:rsidRPr="00D772D2" w:rsidRDefault="00E363ED">
      <w:pPr>
        <w:spacing w:after="0" w:line="360" w:lineRule="auto"/>
      </w:pPr>
      <w:r w:rsidRPr="00D772D2">
        <w:t xml:space="preserve">Además, el artículo 125 de la Ley de la materia, establece que la información clasificada como reservada según el artículo 140 de la Ley de Transparencia y Acceso a la Información Pública del Estado de México y Municipios,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en las versiones públicas, deberá clasificar el nombre de los elementos operativos de la </w:t>
      </w:r>
      <w:r w:rsidRPr="00D772D2">
        <w:rPr>
          <w:b/>
          <w:bCs/>
        </w:rPr>
        <w:t xml:space="preserve">Dirección General de Seguridad Ciudadana y Tránsito Municipal, </w:t>
      </w:r>
      <w:r w:rsidRPr="00D772D2">
        <w:t>de manera fundada y motivada, mediante la respectiva prueba de daño.</w:t>
      </w:r>
    </w:p>
    <w:p w14:paraId="485DAF62" w14:textId="77777777" w:rsidR="006D0EE4" w:rsidRPr="00D772D2" w:rsidRDefault="006D0EE4">
      <w:pPr>
        <w:spacing w:after="0" w:line="360" w:lineRule="auto"/>
      </w:pPr>
    </w:p>
    <w:p w14:paraId="4D1E2BA7" w14:textId="77777777" w:rsidR="006D0EE4" w:rsidRPr="00D772D2" w:rsidRDefault="00E363ED">
      <w:pPr>
        <w:spacing w:after="0" w:line="360" w:lineRule="auto"/>
      </w:pPr>
      <w:r w:rsidRPr="00D772D2">
        <w:t>Así, este Instituto considera que el Sujeto Obligado deberá proporcionar lo peticionado, en versión pública; al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197D7279" w14:textId="77777777" w:rsidR="006D0EE4" w:rsidRPr="00D772D2" w:rsidRDefault="006D0EE4">
      <w:pPr>
        <w:spacing w:after="0" w:line="360" w:lineRule="auto"/>
      </w:pPr>
    </w:p>
    <w:p w14:paraId="7C9D4666" w14:textId="77777777" w:rsidR="006D0EE4" w:rsidRPr="00D772D2" w:rsidRDefault="00E363ED">
      <w:pPr>
        <w:spacing w:after="0" w:line="360" w:lineRule="auto"/>
      </w:pPr>
      <w:r w:rsidRPr="00D772D2">
        <w:t xml:space="preserve">Para tal situación, el Sujeto Obligado deberá seguir el procedimiento establecido en el artículo 168 de dicho ordenamiento jurídico; esto es, que el área competente deberá elaborar la versión </w:t>
      </w:r>
      <w:r w:rsidRPr="00D772D2">
        <w:lastRenderedPageBreak/>
        <w:t>pública, así como emitir el Acuerdo, por parte del Comité de Transparencia, donde confirme la clasificación de los datos, fundando y motivando la clasificación.</w:t>
      </w:r>
    </w:p>
    <w:p w14:paraId="38A2AAF8" w14:textId="77777777" w:rsidR="006D0EE4" w:rsidRPr="00D772D2" w:rsidRDefault="006D0EE4">
      <w:pPr>
        <w:spacing w:after="0" w:line="360" w:lineRule="auto"/>
      </w:pPr>
    </w:p>
    <w:p w14:paraId="5385C5EF" w14:textId="77777777" w:rsidR="006D0EE4" w:rsidRPr="00D772D2" w:rsidRDefault="00E363ED">
      <w:pPr>
        <w:spacing w:after="0" w:line="360" w:lineRule="auto"/>
      </w:pPr>
      <w:r w:rsidRPr="00D772D2">
        <w:t xml:space="preserve">Así pues, la respuesta </w:t>
      </w:r>
      <w:r w:rsidRPr="00D772D2">
        <w:rPr>
          <w:b/>
          <w:bCs/>
        </w:rPr>
        <w:t>no colmó lo solicitado y el listado de altas remitido en informe justificado</w:t>
      </w:r>
      <w:r w:rsidRPr="00D772D2">
        <w:t xml:space="preserve"> se es incongruente con las cantidades señaladas en respuesta, además no se puso a la vista del Recurrente dado que no se tiene certeza de que el personal señalado no desarrolle actividades de policías operativos, lo cual es clasificado conforme a los argumentos anteriores, por tanto, el listado remitido en informe </w:t>
      </w:r>
      <w:r w:rsidRPr="00D772D2">
        <w:rPr>
          <w:b/>
          <w:bCs/>
        </w:rPr>
        <w:t>tampoco colma la solicitud de información</w:t>
      </w:r>
      <w:r w:rsidRPr="00D772D2">
        <w:t>.</w:t>
      </w:r>
    </w:p>
    <w:p w14:paraId="4E07337F" w14:textId="77777777" w:rsidR="006D0EE4" w:rsidRPr="00D772D2" w:rsidRDefault="006D0EE4">
      <w:pPr>
        <w:spacing w:after="0" w:line="360" w:lineRule="auto"/>
      </w:pPr>
    </w:p>
    <w:p w14:paraId="054F6888" w14:textId="77777777" w:rsidR="006D0EE4" w:rsidRPr="00D772D2" w:rsidRDefault="00E363ED">
      <w:pPr>
        <w:spacing w:after="0" w:line="360" w:lineRule="auto"/>
      </w:pPr>
      <w:r w:rsidRPr="00D772D2">
        <w:t>Aunado a lo anterior; cabe precisar que el Sujeto Obligado también refirió en informe justificado, la clasificación del nombre del personal que causó baja, y señaló tener únicamente 4 personas, lo cual nuevamente no concuerda con las cantidades señaladas en respuesta, dado que en un primer momento se señaló un total aproximado de 38 bajas durante la temporalidad solicitada, por tanto, se aprecia q1ue la información señalada en informe puede encontrarse incompleta; además; se señaló que la información de las bajas estaba clasificada al encontrarse en proceso y se remitió un acta del Comité de Transparencia, en el que se reservó la información en los siguientes términos:</w:t>
      </w:r>
    </w:p>
    <w:p w14:paraId="7C82A8F5" w14:textId="77777777" w:rsidR="003060BB" w:rsidRPr="00D772D2" w:rsidRDefault="003060BB">
      <w:pPr>
        <w:spacing w:after="0" w:line="360" w:lineRule="auto"/>
      </w:pPr>
    </w:p>
    <w:p w14:paraId="6B798231" w14:textId="2F848232" w:rsidR="003060BB" w:rsidRPr="00D772D2" w:rsidRDefault="003060BB">
      <w:pPr>
        <w:spacing w:after="0" w:line="360" w:lineRule="auto"/>
      </w:pPr>
      <w:r w:rsidRPr="00D772D2">
        <w:rPr>
          <w:noProof/>
        </w:rPr>
        <w:drawing>
          <wp:inline distT="0" distB="0" distL="0" distR="0" wp14:anchorId="09837D54" wp14:editId="66FA373E">
            <wp:extent cx="5132575" cy="2004060"/>
            <wp:effectExtent l="0" t="0" r="0" b="0"/>
            <wp:docPr id="108576889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0"/>
                    <a:srcRect t="55742"/>
                    <a:stretch/>
                  </pic:blipFill>
                  <pic:spPr bwMode="auto">
                    <a:xfrm>
                      <a:off x="0" y="0"/>
                      <a:ext cx="5133077" cy="2004256"/>
                    </a:xfrm>
                    <a:prstGeom prst="rect">
                      <a:avLst/>
                    </a:prstGeom>
                    <a:ln>
                      <a:noFill/>
                    </a:ln>
                    <a:extLst>
                      <a:ext uri="{53640926-AAD7-44D8-BBD7-CCE9431645EC}">
                        <a14:shadowObscured xmlns:a14="http://schemas.microsoft.com/office/drawing/2010/main"/>
                      </a:ext>
                    </a:extLst>
                  </pic:spPr>
                </pic:pic>
              </a:graphicData>
            </a:graphic>
          </wp:inline>
        </w:drawing>
      </w:r>
    </w:p>
    <w:p w14:paraId="5269D144" w14:textId="2826285B" w:rsidR="006D0EE4" w:rsidRPr="00D772D2" w:rsidRDefault="006D0EE4">
      <w:pPr>
        <w:spacing w:after="0" w:line="360" w:lineRule="auto"/>
        <w:jc w:val="center"/>
      </w:pPr>
    </w:p>
    <w:p w14:paraId="408E0FD2" w14:textId="77777777" w:rsidR="006D0EE4" w:rsidRPr="00D772D2" w:rsidRDefault="00E363ED">
      <w:pPr>
        <w:spacing w:after="0" w:line="360" w:lineRule="auto"/>
        <w:jc w:val="center"/>
      </w:pPr>
      <w:r w:rsidRPr="00D772D2">
        <w:rPr>
          <w:noProof/>
        </w:rPr>
        <w:lastRenderedPageBreak/>
        <w:drawing>
          <wp:inline distT="0" distB="0" distL="0" distR="0" wp14:anchorId="20BF999C" wp14:editId="7174A6E6">
            <wp:extent cx="5116852" cy="361967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5116852" cy="3619670"/>
                    </a:xfrm>
                    <a:prstGeom prst="rect">
                      <a:avLst/>
                    </a:prstGeom>
                    <a:ln/>
                  </pic:spPr>
                </pic:pic>
              </a:graphicData>
            </a:graphic>
          </wp:inline>
        </w:drawing>
      </w:r>
    </w:p>
    <w:p w14:paraId="2501B745" w14:textId="77777777" w:rsidR="006D0EE4" w:rsidRPr="00D772D2" w:rsidRDefault="006D0EE4">
      <w:pPr>
        <w:spacing w:after="0" w:line="360" w:lineRule="auto"/>
        <w:ind w:right="142"/>
      </w:pPr>
    </w:p>
    <w:p w14:paraId="4DE08C96" w14:textId="77777777" w:rsidR="006D0EE4" w:rsidRPr="00D772D2" w:rsidRDefault="00E363ED">
      <w:pPr>
        <w:spacing w:after="0" w:line="360" w:lineRule="auto"/>
      </w:pPr>
      <w:r w:rsidRPr="00D772D2">
        <w:t>De lo anterior, es importante señalar que el artículo 6°, Apartado A), fracción I de la Constitución Política de los Estados Unidos Mexicanos, establece que toda la información en posesión de cualquier autoridad, es pública y sólo podrá ser reservada temporalmente por razones de interés público. Entonces, se prevé que la información es pública salvo los casos de excepción que prevén las leyes; al respecto, la Ley de Transparencia y Acceso a la Información Pública del Estado de México y Municipios en materia de clasificación hay dos supuestos, a saber, los siguientes:</w:t>
      </w:r>
    </w:p>
    <w:p w14:paraId="3A7E2B03" w14:textId="77777777" w:rsidR="006D0EE4" w:rsidRPr="00D772D2" w:rsidRDefault="006D0EE4">
      <w:pPr>
        <w:spacing w:after="0" w:line="360" w:lineRule="auto"/>
      </w:pPr>
    </w:p>
    <w:p w14:paraId="1544E7BC" w14:textId="77777777" w:rsidR="006D0EE4" w:rsidRPr="00D772D2" w:rsidRDefault="00E363ED">
      <w:pPr>
        <w:numPr>
          <w:ilvl w:val="0"/>
          <w:numId w:val="11"/>
        </w:numPr>
        <w:spacing w:after="0" w:line="360" w:lineRule="auto"/>
        <w:rPr>
          <w:color w:val="000000"/>
        </w:rPr>
      </w:pPr>
      <w:r w:rsidRPr="00D772D2">
        <w:rPr>
          <w:b/>
          <w:bCs/>
          <w:color w:val="000000"/>
        </w:rPr>
        <w:t>Confidencial</w:t>
      </w:r>
      <w:r w:rsidRPr="00D772D2">
        <w:rPr>
          <w:color w:val="000000"/>
        </w:rPr>
        <w:t>: Se trata de datos personales o de la vida privada de una persona física o jurídico-colectiva y encuentran su sustento legal en el artículo 143 de la Ley de Transparencia y Acceso a la Información Pública del Estado de México y Municipios</w:t>
      </w:r>
    </w:p>
    <w:p w14:paraId="0F7AE261" w14:textId="77777777" w:rsidR="006D0EE4" w:rsidRPr="00D772D2" w:rsidRDefault="006D0EE4">
      <w:pPr>
        <w:spacing w:after="0" w:line="360" w:lineRule="auto"/>
        <w:ind w:left="720"/>
        <w:rPr>
          <w:color w:val="000000"/>
        </w:rPr>
      </w:pPr>
    </w:p>
    <w:p w14:paraId="784B56DC" w14:textId="77777777" w:rsidR="006D0EE4" w:rsidRPr="00D772D2" w:rsidRDefault="00E363ED">
      <w:pPr>
        <w:numPr>
          <w:ilvl w:val="0"/>
          <w:numId w:val="11"/>
        </w:numPr>
        <w:spacing w:after="0" w:line="360" w:lineRule="auto"/>
        <w:rPr>
          <w:color w:val="000000"/>
        </w:rPr>
      </w:pPr>
      <w:r w:rsidRPr="00D772D2">
        <w:rPr>
          <w:b/>
          <w:bCs/>
          <w:color w:val="000000"/>
        </w:rPr>
        <w:lastRenderedPageBreak/>
        <w:t>Reservada:</w:t>
      </w:r>
      <w:r w:rsidRPr="00D772D2">
        <w:rPr>
          <w:color w:val="000000"/>
        </w:rPr>
        <w:t xml:space="preserve"> Es información de carácter público, que no puede ser proporcionada al actualizar alguna de las causales establecidas en el artículo 140 de la Ley de Transparencia y Acceso a la Información Pública del Estado de México y Municipios y demás aplicables. </w:t>
      </w:r>
    </w:p>
    <w:p w14:paraId="7D503BE4" w14:textId="77777777" w:rsidR="006D0EE4" w:rsidRPr="00D772D2" w:rsidRDefault="006D0EE4">
      <w:pPr>
        <w:spacing w:after="0" w:line="360" w:lineRule="auto"/>
        <w:rPr>
          <w:color w:val="000000"/>
        </w:rPr>
      </w:pPr>
    </w:p>
    <w:p w14:paraId="0A169158" w14:textId="77777777" w:rsidR="006D0EE4" w:rsidRPr="00D772D2" w:rsidRDefault="00E363ED">
      <w:pPr>
        <w:spacing w:after="0" w:line="360" w:lineRule="auto"/>
      </w:pPr>
      <w:r w:rsidRPr="00D772D2">
        <w:t>Así pues, existen dos supuestos para la restricción del acceso a la información; que implica que la información solicitada se trate de datos personales confidenciales o que se actualice algún supuesto de reserva.</w:t>
      </w:r>
    </w:p>
    <w:p w14:paraId="1ED285A8" w14:textId="77777777" w:rsidR="006D0EE4" w:rsidRPr="00D772D2" w:rsidRDefault="006D0EE4">
      <w:pPr>
        <w:spacing w:after="0" w:line="360" w:lineRule="auto"/>
        <w:ind w:right="142"/>
      </w:pPr>
    </w:p>
    <w:p w14:paraId="0D5E49B6" w14:textId="77777777" w:rsidR="006D0EE4" w:rsidRPr="00D772D2" w:rsidRDefault="00E363ED">
      <w:pPr>
        <w:spacing w:after="0" w:line="360" w:lineRule="auto"/>
        <w:rPr>
          <w:b/>
          <w:bCs/>
        </w:rPr>
      </w:pPr>
      <w:r w:rsidRPr="00D772D2">
        <w:t xml:space="preserve">En ese sentido, conforme al artículo 134 de la Ley de Transparencia y Acceso a la Información Pública del Estado de México y Municipios y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D772D2">
        <w:rPr>
          <w:b/>
          <w:bCs/>
        </w:rPr>
        <w:t>análisis caso por caso.</w:t>
      </w:r>
    </w:p>
    <w:p w14:paraId="753E9020" w14:textId="77777777" w:rsidR="006D0EE4" w:rsidRPr="00D772D2" w:rsidRDefault="006D0EE4">
      <w:pPr>
        <w:spacing w:after="0" w:line="360" w:lineRule="auto"/>
        <w:rPr>
          <w:b/>
          <w:bCs/>
        </w:rPr>
      </w:pPr>
    </w:p>
    <w:p w14:paraId="7C2C00A0" w14:textId="77777777" w:rsidR="006D0EE4" w:rsidRPr="00D772D2" w:rsidRDefault="00E363ED">
      <w:pPr>
        <w:spacing w:after="0" w:line="360" w:lineRule="auto"/>
      </w:pPr>
      <w:r w:rsidRPr="00D772D2">
        <w:t xml:space="preserve">Además, el artículo 131 de la Ley referida, así como el Quinto de los Lineamientos Generales, establecen que los sujetos obligados </w:t>
      </w:r>
      <w:r w:rsidRPr="00D772D2">
        <w:rPr>
          <w:b/>
          <w:bCs/>
        </w:rPr>
        <w:t>deberán fundar y motivar</w:t>
      </w:r>
      <w:r w:rsidRPr="00D772D2">
        <w:t xml:space="preserve"> debidamente la clasificación de la información.</w:t>
      </w:r>
    </w:p>
    <w:p w14:paraId="3F20F4A2" w14:textId="77777777" w:rsidR="006D0EE4" w:rsidRPr="00D772D2" w:rsidRDefault="006D0EE4">
      <w:pPr>
        <w:spacing w:after="0" w:line="360" w:lineRule="auto"/>
        <w:rPr>
          <w:b/>
          <w:bCs/>
        </w:rPr>
      </w:pPr>
    </w:p>
    <w:p w14:paraId="6E55C417" w14:textId="77777777" w:rsidR="006D0EE4" w:rsidRPr="00D772D2" w:rsidRDefault="00E363ED">
      <w:pPr>
        <w:spacing w:after="0" w:line="360" w:lineRule="auto"/>
      </w:pPr>
      <w:r w:rsidRPr="00D772D2">
        <w:t>Al respecto, el Octavo de los Lineamientos Generales, precisa lo siguiente:</w:t>
      </w:r>
    </w:p>
    <w:p w14:paraId="6B508D01" w14:textId="77777777" w:rsidR="006D0EE4" w:rsidRPr="00D772D2" w:rsidRDefault="006D0EE4">
      <w:pPr>
        <w:spacing w:after="0" w:line="360" w:lineRule="auto"/>
      </w:pPr>
    </w:p>
    <w:p w14:paraId="0C3E59E0" w14:textId="77777777" w:rsidR="006D0EE4" w:rsidRPr="00D772D2" w:rsidRDefault="00E363ED">
      <w:pPr>
        <w:numPr>
          <w:ilvl w:val="0"/>
          <w:numId w:val="12"/>
        </w:numPr>
        <w:spacing w:after="0" w:line="360" w:lineRule="auto"/>
      </w:pPr>
      <w:r w:rsidRPr="00D772D2">
        <w:rPr>
          <w:b/>
          <w:bCs/>
        </w:rPr>
        <w:t>Para fundar la clasificación</w:t>
      </w:r>
      <w:r w:rsidRPr="00D772D2">
        <w:t xml:space="preserve"> de la información se deberán señalar el artículo, fracción, inciso, párrafo o numeral de la Ley aplicable;</w:t>
      </w:r>
    </w:p>
    <w:p w14:paraId="4F0A9940" w14:textId="77777777" w:rsidR="006D0EE4" w:rsidRPr="00D772D2" w:rsidRDefault="006D0EE4">
      <w:pPr>
        <w:spacing w:after="0" w:line="360" w:lineRule="auto"/>
      </w:pPr>
    </w:p>
    <w:p w14:paraId="64A612E6" w14:textId="77777777" w:rsidR="006D0EE4" w:rsidRPr="00D772D2" w:rsidRDefault="00E363ED">
      <w:pPr>
        <w:numPr>
          <w:ilvl w:val="0"/>
          <w:numId w:val="12"/>
        </w:numPr>
        <w:spacing w:after="0" w:line="360" w:lineRule="auto"/>
      </w:pPr>
      <w:r w:rsidRPr="00D772D2">
        <w:rPr>
          <w:b/>
          <w:bCs/>
        </w:rPr>
        <w:lastRenderedPageBreak/>
        <w:t>Para motivar la clasificación</w:t>
      </w:r>
      <w:r w:rsidRPr="00D772D2">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14:paraId="522FFBE9" w14:textId="77777777" w:rsidR="006D0EE4" w:rsidRPr="00D772D2" w:rsidRDefault="006D0EE4">
      <w:pPr>
        <w:spacing w:after="0" w:line="360" w:lineRule="auto"/>
      </w:pPr>
    </w:p>
    <w:p w14:paraId="15E00B3D" w14:textId="77777777" w:rsidR="006D0EE4" w:rsidRPr="00D772D2" w:rsidRDefault="00E363ED">
      <w:pPr>
        <w:spacing w:after="0" w:line="360" w:lineRule="auto"/>
      </w:pPr>
      <w:r w:rsidRPr="00D772D2">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la Tesis aislada número I. 4o. P. 56 P, Octava Época, publicada en el Semanario Judicial de la Federación, Tomo XIV, noviembre de mil novecientos noventa y cuatro, (p. 450), que establece lo siguiente:</w:t>
      </w:r>
    </w:p>
    <w:p w14:paraId="4F1BE4B9" w14:textId="77777777" w:rsidR="006D0EE4" w:rsidRPr="00D772D2" w:rsidRDefault="006D0EE4">
      <w:pPr>
        <w:spacing w:after="0" w:line="360" w:lineRule="auto"/>
      </w:pPr>
    </w:p>
    <w:p w14:paraId="7C226492" w14:textId="77777777" w:rsidR="006D0EE4" w:rsidRPr="00D772D2" w:rsidRDefault="00E363ED">
      <w:pPr>
        <w:spacing w:after="0" w:line="360" w:lineRule="auto"/>
        <w:ind w:left="567" w:right="567"/>
        <w:rPr>
          <w:i/>
          <w:iCs/>
          <w:sz w:val="20"/>
          <w:szCs w:val="20"/>
        </w:rPr>
      </w:pPr>
      <w:r w:rsidRPr="00D772D2">
        <w:rPr>
          <w:b/>
          <w:bCs/>
          <w:i/>
          <w:iCs/>
          <w:sz w:val="20"/>
          <w:szCs w:val="20"/>
        </w:rPr>
        <w:t xml:space="preserve">“FUNDAMENTACION Y MOTIVACION, CONCEPTO DE. </w:t>
      </w:r>
      <w:r w:rsidRPr="00D772D2">
        <w:rPr>
          <w:i/>
          <w:iCs/>
          <w:sz w:val="20"/>
          <w:szCs w:val="20"/>
        </w:rPr>
        <w:t>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4E792D4C" w14:textId="77777777" w:rsidR="006D0EE4" w:rsidRPr="00D772D2" w:rsidRDefault="006D0EE4">
      <w:pPr>
        <w:spacing w:after="0" w:line="360" w:lineRule="auto"/>
      </w:pPr>
    </w:p>
    <w:p w14:paraId="19CBAAFB" w14:textId="77777777" w:rsidR="006D0EE4" w:rsidRPr="00D772D2" w:rsidRDefault="00E363ED">
      <w:pPr>
        <w:spacing w:after="0" w:line="360" w:lineRule="auto"/>
      </w:pPr>
      <w:r w:rsidRPr="00D772D2">
        <w:t>Conforme a lo anterior, se advierte lo siguiente:</w:t>
      </w:r>
    </w:p>
    <w:p w14:paraId="356B2804" w14:textId="77777777" w:rsidR="006D0EE4" w:rsidRPr="00D772D2" w:rsidRDefault="006D0EE4">
      <w:pPr>
        <w:spacing w:after="0" w:line="360" w:lineRule="auto"/>
      </w:pPr>
    </w:p>
    <w:p w14:paraId="6AEAEA35" w14:textId="77777777" w:rsidR="006D0EE4" w:rsidRPr="00D772D2" w:rsidRDefault="00E363ED">
      <w:pPr>
        <w:numPr>
          <w:ilvl w:val="0"/>
          <w:numId w:val="13"/>
        </w:numPr>
        <w:spacing w:after="0" w:line="360" w:lineRule="auto"/>
        <w:rPr>
          <w:b/>
          <w:bCs/>
        </w:rPr>
      </w:pPr>
      <w:r w:rsidRPr="00D772D2">
        <w:rPr>
          <w:b/>
          <w:bCs/>
        </w:rPr>
        <w:t xml:space="preserve">Fundamentación: </w:t>
      </w:r>
      <w:r w:rsidRPr="00D772D2">
        <w:t>Obligación de la autoridad que emite un acto, para citar los preceptos legales, sustantivos y adjetivos, en que se apoye para la determinación tomada.</w:t>
      </w:r>
    </w:p>
    <w:p w14:paraId="5127DB67" w14:textId="77777777" w:rsidR="006D0EE4" w:rsidRPr="00D772D2" w:rsidRDefault="006D0EE4">
      <w:pPr>
        <w:spacing w:after="0" w:line="360" w:lineRule="auto"/>
        <w:rPr>
          <w:b/>
          <w:bCs/>
        </w:rPr>
      </w:pPr>
    </w:p>
    <w:p w14:paraId="0118EAD8" w14:textId="77777777" w:rsidR="006D0EE4" w:rsidRPr="00D772D2" w:rsidRDefault="00E363ED">
      <w:pPr>
        <w:numPr>
          <w:ilvl w:val="0"/>
          <w:numId w:val="13"/>
        </w:numPr>
        <w:spacing w:after="0" w:line="360" w:lineRule="auto"/>
        <w:rPr>
          <w:b/>
          <w:bCs/>
        </w:rPr>
      </w:pPr>
      <w:r w:rsidRPr="00D772D2">
        <w:rPr>
          <w:b/>
          <w:bCs/>
        </w:rPr>
        <w:lastRenderedPageBreak/>
        <w:t xml:space="preserve">Motivación: </w:t>
      </w:r>
      <w:r w:rsidRPr="00D772D2">
        <w:t>Razonamientos lógico-jurídicos sobre porque se consideró en el caso en concreto, que se ajusta a la hipótesis normativa.</w:t>
      </w:r>
    </w:p>
    <w:p w14:paraId="33F60D94" w14:textId="77777777" w:rsidR="006D0EE4" w:rsidRPr="00D772D2" w:rsidRDefault="006D0EE4">
      <w:pPr>
        <w:spacing w:after="0" w:line="360" w:lineRule="auto"/>
      </w:pPr>
    </w:p>
    <w:p w14:paraId="0173A795" w14:textId="77777777" w:rsidR="006D0EE4" w:rsidRPr="00D772D2" w:rsidRDefault="00E363ED">
      <w:pPr>
        <w:spacing w:after="0" w:line="360" w:lineRule="auto"/>
      </w:pPr>
      <w:r w:rsidRPr="00D772D2">
        <w:t>En ese orden de ideas, el Trigésimo tercero de los Lineamientos Generales, establece la forma en que se debe fundamentar y motivar la reserva de la información, es decir, a través de los siguientes pasos:</w:t>
      </w:r>
    </w:p>
    <w:p w14:paraId="4CF0C2AD" w14:textId="77777777" w:rsidR="006D0EE4" w:rsidRPr="00D772D2" w:rsidRDefault="006D0EE4">
      <w:pPr>
        <w:spacing w:after="0" w:line="360" w:lineRule="auto"/>
      </w:pPr>
    </w:p>
    <w:p w14:paraId="4B694A3E" w14:textId="77777777" w:rsidR="006D0EE4" w:rsidRPr="00D772D2" w:rsidRDefault="00E363ED">
      <w:pPr>
        <w:numPr>
          <w:ilvl w:val="0"/>
          <w:numId w:val="14"/>
        </w:numPr>
        <w:spacing w:after="0" w:line="360" w:lineRule="auto"/>
      </w:pPr>
      <w:r w:rsidRPr="00D772D2">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14:paraId="2151FCA0" w14:textId="77777777" w:rsidR="006D0EE4" w:rsidRPr="00D772D2" w:rsidRDefault="006D0EE4">
      <w:pPr>
        <w:spacing w:after="0" w:line="360" w:lineRule="auto"/>
      </w:pPr>
    </w:p>
    <w:p w14:paraId="61554045" w14:textId="77777777" w:rsidR="006D0EE4" w:rsidRPr="00D772D2" w:rsidRDefault="00E363ED">
      <w:pPr>
        <w:numPr>
          <w:ilvl w:val="0"/>
          <w:numId w:val="14"/>
        </w:numPr>
        <w:spacing w:after="0" w:line="360" w:lineRule="auto"/>
      </w:pPr>
      <w:r w:rsidRPr="00D772D2">
        <w:t>Se deberá demostrar que la publicidad de la información generaría un riesgo de perjuicio, que rebasa el interés público;</w:t>
      </w:r>
    </w:p>
    <w:p w14:paraId="1E8F6F1C" w14:textId="77777777" w:rsidR="006D0EE4" w:rsidRPr="00D772D2" w:rsidRDefault="006D0EE4">
      <w:pPr>
        <w:spacing w:after="0" w:line="360" w:lineRule="auto"/>
      </w:pPr>
    </w:p>
    <w:p w14:paraId="7FA6490E" w14:textId="77777777" w:rsidR="006D0EE4" w:rsidRPr="00D772D2" w:rsidRDefault="00E363ED">
      <w:pPr>
        <w:numPr>
          <w:ilvl w:val="0"/>
          <w:numId w:val="14"/>
        </w:numPr>
        <w:spacing w:after="0" w:line="360" w:lineRule="auto"/>
      </w:pPr>
      <w:r w:rsidRPr="00D772D2">
        <w:t>Se acreditará el vínculo entre la difusión de la información y la afectación del interés jurídico tutelado;</w:t>
      </w:r>
    </w:p>
    <w:p w14:paraId="294D8DA8" w14:textId="77777777" w:rsidR="006D0EE4" w:rsidRPr="00D772D2" w:rsidRDefault="006D0EE4">
      <w:pPr>
        <w:spacing w:after="0" w:line="360" w:lineRule="auto"/>
      </w:pPr>
    </w:p>
    <w:p w14:paraId="1F402B58" w14:textId="77777777" w:rsidR="006D0EE4" w:rsidRPr="00D772D2" w:rsidRDefault="00E363ED">
      <w:pPr>
        <w:numPr>
          <w:ilvl w:val="0"/>
          <w:numId w:val="14"/>
        </w:numPr>
        <w:spacing w:after="0" w:line="360" w:lineRule="auto"/>
      </w:pPr>
      <w:r w:rsidRPr="00D772D2">
        <w:t>Se precisará las razones objetivas por las que la apertura de la información generaría una afectación, por medio del riesgo real, demostrable e identificable;</w:t>
      </w:r>
    </w:p>
    <w:p w14:paraId="7BCB831E" w14:textId="77777777" w:rsidR="006D0EE4" w:rsidRPr="00D772D2" w:rsidRDefault="006D0EE4">
      <w:pPr>
        <w:spacing w:after="0" w:line="360" w:lineRule="auto"/>
      </w:pPr>
    </w:p>
    <w:p w14:paraId="4971FFEC" w14:textId="77777777" w:rsidR="006D0EE4" w:rsidRPr="00D772D2" w:rsidRDefault="00E363ED">
      <w:pPr>
        <w:numPr>
          <w:ilvl w:val="0"/>
          <w:numId w:val="14"/>
        </w:numPr>
        <w:spacing w:after="0" w:line="360" w:lineRule="auto"/>
      </w:pPr>
      <w:r w:rsidRPr="00D772D2">
        <w:t>Se deberán señalar las circunstancias de modo, tiempo y lugar del daño, y</w:t>
      </w:r>
    </w:p>
    <w:p w14:paraId="3573DB79" w14:textId="77777777" w:rsidR="006D0EE4" w:rsidRPr="00D772D2" w:rsidRDefault="006D0EE4">
      <w:pPr>
        <w:spacing w:after="0" w:line="360" w:lineRule="auto"/>
      </w:pPr>
    </w:p>
    <w:p w14:paraId="38B78986" w14:textId="77777777" w:rsidR="006D0EE4" w:rsidRPr="00D772D2" w:rsidRDefault="00E363ED">
      <w:pPr>
        <w:numPr>
          <w:ilvl w:val="0"/>
          <w:numId w:val="14"/>
        </w:numPr>
        <w:spacing w:after="0" w:line="360" w:lineRule="auto"/>
      </w:pPr>
      <w:r w:rsidRPr="00D772D2">
        <w:t>Se elegirá la opción de excepción al acceso a la información que menos restrinja, la cual será adecuada y proporcional para la protección del interés público.</w:t>
      </w:r>
    </w:p>
    <w:p w14:paraId="7423A7FA" w14:textId="77777777" w:rsidR="006D0EE4" w:rsidRPr="00D772D2" w:rsidRDefault="006D0EE4">
      <w:pPr>
        <w:spacing w:after="0" w:line="360" w:lineRule="auto"/>
      </w:pPr>
    </w:p>
    <w:p w14:paraId="16F01AE8" w14:textId="77777777" w:rsidR="006D0EE4" w:rsidRPr="00D772D2" w:rsidRDefault="00E363ED">
      <w:pPr>
        <w:spacing w:after="0" w:line="360" w:lineRule="auto"/>
      </w:pPr>
      <w:r w:rsidRPr="00D772D2">
        <w:lastRenderedPageBreak/>
        <w:t>Conforme lo anterior, de las formalidades previstas por la Ley de la Materia y de los Lineamientos Generales, así como del análisis de las constancias se logra advertir que el Sujeto Obligado no fundamentó, ni motivó la clasificación de la información, por las siguientes consideraciones:</w:t>
      </w:r>
    </w:p>
    <w:p w14:paraId="1444FE24" w14:textId="77777777" w:rsidR="006D0EE4" w:rsidRPr="00D772D2" w:rsidRDefault="006D0EE4">
      <w:pPr>
        <w:spacing w:after="0" w:line="360" w:lineRule="auto"/>
      </w:pPr>
    </w:p>
    <w:p w14:paraId="35D665F9" w14:textId="77777777" w:rsidR="006D0EE4" w:rsidRPr="00D772D2" w:rsidRDefault="006D0EE4">
      <w:pPr>
        <w:spacing w:after="0" w:line="360" w:lineRule="auto"/>
      </w:pPr>
    </w:p>
    <w:p w14:paraId="7D12D273" w14:textId="77777777" w:rsidR="006D0EE4" w:rsidRPr="00D772D2" w:rsidRDefault="00E363ED">
      <w:pPr>
        <w:numPr>
          <w:ilvl w:val="0"/>
          <w:numId w:val="14"/>
        </w:numPr>
        <w:spacing w:after="0" w:line="360" w:lineRule="auto"/>
      </w:pPr>
      <w:r w:rsidRPr="00D772D2">
        <w:t>No se desahogó una prueba de daño que permita demostrar que la publicidad de la información generaría un riesgo de perjuicio, que rebasa el interés público;</w:t>
      </w:r>
    </w:p>
    <w:p w14:paraId="5620938A" w14:textId="77777777" w:rsidR="006D0EE4" w:rsidRPr="00D772D2" w:rsidRDefault="006D0EE4">
      <w:pPr>
        <w:spacing w:after="0" w:line="360" w:lineRule="auto"/>
      </w:pPr>
    </w:p>
    <w:p w14:paraId="3AC90873" w14:textId="77777777" w:rsidR="006D0EE4" w:rsidRPr="00D772D2" w:rsidRDefault="00E363ED">
      <w:pPr>
        <w:numPr>
          <w:ilvl w:val="0"/>
          <w:numId w:val="14"/>
        </w:numPr>
        <w:spacing w:after="0" w:line="360" w:lineRule="auto"/>
      </w:pPr>
      <w:r w:rsidRPr="00D772D2">
        <w:t>No se acreditó el vínculo entre la difusión de la información y la afectación del interés jurídico tutelado;</w:t>
      </w:r>
    </w:p>
    <w:p w14:paraId="4D55EC28" w14:textId="77777777" w:rsidR="006D0EE4" w:rsidRPr="00D772D2" w:rsidRDefault="006D0EE4">
      <w:pPr>
        <w:spacing w:after="0" w:line="360" w:lineRule="auto"/>
      </w:pPr>
    </w:p>
    <w:p w14:paraId="7451A633" w14:textId="77777777" w:rsidR="006D0EE4" w:rsidRPr="00D772D2" w:rsidRDefault="00E363ED">
      <w:pPr>
        <w:numPr>
          <w:ilvl w:val="0"/>
          <w:numId w:val="14"/>
        </w:numPr>
        <w:spacing w:after="0" w:line="360" w:lineRule="auto"/>
      </w:pPr>
      <w:r w:rsidRPr="00D772D2">
        <w:t>No se señalaron las razones objetivas por las que la apertura de la información generaría una afectación, por medio del riesgo real, demostrable e identificable;</w:t>
      </w:r>
    </w:p>
    <w:p w14:paraId="7B61F367" w14:textId="77777777" w:rsidR="006D0EE4" w:rsidRPr="00D772D2" w:rsidRDefault="006D0EE4">
      <w:pPr>
        <w:spacing w:after="0" w:line="360" w:lineRule="auto"/>
      </w:pPr>
    </w:p>
    <w:p w14:paraId="77C3A070" w14:textId="77777777" w:rsidR="006D0EE4" w:rsidRPr="00D772D2" w:rsidRDefault="00E363ED">
      <w:pPr>
        <w:numPr>
          <w:ilvl w:val="0"/>
          <w:numId w:val="14"/>
        </w:numPr>
        <w:spacing w:after="0" w:line="360" w:lineRule="auto"/>
      </w:pPr>
      <w:r w:rsidRPr="00D772D2">
        <w:t>No se precisaron ni acreditaron las circunstancias de modo, tiempo y lugar del daño, y</w:t>
      </w:r>
    </w:p>
    <w:p w14:paraId="26EEE9CA" w14:textId="77777777" w:rsidR="006D0EE4" w:rsidRPr="00D772D2" w:rsidRDefault="006D0EE4">
      <w:pPr>
        <w:spacing w:after="0" w:line="360" w:lineRule="auto"/>
      </w:pPr>
    </w:p>
    <w:p w14:paraId="368BC306" w14:textId="77777777" w:rsidR="006D0EE4" w:rsidRPr="00D772D2" w:rsidRDefault="00E363ED">
      <w:pPr>
        <w:spacing w:after="0" w:line="360" w:lineRule="auto"/>
      </w:pPr>
      <w:r w:rsidRPr="00D772D2">
        <w:t>Por tanto, se advierte que la clasificación propuesta por el Sujeto Obligado no cumple con los requisitos necesarios para acreditar la reserva de la información.</w:t>
      </w:r>
    </w:p>
    <w:p w14:paraId="2AC59273" w14:textId="77777777" w:rsidR="006D0EE4" w:rsidRPr="00D772D2" w:rsidRDefault="006D0EE4">
      <w:pPr>
        <w:spacing w:after="0" w:line="360" w:lineRule="auto"/>
      </w:pPr>
    </w:p>
    <w:p w14:paraId="78901460" w14:textId="77777777" w:rsidR="006D0EE4" w:rsidRPr="00D772D2" w:rsidRDefault="00E363ED">
      <w:pPr>
        <w:spacing w:after="0" w:line="360" w:lineRule="auto"/>
      </w:pPr>
      <w:r w:rsidRPr="00D772D2">
        <w:t xml:space="preserve">Aunado a ello, se debe tener en consideración que del Sujeto Obligado señaló que se actualizó el supuesto previsto en artículo 140 fracción X de la Ley de la materia, al respecto, dicho supuesto prevé lo siguiente: </w:t>
      </w:r>
    </w:p>
    <w:p w14:paraId="4A6A9578" w14:textId="77777777" w:rsidR="006D0EE4" w:rsidRPr="00D772D2" w:rsidRDefault="006D0EE4">
      <w:pPr>
        <w:spacing w:after="0" w:line="360" w:lineRule="auto"/>
      </w:pPr>
    </w:p>
    <w:p w14:paraId="75F4FA53" w14:textId="77777777" w:rsidR="006D0EE4" w:rsidRPr="00D772D2" w:rsidRDefault="00E363ED" w:rsidP="003060BB">
      <w:pPr>
        <w:spacing w:after="0" w:line="360" w:lineRule="auto"/>
        <w:ind w:left="567" w:right="567"/>
        <w:rPr>
          <w:i/>
          <w:iCs/>
          <w:sz w:val="20"/>
          <w:szCs w:val="20"/>
        </w:rPr>
      </w:pPr>
      <w:r w:rsidRPr="00D772D2">
        <w:rPr>
          <w:b/>
          <w:bCs/>
          <w:i/>
          <w:iCs/>
          <w:sz w:val="20"/>
          <w:szCs w:val="20"/>
        </w:rPr>
        <w:t>“Artículo 140.</w:t>
      </w:r>
      <w:r w:rsidRPr="00D772D2">
        <w:rPr>
          <w:i/>
          <w:iCs/>
          <w:sz w:val="20"/>
          <w:szCs w:val="20"/>
        </w:rPr>
        <w:t xml:space="preserve"> El acceso a la información pública será restringido excepcionalmente, cuando por razones de interés público, ésta sea clasificada como reservada, conforme a los criterios siguientes: </w:t>
      </w:r>
    </w:p>
    <w:p w14:paraId="3B387F7E" w14:textId="77777777" w:rsidR="006D0EE4" w:rsidRPr="00D772D2" w:rsidRDefault="00E363ED" w:rsidP="003060BB">
      <w:pPr>
        <w:spacing w:after="0" w:line="360" w:lineRule="auto"/>
        <w:ind w:left="567" w:right="567"/>
        <w:rPr>
          <w:i/>
          <w:iCs/>
          <w:sz w:val="20"/>
          <w:szCs w:val="20"/>
        </w:rPr>
      </w:pPr>
      <w:r w:rsidRPr="00D772D2">
        <w:rPr>
          <w:i/>
          <w:iCs/>
          <w:sz w:val="20"/>
          <w:szCs w:val="20"/>
        </w:rPr>
        <w:lastRenderedPageBreak/>
        <w:t xml:space="preserve">X.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w:t>
      </w:r>
    </w:p>
    <w:p w14:paraId="017FCE0F" w14:textId="65D4A6E0" w:rsidR="006D0EE4" w:rsidRPr="00D772D2" w:rsidRDefault="00E363ED" w:rsidP="003060BB">
      <w:pPr>
        <w:spacing w:after="0" w:line="360" w:lineRule="auto"/>
        <w:ind w:left="567" w:right="567"/>
        <w:rPr>
          <w:i/>
          <w:iCs/>
          <w:sz w:val="20"/>
          <w:szCs w:val="20"/>
        </w:rPr>
      </w:pPr>
      <w:r w:rsidRPr="00D772D2">
        <w:rPr>
          <w:i/>
          <w:iCs/>
          <w:sz w:val="20"/>
          <w:szCs w:val="20"/>
        </w:rPr>
        <w:t xml:space="preserve">…” </w:t>
      </w:r>
    </w:p>
    <w:p w14:paraId="1F10BB4A" w14:textId="77777777" w:rsidR="006D0EE4" w:rsidRPr="00D772D2" w:rsidRDefault="006D0EE4">
      <w:pPr>
        <w:spacing w:after="0" w:line="360" w:lineRule="auto"/>
      </w:pPr>
    </w:p>
    <w:p w14:paraId="5FEDD54E" w14:textId="77777777" w:rsidR="006D0EE4" w:rsidRPr="00D772D2" w:rsidRDefault="00E363ED">
      <w:pPr>
        <w:spacing w:after="0" w:line="360" w:lineRule="auto"/>
      </w:pPr>
      <w:r w:rsidRPr="00D772D2">
        <w:t>Aunado a ello, para acreditar la reserva de la información se debe acreditar la prueba de daño en donde se establezca un plazo de reserva, de conformidad con los artículos 125, 128 y 129 de la Ley de Transparencia y Acceso a la Información Pública del Estado de México y Municipios, situación que se robustece con lo señalado en la Tesis Aislada número I.10o.A.79 A (10a.), (Gaceta del Semanario Judicial de la Federación, Libro 60, Noviembre de 2018, Tomo III, pág. 2318) como se muestra a continuación:</w:t>
      </w:r>
    </w:p>
    <w:p w14:paraId="421D0B5B" w14:textId="77777777" w:rsidR="006D0EE4" w:rsidRPr="00D772D2" w:rsidRDefault="006D0EE4">
      <w:pPr>
        <w:spacing w:after="0" w:line="360" w:lineRule="auto"/>
      </w:pPr>
    </w:p>
    <w:p w14:paraId="6F498782" w14:textId="77777777" w:rsidR="006D0EE4" w:rsidRPr="00D772D2" w:rsidRDefault="00E363ED">
      <w:pPr>
        <w:spacing w:after="0" w:line="360" w:lineRule="auto"/>
        <w:ind w:left="567" w:right="709"/>
        <w:rPr>
          <w:i/>
          <w:iCs/>
          <w:sz w:val="20"/>
          <w:szCs w:val="20"/>
        </w:rPr>
      </w:pPr>
      <w:r w:rsidRPr="00D772D2">
        <w:rPr>
          <w:i/>
          <w:iCs/>
          <w:sz w:val="20"/>
          <w:szCs w:val="20"/>
        </w:rPr>
        <w:t xml:space="preserve">“PRUEBA DE DAÑO EN LA CLASIFICACIÓN DE LA INFORMACIÓN PÚBLICA. SU VALIDEZ NO DEPENDE DE LOS MEDIOS DE PRUEBA QUE EL SUJETO OBLIGADO APORTE. De acuerdo con el artículo 104 de la Ley General de Transparencia y Acceso a la Información Pública, y con los lineamientos segundo, fracción XIII y trigésimo tercero, de los Lineamientos generales en materia de clasificación y desclasificación de la información, así como para la elaboración de versiones públicas, aprobados por el Consejo Nacional del Sistema Nacional de Transparencia, Acceso a la Información Pública y Protección de Datos Personales y publicados en el Diario Oficial de la Federación el 15 de abril de 2016, la prueba de daño es la argumentación fundada y motivada que deben realizar los sujetos obligados para acreditar que la divulgación de la información lesiona un interés jurídicamente protegido y que el daño que puede producir es mayor que el interés de conocer ésta. Para tal efecto, disponen que en la clasificación de la información pública (como reservada o confidencial), debe justificarse que su divulgación representa un riesgo real, demostrable e identificable de perjuicio significativo al interés público o a la seguridad nacional; </w:t>
      </w:r>
      <w:r w:rsidRPr="00D772D2">
        <w:rPr>
          <w:i/>
          <w:iCs/>
          <w:sz w:val="20"/>
          <w:szCs w:val="20"/>
        </w:rPr>
        <w:lastRenderedPageBreak/>
        <w:t>que ese riesgo supera el interés público general de que se difunda; y, que la limitación se adecua al principio de proporcionalidad y representa el medio menos restrictivo disponible para evitar el perjuicio. Así, la prueba de daño establece líneas argumentativas mínimas que deben cursarse, a fin de constatar que la publicidad de la información solicitada no ocasiona un daño a un interés jurídicamente protegido, ya sea de índole estatal o particular. Por tanto, al tratarse de un aspecto constreñido al ámbito argumentativo, la validez de la prueba de daño no depende de los medios de prueba que el sujeto obligado aporte, sino de la solidez del juicio de ponderación que se efectúe en los términos señalados.”</w:t>
      </w:r>
    </w:p>
    <w:p w14:paraId="72E0842E" w14:textId="77777777" w:rsidR="006D0EE4" w:rsidRPr="00D772D2" w:rsidRDefault="006D0EE4">
      <w:pPr>
        <w:spacing w:after="0" w:line="360" w:lineRule="auto"/>
        <w:ind w:right="142"/>
      </w:pPr>
    </w:p>
    <w:p w14:paraId="2A3BBF97" w14:textId="77777777" w:rsidR="006D0EE4" w:rsidRPr="00D772D2" w:rsidRDefault="00E363ED">
      <w:pPr>
        <w:spacing w:after="0" w:line="360" w:lineRule="auto"/>
        <w:ind w:right="142"/>
      </w:pPr>
      <w:r w:rsidRPr="00D772D2">
        <w:t>De lo anterior, se desprende que la información reservada, es aquella que cuando, de manera excepcional y por razones de interés público, su publicidad puede causar un daño al interés jurídico tutelado por la Ley, en alguno de los supuestos establecidos en el artículo 140 de la Ley de la materia, y desarrollar la prueba de daño de acuerdo a lo establecido en los Lineamientos Generales en materia de Clasificación y Desclasificación de la Información, así como para Elaboración de Versiones Públicas, misma que será caso por caso, ya que no se podrá clasificar la información únicamente por estar vinculada con los supuestos establecidos en la Ley sino que además se demostrara que efectivamente dar a conocer la información que se clasifica podría afectar las funciones y el actuar de los diversos sujetos obligados.</w:t>
      </w:r>
    </w:p>
    <w:p w14:paraId="5131C677" w14:textId="77777777" w:rsidR="006D0EE4" w:rsidRPr="00D772D2" w:rsidRDefault="00E363ED">
      <w:pPr>
        <w:spacing w:after="0" w:line="360" w:lineRule="auto"/>
        <w:ind w:right="142"/>
      </w:pPr>
      <w:r w:rsidRPr="00D772D2">
        <w:t xml:space="preserve">Dicha prueba de daño, consiste en exponer los argumentos y razones, basados en elementos verificables, a partir de los cuales se derive que la divulgación de información, en particular, puede afectar, poner en riesgo o dañar el interés protegido. </w:t>
      </w:r>
    </w:p>
    <w:p w14:paraId="7D97AF6C" w14:textId="77777777" w:rsidR="006D0EE4" w:rsidRPr="00D772D2" w:rsidRDefault="006D0EE4">
      <w:pPr>
        <w:spacing w:after="0" w:line="360" w:lineRule="auto"/>
        <w:ind w:right="142"/>
      </w:pPr>
    </w:p>
    <w:p w14:paraId="3F31CD87" w14:textId="77777777" w:rsidR="006D0EE4" w:rsidRPr="00D772D2" w:rsidRDefault="00E363ED">
      <w:pPr>
        <w:spacing w:after="0" w:line="360" w:lineRule="auto"/>
        <w:ind w:right="142"/>
      </w:pPr>
      <w:r w:rsidRPr="00D772D2">
        <w:t xml:space="preserve">Asimismo, esta no debe basarse en meras especulaciones o suposiciones, sino en elementos objetivos que deban evaluar que existe un riesgo actual e inminente Así para el caso que nos ocupa, el Sujeto Obligado debió acreditar la prueba de daño a fin de demostrar que la información solicitada se encuentra en el supuesto previsto y desahogar lo previsto en la normatividad aplicable para acreditar la reserva de la información, así pues, el Sujeto Obligado </w:t>
      </w:r>
      <w:r w:rsidRPr="00D772D2">
        <w:lastRenderedPageBreak/>
        <w:t>no acreditó la reserva de la información, además de que realizó un acuerdo general y no expreso los razonamientos correspondientes a acreditar cada uno de los elementos dispuestos por el Vigésimo noveno de los Lineamientos Generales en Materia de Clasificación y Desclasificación de la Información, así como para la Elaboración de Versiones Públicas, a saber:</w:t>
      </w:r>
    </w:p>
    <w:p w14:paraId="74A6814B" w14:textId="77777777" w:rsidR="006D0EE4" w:rsidRPr="00D772D2" w:rsidRDefault="006D0EE4">
      <w:pPr>
        <w:spacing w:after="0" w:line="360" w:lineRule="auto"/>
        <w:ind w:right="142"/>
      </w:pPr>
    </w:p>
    <w:p w14:paraId="32BAFE80" w14:textId="77777777" w:rsidR="006D0EE4" w:rsidRPr="00D772D2" w:rsidRDefault="00E363ED">
      <w:pPr>
        <w:spacing w:after="0" w:line="360" w:lineRule="auto"/>
        <w:ind w:left="567" w:right="709"/>
        <w:rPr>
          <w:i/>
          <w:iCs/>
          <w:sz w:val="20"/>
          <w:szCs w:val="20"/>
        </w:rPr>
      </w:pPr>
      <w:r w:rsidRPr="00D772D2">
        <w:rPr>
          <w:i/>
          <w:iCs/>
          <w:sz w:val="20"/>
          <w:szCs w:val="20"/>
        </w:rPr>
        <w:t>“Vigésimo noveno. De conformidad con el artículo 113, fracción X de la Ley General, podrá considerarse como información reservada, aquella que de divulgarse afecte el debido proceso al actualizarse los siguientes elementos: I. La existencia de un procedimiento judicial, administrativo o arbitral en trámite; II. Que el sujeto obligado sea parte en ese procedimiento; III. Que la información no sea conocida por la contraparte antes de la presentación de la misma en el proceso, y</w:t>
      </w:r>
    </w:p>
    <w:p w14:paraId="4AC24FD6" w14:textId="77777777" w:rsidR="006D0EE4" w:rsidRPr="00D772D2" w:rsidRDefault="00E363ED">
      <w:pPr>
        <w:spacing w:after="0" w:line="360" w:lineRule="auto"/>
        <w:ind w:left="567" w:right="709"/>
        <w:rPr>
          <w:i/>
          <w:iCs/>
          <w:sz w:val="20"/>
          <w:szCs w:val="20"/>
        </w:rPr>
      </w:pPr>
      <w:r w:rsidRPr="00D772D2">
        <w:rPr>
          <w:i/>
          <w:iCs/>
          <w:sz w:val="20"/>
          <w:szCs w:val="20"/>
        </w:rPr>
        <w:t>IV. Que con su divulgación se afecte la oportunidad de llevar a cabo alguna de las garantías del debido proceso.”</w:t>
      </w:r>
    </w:p>
    <w:p w14:paraId="1B7DAEB1" w14:textId="77777777" w:rsidR="006D0EE4" w:rsidRPr="00D772D2" w:rsidRDefault="006D0EE4">
      <w:pPr>
        <w:spacing w:after="0" w:line="360" w:lineRule="auto"/>
        <w:ind w:right="142"/>
      </w:pPr>
    </w:p>
    <w:p w14:paraId="3FA38FFF" w14:textId="77777777" w:rsidR="006D0EE4" w:rsidRPr="00D772D2" w:rsidRDefault="00E363ED">
      <w:pPr>
        <w:spacing w:after="0" w:line="360" w:lineRule="auto"/>
        <w:ind w:right="142"/>
      </w:pPr>
      <w:r w:rsidRPr="00D772D2">
        <w:t>Así para el caso que nos ocupa, el Sujeto Obviado no acreditó la existencia de un proceso en trámite, o que el Sujeto Obligado forme parte del mismo, que la información no sea conocida por la contraparte y que la divulgación afecte la oportunidad de llevar a cabo las garantías del debido proceso, por tanto, la reserva propuesta por el Sujeto Obligado no se encuentra debidamente fundada y motivada y, por tanto, resulta improcedente tener por colmada la solicitud con la respuesta proporcionada.</w:t>
      </w:r>
    </w:p>
    <w:p w14:paraId="00D7FF5C" w14:textId="77777777" w:rsidR="006D0EE4" w:rsidRPr="00D772D2" w:rsidRDefault="006D0EE4">
      <w:pPr>
        <w:spacing w:after="0" w:line="360" w:lineRule="auto"/>
        <w:ind w:right="142"/>
      </w:pPr>
    </w:p>
    <w:p w14:paraId="796C181A" w14:textId="77777777" w:rsidR="006D0EE4" w:rsidRPr="00D772D2" w:rsidRDefault="00E363ED">
      <w:pPr>
        <w:spacing w:after="0" w:line="360" w:lineRule="auto"/>
        <w:ind w:right="142"/>
      </w:pPr>
      <w:r w:rsidRPr="00D772D2">
        <w:t>De igual forma, para el caso concreto que nos ocupa no se advierte que las altas o bajas del personal constituyan información que actualice algún supuesto de reserva por estar en trámite o en un proceso incluido, dado que tienen lugar una vez que se realizan, sin que un juicio laboral o algún otro supuesto pueda cambiar o modificar la fecha de alta o baja, por tanto, no se aprecian argumentos para acompañar la supuesta reserva.</w:t>
      </w:r>
    </w:p>
    <w:p w14:paraId="42E599AE" w14:textId="77777777" w:rsidR="006D0EE4" w:rsidRPr="00D772D2" w:rsidRDefault="006D0EE4">
      <w:pPr>
        <w:spacing w:after="0" w:line="360" w:lineRule="auto"/>
        <w:ind w:right="142"/>
      </w:pPr>
    </w:p>
    <w:p w14:paraId="7D456D5E" w14:textId="77777777" w:rsidR="006D0EE4" w:rsidRPr="00D772D2" w:rsidRDefault="00E363ED">
      <w:pPr>
        <w:spacing w:after="0" w:line="360" w:lineRule="auto"/>
        <w:ind w:right="142"/>
      </w:pPr>
      <w:r w:rsidRPr="00D772D2">
        <w:lastRenderedPageBreak/>
        <w:t xml:space="preserve">Así pues, del </w:t>
      </w:r>
      <w:r w:rsidRPr="00D772D2">
        <w:rPr>
          <w:b/>
          <w:bCs/>
        </w:rPr>
        <w:t>acuerdo de reserva remitido en informe justificado</w:t>
      </w:r>
      <w:r w:rsidRPr="00D772D2">
        <w:t xml:space="preserve">, se advierte que no da cuenta, ni colma lo solicitado, dado que </w:t>
      </w:r>
      <w:r w:rsidRPr="00D772D2">
        <w:rPr>
          <w:b/>
          <w:bCs/>
        </w:rPr>
        <w:t xml:space="preserve">las altas y bajas no actualizan un supuesto de reserva con motivo de encontrarse en trámite </w:t>
      </w:r>
      <w:r w:rsidRPr="00D772D2">
        <w:t xml:space="preserve">dado que es un acto jurídico que sucede en el momento mismo, sin que exista algún tipo de cambio por alguna cuestión posterior, aunado a ello, el </w:t>
      </w:r>
      <w:r w:rsidRPr="00D772D2">
        <w:rPr>
          <w:b/>
          <w:bCs/>
        </w:rPr>
        <w:t>acuerdo no se encuentra debidamente fundado ni motivado</w:t>
      </w:r>
      <w:r w:rsidRPr="00D772D2">
        <w:t xml:space="preserve">, dado que no se desarrolló la prueba de daño correspondiente y tal y como se precisó anteriormente, no se advierte que actualice el supuesto de reserva señalado por el Sujeto Obligado. </w:t>
      </w:r>
    </w:p>
    <w:p w14:paraId="6B81A216" w14:textId="77777777" w:rsidR="006D0EE4" w:rsidRPr="00D772D2" w:rsidRDefault="006D0EE4">
      <w:pPr>
        <w:spacing w:after="0" w:line="360" w:lineRule="auto"/>
        <w:ind w:right="142"/>
      </w:pPr>
    </w:p>
    <w:p w14:paraId="67341868" w14:textId="77777777" w:rsidR="006D0EE4" w:rsidRPr="00D772D2" w:rsidRDefault="00E363ED">
      <w:pPr>
        <w:spacing w:after="0" w:line="360" w:lineRule="auto"/>
        <w:ind w:right="142"/>
      </w:pPr>
      <w:r w:rsidRPr="00D772D2">
        <w:t>Así pues, la respuesta proporcionada por el Sujeto Obligado no da cuenta de lo requerido y la documentación remitida en informe justificado tampoco colma la solicitud, por tanto, el Sujeto Obligado deberá realiza la búsqueda exhaustiva y razonable de la información y remitir la documentación que dé cuenta de lo solicitado.</w:t>
      </w:r>
    </w:p>
    <w:p w14:paraId="549935B5" w14:textId="77777777" w:rsidR="006D0EE4" w:rsidRPr="00D772D2" w:rsidRDefault="006D0EE4">
      <w:pPr>
        <w:spacing w:after="0" w:line="360" w:lineRule="auto"/>
        <w:ind w:right="142"/>
      </w:pPr>
    </w:p>
    <w:p w14:paraId="14AE3820" w14:textId="77777777" w:rsidR="006D0EE4" w:rsidRPr="00D772D2" w:rsidRDefault="00E363ED">
      <w:pPr>
        <w:spacing w:after="0" w:line="360" w:lineRule="auto"/>
        <w:rPr>
          <w:b/>
          <w:bCs/>
        </w:rPr>
      </w:pPr>
      <w:r w:rsidRPr="00D772D2">
        <w:t xml:space="preserve">Se debe tener en cuenta que los Sujetos Obligados no se encuentran constreñidos a generar documentos </w:t>
      </w:r>
      <w:r w:rsidRPr="00D772D2">
        <w:rPr>
          <w:i/>
          <w:iCs/>
        </w:rPr>
        <w:t>ad hoc,</w:t>
      </w:r>
      <w:r w:rsidRPr="00D772D2">
        <w:t xml:space="preserve"> puesto que de conformidad con lo dispuesto en los artículos 12, 24, último párrafo, y 160 de la Ley de Transparencia y Acceso a la Información Pública del Estado de México y Municipios, los Sujetos Obligados sólo entregarán la información que obre en sus archivos y no estarán obligados a procesarla, resumirla, efectuar cálculos o practicar investigaciones.</w:t>
      </w:r>
    </w:p>
    <w:p w14:paraId="7AABCF28" w14:textId="77777777" w:rsidR="006D0EE4" w:rsidRPr="00D772D2" w:rsidRDefault="006D0EE4">
      <w:pPr>
        <w:spacing w:after="0" w:line="360" w:lineRule="auto"/>
      </w:pPr>
    </w:p>
    <w:p w14:paraId="2C371FD4" w14:textId="77777777" w:rsidR="006D0EE4" w:rsidRPr="00D772D2" w:rsidRDefault="00E363ED">
      <w:pPr>
        <w:spacing w:after="0" w:line="360" w:lineRule="auto"/>
      </w:pPr>
      <w:r w:rsidRPr="00D772D2">
        <w:t xml:space="preserve">De tales circunstancias, se colige que los sujetos obligados únicamente están constreñidos a proporcionar </w:t>
      </w:r>
      <w:r w:rsidRPr="00D772D2">
        <w:rPr>
          <w:b/>
          <w:bCs/>
        </w:rPr>
        <w:t>la documentación que obre en sus archivos</w:t>
      </w:r>
      <w:r w:rsidRPr="00D772D2">
        <w:t>; por lo que, no están obligados a generar o elaborar documentos </w:t>
      </w:r>
      <w:r w:rsidRPr="00D772D2">
        <w:rPr>
          <w:i/>
          <w:iCs/>
        </w:rPr>
        <w:t>ad hoc, </w:t>
      </w:r>
      <w:r w:rsidRPr="00D772D2">
        <w:t>como es el caso de proporcionar respuesta a un cuestionamiento. Robustece lo anterior el Criterio de Interpretación, con clave de control SO/013/2017, de la Segunda Época, emitido por el Instituto Nacional de Transparencia, Acceso a la Información y Protección de Datos Personales, que a continuación se cita:</w:t>
      </w:r>
    </w:p>
    <w:p w14:paraId="59CCC9E0" w14:textId="77777777" w:rsidR="006D0EE4" w:rsidRPr="00D772D2" w:rsidRDefault="006D0EE4">
      <w:pPr>
        <w:spacing w:after="0" w:line="360" w:lineRule="auto"/>
        <w:rPr>
          <w:sz w:val="20"/>
          <w:szCs w:val="20"/>
        </w:rPr>
      </w:pPr>
    </w:p>
    <w:p w14:paraId="2069899E" w14:textId="77777777" w:rsidR="006D0EE4" w:rsidRPr="00D772D2" w:rsidRDefault="00E363ED">
      <w:pPr>
        <w:spacing w:after="0" w:line="360" w:lineRule="auto"/>
        <w:ind w:left="567" w:right="567"/>
        <w:rPr>
          <w:i/>
          <w:iCs/>
          <w:sz w:val="20"/>
          <w:szCs w:val="20"/>
        </w:rPr>
      </w:pPr>
      <w:r w:rsidRPr="00D772D2">
        <w:rPr>
          <w:b/>
          <w:bCs/>
          <w:i/>
          <w:iCs/>
          <w:sz w:val="20"/>
          <w:szCs w:val="20"/>
        </w:rPr>
        <w:t xml:space="preserve">“No existe obligación de elaborar documentos ad hoc para atender las solicitudes de acceso a la información. </w:t>
      </w:r>
      <w:r w:rsidRPr="00D772D2">
        <w:rPr>
          <w:i/>
          <w:iCs/>
          <w:sz w:val="20"/>
          <w:szCs w:val="20"/>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atenderlas solicitudes de información.”</w:t>
      </w:r>
    </w:p>
    <w:p w14:paraId="0BD133D0" w14:textId="77777777" w:rsidR="006D0EE4" w:rsidRPr="00D772D2" w:rsidRDefault="006D0EE4">
      <w:pPr>
        <w:spacing w:after="0" w:line="360" w:lineRule="auto"/>
        <w:ind w:right="142"/>
      </w:pPr>
    </w:p>
    <w:p w14:paraId="73BD7BFD" w14:textId="77777777" w:rsidR="006D0EE4" w:rsidRPr="00D772D2" w:rsidRDefault="00E363ED">
      <w:pPr>
        <w:spacing w:after="0" w:line="360" w:lineRule="auto"/>
        <w:ind w:right="142"/>
      </w:pPr>
      <w:r w:rsidRPr="00D772D2">
        <w:t xml:space="preserve">En atención a lo antes descrito, es procedente tener por </w:t>
      </w:r>
      <w:r w:rsidRPr="00D772D2">
        <w:rPr>
          <w:b/>
          <w:bCs/>
        </w:rPr>
        <w:t>FUNDADAS</w:t>
      </w:r>
      <w:r w:rsidRPr="00D772D2">
        <w:t xml:space="preserve"> las razones o motivos de inconformidad planteadas por la parte Recurrente y </w:t>
      </w:r>
      <w:r w:rsidRPr="00D772D2">
        <w:rPr>
          <w:b/>
          <w:bCs/>
        </w:rPr>
        <w:t>REVOCAR</w:t>
      </w:r>
      <w:r w:rsidRPr="00D772D2">
        <w:t xml:space="preserve"> la respuesta inicial y ordenar la entrega de la documentación que dé cuenta de lo solicitado en los términos antes expuestos. </w:t>
      </w:r>
    </w:p>
    <w:p w14:paraId="474A9969" w14:textId="77777777" w:rsidR="006D0EE4" w:rsidRPr="00D772D2" w:rsidRDefault="006D0EE4">
      <w:pPr>
        <w:spacing w:after="0" w:line="360" w:lineRule="auto"/>
        <w:ind w:right="142"/>
      </w:pPr>
    </w:p>
    <w:p w14:paraId="13EC3EC5" w14:textId="77777777" w:rsidR="006D0EE4" w:rsidRPr="00D772D2" w:rsidRDefault="00E363ED">
      <w:pPr>
        <w:spacing w:after="0" w:line="360" w:lineRule="auto"/>
        <w:rPr>
          <w:color w:val="000000"/>
        </w:rPr>
      </w:pPr>
      <w:r w:rsidRPr="00D772D2">
        <w:rPr>
          <w:color w:val="000000"/>
        </w:rPr>
        <w:t>Para el caso de que la información tenga datos personales confidenciales, deberá realizar la versión pública correspondiente y proporcionar el Acuerdo de Clasificación donde el Comité de Transparencia, confirme la eliminación de los datos confidenciales de acuerdo con los artículos 49, fracciones II y VIII, 132, fracción II, 143, fracción I y 149 de la Ley de Transparencia y Acceso a la Información Pública del Estado de México y Municipios</w:t>
      </w:r>
    </w:p>
    <w:p w14:paraId="6930B513" w14:textId="77777777" w:rsidR="006D0EE4" w:rsidRPr="00D772D2" w:rsidRDefault="006D0EE4">
      <w:pPr>
        <w:spacing w:after="0" w:line="360" w:lineRule="auto"/>
        <w:rPr>
          <w:color w:val="000000"/>
        </w:rPr>
      </w:pPr>
    </w:p>
    <w:p w14:paraId="0C9F8BDF" w14:textId="77777777" w:rsidR="006D0EE4" w:rsidRPr="00D772D2" w:rsidRDefault="00E363ED">
      <w:pPr>
        <w:spacing w:after="0" w:line="360" w:lineRule="auto"/>
        <w:rPr>
          <w:color w:val="000000"/>
        </w:rPr>
      </w:pPr>
      <w:r w:rsidRPr="00D772D2">
        <w:rPr>
          <w:color w:val="000000"/>
        </w:rPr>
        <w:t xml:space="preserve">Ahora bien, no pasa desapercibido que los documentos que den cuenta de lo solicitado pudieran contener </w:t>
      </w:r>
      <w:r w:rsidRPr="00D772D2">
        <w:rPr>
          <w:b/>
          <w:bCs/>
          <w:color w:val="000000"/>
        </w:rPr>
        <w:t>a parte del nombre del personal que se desempeñe como policía operativo, lo cual ya fue analizado en líneas anteriores,</w:t>
      </w:r>
      <w:r w:rsidRPr="00D772D2">
        <w:rPr>
          <w:color w:val="000000"/>
        </w:rPr>
        <w:t xml:space="preserve"> de manera enunciativa más no limitativa los siguientes datos:</w:t>
      </w:r>
    </w:p>
    <w:p w14:paraId="5FC5A80D" w14:textId="77777777" w:rsidR="006D0EE4" w:rsidRPr="00D772D2" w:rsidRDefault="006D0EE4">
      <w:pPr>
        <w:spacing w:after="0" w:line="360" w:lineRule="auto"/>
        <w:rPr>
          <w:color w:val="000000"/>
        </w:rPr>
      </w:pPr>
    </w:p>
    <w:p w14:paraId="3CCCE3D9" w14:textId="77777777" w:rsidR="006D0EE4" w:rsidRPr="00D772D2" w:rsidRDefault="00E363ED">
      <w:pPr>
        <w:numPr>
          <w:ilvl w:val="0"/>
          <w:numId w:val="1"/>
        </w:numPr>
        <w:pBdr>
          <w:top w:val="nil"/>
          <w:left w:val="nil"/>
          <w:bottom w:val="nil"/>
          <w:right w:val="nil"/>
          <w:between w:val="nil"/>
        </w:pBdr>
        <w:spacing w:after="0" w:line="360" w:lineRule="auto"/>
        <w:rPr>
          <w:b/>
          <w:bCs/>
          <w:color w:val="000000"/>
        </w:rPr>
      </w:pPr>
      <w:r w:rsidRPr="00D772D2">
        <w:rPr>
          <w:b/>
          <w:bCs/>
          <w:color w:val="000000"/>
        </w:rPr>
        <w:t>CURP</w:t>
      </w:r>
    </w:p>
    <w:p w14:paraId="1B4DCF9B" w14:textId="77777777" w:rsidR="006D0EE4" w:rsidRPr="00D772D2" w:rsidRDefault="00E363ED">
      <w:pPr>
        <w:numPr>
          <w:ilvl w:val="0"/>
          <w:numId w:val="1"/>
        </w:numPr>
        <w:pBdr>
          <w:top w:val="nil"/>
          <w:left w:val="nil"/>
          <w:bottom w:val="nil"/>
          <w:right w:val="nil"/>
          <w:between w:val="nil"/>
        </w:pBdr>
        <w:spacing w:after="0" w:line="360" w:lineRule="auto"/>
        <w:rPr>
          <w:b/>
          <w:bCs/>
          <w:color w:val="000000"/>
        </w:rPr>
      </w:pPr>
      <w:r w:rsidRPr="00D772D2">
        <w:rPr>
          <w:b/>
          <w:bCs/>
          <w:color w:val="000000"/>
        </w:rPr>
        <w:lastRenderedPageBreak/>
        <w:t>RFC</w:t>
      </w:r>
    </w:p>
    <w:p w14:paraId="132223A2" w14:textId="77777777" w:rsidR="006D0EE4" w:rsidRPr="00D772D2" w:rsidRDefault="00E363ED">
      <w:pPr>
        <w:numPr>
          <w:ilvl w:val="0"/>
          <w:numId w:val="1"/>
        </w:numPr>
        <w:pBdr>
          <w:top w:val="nil"/>
          <w:left w:val="nil"/>
          <w:bottom w:val="nil"/>
          <w:right w:val="nil"/>
          <w:between w:val="nil"/>
        </w:pBdr>
        <w:spacing w:after="0" w:line="360" w:lineRule="auto"/>
        <w:rPr>
          <w:b/>
          <w:bCs/>
          <w:color w:val="000000"/>
        </w:rPr>
      </w:pPr>
      <w:r w:rsidRPr="00D772D2">
        <w:rPr>
          <w:b/>
          <w:bCs/>
          <w:color w:val="000000"/>
        </w:rPr>
        <w:t>Domicilio de particulares</w:t>
      </w:r>
    </w:p>
    <w:p w14:paraId="1FBDCBC7" w14:textId="77777777" w:rsidR="006D0EE4" w:rsidRPr="00D772D2" w:rsidRDefault="00E363ED">
      <w:pPr>
        <w:numPr>
          <w:ilvl w:val="0"/>
          <w:numId w:val="1"/>
        </w:numPr>
        <w:spacing w:after="0" w:line="360" w:lineRule="auto"/>
        <w:rPr>
          <w:b/>
          <w:bCs/>
          <w:color w:val="000000"/>
        </w:rPr>
      </w:pPr>
      <w:r w:rsidRPr="00D772D2">
        <w:rPr>
          <w:b/>
          <w:bCs/>
          <w:color w:val="000000"/>
        </w:rPr>
        <w:t>Número de seguridad social del Instituto de Seguridad Social del Estado de México y Municipios</w:t>
      </w:r>
    </w:p>
    <w:p w14:paraId="4F3F6789" w14:textId="77777777" w:rsidR="006D0EE4" w:rsidRPr="00D772D2" w:rsidRDefault="006D0EE4">
      <w:pPr>
        <w:spacing w:after="0" w:line="360" w:lineRule="auto"/>
        <w:rPr>
          <w:color w:val="000000"/>
        </w:rPr>
      </w:pPr>
    </w:p>
    <w:p w14:paraId="4E73CF3B" w14:textId="77777777" w:rsidR="006D0EE4" w:rsidRPr="00D772D2" w:rsidRDefault="00E363ED">
      <w:pPr>
        <w:spacing w:after="0" w:line="360" w:lineRule="auto"/>
        <w:rPr>
          <w:color w:val="000000"/>
        </w:rPr>
      </w:pPr>
      <w:r w:rsidRPr="00D772D2">
        <w:rPr>
          <w:color w:val="000000"/>
        </w:rPr>
        <w:t>Los cuáles serán analizados en los siguientes términos:</w:t>
      </w:r>
    </w:p>
    <w:p w14:paraId="4BE1E9D1" w14:textId="77777777" w:rsidR="006D0EE4" w:rsidRPr="00D772D2" w:rsidRDefault="006D0EE4">
      <w:pPr>
        <w:spacing w:after="0" w:line="360" w:lineRule="auto"/>
        <w:rPr>
          <w:color w:val="000000"/>
        </w:rPr>
      </w:pPr>
    </w:p>
    <w:p w14:paraId="34D3D988" w14:textId="77777777" w:rsidR="006D0EE4" w:rsidRPr="00D772D2" w:rsidRDefault="00E363ED">
      <w:pPr>
        <w:numPr>
          <w:ilvl w:val="0"/>
          <w:numId w:val="4"/>
        </w:numPr>
        <w:spacing w:after="0" w:line="360" w:lineRule="auto"/>
        <w:rPr>
          <w:b/>
          <w:bCs/>
        </w:rPr>
      </w:pPr>
      <w:r w:rsidRPr="00D772D2">
        <w:rPr>
          <w:b/>
          <w:bCs/>
        </w:rPr>
        <w:t>Clave Única de Registro de Población (CURP).</w:t>
      </w:r>
    </w:p>
    <w:p w14:paraId="3E4D11BF" w14:textId="77777777" w:rsidR="006D0EE4" w:rsidRPr="00D772D2" w:rsidRDefault="00E363ED">
      <w:pPr>
        <w:spacing w:after="0" w:line="360" w:lineRule="auto"/>
      </w:pPr>
      <w:r w:rsidRPr="00D772D2">
        <w:tab/>
      </w:r>
    </w:p>
    <w:p w14:paraId="2DAE8FF9" w14:textId="77777777" w:rsidR="006D0EE4" w:rsidRPr="00D772D2" w:rsidRDefault="00E363ED">
      <w:pPr>
        <w:spacing w:after="0" w:line="360" w:lineRule="auto"/>
      </w:pPr>
      <w:r w:rsidRPr="00D772D2">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1CD61728" w14:textId="77777777" w:rsidR="006D0EE4" w:rsidRPr="00D772D2" w:rsidRDefault="006D0EE4">
      <w:pPr>
        <w:spacing w:after="0" w:line="360" w:lineRule="auto"/>
      </w:pPr>
    </w:p>
    <w:p w14:paraId="5C4308E2" w14:textId="77777777" w:rsidR="006D0EE4" w:rsidRPr="00D772D2" w:rsidRDefault="00E363ED">
      <w:pPr>
        <w:spacing w:after="0" w:line="360" w:lineRule="auto"/>
      </w:pPr>
      <w:r w:rsidRPr="00D772D2">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12B8BE84" w14:textId="77777777" w:rsidR="006D0EE4" w:rsidRPr="00D772D2" w:rsidRDefault="006D0EE4">
      <w:pPr>
        <w:spacing w:after="0" w:line="360" w:lineRule="auto"/>
      </w:pPr>
    </w:p>
    <w:p w14:paraId="54717D75" w14:textId="77777777" w:rsidR="006D0EE4" w:rsidRPr="00D772D2" w:rsidRDefault="00E363ED">
      <w:pPr>
        <w:spacing w:after="0" w:line="360" w:lineRule="auto"/>
      </w:pPr>
      <w:r w:rsidRPr="00D772D2">
        <w:t xml:space="preserve">En ese orden de ideas, la Secretaría de Gobernación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D772D2">
        <w:rPr>
          <w:b/>
          <w:bCs/>
        </w:rPr>
        <w:t xml:space="preserve">se generan a partir de los datos </w:t>
      </w:r>
      <w:r w:rsidRPr="00D772D2">
        <w:rPr>
          <w:b/>
          <w:bCs/>
        </w:rPr>
        <w:lastRenderedPageBreak/>
        <w:t>contenidos en el documento probatorio de la identidad</w:t>
      </w:r>
      <w:r w:rsidRPr="00D772D2">
        <w:t xml:space="preserve"> </w:t>
      </w:r>
      <w:r w:rsidRPr="00D772D2">
        <w:rPr>
          <w:b/>
          <w:bCs/>
        </w:rPr>
        <w:t xml:space="preserve">del interesado </w:t>
      </w:r>
      <w:r w:rsidRPr="00D772D2">
        <w:t>(acta de nacimiento, carta de naturalización o documento migratorio) de la siguiente forma:</w:t>
      </w:r>
    </w:p>
    <w:p w14:paraId="20E6D17D" w14:textId="77777777" w:rsidR="006D0EE4" w:rsidRPr="00D772D2" w:rsidRDefault="006D0EE4">
      <w:pPr>
        <w:spacing w:after="0" w:line="360" w:lineRule="auto"/>
      </w:pPr>
    </w:p>
    <w:p w14:paraId="51FF7609" w14:textId="77777777" w:rsidR="006D0EE4" w:rsidRPr="00D772D2" w:rsidRDefault="00E363ED">
      <w:pPr>
        <w:numPr>
          <w:ilvl w:val="0"/>
          <w:numId w:val="2"/>
        </w:numPr>
        <w:spacing w:after="0" w:line="360" w:lineRule="auto"/>
        <w:ind w:left="567" w:firstLine="0"/>
      </w:pPr>
      <w:r w:rsidRPr="00D772D2">
        <w:t>El primero y segundo apellidos, así como al nombre de pila;</w:t>
      </w:r>
    </w:p>
    <w:p w14:paraId="50601800" w14:textId="77777777" w:rsidR="006D0EE4" w:rsidRPr="00D772D2" w:rsidRDefault="00E363ED">
      <w:pPr>
        <w:numPr>
          <w:ilvl w:val="0"/>
          <w:numId w:val="2"/>
        </w:numPr>
        <w:spacing w:after="0" w:line="360" w:lineRule="auto"/>
        <w:ind w:left="567" w:firstLine="0"/>
      </w:pPr>
      <w:r w:rsidRPr="00D772D2">
        <w:t>La fecha de nacimiento;</w:t>
      </w:r>
    </w:p>
    <w:p w14:paraId="1185A4F3" w14:textId="77777777" w:rsidR="006D0EE4" w:rsidRPr="00D772D2" w:rsidRDefault="00E363ED">
      <w:pPr>
        <w:numPr>
          <w:ilvl w:val="0"/>
          <w:numId w:val="2"/>
        </w:numPr>
        <w:spacing w:after="0" w:line="360" w:lineRule="auto"/>
        <w:ind w:left="567" w:firstLine="0"/>
      </w:pPr>
      <w:r w:rsidRPr="00D772D2">
        <w:t>El sexo, y</w:t>
      </w:r>
    </w:p>
    <w:p w14:paraId="4F15B5CC" w14:textId="77777777" w:rsidR="006D0EE4" w:rsidRPr="00D772D2" w:rsidRDefault="00E363ED">
      <w:pPr>
        <w:numPr>
          <w:ilvl w:val="0"/>
          <w:numId w:val="2"/>
        </w:numPr>
        <w:spacing w:after="0" w:line="360" w:lineRule="auto"/>
        <w:ind w:left="567" w:firstLine="0"/>
      </w:pPr>
      <w:r w:rsidRPr="00D772D2">
        <w:t>La entidad federativa de nacimiento.</w:t>
      </w:r>
    </w:p>
    <w:p w14:paraId="0EEC43CE" w14:textId="77777777" w:rsidR="006D0EE4" w:rsidRPr="00D772D2" w:rsidRDefault="006D0EE4">
      <w:pPr>
        <w:spacing w:after="0" w:line="360" w:lineRule="auto"/>
      </w:pPr>
    </w:p>
    <w:p w14:paraId="18F1F082" w14:textId="77777777" w:rsidR="006D0EE4" w:rsidRPr="00D772D2" w:rsidRDefault="00E363ED">
      <w:pPr>
        <w:spacing w:after="0" w:line="360" w:lineRule="auto"/>
      </w:pPr>
      <w:r w:rsidRPr="00D772D2">
        <w:t>Los dos últimos elementos de la Clave Única de Registro de Población evitan la duplicidad de la Clave y garantizan su correcta integración; por lo que, se desprende que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14A46752" w14:textId="77777777" w:rsidR="006D0EE4" w:rsidRPr="00D772D2" w:rsidRDefault="006D0EE4">
      <w:pPr>
        <w:spacing w:after="0" w:line="360" w:lineRule="auto"/>
      </w:pPr>
    </w:p>
    <w:p w14:paraId="021C8232" w14:textId="77777777" w:rsidR="006D0EE4" w:rsidRPr="00D772D2" w:rsidRDefault="00E363ED">
      <w:pPr>
        <w:spacing w:after="0" w:line="360" w:lineRule="auto"/>
      </w:pPr>
      <w:r w:rsidRPr="00D772D2">
        <w:t>Situación que se robustece, con el Criterio 18/17, emitido por el Instituto Nacional de Transparencia, Acceso a la Información y Protección de Datos Personales, que establece lo siguiente:</w:t>
      </w:r>
    </w:p>
    <w:p w14:paraId="1ABB5DA1" w14:textId="77777777" w:rsidR="006D0EE4" w:rsidRPr="00D772D2" w:rsidRDefault="006D0EE4">
      <w:pPr>
        <w:spacing w:after="0" w:line="360" w:lineRule="auto"/>
      </w:pPr>
    </w:p>
    <w:p w14:paraId="2103BC70" w14:textId="77777777" w:rsidR="006D0EE4" w:rsidRPr="00D772D2" w:rsidRDefault="00E363ED">
      <w:pPr>
        <w:spacing w:after="0" w:line="360" w:lineRule="auto"/>
        <w:ind w:left="567" w:right="539"/>
        <w:rPr>
          <w:i/>
          <w:iCs/>
          <w:sz w:val="20"/>
          <w:szCs w:val="20"/>
        </w:rPr>
      </w:pPr>
      <w:r w:rsidRPr="00D772D2">
        <w:rPr>
          <w:b/>
          <w:bCs/>
          <w:i/>
          <w:iCs/>
          <w:sz w:val="20"/>
          <w:szCs w:val="20"/>
        </w:rPr>
        <w:t xml:space="preserve">“Clave Única de Registro de Población (CURP). </w:t>
      </w:r>
      <w:r w:rsidRPr="00D772D2">
        <w:rPr>
          <w:i/>
          <w:iCs/>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2760E217" w14:textId="77777777" w:rsidR="006D0EE4" w:rsidRPr="00D772D2" w:rsidRDefault="006D0EE4">
      <w:pPr>
        <w:spacing w:after="0" w:line="360" w:lineRule="auto"/>
      </w:pPr>
    </w:p>
    <w:p w14:paraId="4ACE582F" w14:textId="77777777" w:rsidR="006D0EE4" w:rsidRPr="00D772D2" w:rsidRDefault="00E363ED">
      <w:pPr>
        <w:spacing w:after="0" w:line="360" w:lineRule="auto"/>
      </w:pPr>
      <w:r w:rsidRPr="00D772D2">
        <w:lastRenderedPageBreak/>
        <w:t>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w:t>
      </w:r>
    </w:p>
    <w:p w14:paraId="6919D605" w14:textId="77777777" w:rsidR="006D0EE4" w:rsidRPr="00D772D2" w:rsidRDefault="006D0EE4">
      <w:pPr>
        <w:spacing w:after="0" w:line="360" w:lineRule="auto"/>
        <w:rPr>
          <w:color w:val="000000"/>
        </w:rPr>
      </w:pPr>
    </w:p>
    <w:p w14:paraId="1F345A94" w14:textId="77777777" w:rsidR="006D0EE4" w:rsidRPr="00D772D2" w:rsidRDefault="00E363ED">
      <w:pPr>
        <w:numPr>
          <w:ilvl w:val="0"/>
          <w:numId w:val="3"/>
        </w:numPr>
        <w:spacing w:after="0" w:line="360" w:lineRule="auto"/>
        <w:rPr>
          <w:b/>
          <w:bCs/>
          <w:color w:val="000000"/>
        </w:rPr>
      </w:pPr>
      <w:r w:rsidRPr="00D772D2">
        <w:rPr>
          <w:b/>
          <w:bCs/>
          <w:color w:val="000000"/>
        </w:rPr>
        <w:t xml:space="preserve">Registro Federal de Contribuyentes (RFC) </w:t>
      </w:r>
    </w:p>
    <w:p w14:paraId="3683B4A9" w14:textId="77777777" w:rsidR="006D0EE4" w:rsidRPr="00D772D2" w:rsidRDefault="006D0EE4">
      <w:pPr>
        <w:spacing w:after="0" w:line="360" w:lineRule="auto"/>
        <w:rPr>
          <w:color w:val="000000"/>
        </w:rPr>
      </w:pPr>
    </w:p>
    <w:p w14:paraId="75B68983" w14:textId="77777777" w:rsidR="006D0EE4" w:rsidRPr="00D772D2" w:rsidRDefault="00E363ED">
      <w:pPr>
        <w:spacing w:after="0" w:line="360" w:lineRule="auto"/>
        <w:rPr>
          <w:color w:val="000000"/>
        </w:rPr>
      </w:pPr>
      <w:r w:rsidRPr="00D772D2">
        <w:rPr>
          <w:color w:val="000000"/>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76C669C9" w14:textId="77777777" w:rsidR="006D0EE4" w:rsidRPr="00D772D2" w:rsidRDefault="006D0EE4">
      <w:pPr>
        <w:spacing w:after="0" w:line="360" w:lineRule="auto"/>
        <w:rPr>
          <w:color w:val="000000"/>
        </w:rPr>
      </w:pPr>
    </w:p>
    <w:p w14:paraId="34D54652" w14:textId="77777777" w:rsidR="006D0EE4" w:rsidRPr="00D772D2" w:rsidRDefault="00E363ED">
      <w:pPr>
        <w:spacing w:after="0" w:line="360" w:lineRule="auto"/>
        <w:rPr>
          <w:color w:val="000000"/>
        </w:rPr>
      </w:pPr>
      <w:r w:rsidRPr="00D772D2">
        <w:rPr>
          <w:color w:val="000000"/>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14:paraId="74F78CD4" w14:textId="77777777" w:rsidR="006D0EE4" w:rsidRPr="00D772D2" w:rsidRDefault="006D0EE4">
      <w:pPr>
        <w:spacing w:after="0" w:line="360" w:lineRule="auto"/>
        <w:rPr>
          <w:color w:val="000000"/>
        </w:rPr>
      </w:pPr>
    </w:p>
    <w:p w14:paraId="57E2A770" w14:textId="77777777" w:rsidR="006D0EE4" w:rsidRPr="00D772D2" w:rsidRDefault="00E363ED">
      <w:pPr>
        <w:spacing w:after="0" w:line="360" w:lineRule="auto"/>
        <w:rPr>
          <w:color w:val="000000"/>
        </w:rPr>
      </w:pPr>
      <w:r w:rsidRPr="00D772D2">
        <w:rPr>
          <w:color w:val="000000"/>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2D3E486F" w14:textId="77777777" w:rsidR="006D0EE4" w:rsidRPr="00D772D2" w:rsidRDefault="006D0EE4">
      <w:pPr>
        <w:spacing w:after="0" w:line="360" w:lineRule="auto"/>
        <w:rPr>
          <w:color w:val="000000"/>
        </w:rPr>
      </w:pPr>
    </w:p>
    <w:p w14:paraId="496D8E82" w14:textId="77777777" w:rsidR="006D0EE4" w:rsidRPr="00D772D2" w:rsidRDefault="00E363ED">
      <w:pPr>
        <w:spacing w:after="0" w:line="360" w:lineRule="auto"/>
        <w:rPr>
          <w:color w:val="000000"/>
        </w:rPr>
      </w:pPr>
      <w:r w:rsidRPr="00D772D2">
        <w:rPr>
          <w:color w:val="000000"/>
        </w:rPr>
        <w:lastRenderedPageBreak/>
        <w:t xml:space="preserve">Así, el Registro Federal de Contribuyentes, es un dato personal, ya que hace a las personas físicas </w:t>
      </w:r>
      <w:r w:rsidRPr="00D772D2">
        <w:t>identificadas</w:t>
      </w:r>
      <w:r w:rsidRPr="00D772D2">
        <w:rPr>
          <w:color w:val="000000"/>
        </w:rPr>
        <w:t xml:space="preserve"> e identificables, además de que las relaciona como contribuyentes de las autoridades fiscales. Es de destacar que dicho dato únicamente sirve para efectos fiscales y pago de contribuciones, por lo que se trata de un dato relevante únicamente para las personas </w:t>
      </w:r>
      <w:r w:rsidRPr="00D772D2">
        <w:t>involucradas</w:t>
      </w:r>
      <w:r w:rsidRPr="00D772D2">
        <w:rPr>
          <w:color w:val="000000"/>
        </w:rPr>
        <w:t xml:space="preserve">, en el pago de estos, en el presente caso, del pago del Impuesto Sobre el Producto del Trabajo. </w:t>
      </w:r>
    </w:p>
    <w:p w14:paraId="0B00F64F" w14:textId="77777777" w:rsidR="006D0EE4" w:rsidRPr="00D772D2" w:rsidRDefault="006D0EE4">
      <w:pPr>
        <w:spacing w:after="0" w:line="360" w:lineRule="auto"/>
        <w:rPr>
          <w:color w:val="000000"/>
        </w:rPr>
      </w:pPr>
    </w:p>
    <w:p w14:paraId="3EF5E973" w14:textId="77777777" w:rsidR="006D0EE4" w:rsidRPr="00D772D2" w:rsidRDefault="00E363ED">
      <w:pPr>
        <w:spacing w:after="0" w:line="360" w:lineRule="auto"/>
        <w:rPr>
          <w:color w:val="000000"/>
        </w:rPr>
      </w:pPr>
      <w:r w:rsidRPr="00D772D2">
        <w:rPr>
          <w:color w:val="000000"/>
        </w:rPr>
        <w:t>Lo anterior, resulta congruente con el Criterio Orientador, de la Segunda Época, con número de registro SO/019/2017, emitido por el entonces Instituto Nacional de Transparencia, Acceso a la Información y Protección de Datos Personales, vigente a la fecha de la solicitud, en el cual se señala lo siguiente:</w:t>
      </w:r>
    </w:p>
    <w:p w14:paraId="7B09B5D1" w14:textId="77777777" w:rsidR="006D0EE4" w:rsidRPr="00D772D2" w:rsidRDefault="006D0EE4">
      <w:pPr>
        <w:spacing w:after="0" w:line="360" w:lineRule="auto"/>
        <w:rPr>
          <w:color w:val="000000"/>
        </w:rPr>
      </w:pPr>
    </w:p>
    <w:p w14:paraId="3E911959" w14:textId="77777777" w:rsidR="006D0EE4" w:rsidRPr="00D772D2" w:rsidRDefault="00E363ED">
      <w:pPr>
        <w:spacing w:after="0" w:line="360" w:lineRule="auto"/>
        <w:ind w:left="567" w:right="567"/>
        <w:rPr>
          <w:i/>
          <w:iCs/>
          <w:color w:val="000000"/>
        </w:rPr>
      </w:pPr>
      <w:r w:rsidRPr="00D772D2">
        <w:rPr>
          <w:b/>
          <w:bCs/>
          <w:i/>
          <w:iCs/>
          <w:color w:val="000000"/>
          <w:sz w:val="20"/>
          <w:szCs w:val="20"/>
        </w:rPr>
        <w:t>“Registro Federal de Contribuyentes (RFC) de personas físicas.</w:t>
      </w:r>
      <w:r w:rsidRPr="00D772D2">
        <w:rPr>
          <w:i/>
          <w:iCs/>
          <w:color w:val="000000"/>
          <w:sz w:val="20"/>
          <w:szCs w:val="20"/>
        </w:rPr>
        <w:t xml:space="preserve"> El RFC es una clave de carácter fiscal, única e irrepetible, que permite identificar al titular, su edad y fecha de nacimiento, por lo que es un dato personal de carácter confidencial.”</w:t>
      </w:r>
    </w:p>
    <w:p w14:paraId="5F864013" w14:textId="77777777" w:rsidR="006D0EE4" w:rsidRPr="00D772D2" w:rsidRDefault="006D0EE4">
      <w:pPr>
        <w:spacing w:after="0" w:line="360" w:lineRule="auto"/>
        <w:ind w:left="567" w:right="567"/>
        <w:rPr>
          <w:i/>
          <w:iCs/>
          <w:color w:val="000000"/>
        </w:rPr>
      </w:pPr>
    </w:p>
    <w:p w14:paraId="3C550373" w14:textId="77777777" w:rsidR="006D0EE4" w:rsidRPr="00D772D2" w:rsidRDefault="00E363ED">
      <w:pPr>
        <w:spacing w:after="0" w:line="360" w:lineRule="auto"/>
        <w:rPr>
          <w:color w:val="000000"/>
        </w:rPr>
      </w:pPr>
      <w:r w:rsidRPr="00D772D2">
        <w:rPr>
          <w:color w:val="000000"/>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247237DC" w14:textId="77777777" w:rsidR="006D0EE4" w:rsidRPr="00D772D2" w:rsidRDefault="006D0EE4">
      <w:pPr>
        <w:widowControl w:val="0"/>
        <w:tabs>
          <w:tab w:val="center" w:pos="4522"/>
        </w:tabs>
        <w:spacing w:after="0" w:line="360" w:lineRule="auto"/>
      </w:pPr>
    </w:p>
    <w:p w14:paraId="4CD5A7AC" w14:textId="77777777" w:rsidR="006D0EE4" w:rsidRPr="00D772D2" w:rsidRDefault="00E363ED">
      <w:pPr>
        <w:numPr>
          <w:ilvl w:val="0"/>
          <w:numId w:val="5"/>
        </w:numPr>
        <w:pBdr>
          <w:top w:val="nil"/>
          <w:left w:val="nil"/>
          <w:bottom w:val="nil"/>
          <w:right w:val="nil"/>
          <w:between w:val="nil"/>
        </w:pBdr>
        <w:spacing w:after="0" w:line="360" w:lineRule="auto"/>
        <w:rPr>
          <w:b/>
          <w:bCs/>
          <w:color w:val="000000"/>
        </w:rPr>
      </w:pPr>
      <w:r w:rsidRPr="00D772D2">
        <w:rPr>
          <w:b/>
          <w:bCs/>
          <w:color w:val="000000"/>
        </w:rPr>
        <w:t>Domicilio de particulares</w:t>
      </w:r>
    </w:p>
    <w:p w14:paraId="3B8E4687" w14:textId="77777777" w:rsidR="006D0EE4" w:rsidRPr="00D772D2" w:rsidRDefault="006D0EE4">
      <w:pPr>
        <w:spacing w:after="0" w:line="360" w:lineRule="auto"/>
        <w:rPr>
          <w:color w:val="000000"/>
        </w:rPr>
      </w:pPr>
    </w:p>
    <w:p w14:paraId="5C34891A" w14:textId="77777777" w:rsidR="006D0EE4" w:rsidRPr="00D772D2" w:rsidRDefault="00E363ED">
      <w:pPr>
        <w:spacing w:after="0" w:line="360" w:lineRule="auto"/>
        <w:rPr>
          <w:color w:val="000000"/>
        </w:rPr>
      </w:pPr>
      <w:r w:rsidRPr="00D772D2">
        <w:rPr>
          <w:color w:val="000000"/>
        </w:rPr>
        <w:t xml:space="preserve">De acuerdo a lo señalado en los artículos 2.3 y 2.5 del Código Civil del Estado de México, el domicilio es un atributo de la personalidad y un derecho de las personas. Este tiene como </w:t>
      </w:r>
      <w:r w:rsidRPr="00D772D2">
        <w:rPr>
          <w:color w:val="000000"/>
        </w:rPr>
        <w:lastRenderedPageBreak/>
        <w:t xml:space="preserve">propósito que una persona pueda establecerse temporal o permanentemente en un lugar determinado, para habitar, establecer su centro de trabajo o negocios, sin que esta información sea de relevancia para el interés público, así como tampoco tiene relevancia en el ejercicio de atribuciones de los servidores públicos. Por lo que se trata de un dato personal confidencial, en términos del artículo 143, fracción I de la Ley de Transparencia y Acceso a la Información Pública del Estado de México y Municipios. </w:t>
      </w:r>
    </w:p>
    <w:p w14:paraId="667C7F0A" w14:textId="77777777" w:rsidR="006D0EE4" w:rsidRPr="00D772D2" w:rsidRDefault="006D0EE4">
      <w:pPr>
        <w:spacing w:after="0" w:line="360" w:lineRule="auto"/>
        <w:rPr>
          <w:color w:val="000000"/>
        </w:rPr>
      </w:pPr>
    </w:p>
    <w:p w14:paraId="51227F3E" w14:textId="77777777" w:rsidR="006D0EE4" w:rsidRPr="00D772D2" w:rsidRDefault="00E363ED">
      <w:pPr>
        <w:numPr>
          <w:ilvl w:val="0"/>
          <w:numId w:val="15"/>
        </w:numPr>
        <w:spacing w:after="0" w:line="360" w:lineRule="auto"/>
        <w:rPr>
          <w:b/>
          <w:bCs/>
          <w:color w:val="000000"/>
        </w:rPr>
      </w:pPr>
      <w:r w:rsidRPr="00D772D2">
        <w:rPr>
          <w:b/>
          <w:bCs/>
          <w:color w:val="000000"/>
        </w:rPr>
        <w:t>Número de seguridad social del Instituto de Seguridad Social del Estado de México y Municipios</w:t>
      </w:r>
    </w:p>
    <w:p w14:paraId="33785AD8" w14:textId="77777777" w:rsidR="006D0EE4" w:rsidRPr="00D772D2" w:rsidRDefault="006D0EE4">
      <w:pPr>
        <w:spacing w:after="0" w:line="360" w:lineRule="auto"/>
        <w:rPr>
          <w:b/>
          <w:bCs/>
          <w:color w:val="000000"/>
        </w:rPr>
      </w:pPr>
    </w:p>
    <w:p w14:paraId="2B41EAD5" w14:textId="77777777" w:rsidR="006D0EE4" w:rsidRPr="00D772D2" w:rsidRDefault="00E363ED">
      <w:pPr>
        <w:spacing w:after="0" w:line="360" w:lineRule="auto"/>
        <w:rPr>
          <w:color w:val="000000"/>
        </w:rPr>
      </w:pPr>
      <w:r w:rsidRPr="00D772D2">
        <w:rPr>
          <w:color w:val="000000"/>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1ADAC978" w14:textId="77777777" w:rsidR="006D0EE4" w:rsidRPr="00D772D2" w:rsidRDefault="006D0EE4">
      <w:pPr>
        <w:spacing w:after="0" w:line="360" w:lineRule="auto"/>
        <w:rPr>
          <w:color w:val="000000"/>
        </w:rPr>
      </w:pPr>
    </w:p>
    <w:p w14:paraId="566FBD23" w14:textId="77777777" w:rsidR="006D0EE4" w:rsidRPr="00D772D2" w:rsidRDefault="00E363ED">
      <w:pPr>
        <w:spacing w:after="0" w:line="360" w:lineRule="auto"/>
        <w:rPr>
          <w:color w:val="000000"/>
        </w:rPr>
      </w:pPr>
      <w:r w:rsidRPr="00D772D2">
        <w:rPr>
          <w:color w:val="000000"/>
        </w:rPr>
        <w:t>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Instituto de Seguridad Social del Estado de México y Municipios.</w:t>
      </w:r>
    </w:p>
    <w:p w14:paraId="17B7B891" w14:textId="77777777" w:rsidR="006D0EE4" w:rsidRPr="00D772D2" w:rsidRDefault="006D0EE4">
      <w:pPr>
        <w:spacing w:after="0" w:line="360" w:lineRule="auto"/>
        <w:rPr>
          <w:color w:val="000000"/>
        </w:rPr>
      </w:pPr>
    </w:p>
    <w:p w14:paraId="7E3045C6" w14:textId="77777777" w:rsidR="006D0EE4" w:rsidRPr="00D772D2" w:rsidRDefault="00E363ED">
      <w:pPr>
        <w:spacing w:after="0" w:line="360" w:lineRule="auto"/>
        <w:rPr>
          <w:color w:val="000000"/>
        </w:rPr>
      </w:pPr>
      <w:r w:rsidRPr="00D772D2">
        <w:rPr>
          <w:color w:val="000000"/>
        </w:rPr>
        <w:lastRenderedPageBreak/>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1CF1B87D" w14:textId="77777777" w:rsidR="006D0EE4" w:rsidRPr="00D772D2" w:rsidRDefault="006D0EE4">
      <w:pPr>
        <w:spacing w:after="0" w:line="360" w:lineRule="auto"/>
        <w:rPr>
          <w:color w:val="000000"/>
        </w:rPr>
      </w:pPr>
    </w:p>
    <w:p w14:paraId="003F5B1F" w14:textId="77777777" w:rsidR="006D0EE4" w:rsidRPr="00D772D2" w:rsidRDefault="00E363ED">
      <w:pPr>
        <w:spacing w:after="0" w:line="360" w:lineRule="auto"/>
        <w:rPr>
          <w:color w:val="000000"/>
        </w:rPr>
      </w:pPr>
      <w:r w:rsidRPr="00D772D2">
        <w:rPr>
          <w:color w:val="000000"/>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19976139" w14:textId="77777777" w:rsidR="006D0EE4" w:rsidRPr="00D772D2" w:rsidRDefault="006D0EE4">
      <w:pPr>
        <w:widowControl w:val="0"/>
        <w:tabs>
          <w:tab w:val="center" w:pos="4522"/>
        </w:tabs>
        <w:spacing w:after="0" w:line="360" w:lineRule="auto"/>
      </w:pPr>
    </w:p>
    <w:p w14:paraId="5F797A95" w14:textId="77777777" w:rsidR="006D0EE4" w:rsidRPr="00D772D2" w:rsidRDefault="00E363ED">
      <w:pPr>
        <w:spacing w:after="0" w:line="360" w:lineRule="auto"/>
      </w:pPr>
      <w:r w:rsidRPr="00D772D2">
        <w:t>Conforme a lo anterior, el Sujeto Obligado deberá a poner a disposición del Recurrente, la versión pública de la información requerida, para tal circunstancia,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52609B26" w14:textId="77777777" w:rsidR="006D0EE4" w:rsidRPr="00D772D2" w:rsidRDefault="006D0EE4">
      <w:pPr>
        <w:spacing w:after="0" w:line="360" w:lineRule="auto"/>
      </w:pPr>
    </w:p>
    <w:p w14:paraId="5F2CD7DF" w14:textId="77777777" w:rsidR="006D0EE4" w:rsidRPr="00D772D2" w:rsidRDefault="00E363ED">
      <w:pPr>
        <w:pStyle w:val="Ttulo2"/>
        <w:spacing w:before="0" w:after="0"/>
        <w:rPr>
          <w:b w:val="0"/>
          <w:bCs w:val="0"/>
        </w:rPr>
      </w:pPr>
      <w:bookmarkStart w:id="28" w:name="_heading=h.67qqvtxona35" w:colFirst="0" w:colLast="0"/>
      <w:bookmarkStart w:id="29" w:name="_Toc221809880"/>
      <w:bookmarkEnd w:id="28"/>
      <w:r w:rsidRPr="00D772D2">
        <w:t>SEXTO. Decisión</w:t>
      </w:r>
      <w:bookmarkEnd w:id="29"/>
    </w:p>
    <w:p w14:paraId="56626266" w14:textId="77777777" w:rsidR="006D0EE4" w:rsidRPr="00D772D2" w:rsidRDefault="006D0EE4">
      <w:pPr>
        <w:spacing w:after="0" w:line="360" w:lineRule="auto"/>
        <w:rPr>
          <w:b/>
          <w:bCs/>
        </w:rPr>
      </w:pPr>
    </w:p>
    <w:p w14:paraId="1765BB79" w14:textId="77777777" w:rsidR="006D0EE4" w:rsidRPr="00D772D2" w:rsidRDefault="00E363ED">
      <w:pPr>
        <w:spacing w:after="0" w:line="360" w:lineRule="auto"/>
      </w:pPr>
      <w:r w:rsidRPr="00D772D2">
        <w:t xml:space="preserve">Con fundamento en el artículo 186, fracción III, de la Ley de Transparencia y Acceso a la Información Pública del Estado de México y Municipios, este Instituto considera procedente </w:t>
      </w:r>
      <w:r w:rsidRPr="00D772D2">
        <w:rPr>
          <w:b/>
          <w:bCs/>
        </w:rPr>
        <w:t xml:space="preserve">REVOCAR </w:t>
      </w:r>
      <w:r w:rsidRPr="00D772D2">
        <w:t xml:space="preserve">la respuesta otorgada por el Sujeto Obligado a la solicitud de información </w:t>
      </w:r>
      <w:r w:rsidRPr="00D772D2">
        <w:rPr>
          <w:b/>
          <w:bCs/>
        </w:rPr>
        <w:lastRenderedPageBreak/>
        <w:t>00890/ECATEPEC/IP/2025</w:t>
      </w:r>
      <w:r w:rsidRPr="00D772D2">
        <w:t xml:space="preserve">, por resultar fundadas las razones o motivos de inconformidad hechos valer por la parte Recurrente, en el Recurso de Revisión </w:t>
      </w:r>
      <w:r w:rsidRPr="00D772D2">
        <w:rPr>
          <w:b/>
          <w:bCs/>
        </w:rPr>
        <w:t>13326/INFOEM/IP/RR/2025</w:t>
      </w:r>
      <w:r w:rsidRPr="00D772D2">
        <w:t xml:space="preserve">, en consecuencia procede </w:t>
      </w:r>
      <w:r w:rsidRPr="00D772D2">
        <w:rPr>
          <w:b/>
          <w:bCs/>
        </w:rPr>
        <w:t xml:space="preserve">ORDENAR, </w:t>
      </w:r>
      <w:r w:rsidRPr="00D772D2">
        <w:t xml:space="preserve">la entrega de la información en los términos dispuestos en el considerando QUINTO. </w:t>
      </w:r>
    </w:p>
    <w:p w14:paraId="34D5D152" w14:textId="77777777" w:rsidR="006D0EE4" w:rsidRPr="00D772D2" w:rsidRDefault="006D0EE4">
      <w:pPr>
        <w:tabs>
          <w:tab w:val="left" w:pos="4962"/>
        </w:tabs>
        <w:spacing w:after="0" w:line="360" w:lineRule="auto"/>
        <w:rPr>
          <w:color w:val="000000"/>
        </w:rPr>
      </w:pPr>
    </w:p>
    <w:p w14:paraId="09CC11C1" w14:textId="77777777" w:rsidR="006D0EE4" w:rsidRPr="00D772D2" w:rsidRDefault="00E363ED">
      <w:pPr>
        <w:spacing w:after="0" w:line="360" w:lineRule="auto"/>
        <w:rPr>
          <w:b/>
          <w:bCs/>
          <w:u w:val="single"/>
        </w:rPr>
      </w:pPr>
      <w:r w:rsidRPr="00D772D2">
        <w:rPr>
          <w:b/>
          <w:bCs/>
          <w:u w:val="single"/>
        </w:rPr>
        <w:t>Términos de la Resolución para la parte Recurrente:</w:t>
      </w:r>
    </w:p>
    <w:p w14:paraId="74D1E038" w14:textId="77777777" w:rsidR="006D0EE4" w:rsidRPr="00D772D2" w:rsidRDefault="006D0EE4">
      <w:pPr>
        <w:spacing w:after="0" w:line="360" w:lineRule="auto"/>
      </w:pPr>
    </w:p>
    <w:p w14:paraId="3293ACA5" w14:textId="77777777" w:rsidR="006D0EE4" w:rsidRPr="00D772D2" w:rsidRDefault="00E363ED">
      <w:pPr>
        <w:spacing w:after="0" w:line="360" w:lineRule="auto"/>
        <w:rPr>
          <w:u w:val="single"/>
        </w:rPr>
      </w:pPr>
      <w:r w:rsidRPr="00D772D2">
        <w:rPr>
          <w:u w:val="single"/>
        </w:rPr>
        <w:t xml:space="preserve">Se hace del conocimiento de parte Recurrente que este Organismo Garante determinó concederle la razón, puesto que el Sujeto Obligado no le entregó el nombre del personal dado de alta y de baja durante la temporalidad, por tanto se ordena su entrega. </w:t>
      </w:r>
    </w:p>
    <w:p w14:paraId="665309C9" w14:textId="77777777" w:rsidR="006D0EE4" w:rsidRPr="00D772D2" w:rsidRDefault="006D0EE4">
      <w:pPr>
        <w:spacing w:after="0" w:line="360" w:lineRule="auto"/>
        <w:rPr>
          <w:u w:val="single"/>
        </w:rPr>
      </w:pPr>
    </w:p>
    <w:p w14:paraId="1AAB47AD" w14:textId="77777777" w:rsidR="006D0EE4" w:rsidRPr="00D772D2" w:rsidRDefault="00E363ED">
      <w:pPr>
        <w:spacing w:after="0" w:line="360" w:lineRule="auto"/>
        <w:rPr>
          <w:u w:val="single"/>
        </w:rPr>
      </w:pPr>
      <w:r w:rsidRPr="00D772D2">
        <w:rPr>
          <w:u w:val="single"/>
        </w:rPr>
        <w:t xml:space="preserve">Es necesario mencionar que para el caso de que la información tenga datos personales o información reservada será necesaria su entrega en versión pública, lo que significa que se testan los datos personales y se entrega acompañada de un acuerdo en el que se expresen las razones por las que se protegen dichos datos. </w:t>
      </w:r>
    </w:p>
    <w:p w14:paraId="37E981A7" w14:textId="77777777" w:rsidR="006D0EE4" w:rsidRPr="00D772D2" w:rsidRDefault="006D0EE4">
      <w:pPr>
        <w:spacing w:after="0" w:line="360" w:lineRule="auto"/>
        <w:rPr>
          <w:u w:val="single"/>
        </w:rPr>
      </w:pPr>
    </w:p>
    <w:p w14:paraId="141FBA4A" w14:textId="77777777" w:rsidR="006D0EE4" w:rsidRPr="00D772D2" w:rsidRDefault="00E363ED">
      <w:pPr>
        <w:spacing w:after="0" w:line="360" w:lineRule="auto"/>
        <w:rPr>
          <w:u w:val="single"/>
        </w:rPr>
      </w:pPr>
      <w:r w:rsidRPr="00D772D2">
        <w:rPr>
          <w:u w:val="single"/>
        </w:rPr>
        <w:t>La labor del INFOEM, es apoyar a la población para acceder a la información pública y garantizar la protección de sus datos personales.</w:t>
      </w:r>
    </w:p>
    <w:p w14:paraId="203A5B76" w14:textId="77777777" w:rsidR="006D0EE4" w:rsidRPr="00D772D2" w:rsidRDefault="006D0EE4">
      <w:pPr>
        <w:spacing w:after="0" w:line="360" w:lineRule="auto"/>
        <w:rPr>
          <w:u w:val="single"/>
        </w:rPr>
      </w:pPr>
    </w:p>
    <w:p w14:paraId="79D388A4" w14:textId="77777777" w:rsidR="006D0EE4" w:rsidRPr="00D772D2" w:rsidRDefault="00E363ED">
      <w:pPr>
        <w:pStyle w:val="Ttulo1"/>
        <w:spacing w:before="0" w:after="0"/>
        <w:rPr>
          <w:b w:val="0"/>
          <w:bCs w:val="0"/>
          <w:sz w:val="22"/>
          <w:szCs w:val="22"/>
        </w:rPr>
      </w:pPr>
      <w:bookmarkStart w:id="30" w:name="_heading=h.z8b8nel6jf13" w:colFirst="0" w:colLast="0"/>
      <w:bookmarkStart w:id="31" w:name="_Toc221809881"/>
      <w:bookmarkEnd w:id="30"/>
      <w:r w:rsidRPr="00D772D2">
        <w:rPr>
          <w:sz w:val="22"/>
          <w:szCs w:val="22"/>
        </w:rPr>
        <w:t>R E S U E L V E</w:t>
      </w:r>
      <w:bookmarkEnd w:id="31"/>
    </w:p>
    <w:p w14:paraId="432E066C" w14:textId="77777777" w:rsidR="006D0EE4" w:rsidRPr="00D772D2" w:rsidRDefault="006D0EE4">
      <w:pPr>
        <w:spacing w:after="0" w:line="360" w:lineRule="auto"/>
        <w:rPr>
          <w:b/>
          <w:bCs/>
        </w:rPr>
      </w:pPr>
    </w:p>
    <w:p w14:paraId="57B9270A" w14:textId="77777777" w:rsidR="006D0EE4" w:rsidRPr="00D772D2" w:rsidRDefault="00E363ED">
      <w:pPr>
        <w:spacing w:after="0" w:line="360" w:lineRule="auto"/>
      </w:pPr>
      <w:r w:rsidRPr="00D772D2">
        <w:rPr>
          <w:b/>
          <w:bCs/>
        </w:rPr>
        <w:t xml:space="preserve">PRIMERO. </w:t>
      </w:r>
      <w:r w:rsidRPr="00D772D2">
        <w:t xml:space="preserve">Se </w:t>
      </w:r>
      <w:r w:rsidRPr="00D772D2">
        <w:rPr>
          <w:b/>
          <w:bCs/>
        </w:rPr>
        <w:t>REVOCA</w:t>
      </w:r>
      <w:r w:rsidRPr="00D772D2">
        <w:t xml:space="preserve"> la respuesta entregada por el Ayuntamiento de Ecatepec de Morelos a la solicitud de información </w:t>
      </w:r>
      <w:r w:rsidRPr="00D772D2">
        <w:rPr>
          <w:b/>
          <w:bCs/>
        </w:rPr>
        <w:t>00890/ECATEPEC/IP/2025</w:t>
      </w:r>
      <w:r w:rsidRPr="00D772D2">
        <w:t xml:space="preserve"> por resultar fundadas las razones o motivos de inconformidad hechos valer por la persona Recurrente en el Recurso de Revisión </w:t>
      </w:r>
      <w:r w:rsidRPr="00D772D2">
        <w:rPr>
          <w:b/>
          <w:bCs/>
        </w:rPr>
        <w:t>13326/INFOEM/IP/RR/2025</w:t>
      </w:r>
      <w:r w:rsidRPr="00D772D2">
        <w:t>, en términos de los considerandos QUINTO y SEXTO de la presente Resolución.</w:t>
      </w:r>
    </w:p>
    <w:p w14:paraId="751B813F" w14:textId="77777777" w:rsidR="006D0EE4" w:rsidRPr="00D772D2" w:rsidRDefault="006D0EE4">
      <w:pPr>
        <w:spacing w:after="0" w:line="360" w:lineRule="auto"/>
      </w:pPr>
    </w:p>
    <w:p w14:paraId="3B3A4D31" w14:textId="77777777" w:rsidR="006D0EE4" w:rsidRPr="00D772D2" w:rsidRDefault="00E363ED">
      <w:pPr>
        <w:spacing w:after="0" w:line="360" w:lineRule="auto"/>
      </w:pPr>
      <w:bookmarkStart w:id="32" w:name="_heading=h.argy21qnkmhr" w:colFirst="0" w:colLast="0"/>
      <w:bookmarkEnd w:id="32"/>
      <w:r w:rsidRPr="00D772D2">
        <w:rPr>
          <w:b/>
          <w:bCs/>
        </w:rPr>
        <w:t xml:space="preserve">SEGUNDO. </w:t>
      </w:r>
      <w:r w:rsidRPr="00D772D2">
        <w:t xml:space="preserve">Se </w:t>
      </w:r>
      <w:r w:rsidRPr="00D772D2">
        <w:rPr>
          <w:b/>
          <w:bCs/>
        </w:rPr>
        <w:t>ORDENA</w:t>
      </w:r>
      <w:r w:rsidRPr="00D772D2">
        <w:t xml:space="preserve"> al Sujeto Obligado a efecto de entregue a través del SAIMEX, previa búsqueda exhaustiva y razonable en las unidades administrativas competentes, los documentos que obren en sus archivos, en su caso en versión pública, en los que conste lo siguiente:</w:t>
      </w:r>
    </w:p>
    <w:p w14:paraId="46B01BA7" w14:textId="77777777" w:rsidR="006D0EE4" w:rsidRPr="00D772D2" w:rsidRDefault="006D0EE4">
      <w:pPr>
        <w:spacing w:after="0" w:line="360" w:lineRule="auto"/>
      </w:pPr>
    </w:p>
    <w:p w14:paraId="6D21C11D" w14:textId="149586EB" w:rsidR="006D0EE4" w:rsidRPr="00D772D2" w:rsidRDefault="00E363ED">
      <w:pPr>
        <w:numPr>
          <w:ilvl w:val="0"/>
          <w:numId w:val="7"/>
        </w:numPr>
        <w:pBdr>
          <w:top w:val="nil"/>
          <w:left w:val="nil"/>
          <w:bottom w:val="nil"/>
          <w:right w:val="nil"/>
          <w:between w:val="nil"/>
        </w:pBdr>
        <w:spacing w:after="0" w:line="360" w:lineRule="auto"/>
        <w:ind w:right="142"/>
        <w:rPr>
          <w:color w:val="000000"/>
        </w:rPr>
      </w:pPr>
      <w:r w:rsidRPr="00D772D2">
        <w:rPr>
          <w:color w:val="000000"/>
        </w:rPr>
        <w:t xml:space="preserve">Nombre de las personas que causaron alta y baja </w:t>
      </w:r>
      <w:r w:rsidR="003060BB" w:rsidRPr="00D772D2">
        <w:rPr>
          <w:color w:val="000000"/>
        </w:rPr>
        <w:t>en</w:t>
      </w:r>
      <w:r w:rsidRPr="00D772D2">
        <w:rPr>
          <w:color w:val="000000"/>
        </w:rPr>
        <w:t xml:space="preserve"> la nómina </w:t>
      </w:r>
      <w:r w:rsidR="003060BB" w:rsidRPr="00D772D2">
        <w:rPr>
          <w:color w:val="000000"/>
        </w:rPr>
        <w:t>de</w:t>
      </w:r>
      <w:r w:rsidRPr="00D772D2">
        <w:rPr>
          <w:color w:val="000000"/>
        </w:rPr>
        <w:t xml:space="preserve"> la primera quincena de septiembre </w:t>
      </w:r>
      <w:r w:rsidR="003060BB" w:rsidRPr="00D772D2">
        <w:rPr>
          <w:color w:val="000000"/>
        </w:rPr>
        <w:t>a la segunda de</w:t>
      </w:r>
      <w:r w:rsidRPr="00D772D2">
        <w:rPr>
          <w:color w:val="000000"/>
        </w:rPr>
        <w:t xml:space="preserve"> octubre de 2025.</w:t>
      </w:r>
    </w:p>
    <w:p w14:paraId="42FA6182" w14:textId="77777777" w:rsidR="006D0EE4" w:rsidRPr="00D772D2" w:rsidRDefault="006D0EE4">
      <w:pPr>
        <w:pBdr>
          <w:top w:val="nil"/>
          <w:left w:val="nil"/>
          <w:bottom w:val="nil"/>
          <w:right w:val="nil"/>
          <w:between w:val="nil"/>
        </w:pBdr>
        <w:spacing w:after="0" w:line="360" w:lineRule="auto"/>
        <w:ind w:left="720" w:right="142"/>
        <w:rPr>
          <w:b/>
          <w:bCs/>
          <w:color w:val="000000"/>
        </w:rPr>
      </w:pPr>
    </w:p>
    <w:p w14:paraId="1A7B8854" w14:textId="77777777" w:rsidR="006D0EE4" w:rsidRPr="00D772D2" w:rsidRDefault="00E363ED">
      <w:pPr>
        <w:spacing w:after="0" w:line="360" w:lineRule="auto"/>
        <w:ind w:right="142"/>
      </w:pPr>
      <w:r w:rsidRPr="00D772D2">
        <w:rPr>
          <w:color w:val="000000"/>
        </w:rPr>
        <w:t xml:space="preserve">Para el caso de entregar versiones públicas, se deberá proporcionar el Acuerdo de Clasificación donde el Comité de Transparencia, confirme la eliminación de los datos confidenciales </w:t>
      </w:r>
      <w:r w:rsidRPr="00D772D2">
        <w:t xml:space="preserve">de acuerdo con los artículos 49, fracciones II y VIII, 132, fracción II, 143, fracción I y 149 de la Ley de Transparencia y Acceso a la Información Pública del Estado de México y Municipios. </w:t>
      </w:r>
    </w:p>
    <w:p w14:paraId="1029B8AA" w14:textId="77777777" w:rsidR="006D0EE4" w:rsidRPr="00D772D2" w:rsidRDefault="006D0EE4">
      <w:pPr>
        <w:spacing w:after="0" w:line="360" w:lineRule="auto"/>
        <w:rPr>
          <w:b/>
          <w:bCs/>
        </w:rPr>
      </w:pPr>
    </w:p>
    <w:p w14:paraId="2B9E0370" w14:textId="77777777" w:rsidR="006D0EE4" w:rsidRPr="00D772D2" w:rsidRDefault="00E363ED">
      <w:pPr>
        <w:spacing w:after="0" w:line="360" w:lineRule="auto"/>
      </w:pPr>
      <w:r w:rsidRPr="00D772D2">
        <w:rPr>
          <w:b/>
          <w:bCs/>
        </w:rPr>
        <w:t xml:space="preserve">TERCERO. NOTIFÍQUESE POR SAIMEX </w:t>
      </w:r>
      <w:r w:rsidRPr="00D772D2">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67F6A392" w14:textId="77777777" w:rsidR="006D0EE4" w:rsidRPr="00D772D2" w:rsidRDefault="006D0EE4">
      <w:pPr>
        <w:spacing w:after="0" w:line="360" w:lineRule="auto"/>
      </w:pPr>
    </w:p>
    <w:p w14:paraId="7BEE079B" w14:textId="77777777" w:rsidR="006D0EE4" w:rsidRPr="00D772D2" w:rsidRDefault="00E363ED">
      <w:pPr>
        <w:spacing w:after="0" w:line="360" w:lineRule="auto"/>
      </w:pPr>
      <w:r w:rsidRPr="00D772D2">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6DD87D4" w14:textId="77777777" w:rsidR="006D0EE4" w:rsidRPr="00D772D2" w:rsidRDefault="00E363ED">
      <w:pPr>
        <w:spacing w:after="0" w:line="360" w:lineRule="auto"/>
      </w:pPr>
      <w:r w:rsidRPr="00D772D2">
        <w:rPr>
          <w:b/>
          <w:bCs/>
        </w:rPr>
        <w:lastRenderedPageBreak/>
        <w:t>CUARTO. NOTIFÍQUESE</w:t>
      </w:r>
      <w:r w:rsidRPr="00D772D2">
        <w:t xml:space="preserve"> </w:t>
      </w:r>
      <w:r w:rsidRPr="00D772D2">
        <w:rPr>
          <w:b/>
          <w:bCs/>
        </w:rPr>
        <w:t xml:space="preserve">POR SAIMEX </w:t>
      </w:r>
      <w:r w:rsidRPr="00D772D2">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0BF2745" w14:textId="77777777" w:rsidR="006D0EE4" w:rsidRPr="00D772D2" w:rsidRDefault="006D0EE4">
      <w:pPr>
        <w:spacing w:after="0" w:line="360" w:lineRule="auto"/>
      </w:pPr>
    </w:p>
    <w:p w14:paraId="50525310" w14:textId="0BDCA4A9" w:rsidR="006D0EE4" w:rsidRDefault="00E363ED">
      <w:pPr>
        <w:spacing w:after="0" w:line="360" w:lineRule="auto"/>
      </w:pPr>
      <w:r w:rsidRPr="00D772D2">
        <w:t xml:space="preserve">ASÍ LO RESUELVE, POR </w:t>
      </w:r>
      <w:r w:rsidRPr="00D772D2">
        <w:rPr>
          <w:b/>
          <w:bCs/>
        </w:rPr>
        <w:t>UNANIMIDAD</w:t>
      </w:r>
      <w:r w:rsidRPr="00D772D2">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D772D2">
        <w:t xml:space="preserve"> CON VOTO PARTICULAR</w:t>
      </w:r>
      <w:r w:rsidRPr="00D772D2">
        <w:t xml:space="preserve"> Y GUADALUPE RAMÍREZ PEÑA, EN LA QUINTA SESIÓN ORDINARIA, CELEBRADA EL ONCE DE FEBRERO DE DOS MIL VEINTISÉIS, ANTE EL SECRETARIO TÉCNICO DEL PLENO, ALEXIS TAPIA RAMÍREZ.</w:t>
      </w:r>
    </w:p>
    <w:p w14:paraId="01497438" w14:textId="77777777" w:rsidR="006D0EE4" w:rsidRDefault="006D0EE4">
      <w:pPr>
        <w:pStyle w:val="Ttulo2"/>
        <w:spacing w:before="0" w:after="0"/>
        <w:rPr>
          <w:b w:val="0"/>
          <w:bCs w:val="0"/>
        </w:rPr>
      </w:pPr>
    </w:p>
    <w:p w14:paraId="79FC2EEE" w14:textId="77777777" w:rsidR="006D0EE4" w:rsidRDefault="006D0EE4">
      <w:pPr>
        <w:spacing w:after="0" w:line="360" w:lineRule="auto"/>
      </w:pPr>
    </w:p>
    <w:p w14:paraId="5AA14F34" w14:textId="77777777" w:rsidR="006D0EE4" w:rsidRDefault="006D0EE4">
      <w:pPr>
        <w:spacing w:after="0" w:line="360" w:lineRule="auto"/>
      </w:pPr>
    </w:p>
    <w:p w14:paraId="79687519" w14:textId="77777777" w:rsidR="006D0EE4" w:rsidRDefault="006D0EE4">
      <w:pPr>
        <w:spacing w:after="0" w:line="360" w:lineRule="auto"/>
      </w:pPr>
    </w:p>
    <w:p w14:paraId="37613FE9" w14:textId="77777777" w:rsidR="006D0EE4" w:rsidRDefault="006D0EE4">
      <w:pPr>
        <w:spacing w:after="0" w:line="360" w:lineRule="auto"/>
      </w:pPr>
    </w:p>
    <w:p w14:paraId="28DDA2FD" w14:textId="77777777" w:rsidR="006D0EE4" w:rsidRDefault="006D0EE4">
      <w:pPr>
        <w:spacing w:after="0" w:line="360" w:lineRule="auto"/>
      </w:pPr>
    </w:p>
    <w:p w14:paraId="59C2997A" w14:textId="77777777" w:rsidR="006D0EE4" w:rsidRDefault="006D0EE4">
      <w:pPr>
        <w:spacing w:after="0" w:line="360" w:lineRule="auto"/>
      </w:pPr>
    </w:p>
    <w:p w14:paraId="1986C7CC" w14:textId="77777777" w:rsidR="006D0EE4" w:rsidRDefault="006D0EE4">
      <w:pPr>
        <w:spacing w:after="0" w:line="360" w:lineRule="auto"/>
      </w:pPr>
    </w:p>
    <w:p w14:paraId="62AB94DB" w14:textId="77777777" w:rsidR="006D0EE4" w:rsidRDefault="006D0EE4">
      <w:pPr>
        <w:spacing w:after="0" w:line="360" w:lineRule="auto"/>
      </w:pPr>
    </w:p>
    <w:p w14:paraId="6B7A74CA" w14:textId="77777777" w:rsidR="006D0EE4" w:rsidRDefault="006D0EE4">
      <w:pPr>
        <w:spacing w:after="0" w:line="360" w:lineRule="auto"/>
      </w:pPr>
    </w:p>
    <w:p w14:paraId="53DF646A" w14:textId="77777777" w:rsidR="006D0EE4" w:rsidRDefault="006D0EE4">
      <w:pPr>
        <w:spacing w:after="0" w:line="360" w:lineRule="auto"/>
      </w:pPr>
    </w:p>
    <w:p w14:paraId="3C1C1A3D" w14:textId="77777777" w:rsidR="006D0EE4" w:rsidRDefault="006D0EE4">
      <w:pPr>
        <w:spacing w:after="0" w:line="360" w:lineRule="auto"/>
      </w:pPr>
    </w:p>
    <w:p w14:paraId="1D2766EF" w14:textId="77777777" w:rsidR="006D0EE4" w:rsidRDefault="006D0EE4">
      <w:pPr>
        <w:spacing w:after="0" w:line="360" w:lineRule="auto"/>
      </w:pPr>
    </w:p>
    <w:p w14:paraId="0BA4B153" w14:textId="77777777" w:rsidR="006D0EE4" w:rsidRDefault="006D0EE4">
      <w:pPr>
        <w:spacing w:after="0" w:line="360" w:lineRule="auto"/>
      </w:pPr>
    </w:p>
    <w:p w14:paraId="4833701A" w14:textId="77777777" w:rsidR="006D0EE4" w:rsidRDefault="006D0EE4">
      <w:pPr>
        <w:spacing w:after="0" w:line="360" w:lineRule="auto"/>
      </w:pPr>
    </w:p>
    <w:p w14:paraId="78608310" w14:textId="77777777" w:rsidR="006D0EE4" w:rsidRDefault="006D0EE4">
      <w:pPr>
        <w:spacing w:after="0" w:line="360" w:lineRule="auto"/>
      </w:pPr>
    </w:p>
    <w:p w14:paraId="2990F30D" w14:textId="77777777" w:rsidR="006D0EE4" w:rsidRDefault="006D0EE4">
      <w:pPr>
        <w:spacing w:after="0" w:line="360" w:lineRule="auto"/>
      </w:pPr>
    </w:p>
    <w:p w14:paraId="38C9057A" w14:textId="77777777" w:rsidR="006D0EE4" w:rsidRDefault="006D0EE4">
      <w:pPr>
        <w:spacing w:after="0" w:line="360" w:lineRule="auto"/>
      </w:pPr>
    </w:p>
    <w:p w14:paraId="12E3E54D" w14:textId="77777777" w:rsidR="006D0EE4" w:rsidRDefault="006D0EE4">
      <w:pPr>
        <w:spacing w:after="0" w:line="360" w:lineRule="auto"/>
      </w:pPr>
    </w:p>
    <w:p w14:paraId="4BE0757E" w14:textId="77777777" w:rsidR="006D0EE4" w:rsidRDefault="006D0EE4">
      <w:pPr>
        <w:spacing w:after="0" w:line="360" w:lineRule="auto"/>
      </w:pPr>
    </w:p>
    <w:p w14:paraId="7D08374A" w14:textId="77777777" w:rsidR="006D0EE4" w:rsidRDefault="006D0EE4">
      <w:pPr>
        <w:spacing w:after="0" w:line="360" w:lineRule="auto"/>
      </w:pPr>
    </w:p>
    <w:p w14:paraId="2AA5A37D" w14:textId="77777777" w:rsidR="00516B3A" w:rsidRDefault="00516B3A">
      <w:pPr>
        <w:spacing w:after="0" w:line="360" w:lineRule="auto"/>
      </w:pPr>
    </w:p>
    <w:p w14:paraId="7DBA1C80" w14:textId="77777777" w:rsidR="006D0EE4" w:rsidRDefault="006D0EE4">
      <w:pPr>
        <w:spacing w:after="0" w:line="360" w:lineRule="auto"/>
      </w:pPr>
    </w:p>
    <w:p w14:paraId="67E46497" w14:textId="77777777" w:rsidR="006D0EE4" w:rsidRDefault="006D0EE4">
      <w:pPr>
        <w:spacing w:after="0" w:line="360" w:lineRule="auto"/>
      </w:pPr>
    </w:p>
    <w:p w14:paraId="3FF3EC11" w14:textId="77777777" w:rsidR="006D0EE4" w:rsidRDefault="006D0EE4">
      <w:pPr>
        <w:spacing w:after="0" w:line="360" w:lineRule="auto"/>
      </w:pPr>
    </w:p>
    <w:sectPr w:rsidR="006D0EE4">
      <w:headerReference w:type="even" r:id="rId12"/>
      <w:headerReference w:type="default" r:id="rId13"/>
      <w:footerReference w:type="even" r:id="rId14"/>
      <w:footerReference w:type="default" r:id="rId15"/>
      <w:headerReference w:type="first" r:id="rId16"/>
      <w:footerReference w:type="first" r:id="rId17"/>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D7184B" w14:textId="77777777" w:rsidR="0099015B" w:rsidRDefault="0099015B">
      <w:pPr>
        <w:spacing w:after="0" w:line="240" w:lineRule="auto"/>
      </w:pPr>
      <w:r>
        <w:separator/>
      </w:r>
    </w:p>
  </w:endnote>
  <w:endnote w:type="continuationSeparator" w:id="0">
    <w:p w14:paraId="7BFF6EB9" w14:textId="77777777" w:rsidR="0099015B" w:rsidRDefault="009901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2292BC2-D70C-4339-8551-9673ACE2A212}"/>
    <w:embedBold r:id="rId2" w:fontKey="{ACD6C92A-2B50-42BE-A786-1D69D222ACDD}"/>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3" w:fontKey="{49479630-019F-4577-91EB-8A106C24FE85}"/>
    <w:embedBold r:id="rId4" w:fontKey="{92CD86F5-FA49-4570-85C7-0A98AF7F06D7}"/>
    <w:embedItalic r:id="rId5" w:fontKey="{A5900335-ED33-405D-9995-B7411D95414B}"/>
    <w:embedBoldItalic r:id="rId6" w:fontKey="{0F411054-CA3C-48EC-8F93-619AB51A1264}"/>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A6E2BAEB-97C4-41F5-91D4-F896143D69CE}"/>
  </w:font>
  <w:font w:name="Georgia">
    <w:panose1 w:val="02040502050405020303"/>
    <w:charset w:val="00"/>
    <w:family w:val="roman"/>
    <w:pitch w:val="variable"/>
    <w:sig w:usb0="00000287" w:usb1="00000000" w:usb2="00000000" w:usb3="00000000" w:csb0="0000009F" w:csb1="00000000"/>
    <w:embedItalic r:id="rId8" w:fontKey="{B6905315-0AE6-46AA-AF0F-A957EA6054B4}"/>
  </w:font>
  <w:font w:name="Calibri">
    <w:panose1 w:val="020F0502020204030204"/>
    <w:charset w:val="00"/>
    <w:family w:val="swiss"/>
    <w:pitch w:val="variable"/>
    <w:sig w:usb0="E4002EFF" w:usb1="C000247B" w:usb2="00000009" w:usb3="00000000" w:csb0="000001FF" w:csb1="00000000"/>
    <w:embedRegular r:id="rId9" w:fontKey="{46FEDEF0-0783-4FF3-A1C2-2D1F5AD4EDD6}"/>
  </w:font>
  <w:font w:name="Garamond">
    <w:panose1 w:val="02020404030301010803"/>
    <w:charset w:val="00"/>
    <w:family w:val="roman"/>
    <w:pitch w:val="variable"/>
    <w:sig w:usb0="00000287" w:usb1="00000000" w:usb2="00000000" w:usb3="00000000" w:csb0="0000009F" w:csb1="00000000"/>
    <w:embedRegular r:id="rId10" w:fontKey="{C9264E8F-BD09-43A4-A721-9F2538C397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9E7FC" w14:textId="77777777" w:rsidR="006D0EE4" w:rsidRDefault="00E363E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583531">
      <w:rPr>
        <w:b/>
        <w:bCs/>
        <w:noProof/>
        <w:color w:val="000000"/>
        <w:sz w:val="24"/>
        <w:szCs w:val="24"/>
      </w:rPr>
      <w:t>43</w:t>
    </w:r>
    <w:r>
      <w:rPr>
        <w:b/>
        <w:bCs/>
        <w:color w:val="000000"/>
        <w:sz w:val="24"/>
        <w:szCs w:val="24"/>
      </w:rPr>
      <w:fldChar w:fldCharType="end"/>
    </w:r>
  </w:p>
  <w:p w14:paraId="43E5A994" w14:textId="77777777" w:rsidR="006D0EE4" w:rsidRDefault="006D0EE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9B6E9" w14:textId="77777777" w:rsidR="006D0EE4" w:rsidRDefault="00E363E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583531">
      <w:rPr>
        <w:b/>
        <w:bCs/>
        <w:noProof/>
        <w:color w:val="000000"/>
        <w:sz w:val="24"/>
        <w:szCs w:val="24"/>
      </w:rPr>
      <w:t>43</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583531">
      <w:rPr>
        <w:b/>
        <w:bCs/>
        <w:noProof/>
        <w:color w:val="000000"/>
        <w:sz w:val="24"/>
        <w:szCs w:val="24"/>
      </w:rPr>
      <w:t>43</w:t>
    </w:r>
    <w:r>
      <w:rPr>
        <w:b/>
        <w:bCs/>
        <w:color w:val="000000"/>
        <w:sz w:val="24"/>
        <w:szCs w:val="24"/>
      </w:rPr>
      <w:fldChar w:fldCharType="end"/>
    </w:r>
  </w:p>
  <w:p w14:paraId="1B6ADB25" w14:textId="77777777" w:rsidR="006D0EE4" w:rsidRDefault="006D0EE4">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1DE3F" w14:textId="77777777" w:rsidR="006D0EE4" w:rsidRDefault="00E363ED">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583531">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583531">
      <w:rPr>
        <w:b/>
        <w:bCs/>
        <w:noProof/>
        <w:color w:val="000000"/>
        <w:sz w:val="24"/>
        <w:szCs w:val="24"/>
      </w:rPr>
      <w:t>43</w:t>
    </w:r>
    <w:r>
      <w:rPr>
        <w:b/>
        <w:bCs/>
        <w:color w:val="000000"/>
        <w:sz w:val="24"/>
        <w:szCs w:val="24"/>
      </w:rPr>
      <w:fldChar w:fldCharType="end"/>
    </w:r>
  </w:p>
  <w:p w14:paraId="5287E21D" w14:textId="77777777" w:rsidR="006D0EE4" w:rsidRDefault="006D0EE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8AC93F" w14:textId="77777777" w:rsidR="0099015B" w:rsidRDefault="0099015B">
      <w:pPr>
        <w:spacing w:after="0" w:line="240" w:lineRule="auto"/>
      </w:pPr>
      <w:r>
        <w:separator/>
      </w:r>
    </w:p>
  </w:footnote>
  <w:footnote w:type="continuationSeparator" w:id="0">
    <w:p w14:paraId="4CB47A17" w14:textId="77777777" w:rsidR="0099015B" w:rsidRDefault="009901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53D6F" w14:textId="77777777" w:rsidR="006D0EE4" w:rsidRDefault="006D0EE4">
    <w:pPr>
      <w:widowControl w:val="0"/>
      <w:pBdr>
        <w:top w:val="nil"/>
        <w:left w:val="nil"/>
        <w:bottom w:val="nil"/>
        <w:right w:val="nil"/>
        <w:between w:val="nil"/>
      </w:pBdr>
      <w:spacing w:after="0" w:line="276" w:lineRule="auto"/>
      <w:jc w:val="left"/>
      <w:rPr>
        <w:color w:val="000000"/>
      </w:rPr>
    </w:pPr>
  </w:p>
  <w:tbl>
    <w:tblPr>
      <w:tblStyle w:val="affffff0"/>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6D0EE4" w14:paraId="1584DB1B" w14:textId="77777777">
      <w:trPr>
        <w:trHeight w:val="141"/>
      </w:trPr>
      <w:tc>
        <w:tcPr>
          <w:tcW w:w="2404" w:type="dxa"/>
        </w:tcPr>
        <w:p w14:paraId="4972A65D" w14:textId="77777777" w:rsidR="006D0EE4" w:rsidRDefault="00E363ED">
          <w:pPr>
            <w:tabs>
              <w:tab w:val="right" w:pos="8838"/>
            </w:tabs>
            <w:ind w:right="-105"/>
            <w:rPr>
              <w:b/>
              <w:bCs/>
            </w:rPr>
          </w:pPr>
          <w:r>
            <w:rPr>
              <w:b/>
              <w:bCs/>
            </w:rPr>
            <w:t>Recurso de Revisión:</w:t>
          </w:r>
        </w:p>
      </w:tc>
      <w:tc>
        <w:tcPr>
          <w:tcW w:w="3587" w:type="dxa"/>
        </w:tcPr>
        <w:p w14:paraId="4E650BDC" w14:textId="77777777" w:rsidR="006D0EE4" w:rsidRDefault="00E363ED">
          <w:pPr>
            <w:tabs>
              <w:tab w:val="right" w:pos="8838"/>
            </w:tabs>
            <w:ind w:left="-28" w:right="683"/>
          </w:pPr>
          <w:r>
            <w:t>04196/INFOEM/IP/RR/2020</w:t>
          </w:r>
        </w:p>
      </w:tc>
    </w:tr>
    <w:tr w:rsidR="006D0EE4" w14:paraId="00B9E365" w14:textId="77777777">
      <w:trPr>
        <w:trHeight w:val="276"/>
      </w:trPr>
      <w:tc>
        <w:tcPr>
          <w:tcW w:w="2404" w:type="dxa"/>
        </w:tcPr>
        <w:p w14:paraId="24D648AB" w14:textId="77777777" w:rsidR="006D0EE4" w:rsidRDefault="00E363ED">
          <w:pPr>
            <w:tabs>
              <w:tab w:val="right" w:pos="8838"/>
            </w:tabs>
            <w:ind w:right="-105"/>
            <w:rPr>
              <w:b/>
              <w:bCs/>
            </w:rPr>
          </w:pPr>
          <w:r>
            <w:rPr>
              <w:b/>
              <w:bCs/>
            </w:rPr>
            <w:t>Sujeto Obligado:</w:t>
          </w:r>
        </w:p>
      </w:tc>
      <w:tc>
        <w:tcPr>
          <w:tcW w:w="3587" w:type="dxa"/>
        </w:tcPr>
        <w:p w14:paraId="4BAE81E4" w14:textId="77777777" w:rsidR="006D0EE4" w:rsidRDefault="00E363ED">
          <w:pPr>
            <w:tabs>
              <w:tab w:val="right" w:pos="8838"/>
            </w:tabs>
            <w:ind w:right="116"/>
          </w:pPr>
          <w:r>
            <w:t>Ayuntamiento de Chapultepec</w:t>
          </w:r>
        </w:p>
      </w:tc>
    </w:tr>
    <w:tr w:rsidR="006D0EE4" w14:paraId="61E87C24" w14:textId="77777777">
      <w:trPr>
        <w:trHeight w:val="276"/>
      </w:trPr>
      <w:tc>
        <w:tcPr>
          <w:tcW w:w="2404" w:type="dxa"/>
        </w:tcPr>
        <w:p w14:paraId="76554BD1" w14:textId="77777777" w:rsidR="006D0EE4" w:rsidRDefault="00E363ED">
          <w:pPr>
            <w:tabs>
              <w:tab w:val="right" w:pos="8838"/>
            </w:tabs>
            <w:ind w:right="-105"/>
            <w:rPr>
              <w:b/>
              <w:bCs/>
            </w:rPr>
          </w:pPr>
          <w:r>
            <w:rPr>
              <w:b/>
              <w:bCs/>
            </w:rPr>
            <w:t>Comisionado Ponente:</w:t>
          </w:r>
        </w:p>
      </w:tc>
      <w:tc>
        <w:tcPr>
          <w:tcW w:w="3587" w:type="dxa"/>
        </w:tcPr>
        <w:p w14:paraId="414A7E9F" w14:textId="77777777" w:rsidR="006D0EE4" w:rsidRDefault="00E363ED">
          <w:pPr>
            <w:tabs>
              <w:tab w:val="right" w:pos="8838"/>
            </w:tabs>
            <w:ind w:right="-32"/>
          </w:pPr>
          <w:r>
            <w:t>Luis Gustavo Parra Noriega</w:t>
          </w:r>
        </w:p>
      </w:tc>
    </w:tr>
  </w:tbl>
  <w:p w14:paraId="2EEF5DE0" w14:textId="77777777" w:rsidR="006D0EE4" w:rsidRDefault="0099015B">
    <w:pPr>
      <w:pBdr>
        <w:top w:val="nil"/>
        <w:left w:val="nil"/>
        <w:bottom w:val="nil"/>
        <w:right w:val="nil"/>
        <w:between w:val="nil"/>
      </w:pBdr>
      <w:tabs>
        <w:tab w:val="center" w:pos="4419"/>
        <w:tab w:val="right" w:pos="8838"/>
      </w:tabs>
      <w:spacing w:after="0" w:line="240" w:lineRule="auto"/>
      <w:rPr>
        <w:color w:val="000000"/>
      </w:rPr>
    </w:pPr>
    <w:r>
      <w:rPr>
        <w:color w:val="000000"/>
      </w:rPr>
      <w:pict w14:anchorId="451327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184B9" w14:textId="77777777" w:rsidR="006D0EE4" w:rsidRDefault="006D0EE4">
    <w:pPr>
      <w:rPr>
        <w:sz w:val="16"/>
        <w:szCs w:val="16"/>
      </w:rPr>
    </w:pPr>
  </w:p>
  <w:tbl>
    <w:tblPr>
      <w:tblStyle w:val="affffff1"/>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6D0EE4" w14:paraId="2FB303E5" w14:textId="77777777">
      <w:trPr>
        <w:trHeight w:val="141"/>
      </w:trPr>
      <w:tc>
        <w:tcPr>
          <w:tcW w:w="2409" w:type="dxa"/>
        </w:tcPr>
        <w:p w14:paraId="397D8D7E" w14:textId="77777777" w:rsidR="006D0EE4" w:rsidRDefault="00E363ED">
          <w:pPr>
            <w:tabs>
              <w:tab w:val="right" w:pos="8838"/>
            </w:tabs>
            <w:ind w:left="-395" w:right="-105" w:firstLine="395"/>
            <w:rPr>
              <w:b/>
              <w:bCs/>
            </w:rPr>
          </w:pPr>
          <w:r>
            <w:rPr>
              <w:b/>
              <w:bCs/>
            </w:rPr>
            <w:t>Recurso de Revisión:</w:t>
          </w:r>
        </w:p>
      </w:tc>
      <w:tc>
        <w:tcPr>
          <w:tcW w:w="3686" w:type="dxa"/>
        </w:tcPr>
        <w:p w14:paraId="20A9DDE9" w14:textId="77777777" w:rsidR="006D0EE4" w:rsidRPr="008972B8" w:rsidRDefault="00E363ED">
          <w:pPr>
            <w:tabs>
              <w:tab w:val="right" w:pos="8838"/>
            </w:tabs>
            <w:ind w:right="176"/>
          </w:pPr>
          <w:r w:rsidRPr="008972B8">
            <w:t>13326/INFOEM/IP/RR/2025</w:t>
          </w:r>
        </w:p>
      </w:tc>
    </w:tr>
    <w:tr w:rsidR="006D0EE4" w14:paraId="6E414511" w14:textId="77777777">
      <w:trPr>
        <w:trHeight w:val="266"/>
      </w:trPr>
      <w:tc>
        <w:tcPr>
          <w:tcW w:w="2409" w:type="dxa"/>
        </w:tcPr>
        <w:p w14:paraId="01A93047" w14:textId="77777777" w:rsidR="006D0EE4" w:rsidRDefault="00E363ED">
          <w:pPr>
            <w:tabs>
              <w:tab w:val="right" w:pos="8838"/>
            </w:tabs>
            <w:ind w:right="-105"/>
            <w:rPr>
              <w:b/>
              <w:bCs/>
            </w:rPr>
          </w:pPr>
          <w:r>
            <w:rPr>
              <w:b/>
              <w:bCs/>
            </w:rPr>
            <w:t>Sujeto Obligado:</w:t>
          </w:r>
        </w:p>
      </w:tc>
      <w:tc>
        <w:tcPr>
          <w:tcW w:w="3686" w:type="dxa"/>
        </w:tcPr>
        <w:p w14:paraId="52ADBD3A" w14:textId="77777777" w:rsidR="006D0EE4" w:rsidRDefault="00E363ED">
          <w:pPr>
            <w:tabs>
              <w:tab w:val="left" w:pos="3158"/>
              <w:tab w:val="left" w:pos="4292"/>
              <w:tab w:val="right" w:pos="8838"/>
            </w:tabs>
            <w:ind w:right="176"/>
          </w:pPr>
          <w:r>
            <w:t>Ayuntamiento de Ecatepec de Morelos</w:t>
          </w:r>
        </w:p>
      </w:tc>
    </w:tr>
    <w:tr w:rsidR="006D0EE4" w14:paraId="0F8F0599" w14:textId="77777777">
      <w:trPr>
        <w:trHeight w:val="276"/>
      </w:trPr>
      <w:tc>
        <w:tcPr>
          <w:tcW w:w="2409" w:type="dxa"/>
        </w:tcPr>
        <w:p w14:paraId="5903912A" w14:textId="77777777" w:rsidR="006D0EE4" w:rsidRDefault="00E363ED">
          <w:pPr>
            <w:tabs>
              <w:tab w:val="right" w:pos="8838"/>
            </w:tabs>
            <w:ind w:right="-105"/>
            <w:rPr>
              <w:b/>
              <w:bCs/>
            </w:rPr>
          </w:pPr>
          <w:r>
            <w:rPr>
              <w:b/>
              <w:bCs/>
            </w:rPr>
            <w:t>Comisionado Ponente:</w:t>
          </w:r>
        </w:p>
      </w:tc>
      <w:tc>
        <w:tcPr>
          <w:tcW w:w="3686" w:type="dxa"/>
        </w:tcPr>
        <w:p w14:paraId="78E4D8FD" w14:textId="77777777" w:rsidR="006D0EE4" w:rsidRDefault="00E363ED">
          <w:pPr>
            <w:tabs>
              <w:tab w:val="right" w:pos="8838"/>
            </w:tabs>
            <w:ind w:right="176"/>
          </w:pPr>
          <w:r>
            <w:t>Luis Gustavo Parra Noriega</w:t>
          </w:r>
        </w:p>
        <w:p w14:paraId="7E654EDA" w14:textId="77777777" w:rsidR="006D0EE4" w:rsidRDefault="006D0EE4">
          <w:pPr>
            <w:tabs>
              <w:tab w:val="right" w:pos="8838"/>
            </w:tabs>
            <w:ind w:right="176"/>
          </w:pPr>
        </w:p>
      </w:tc>
    </w:tr>
  </w:tbl>
  <w:p w14:paraId="7CD6708E" w14:textId="77777777" w:rsidR="006D0EE4" w:rsidRDefault="0099015B">
    <w:pPr>
      <w:pBdr>
        <w:top w:val="nil"/>
        <w:left w:val="nil"/>
        <w:bottom w:val="nil"/>
        <w:right w:val="nil"/>
        <w:between w:val="nil"/>
      </w:pBdr>
      <w:tabs>
        <w:tab w:val="center" w:pos="4419"/>
        <w:tab w:val="right" w:pos="8838"/>
      </w:tabs>
      <w:spacing w:after="0" w:line="240" w:lineRule="auto"/>
      <w:rPr>
        <w:color w:val="000000"/>
      </w:rPr>
    </w:pPr>
    <w:r>
      <w:rPr>
        <w:color w:val="000000"/>
      </w:rPr>
      <w:pict w14:anchorId="0AE69F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562F2" w14:textId="77777777" w:rsidR="006D0EE4" w:rsidRDefault="0099015B">
    <w:pPr>
      <w:widowControl w:val="0"/>
      <w:pBdr>
        <w:top w:val="nil"/>
        <w:left w:val="nil"/>
        <w:bottom w:val="nil"/>
        <w:right w:val="nil"/>
        <w:between w:val="nil"/>
      </w:pBdr>
      <w:spacing w:after="0" w:line="276" w:lineRule="auto"/>
      <w:jc w:val="left"/>
      <w:rPr>
        <w:color w:val="000000"/>
      </w:rPr>
    </w:pPr>
    <w:r>
      <w:rPr>
        <w:color w:val="000000"/>
      </w:rPr>
      <w:pict w14:anchorId="4C8572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margin-left:-97.1pt;margin-top:-123.85pt;width:663.5pt;height:12in;z-index:-251658752;mso-position-horizontal:absolute;mso-position-horizontal-relative:margin;mso-position-vertical:absolute;mso-position-vertical-relative:margin">
          <v:imagedata r:id="rId1" o:title="image1"/>
          <w10:wrap anchorx="margin" anchory="margin"/>
        </v:shape>
      </w:pict>
    </w:r>
  </w:p>
  <w:tbl>
    <w:tblPr>
      <w:tblStyle w:val="affffff2"/>
      <w:tblW w:w="9214" w:type="dxa"/>
      <w:tblInd w:w="0" w:type="dxa"/>
      <w:tblLayout w:type="fixed"/>
      <w:tblLook w:val="0400" w:firstRow="0" w:lastRow="0" w:firstColumn="0" w:lastColumn="0" w:noHBand="0" w:noVBand="1"/>
    </w:tblPr>
    <w:tblGrid>
      <w:gridCol w:w="2127"/>
      <w:gridCol w:w="7087"/>
    </w:tblGrid>
    <w:tr w:rsidR="006D0EE4" w14:paraId="28FEABF0" w14:textId="77777777">
      <w:trPr>
        <w:trHeight w:val="1546"/>
      </w:trPr>
      <w:tc>
        <w:tcPr>
          <w:tcW w:w="2127" w:type="dxa"/>
        </w:tcPr>
        <w:p w14:paraId="1931D43B" w14:textId="77777777" w:rsidR="006D0EE4" w:rsidRDefault="006D0EE4">
          <w:pPr>
            <w:tabs>
              <w:tab w:val="right" w:pos="4273"/>
            </w:tabs>
            <w:rPr>
              <w:rFonts w:ascii="Garamond" w:eastAsia="Garamond" w:hAnsi="Garamond" w:cs="Garamond"/>
              <w:sz w:val="16"/>
              <w:szCs w:val="16"/>
            </w:rPr>
          </w:pPr>
        </w:p>
      </w:tc>
      <w:tc>
        <w:tcPr>
          <w:tcW w:w="7087" w:type="dxa"/>
        </w:tcPr>
        <w:p w14:paraId="27A787B8" w14:textId="77777777" w:rsidR="006D0EE4" w:rsidRDefault="006D0EE4">
          <w:pPr>
            <w:rPr>
              <w:sz w:val="10"/>
              <w:szCs w:val="10"/>
            </w:rPr>
          </w:pPr>
        </w:p>
        <w:tbl>
          <w:tblPr>
            <w:tblStyle w:val="affffff3"/>
            <w:tblW w:w="5812" w:type="dxa"/>
            <w:tblInd w:w="1167" w:type="dxa"/>
            <w:tblLayout w:type="fixed"/>
            <w:tblLook w:val="0400" w:firstRow="0" w:lastRow="0" w:firstColumn="0" w:lastColumn="0" w:noHBand="0" w:noVBand="1"/>
          </w:tblPr>
          <w:tblGrid>
            <w:gridCol w:w="2410"/>
            <w:gridCol w:w="3402"/>
          </w:tblGrid>
          <w:tr w:rsidR="006D0EE4" w14:paraId="17EEF680" w14:textId="77777777">
            <w:trPr>
              <w:trHeight w:val="427"/>
            </w:trPr>
            <w:tc>
              <w:tcPr>
                <w:tcW w:w="2410" w:type="dxa"/>
                <w:vAlign w:val="bottom"/>
              </w:tcPr>
              <w:p w14:paraId="610E5EBB" w14:textId="77777777" w:rsidR="006D0EE4" w:rsidRDefault="00E363ED">
                <w:pPr>
                  <w:tabs>
                    <w:tab w:val="right" w:pos="8838"/>
                  </w:tabs>
                  <w:ind w:right="-105"/>
                  <w:rPr>
                    <w:b/>
                    <w:bCs/>
                  </w:rPr>
                </w:pPr>
                <w:r>
                  <w:rPr>
                    <w:b/>
                    <w:bCs/>
                  </w:rPr>
                  <w:t>Recurso de Revisión:</w:t>
                </w:r>
              </w:p>
            </w:tc>
            <w:tc>
              <w:tcPr>
                <w:tcW w:w="3402" w:type="dxa"/>
              </w:tcPr>
              <w:p w14:paraId="7F55114F" w14:textId="77777777" w:rsidR="006D0EE4" w:rsidRDefault="006D0EE4">
                <w:pPr>
                  <w:tabs>
                    <w:tab w:val="right" w:pos="8838"/>
                  </w:tabs>
                  <w:ind w:left="-28" w:right="-107"/>
                  <w:rPr>
                    <w:b/>
                    <w:bCs/>
                  </w:rPr>
                </w:pPr>
              </w:p>
              <w:p w14:paraId="7D85FAAF" w14:textId="77777777" w:rsidR="006D0EE4" w:rsidRPr="008972B8" w:rsidRDefault="00E363ED">
                <w:pPr>
                  <w:tabs>
                    <w:tab w:val="right" w:pos="8838"/>
                  </w:tabs>
                  <w:ind w:left="-28" w:right="-107"/>
                </w:pPr>
                <w:r w:rsidRPr="008972B8">
                  <w:t>13326/INFOEM/IP/RR/2025</w:t>
                </w:r>
              </w:p>
            </w:tc>
          </w:tr>
          <w:tr w:rsidR="006D0EE4" w14:paraId="5DAE5ECA" w14:textId="77777777">
            <w:trPr>
              <w:trHeight w:val="141"/>
            </w:trPr>
            <w:tc>
              <w:tcPr>
                <w:tcW w:w="2410" w:type="dxa"/>
              </w:tcPr>
              <w:p w14:paraId="457347C5" w14:textId="77777777" w:rsidR="006D0EE4" w:rsidRDefault="00E363ED">
                <w:pPr>
                  <w:tabs>
                    <w:tab w:val="right" w:pos="8838"/>
                  </w:tabs>
                  <w:ind w:right="-105"/>
                  <w:rPr>
                    <w:b/>
                    <w:bCs/>
                  </w:rPr>
                </w:pPr>
                <w:r>
                  <w:rPr>
                    <w:b/>
                    <w:bCs/>
                  </w:rPr>
                  <w:t>Recurrente:</w:t>
                </w:r>
              </w:p>
            </w:tc>
            <w:tc>
              <w:tcPr>
                <w:tcW w:w="3402" w:type="dxa"/>
              </w:tcPr>
              <w:p w14:paraId="72951E0A" w14:textId="675A88E7" w:rsidR="006D0EE4" w:rsidRDefault="0089793E">
                <w:pPr>
                  <w:tabs>
                    <w:tab w:val="right" w:pos="8838"/>
                  </w:tabs>
                  <w:ind w:right="-107"/>
                </w:pPr>
                <w:r w:rsidRPr="00F63F47">
                  <w:rPr>
                    <w:highlight w:val="black"/>
                  </w:rPr>
                  <w:t>X</w:t>
                </w:r>
                <w:r w:rsidRPr="00F63F47">
                  <w:rPr>
                    <w:b/>
                    <w:bCs/>
                    <w:highlight w:val="black"/>
                  </w:rPr>
                  <w:t>XXXXXXXXXXXXXXXXXX</w:t>
                </w:r>
              </w:p>
            </w:tc>
          </w:tr>
          <w:tr w:rsidR="006D0EE4" w14:paraId="19C75F9D" w14:textId="77777777">
            <w:trPr>
              <w:trHeight w:val="276"/>
            </w:trPr>
            <w:tc>
              <w:tcPr>
                <w:tcW w:w="2410" w:type="dxa"/>
              </w:tcPr>
              <w:p w14:paraId="057760A6" w14:textId="77777777" w:rsidR="006D0EE4" w:rsidRDefault="00E363ED">
                <w:pPr>
                  <w:tabs>
                    <w:tab w:val="right" w:pos="8838"/>
                  </w:tabs>
                  <w:ind w:right="-105"/>
                  <w:rPr>
                    <w:b/>
                    <w:bCs/>
                  </w:rPr>
                </w:pPr>
                <w:r>
                  <w:rPr>
                    <w:b/>
                    <w:bCs/>
                  </w:rPr>
                  <w:t>Sujeto Obligado:</w:t>
                </w:r>
              </w:p>
            </w:tc>
            <w:tc>
              <w:tcPr>
                <w:tcW w:w="3402" w:type="dxa"/>
              </w:tcPr>
              <w:p w14:paraId="4FC37E0C" w14:textId="77777777" w:rsidR="006D0EE4" w:rsidRDefault="00E363ED">
                <w:pPr>
                  <w:tabs>
                    <w:tab w:val="right" w:pos="8838"/>
                  </w:tabs>
                  <w:ind w:right="33"/>
                </w:pPr>
                <w:r>
                  <w:t>Ayuntamiento de Ecatepec de Morelos</w:t>
                </w:r>
              </w:p>
            </w:tc>
          </w:tr>
          <w:tr w:rsidR="006D0EE4" w14:paraId="0B8E8E89" w14:textId="77777777">
            <w:trPr>
              <w:trHeight w:val="276"/>
            </w:trPr>
            <w:tc>
              <w:tcPr>
                <w:tcW w:w="2410" w:type="dxa"/>
              </w:tcPr>
              <w:p w14:paraId="10ABC7EE" w14:textId="77777777" w:rsidR="006D0EE4" w:rsidRDefault="00E363ED">
                <w:pPr>
                  <w:tabs>
                    <w:tab w:val="right" w:pos="8838"/>
                  </w:tabs>
                  <w:ind w:right="-105"/>
                  <w:rPr>
                    <w:b/>
                    <w:bCs/>
                  </w:rPr>
                </w:pPr>
                <w:r>
                  <w:rPr>
                    <w:b/>
                    <w:bCs/>
                  </w:rPr>
                  <w:t>Comisionado Ponente:</w:t>
                </w:r>
              </w:p>
            </w:tc>
            <w:tc>
              <w:tcPr>
                <w:tcW w:w="3402" w:type="dxa"/>
              </w:tcPr>
              <w:p w14:paraId="2921AA49" w14:textId="77777777" w:rsidR="006D0EE4" w:rsidRDefault="00E363ED">
                <w:pPr>
                  <w:tabs>
                    <w:tab w:val="right" w:pos="8838"/>
                  </w:tabs>
                  <w:ind w:right="-107"/>
                </w:pPr>
                <w:r>
                  <w:t>Luis Gustavo Parra Noriega</w:t>
                </w:r>
              </w:p>
            </w:tc>
          </w:tr>
        </w:tbl>
        <w:p w14:paraId="76FED357" w14:textId="77777777" w:rsidR="006D0EE4" w:rsidRDefault="006D0EE4">
          <w:pPr>
            <w:tabs>
              <w:tab w:val="right" w:pos="8838"/>
            </w:tabs>
            <w:ind w:left="-28"/>
            <w:rPr>
              <w:rFonts w:ascii="Arial" w:eastAsia="Arial" w:hAnsi="Arial" w:cs="Arial"/>
              <w:b/>
              <w:bCs/>
            </w:rPr>
          </w:pPr>
        </w:p>
      </w:tc>
    </w:tr>
  </w:tbl>
  <w:p w14:paraId="4D16EF6D" w14:textId="77777777" w:rsidR="006D0EE4" w:rsidRDefault="006D0EE4">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3109E"/>
    <w:multiLevelType w:val="multilevel"/>
    <w:tmpl w:val="4C221C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0B5C54"/>
    <w:multiLevelType w:val="multilevel"/>
    <w:tmpl w:val="8C5408C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D915A4"/>
    <w:multiLevelType w:val="multilevel"/>
    <w:tmpl w:val="EDBCC2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7CE2820"/>
    <w:multiLevelType w:val="multilevel"/>
    <w:tmpl w:val="37B6ACE2"/>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8611D3E"/>
    <w:multiLevelType w:val="multilevel"/>
    <w:tmpl w:val="F176FADA"/>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 w15:restartNumberingAfterBreak="0">
    <w:nsid w:val="3D5E710B"/>
    <w:multiLevelType w:val="multilevel"/>
    <w:tmpl w:val="EEEC7D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D9F4BD5"/>
    <w:multiLevelType w:val="multilevel"/>
    <w:tmpl w:val="F356D7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42B4C7E"/>
    <w:multiLevelType w:val="multilevel"/>
    <w:tmpl w:val="A2AAE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51515CE"/>
    <w:multiLevelType w:val="multilevel"/>
    <w:tmpl w:val="620CC1D4"/>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A1444D9"/>
    <w:multiLevelType w:val="multilevel"/>
    <w:tmpl w:val="EBA22B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A2D0C7C"/>
    <w:multiLevelType w:val="multilevel"/>
    <w:tmpl w:val="5DBC4D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E8C3011"/>
    <w:multiLevelType w:val="multilevel"/>
    <w:tmpl w:val="8DAEE4C6"/>
    <w:lvl w:ilvl="0">
      <w:start w:val="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3A70B70"/>
    <w:multiLevelType w:val="multilevel"/>
    <w:tmpl w:val="F3A804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A2C3ED6"/>
    <w:multiLevelType w:val="multilevel"/>
    <w:tmpl w:val="C25A9D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E567038"/>
    <w:multiLevelType w:val="multilevel"/>
    <w:tmpl w:val="E5626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F942AC8"/>
    <w:multiLevelType w:val="multilevel"/>
    <w:tmpl w:val="D5862652"/>
    <w:lvl w:ilvl="0">
      <w:start w:val="2"/>
      <w:numFmt w:val="bullet"/>
      <w:lvlText w:val="●"/>
      <w:lvlJc w:val="left"/>
      <w:pPr>
        <w:ind w:left="720" w:hanging="360"/>
      </w:pPr>
      <w:rPr>
        <w:rFonts w:ascii="Noto Sans Symbols" w:eastAsia="Noto Sans Symbols" w:hAnsi="Noto Sans Symbols" w:cs="Noto Sans Symbols"/>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40331457">
    <w:abstractNumId w:val="14"/>
  </w:num>
  <w:num w:numId="2" w16cid:durableId="802386758">
    <w:abstractNumId w:val="4"/>
  </w:num>
  <w:num w:numId="3" w16cid:durableId="1631131672">
    <w:abstractNumId w:val="7"/>
  </w:num>
  <w:num w:numId="4" w16cid:durableId="247081250">
    <w:abstractNumId w:val="12"/>
  </w:num>
  <w:num w:numId="5" w16cid:durableId="1815291066">
    <w:abstractNumId w:val="6"/>
  </w:num>
  <w:num w:numId="6" w16cid:durableId="1158691428">
    <w:abstractNumId w:val="15"/>
  </w:num>
  <w:num w:numId="7" w16cid:durableId="1857113689">
    <w:abstractNumId w:val="9"/>
  </w:num>
  <w:num w:numId="8" w16cid:durableId="1440565517">
    <w:abstractNumId w:val="8"/>
  </w:num>
  <w:num w:numId="9" w16cid:durableId="965084034">
    <w:abstractNumId w:val="1"/>
  </w:num>
  <w:num w:numId="10" w16cid:durableId="1750496898">
    <w:abstractNumId w:val="5"/>
  </w:num>
  <w:num w:numId="11" w16cid:durableId="141165054">
    <w:abstractNumId w:val="11"/>
  </w:num>
  <w:num w:numId="12" w16cid:durableId="1301153703">
    <w:abstractNumId w:val="0"/>
  </w:num>
  <w:num w:numId="13" w16cid:durableId="275211423">
    <w:abstractNumId w:val="2"/>
  </w:num>
  <w:num w:numId="14" w16cid:durableId="1552425438">
    <w:abstractNumId w:val="10"/>
  </w:num>
  <w:num w:numId="15" w16cid:durableId="515971337">
    <w:abstractNumId w:val="13"/>
  </w:num>
  <w:num w:numId="16" w16cid:durableId="138039900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EE4"/>
    <w:rsid w:val="00233D17"/>
    <w:rsid w:val="002B2CDD"/>
    <w:rsid w:val="003060BB"/>
    <w:rsid w:val="00353D99"/>
    <w:rsid w:val="004E4372"/>
    <w:rsid w:val="00516B3A"/>
    <w:rsid w:val="00583531"/>
    <w:rsid w:val="0065379E"/>
    <w:rsid w:val="006D0EE4"/>
    <w:rsid w:val="008972B8"/>
    <w:rsid w:val="0089793E"/>
    <w:rsid w:val="00932703"/>
    <w:rsid w:val="0099015B"/>
    <w:rsid w:val="00CF261A"/>
    <w:rsid w:val="00D772D2"/>
    <w:rsid w:val="00E363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6F9AA9"/>
  <w15:docId w15:val="{934DA5E0-360C-4588-8CF5-E89618644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360" w:lineRule="auto"/>
      <w:jc w:val="center"/>
      <w:outlineLvl w:val="0"/>
    </w:pPr>
    <w:rPr>
      <w:b/>
      <w:bCs/>
      <w:sz w:val="24"/>
      <w:szCs w:val="24"/>
    </w:rPr>
  </w:style>
  <w:style w:type="paragraph" w:styleId="Ttulo2">
    <w:name w:val="heading 2"/>
    <w:basedOn w:val="Normal"/>
    <w:next w:val="Normal"/>
    <w:uiPriority w:val="9"/>
    <w:unhideWhenUsed/>
    <w:qFormat/>
    <w:pPr>
      <w:keepNext/>
      <w:keepLines/>
      <w:spacing w:before="360" w:after="80" w:line="360" w:lineRule="auto"/>
      <w:jc w:val="left"/>
      <w:outlineLvl w:val="1"/>
    </w:pPr>
    <w:rPr>
      <w:b/>
      <w:bCs/>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qFormat/>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table" w:customStyle="1" w:styleId="a">
    <w:basedOn w:val="TableNormalf2"/>
    <w:pPr>
      <w:spacing w:after="0" w:line="240" w:lineRule="auto"/>
    </w:pPr>
    <w:tblPr>
      <w:tblStyleRowBandSize w:val="1"/>
      <w:tblStyleColBandSize w:val="1"/>
      <w:tblCellMar>
        <w:left w:w="108" w:type="dxa"/>
        <w:right w:w="108" w:type="dxa"/>
      </w:tblCellMar>
    </w:tblPr>
  </w:style>
  <w:style w:type="table" w:customStyle="1" w:styleId="a0">
    <w:basedOn w:val="TableNormalf2"/>
    <w:pPr>
      <w:spacing w:after="0" w:line="240" w:lineRule="auto"/>
    </w:pPr>
    <w:tblPr>
      <w:tblStyleRowBandSize w:val="1"/>
      <w:tblStyleColBandSize w:val="1"/>
      <w:tblCellMar>
        <w:left w:w="108" w:type="dxa"/>
        <w:right w:w="108" w:type="dxa"/>
      </w:tblCellMar>
    </w:tblPr>
  </w:style>
  <w:style w:type="table" w:customStyle="1" w:styleId="a1">
    <w:basedOn w:val="TableNormalf2"/>
    <w:tblPr>
      <w:tblStyleRowBandSize w:val="1"/>
      <w:tblStyleColBandSize w:val="1"/>
      <w:tblCellMar>
        <w:left w:w="115" w:type="dxa"/>
        <w:right w:w="115" w:type="dxa"/>
      </w:tblCellMar>
    </w:tblPr>
  </w:style>
  <w:style w:type="table" w:customStyle="1" w:styleId="a2">
    <w:basedOn w:val="TableNormalf2"/>
    <w:pPr>
      <w:spacing w:after="0" w:line="240" w:lineRule="auto"/>
    </w:pPr>
    <w:tblPr>
      <w:tblStyleRowBandSize w:val="1"/>
      <w:tblStyleColBandSize w:val="1"/>
      <w:tblCellMar>
        <w:left w:w="108" w:type="dxa"/>
        <w:right w:w="108" w:type="dxa"/>
      </w:tblCellMar>
    </w:tblPr>
  </w:style>
  <w:style w:type="paragraph" w:styleId="TtuloTDC">
    <w:name w:val="TOC Heading"/>
    <w:next w:val="Normal"/>
    <w:uiPriority w:val="39"/>
    <w:unhideWhenUsed/>
    <w:qFormat/>
    <w:rsid w:val="00A50615"/>
    <w:pPr>
      <w:spacing w:before="240" w:after="0"/>
      <w:jc w:val="left"/>
    </w:pPr>
    <w:rPr>
      <w:rFonts w:asciiTheme="majorHAnsi" w:eastAsiaTheme="majorEastAsia" w:hAnsiTheme="majorHAnsi" w:cstheme="majorBidi"/>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f2"/>
    <w:pPr>
      <w:spacing w:after="0" w:line="240" w:lineRule="auto"/>
    </w:pPr>
    <w:tblPr>
      <w:tblStyleRowBandSize w:val="1"/>
      <w:tblStyleColBandSize w:val="1"/>
      <w:tblCellMar>
        <w:left w:w="108" w:type="dxa"/>
        <w:right w:w="108" w:type="dxa"/>
      </w:tblCellMar>
    </w:tblPr>
  </w:style>
  <w:style w:type="table" w:customStyle="1" w:styleId="a4">
    <w:basedOn w:val="TableNormalf2"/>
    <w:pPr>
      <w:spacing w:after="0" w:line="240" w:lineRule="auto"/>
    </w:pPr>
    <w:tblPr>
      <w:tblStyleRowBandSize w:val="1"/>
      <w:tblStyleColBandSize w:val="1"/>
      <w:tblCellMar>
        <w:left w:w="108" w:type="dxa"/>
        <w:right w:w="108" w:type="dxa"/>
      </w:tblCellMar>
    </w:tblPr>
  </w:style>
  <w:style w:type="table" w:customStyle="1" w:styleId="a5">
    <w:basedOn w:val="TableNormalf2"/>
    <w:pPr>
      <w:spacing w:after="0" w:line="240" w:lineRule="auto"/>
    </w:pPr>
    <w:tblPr>
      <w:tblStyleRowBandSize w:val="1"/>
      <w:tblStyleColBandSize w:val="1"/>
      <w:tblCellMar>
        <w:left w:w="108" w:type="dxa"/>
        <w:right w:w="108" w:type="dxa"/>
      </w:tblCellMar>
    </w:tblPr>
  </w:style>
  <w:style w:type="table" w:customStyle="1" w:styleId="a6">
    <w:basedOn w:val="TableNormalf2"/>
    <w:pPr>
      <w:spacing w:after="0" w:line="240" w:lineRule="auto"/>
    </w:pPr>
    <w:tblPr>
      <w:tblStyleRowBandSize w:val="1"/>
      <w:tblStyleColBandSize w:val="1"/>
      <w:tblCellMar>
        <w:left w:w="108" w:type="dxa"/>
        <w:right w:w="108" w:type="dxa"/>
      </w:tblCellMar>
    </w:tblPr>
  </w:style>
  <w:style w:type="table" w:customStyle="1" w:styleId="a7">
    <w:basedOn w:val="TableNormalf1"/>
    <w:pPr>
      <w:spacing w:after="0" w:line="240" w:lineRule="auto"/>
    </w:pPr>
    <w:tblPr>
      <w:tblStyleRowBandSize w:val="1"/>
      <w:tblStyleColBandSize w:val="1"/>
      <w:tblCellMar>
        <w:left w:w="108" w:type="dxa"/>
        <w:right w:w="108" w:type="dxa"/>
      </w:tblCellMar>
    </w:tblPr>
  </w:style>
  <w:style w:type="table" w:customStyle="1" w:styleId="a8">
    <w:basedOn w:val="TableNormalf1"/>
    <w:pPr>
      <w:spacing w:after="0" w:line="240" w:lineRule="auto"/>
    </w:pPr>
    <w:tblPr>
      <w:tblStyleRowBandSize w:val="1"/>
      <w:tblStyleColBandSize w:val="1"/>
      <w:tblCellMar>
        <w:left w:w="108" w:type="dxa"/>
        <w:right w:w="108" w:type="dxa"/>
      </w:tblCellMar>
    </w:tblPr>
  </w:style>
  <w:style w:type="table" w:customStyle="1" w:styleId="a9">
    <w:basedOn w:val="TableNormalf1"/>
    <w:pPr>
      <w:spacing w:after="0" w:line="240" w:lineRule="auto"/>
    </w:pPr>
    <w:tblPr>
      <w:tblStyleRowBandSize w:val="1"/>
      <w:tblStyleColBandSize w:val="1"/>
      <w:tblCellMar>
        <w:left w:w="108" w:type="dxa"/>
        <w:right w:w="108" w:type="dxa"/>
      </w:tblCellMar>
    </w:tblPr>
  </w:style>
  <w:style w:type="table" w:customStyle="1" w:styleId="aa">
    <w:basedOn w:val="TableNormalf1"/>
    <w:pPr>
      <w:spacing w:after="0" w:line="240" w:lineRule="auto"/>
    </w:pPr>
    <w:tblPr>
      <w:tblStyleRowBandSize w:val="1"/>
      <w:tblStyleColBandSize w:val="1"/>
      <w:tblCellMar>
        <w:left w:w="108" w:type="dxa"/>
        <w:right w:w="108" w:type="dxa"/>
      </w:tblCellMar>
    </w:tblPr>
  </w:style>
  <w:style w:type="table" w:customStyle="1" w:styleId="ab">
    <w:basedOn w:val="TableNormalf0"/>
    <w:pPr>
      <w:spacing w:after="0" w:line="240" w:lineRule="auto"/>
    </w:pPr>
    <w:tblPr>
      <w:tblStyleRowBandSize w:val="1"/>
      <w:tblStyleColBandSize w:val="1"/>
      <w:tblCellMar>
        <w:left w:w="108" w:type="dxa"/>
        <w:right w:w="108" w:type="dxa"/>
      </w:tblCellMar>
    </w:tblPr>
  </w:style>
  <w:style w:type="table" w:customStyle="1" w:styleId="ac">
    <w:basedOn w:val="TableNormalf0"/>
    <w:pPr>
      <w:spacing w:after="0" w:line="240" w:lineRule="auto"/>
    </w:pPr>
    <w:tblPr>
      <w:tblStyleRowBandSize w:val="1"/>
      <w:tblStyleColBandSize w:val="1"/>
      <w:tblCellMar>
        <w:left w:w="108" w:type="dxa"/>
        <w:right w:w="108" w:type="dxa"/>
      </w:tblCellMar>
    </w:tblPr>
  </w:style>
  <w:style w:type="table" w:customStyle="1" w:styleId="ad">
    <w:basedOn w:val="TableNormalf0"/>
    <w:pPr>
      <w:spacing w:after="0" w:line="240" w:lineRule="auto"/>
    </w:pPr>
    <w:tblPr>
      <w:tblStyleRowBandSize w:val="1"/>
      <w:tblStyleColBandSize w:val="1"/>
      <w:tblCellMar>
        <w:left w:w="108" w:type="dxa"/>
        <w:right w:w="108" w:type="dxa"/>
      </w:tblCellMar>
    </w:tblPr>
  </w:style>
  <w:style w:type="table" w:customStyle="1" w:styleId="ae">
    <w:basedOn w:val="TableNormalf0"/>
    <w:pPr>
      <w:spacing w:after="0" w:line="240" w:lineRule="auto"/>
    </w:pPr>
    <w:tblPr>
      <w:tblStyleRowBandSize w:val="1"/>
      <w:tblStyleColBandSize w:val="1"/>
      <w:tblCellMar>
        <w:left w:w="108" w:type="dxa"/>
        <w:right w:w="108" w:type="dxa"/>
      </w:tblCellMar>
    </w:tblPr>
  </w:style>
  <w:style w:type="table" w:customStyle="1" w:styleId="af">
    <w:basedOn w:val="TableNormalf"/>
    <w:pPr>
      <w:spacing w:after="0" w:line="240" w:lineRule="auto"/>
    </w:pPr>
    <w:tblPr>
      <w:tblStyleRowBandSize w:val="1"/>
      <w:tblStyleColBandSize w:val="1"/>
      <w:tblCellMar>
        <w:left w:w="108" w:type="dxa"/>
        <w:right w:w="108" w:type="dxa"/>
      </w:tblCellMar>
    </w:tblPr>
  </w:style>
  <w:style w:type="table" w:customStyle="1" w:styleId="af0">
    <w:basedOn w:val="TableNormalf"/>
    <w:pPr>
      <w:spacing w:after="0" w:line="240" w:lineRule="auto"/>
    </w:pPr>
    <w:tblPr>
      <w:tblStyleRowBandSize w:val="1"/>
      <w:tblStyleColBandSize w:val="1"/>
      <w:tblCellMar>
        <w:left w:w="108" w:type="dxa"/>
        <w:right w:w="108" w:type="dxa"/>
      </w:tblCellMar>
    </w:tblPr>
  </w:style>
  <w:style w:type="table" w:customStyle="1" w:styleId="af1">
    <w:basedOn w:val="TableNormalf"/>
    <w:pPr>
      <w:spacing w:after="0" w:line="240" w:lineRule="auto"/>
    </w:pPr>
    <w:tblPr>
      <w:tblStyleRowBandSize w:val="1"/>
      <w:tblStyleColBandSize w:val="1"/>
      <w:tblCellMar>
        <w:left w:w="108" w:type="dxa"/>
        <w:right w:w="108" w:type="dxa"/>
      </w:tblCellMar>
    </w:tblPr>
  </w:style>
  <w:style w:type="table" w:customStyle="1" w:styleId="af2">
    <w:basedOn w:val="TableNormalf"/>
    <w:pPr>
      <w:spacing w:after="0" w:line="240" w:lineRule="auto"/>
    </w:pPr>
    <w:tblPr>
      <w:tblStyleRowBandSize w:val="1"/>
      <w:tblStyleColBandSize w:val="1"/>
      <w:tblCellMar>
        <w:left w:w="108" w:type="dxa"/>
        <w:right w:w="108" w:type="dxa"/>
      </w:tblCellMar>
    </w:tblPr>
  </w:style>
  <w:style w:type="table" w:customStyle="1" w:styleId="af3">
    <w:basedOn w:val="TableNormale"/>
    <w:pPr>
      <w:spacing w:after="0" w:line="240" w:lineRule="auto"/>
    </w:pPr>
    <w:tblPr>
      <w:tblStyleRowBandSize w:val="1"/>
      <w:tblStyleColBandSize w:val="1"/>
      <w:tblCellMar>
        <w:left w:w="108" w:type="dxa"/>
        <w:right w:w="108" w:type="dxa"/>
      </w:tblCellMar>
    </w:tblPr>
  </w:style>
  <w:style w:type="table" w:customStyle="1" w:styleId="af4">
    <w:basedOn w:val="TableNormale"/>
    <w:pPr>
      <w:spacing w:after="0" w:line="240" w:lineRule="auto"/>
    </w:pPr>
    <w:tblPr>
      <w:tblStyleRowBandSize w:val="1"/>
      <w:tblStyleColBandSize w:val="1"/>
      <w:tblCellMar>
        <w:left w:w="108" w:type="dxa"/>
        <w:right w:w="108" w:type="dxa"/>
      </w:tblCellMar>
    </w:tblPr>
  </w:style>
  <w:style w:type="table" w:customStyle="1" w:styleId="af5">
    <w:basedOn w:val="TableNormale"/>
    <w:pPr>
      <w:spacing w:after="0" w:line="240" w:lineRule="auto"/>
    </w:pPr>
    <w:tblPr>
      <w:tblStyleRowBandSize w:val="1"/>
      <w:tblStyleColBandSize w:val="1"/>
      <w:tblCellMar>
        <w:left w:w="108" w:type="dxa"/>
        <w:right w:w="108" w:type="dxa"/>
      </w:tblCellMar>
    </w:tblPr>
  </w:style>
  <w:style w:type="table" w:customStyle="1" w:styleId="af6">
    <w:basedOn w:val="TableNormale"/>
    <w:pPr>
      <w:spacing w:after="0" w:line="240" w:lineRule="auto"/>
    </w:pPr>
    <w:tblPr>
      <w:tblStyleRowBandSize w:val="1"/>
      <w:tblStyleColBandSize w:val="1"/>
      <w:tblCellMar>
        <w:left w:w="108" w:type="dxa"/>
        <w:right w:w="108" w:type="dxa"/>
      </w:tblCellMar>
    </w:tblPr>
  </w:style>
  <w:style w:type="table" w:customStyle="1" w:styleId="af7">
    <w:basedOn w:val="TableNormald"/>
    <w:pPr>
      <w:spacing w:after="0" w:line="240" w:lineRule="auto"/>
    </w:pPr>
    <w:tblPr>
      <w:tblStyleRowBandSize w:val="1"/>
      <w:tblStyleColBandSize w:val="1"/>
      <w:tblCellMar>
        <w:left w:w="108" w:type="dxa"/>
        <w:right w:w="108" w:type="dxa"/>
      </w:tblCellMar>
    </w:tblPr>
  </w:style>
  <w:style w:type="table" w:customStyle="1" w:styleId="af8">
    <w:basedOn w:val="TableNormald"/>
    <w:pPr>
      <w:spacing w:after="0" w:line="240" w:lineRule="auto"/>
    </w:pPr>
    <w:tblPr>
      <w:tblStyleRowBandSize w:val="1"/>
      <w:tblStyleColBandSize w:val="1"/>
      <w:tblCellMar>
        <w:left w:w="108" w:type="dxa"/>
        <w:right w:w="108" w:type="dxa"/>
      </w:tblCellMar>
    </w:tblPr>
  </w:style>
  <w:style w:type="table" w:customStyle="1" w:styleId="af9">
    <w:basedOn w:val="TableNormald"/>
    <w:pPr>
      <w:spacing w:after="0" w:line="240" w:lineRule="auto"/>
    </w:pPr>
    <w:tblPr>
      <w:tblStyleRowBandSize w:val="1"/>
      <w:tblStyleColBandSize w:val="1"/>
      <w:tblCellMar>
        <w:left w:w="108" w:type="dxa"/>
        <w:right w:w="108" w:type="dxa"/>
      </w:tblCellMar>
    </w:tblPr>
  </w:style>
  <w:style w:type="table" w:customStyle="1" w:styleId="afa">
    <w:basedOn w:val="TableNormald"/>
    <w:pPr>
      <w:spacing w:after="0" w:line="240" w:lineRule="auto"/>
    </w:pPr>
    <w:tblPr>
      <w:tblStyleRowBandSize w:val="1"/>
      <w:tblStyleColBandSize w:val="1"/>
      <w:tblCellMar>
        <w:left w:w="108" w:type="dxa"/>
        <w:right w:w="108" w:type="dxa"/>
      </w:tblCellMar>
    </w:tblPr>
  </w:style>
  <w:style w:type="table" w:customStyle="1" w:styleId="afb">
    <w:basedOn w:val="TableNormalc"/>
    <w:pPr>
      <w:spacing w:after="0" w:line="240" w:lineRule="auto"/>
    </w:pPr>
    <w:tblPr>
      <w:tblStyleRowBandSize w:val="1"/>
      <w:tblStyleColBandSize w:val="1"/>
      <w:tblCellMar>
        <w:left w:w="108" w:type="dxa"/>
        <w:right w:w="108" w:type="dxa"/>
      </w:tblCellMar>
    </w:tblPr>
  </w:style>
  <w:style w:type="table" w:customStyle="1" w:styleId="afc">
    <w:basedOn w:val="TableNormalc"/>
    <w:pPr>
      <w:spacing w:after="0" w:line="240" w:lineRule="auto"/>
    </w:pPr>
    <w:tblPr>
      <w:tblStyleRowBandSize w:val="1"/>
      <w:tblStyleColBandSize w:val="1"/>
      <w:tblCellMar>
        <w:left w:w="108" w:type="dxa"/>
        <w:right w:w="108" w:type="dxa"/>
      </w:tblCellMar>
    </w:tblPr>
  </w:style>
  <w:style w:type="table" w:customStyle="1" w:styleId="afd">
    <w:basedOn w:val="TableNormalc"/>
    <w:pPr>
      <w:spacing w:after="0" w:line="240" w:lineRule="auto"/>
    </w:pPr>
    <w:tblPr>
      <w:tblStyleRowBandSize w:val="1"/>
      <w:tblStyleColBandSize w:val="1"/>
      <w:tblCellMar>
        <w:left w:w="108" w:type="dxa"/>
        <w:right w:w="108" w:type="dxa"/>
      </w:tblCellMar>
    </w:tblPr>
  </w:style>
  <w:style w:type="table" w:customStyle="1" w:styleId="afe">
    <w:basedOn w:val="TableNormalc"/>
    <w:pPr>
      <w:spacing w:after="0" w:line="240" w:lineRule="auto"/>
    </w:pPr>
    <w:tblPr>
      <w:tblStyleRowBandSize w:val="1"/>
      <w:tblStyleColBandSize w:val="1"/>
      <w:tblCellMar>
        <w:left w:w="108" w:type="dxa"/>
        <w:right w:w="108" w:type="dxa"/>
      </w:tblCellMar>
    </w:tblPr>
  </w:style>
  <w:style w:type="table" w:customStyle="1" w:styleId="aff">
    <w:basedOn w:val="TableNormalb"/>
    <w:pPr>
      <w:spacing w:after="0" w:line="240" w:lineRule="auto"/>
    </w:pPr>
    <w:tblPr>
      <w:tblStyleRowBandSize w:val="1"/>
      <w:tblStyleColBandSize w:val="1"/>
      <w:tblCellMar>
        <w:left w:w="108" w:type="dxa"/>
        <w:right w:w="108" w:type="dxa"/>
      </w:tblCellMar>
    </w:tblPr>
  </w:style>
  <w:style w:type="table" w:customStyle="1" w:styleId="aff0">
    <w:basedOn w:val="TableNormalb"/>
    <w:pPr>
      <w:spacing w:after="0" w:line="240" w:lineRule="auto"/>
    </w:pPr>
    <w:tblPr>
      <w:tblStyleRowBandSize w:val="1"/>
      <w:tblStyleColBandSize w:val="1"/>
      <w:tblCellMar>
        <w:left w:w="108" w:type="dxa"/>
        <w:right w:w="108" w:type="dxa"/>
      </w:tblCellMar>
    </w:tblPr>
  </w:style>
  <w:style w:type="table" w:customStyle="1" w:styleId="aff1">
    <w:basedOn w:val="TableNormalb"/>
    <w:pPr>
      <w:spacing w:after="0" w:line="240" w:lineRule="auto"/>
    </w:pPr>
    <w:tblPr>
      <w:tblStyleRowBandSize w:val="1"/>
      <w:tblStyleColBandSize w:val="1"/>
      <w:tblCellMar>
        <w:left w:w="108" w:type="dxa"/>
        <w:right w:w="108" w:type="dxa"/>
      </w:tblCellMar>
    </w:tblPr>
  </w:style>
  <w:style w:type="table" w:customStyle="1" w:styleId="aff2">
    <w:basedOn w:val="TableNormalb"/>
    <w:pPr>
      <w:spacing w:after="0" w:line="240" w:lineRule="auto"/>
    </w:pPr>
    <w:tblPr>
      <w:tblStyleRowBandSize w:val="1"/>
      <w:tblStyleColBandSize w:val="1"/>
      <w:tblCellMar>
        <w:left w:w="108" w:type="dxa"/>
        <w:right w:w="108" w:type="dxa"/>
      </w:tblCellMar>
    </w:tblPr>
  </w:style>
  <w:style w:type="table" w:customStyle="1" w:styleId="aff3">
    <w:basedOn w:val="TableNormala"/>
    <w:pPr>
      <w:spacing w:after="0" w:line="240" w:lineRule="auto"/>
    </w:pPr>
    <w:tblPr>
      <w:tblStyleRowBandSize w:val="1"/>
      <w:tblStyleColBandSize w:val="1"/>
      <w:tblCellMar>
        <w:left w:w="108" w:type="dxa"/>
        <w:right w:w="108" w:type="dxa"/>
      </w:tblCellMar>
    </w:tblPr>
  </w:style>
  <w:style w:type="table" w:customStyle="1" w:styleId="aff4">
    <w:basedOn w:val="TableNormala"/>
    <w:pPr>
      <w:spacing w:after="0" w:line="240" w:lineRule="auto"/>
    </w:pPr>
    <w:tblPr>
      <w:tblStyleRowBandSize w:val="1"/>
      <w:tblStyleColBandSize w:val="1"/>
      <w:tblCellMar>
        <w:left w:w="108" w:type="dxa"/>
        <w:right w:w="108" w:type="dxa"/>
      </w:tblCellMar>
    </w:tblPr>
  </w:style>
  <w:style w:type="table" w:customStyle="1" w:styleId="aff5">
    <w:basedOn w:val="TableNormala"/>
    <w:pPr>
      <w:spacing w:after="0" w:line="240" w:lineRule="auto"/>
    </w:pPr>
    <w:tblPr>
      <w:tblStyleRowBandSize w:val="1"/>
      <w:tblStyleColBandSize w:val="1"/>
      <w:tblCellMar>
        <w:left w:w="108" w:type="dxa"/>
        <w:right w:w="108" w:type="dxa"/>
      </w:tblCellMar>
    </w:tblPr>
  </w:style>
  <w:style w:type="table" w:customStyle="1" w:styleId="aff6">
    <w:basedOn w:val="TableNormala"/>
    <w:pPr>
      <w:spacing w:after="0" w:line="240" w:lineRule="auto"/>
    </w:pPr>
    <w:tblPr>
      <w:tblStyleRowBandSize w:val="1"/>
      <w:tblStyleColBandSize w:val="1"/>
      <w:tblCellMar>
        <w:left w:w="108" w:type="dxa"/>
        <w:right w:w="108" w:type="dxa"/>
      </w:tblCellMar>
    </w:tblPr>
  </w:style>
  <w:style w:type="table" w:customStyle="1" w:styleId="aff7">
    <w:basedOn w:val="TableNormal9"/>
    <w:pPr>
      <w:spacing w:after="0" w:line="240" w:lineRule="auto"/>
    </w:pPr>
    <w:tblPr>
      <w:tblStyleRowBandSize w:val="1"/>
      <w:tblStyleColBandSize w:val="1"/>
      <w:tblCellMar>
        <w:left w:w="108" w:type="dxa"/>
        <w:right w:w="108" w:type="dxa"/>
      </w:tblCellMar>
    </w:tblPr>
  </w:style>
  <w:style w:type="table" w:customStyle="1" w:styleId="aff8">
    <w:basedOn w:val="TableNormal9"/>
    <w:pPr>
      <w:spacing w:after="0" w:line="240" w:lineRule="auto"/>
    </w:pPr>
    <w:tblPr>
      <w:tblStyleRowBandSize w:val="1"/>
      <w:tblStyleColBandSize w:val="1"/>
      <w:tblCellMar>
        <w:left w:w="108" w:type="dxa"/>
        <w:right w:w="108" w:type="dxa"/>
      </w:tblCellMar>
    </w:tblPr>
  </w:style>
  <w:style w:type="table" w:customStyle="1" w:styleId="aff9">
    <w:basedOn w:val="TableNormal9"/>
    <w:pPr>
      <w:spacing w:after="0" w:line="240" w:lineRule="auto"/>
    </w:pPr>
    <w:tblPr>
      <w:tblStyleRowBandSize w:val="1"/>
      <w:tblStyleColBandSize w:val="1"/>
      <w:tblCellMar>
        <w:left w:w="108" w:type="dxa"/>
        <w:right w:w="108" w:type="dxa"/>
      </w:tblCellMar>
    </w:tblPr>
  </w:style>
  <w:style w:type="table" w:customStyle="1" w:styleId="affa">
    <w:basedOn w:val="TableNormal9"/>
    <w:pPr>
      <w:spacing w:after="0" w:line="240" w:lineRule="auto"/>
    </w:pPr>
    <w:tblPr>
      <w:tblStyleRowBandSize w:val="1"/>
      <w:tblStyleColBandSize w:val="1"/>
      <w:tblCellMar>
        <w:left w:w="108" w:type="dxa"/>
        <w:right w:w="108" w:type="dxa"/>
      </w:tblCellMar>
    </w:tblPr>
  </w:style>
  <w:style w:type="table" w:customStyle="1" w:styleId="affb">
    <w:basedOn w:val="TableNormal9"/>
    <w:pPr>
      <w:spacing w:after="0" w:line="240" w:lineRule="auto"/>
    </w:pPr>
    <w:tblPr>
      <w:tblStyleRowBandSize w:val="1"/>
      <w:tblStyleColBandSize w:val="1"/>
      <w:tblCellMar>
        <w:left w:w="108" w:type="dxa"/>
        <w:right w:w="108" w:type="dxa"/>
      </w:tblCellMar>
    </w:tblPr>
  </w:style>
  <w:style w:type="table" w:customStyle="1" w:styleId="affc">
    <w:basedOn w:val="TableNormal9"/>
    <w:pPr>
      <w:spacing w:after="0" w:line="240" w:lineRule="auto"/>
    </w:pPr>
    <w:tblPr>
      <w:tblStyleRowBandSize w:val="1"/>
      <w:tblStyleColBandSize w:val="1"/>
      <w:tblCellMar>
        <w:left w:w="108" w:type="dxa"/>
        <w:right w:w="108" w:type="dxa"/>
      </w:tblCellMar>
    </w:tblPr>
  </w:style>
  <w:style w:type="table" w:customStyle="1" w:styleId="affd">
    <w:basedOn w:val="TableNormal9"/>
    <w:pPr>
      <w:spacing w:after="0" w:line="240" w:lineRule="auto"/>
    </w:pPr>
    <w:tblPr>
      <w:tblStyleRowBandSize w:val="1"/>
      <w:tblStyleColBandSize w:val="1"/>
      <w:tblCellMar>
        <w:left w:w="108" w:type="dxa"/>
        <w:right w:w="108" w:type="dxa"/>
      </w:tblCellMar>
    </w:tblPr>
  </w:style>
  <w:style w:type="table" w:customStyle="1" w:styleId="affe">
    <w:basedOn w:val="TableNormal9"/>
    <w:pPr>
      <w:spacing w:after="0" w:line="240" w:lineRule="auto"/>
    </w:pPr>
    <w:tblPr>
      <w:tblStyleRowBandSize w:val="1"/>
      <w:tblStyleColBandSize w:val="1"/>
      <w:tblCellMar>
        <w:left w:w="108" w:type="dxa"/>
        <w:right w:w="108" w:type="dxa"/>
      </w:tblCellMar>
    </w:tblPr>
  </w:style>
  <w:style w:type="table" w:customStyle="1" w:styleId="afff">
    <w:basedOn w:val="TableNormal9"/>
    <w:pPr>
      <w:spacing w:after="0" w:line="240" w:lineRule="auto"/>
    </w:pPr>
    <w:tblPr>
      <w:tblStyleRowBandSize w:val="1"/>
      <w:tblStyleColBandSize w:val="1"/>
      <w:tblCellMar>
        <w:left w:w="108" w:type="dxa"/>
        <w:right w:w="108" w:type="dxa"/>
      </w:tblCellMar>
    </w:tblPr>
  </w:style>
  <w:style w:type="table" w:customStyle="1" w:styleId="afff0">
    <w:basedOn w:val="TableNormal9"/>
    <w:pPr>
      <w:spacing w:after="0" w:line="240" w:lineRule="auto"/>
    </w:pPr>
    <w:tblPr>
      <w:tblStyleRowBandSize w:val="1"/>
      <w:tblStyleColBandSize w:val="1"/>
      <w:tblCellMar>
        <w:left w:w="108" w:type="dxa"/>
        <w:right w:w="108" w:type="dxa"/>
      </w:tblCellMar>
    </w:tblPr>
  </w:style>
  <w:style w:type="table" w:customStyle="1" w:styleId="afff1">
    <w:basedOn w:val="TableNormal9"/>
    <w:pPr>
      <w:spacing w:after="0" w:line="240" w:lineRule="auto"/>
    </w:pPr>
    <w:tblPr>
      <w:tblStyleRowBandSize w:val="1"/>
      <w:tblStyleColBandSize w:val="1"/>
      <w:tblCellMar>
        <w:left w:w="108" w:type="dxa"/>
        <w:right w:w="108" w:type="dxa"/>
      </w:tblCellMar>
    </w:tblPr>
  </w:style>
  <w:style w:type="table" w:customStyle="1" w:styleId="afff2">
    <w:basedOn w:val="TableNormal9"/>
    <w:pPr>
      <w:spacing w:after="0" w:line="240" w:lineRule="auto"/>
    </w:pPr>
    <w:tblPr>
      <w:tblStyleRowBandSize w:val="1"/>
      <w:tblStyleColBandSize w:val="1"/>
      <w:tblCellMar>
        <w:left w:w="108" w:type="dxa"/>
        <w:right w:w="108" w:type="dxa"/>
      </w:tblCellMar>
    </w:tblPr>
  </w:style>
  <w:style w:type="table" w:customStyle="1" w:styleId="afff3">
    <w:basedOn w:val="TableNormal9"/>
    <w:pPr>
      <w:spacing w:after="0" w:line="240" w:lineRule="auto"/>
    </w:pPr>
    <w:tblPr>
      <w:tblStyleRowBandSize w:val="1"/>
      <w:tblStyleColBandSize w:val="1"/>
      <w:tblCellMar>
        <w:left w:w="108" w:type="dxa"/>
        <w:right w:w="108" w:type="dxa"/>
      </w:tblCellMar>
    </w:tblPr>
  </w:style>
  <w:style w:type="table" w:customStyle="1" w:styleId="afff4">
    <w:basedOn w:val="TableNormal9"/>
    <w:pPr>
      <w:spacing w:after="0" w:line="240" w:lineRule="auto"/>
    </w:pPr>
    <w:tblPr>
      <w:tblStyleRowBandSize w:val="1"/>
      <w:tblStyleColBandSize w:val="1"/>
      <w:tblCellMar>
        <w:left w:w="108" w:type="dxa"/>
        <w:right w:w="108" w:type="dxa"/>
      </w:tblCellMar>
    </w:tblPr>
  </w:style>
  <w:style w:type="table" w:customStyle="1" w:styleId="afff5">
    <w:basedOn w:val="TableNormal9"/>
    <w:pPr>
      <w:spacing w:after="0" w:line="240" w:lineRule="auto"/>
    </w:pPr>
    <w:tblPr>
      <w:tblStyleRowBandSize w:val="1"/>
      <w:tblStyleColBandSize w:val="1"/>
      <w:tblCellMar>
        <w:left w:w="108" w:type="dxa"/>
        <w:right w:w="108" w:type="dxa"/>
      </w:tblCellMar>
    </w:tblPr>
  </w:style>
  <w:style w:type="table" w:customStyle="1" w:styleId="afff6">
    <w:basedOn w:val="TableNormal9"/>
    <w:pPr>
      <w:spacing w:after="0" w:line="240" w:lineRule="auto"/>
    </w:pPr>
    <w:tblPr>
      <w:tblStyleRowBandSize w:val="1"/>
      <w:tblStyleColBandSize w:val="1"/>
      <w:tblCellMar>
        <w:left w:w="108" w:type="dxa"/>
        <w:right w:w="108" w:type="dxa"/>
      </w:tblCellMar>
    </w:tblPr>
  </w:style>
  <w:style w:type="table" w:customStyle="1" w:styleId="afff7">
    <w:basedOn w:val="TableNormal9"/>
    <w:pPr>
      <w:spacing w:after="0" w:line="240" w:lineRule="auto"/>
    </w:pPr>
    <w:tblPr>
      <w:tblStyleRowBandSize w:val="1"/>
      <w:tblStyleColBandSize w:val="1"/>
      <w:tblCellMar>
        <w:left w:w="108" w:type="dxa"/>
        <w:right w:w="108" w:type="dxa"/>
      </w:tblCellMar>
    </w:tblPr>
  </w:style>
  <w:style w:type="table" w:customStyle="1" w:styleId="afff8">
    <w:basedOn w:val="TableNormal9"/>
    <w:pPr>
      <w:spacing w:after="0" w:line="240" w:lineRule="auto"/>
    </w:pPr>
    <w:tblPr>
      <w:tblStyleRowBandSize w:val="1"/>
      <w:tblStyleColBandSize w:val="1"/>
      <w:tblCellMar>
        <w:left w:w="108" w:type="dxa"/>
        <w:right w:w="108" w:type="dxa"/>
      </w:tblCellMar>
    </w:tblPr>
  </w:style>
  <w:style w:type="table" w:customStyle="1" w:styleId="afff9">
    <w:basedOn w:val="TableNormal9"/>
    <w:pPr>
      <w:spacing w:after="0" w:line="240" w:lineRule="auto"/>
    </w:pPr>
    <w:tblPr>
      <w:tblStyleRowBandSize w:val="1"/>
      <w:tblStyleColBandSize w:val="1"/>
      <w:tblCellMar>
        <w:left w:w="108" w:type="dxa"/>
        <w:right w:w="108" w:type="dxa"/>
      </w:tblCellMar>
    </w:tblPr>
  </w:style>
  <w:style w:type="table" w:customStyle="1" w:styleId="afffa">
    <w:basedOn w:val="TableNormal9"/>
    <w:pPr>
      <w:spacing w:after="0" w:line="240" w:lineRule="auto"/>
    </w:pPr>
    <w:tblPr>
      <w:tblStyleRowBandSize w:val="1"/>
      <w:tblStyleColBandSize w:val="1"/>
      <w:tblCellMar>
        <w:left w:w="108" w:type="dxa"/>
        <w:right w:w="108" w:type="dxa"/>
      </w:tblCellMar>
    </w:tblPr>
  </w:style>
  <w:style w:type="table" w:customStyle="1" w:styleId="afffb">
    <w:basedOn w:val="TableNormal9"/>
    <w:pPr>
      <w:spacing w:after="0" w:line="240" w:lineRule="auto"/>
    </w:pPr>
    <w:tblPr>
      <w:tblStyleRowBandSize w:val="1"/>
      <w:tblStyleColBandSize w:val="1"/>
      <w:tblCellMar>
        <w:left w:w="108" w:type="dxa"/>
        <w:right w:w="108" w:type="dxa"/>
      </w:tblCellMar>
    </w:tblPr>
  </w:style>
  <w:style w:type="table" w:customStyle="1" w:styleId="afffc">
    <w:basedOn w:val="TableNormal9"/>
    <w:pPr>
      <w:spacing w:after="0" w:line="240" w:lineRule="auto"/>
    </w:pPr>
    <w:tblPr>
      <w:tblStyleRowBandSize w:val="1"/>
      <w:tblStyleColBandSize w:val="1"/>
      <w:tblCellMar>
        <w:left w:w="108" w:type="dxa"/>
        <w:right w:w="108" w:type="dxa"/>
      </w:tblCellMar>
    </w:tblPr>
  </w:style>
  <w:style w:type="table" w:customStyle="1" w:styleId="afffd">
    <w:basedOn w:val="TableNormal8"/>
    <w:pPr>
      <w:spacing w:after="0" w:line="240" w:lineRule="auto"/>
    </w:pPr>
    <w:tblPr>
      <w:tblStyleRowBandSize w:val="1"/>
      <w:tblStyleColBandSize w:val="1"/>
      <w:tblCellMar>
        <w:left w:w="108" w:type="dxa"/>
        <w:right w:w="108" w:type="dxa"/>
      </w:tblCellMar>
    </w:tblPr>
  </w:style>
  <w:style w:type="table" w:customStyle="1" w:styleId="afffe">
    <w:basedOn w:val="TableNormal8"/>
    <w:pPr>
      <w:spacing w:after="0" w:line="240" w:lineRule="auto"/>
    </w:pPr>
    <w:tblPr>
      <w:tblStyleRowBandSize w:val="1"/>
      <w:tblStyleColBandSize w:val="1"/>
      <w:tblCellMar>
        <w:left w:w="108" w:type="dxa"/>
        <w:right w:w="108" w:type="dxa"/>
      </w:tblCellMar>
    </w:tblPr>
  </w:style>
  <w:style w:type="table" w:customStyle="1" w:styleId="affff">
    <w:basedOn w:val="TableNormal8"/>
    <w:pPr>
      <w:spacing w:after="0" w:line="240" w:lineRule="auto"/>
    </w:pPr>
    <w:tblPr>
      <w:tblStyleRowBandSize w:val="1"/>
      <w:tblStyleColBandSize w:val="1"/>
      <w:tblCellMar>
        <w:left w:w="108" w:type="dxa"/>
        <w:right w:w="108" w:type="dxa"/>
      </w:tblCellMar>
    </w:tblPr>
  </w:style>
  <w:style w:type="table" w:customStyle="1" w:styleId="affff0">
    <w:basedOn w:val="TableNormal8"/>
    <w:pPr>
      <w:spacing w:after="0" w:line="240" w:lineRule="auto"/>
    </w:pPr>
    <w:tblPr>
      <w:tblStyleRowBandSize w:val="1"/>
      <w:tblStyleColBandSize w:val="1"/>
      <w:tblCellMar>
        <w:left w:w="108" w:type="dxa"/>
        <w:right w:w="108" w:type="dxa"/>
      </w:tblCellMar>
    </w:tblPr>
  </w:style>
  <w:style w:type="table" w:customStyle="1" w:styleId="affff1">
    <w:basedOn w:val="TableNormal8"/>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semiHidden/>
    <w:unhideWhenUsed/>
    <w:rsid w:val="001C2C58"/>
    <w:rPr>
      <w:color w:val="605E5C"/>
      <w:shd w:val="clear" w:color="auto" w:fill="E1DFDD"/>
    </w:rPr>
  </w:style>
  <w:style w:type="table" w:customStyle="1" w:styleId="affff2">
    <w:basedOn w:val="TableNormal7"/>
    <w:pPr>
      <w:spacing w:after="0" w:line="240" w:lineRule="auto"/>
    </w:pPr>
    <w:tblPr>
      <w:tblStyleRowBandSize w:val="1"/>
      <w:tblStyleColBandSize w:val="1"/>
      <w:tblCellMar>
        <w:left w:w="108" w:type="dxa"/>
        <w:right w:w="108" w:type="dxa"/>
      </w:tblCellMar>
    </w:tblPr>
  </w:style>
  <w:style w:type="table" w:customStyle="1" w:styleId="affff3">
    <w:basedOn w:val="TableNormal7"/>
    <w:pPr>
      <w:spacing w:after="0" w:line="240" w:lineRule="auto"/>
    </w:pPr>
    <w:tblPr>
      <w:tblStyleRowBandSize w:val="1"/>
      <w:tblStyleColBandSize w:val="1"/>
      <w:tblCellMar>
        <w:left w:w="108" w:type="dxa"/>
        <w:right w:w="108" w:type="dxa"/>
      </w:tblCellMar>
    </w:tblPr>
  </w:style>
  <w:style w:type="table" w:customStyle="1" w:styleId="affff4">
    <w:basedOn w:val="TableNormal7"/>
    <w:pPr>
      <w:spacing w:after="0" w:line="240" w:lineRule="auto"/>
    </w:pPr>
    <w:tblPr>
      <w:tblStyleRowBandSize w:val="1"/>
      <w:tblStyleColBandSize w:val="1"/>
      <w:tblCellMar>
        <w:left w:w="108" w:type="dxa"/>
        <w:right w:w="108" w:type="dxa"/>
      </w:tblCellMar>
    </w:tblPr>
  </w:style>
  <w:style w:type="table" w:customStyle="1" w:styleId="affff5">
    <w:basedOn w:val="TableNormal7"/>
    <w:pPr>
      <w:spacing w:after="0" w:line="240" w:lineRule="auto"/>
    </w:pPr>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58145F"/>
    <w:rPr>
      <w:color w:val="605E5C"/>
      <w:shd w:val="clear" w:color="auto" w:fill="E1DFDD"/>
    </w:rPr>
  </w:style>
  <w:style w:type="table" w:customStyle="1" w:styleId="affff6">
    <w:basedOn w:val="TableNormal6"/>
    <w:pPr>
      <w:spacing w:after="0" w:line="240" w:lineRule="auto"/>
    </w:pPr>
    <w:tblPr>
      <w:tblStyleRowBandSize w:val="1"/>
      <w:tblStyleColBandSize w:val="1"/>
      <w:tblCellMar>
        <w:left w:w="108" w:type="dxa"/>
        <w:right w:w="108" w:type="dxa"/>
      </w:tblCellMar>
    </w:tblPr>
  </w:style>
  <w:style w:type="table" w:customStyle="1" w:styleId="affff7">
    <w:basedOn w:val="TableNormal6"/>
    <w:pPr>
      <w:spacing w:after="0" w:line="240" w:lineRule="auto"/>
    </w:pPr>
    <w:tblPr>
      <w:tblStyleRowBandSize w:val="1"/>
      <w:tblStyleColBandSize w:val="1"/>
      <w:tblCellMar>
        <w:left w:w="108" w:type="dxa"/>
        <w:right w:w="108" w:type="dxa"/>
      </w:tblCellMar>
    </w:tblPr>
  </w:style>
  <w:style w:type="table" w:customStyle="1" w:styleId="affff8">
    <w:basedOn w:val="TableNormal6"/>
    <w:pPr>
      <w:spacing w:after="0" w:line="240" w:lineRule="auto"/>
    </w:pPr>
    <w:tblPr>
      <w:tblStyleRowBandSize w:val="1"/>
      <w:tblStyleColBandSize w:val="1"/>
      <w:tblCellMar>
        <w:left w:w="108" w:type="dxa"/>
        <w:right w:w="108" w:type="dxa"/>
      </w:tblCellMar>
    </w:tblPr>
  </w:style>
  <w:style w:type="table" w:customStyle="1" w:styleId="affff9">
    <w:basedOn w:val="TableNormal6"/>
    <w:pPr>
      <w:spacing w:after="0" w:line="240" w:lineRule="auto"/>
    </w:pPr>
    <w:tblPr>
      <w:tblStyleRowBandSize w:val="1"/>
      <w:tblStyleColBandSize w:val="1"/>
      <w:tblCellMar>
        <w:left w:w="108" w:type="dxa"/>
        <w:right w:w="108" w:type="dxa"/>
      </w:tblCellMar>
    </w:tblPr>
  </w:style>
  <w:style w:type="table" w:customStyle="1" w:styleId="affffa">
    <w:basedOn w:val="TableNormal6"/>
    <w:pPr>
      <w:spacing w:after="0" w:line="240" w:lineRule="auto"/>
    </w:pPr>
    <w:tblPr>
      <w:tblStyleRowBandSize w:val="1"/>
      <w:tblStyleColBandSize w:val="1"/>
      <w:tblCellMar>
        <w:left w:w="108" w:type="dxa"/>
        <w:right w:w="108" w:type="dxa"/>
      </w:tblCellMar>
    </w:tblPr>
  </w:style>
  <w:style w:type="character" w:customStyle="1" w:styleId="Mencinsinresolver6">
    <w:name w:val="Mención sin resolver6"/>
    <w:basedOn w:val="Fuentedeprrafopredeter"/>
    <w:uiPriority w:val="99"/>
    <w:semiHidden/>
    <w:unhideWhenUsed/>
    <w:rsid w:val="00745900"/>
    <w:rPr>
      <w:color w:val="605E5C"/>
      <w:shd w:val="clear" w:color="auto" w:fill="E1DFDD"/>
    </w:rPr>
  </w:style>
  <w:style w:type="table" w:customStyle="1" w:styleId="affffb">
    <w:basedOn w:val="TableNormal5"/>
    <w:pPr>
      <w:spacing w:after="0" w:line="240" w:lineRule="auto"/>
    </w:pPr>
    <w:tblPr>
      <w:tblStyleRowBandSize w:val="1"/>
      <w:tblStyleColBandSize w:val="1"/>
      <w:tblCellMar>
        <w:left w:w="108" w:type="dxa"/>
        <w:right w:w="108" w:type="dxa"/>
      </w:tblCellMar>
    </w:tblPr>
  </w:style>
  <w:style w:type="table" w:customStyle="1" w:styleId="affffc">
    <w:basedOn w:val="TableNormal5"/>
    <w:pPr>
      <w:spacing w:after="0" w:line="240" w:lineRule="auto"/>
    </w:pPr>
    <w:tblPr>
      <w:tblStyleRowBandSize w:val="1"/>
      <w:tblStyleColBandSize w:val="1"/>
      <w:tblCellMar>
        <w:left w:w="108" w:type="dxa"/>
        <w:right w:w="108" w:type="dxa"/>
      </w:tblCellMar>
    </w:tblPr>
  </w:style>
  <w:style w:type="table" w:customStyle="1" w:styleId="affffd">
    <w:basedOn w:val="TableNormal5"/>
    <w:pPr>
      <w:spacing w:after="0" w:line="240" w:lineRule="auto"/>
    </w:pPr>
    <w:tblPr>
      <w:tblStyleRowBandSize w:val="1"/>
      <w:tblStyleColBandSize w:val="1"/>
      <w:tblCellMar>
        <w:left w:w="108" w:type="dxa"/>
        <w:right w:w="108" w:type="dxa"/>
      </w:tblCellMar>
    </w:tblPr>
  </w:style>
  <w:style w:type="table" w:customStyle="1" w:styleId="affffe">
    <w:basedOn w:val="TableNormal5"/>
    <w:pPr>
      <w:spacing w:after="0" w:line="240" w:lineRule="auto"/>
    </w:pPr>
    <w:tblPr>
      <w:tblStyleRowBandSize w:val="1"/>
      <w:tblStyleColBandSize w:val="1"/>
      <w:tblCellMar>
        <w:left w:w="108" w:type="dxa"/>
        <w:right w:w="108" w:type="dxa"/>
      </w:tblCellMar>
    </w:tblPr>
  </w:style>
  <w:style w:type="table" w:customStyle="1" w:styleId="afffff">
    <w:basedOn w:val="TableNormal4"/>
    <w:pPr>
      <w:spacing w:after="0" w:line="240" w:lineRule="auto"/>
    </w:pPr>
    <w:tblPr>
      <w:tblStyleRowBandSize w:val="1"/>
      <w:tblStyleColBandSize w:val="1"/>
      <w:tblCellMar>
        <w:left w:w="108" w:type="dxa"/>
        <w:right w:w="108" w:type="dxa"/>
      </w:tblCellMar>
    </w:tblPr>
  </w:style>
  <w:style w:type="table" w:customStyle="1" w:styleId="afffff0">
    <w:basedOn w:val="TableNormal4"/>
    <w:pPr>
      <w:spacing w:after="0" w:line="240" w:lineRule="auto"/>
    </w:pPr>
    <w:tblPr>
      <w:tblStyleRowBandSize w:val="1"/>
      <w:tblStyleColBandSize w:val="1"/>
      <w:tblCellMar>
        <w:left w:w="108" w:type="dxa"/>
        <w:right w:w="108" w:type="dxa"/>
      </w:tblCellMar>
    </w:tblPr>
  </w:style>
  <w:style w:type="table" w:customStyle="1" w:styleId="afffff1">
    <w:basedOn w:val="TableNormal4"/>
    <w:pPr>
      <w:spacing w:after="0" w:line="240" w:lineRule="auto"/>
    </w:pPr>
    <w:tblPr>
      <w:tblStyleRowBandSize w:val="1"/>
      <w:tblStyleColBandSize w:val="1"/>
      <w:tblCellMar>
        <w:left w:w="108" w:type="dxa"/>
        <w:right w:w="108" w:type="dxa"/>
      </w:tblCellMar>
    </w:tblPr>
  </w:style>
  <w:style w:type="table" w:customStyle="1" w:styleId="afffff2">
    <w:basedOn w:val="TableNormal4"/>
    <w:pPr>
      <w:spacing w:after="0" w:line="240" w:lineRule="auto"/>
    </w:pPr>
    <w:tblPr>
      <w:tblStyleRowBandSize w:val="1"/>
      <w:tblStyleColBandSize w:val="1"/>
      <w:tblCellMar>
        <w:left w:w="108" w:type="dxa"/>
        <w:right w:w="108" w:type="dxa"/>
      </w:tblCellMar>
    </w:tblPr>
  </w:style>
  <w:style w:type="table" w:customStyle="1" w:styleId="afffff3">
    <w:basedOn w:val="TableNormal4"/>
    <w:pPr>
      <w:spacing w:after="0" w:line="240" w:lineRule="auto"/>
    </w:pPr>
    <w:tblPr>
      <w:tblStyleRowBandSize w:val="1"/>
      <w:tblStyleColBandSize w:val="1"/>
      <w:tblCellMar>
        <w:left w:w="108" w:type="dxa"/>
        <w:right w:w="108" w:type="dxa"/>
      </w:tblCellMar>
    </w:tblPr>
  </w:style>
  <w:style w:type="table" w:customStyle="1" w:styleId="afffff4">
    <w:basedOn w:val="TableNormal3"/>
    <w:pPr>
      <w:spacing w:after="0" w:line="240" w:lineRule="auto"/>
    </w:pPr>
    <w:tblPr>
      <w:tblStyleRowBandSize w:val="1"/>
      <w:tblStyleColBandSize w:val="1"/>
      <w:tblCellMar>
        <w:left w:w="108" w:type="dxa"/>
        <w:right w:w="108" w:type="dxa"/>
      </w:tblCellMar>
    </w:tblPr>
  </w:style>
  <w:style w:type="table" w:customStyle="1" w:styleId="afffff5">
    <w:basedOn w:val="TableNormal3"/>
    <w:pPr>
      <w:spacing w:after="0" w:line="240" w:lineRule="auto"/>
    </w:pPr>
    <w:tblPr>
      <w:tblStyleRowBandSize w:val="1"/>
      <w:tblStyleColBandSize w:val="1"/>
      <w:tblCellMar>
        <w:left w:w="108" w:type="dxa"/>
        <w:right w:w="108" w:type="dxa"/>
      </w:tblCellMar>
    </w:tblPr>
  </w:style>
  <w:style w:type="table" w:customStyle="1" w:styleId="afffff6">
    <w:basedOn w:val="TableNormal3"/>
    <w:pPr>
      <w:spacing w:after="0" w:line="240" w:lineRule="auto"/>
    </w:pPr>
    <w:tblPr>
      <w:tblStyleRowBandSize w:val="1"/>
      <w:tblStyleColBandSize w:val="1"/>
      <w:tblCellMar>
        <w:left w:w="108" w:type="dxa"/>
        <w:right w:w="108" w:type="dxa"/>
      </w:tblCellMar>
    </w:tblPr>
  </w:style>
  <w:style w:type="table" w:customStyle="1" w:styleId="afffff7">
    <w:basedOn w:val="TableNormal3"/>
    <w:pPr>
      <w:spacing w:after="0" w:line="240" w:lineRule="auto"/>
    </w:pPr>
    <w:tblPr>
      <w:tblStyleRowBandSize w:val="1"/>
      <w:tblStyleColBandSize w:val="1"/>
      <w:tblCellMar>
        <w:left w:w="108" w:type="dxa"/>
        <w:right w:w="108" w:type="dxa"/>
      </w:tblCellMar>
    </w:tblPr>
  </w:style>
  <w:style w:type="character" w:customStyle="1" w:styleId="Mencinsinresolver7">
    <w:name w:val="Mención sin resolver7"/>
    <w:basedOn w:val="Fuentedeprrafopredeter"/>
    <w:uiPriority w:val="99"/>
    <w:semiHidden/>
    <w:unhideWhenUsed/>
    <w:rsid w:val="00D82F25"/>
    <w:rPr>
      <w:color w:val="605E5C"/>
      <w:shd w:val="clear" w:color="auto" w:fill="E1DFDD"/>
    </w:rPr>
  </w:style>
  <w:style w:type="character" w:customStyle="1" w:styleId="Mencinsinresolver8">
    <w:name w:val="Mención sin resolver8"/>
    <w:basedOn w:val="Fuentedeprrafopredeter"/>
    <w:uiPriority w:val="99"/>
    <w:semiHidden/>
    <w:unhideWhenUsed/>
    <w:rsid w:val="006F079B"/>
    <w:rPr>
      <w:color w:val="605E5C"/>
      <w:shd w:val="clear" w:color="auto" w:fill="E1DFDD"/>
    </w:rPr>
  </w:style>
  <w:style w:type="table" w:customStyle="1" w:styleId="afffff8">
    <w:basedOn w:val="TableNormal2"/>
    <w:pPr>
      <w:spacing w:after="0" w:line="240" w:lineRule="auto"/>
    </w:pPr>
    <w:tblPr>
      <w:tblStyleRowBandSize w:val="1"/>
      <w:tblStyleColBandSize w:val="1"/>
      <w:tblCellMar>
        <w:left w:w="108" w:type="dxa"/>
        <w:right w:w="108" w:type="dxa"/>
      </w:tblCellMar>
    </w:tblPr>
  </w:style>
  <w:style w:type="table" w:customStyle="1" w:styleId="afffff9">
    <w:basedOn w:val="TableNormal2"/>
    <w:pPr>
      <w:spacing w:after="0" w:line="240" w:lineRule="auto"/>
    </w:pPr>
    <w:tblPr>
      <w:tblStyleRowBandSize w:val="1"/>
      <w:tblStyleColBandSize w:val="1"/>
      <w:tblCellMar>
        <w:left w:w="108" w:type="dxa"/>
        <w:right w:w="108" w:type="dxa"/>
      </w:tblCellMar>
    </w:tblPr>
  </w:style>
  <w:style w:type="table" w:customStyle="1" w:styleId="afffffa">
    <w:basedOn w:val="TableNormal2"/>
    <w:pPr>
      <w:spacing w:after="0" w:line="240" w:lineRule="auto"/>
    </w:pPr>
    <w:tblPr>
      <w:tblStyleRowBandSize w:val="1"/>
      <w:tblStyleColBandSize w:val="1"/>
      <w:tblCellMar>
        <w:left w:w="108" w:type="dxa"/>
        <w:right w:w="108" w:type="dxa"/>
      </w:tblCellMar>
    </w:tblPr>
  </w:style>
  <w:style w:type="table" w:customStyle="1" w:styleId="afffffb">
    <w:basedOn w:val="TableNormal2"/>
    <w:pPr>
      <w:spacing w:after="0" w:line="240" w:lineRule="auto"/>
    </w:pPr>
    <w:tblPr>
      <w:tblStyleRowBandSize w:val="1"/>
      <w:tblStyleColBandSize w:val="1"/>
      <w:tblCellMar>
        <w:left w:w="108" w:type="dxa"/>
        <w:right w:w="108" w:type="dxa"/>
      </w:tblCellMar>
    </w:tblPr>
  </w:style>
  <w:style w:type="character" w:customStyle="1" w:styleId="Mencinsinresolver9">
    <w:name w:val="Mención sin resolver9"/>
    <w:basedOn w:val="Fuentedeprrafopredeter"/>
    <w:uiPriority w:val="99"/>
    <w:semiHidden/>
    <w:unhideWhenUsed/>
    <w:rsid w:val="004C0D23"/>
    <w:rPr>
      <w:color w:val="605E5C"/>
      <w:shd w:val="clear" w:color="auto" w:fill="E1DFDD"/>
    </w:rPr>
  </w:style>
  <w:style w:type="character" w:customStyle="1" w:styleId="Mencinsinresolver10">
    <w:name w:val="Mención sin resolver10"/>
    <w:basedOn w:val="Fuentedeprrafopredeter"/>
    <w:uiPriority w:val="99"/>
    <w:semiHidden/>
    <w:unhideWhenUsed/>
    <w:rsid w:val="00DF5460"/>
    <w:rPr>
      <w:color w:val="605E5C"/>
      <w:shd w:val="clear" w:color="auto" w:fill="E1DFDD"/>
    </w:rPr>
  </w:style>
  <w:style w:type="character" w:customStyle="1" w:styleId="Mencinsinresolver11">
    <w:name w:val="Mención sin resolver11"/>
    <w:basedOn w:val="Fuentedeprrafopredeter"/>
    <w:uiPriority w:val="99"/>
    <w:semiHidden/>
    <w:unhideWhenUsed/>
    <w:rsid w:val="00BF6967"/>
    <w:rPr>
      <w:color w:val="605E5C"/>
      <w:shd w:val="clear" w:color="auto" w:fill="E1DFDD"/>
    </w:rPr>
  </w:style>
  <w:style w:type="character" w:styleId="Refdecomentario">
    <w:name w:val="annotation reference"/>
    <w:basedOn w:val="Fuentedeprrafopredeter"/>
    <w:uiPriority w:val="99"/>
    <w:semiHidden/>
    <w:unhideWhenUsed/>
    <w:rsid w:val="00397770"/>
    <w:rPr>
      <w:sz w:val="16"/>
      <w:szCs w:val="16"/>
    </w:rPr>
  </w:style>
  <w:style w:type="paragraph" w:styleId="Textocomentario">
    <w:name w:val="annotation text"/>
    <w:basedOn w:val="Normal"/>
    <w:link w:val="TextocomentarioCar"/>
    <w:uiPriority w:val="99"/>
    <w:semiHidden/>
    <w:unhideWhenUsed/>
    <w:rsid w:val="0039777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7770"/>
    <w:rPr>
      <w:sz w:val="20"/>
      <w:szCs w:val="20"/>
    </w:rPr>
  </w:style>
  <w:style w:type="paragraph" w:styleId="Asuntodelcomentario">
    <w:name w:val="annotation subject"/>
    <w:basedOn w:val="Textocomentario"/>
    <w:next w:val="Textocomentario"/>
    <w:link w:val="AsuntodelcomentarioCar"/>
    <w:uiPriority w:val="99"/>
    <w:semiHidden/>
    <w:unhideWhenUsed/>
    <w:rsid w:val="00397770"/>
    <w:rPr>
      <w:b/>
      <w:bCs/>
    </w:rPr>
  </w:style>
  <w:style w:type="character" w:customStyle="1" w:styleId="AsuntodelcomentarioCar">
    <w:name w:val="Asunto del comentario Car"/>
    <w:basedOn w:val="TextocomentarioCar"/>
    <w:link w:val="Asuntodelcomentario"/>
    <w:uiPriority w:val="99"/>
    <w:semiHidden/>
    <w:rsid w:val="00397770"/>
    <w:rPr>
      <w:b/>
      <w:bCs/>
      <w:sz w:val="20"/>
      <w:szCs w:val="20"/>
    </w:rPr>
  </w:style>
  <w:style w:type="table" w:customStyle="1" w:styleId="afffffc">
    <w:basedOn w:val="TableNormal1"/>
    <w:pPr>
      <w:spacing w:after="0" w:line="240" w:lineRule="auto"/>
    </w:pPr>
    <w:tblPr>
      <w:tblStyleRowBandSize w:val="1"/>
      <w:tblStyleColBandSize w:val="1"/>
      <w:tblCellMar>
        <w:left w:w="108" w:type="dxa"/>
        <w:right w:w="108" w:type="dxa"/>
      </w:tblCellMar>
    </w:tblPr>
  </w:style>
  <w:style w:type="table" w:customStyle="1" w:styleId="afffffd">
    <w:basedOn w:val="TableNormal1"/>
    <w:pPr>
      <w:spacing w:after="0" w:line="240" w:lineRule="auto"/>
    </w:pPr>
    <w:tblPr>
      <w:tblStyleRowBandSize w:val="1"/>
      <w:tblStyleColBandSize w:val="1"/>
      <w:tblCellMar>
        <w:left w:w="108" w:type="dxa"/>
        <w:right w:w="108" w:type="dxa"/>
      </w:tblCellMar>
    </w:tblPr>
  </w:style>
  <w:style w:type="table" w:customStyle="1" w:styleId="afffffe">
    <w:basedOn w:val="TableNormal1"/>
    <w:pPr>
      <w:spacing w:after="0" w:line="240" w:lineRule="auto"/>
    </w:pPr>
    <w:tblPr>
      <w:tblStyleRowBandSize w:val="1"/>
      <w:tblStyleColBandSize w:val="1"/>
      <w:tblCellMar>
        <w:left w:w="108" w:type="dxa"/>
        <w:right w:w="108" w:type="dxa"/>
      </w:tblCellMar>
    </w:tblPr>
  </w:style>
  <w:style w:type="table" w:customStyle="1" w:styleId="affffff">
    <w:basedOn w:val="TableNormal1"/>
    <w:pPr>
      <w:spacing w:after="0" w:line="240" w:lineRule="auto"/>
    </w:pPr>
    <w:tblPr>
      <w:tblStyleRowBandSize w:val="1"/>
      <w:tblStyleColBandSize w:val="1"/>
      <w:tblCellMar>
        <w:left w:w="108" w:type="dxa"/>
        <w:right w:w="108" w:type="dxa"/>
      </w:tblCellMar>
    </w:tblPr>
  </w:style>
  <w:style w:type="character" w:customStyle="1" w:styleId="Mencinsinresolver12">
    <w:name w:val="Mención sin resolver12"/>
    <w:basedOn w:val="Fuentedeprrafopredeter"/>
    <w:uiPriority w:val="99"/>
    <w:semiHidden/>
    <w:unhideWhenUsed/>
    <w:rsid w:val="00FA1522"/>
    <w:rPr>
      <w:color w:val="605E5C"/>
      <w:shd w:val="clear" w:color="auto" w:fill="E1DFDD"/>
    </w:rPr>
  </w:style>
  <w:style w:type="paragraph" w:styleId="Listaconvietas">
    <w:name w:val="List Bullet"/>
    <w:basedOn w:val="Normal"/>
    <w:uiPriority w:val="99"/>
    <w:unhideWhenUsed/>
    <w:rsid w:val="00433D74"/>
    <w:pPr>
      <w:numPr>
        <w:numId w:val="16"/>
      </w:numPr>
      <w:contextualSpacing/>
    </w:pPr>
  </w:style>
  <w:style w:type="character" w:customStyle="1" w:styleId="Mencinsinresolver13">
    <w:name w:val="Mención sin resolver13"/>
    <w:basedOn w:val="Fuentedeprrafopredeter"/>
    <w:uiPriority w:val="99"/>
    <w:semiHidden/>
    <w:unhideWhenUsed/>
    <w:rsid w:val="002A6314"/>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fff3">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UlJD0kl00+4lr4pfr0ftyaDcFQ==">CgMxLjAyDmguZGluaGJid3l3a2VzMghoLmdqZGd4czIOaC5sZDB0ZW40Zmh0enUyDmguN3oyaG0xZHN0YzJuMgloLjM1bmt1bjIyDmgubW5ocHh6NDNoM2J6Mg5oLm02bTJobmRnaDVyODIJaC4yZXQ5MnAwMg5oLmlodmEzZTZ3bDRrbTIOaC55d3ZkdHJrdm1rNHcyDmgudHplamVoZ3dmYnZ5Mg5oLm8zbjQza3g3dHBicjIOaC4yZ3V5dzl0djZnazUyDmgud2VtbnBmanhtZGtlMg1oLmE2cmpuZG5tcXQ4Mg5oLm4yczVpOGYxNm0xcjINaC4yYjh6ZHQ3dm94NzIOaC42N3FxdnR4b25hMzUyDmguejhiOG5lbDZqZjEzMg5oLmFyZ3kyMXFua21ocjgAciExMl9ScnVUZWxKTkxraUxfRDdhSzF5UmEwcHJscFZQSEU=</go:docsCustomData>
</go:gDocsCustomXmlDataStorage>
</file>

<file path=customXml/itemProps1.xml><?xml version="1.0" encoding="utf-8"?>
<ds:datastoreItem xmlns:ds="http://schemas.openxmlformats.org/officeDocument/2006/customXml" ds:itemID="{3F1B3A17-A143-42D7-BAAC-D12FEA06FCF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43</Pages>
  <Words>10607</Words>
  <Characters>58344</Characters>
  <Application>Microsoft Office Word</Application>
  <DocSecurity>0</DocSecurity>
  <Lines>486</Lines>
  <Paragraphs>137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USUARIO</cp:lastModifiedBy>
  <cp:revision>4</cp:revision>
  <cp:lastPrinted>2026-02-13T16:34:00Z</cp:lastPrinted>
  <dcterms:created xsi:type="dcterms:W3CDTF">2026-02-13T16:34:00Z</dcterms:created>
  <dcterms:modified xsi:type="dcterms:W3CDTF">2026-04-09T21:35:00Z</dcterms:modified>
</cp:coreProperties>
</file>